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990E413">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宋体" w:hAnsi="宋体" w:eastAsia="宋体" w:cs="宋体"/>
          <w:b/>
          <w:bCs/>
          <w:sz w:val="44"/>
          <w:szCs w:val="44"/>
          <w:lang w:eastAsia="zh-CN"/>
        </w:rPr>
      </w:pPr>
      <w:r>
        <w:rPr>
          <w:rFonts w:hint="eastAsia" w:cs="宋体"/>
          <w:b/>
          <w:bCs/>
          <w:sz w:val="44"/>
          <w:szCs w:val="44"/>
          <w:lang w:val="en-US" w:eastAsia="zh-CN"/>
        </w:rPr>
        <w:t>湖州学院</w:t>
      </w:r>
      <w:r>
        <w:rPr>
          <w:rFonts w:hint="eastAsia" w:ascii="宋体" w:hAnsi="宋体" w:eastAsia="宋体" w:cs="宋体"/>
          <w:b/>
          <w:bCs w:val="0"/>
          <w:color w:val="auto"/>
          <w:kern w:val="0"/>
          <w:sz w:val="44"/>
          <w:szCs w:val="44"/>
          <w:lang w:val="en-US" w:eastAsia="zh-CN" w:bidi="ar-SA"/>
        </w:rPr>
        <w:t>新建工程体育场馆</w:t>
      </w:r>
    </w:p>
    <w:p w14:paraId="2D7CA2CA">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宋体" w:hAnsi="宋体" w:eastAsia="宋体" w:cs="宋体"/>
          <w:b/>
          <w:bCs/>
          <w:sz w:val="44"/>
          <w:szCs w:val="44"/>
        </w:rPr>
      </w:pPr>
      <w:r>
        <w:rPr>
          <w:rFonts w:hint="eastAsia" w:ascii="宋体" w:hAnsi="宋体" w:eastAsia="宋体" w:cs="宋体"/>
          <w:b/>
          <w:bCs w:val="0"/>
          <w:color w:val="auto"/>
          <w:kern w:val="0"/>
          <w:sz w:val="44"/>
          <w:szCs w:val="44"/>
          <w:lang w:val="en-US" w:eastAsia="zh-CN" w:bidi="ar-SA"/>
        </w:rPr>
        <w:t>设备设施（包括职工之家）项目</w:t>
      </w:r>
    </w:p>
    <w:p w14:paraId="7523A8C5">
      <w:pPr>
        <w:pStyle w:val="14"/>
        <w:rPr>
          <w:rFonts w:hint="eastAsia" w:ascii="宋体" w:hAnsi="宋体" w:eastAsia="宋体" w:cs="宋体"/>
          <w:sz w:val="24"/>
          <w:szCs w:val="24"/>
        </w:rPr>
      </w:pPr>
    </w:p>
    <w:p w14:paraId="1D571694">
      <w:pPr>
        <w:spacing w:line="600" w:lineRule="auto"/>
        <w:ind w:firstLine="1446"/>
        <w:jc w:val="both"/>
        <w:rPr>
          <w:rFonts w:hint="eastAsia" w:cs="宋体"/>
          <w:b/>
          <w:bCs/>
          <w:sz w:val="32"/>
          <w:szCs w:val="32"/>
          <w:lang w:val="en-US" w:eastAsia="zh-CN"/>
        </w:rPr>
      </w:pPr>
      <w:r>
        <w:rPr>
          <w:rFonts w:hint="eastAsia" w:cs="宋体"/>
          <w:b/>
          <w:bCs/>
          <w:sz w:val="32"/>
          <w:szCs w:val="32"/>
          <w:lang w:val="en-US" w:eastAsia="zh-CN"/>
        </w:rPr>
        <w:t xml:space="preserve">          </w:t>
      </w:r>
    </w:p>
    <w:p w14:paraId="536EF9E5">
      <w:pPr>
        <w:pStyle w:val="6"/>
        <w:rPr>
          <w:rFonts w:hint="eastAsia"/>
        </w:rPr>
      </w:pPr>
    </w:p>
    <w:p w14:paraId="5B3AB552">
      <w:pPr>
        <w:keepNext w:val="0"/>
        <w:keepLines w:val="0"/>
        <w:pageBreakBefore w:val="0"/>
        <w:widowControl w:val="0"/>
        <w:kinsoku/>
        <w:wordWrap/>
        <w:overflowPunct/>
        <w:topLinePunct w:val="0"/>
        <w:autoSpaceDE/>
        <w:autoSpaceDN/>
        <w:bidi w:val="0"/>
        <w:adjustRightInd/>
        <w:snapToGrid w:val="0"/>
        <w:spacing w:line="860" w:lineRule="exact"/>
        <w:ind w:firstLine="0" w:firstLineChars="0"/>
        <w:jc w:val="center"/>
        <w:textAlignment w:val="auto"/>
        <w:rPr>
          <w:rFonts w:hint="eastAsia" w:ascii="宋体" w:hAnsi="宋体" w:eastAsia="宋体" w:cs="宋体"/>
          <w:b/>
          <w:sz w:val="84"/>
          <w:szCs w:val="84"/>
        </w:rPr>
      </w:pPr>
      <w:r>
        <w:rPr>
          <w:rFonts w:hint="eastAsia" w:ascii="宋体" w:hAnsi="宋体" w:eastAsia="宋体" w:cs="宋体"/>
          <w:b/>
          <w:sz w:val="84"/>
          <w:szCs w:val="84"/>
        </w:rPr>
        <w:t>公开招标文件</w:t>
      </w:r>
    </w:p>
    <w:p w14:paraId="78BB7F7B">
      <w:pPr>
        <w:keepNext w:val="0"/>
        <w:keepLines w:val="0"/>
        <w:pageBreakBefore w:val="0"/>
        <w:widowControl w:val="0"/>
        <w:kinsoku/>
        <w:wordWrap/>
        <w:overflowPunct/>
        <w:topLinePunct w:val="0"/>
        <w:autoSpaceDE/>
        <w:autoSpaceDN/>
        <w:bidi w:val="0"/>
        <w:adjustRightInd/>
        <w:snapToGrid w:val="0"/>
        <w:spacing w:line="860" w:lineRule="exact"/>
        <w:ind w:firstLine="0" w:firstLineChars="0"/>
        <w:jc w:val="center"/>
        <w:textAlignment w:val="auto"/>
        <w:rPr>
          <w:rFonts w:hint="eastAsia" w:cs="宋体"/>
          <w:b/>
          <w:bCs/>
          <w:sz w:val="32"/>
          <w:szCs w:val="32"/>
          <w:lang w:val="en-US" w:eastAsia="zh-CN"/>
        </w:rPr>
      </w:pPr>
      <w:r>
        <w:rPr>
          <w:rFonts w:hint="eastAsia" w:cs="宋体"/>
          <w:b/>
          <w:sz w:val="32"/>
          <w:szCs w:val="32"/>
          <w:lang w:val="en-US" w:eastAsia="zh-CN"/>
        </w:rPr>
        <w:t>（电子交易）</w:t>
      </w:r>
    </w:p>
    <w:p w14:paraId="21792854">
      <w:pPr>
        <w:pStyle w:val="14"/>
        <w:rPr>
          <w:rFonts w:hint="eastAsia"/>
          <w:sz w:val="13"/>
          <w:szCs w:val="13"/>
          <w:lang w:val="en-US" w:eastAsia="zh-CN"/>
        </w:rPr>
      </w:pPr>
    </w:p>
    <w:p w14:paraId="6D73D19E">
      <w:pPr>
        <w:snapToGrid w:val="0"/>
        <w:ind w:left="0" w:leftChars="0" w:firstLine="0" w:firstLineChars="0"/>
        <w:jc w:val="center"/>
        <w:rPr>
          <w:rFonts w:hint="default" w:ascii="宋体" w:hAnsi="宋体" w:eastAsia="宋体" w:cs="宋体"/>
          <w:b/>
          <w:bCs/>
          <w:lang w:val="en-US" w:eastAsia="zh-CN"/>
        </w:rPr>
      </w:pPr>
      <w:r>
        <w:rPr>
          <w:rFonts w:hint="eastAsia" w:cs="宋体"/>
          <w:b/>
          <w:bCs/>
          <w:sz w:val="32"/>
          <w:szCs w:val="32"/>
          <w:lang w:val="en-US" w:eastAsia="zh-CN"/>
        </w:rPr>
        <w:t>（采购计划文号：临[2024]38569）</w:t>
      </w:r>
    </w:p>
    <w:p w14:paraId="198861D5">
      <w:pPr>
        <w:snapToGrid w:val="0"/>
        <w:ind w:firstLine="0" w:firstLineChars="0"/>
        <w:rPr>
          <w:rFonts w:hint="eastAsia" w:ascii="宋体" w:hAnsi="宋体" w:eastAsia="宋体" w:cs="宋体"/>
          <w:b/>
        </w:rPr>
      </w:pPr>
    </w:p>
    <w:p w14:paraId="6FED9C57">
      <w:pPr>
        <w:rPr>
          <w:rFonts w:hint="eastAsia"/>
        </w:rPr>
      </w:pPr>
    </w:p>
    <w:p w14:paraId="254AA130">
      <w:pPr>
        <w:pStyle w:val="6"/>
        <w:rPr>
          <w:rFonts w:hint="eastAsia"/>
        </w:rPr>
      </w:pPr>
    </w:p>
    <w:p w14:paraId="1B16AD30">
      <w:pPr>
        <w:rPr>
          <w:rFonts w:hint="eastAsia"/>
        </w:rPr>
      </w:pPr>
    </w:p>
    <w:p w14:paraId="223744E6">
      <w:pPr>
        <w:snapToGrid w:val="0"/>
        <w:ind w:firstLine="0" w:firstLineChars="0"/>
        <w:rPr>
          <w:rFonts w:hint="eastAsia" w:ascii="宋体" w:hAnsi="宋体" w:eastAsia="宋体" w:cs="宋体"/>
          <w:b/>
        </w:rPr>
      </w:pPr>
    </w:p>
    <w:p w14:paraId="4BF2D72F">
      <w:pPr>
        <w:bidi w:val="0"/>
        <w:spacing w:line="360" w:lineRule="auto"/>
        <w:ind w:left="2238" w:leftChars="266" w:hanging="1600" w:hangingChars="500"/>
        <w:rPr>
          <w:rFonts w:hint="eastAsia" w:ascii="宋体" w:hAnsi="宋体" w:eastAsia="宋体" w:cs="宋体"/>
          <w:sz w:val="32"/>
          <w:szCs w:val="32"/>
          <w:lang w:val="en-US" w:eastAsia="zh-CN"/>
        </w:rPr>
      </w:pPr>
      <w:r>
        <w:rPr>
          <w:rFonts w:hint="eastAsia" w:ascii="宋体" w:hAnsi="宋体" w:eastAsia="宋体" w:cs="宋体"/>
          <w:sz w:val="32"/>
          <w:szCs w:val="32"/>
        </w:rPr>
        <w:t>项目名称：</w:t>
      </w:r>
      <w:r>
        <w:rPr>
          <w:rFonts w:hint="eastAsia" w:ascii="宋体" w:hAnsi="宋体" w:eastAsia="宋体" w:cs="宋体"/>
          <w:b w:val="0"/>
          <w:bCs/>
          <w:color w:val="auto"/>
          <w:kern w:val="0"/>
          <w:sz w:val="32"/>
          <w:szCs w:val="32"/>
          <w:u w:val="single"/>
          <w:lang w:val="en-US" w:eastAsia="zh-CN" w:bidi="ar-SA"/>
        </w:rPr>
        <w:t>新建工程体育场馆设备设施（包括职工之家）项目</w:t>
      </w:r>
    </w:p>
    <w:p w14:paraId="5729510F">
      <w:pPr>
        <w:bidi w:val="0"/>
        <w:spacing w:line="360" w:lineRule="auto"/>
        <w:rPr>
          <w:rFonts w:hint="eastAsia" w:ascii="宋体" w:hAnsi="宋体" w:eastAsia="宋体" w:cs="宋体"/>
          <w:sz w:val="32"/>
          <w:szCs w:val="32"/>
          <w:lang w:val="en-US" w:eastAsia="zh-CN"/>
        </w:rPr>
      </w:pPr>
      <w:r>
        <w:rPr>
          <w:rFonts w:hint="eastAsia" w:ascii="宋体" w:hAnsi="宋体" w:eastAsia="宋体" w:cs="宋体"/>
          <w:sz w:val="32"/>
          <w:szCs w:val="32"/>
          <w:lang w:eastAsia="zh-CN"/>
        </w:rPr>
        <w:t>项目</w:t>
      </w:r>
      <w:r>
        <w:rPr>
          <w:rFonts w:hint="eastAsia" w:ascii="宋体" w:hAnsi="宋体" w:eastAsia="宋体" w:cs="宋体"/>
          <w:sz w:val="32"/>
          <w:szCs w:val="32"/>
        </w:rPr>
        <w:t>编号：</w:t>
      </w:r>
      <w:r>
        <w:rPr>
          <w:rFonts w:hint="eastAsia" w:ascii="宋体" w:hAnsi="宋体" w:eastAsia="宋体" w:cs="宋体"/>
          <w:sz w:val="32"/>
          <w:szCs w:val="32"/>
          <w:u w:val="single"/>
          <w:lang w:val="en-US" w:eastAsia="zh-CN"/>
        </w:rPr>
        <w:t>ZJZX-HZXY-202400</w:t>
      </w:r>
      <w:r>
        <w:rPr>
          <w:rFonts w:hint="eastAsia" w:cs="宋体"/>
          <w:sz w:val="32"/>
          <w:szCs w:val="32"/>
          <w:u w:val="single"/>
          <w:lang w:val="en-US" w:eastAsia="zh-CN"/>
        </w:rPr>
        <w:t>2</w:t>
      </w:r>
      <w:r>
        <w:rPr>
          <w:rFonts w:hint="eastAsia" w:ascii="宋体" w:hAnsi="宋体" w:eastAsia="宋体" w:cs="宋体"/>
          <w:sz w:val="32"/>
          <w:szCs w:val="32"/>
          <w:lang w:val="en-US" w:eastAsia="zh-CN"/>
        </w:rPr>
        <w:t xml:space="preserve">                       </w:t>
      </w:r>
    </w:p>
    <w:p w14:paraId="49B045D6">
      <w:pPr>
        <w:bidi w:val="0"/>
        <w:spacing w:line="360" w:lineRule="auto"/>
        <w:rPr>
          <w:rFonts w:hint="eastAsia" w:ascii="宋体" w:hAnsi="宋体" w:eastAsia="宋体" w:cs="宋体"/>
          <w:sz w:val="32"/>
          <w:szCs w:val="32"/>
          <w:lang w:val="en-US" w:eastAsia="zh-CN"/>
        </w:rPr>
      </w:pPr>
      <w:r>
        <w:rPr>
          <w:rFonts w:hint="eastAsia" w:ascii="宋体" w:hAnsi="宋体" w:eastAsia="宋体" w:cs="宋体"/>
          <w:sz w:val="32"/>
          <w:szCs w:val="32"/>
          <w:lang w:eastAsia="zh-CN"/>
        </w:rPr>
        <w:t>招</w:t>
      </w:r>
      <w:r>
        <w:rPr>
          <w:rFonts w:hint="eastAsia" w:ascii="宋体" w:hAnsi="宋体" w:eastAsia="宋体" w:cs="宋体"/>
          <w:sz w:val="32"/>
          <w:szCs w:val="32"/>
        </w:rPr>
        <w:t xml:space="preserve"> </w:t>
      </w:r>
      <w:r>
        <w:rPr>
          <w:rFonts w:hint="eastAsia" w:ascii="宋体" w:hAnsi="宋体" w:eastAsia="宋体" w:cs="宋体"/>
          <w:sz w:val="32"/>
          <w:szCs w:val="32"/>
          <w:lang w:eastAsia="zh-CN"/>
        </w:rPr>
        <w:t>标</w:t>
      </w:r>
      <w:r>
        <w:rPr>
          <w:rFonts w:hint="eastAsia" w:ascii="宋体" w:hAnsi="宋体" w:eastAsia="宋体" w:cs="宋体"/>
          <w:sz w:val="32"/>
          <w:szCs w:val="32"/>
        </w:rPr>
        <w:t xml:space="preserve"> 人：</w:t>
      </w:r>
      <w:r>
        <w:rPr>
          <w:rFonts w:hint="eastAsia" w:cs="宋体"/>
          <w:sz w:val="32"/>
          <w:szCs w:val="32"/>
          <w:u w:val="single"/>
          <w:lang w:eastAsia="zh-CN"/>
        </w:rPr>
        <w:t>湖州学院（盖章）</w:t>
      </w:r>
      <w:r>
        <w:rPr>
          <w:rFonts w:hint="eastAsia" w:ascii="宋体" w:hAnsi="宋体" w:eastAsia="宋体" w:cs="宋体"/>
          <w:sz w:val="32"/>
          <w:szCs w:val="32"/>
          <w:lang w:val="en-US" w:eastAsia="zh-CN"/>
        </w:rPr>
        <w:t xml:space="preserve">                       </w:t>
      </w:r>
    </w:p>
    <w:p w14:paraId="2E1212C3">
      <w:pPr>
        <w:bidi w:val="0"/>
        <w:spacing w:line="360" w:lineRule="auto"/>
        <w:rPr>
          <w:rFonts w:hint="eastAsia" w:cs="宋体"/>
          <w:b/>
          <w:bCs/>
          <w:szCs w:val="32"/>
          <w:u w:val="single"/>
          <w:lang w:val="en-US" w:eastAsia="zh-CN"/>
        </w:rPr>
      </w:pPr>
      <w:r>
        <w:rPr>
          <w:rFonts w:hint="eastAsia" w:ascii="宋体" w:hAnsi="宋体" w:eastAsia="宋体" w:cs="宋体"/>
          <w:sz w:val="32"/>
          <w:szCs w:val="32"/>
          <w:lang w:eastAsia="zh-CN"/>
        </w:rPr>
        <w:t>招标</w:t>
      </w:r>
      <w:r>
        <w:rPr>
          <w:rFonts w:hint="eastAsia" w:ascii="宋体" w:hAnsi="宋体" w:eastAsia="宋体" w:cs="宋体"/>
          <w:sz w:val="32"/>
          <w:szCs w:val="32"/>
        </w:rPr>
        <w:t>代理机构：</w:t>
      </w:r>
      <w:r>
        <w:rPr>
          <w:rFonts w:hint="eastAsia" w:ascii="宋体" w:hAnsi="宋体" w:eastAsia="宋体" w:cs="宋体"/>
          <w:sz w:val="32"/>
          <w:szCs w:val="32"/>
          <w:u w:val="single"/>
          <w:lang w:eastAsia="zh-CN"/>
        </w:rPr>
        <w:t>浙江致信招标代理有限公司</w:t>
      </w:r>
      <w:r>
        <w:rPr>
          <w:rFonts w:hint="eastAsia" w:cs="宋体"/>
          <w:sz w:val="32"/>
          <w:szCs w:val="32"/>
          <w:u w:val="single"/>
          <w:lang w:eastAsia="zh-CN"/>
        </w:rPr>
        <w:t>（盖章）</w:t>
      </w:r>
      <w:r>
        <w:rPr>
          <w:rFonts w:hint="eastAsia" w:cs="宋体"/>
          <w:b/>
          <w:bCs/>
          <w:szCs w:val="32"/>
          <w:u w:val="single"/>
          <w:lang w:val="en-US" w:eastAsia="zh-CN"/>
        </w:rPr>
        <w:t xml:space="preserve">                   </w:t>
      </w:r>
    </w:p>
    <w:p w14:paraId="4B51BC99">
      <w:pPr>
        <w:pStyle w:val="6"/>
        <w:rPr>
          <w:rFonts w:hint="eastAsia" w:cs="宋体"/>
          <w:b/>
          <w:bCs/>
          <w:sz w:val="32"/>
          <w:szCs w:val="32"/>
          <w:u w:val="single"/>
          <w:lang w:val="en-US" w:eastAsia="zh-CN"/>
        </w:rPr>
      </w:pPr>
    </w:p>
    <w:p w14:paraId="1D92AC92">
      <w:pPr>
        <w:rPr>
          <w:rFonts w:hint="eastAsia" w:cs="宋体"/>
          <w:b/>
          <w:bCs/>
          <w:sz w:val="32"/>
          <w:szCs w:val="32"/>
          <w:u w:val="single"/>
          <w:lang w:val="en-US" w:eastAsia="zh-CN"/>
        </w:rPr>
      </w:pPr>
    </w:p>
    <w:p w14:paraId="18F9FD29">
      <w:pPr>
        <w:pStyle w:val="6"/>
        <w:rPr>
          <w:rFonts w:hint="default"/>
          <w:lang w:val="en-US" w:eastAsia="zh-CN"/>
        </w:rPr>
      </w:pPr>
    </w:p>
    <w:p w14:paraId="0C000320">
      <w:pPr>
        <w:snapToGrid w:val="0"/>
        <w:ind w:left="0" w:leftChars="0" w:firstLine="0" w:firstLineChars="0"/>
        <w:jc w:val="center"/>
        <w:rPr>
          <w:rFonts w:hint="eastAsia" w:ascii="宋体" w:hAnsi="宋体" w:eastAsia="宋体" w:cs="宋体"/>
          <w:b/>
          <w:bCs/>
          <w:sz w:val="32"/>
          <w:szCs w:val="32"/>
        </w:rPr>
      </w:pPr>
      <w:r>
        <w:rPr>
          <w:rFonts w:hint="eastAsia" w:ascii="宋体" w:hAnsi="宋体" w:eastAsia="宋体" w:cs="宋体"/>
          <w:b/>
          <w:bCs/>
          <w:sz w:val="32"/>
          <w:szCs w:val="32"/>
        </w:rPr>
        <w:t>时    间：二〇二</w:t>
      </w:r>
      <w:r>
        <w:rPr>
          <w:rFonts w:hint="eastAsia" w:cs="宋体"/>
          <w:b/>
          <w:bCs/>
          <w:sz w:val="32"/>
          <w:szCs w:val="32"/>
          <w:lang w:eastAsia="zh-CN"/>
        </w:rPr>
        <w:t>五</w:t>
      </w:r>
      <w:r>
        <w:rPr>
          <w:rFonts w:hint="eastAsia" w:ascii="宋体" w:hAnsi="宋体" w:eastAsia="宋体" w:cs="宋体"/>
          <w:b/>
          <w:bCs/>
          <w:sz w:val="32"/>
          <w:szCs w:val="32"/>
        </w:rPr>
        <w:t>年</w:t>
      </w:r>
      <w:r>
        <w:rPr>
          <w:rFonts w:hint="eastAsia" w:cs="宋体"/>
          <w:b/>
          <w:bCs/>
          <w:sz w:val="32"/>
          <w:szCs w:val="32"/>
          <w:lang w:eastAsia="zh-CN"/>
        </w:rPr>
        <w:t>一</w:t>
      </w:r>
      <w:r>
        <w:rPr>
          <w:rFonts w:hint="eastAsia" w:ascii="宋体" w:hAnsi="宋体" w:eastAsia="宋体" w:cs="宋体"/>
          <w:b/>
          <w:bCs/>
          <w:sz w:val="32"/>
          <w:szCs w:val="32"/>
        </w:rPr>
        <w:t>月</w:t>
      </w:r>
    </w:p>
    <w:p w14:paraId="19915F8F">
      <w:pPr>
        <w:pStyle w:val="78"/>
        <w:rPr>
          <w:rFonts w:hint="eastAsia" w:ascii="宋体" w:hAnsi="宋体" w:eastAsia="宋体" w:cs="宋体"/>
          <w:color w:val="auto"/>
        </w:rPr>
      </w:pPr>
    </w:p>
    <w:p w14:paraId="4E2AB4A1">
      <w:pPr>
        <w:snapToGrid w:val="0"/>
        <w:ind w:firstLine="482"/>
        <w:rPr>
          <w:rFonts w:hint="eastAsia" w:ascii="宋体" w:hAnsi="宋体" w:eastAsia="宋体" w:cs="宋体"/>
          <w:b/>
          <w:bCs/>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1247" w:right="1247" w:bottom="1247" w:left="1247" w:header="851" w:footer="992" w:gutter="0"/>
          <w:pgNumType w:start="1"/>
          <w:cols w:space="720" w:num="1"/>
          <w:docGrid w:type="lines" w:linePitch="312" w:charSpace="0"/>
        </w:sectPr>
      </w:pPr>
    </w:p>
    <w:p w14:paraId="54F8DAF1">
      <w:pPr>
        <w:pStyle w:val="35"/>
        <w:tabs>
          <w:tab w:val="right" w:leader="dot" w:pos="8306"/>
          <w:tab w:val="clear" w:pos="8296"/>
        </w:tabs>
        <w:ind w:left="480" w:firstLine="3614" w:firstLineChars="1000"/>
        <w:jc w:val="both"/>
        <w:rPr>
          <w:rFonts w:hint="eastAsia" w:ascii="宋体" w:hAnsi="宋体" w:eastAsia="宋体" w:cs="宋体"/>
          <w:b/>
          <w:bCs/>
          <w:sz w:val="36"/>
          <w:szCs w:val="36"/>
          <w:lang w:val="zh-CN"/>
        </w:rPr>
      </w:pPr>
      <w:bookmarkStart w:id="0" w:name="_Toc32639"/>
      <w:r>
        <w:rPr>
          <w:rFonts w:hint="eastAsia" w:ascii="宋体" w:hAnsi="宋体" w:eastAsia="宋体" w:cs="宋体"/>
          <w:b/>
          <w:bCs/>
          <w:sz w:val="36"/>
          <w:szCs w:val="36"/>
          <w:lang w:val="zh-CN"/>
        </w:rPr>
        <w:t>目</w:t>
      </w:r>
      <w:r>
        <w:rPr>
          <w:rFonts w:hint="eastAsia" w:ascii="宋体" w:hAnsi="宋体" w:eastAsia="宋体" w:cs="宋体"/>
          <w:b/>
          <w:bCs/>
          <w:sz w:val="36"/>
          <w:szCs w:val="36"/>
        </w:rPr>
        <w:t xml:space="preserve">  </w:t>
      </w:r>
      <w:r>
        <w:rPr>
          <w:rFonts w:hint="eastAsia" w:ascii="宋体" w:hAnsi="宋体" w:eastAsia="宋体" w:cs="宋体"/>
          <w:b/>
          <w:bCs/>
          <w:sz w:val="36"/>
          <w:szCs w:val="36"/>
          <w:lang w:val="zh-CN"/>
        </w:rPr>
        <w:t>录</w:t>
      </w:r>
      <w:bookmarkEnd w:id="0"/>
    </w:p>
    <w:p w14:paraId="772F371B">
      <w:pPr>
        <w:pStyle w:val="35"/>
        <w:tabs>
          <w:tab w:val="right" w:leader="dot" w:pos="8306"/>
          <w:tab w:val="clear" w:pos="8296"/>
        </w:tabs>
        <w:ind w:left="480"/>
        <w:jc w:val="center"/>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TOC \o "1-2" \h \z \u </w:instrText>
      </w:r>
      <w:r>
        <w:rPr>
          <w:rFonts w:hint="eastAsia" w:ascii="宋体" w:hAnsi="宋体" w:eastAsia="宋体" w:cs="宋体"/>
        </w:rPr>
        <w:fldChar w:fldCharType="separate"/>
      </w:r>
    </w:p>
    <w:p w14:paraId="04E8B51E">
      <w:pPr>
        <w:pStyle w:val="29"/>
        <w:keepNext w:val="0"/>
        <w:keepLines w:val="0"/>
        <w:pageBreakBefore w:val="0"/>
        <w:widowControl w:val="0"/>
        <w:tabs>
          <w:tab w:val="right" w:leader="dot" w:pos="9060"/>
          <w:tab w:val="clear" w:pos="8296"/>
        </w:tabs>
        <w:kinsoku/>
        <w:wordWrap/>
        <w:overflowPunct/>
        <w:topLinePunct w:val="0"/>
        <w:autoSpaceDE/>
        <w:autoSpaceDN/>
        <w:bidi w:val="0"/>
        <w:adjustRightInd/>
        <w:snapToGrid/>
        <w:textAlignment w:val="auto"/>
        <w:rPr>
          <w:rFonts w:hint="eastAsia" w:ascii="宋体" w:hAnsi="宋体" w:eastAsia="宋体" w:cs="宋体"/>
          <w:sz w:val="30"/>
          <w:szCs w:val="30"/>
          <w:lang w:val="en-US" w:eastAsia="zh-CN"/>
        </w:rPr>
      </w:pPr>
      <w:r>
        <w:rPr>
          <w:rFonts w:hint="eastAsia" w:ascii="宋体" w:hAnsi="宋体" w:eastAsia="宋体" w:cs="宋体"/>
        </w:rPr>
        <w:fldChar w:fldCharType="begin"/>
      </w:r>
      <w:r>
        <w:rPr>
          <w:rFonts w:hint="eastAsia" w:ascii="宋体" w:hAnsi="宋体" w:eastAsia="宋体" w:cs="宋体"/>
        </w:rPr>
        <w:instrText xml:space="preserve"> TOC \o "1-3" \h \z \u </w:instrText>
      </w:r>
      <w:r>
        <w:rPr>
          <w:rFonts w:hint="eastAsia" w:ascii="宋体" w:hAnsi="宋体" w:eastAsia="宋体" w:cs="宋体"/>
        </w:rPr>
        <w:fldChar w:fldCharType="separate"/>
      </w:r>
      <w:r>
        <w:rPr>
          <w:rFonts w:hint="eastAsia" w:ascii="宋体" w:hAnsi="宋体" w:eastAsia="宋体" w:cs="宋体"/>
          <w:sz w:val="30"/>
          <w:szCs w:val="30"/>
        </w:rPr>
        <w:fldChar w:fldCharType="begin"/>
      </w:r>
      <w:r>
        <w:rPr>
          <w:rStyle w:val="53"/>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"_Toc96595266"</w:instrText>
      </w:r>
      <w:r>
        <w:rPr>
          <w:rStyle w:val="53"/>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Style w:val="53"/>
          <w:rFonts w:hint="eastAsia" w:ascii="宋体" w:hAnsi="宋体" w:eastAsia="宋体" w:cs="宋体"/>
          <w:sz w:val="30"/>
          <w:szCs w:val="30"/>
        </w:rPr>
        <w:t>第一章 招标公告</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eastAsia="宋体" w:cs="宋体"/>
          <w:sz w:val="30"/>
          <w:szCs w:val="30"/>
          <w:lang w:val="en-US" w:eastAsia="zh-CN"/>
        </w:rPr>
        <w:t>1</w:t>
      </w:r>
    </w:p>
    <w:p w14:paraId="411E0129">
      <w:pPr>
        <w:pStyle w:val="29"/>
        <w:keepNext w:val="0"/>
        <w:keepLines w:val="0"/>
        <w:pageBreakBefore w:val="0"/>
        <w:widowControl w:val="0"/>
        <w:tabs>
          <w:tab w:val="right" w:leader="dot" w:pos="9060"/>
          <w:tab w:val="clear" w:pos="8296"/>
        </w:tabs>
        <w:kinsoku/>
        <w:wordWrap/>
        <w:overflowPunct/>
        <w:topLinePunct w:val="0"/>
        <w:autoSpaceDE/>
        <w:autoSpaceDN/>
        <w:bidi w:val="0"/>
        <w:adjustRightInd/>
        <w:snapToGrid/>
        <w:textAlignment w:val="auto"/>
        <w:rPr>
          <w:rFonts w:hint="eastAsia" w:ascii="宋体" w:hAnsi="宋体" w:eastAsia="宋体" w:cs="宋体"/>
          <w:sz w:val="30"/>
          <w:szCs w:val="30"/>
          <w:lang w:val="en-US" w:eastAsia="zh-CN"/>
        </w:rPr>
      </w:pPr>
      <w:r>
        <w:rPr>
          <w:rFonts w:hint="eastAsia" w:ascii="宋体" w:hAnsi="宋体" w:eastAsia="宋体" w:cs="宋体"/>
          <w:sz w:val="30"/>
          <w:szCs w:val="30"/>
        </w:rPr>
        <w:fldChar w:fldCharType="begin"/>
      </w:r>
      <w:r>
        <w:rPr>
          <w:rStyle w:val="53"/>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"_Toc96595267"</w:instrText>
      </w:r>
      <w:r>
        <w:rPr>
          <w:rStyle w:val="53"/>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Style w:val="53"/>
          <w:rFonts w:hint="eastAsia" w:ascii="宋体" w:hAnsi="宋体" w:eastAsia="宋体" w:cs="宋体"/>
          <w:sz w:val="30"/>
          <w:szCs w:val="30"/>
        </w:rPr>
        <w:t>第二章 采购需求</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eastAsia="宋体" w:cs="宋体"/>
          <w:sz w:val="30"/>
          <w:szCs w:val="30"/>
          <w:lang w:val="en-US" w:eastAsia="zh-CN"/>
        </w:rPr>
        <w:t>5</w:t>
      </w:r>
    </w:p>
    <w:p w14:paraId="5E8FAC4C">
      <w:pPr>
        <w:pStyle w:val="29"/>
        <w:keepNext w:val="0"/>
        <w:keepLines w:val="0"/>
        <w:pageBreakBefore w:val="0"/>
        <w:widowControl w:val="0"/>
        <w:tabs>
          <w:tab w:val="right" w:leader="dot" w:pos="9060"/>
          <w:tab w:val="clear" w:pos="8296"/>
        </w:tabs>
        <w:kinsoku/>
        <w:wordWrap/>
        <w:overflowPunct/>
        <w:topLinePunct w:val="0"/>
        <w:autoSpaceDE/>
        <w:autoSpaceDN/>
        <w:bidi w:val="0"/>
        <w:adjustRightInd/>
        <w:snapToGrid/>
        <w:textAlignment w:val="auto"/>
        <w:rPr>
          <w:rFonts w:hint="default" w:ascii="宋体" w:hAnsi="宋体" w:eastAsia="宋体" w:cs="宋体"/>
          <w:sz w:val="30"/>
          <w:szCs w:val="30"/>
          <w:lang w:val="en-US" w:eastAsia="zh-CN"/>
        </w:rPr>
      </w:pPr>
      <w:r>
        <w:rPr>
          <w:rFonts w:hint="eastAsia" w:ascii="宋体" w:hAnsi="宋体" w:eastAsia="宋体" w:cs="宋体"/>
          <w:sz w:val="30"/>
          <w:szCs w:val="30"/>
        </w:rPr>
        <w:fldChar w:fldCharType="begin"/>
      </w:r>
      <w:r>
        <w:rPr>
          <w:rStyle w:val="53"/>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"_Toc96595268"</w:instrText>
      </w:r>
      <w:r>
        <w:rPr>
          <w:rStyle w:val="53"/>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Style w:val="53"/>
          <w:rFonts w:hint="eastAsia" w:ascii="宋体" w:hAnsi="宋体" w:eastAsia="宋体" w:cs="宋体"/>
          <w:sz w:val="30"/>
          <w:szCs w:val="30"/>
        </w:rPr>
        <w:t xml:space="preserve">第三章 </w:t>
      </w:r>
      <w:r>
        <w:rPr>
          <w:rStyle w:val="53"/>
          <w:rFonts w:hint="eastAsia" w:ascii="宋体" w:hAnsi="宋体" w:eastAsia="宋体" w:cs="宋体"/>
          <w:sz w:val="30"/>
          <w:szCs w:val="30"/>
          <w:lang w:eastAsia="zh-CN"/>
        </w:rPr>
        <w:t>投标人</w:t>
      </w:r>
      <w:r>
        <w:rPr>
          <w:rStyle w:val="53"/>
          <w:rFonts w:hint="eastAsia" w:ascii="宋体" w:hAnsi="宋体" w:eastAsia="宋体" w:cs="宋体"/>
          <w:sz w:val="30"/>
          <w:szCs w:val="30"/>
        </w:rPr>
        <w:t>须知</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cs="宋体"/>
          <w:sz w:val="30"/>
          <w:szCs w:val="30"/>
          <w:lang w:val="en-US" w:eastAsia="zh-CN"/>
        </w:rPr>
        <w:t>60</w:t>
      </w:r>
    </w:p>
    <w:p w14:paraId="563C0210">
      <w:pPr>
        <w:pStyle w:val="35"/>
        <w:keepNext w:val="0"/>
        <w:keepLines w:val="0"/>
        <w:pageBreakBefore w:val="0"/>
        <w:widowControl w:val="0"/>
        <w:tabs>
          <w:tab w:val="right" w:leader="dot" w:pos="9060"/>
          <w:tab w:val="clear" w:pos="8296"/>
        </w:tabs>
        <w:kinsoku/>
        <w:wordWrap/>
        <w:overflowPunct/>
        <w:topLinePunct w:val="0"/>
        <w:autoSpaceDE/>
        <w:autoSpaceDN/>
        <w:bidi w:val="0"/>
        <w:adjustRightInd/>
        <w:snapToGrid/>
        <w:ind w:left="460"/>
        <w:textAlignment w:val="auto"/>
        <w:rPr>
          <w:rFonts w:hint="default" w:ascii="宋体" w:hAnsi="宋体" w:eastAsia="宋体" w:cs="宋体"/>
          <w:sz w:val="30"/>
          <w:szCs w:val="30"/>
          <w:lang w:val="en-US" w:eastAsia="zh-CN"/>
        </w:rPr>
      </w:pPr>
      <w:r>
        <w:rPr>
          <w:rFonts w:hint="eastAsia" w:ascii="宋体" w:hAnsi="宋体" w:eastAsia="宋体" w:cs="宋体"/>
          <w:sz w:val="30"/>
          <w:szCs w:val="30"/>
        </w:rPr>
        <w:fldChar w:fldCharType="begin"/>
      </w:r>
      <w:r>
        <w:rPr>
          <w:rStyle w:val="53"/>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"_Toc96595269"</w:instrText>
      </w:r>
      <w:r>
        <w:rPr>
          <w:rStyle w:val="53"/>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Fonts w:hint="eastAsia" w:ascii="宋体" w:hAnsi="宋体" w:eastAsia="宋体" w:cs="宋体"/>
          <w:sz w:val="30"/>
          <w:szCs w:val="30"/>
          <w:lang w:val="en-US" w:eastAsia="zh-CN"/>
        </w:rPr>
        <w:t xml:space="preserve">    </w:t>
      </w:r>
      <w:r>
        <w:rPr>
          <w:rStyle w:val="53"/>
          <w:rFonts w:hint="eastAsia" w:ascii="宋体" w:hAnsi="宋体" w:eastAsia="宋体" w:cs="宋体"/>
          <w:sz w:val="30"/>
          <w:szCs w:val="30"/>
        </w:rPr>
        <w:t>前附表</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cs="宋体"/>
          <w:sz w:val="30"/>
          <w:szCs w:val="30"/>
          <w:lang w:val="en-US" w:eastAsia="zh-CN"/>
        </w:rPr>
        <w:t>60</w:t>
      </w:r>
    </w:p>
    <w:p w14:paraId="16B52F1A">
      <w:pPr>
        <w:pStyle w:val="35"/>
        <w:keepNext w:val="0"/>
        <w:keepLines w:val="0"/>
        <w:pageBreakBefore w:val="0"/>
        <w:widowControl w:val="0"/>
        <w:tabs>
          <w:tab w:val="right" w:leader="dot" w:pos="9060"/>
          <w:tab w:val="clear" w:pos="8296"/>
        </w:tabs>
        <w:kinsoku/>
        <w:wordWrap/>
        <w:overflowPunct/>
        <w:topLinePunct w:val="0"/>
        <w:autoSpaceDE/>
        <w:autoSpaceDN/>
        <w:bidi w:val="0"/>
        <w:adjustRightInd/>
        <w:snapToGrid/>
        <w:ind w:left="460"/>
        <w:textAlignment w:val="auto"/>
        <w:rPr>
          <w:rFonts w:hint="default" w:ascii="宋体" w:hAnsi="宋体" w:eastAsia="宋体" w:cs="宋体"/>
          <w:sz w:val="30"/>
          <w:szCs w:val="30"/>
          <w:lang w:val="en-US" w:eastAsia="zh-CN"/>
        </w:rPr>
      </w:pPr>
      <w:r>
        <w:rPr>
          <w:rFonts w:hint="eastAsia" w:ascii="宋体" w:hAnsi="宋体" w:eastAsia="宋体" w:cs="宋体"/>
          <w:sz w:val="30"/>
          <w:szCs w:val="30"/>
        </w:rPr>
        <w:fldChar w:fldCharType="begin"/>
      </w:r>
      <w:r>
        <w:rPr>
          <w:rStyle w:val="53"/>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"_Toc96595270"</w:instrText>
      </w:r>
      <w:r>
        <w:rPr>
          <w:rStyle w:val="53"/>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Style w:val="53"/>
          <w:rFonts w:hint="eastAsia" w:ascii="宋体" w:hAnsi="宋体" w:eastAsia="宋体" w:cs="宋体"/>
          <w:sz w:val="30"/>
          <w:szCs w:val="30"/>
        </w:rPr>
        <w:t>一、总则</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cs="宋体"/>
          <w:sz w:val="30"/>
          <w:szCs w:val="30"/>
          <w:lang w:val="en-US" w:eastAsia="zh-CN"/>
        </w:rPr>
        <w:t>63</w:t>
      </w:r>
    </w:p>
    <w:p w14:paraId="1C6F6F0D">
      <w:pPr>
        <w:pStyle w:val="35"/>
        <w:keepNext w:val="0"/>
        <w:keepLines w:val="0"/>
        <w:pageBreakBefore w:val="0"/>
        <w:widowControl w:val="0"/>
        <w:tabs>
          <w:tab w:val="right" w:leader="dot" w:pos="9060"/>
          <w:tab w:val="clear" w:pos="8296"/>
        </w:tabs>
        <w:kinsoku/>
        <w:wordWrap/>
        <w:overflowPunct/>
        <w:topLinePunct w:val="0"/>
        <w:autoSpaceDE/>
        <w:autoSpaceDN/>
        <w:bidi w:val="0"/>
        <w:adjustRightInd/>
        <w:snapToGrid/>
        <w:ind w:left="460"/>
        <w:textAlignment w:val="auto"/>
        <w:rPr>
          <w:rFonts w:hint="default" w:ascii="宋体" w:hAnsi="宋体" w:eastAsia="宋体" w:cs="宋体"/>
          <w:sz w:val="30"/>
          <w:szCs w:val="30"/>
          <w:lang w:val="en-US" w:eastAsia="zh-CN"/>
        </w:rPr>
      </w:pPr>
      <w:r>
        <w:rPr>
          <w:rFonts w:hint="eastAsia" w:ascii="宋体" w:hAnsi="宋体" w:eastAsia="宋体" w:cs="宋体"/>
          <w:sz w:val="30"/>
          <w:szCs w:val="30"/>
        </w:rPr>
        <w:fldChar w:fldCharType="begin"/>
      </w:r>
      <w:r>
        <w:rPr>
          <w:rStyle w:val="53"/>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"_Toc96595271"</w:instrText>
      </w:r>
      <w:r>
        <w:rPr>
          <w:rStyle w:val="53"/>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Style w:val="53"/>
          <w:rFonts w:hint="eastAsia" w:ascii="宋体" w:hAnsi="宋体" w:eastAsia="宋体" w:cs="宋体"/>
          <w:sz w:val="30"/>
          <w:szCs w:val="30"/>
        </w:rPr>
        <w:t>二、招标文件</w:t>
      </w:r>
      <w:r>
        <w:rPr>
          <w:rStyle w:val="53"/>
          <w:rFonts w:hint="eastAsia" w:ascii="宋体" w:hAnsi="宋体" w:eastAsia="宋体" w:cs="宋体"/>
          <w:sz w:val="30"/>
          <w:szCs w:val="30"/>
          <w:lang w:eastAsia="zh-CN"/>
        </w:rPr>
        <w:t>的组成、澄清、修改</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cs="宋体"/>
          <w:sz w:val="30"/>
          <w:szCs w:val="30"/>
          <w:lang w:val="en-US" w:eastAsia="zh-CN"/>
        </w:rPr>
        <w:t>67</w:t>
      </w:r>
    </w:p>
    <w:p w14:paraId="692CF32F">
      <w:pPr>
        <w:pStyle w:val="35"/>
        <w:keepNext w:val="0"/>
        <w:keepLines w:val="0"/>
        <w:pageBreakBefore w:val="0"/>
        <w:widowControl w:val="0"/>
        <w:tabs>
          <w:tab w:val="right" w:leader="dot" w:pos="9060"/>
          <w:tab w:val="clear" w:pos="8296"/>
        </w:tabs>
        <w:kinsoku/>
        <w:wordWrap/>
        <w:overflowPunct/>
        <w:topLinePunct w:val="0"/>
        <w:autoSpaceDE/>
        <w:autoSpaceDN/>
        <w:bidi w:val="0"/>
        <w:adjustRightInd/>
        <w:snapToGrid/>
        <w:ind w:left="460"/>
        <w:textAlignment w:val="auto"/>
        <w:rPr>
          <w:rFonts w:hint="default" w:ascii="宋体" w:hAnsi="宋体" w:eastAsia="宋体" w:cs="宋体"/>
          <w:sz w:val="30"/>
          <w:szCs w:val="30"/>
          <w:lang w:val="en-US" w:eastAsia="zh-CN"/>
        </w:rPr>
      </w:pPr>
      <w:r>
        <w:rPr>
          <w:rFonts w:hint="eastAsia" w:ascii="宋体" w:hAnsi="宋体" w:eastAsia="宋体" w:cs="宋体"/>
          <w:sz w:val="30"/>
          <w:szCs w:val="30"/>
        </w:rPr>
        <w:fldChar w:fldCharType="begin"/>
      </w:r>
      <w:r>
        <w:rPr>
          <w:rStyle w:val="53"/>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"_Toc96595272"</w:instrText>
      </w:r>
      <w:r>
        <w:rPr>
          <w:rStyle w:val="53"/>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Style w:val="53"/>
          <w:rFonts w:hint="eastAsia" w:ascii="宋体" w:hAnsi="宋体" w:eastAsia="宋体" w:cs="宋体"/>
          <w:sz w:val="30"/>
          <w:szCs w:val="30"/>
        </w:rPr>
        <w:t>三、投标文件</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cs="宋体"/>
          <w:sz w:val="30"/>
          <w:szCs w:val="30"/>
          <w:lang w:val="en-US" w:eastAsia="zh-CN"/>
        </w:rPr>
        <w:t>67</w:t>
      </w:r>
    </w:p>
    <w:p w14:paraId="623EFE48">
      <w:pPr>
        <w:keepNext w:val="0"/>
        <w:keepLines w:val="0"/>
        <w:pageBreakBefore w:val="0"/>
        <w:widowControl w:val="0"/>
        <w:tabs>
          <w:tab w:val="right" w:leader="dot" w:pos="9060"/>
        </w:tabs>
        <w:kinsoku/>
        <w:wordWrap/>
        <w:overflowPunct/>
        <w:topLinePunct w:val="0"/>
        <w:autoSpaceDE/>
        <w:autoSpaceDN/>
        <w:bidi w:val="0"/>
        <w:adjustRightInd/>
        <w:snapToGrid/>
        <w:ind w:left="0" w:leftChars="0" w:firstLine="480" w:firstLineChars="160"/>
        <w:textAlignment w:val="auto"/>
        <w:rPr>
          <w:rStyle w:val="53"/>
          <w:rFonts w:hint="default" w:ascii="宋体" w:hAnsi="宋体" w:eastAsia="宋体" w:cs="宋体"/>
          <w:sz w:val="30"/>
          <w:szCs w:val="30"/>
          <w:lang w:val="en-US" w:eastAsia="zh-CN"/>
        </w:rPr>
      </w:pPr>
      <w:r>
        <w:rPr>
          <w:rStyle w:val="53"/>
          <w:rFonts w:hint="eastAsia" w:ascii="宋体" w:hAnsi="宋体" w:eastAsia="宋体" w:cs="宋体"/>
          <w:sz w:val="30"/>
          <w:szCs w:val="30"/>
          <w:lang w:eastAsia="zh-CN"/>
        </w:rPr>
        <w:t>四、投标文件的递交</w:t>
      </w:r>
      <w:r>
        <w:rPr>
          <w:rStyle w:val="53"/>
          <w:rFonts w:hint="eastAsia" w:ascii="宋体" w:hAnsi="宋体" w:eastAsia="宋体" w:cs="宋体"/>
          <w:sz w:val="30"/>
          <w:szCs w:val="30"/>
          <w:lang w:val="en-US" w:eastAsia="zh-CN"/>
        </w:rPr>
        <w:tab/>
      </w:r>
      <w:r>
        <w:rPr>
          <w:rStyle w:val="53"/>
          <w:rFonts w:hint="eastAsia" w:ascii="宋体" w:hAnsi="宋体" w:eastAsia="宋体" w:cs="宋体"/>
          <w:sz w:val="30"/>
          <w:szCs w:val="30"/>
          <w:lang w:val="en-US" w:eastAsia="zh-CN"/>
        </w:rPr>
        <w:t>7</w:t>
      </w:r>
      <w:r>
        <w:rPr>
          <w:rStyle w:val="53"/>
          <w:rFonts w:hint="eastAsia" w:cs="宋体"/>
          <w:sz w:val="30"/>
          <w:szCs w:val="30"/>
          <w:lang w:val="en-US" w:eastAsia="zh-CN"/>
        </w:rPr>
        <w:t>0</w:t>
      </w:r>
    </w:p>
    <w:p w14:paraId="2CE13ACE">
      <w:pPr>
        <w:pStyle w:val="35"/>
        <w:keepNext w:val="0"/>
        <w:keepLines w:val="0"/>
        <w:pageBreakBefore w:val="0"/>
        <w:widowControl w:val="0"/>
        <w:tabs>
          <w:tab w:val="right" w:leader="dot" w:pos="9060"/>
          <w:tab w:val="clear" w:pos="8296"/>
        </w:tabs>
        <w:kinsoku/>
        <w:wordWrap/>
        <w:overflowPunct/>
        <w:topLinePunct w:val="0"/>
        <w:autoSpaceDE/>
        <w:autoSpaceDN/>
        <w:bidi w:val="0"/>
        <w:adjustRightInd/>
        <w:snapToGrid/>
        <w:ind w:left="460"/>
        <w:textAlignment w:val="auto"/>
        <w:rPr>
          <w:rFonts w:hint="default" w:ascii="宋体" w:hAnsi="宋体" w:eastAsia="宋体" w:cs="宋体"/>
          <w:sz w:val="30"/>
          <w:szCs w:val="30"/>
          <w:lang w:val="en-US" w:eastAsia="zh-CN"/>
        </w:rPr>
      </w:pPr>
      <w:r>
        <w:rPr>
          <w:rFonts w:hint="eastAsia" w:ascii="宋体" w:hAnsi="宋体" w:eastAsia="宋体" w:cs="宋体"/>
          <w:sz w:val="30"/>
          <w:szCs w:val="30"/>
        </w:rPr>
        <w:fldChar w:fldCharType="begin"/>
      </w:r>
      <w:r>
        <w:rPr>
          <w:rStyle w:val="53"/>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"_Toc96595273"</w:instrText>
      </w:r>
      <w:r>
        <w:rPr>
          <w:rStyle w:val="53"/>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Fonts w:hint="eastAsia" w:ascii="宋体" w:hAnsi="宋体" w:eastAsia="宋体" w:cs="宋体"/>
          <w:sz w:val="30"/>
          <w:szCs w:val="30"/>
          <w:lang w:eastAsia="zh-CN"/>
        </w:rPr>
        <w:t>五</w:t>
      </w:r>
      <w:r>
        <w:rPr>
          <w:rStyle w:val="53"/>
          <w:rFonts w:hint="eastAsia" w:ascii="宋体" w:hAnsi="宋体" w:eastAsia="宋体" w:cs="宋体"/>
          <w:sz w:val="30"/>
          <w:szCs w:val="30"/>
        </w:rPr>
        <w:t>、开标</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cs="宋体"/>
          <w:sz w:val="30"/>
          <w:szCs w:val="30"/>
          <w:lang w:val="en-US" w:eastAsia="zh-CN"/>
        </w:rPr>
        <w:t>71</w:t>
      </w:r>
    </w:p>
    <w:p w14:paraId="7B7B39CC">
      <w:pPr>
        <w:pStyle w:val="35"/>
        <w:keepNext w:val="0"/>
        <w:keepLines w:val="0"/>
        <w:pageBreakBefore w:val="0"/>
        <w:widowControl w:val="0"/>
        <w:tabs>
          <w:tab w:val="right" w:leader="dot" w:pos="9060"/>
          <w:tab w:val="clear" w:pos="8296"/>
        </w:tabs>
        <w:kinsoku/>
        <w:wordWrap/>
        <w:overflowPunct/>
        <w:topLinePunct w:val="0"/>
        <w:autoSpaceDE/>
        <w:autoSpaceDN/>
        <w:bidi w:val="0"/>
        <w:adjustRightInd/>
        <w:snapToGrid/>
        <w:ind w:left="460"/>
        <w:textAlignment w:val="auto"/>
        <w:rPr>
          <w:rFonts w:hint="default" w:ascii="宋体" w:hAnsi="宋体" w:eastAsia="宋体" w:cs="宋体"/>
          <w:sz w:val="30"/>
          <w:szCs w:val="30"/>
          <w:lang w:val="en-US" w:eastAsia="zh-CN"/>
        </w:rPr>
      </w:pPr>
      <w:r>
        <w:rPr>
          <w:rFonts w:hint="eastAsia" w:ascii="宋体" w:hAnsi="宋体" w:eastAsia="宋体" w:cs="宋体"/>
          <w:sz w:val="30"/>
          <w:szCs w:val="30"/>
        </w:rPr>
        <w:fldChar w:fldCharType="begin"/>
      </w:r>
      <w:r>
        <w:rPr>
          <w:rStyle w:val="53"/>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"_Toc96595274"</w:instrText>
      </w:r>
      <w:r>
        <w:rPr>
          <w:rStyle w:val="53"/>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Fonts w:hint="eastAsia" w:ascii="宋体" w:hAnsi="宋体" w:eastAsia="宋体" w:cs="宋体"/>
          <w:sz w:val="30"/>
          <w:szCs w:val="30"/>
          <w:lang w:eastAsia="zh-CN"/>
        </w:rPr>
        <w:t>六</w:t>
      </w:r>
      <w:r>
        <w:rPr>
          <w:rStyle w:val="53"/>
          <w:rFonts w:hint="eastAsia" w:ascii="宋体" w:hAnsi="宋体" w:eastAsia="宋体" w:cs="宋体"/>
          <w:sz w:val="30"/>
          <w:szCs w:val="30"/>
        </w:rPr>
        <w:t>、评标</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cs="宋体"/>
          <w:sz w:val="30"/>
          <w:szCs w:val="30"/>
          <w:lang w:val="en-US" w:eastAsia="zh-CN"/>
        </w:rPr>
        <w:t>73</w:t>
      </w:r>
    </w:p>
    <w:p w14:paraId="591528C1">
      <w:pPr>
        <w:pStyle w:val="35"/>
        <w:keepNext w:val="0"/>
        <w:keepLines w:val="0"/>
        <w:pageBreakBefore w:val="0"/>
        <w:widowControl w:val="0"/>
        <w:tabs>
          <w:tab w:val="right" w:leader="dot" w:pos="9060"/>
          <w:tab w:val="clear" w:pos="8296"/>
        </w:tabs>
        <w:kinsoku/>
        <w:wordWrap/>
        <w:overflowPunct/>
        <w:topLinePunct w:val="0"/>
        <w:autoSpaceDE/>
        <w:autoSpaceDN/>
        <w:bidi w:val="0"/>
        <w:adjustRightInd/>
        <w:snapToGrid/>
        <w:ind w:left="460"/>
        <w:textAlignment w:val="auto"/>
        <w:rPr>
          <w:rFonts w:hint="default" w:ascii="宋体" w:hAnsi="宋体" w:eastAsia="宋体" w:cs="宋体"/>
          <w:sz w:val="30"/>
          <w:szCs w:val="30"/>
          <w:lang w:val="en-US" w:eastAsia="zh-CN"/>
        </w:rPr>
      </w:pPr>
      <w:r>
        <w:rPr>
          <w:rFonts w:hint="eastAsia" w:ascii="宋体" w:hAnsi="宋体" w:eastAsia="宋体" w:cs="宋体"/>
          <w:sz w:val="30"/>
          <w:szCs w:val="30"/>
        </w:rPr>
        <w:fldChar w:fldCharType="begin"/>
      </w:r>
      <w:r>
        <w:rPr>
          <w:rStyle w:val="53"/>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"_Toc96595275"</w:instrText>
      </w:r>
      <w:r>
        <w:rPr>
          <w:rStyle w:val="53"/>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Fonts w:hint="eastAsia" w:ascii="宋体" w:hAnsi="宋体" w:eastAsia="宋体" w:cs="宋体"/>
          <w:sz w:val="30"/>
          <w:szCs w:val="30"/>
          <w:lang w:eastAsia="zh-CN"/>
        </w:rPr>
        <w:t>七</w:t>
      </w:r>
      <w:r>
        <w:rPr>
          <w:rStyle w:val="53"/>
          <w:rFonts w:hint="eastAsia" w:ascii="宋体" w:hAnsi="宋体" w:eastAsia="宋体" w:cs="宋体"/>
          <w:sz w:val="30"/>
          <w:szCs w:val="30"/>
        </w:rPr>
        <w:t>、定标</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cs="宋体"/>
          <w:sz w:val="30"/>
          <w:szCs w:val="30"/>
          <w:lang w:val="en-US" w:eastAsia="zh-CN"/>
        </w:rPr>
        <w:t>76</w:t>
      </w:r>
    </w:p>
    <w:p w14:paraId="339F5979">
      <w:pPr>
        <w:pStyle w:val="35"/>
        <w:keepNext w:val="0"/>
        <w:keepLines w:val="0"/>
        <w:pageBreakBefore w:val="0"/>
        <w:widowControl w:val="0"/>
        <w:tabs>
          <w:tab w:val="right" w:leader="dot" w:pos="9060"/>
          <w:tab w:val="clear" w:pos="8296"/>
        </w:tabs>
        <w:kinsoku/>
        <w:wordWrap/>
        <w:overflowPunct/>
        <w:topLinePunct w:val="0"/>
        <w:autoSpaceDE/>
        <w:autoSpaceDN/>
        <w:bidi w:val="0"/>
        <w:adjustRightInd/>
        <w:snapToGrid/>
        <w:ind w:left="460"/>
        <w:textAlignment w:val="auto"/>
        <w:rPr>
          <w:rFonts w:hint="default" w:ascii="宋体" w:hAnsi="宋体" w:eastAsia="宋体" w:cs="宋体"/>
          <w:sz w:val="30"/>
          <w:szCs w:val="30"/>
          <w:lang w:val="en-US" w:eastAsia="zh-CN"/>
        </w:rPr>
      </w:pPr>
      <w:r>
        <w:rPr>
          <w:rFonts w:hint="eastAsia" w:ascii="宋体" w:hAnsi="宋体" w:eastAsia="宋体" w:cs="宋体"/>
          <w:sz w:val="30"/>
          <w:szCs w:val="30"/>
        </w:rPr>
        <w:fldChar w:fldCharType="begin"/>
      </w:r>
      <w:r>
        <w:rPr>
          <w:rStyle w:val="53"/>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"_Toc96595276"</w:instrText>
      </w:r>
      <w:r>
        <w:rPr>
          <w:rStyle w:val="53"/>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Fonts w:hint="eastAsia" w:ascii="宋体" w:hAnsi="宋体" w:eastAsia="宋体" w:cs="宋体"/>
          <w:sz w:val="30"/>
          <w:szCs w:val="30"/>
          <w:lang w:eastAsia="zh-CN"/>
        </w:rPr>
        <w:t>八</w:t>
      </w:r>
      <w:r>
        <w:rPr>
          <w:rStyle w:val="53"/>
          <w:rFonts w:hint="eastAsia" w:ascii="宋体" w:hAnsi="宋体" w:eastAsia="宋体" w:cs="宋体"/>
          <w:sz w:val="30"/>
          <w:szCs w:val="30"/>
        </w:rPr>
        <w:t>、授予</w:t>
      </w:r>
      <w:r>
        <w:rPr>
          <w:rStyle w:val="53"/>
          <w:rFonts w:hint="eastAsia" w:ascii="宋体" w:hAnsi="宋体" w:eastAsia="宋体" w:cs="宋体"/>
          <w:sz w:val="30"/>
          <w:szCs w:val="30"/>
          <w:lang w:eastAsia="zh-CN"/>
        </w:rPr>
        <w:t>合同</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cs="宋体"/>
          <w:sz w:val="30"/>
          <w:szCs w:val="30"/>
          <w:lang w:val="en-US" w:eastAsia="zh-CN"/>
        </w:rPr>
        <w:t>76</w:t>
      </w:r>
    </w:p>
    <w:p w14:paraId="0AEA17EA">
      <w:pPr>
        <w:pStyle w:val="35"/>
        <w:keepNext w:val="0"/>
        <w:keepLines w:val="0"/>
        <w:pageBreakBefore w:val="0"/>
        <w:widowControl w:val="0"/>
        <w:tabs>
          <w:tab w:val="right" w:leader="dot" w:pos="9060"/>
          <w:tab w:val="clear" w:pos="8296"/>
        </w:tabs>
        <w:kinsoku/>
        <w:wordWrap/>
        <w:overflowPunct/>
        <w:topLinePunct w:val="0"/>
        <w:autoSpaceDE/>
        <w:autoSpaceDN/>
        <w:bidi w:val="0"/>
        <w:adjustRightInd/>
        <w:snapToGrid/>
        <w:ind w:left="460"/>
        <w:textAlignment w:val="auto"/>
        <w:rPr>
          <w:rFonts w:hint="default" w:ascii="宋体" w:hAnsi="宋体" w:eastAsia="宋体" w:cs="宋体"/>
          <w:sz w:val="30"/>
          <w:szCs w:val="30"/>
          <w:lang w:val="en-US" w:eastAsia="zh-CN"/>
        </w:rPr>
      </w:pPr>
      <w:r>
        <w:rPr>
          <w:rFonts w:hint="eastAsia" w:ascii="宋体" w:hAnsi="宋体" w:eastAsia="宋体" w:cs="宋体"/>
          <w:sz w:val="30"/>
          <w:szCs w:val="30"/>
        </w:rPr>
        <w:fldChar w:fldCharType="begin"/>
      </w:r>
      <w:r>
        <w:rPr>
          <w:rStyle w:val="53"/>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"_Toc96595277"</w:instrText>
      </w:r>
      <w:r>
        <w:rPr>
          <w:rStyle w:val="53"/>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Fonts w:hint="eastAsia" w:ascii="宋体" w:hAnsi="宋体" w:eastAsia="宋体" w:cs="宋体"/>
          <w:sz w:val="30"/>
          <w:szCs w:val="30"/>
          <w:lang w:eastAsia="zh-CN"/>
        </w:rPr>
        <w:t>九</w:t>
      </w:r>
      <w:r>
        <w:rPr>
          <w:rStyle w:val="53"/>
          <w:rFonts w:hint="eastAsia" w:ascii="宋体" w:hAnsi="宋体" w:eastAsia="宋体" w:cs="宋体"/>
          <w:sz w:val="30"/>
          <w:szCs w:val="30"/>
        </w:rPr>
        <w:t>、</w:t>
      </w:r>
      <w:r>
        <w:rPr>
          <w:rStyle w:val="53"/>
          <w:rFonts w:hint="eastAsia" w:ascii="宋体" w:hAnsi="宋体" w:eastAsia="宋体" w:cs="宋体"/>
          <w:sz w:val="30"/>
          <w:szCs w:val="30"/>
          <w:lang w:eastAsia="zh-CN"/>
        </w:rPr>
        <w:t>电子交易活动的中止</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cs="宋体"/>
          <w:sz w:val="30"/>
          <w:szCs w:val="30"/>
          <w:lang w:val="en-US" w:eastAsia="zh-CN"/>
        </w:rPr>
        <w:t>77</w:t>
      </w:r>
    </w:p>
    <w:p w14:paraId="42EFF416">
      <w:pPr>
        <w:pStyle w:val="29"/>
        <w:keepNext w:val="0"/>
        <w:keepLines w:val="0"/>
        <w:pageBreakBefore w:val="0"/>
        <w:widowControl w:val="0"/>
        <w:tabs>
          <w:tab w:val="right" w:leader="dot" w:pos="9060"/>
          <w:tab w:val="clear" w:pos="8296"/>
        </w:tabs>
        <w:kinsoku/>
        <w:wordWrap/>
        <w:overflowPunct/>
        <w:topLinePunct w:val="0"/>
        <w:autoSpaceDE/>
        <w:autoSpaceDN/>
        <w:bidi w:val="0"/>
        <w:adjustRightInd/>
        <w:snapToGrid/>
        <w:textAlignment w:val="auto"/>
        <w:rPr>
          <w:rFonts w:hint="default" w:ascii="宋体" w:hAnsi="宋体" w:eastAsia="宋体" w:cs="宋体"/>
          <w:sz w:val="30"/>
          <w:szCs w:val="30"/>
          <w:lang w:val="en-US" w:eastAsia="zh-CN"/>
        </w:rPr>
      </w:pPr>
      <w:r>
        <w:rPr>
          <w:rFonts w:hint="eastAsia" w:ascii="宋体" w:hAnsi="宋体" w:eastAsia="宋体" w:cs="宋体"/>
          <w:sz w:val="30"/>
          <w:szCs w:val="30"/>
        </w:rPr>
        <w:fldChar w:fldCharType="begin"/>
      </w:r>
      <w:r>
        <w:rPr>
          <w:rStyle w:val="53"/>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"_Toc96595278"</w:instrText>
      </w:r>
      <w:r>
        <w:rPr>
          <w:rStyle w:val="53"/>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Style w:val="53"/>
          <w:rFonts w:hint="eastAsia" w:ascii="宋体" w:hAnsi="宋体" w:eastAsia="宋体" w:cs="宋体"/>
          <w:sz w:val="30"/>
          <w:szCs w:val="30"/>
        </w:rPr>
        <w:t>第四章 评标办法及评分标准</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cs="宋体"/>
          <w:sz w:val="30"/>
          <w:szCs w:val="30"/>
          <w:lang w:val="en-US" w:eastAsia="zh-CN"/>
        </w:rPr>
        <w:t>78</w:t>
      </w:r>
    </w:p>
    <w:p w14:paraId="76F8B988">
      <w:pPr>
        <w:pStyle w:val="29"/>
        <w:keepNext w:val="0"/>
        <w:keepLines w:val="0"/>
        <w:pageBreakBefore w:val="0"/>
        <w:widowControl w:val="0"/>
        <w:tabs>
          <w:tab w:val="right" w:leader="dot" w:pos="9060"/>
          <w:tab w:val="clear" w:pos="8296"/>
        </w:tabs>
        <w:kinsoku/>
        <w:wordWrap/>
        <w:overflowPunct/>
        <w:topLinePunct w:val="0"/>
        <w:autoSpaceDE/>
        <w:autoSpaceDN/>
        <w:bidi w:val="0"/>
        <w:adjustRightInd/>
        <w:snapToGrid/>
        <w:textAlignment w:val="auto"/>
        <w:rPr>
          <w:rFonts w:hint="default" w:ascii="宋体" w:hAnsi="宋体" w:eastAsia="宋体" w:cs="宋体"/>
          <w:sz w:val="30"/>
          <w:szCs w:val="30"/>
          <w:lang w:val="en-US" w:eastAsia="zh-CN"/>
        </w:rPr>
      </w:pPr>
      <w:r>
        <w:rPr>
          <w:rFonts w:hint="eastAsia" w:ascii="宋体" w:hAnsi="宋体" w:eastAsia="宋体" w:cs="宋体"/>
          <w:sz w:val="30"/>
          <w:szCs w:val="30"/>
        </w:rPr>
        <w:fldChar w:fldCharType="begin"/>
      </w:r>
      <w:r>
        <w:rPr>
          <w:rStyle w:val="53"/>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"_Toc96595279"</w:instrText>
      </w:r>
      <w:r>
        <w:rPr>
          <w:rStyle w:val="53"/>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Style w:val="53"/>
          <w:rFonts w:hint="eastAsia" w:ascii="宋体" w:hAnsi="宋体" w:eastAsia="宋体" w:cs="宋体"/>
          <w:sz w:val="30"/>
          <w:szCs w:val="30"/>
        </w:rPr>
        <w:t>第五章 合同主要</w:t>
      </w:r>
      <w:r>
        <w:rPr>
          <w:rStyle w:val="53"/>
          <w:rFonts w:hint="eastAsia" w:ascii="宋体" w:hAnsi="宋体" w:cs="宋体"/>
          <w:sz w:val="30"/>
          <w:szCs w:val="30"/>
          <w:lang w:eastAsia="zh-CN"/>
        </w:rPr>
        <w:t>格式及</w:t>
      </w:r>
      <w:r>
        <w:rPr>
          <w:rStyle w:val="53"/>
          <w:rFonts w:hint="eastAsia" w:ascii="宋体" w:hAnsi="宋体" w:eastAsia="宋体" w:cs="宋体"/>
          <w:sz w:val="30"/>
          <w:szCs w:val="30"/>
        </w:rPr>
        <w:t>条款</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cs="宋体"/>
          <w:sz w:val="30"/>
          <w:szCs w:val="30"/>
          <w:lang w:val="en-US" w:eastAsia="zh-CN"/>
        </w:rPr>
        <w:t>81</w:t>
      </w:r>
    </w:p>
    <w:p w14:paraId="59511047">
      <w:pPr>
        <w:pStyle w:val="29"/>
        <w:keepNext w:val="0"/>
        <w:keepLines w:val="0"/>
        <w:pageBreakBefore w:val="0"/>
        <w:widowControl w:val="0"/>
        <w:tabs>
          <w:tab w:val="right" w:leader="dot" w:pos="9060"/>
          <w:tab w:val="clear" w:pos="8296"/>
        </w:tabs>
        <w:kinsoku/>
        <w:wordWrap/>
        <w:overflowPunct/>
        <w:topLinePunct w:val="0"/>
        <w:autoSpaceDE/>
        <w:autoSpaceDN/>
        <w:bidi w:val="0"/>
        <w:adjustRightInd/>
        <w:snapToGrid/>
        <w:textAlignment w:val="auto"/>
        <w:rPr>
          <w:rFonts w:hint="default" w:ascii="宋体" w:hAnsi="宋体" w:eastAsia="宋体" w:cs="宋体"/>
          <w:sz w:val="30"/>
          <w:szCs w:val="30"/>
          <w:lang w:val="en-US" w:eastAsia="zh-CN"/>
        </w:rPr>
      </w:pPr>
      <w:r>
        <w:rPr>
          <w:rFonts w:hint="eastAsia" w:ascii="宋体" w:hAnsi="宋体" w:eastAsia="宋体" w:cs="宋体"/>
          <w:sz w:val="30"/>
          <w:szCs w:val="30"/>
        </w:rPr>
        <w:fldChar w:fldCharType="begin"/>
      </w:r>
      <w:r>
        <w:rPr>
          <w:rStyle w:val="53"/>
          <w:rFonts w:hint="eastAsia" w:ascii="宋体" w:hAnsi="宋体" w:eastAsia="宋体" w:cs="宋体"/>
          <w:sz w:val="30"/>
          <w:szCs w:val="30"/>
        </w:rPr>
        <w:instrText xml:space="preserve"> </w:instrText>
      </w:r>
      <w:r>
        <w:rPr>
          <w:rFonts w:hint="eastAsia" w:ascii="宋体" w:hAnsi="宋体" w:eastAsia="宋体" w:cs="宋体"/>
          <w:sz w:val="30"/>
          <w:szCs w:val="30"/>
        </w:rPr>
        <w:instrText xml:space="preserve">HYPERLINK \l "_Toc96595280"</w:instrText>
      </w:r>
      <w:r>
        <w:rPr>
          <w:rStyle w:val="53"/>
          <w:rFonts w:hint="eastAsia" w:ascii="宋体" w:hAnsi="宋体" w:eastAsia="宋体" w:cs="宋体"/>
          <w:sz w:val="30"/>
          <w:szCs w:val="30"/>
        </w:rPr>
        <w:instrText xml:space="preserve"> </w:instrText>
      </w:r>
      <w:r>
        <w:rPr>
          <w:rFonts w:hint="eastAsia" w:ascii="宋体" w:hAnsi="宋体" w:eastAsia="宋体" w:cs="宋体"/>
          <w:sz w:val="30"/>
          <w:szCs w:val="30"/>
        </w:rPr>
        <w:fldChar w:fldCharType="separate"/>
      </w:r>
      <w:r>
        <w:rPr>
          <w:rStyle w:val="53"/>
          <w:rFonts w:hint="eastAsia" w:ascii="宋体" w:hAnsi="宋体" w:eastAsia="宋体" w:cs="宋体"/>
          <w:sz w:val="30"/>
          <w:szCs w:val="30"/>
        </w:rPr>
        <w:t>第六章 投标文件格式</w:t>
      </w:r>
      <w:r>
        <w:rPr>
          <w:rFonts w:hint="eastAsia" w:ascii="宋体" w:hAnsi="宋体" w:eastAsia="宋体" w:cs="宋体"/>
          <w:sz w:val="30"/>
          <w:szCs w:val="30"/>
        </w:rPr>
        <w:tab/>
      </w:r>
      <w:r>
        <w:rPr>
          <w:rFonts w:hint="eastAsia" w:ascii="宋体" w:hAnsi="宋体" w:eastAsia="宋体" w:cs="宋体"/>
          <w:sz w:val="30"/>
          <w:szCs w:val="30"/>
        </w:rPr>
        <w:fldChar w:fldCharType="end"/>
      </w:r>
      <w:r>
        <w:rPr>
          <w:rFonts w:hint="eastAsia" w:ascii="宋体" w:hAnsi="宋体" w:cs="宋体"/>
          <w:sz w:val="30"/>
          <w:szCs w:val="30"/>
          <w:lang w:val="en-US" w:eastAsia="zh-CN"/>
        </w:rPr>
        <w:t>85</w:t>
      </w:r>
    </w:p>
    <w:p w14:paraId="22197CBF">
      <w:pPr>
        <w:pStyle w:val="35"/>
        <w:keepNext w:val="0"/>
        <w:keepLines w:val="0"/>
        <w:pageBreakBefore w:val="0"/>
        <w:widowControl w:val="0"/>
        <w:tabs>
          <w:tab w:val="right" w:leader="dot" w:pos="9060"/>
          <w:tab w:val="clear" w:pos="8296"/>
        </w:tabs>
        <w:kinsoku/>
        <w:wordWrap/>
        <w:overflowPunct/>
        <w:topLinePunct w:val="0"/>
        <w:autoSpaceDE/>
        <w:autoSpaceDN/>
        <w:bidi w:val="0"/>
        <w:adjustRightInd/>
        <w:snapToGrid/>
        <w:ind w:left="480"/>
        <w:jc w:val="center"/>
        <w:textAlignment w:val="auto"/>
        <w:rPr>
          <w:rFonts w:hint="eastAsia" w:ascii="宋体" w:hAnsi="宋体" w:eastAsia="宋体" w:cs="宋体"/>
        </w:rPr>
      </w:pPr>
      <w:r>
        <w:rPr>
          <w:rFonts w:hint="eastAsia" w:ascii="宋体" w:hAnsi="宋体" w:eastAsia="宋体" w:cs="宋体"/>
          <w:b/>
          <w:bCs/>
          <w:lang w:val="zh-CN"/>
        </w:rPr>
        <w:fldChar w:fldCharType="end"/>
      </w:r>
      <w:r>
        <w:rPr>
          <w:rFonts w:hint="eastAsia" w:ascii="宋体" w:hAnsi="宋体" w:eastAsia="宋体" w:cs="宋体"/>
        </w:rPr>
        <w:fldChar w:fldCharType="end"/>
      </w:r>
    </w:p>
    <w:p w14:paraId="6EFD8685">
      <w:pPr>
        <w:pStyle w:val="3"/>
        <w:rPr>
          <w:rFonts w:hint="eastAsia" w:ascii="宋体" w:hAnsi="宋体" w:eastAsia="宋体" w:cs="宋体"/>
        </w:rPr>
        <w:sectPr>
          <w:footerReference r:id="rId11" w:type="default"/>
          <w:pgSz w:w="11906" w:h="16838"/>
          <w:pgMar w:top="1247" w:right="1247" w:bottom="1247" w:left="1247" w:header="170" w:footer="567" w:gutter="0"/>
          <w:pgNumType w:start="1"/>
          <w:cols w:space="720" w:num="1"/>
          <w:docGrid w:linePitch="381" w:charSpace="0"/>
        </w:sectPr>
      </w:pPr>
      <w:bookmarkStart w:id="1" w:name="_Toc4470"/>
      <w:bookmarkStart w:id="2" w:name="_Toc12653"/>
      <w:bookmarkStart w:id="3" w:name="_Toc452457411"/>
    </w:p>
    <w:p w14:paraId="059AB525">
      <w:pPr>
        <w:pStyle w:val="3"/>
        <w:spacing w:line="480" w:lineRule="auto"/>
        <w:rPr>
          <w:rFonts w:hint="eastAsia" w:ascii="宋体" w:hAnsi="宋体" w:eastAsia="宋体" w:cs="宋体"/>
          <w:highlight w:val="none"/>
        </w:rPr>
      </w:pPr>
      <w:r>
        <w:rPr>
          <w:rFonts w:hint="eastAsia" w:ascii="宋体" w:hAnsi="宋体" w:eastAsia="宋体" w:cs="宋体"/>
          <w:highlight w:val="none"/>
        </w:rPr>
        <w:t>电子交易须知</w:t>
      </w:r>
    </w:p>
    <w:p w14:paraId="3578B4B6">
      <w:pPr>
        <w:spacing w:line="480" w:lineRule="auto"/>
        <w:ind w:firstLine="458"/>
        <w:jc w:val="left"/>
        <w:rPr>
          <w:rFonts w:hint="eastAsia" w:ascii="宋体" w:hAnsi="宋体" w:eastAsia="宋体" w:cs="宋体"/>
          <w:b/>
          <w:bCs/>
          <w:spacing w:val="-6"/>
          <w:sz w:val="24"/>
          <w:szCs w:val="24"/>
          <w:highlight w:val="none"/>
        </w:rPr>
      </w:pPr>
      <w:r>
        <w:rPr>
          <w:rFonts w:hint="eastAsia" w:ascii="宋体" w:hAnsi="宋体" w:eastAsia="宋体" w:cs="宋体"/>
          <w:b/>
          <w:bCs/>
          <w:spacing w:val="-6"/>
          <w:sz w:val="24"/>
          <w:szCs w:val="24"/>
          <w:highlight w:val="none"/>
        </w:rPr>
        <w:t>1、本次采购采用电子交易方式，电子交易平台为“政府采购云平台（www.zcygov.cn）”。供应商参与本项目电子交易活动前，应注册成为政府采购云平台正式供应商。编制电子</w:t>
      </w:r>
      <w:r>
        <w:rPr>
          <w:rFonts w:hint="eastAsia" w:cs="宋体"/>
          <w:b/>
          <w:bCs/>
          <w:spacing w:val="-6"/>
          <w:sz w:val="24"/>
          <w:szCs w:val="24"/>
          <w:highlight w:val="none"/>
          <w:lang w:eastAsia="zh-CN"/>
        </w:rPr>
        <w:t>投标</w:t>
      </w:r>
      <w:r>
        <w:rPr>
          <w:rFonts w:hint="eastAsia" w:ascii="宋体" w:hAnsi="宋体" w:eastAsia="宋体" w:cs="宋体"/>
          <w:b/>
          <w:bCs/>
          <w:spacing w:val="-6"/>
          <w:sz w:val="24"/>
          <w:szCs w:val="24"/>
          <w:highlight w:val="none"/>
        </w:rPr>
        <w:t>文件前需申领CA证书并绑定帐号。供应商应充分考虑完成平台注册、申领CA证书等所需的时间。</w:t>
      </w:r>
    </w:p>
    <w:p w14:paraId="52427EF0">
      <w:pPr>
        <w:spacing w:line="480" w:lineRule="auto"/>
        <w:ind w:firstLine="458"/>
        <w:jc w:val="left"/>
        <w:rPr>
          <w:rFonts w:hint="eastAsia" w:ascii="宋体" w:hAnsi="宋体" w:eastAsia="宋体" w:cs="宋体"/>
          <w:b/>
          <w:bCs/>
          <w:spacing w:val="-6"/>
          <w:sz w:val="24"/>
          <w:szCs w:val="24"/>
          <w:highlight w:val="none"/>
        </w:rPr>
      </w:pPr>
      <w:r>
        <w:rPr>
          <w:rFonts w:hint="eastAsia" w:ascii="宋体" w:hAnsi="宋体" w:eastAsia="宋体" w:cs="宋体"/>
          <w:b/>
          <w:bCs/>
          <w:spacing w:val="-6"/>
          <w:sz w:val="24"/>
          <w:szCs w:val="24"/>
          <w:highlight w:val="none"/>
        </w:rPr>
        <w:t>2、供应商编制电子</w:t>
      </w:r>
      <w:r>
        <w:rPr>
          <w:rFonts w:hint="eastAsia" w:cs="宋体"/>
          <w:b/>
          <w:bCs/>
          <w:spacing w:val="-6"/>
          <w:sz w:val="24"/>
          <w:szCs w:val="24"/>
          <w:highlight w:val="none"/>
          <w:lang w:eastAsia="zh-CN"/>
        </w:rPr>
        <w:t>投标</w:t>
      </w:r>
      <w:r>
        <w:rPr>
          <w:rFonts w:hint="eastAsia" w:ascii="宋体" w:hAnsi="宋体" w:eastAsia="宋体" w:cs="宋体"/>
          <w:b/>
          <w:bCs/>
          <w:spacing w:val="-6"/>
          <w:sz w:val="24"/>
          <w:szCs w:val="24"/>
          <w:highlight w:val="none"/>
        </w:rPr>
        <w:t>文件应安装“电子交易客户端”软件，并按照本</w:t>
      </w:r>
      <w:r>
        <w:rPr>
          <w:rFonts w:hint="eastAsia" w:cs="宋体"/>
          <w:b/>
          <w:bCs/>
          <w:spacing w:val="-6"/>
          <w:sz w:val="24"/>
          <w:szCs w:val="24"/>
          <w:highlight w:val="none"/>
          <w:lang w:eastAsia="zh-CN"/>
        </w:rPr>
        <w:t>招标</w:t>
      </w:r>
      <w:r>
        <w:rPr>
          <w:rFonts w:hint="eastAsia" w:ascii="宋体" w:hAnsi="宋体" w:eastAsia="宋体" w:cs="宋体"/>
          <w:b/>
          <w:bCs/>
          <w:spacing w:val="-6"/>
          <w:sz w:val="24"/>
          <w:szCs w:val="24"/>
          <w:highlight w:val="none"/>
        </w:rPr>
        <w:t>文件和电子交易平台的要求编制并加密</w:t>
      </w:r>
      <w:r>
        <w:rPr>
          <w:rFonts w:hint="eastAsia" w:cs="宋体"/>
          <w:b/>
          <w:bCs/>
          <w:spacing w:val="-6"/>
          <w:sz w:val="24"/>
          <w:szCs w:val="24"/>
          <w:highlight w:val="none"/>
          <w:lang w:eastAsia="zh-CN"/>
        </w:rPr>
        <w:t>投标</w:t>
      </w:r>
      <w:r>
        <w:rPr>
          <w:rFonts w:hint="eastAsia" w:ascii="宋体" w:hAnsi="宋体" w:eastAsia="宋体" w:cs="宋体"/>
          <w:b/>
          <w:bCs/>
          <w:spacing w:val="-6"/>
          <w:sz w:val="24"/>
          <w:szCs w:val="24"/>
          <w:highlight w:val="none"/>
        </w:rPr>
        <w:t>文件。未按规定加密的</w:t>
      </w:r>
      <w:r>
        <w:rPr>
          <w:rFonts w:hint="eastAsia" w:cs="宋体"/>
          <w:b/>
          <w:bCs/>
          <w:spacing w:val="-6"/>
          <w:sz w:val="24"/>
          <w:szCs w:val="24"/>
          <w:highlight w:val="none"/>
          <w:lang w:eastAsia="zh-CN"/>
        </w:rPr>
        <w:t>投标</w:t>
      </w:r>
      <w:r>
        <w:rPr>
          <w:rFonts w:hint="eastAsia" w:ascii="宋体" w:hAnsi="宋体" w:eastAsia="宋体" w:cs="宋体"/>
          <w:b/>
          <w:bCs/>
          <w:spacing w:val="-6"/>
          <w:sz w:val="24"/>
          <w:szCs w:val="24"/>
          <w:highlight w:val="none"/>
        </w:rPr>
        <w:t>文件，将被电子交易平台拒收。“电子交易客户端”请供应商自行前往“浙江政府采购网（zfcg.czt.zj.gov.cn）—下载专区—电子交易客户端”版块获取。</w:t>
      </w:r>
    </w:p>
    <w:p w14:paraId="0E08BB73">
      <w:pPr>
        <w:spacing w:line="480" w:lineRule="auto"/>
        <w:ind w:firstLine="458"/>
        <w:jc w:val="left"/>
        <w:rPr>
          <w:rFonts w:hint="eastAsia" w:ascii="宋体" w:hAnsi="宋体" w:eastAsia="宋体" w:cs="宋体"/>
          <w:b/>
          <w:bCs/>
          <w:spacing w:val="-6"/>
          <w:sz w:val="24"/>
          <w:szCs w:val="24"/>
          <w:highlight w:val="none"/>
        </w:rPr>
      </w:pPr>
      <w:r>
        <w:rPr>
          <w:rFonts w:hint="eastAsia" w:ascii="宋体" w:hAnsi="宋体" w:eastAsia="宋体" w:cs="宋体"/>
          <w:b/>
          <w:bCs/>
          <w:spacing w:val="-6"/>
          <w:sz w:val="24"/>
          <w:szCs w:val="24"/>
          <w:highlight w:val="none"/>
        </w:rPr>
        <w:t>3、供应商应当在递交</w:t>
      </w:r>
      <w:r>
        <w:rPr>
          <w:rFonts w:hint="eastAsia" w:cs="宋体"/>
          <w:b/>
          <w:bCs/>
          <w:spacing w:val="-6"/>
          <w:sz w:val="24"/>
          <w:szCs w:val="24"/>
          <w:highlight w:val="none"/>
          <w:lang w:eastAsia="zh-CN"/>
        </w:rPr>
        <w:t>投标</w:t>
      </w:r>
      <w:r>
        <w:rPr>
          <w:rFonts w:hint="eastAsia" w:ascii="宋体" w:hAnsi="宋体" w:eastAsia="宋体" w:cs="宋体"/>
          <w:b/>
          <w:bCs/>
          <w:spacing w:val="-6"/>
          <w:sz w:val="24"/>
          <w:szCs w:val="24"/>
          <w:highlight w:val="none"/>
        </w:rPr>
        <w:t>文件截止时间前，将“电子交易客户端”生成的“电子加密</w:t>
      </w:r>
      <w:r>
        <w:rPr>
          <w:rFonts w:hint="eastAsia" w:cs="宋体"/>
          <w:b/>
          <w:bCs/>
          <w:spacing w:val="-6"/>
          <w:sz w:val="24"/>
          <w:szCs w:val="24"/>
          <w:highlight w:val="none"/>
          <w:lang w:eastAsia="zh-CN"/>
        </w:rPr>
        <w:t>投标</w:t>
      </w:r>
      <w:r>
        <w:rPr>
          <w:rFonts w:hint="eastAsia" w:ascii="宋体" w:hAnsi="宋体" w:eastAsia="宋体" w:cs="宋体"/>
          <w:b/>
          <w:bCs/>
          <w:spacing w:val="-6"/>
          <w:sz w:val="24"/>
          <w:szCs w:val="24"/>
          <w:highlight w:val="none"/>
        </w:rPr>
        <w:t>文件”上传电子交易平台。</w:t>
      </w:r>
    </w:p>
    <w:p w14:paraId="61EC816F">
      <w:pPr>
        <w:spacing w:line="480" w:lineRule="auto"/>
        <w:ind w:firstLine="458"/>
        <w:jc w:val="left"/>
        <w:rPr>
          <w:rFonts w:hint="eastAsia" w:ascii="宋体" w:hAnsi="宋体" w:eastAsia="宋体" w:cs="宋体"/>
          <w:b/>
          <w:bCs/>
          <w:spacing w:val="-6"/>
          <w:sz w:val="24"/>
          <w:szCs w:val="24"/>
          <w:highlight w:val="none"/>
        </w:rPr>
      </w:pPr>
      <w:r>
        <w:rPr>
          <w:rFonts w:hint="eastAsia" w:ascii="宋体" w:hAnsi="宋体" w:eastAsia="宋体" w:cs="宋体"/>
          <w:b/>
          <w:bCs/>
          <w:spacing w:val="-6"/>
          <w:sz w:val="24"/>
          <w:szCs w:val="24"/>
          <w:highlight w:val="none"/>
        </w:rPr>
        <w:t>4、“电子备份</w:t>
      </w:r>
      <w:r>
        <w:rPr>
          <w:rFonts w:hint="eastAsia" w:cs="宋体"/>
          <w:b/>
          <w:bCs/>
          <w:spacing w:val="-6"/>
          <w:sz w:val="24"/>
          <w:szCs w:val="24"/>
          <w:highlight w:val="none"/>
          <w:lang w:eastAsia="zh-CN"/>
        </w:rPr>
        <w:t>投标</w:t>
      </w:r>
      <w:r>
        <w:rPr>
          <w:rFonts w:hint="eastAsia" w:ascii="宋体" w:hAnsi="宋体" w:eastAsia="宋体" w:cs="宋体"/>
          <w:b/>
          <w:bCs/>
          <w:spacing w:val="-6"/>
          <w:sz w:val="24"/>
          <w:szCs w:val="24"/>
          <w:highlight w:val="none"/>
        </w:rPr>
        <w:t>文件”是指与“电子加密</w:t>
      </w:r>
      <w:r>
        <w:rPr>
          <w:rFonts w:hint="eastAsia" w:cs="宋体"/>
          <w:b/>
          <w:bCs/>
          <w:spacing w:val="-6"/>
          <w:sz w:val="24"/>
          <w:szCs w:val="24"/>
          <w:highlight w:val="none"/>
          <w:lang w:eastAsia="zh-CN"/>
        </w:rPr>
        <w:t>投标</w:t>
      </w:r>
      <w:r>
        <w:rPr>
          <w:rFonts w:hint="eastAsia" w:ascii="宋体" w:hAnsi="宋体" w:eastAsia="宋体" w:cs="宋体"/>
          <w:b/>
          <w:bCs/>
          <w:spacing w:val="-6"/>
          <w:sz w:val="24"/>
          <w:szCs w:val="24"/>
          <w:highlight w:val="none"/>
        </w:rPr>
        <w:t>文件”同时生成的数据电文形式的</w:t>
      </w:r>
      <w:r>
        <w:rPr>
          <w:rFonts w:hint="eastAsia" w:cs="宋体"/>
          <w:b/>
          <w:bCs/>
          <w:spacing w:val="-6"/>
          <w:sz w:val="24"/>
          <w:szCs w:val="24"/>
          <w:highlight w:val="none"/>
          <w:lang w:eastAsia="zh-CN"/>
        </w:rPr>
        <w:t>投标文件</w:t>
      </w:r>
      <w:r>
        <w:rPr>
          <w:rFonts w:hint="eastAsia" w:ascii="宋体" w:hAnsi="宋体" w:eastAsia="宋体" w:cs="宋体"/>
          <w:b/>
          <w:bCs/>
          <w:spacing w:val="-6"/>
          <w:sz w:val="24"/>
          <w:szCs w:val="24"/>
          <w:highlight w:val="none"/>
        </w:rPr>
        <w:t>。供应商在电子交易平台上传“电子加密</w:t>
      </w:r>
      <w:r>
        <w:rPr>
          <w:rFonts w:hint="eastAsia" w:cs="宋体"/>
          <w:b/>
          <w:bCs/>
          <w:spacing w:val="-6"/>
          <w:sz w:val="24"/>
          <w:szCs w:val="24"/>
          <w:highlight w:val="none"/>
          <w:lang w:eastAsia="zh-CN"/>
        </w:rPr>
        <w:t>投标文件</w:t>
      </w:r>
      <w:r>
        <w:rPr>
          <w:rFonts w:hint="eastAsia" w:ascii="宋体" w:hAnsi="宋体" w:eastAsia="宋体" w:cs="宋体"/>
          <w:b/>
          <w:bCs/>
          <w:spacing w:val="-6"/>
          <w:sz w:val="24"/>
          <w:szCs w:val="24"/>
          <w:highlight w:val="none"/>
        </w:rPr>
        <w:t>”后，还可以邮寄或送达的方式在递交</w:t>
      </w:r>
      <w:r>
        <w:rPr>
          <w:rFonts w:hint="eastAsia" w:cs="宋体"/>
          <w:b/>
          <w:bCs/>
          <w:spacing w:val="-6"/>
          <w:sz w:val="24"/>
          <w:szCs w:val="24"/>
          <w:highlight w:val="none"/>
          <w:lang w:eastAsia="zh-CN"/>
        </w:rPr>
        <w:t>投标文件</w:t>
      </w:r>
      <w:r>
        <w:rPr>
          <w:rFonts w:hint="eastAsia" w:ascii="宋体" w:hAnsi="宋体" w:eastAsia="宋体" w:cs="宋体"/>
          <w:b/>
          <w:bCs/>
          <w:spacing w:val="-6"/>
          <w:sz w:val="24"/>
          <w:szCs w:val="24"/>
          <w:highlight w:val="none"/>
        </w:rPr>
        <w:t>截止时间前提交以介质（U盘）存储的“电子备份</w:t>
      </w:r>
      <w:r>
        <w:rPr>
          <w:rFonts w:hint="eastAsia" w:cs="宋体"/>
          <w:b/>
          <w:bCs/>
          <w:spacing w:val="-6"/>
          <w:sz w:val="24"/>
          <w:szCs w:val="24"/>
          <w:highlight w:val="none"/>
          <w:lang w:eastAsia="zh-CN"/>
        </w:rPr>
        <w:t>投标文件</w:t>
      </w:r>
      <w:r>
        <w:rPr>
          <w:rFonts w:hint="eastAsia" w:ascii="宋体" w:hAnsi="宋体" w:eastAsia="宋体" w:cs="宋体"/>
          <w:b/>
          <w:bCs/>
          <w:spacing w:val="-6"/>
          <w:sz w:val="24"/>
          <w:szCs w:val="24"/>
          <w:highlight w:val="none"/>
        </w:rPr>
        <w:t>”。“电子备份</w:t>
      </w:r>
      <w:r>
        <w:rPr>
          <w:rFonts w:hint="eastAsia" w:cs="宋体"/>
          <w:b/>
          <w:bCs/>
          <w:spacing w:val="-6"/>
          <w:sz w:val="24"/>
          <w:szCs w:val="24"/>
          <w:highlight w:val="none"/>
          <w:lang w:eastAsia="zh-CN"/>
        </w:rPr>
        <w:t>投标文件</w:t>
      </w:r>
      <w:r>
        <w:rPr>
          <w:rFonts w:hint="eastAsia" w:ascii="宋体" w:hAnsi="宋体" w:eastAsia="宋体" w:cs="宋体"/>
          <w:b/>
          <w:bCs/>
          <w:spacing w:val="-6"/>
          <w:sz w:val="24"/>
          <w:szCs w:val="24"/>
          <w:highlight w:val="none"/>
        </w:rPr>
        <w:t>”应当密封包装并在包装上标注采购项目编号、项目名称、</w:t>
      </w:r>
      <w:r>
        <w:rPr>
          <w:rFonts w:hint="eastAsia" w:cs="宋体"/>
          <w:b/>
          <w:bCs/>
          <w:spacing w:val="-6"/>
          <w:sz w:val="24"/>
          <w:szCs w:val="24"/>
          <w:highlight w:val="none"/>
          <w:lang w:eastAsia="zh-CN"/>
        </w:rPr>
        <w:t>投标人</w:t>
      </w:r>
      <w:r>
        <w:rPr>
          <w:rFonts w:hint="eastAsia" w:ascii="宋体" w:hAnsi="宋体" w:eastAsia="宋体" w:cs="宋体"/>
          <w:b/>
          <w:bCs/>
          <w:spacing w:val="-6"/>
          <w:sz w:val="24"/>
          <w:szCs w:val="24"/>
          <w:highlight w:val="none"/>
        </w:rPr>
        <w:t>名称等并加盖公章。</w:t>
      </w:r>
    </w:p>
    <w:p w14:paraId="19909126">
      <w:pPr>
        <w:spacing w:line="480" w:lineRule="auto"/>
        <w:ind w:firstLine="458"/>
        <w:jc w:val="left"/>
        <w:rPr>
          <w:rFonts w:hint="eastAsia" w:ascii="宋体" w:hAnsi="宋体" w:eastAsia="宋体" w:cs="宋体"/>
          <w:b/>
          <w:bCs/>
          <w:spacing w:val="-6"/>
          <w:sz w:val="24"/>
          <w:szCs w:val="24"/>
          <w:highlight w:val="none"/>
        </w:rPr>
      </w:pPr>
      <w:r>
        <w:rPr>
          <w:rFonts w:hint="eastAsia" w:ascii="宋体" w:hAnsi="宋体" w:eastAsia="宋体" w:cs="宋体"/>
          <w:b/>
          <w:bCs/>
          <w:spacing w:val="-6"/>
          <w:sz w:val="24"/>
          <w:szCs w:val="24"/>
          <w:highlight w:val="none"/>
        </w:rPr>
        <w:t>5、通过“政府采购云平台”递交的“电子加密</w:t>
      </w:r>
      <w:r>
        <w:rPr>
          <w:rFonts w:hint="eastAsia" w:cs="宋体"/>
          <w:b/>
          <w:bCs/>
          <w:spacing w:val="-6"/>
          <w:sz w:val="24"/>
          <w:szCs w:val="24"/>
          <w:highlight w:val="none"/>
          <w:lang w:eastAsia="zh-CN"/>
        </w:rPr>
        <w:t>投标文件</w:t>
      </w:r>
      <w:r>
        <w:rPr>
          <w:rFonts w:hint="eastAsia" w:ascii="宋体" w:hAnsi="宋体" w:eastAsia="宋体" w:cs="宋体"/>
          <w:b/>
          <w:bCs/>
          <w:spacing w:val="-6"/>
          <w:sz w:val="24"/>
          <w:szCs w:val="24"/>
          <w:highlight w:val="none"/>
        </w:rPr>
        <w:t>”如无法按时解密，供应商提交了“电子备份</w:t>
      </w:r>
      <w:r>
        <w:rPr>
          <w:rFonts w:hint="eastAsia" w:cs="宋体"/>
          <w:b/>
          <w:bCs/>
          <w:spacing w:val="-6"/>
          <w:sz w:val="24"/>
          <w:szCs w:val="24"/>
          <w:highlight w:val="none"/>
          <w:lang w:eastAsia="zh-CN"/>
        </w:rPr>
        <w:t>投标文件</w:t>
      </w:r>
      <w:r>
        <w:rPr>
          <w:rFonts w:hint="eastAsia" w:ascii="宋体" w:hAnsi="宋体" w:eastAsia="宋体" w:cs="宋体"/>
          <w:b/>
          <w:bCs/>
          <w:spacing w:val="-6"/>
          <w:sz w:val="24"/>
          <w:szCs w:val="24"/>
          <w:highlight w:val="none"/>
        </w:rPr>
        <w:t>”的，则由采购组织机构按“政府采购云平台”操作规范将“电子备份</w:t>
      </w:r>
      <w:r>
        <w:rPr>
          <w:rFonts w:hint="eastAsia" w:cs="宋体"/>
          <w:b/>
          <w:bCs/>
          <w:spacing w:val="-6"/>
          <w:sz w:val="24"/>
          <w:szCs w:val="24"/>
          <w:highlight w:val="none"/>
          <w:lang w:eastAsia="zh-CN"/>
        </w:rPr>
        <w:t>投标文件</w:t>
      </w:r>
      <w:r>
        <w:rPr>
          <w:rFonts w:hint="eastAsia" w:ascii="宋体" w:hAnsi="宋体" w:eastAsia="宋体" w:cs="宋体"/>
          <w:b/>
          <w:bCs/>
          <w:spacing w:val="-6"/>
          <w:sz w:val="24"/>
          <w:szCs w:val="24"/>
          <w:highlight w:val="none"/>
        </w:rPr>
        <w:t>”上传至“政府采购云平台”，上传成功后，以“电子备份</w:t>
      </w:r>
      <w:r>
        <w:rPr>
          <w:rFonts w:hint="eastAsia" w:cs="宋体"/>
          <w:b/>
          <w:bCs/>
          <w:spacing w:val="-6"/>
          <w:sz w:val="24"/>
          <w:szCs w:val="24"/>
          <w:highlight w:val="none"/>
          <w:lang w:eastAsia="zh-CN"/>
        </w:rPr>
        <w:t>投标文件</w:t>
      </w:r>
      <w:r>
        <w:rPr>
          <w:rFonts w:hint="eastAsia" w:ascii="宋体" w:hAnsi="宋体" w:eastAsia="宋体" w:cs="宋体"/>
          <w:b/>
          <w:bCs/>
          <w:spacing w:val="-6"/>
          <w:sz w:val="24"/>
          <w:szCs w:val="24"/>
          <w:highlight w:val="none"/>
        </w:rPr>
        <w:t>”参与评审，“电子加密</w:t>
      </w:r>
      <w:r>
        <w:rPr>
          <w:rFonts w:hint="eastAsia" w:cs="宋体"/>
          <w:b/>
          <w:bCs/>
          <w:spacing w:val="-6"/>
          <w:sz w:val="24"/>
          <w:szCs w:val="24"/>
          <w:highlight w:val="none"/>
          <w:lang w:eastAsia="zh-CN"/>
        </w:rPr>
        <w:t>投标文件</w:t>
      </w:r>
      <w:r>
        <w:rPr>
          <w:rFonts w:hint="eastAsia" w:ascii="宋体" w:hAnsi="宋体" w:eastAsia="宋体" w:cs="宋体"/>
          <w:b/>
          <w:bCs/>
          <w:spacing w:val="-6"/>
          <w:sz w:val="24"/>
          <w:szCs w:val="24"/>
          <w:highlight w:val="none"/>
        </w:rPr>
        <w:t>”自动失效。</w:t>
      </w:r>
      <w:r>
        <w:rPr>
          <w:rFonts w:hint="eastAsia" w:cs="宋体"/>
          <w:b/>
          <w:bCs/>
          <w:spacing w:val="-6"/>
          <w:sz w:val="24"/>
          <w:szCs w:val="24"/>
          <w:highlight w:val="none"/>
          <w:lang w:eastAsia="zh-CN"/>
        </w:rPr>
        <w:t>招标人、招标代理机构不强制或变相强制投标人提交</w:t>
      </w:r>
      <w:r>
        <w:rPr>
          <w:rFonts w:hint="eastAsia" w:ascii="宋体" w:hAnsi="宋体" w:eastAsia="宋体" w:cs="宋体"/>
          <w:b/>
          <w:bCs/>
          <w:spacing w:val="-6"/>
          <w:sz w:val="24"/>
          <w:szCs w:val="24"/>
          <w:highlight w:val="none"/>
        </w:rPr>
        <w:t>“电子备份</w:t>
      </w:r>
      <w:r>
        <w:rPr>
          <w:rFonts w:hint="eastAsia" w:cs="宋体"/>
          <w:b/>
          <w:bCs/>
          <w:spacing w:val="-6"/>
          <w:sz w:val="24"/>
          <w:szCs w:val="24"/>
          <w:highlight w:val="none"/>
          <w:lang w:eastAsia="zh-CN"/>
        </w:rPr>
        <w:t>投标文件</w:t>
      </w:r>
      <w:r>
        <w:rPr>
          <w:rFonts w:hint="eastAsia" w:ascii="宋体" w:hAnsi="宋体" w:eastAsia="宋体" w:cs="宋体"/>
          <w:b/>
          <w:bCs/>
          <w:spacing w:val="-6"/>
          <w:sz w:val="24"/>
          <w:szCs w:val="24"/>
          <w:highlight w:val="none"/>
        </w:rPr>
        <w:t>”。未上传“电子加密</w:t>
      </w:r>
      <w:r>
        <w:rPr>
          <w:rFonts w:hint="eastAsia" w:cs="宋体"/>
          <w:b/>
          <w:bCs/>
          <w:spacing w:val="-6"/>
          <w:sz w:val="24"/>
          <w:szCs w:val="24"/>
          <w:highlight w:val="none"/>
          <w:lang w:eastAsia="zh-CN"/>
        </w:rPr>
        <w:t>投标文件</w:t>
      </w:r>
      <w:r>
        <w:rPr>
          <w:rFonts w:hint="eastAsia" w:ascii="宋体" w:hAnsi="宋体" w:eastAsia="宋体" w:cs="宋体"/>
          <w:b/>
          <w:bCs/>
          <w:spacing w:val="-6"/>
          <w:sz w:val="24"/>
          <w:szCs w:val="24"/>
          <w:highlight w:val="none"/>
        </w:rPr>
        <w:t>”，仅提交“电子备份</w:t>
      </w:r>
      <w:r>
        <w:rPr>
          <w:rFonts w:hint="eastAsia" w:cs="宋体"/>
          <w:b/>
          <w:bCs/>
          <w:spacing w:val="-6"/>
          <w:sz w:val="24"/>
          <w:szCs w:val="24"/>
          <w:highlight w:val="none"/>
          <w:lang w:eastAsia="zh-CN"/>
        </w:rPr>
        <w:t>投标文件</w:t>
      </w:r>
      <w:r>
        <w:rPr>
          <w:rFonts w:hint="eastAsia" w:ascii="宋体" w:hAnsi="宋体" w:eastAsia="宋体" w:cs="宋体"/>
          <w:b/>
          <w:bCs/>
          <w:spacing w:val="-6"/>
          <w:sz w:val="24"/>
          <w:szCs w:val="24"/>
          <w:highlight w:val="none"/>
        </w:rPr>
        <w:t>”的，</w:t>
      </w:r>
      <w:r>
        <w:rPr>
          <w:rFonts w:hint="eastAsia" w:cs="宋体"/>
          <w:b/>
          <w:bCs/>
          <w:spacing w:val="-6"/>
          <w:sz w:val="24"/>
          <w:szCs w:val="24"/>
          <w:highlight w:val="none"/>
          <w:lang w:eastAsia="zh-CN"/>
        </w:rPr>
        <w:t>投标</w:t>
      </w:r>
      <w:r>
        <w:rPr>
          <w:rFonts w:hint="eastAsia" w:ascii="宋体" w:hAnsi="宋体" w:eastAsia="宋体" w:cs="宋体"/>
          <w:b/>
          <w:bCs/>
          <w:spacing w:val="-6"/>
          <w:sz w:val="24"/>
          <w:szCs w:val="24"/>
          <w:highlight w:val="none"/>
        </w:rPr>
        <w:t>无效。</w:t>
      </w:r>
    </w:p>
    <w:p w14:paraId="3A0A4AEA">
      <w:pPr>
        <w:spacing w:line="480" w:lineRule="auto"/>
        <w:ind w:firstLine="458"/>
        <w:jc w:val="left"/>
        <w:rPr>
          <w:rFonts w:hint="eastAsia" w:cs="宋体"/>
          <w:sz w:val="24"/>
          <w:szCs w:val="24"/>
          <w:lang w:val="en-US" w:eastAsia="zh-CN"/>
        </w:rPr>
      </w:pPr>
      <w:r>
        <w:rPr>
          <w:rFonts w:hint="eastAsia" w:ascii="宋体" w:hAnsi="宋体" w:eastAsia="宋体" w:cs="宋体"/>
          <w:b/>
          <w:bCs/>
          <w:spacing w:val="-6"/>
          <w:sz w:val="24"/>
          <w:szCs w:val="24"/>
          <w:highlight w:val="none"/>
        </w:rPr>
        <w:t>6、供应商在参加电子交易过程中,可登录电子交易平台“帮助文档”版面获取《电子交易管理操作指南》，或致电平台</w:t>
      </w:r>
      <w:r>
        <w:rPr>
          <w:rFonts w:hint="eastAsia" w:cs="宋体"/>
          <w:b/>
          <w:bCs/>
          <w:spacing w:val="-6"/>
          <w:sz w:val="24"/>
          <w:szCs w:val="24"/>
          <w:highlight w:val="none"/>
          <w:lang w:val="en-US" w:eastAsia="zh-CN"/>
        </w:rPr>
        <w:t>95763</w:t>
      </w:r>
      <w:r>
        <w:rPr>
          <w:rFonts w:hint="eastAsia" w:ascii="宋体" w:hAnsi="宋体" w:eastAsia="宋体" w:cs="宋体"/>
          <w:b/>
          <w:bCs/>
          <w:spacing w:val="-6"/>
          <w:sz w:val="24"/>
          <w:szCs w:val="24"/>
          <w:highlight w:val="none"/>
        </w:rPr>
        <w:t>获取相关服务支持。</w:t>
      </w:r>
      <w:r>
        <w:rPr>
          <w:rFonts w:hint="eastAsia" w:cs="宋体"/>
          <w:sz w:val="24"/>
          <w:szCs w:val="24"/>
          <w:lang w:val="en-US" w:eastAsia="zh-CN"/>
        </w:rPr>
        <w:t xml:space="preserve"> </w:t>
      </w:r>
    </w:p>
    <w:p w14:paraId="43806610">
      <w:pPr>
        <w:pStyle w:val="3"/>
        <w:numPr>
          <w:ilvl w:val="0"/>
          <w:numId w:val="4"/>
        </w:numPr>
        <w:rPr>
          <w:rFonts w:hint="eastAsia" w:ascii="宋体" w:hAnsi="宋体" w:eastAsia="宋体" w:cs="宋体"/>
        </w:rPr>
        <w:sectPr>
          <w:footerReference r:id="rId12" w:type="default"/>
          <w:pgSz w:w="11906" w:h="16838"/>
          <w:pgMar w:top="1247" w:right="1247" w:bottom="1247" w:left="1247" w:header="170" w:footer="567" w:gutter="0"/>
          <w:pgNumType w:start="1"/>
          <w:cols w:space="720" w:num="1"/>
          <w:docGrid w:linePitch="381" w:charSpace="0"/>
        </w:sectPr>
      </w:pPr>
    </w:p>
    <w:p w14:paraId="0F2DFA4D">
      <w:pPr>
        <w:pStyle w:val="3"/>
        <w:numPr>
          <w:ilvl w:val="0"/>
          <w:numId w:val="0"/>
        </w:numPr>
        <w:jc w:val="center"/>
        <w:rPr>
          <w:rFonts w:hint="eastAsia" w:ascii="宋体" w:hAnsi="宋体" w:eastAsia="宋体" w:cs="宋体"/>
          <w:sz w:val="36"/>
          <w:szCs w:val="36"/>
        </w:rPr>
      </w:pPr>
      <w:r>
        <w:rPr>
          <w:rFonts w:hint="eastAsia" w:cs="宋体"/>
          <w:sz w:val="36"/>
          <w:szCs w:val="36"/>
          <w:lang w:eastAsia="zh-CN"/>
        </w:rPr>
        <w:t>第一章</w:t>
      </w:r>
      <w:r>
        <w:rPr>
          <w:rFonts w:hint="eastAsia" w:cs="宋体"/>
          <w:sz w:val="36"/>
          <w:szCs w:val="36"/>
          <w:lang w:val="en-US" w:eastAsia="zh-CN"/>
        </w:rPr>
        <w:t xml:space="preserve">  </w:t>
      </w:r>
      <w:r>
        <w:rPr>
          <w:rFonts w:hint="eastAsia" w:ascii="宋体" w:hAnsi="宋体" w:eastAsia="宋体" w:cs="宋体"/>
          <w:sz w:val="36"/>
          <w:szCs w:val="36"/>
        </w:rPr>
        <w:t>招标公告</w:t>
      </w:r>
      <w:bookmarkEnd w:id="1"/>
      <w:bookmarkEnd w:id="2"/>
    </w:p>
    <w:tbl>
      <w:tblPr>
        <w:tblStyle w:val="46"/>
        <w:tblW w:w="1006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5"/>
      </w:tblGrid>
      <w:tr w14:paraId="28615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10065" w:type="dxa"/>
            <w:vAlign w:val="top"/>
          </w:tcPr>
          <w:p w14:paraId="56CE5CAE">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lang w:eastAsia="zh-CN"/>
              </w:rPr>
            </w:pPr>
            <w:r>
              <w:rPr>
                <w:rFonts w:hint="eastAsia" w:ascii="宋体" w:hAnsi="宋体" w:eastAsia="宋体" w:cs="宋体"/>
                <w:lang w:eastAsia="zh-CN"/>
              </w:rPr>
              <w:t>项目概况</w:t>
            </w:r>
          </w:p>
          <w:p w14:paraId="176C5C9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宋体"/>
                <w:lang w:val="en-US" w:eastAsia="zh-CN"/>
              </w:rPr>
            </w:pPr>
            <w:r>
              <w:rPr>
                <w:rFonts w:hint="eastAsia" w:ascii="宋体" w:hAnsi="宋体" w:eastAsia="宋体" w:cs="宋体"/>
                <w:b w:val="0"/>
                <w:bCs/>
                <w:color w:val="auto"/>
                <w:kern w:val="0"/>
                <w:sz w:val="24"/>
                <w:szCs w:val="24"/>
                <w:lang w:val="en-US" w:eastAsia="zh-CN" w:bidi="ar-SA"/>
              </w:rPr>
              <w:t>湖州学院新建工程体育场馆设备设施（包括职工之家）</w:t>
            </w:r>
            <w:r>
              <w:rPr>
                <w:rFonts w:hint="eastAsia" w:cs="宋体"/>
                <w:b w:val="0"/>
                <w:bCs/>
                <w:color w:val="auto"/>
                <w:kern w:val="0"/>
                <w:sz w:val="24"/>
                <w:szCs w:val="24"/>
                <w:lang w:val="en-US" w:eastAsia="zh-CN" w:bidi="ar-SA"/>
              </w:rPr>
              <w:t>采购</w:t>
            </w:r>
            <w:r>
              <w:rPr>
                <w:rFonts w:hint="eastAsia" w:ascii="宋体" w:hAnsi="宋体" w:eastAsia="宋体" w:cs="宋体"/>
                <w:b w:val="0"/>
                <w:bCs/>
                <w:color w:val="auto"/>
                <w:kern w:val="0"/>
                <w:sz w:val="24"/>
                <w:szCs w:val="24"/>
                <w:lang w:val="en-US" w:eastAsia="zh-CN" w:bidi="ar-SA"/>
              </w:rPr>
              <w:t>项目</w:t>
            </w:r>
            <w:r>
              <w:rPr>
                <w:rFonts w:hint="eastAsia" w:ascii="宋体" w:hAnsi="宋体" w:eastAsia="宋体" w:cs="宋体"/>
                <w:lang w:eastAsia="zh-CN"/>
              </w:rPr>
              <w:t>的潜在投标人应在浙江政府采购网</w:t>
            </w:r>
            <w:r>
              <w:rPr>
                <w:rFonts w:hint="eastAsia" w:ascii="宋体" w:hAnsi="宋体" w:eastAsia="宋体" w:cs="宋体"/>
              </w:rPr>
              <w:t>（http://zfcg.czt.zj.gov.cn）</w:t>
            </w:r>
            <w:r>
              <w:rPr>
                <w:rFonts w:hint="eastAsia" w:ascii="宋体" w:hAnsi="宋体" w:eastAsia="宋体" w:cs="宋体"/>
                <w:lang w:eastAsia="zh-CN"/>
              </w:rPr>
              <w:t>获取（下载）招标文件，</w:t>
            </w:r>
            <w:r>
              <w:rPr>
                <w:rFonts w:hint="eastAsia" w:ascii="宋体" w:hAnsi="宋体" w:eastAsia="宋体" w:cs="宋体"/>
              </w:rPr>
              <w:t>并于202</w:t>
            </w:r>
            <w:r>
              <w:rPr>
                <w:rFonts w:hint="eastAsia" w:cs="宋体"/>
                <w:lang w:val="en-US" w:eastAsia="zh-CN"/>
              </w:rPr>
              <w:t>5</w:t>
            </w:r>
            <w:r>
              <w:rPr>
                <w:rFonts w:hint="eastAsia" w:ascii="宋体" w:hAnsi="宋体" w:eastAsia="宋体" w:cs="宋体"/>
              </w:rPr>
              <w:t>年</w:t>
            </w:r>
            <w:r>
              <w:rPr>
                <w:rFonts w:hint="eastAsia" w:cs="宋体"/>
                <w:lang w:val="en-US" w:eastAsia="zh-CN"/>
              </w:rPr>
              <w:t>2</w:t>
            </w:r>
            <w:r>
              <w:rPr>
                <w:rFonts w:hint="eastAsia" w:ascii="宋体" w:hAnsi="宋体" w:eastAsia="宋体" w:cs="宋体"/>
              </w:rPr>
              <w:t>月</w:t>
            </w:r>
            <w:r>
              <w:rPr>
                <w:rFonts w:hint="eastAsia" w:cs="宋体"/>
                <w:lang w:val="en-US" w:eastAsia="zh-CN"/>
              </w:rPr>
              <w:t>7</w:t>
            </w:r>
            <w:r>
              <w:rPr>
                <w:rFonts w:hint="eastAsia" w:ascii="宋体" w:hAnsi="宋体" w:eastAsia="宋体" w:cs="宋体"/>
                <w:lang w:val="en-US" w:eastAsia="zh-CN"/>
              </w:rPr>
              <w:t>日</w:t>
            </w:r>
            <w:r>
              <w:rPr>
                <w:rFonts w:hint="eastAsia" w:cs="宋体"/>
                <w:lang w:val="en-US" w:eastAsia="zh-CN"/>
              </w:rPr>
              <w:t>上午09</w:t>
            </w:r>
            <w:r>
              <w:rPr>
                <w:rFonts w:hint="eastAsia" w:ascii="宋体" w:hAnsi="宋体" w:eastAsia="宋体" w:cs="宋体"/>
              </w:rPr>
              <w:t>:</w:t>
            </w:r>
            <w:r>
              <w:rPr>
                <w:rFonts w:hint="eastAsia" w:cs="宋体"/>
                <w:lang w:val="en-US" w:eastAsia="zh-CN"/>
              </w:rPr>
              <w:t>00</w:t>
            </w:r>
            <w:r>
              <w:rPr>
                <w:rFonts w:hint="eastAsia" w:ascii="宋体" w:hAnsi="宋体" w:eastAsia="宋体" w:cs="宋体"/>
              </w:rPr>
              <w:t>（北京时间）前</w:t>
            </w:r>
            <w:r>
              <w:rPr>
                <w:rFonts w:hint="eastAsia" w:cs="宋体"/>
                <w:lang w:eastAsia="zh-CN"/>
              </w:rPr>
              <w:t>提</w:t>
            </w:r>
            <w:r>
              <w:rPr>
                <w:rFonts w:hint="eastAsia" w:ascii="宋体" w:hAnsi="宋体" w:eastAsia="宋体" w:cs="宋体"/>
              </w:rPr>
              <w:t>交（上传）</w:t>
            </w:r>
            <w:r>
              <w:rPr>
                <w:rFonts w:hint="eastAsia" w:ascii="宋体" w:hAnsi="宋体" w:eastAsia="宋体" w:cs="宋体"/>
                <w:lang w:eastAsia="zh-CN"/>
              </w:rPr>
              <w:t>投标</w:t>
            </w:r>
            <w:r>
              <w:rPr>
                <w:rFonts w:hint="eastAsia" w:ascii="宋体" w:hAnsi="宋体" w:eastAsia="宋体" w:cs="宋体"/>
              </w:rPr>
              <w:t>文件</w:t>
            </w:r>
            <w:r>
              <w:rPr>
                <w:rFonts w:hint="eastAsia" w:ascii="宋体" w:hAnsi="宋体" w:eastAsia="宋体" w:cs="宋体"/>
                <w:lang w:eastAsia="zh-CN"/>
              </w:rPr>
              <w:t>。</w:t>
            </w:r>
          </w:p>
        </w:tc>
      </w:tr>
    </w:tbl>
    <w:p w14:paraId="0BBF06C7">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b/>
          <w:bCs/>
        </w:rPr>
      </w:pPr>
      <w:bookmarkStart w:id="4" w:name="_Toc29586"/>
      <w:r>
        <w:rPr>
          <w:rFonts w:hint="eastAsia"/>
          <w:b/>
          <w:bCs/>
          <w:lang w:eastAsia="zh-CN"/>
        </w:rPr>
        <w:t>一、项目</w:t>
      </w:r>
      <w:bookmarkEnd w:id="4"/>
      <w:r>
        <w:rPr>
          <w:rFonts w:hint="eastAsia"/>
          <w:b/>
          <w:bCs/>
          <w:lang w:eastAsia="zh-CN"/>
        </w:rPr>
        <w:t>基本情况</w:t>
      </w:r>
    </w:p>
    <w:p w14:paraId="6AA55B2A">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default"/>
          <w:lang w:val="en-US" w:eastAsia="zh-CN"/>
        </w:rPr>
      </w:pPr>
      <w:r>
        <w:rPr>
          <w:rFonts w:hint="eastAsia"/>
        </w:rPr>
        <w:t>项目</w:t>
      </w:r>
      <w:r>
        <w:rPr>
          <w:rFonts w:hint="eastAsia"/>
          <w:lang w:eastAsia="zh-CN"/>
        </w:rPr>
        <w:t>编号</w:t>
      </w:r>
      <w:r>
        <w:rPr>
          <w:rFonts w:hint="eastAsia"/>
        </w:rPr>
        <w:t>：</w:t>
      </w:r>
      <w:r>
        <w:rPr>
          <w:rFonts w:hint="eastAsia"/>
          <w:lang w:val="en-US" w:eastAsia="zh-CN"/>
        </w:rPr>
        <w:t>ZJZX-HZXY-2024002</w:t>
      </w:r>
    </w:p>
    <w:p w14:paraId="7D855447">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宋体"/>
          <w:lang w:val="en-US" w:eastAsia="zh-CN"/>
        </w:rPr>
      </w:pPr>
      <w:bookmarkStart w:id="5" w:name="_Toc11203"/>
      <w:r>
        <w:rPr>
          <w:rFonts w:hint="eastAsia"/>
          <w:lang w:eastAsia="zh-CN"/>
        </w:rPr>
        <w:t>项目名称</w:t>
      </w:r>
      <w:r>
        <w:rPr>
          <w:rFonts w:hint="eastAsia"/>
        </w:rPr>
        <w:t>：</w:t>
      </w:r>
      <w:bookmarkEnd w:id="5"/>
      <w:r>
        <w:rPr>
          <w:rFonts w:hint="eastAsia" w:ascii="宋体" w:hAnsi="宋体" w:eastAsia="宋体" w:cs="宋体"/>
          <w:b w:val="0"/>
          <w:bCs/>
          <w:color w:val="auto"/>
          <w:kern w:val="0"/>
          <w:sz w:val="24"/>
          <w:szCs w:val="24"/>
          <w:lang w:val="en-US" w:eastAsia="zh-CN" w:bidi="ar-SA"/>
        </w:rPr>
        <w:t>湖州学院新建工程体育场馆设备设施（包括职工之家）项目</w:t>
      </w:r>
    </w:p>
    <w:p w14:paraId="3EA804E7">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宋体"/>
          <w:highlight w:val="none"/>
          <w:lang w:val="en-US" w:eastAsia="zh-CN"/>
        </w:rPr>
      </w:pPr>
      <w:r>
        <w:rPr>
          <w:rFonts w:hint="eastAsia"/>
          <w:lang w:eastAsia="zh-CN"/>
        </w:rPr>
        <w:t>预算金额（元）：</w:t>
      </w:r>
      <w:r>
        <w:rPr>
          <w:rFonts w:hint="eastAsia"/>
          <w:color w:val="auto"/>
          <w:lang w:val="en-US" w:eastAsia="zh-CN"/>
        </w:rPr>
        <w:t>6014890</w:t>
      </w:r>
    </w:p>
    <w:p w14:paraId="7456B21B">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highlight w:val="yellow"/>
          <w:lang w:val="en-US" w:eastAsia="zh-CN"/>
        </w:rPr>
      </w:pPr>
      <w:r>
        <w:rPr>
          <w:rFonts w:hint="eastAsia"/>
          <w:highlight w:val="none"/>
          <w:lang w:eastAsia="zh-CN"/>
        </w:rPr>
        <w:t>最高限价（元）：</w:t>
      </w:r>
      <w:r>
        <w:rPr>
          <w:rFonts w:hint="eastAsia"/>
          <w:color w:val="auto"/>
          <w:lang w:val="en-US" w:eastAsia="zh-CN"/>
        </w:rPr>
        <w:t>6014890</w:t>
      </w:r>
    </w:p>
    <w:p w14:paraId="162BF5C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eastAsia="zh-CN"/>
        </w:rPr>
      </w:pPr>
      <w:r>
        <w:rPr>
          <w:rFonts w:hint="eastAsia"/>
          <w:lang w:eastAsia="zh-CN"/>
        </w:rPr>
        <w:t>采购需求：</w:t>
      </w:r>
    </w:p>
    <w:p w14:paraId="2AF6E0C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eastAsia="zh-CN"/>
        </w:rPr>
      </w:pPr>
      <w:r>
        <w:rPr>
          <w:rFonts w:hint="eastAsia"/>
          <w:lang w:eastAsia="zh-CN"/>
        </w:rPr>
        <w:t>标项一：</w:t>
      </w:r>
    </w:p>
    <w:p w14:paraId="3A0D6A2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eastAsia="zh-CN"/>
        </w:rPr>
      </w:pPr>
      <w:r>
        <w:rPr>
          <w:rFonts w:hint="eastAsia"/>
          <w:lang w:eastAsia="zh-CN"/>
        </w:rPr>
        <w:t>标项名称：</w:t>
      </w:r>
      <w:r>
        <w:rPr>
          <w:rFonts w:hint="eastAsia" w:cs="宋体"/>
          <w:b w:val="0"/>
          <w:bCs/>
          <w:color w:val="auto"/>
          <w:kern w:val="0"/>
          <w:sz w:val="24"/>
          <w:szCs w:val="24"/>
          <w:lang w:val="en-US" w:eastAsia="zh-CN" w:bidi="ar-SA"/>
        </w:rPr>
        <w:t>篮球、乒乓球、排球、网球、羽毛球馆设备</w:t>
      </w:r>
    </w:p>
    <w:p w14:paraId="1A38ADE5">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eastAsia="zh-CN"/>
        </w:rPr>
      </w:pPr>
      <w:r>
        <w:rPr>
          <w:rFonts w:hint="eastAsia"/>
          <w:lang w:eastAsia="zh-CN"/>
        </w:rPr>
        <w:t>数量：</w:t>
      </w:r>
      <w:r>
        <w:rPr>
          <w:rFonts w:hint="eastAsia"/>
          <w:lang w:val="en-US" w:eastAsia="zh-CN"/>
        </w:rPr>
        <w:t>1</w:t>
      </w:r>
    </w:p>
    <w:p w14:paraId="177E752B">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eastAsia="zh-CN"/>
        </w:rPr>
      </w:pPr>
      <w:r>
        <w:rPr>
          <w:rFonts w:hint="eastAsia"/>
          <w:lang w:eastAsia="zh-CN"/>
        </w:rPr>
        <w:t>预算金额（元）：</w:t>
      </w:r>
      <w:r>
        <w:rPr>
          <w:rFonts w:hint="eastAsia"/>
          <w:lang w:val="en-US" w:eastAsia="zh-CN"/>
        </w:rPr>
        <w:t>1195853</w:t>
      </w:r>
    </w:p>
    <w:p w14:paraId="4074862E">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宋体"/>
          <w:lang w:val="en-US" w:eastAsia="zh-CN"/>
        </w:rPr>
      </w:pPr>
      <w:r>
        <w:rPr>
          <w:rFonts w:hint="eastAsia"/>
          <w:lang w:eastAsia="zh-CN"/>
        </w:rPr>
        <w:t>最高限价（元）：</w:t>
      </w:r>
      <w:r>
        <w:rPr>
          <w:rFonts w:hint="eastAsia"/>
          <w:lang w:val="en-US" w:eastAsia="zh-CN"/>
        </w:rPr>
        <w:t>1195853</w:t>
      </w:r>
    </w:p>
    <w:p w14:paraId="0A9174A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rPr>
        <w:t>简要规格描述或项目基本概况介绍、用途：详见</w:t>
      </w:r>
      <w:r>
        <w:rPr>
          <w:rFonts w:hint="eastAsia"/>
          <w:lang w:eastAsia="zh-CN"/>
        </w:rPr>
        <w:t>“</w:t>
      </w:r>
      <w:r>
        <w:rPr>
          <w:rFonts w:hint="eastAsia"/>
        </w:rPr>
        <w:t>招标文件</w:t>
      </w:r>
      <w:r>
        <w:rPr>
          <w:rFonts w:hint="eastAsia"/>
          <w:lang w:val="en-US" w:eastAsia="zh-CN"/>
        </w:rPr>
        <w:t>-采购需求</w:t>
      </w:r>
      <w:r>
        <w:rPr>
          <w:rFonts w:hint="eastAsia"/>
          <w:lang w:eastAsia="zh-CN"/>
        </w:rPr>
        <w:t>”</w:t>
      </w:r>
    </w:p>
    <w:p w14:paraId="63344FEB">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eastAsia="zh-CN"/>
        </w:rPr>
      </w:pPr>
      <w:r>
        <w:rPr>
          <w:rFonts w:hint="eastAsia"/>
          <w:lang w:eastAsia="zh-CN"/>
        </w:rPr>
        <w:t>备注：</w:t>
      </w:r>
      <w:r>
        <w:rPr>
          <w:rFonts w:hint="eastAsia"/>
          <w:lang w:val="en-US" w:eastAsia="zh-CN"/>
        </w:rPr>
        <w:t>/</w:t>
      </w:r>
    </w:p>
    <w:p w14:paraId="7E4D73B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eastAsia="zh-CN"/>
        </w:rPr>
      </w:pPr>
      <w:r>
        <w:rPr>
          <w:rFonts w:hint="eastAsia"/>
          <w:lang w:eastAsia="zh-CN"/>
        </w:rPr>
        <w:t>标项二：</w:t>
      </w:r>
    </w:p>
    <w:p w14:paraId="4BFEBD6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eastAsia="zh-CN"/>
        </w:rPr>
      </w:pPr>
      <w:r>
        <w:rPr>
          <w:rFonts w:hint="eastAsia"/>
          <w:lang w:eastAsia="zh-CN"/>
        </w:rPr>
        <w:t>标项名称：</w:t>
      </w:r>
      <w:r>
        <w:rPr>
          <w:rFonts w:hint="eastAsia" w:ascii="宋体" w:hAnsi="宋体" w:eastAsia="宋体" w:cs="宋体"/>
          <w:b w:val="0"/>
          <w:bCs/>
          <w:color w:val="auto"/>
          <w:kern w:val="0"/>
          <w:sz w:val="24"/>
          <w:szCs w:val="24"/>
          <w:lang w:val="en-US" w:eastAsia="zh-CN" w:bidi="ar-SA"/>
        </w:rPr>
        <w:t>瑜伽馆、武术馆、跆拳道馆、体操馆、健美操馆、力量馆与职工之家设备</w:t>
      </w:r>
    </w:p>
    <w:p w14:paraId="199EC595">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eastAsia="zh-CN"/>
        </w:rPr>
      </w:pPr>
      <w:r>
        <w:rPr>
          <w:rFonts w:hint="eastAsia"/>
          <w:lang w:eastAsia="zh-CN"/>
        </w:rPr>
        <w:t>数量：</w:t>
      </w:r>
      <w:r>
        <w:rPr>
          <w:rFonts w:hint="eastAsia"/>
          <w:lang w:val="en-US" w:eastAsia="zh-CN"/>
        </w:rPr>
        <w:t>1</w:t>
      </w:r>
    </w:p>
    <w:p w14:paraId="4CC130BA">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eastAsia="zh-CN"/>
        </w:rPr>
      </w:pPr>
      <w:r>
        <w:rPr>
          <w:rFonts w:hint="eastAsia"/>
          <w:lang w:eastAsia="zh-CN"/>
        </w:rPr>
        <w:t>预算金额（元）：</w:t>
      </w:r>
      <w:r>
        <w:rPr>
          <w:rFonts w:hint="eastAsia" w:ascii="仿宋" w:hAnsi="仿宋" w:eastAsia="仿宋" w:cs="仿宋"/>
          <w:b w:val="0"/>
          <w:bCs w:val="0"/>
          <w:kern w:val="0"/>
          <w:sz w:val="24"/>
          <w:szCs w:val="24"/>
          <w:lang w:val="en-US" w:eastAsia="zh-CN" w:bidi="ar-SA"/>
        </w:rPr>
        <w:t>2722774</w:t>
      </w:r>
    </w:p>
    <w:p w14:paraId="73CA26A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宋体"/>
          <w:lang w:eastAsia="zh-CN"/>
        </w:rPr>
      </w:pPr>
      <w:r>
        <w:rPr>
          <w:rFonts w:hint="eastAsia"/>
          <w:lang w:eastAsia="zh-CN"/>
        </w:rPr>
        <w:t>最高限价（元）：</w:t>
      </w:r>
      <w:r>
        <w:rPr>
          <w:rFonts w:hint="eastAsia" w:ascii="仿宋" w:hAnsi="仿宋" w:eastAsia="仿宋" w:cs="仿宋"/>
          <w:b w:val="0"/>
          <w:bCs w:val="0"/>
          <w:kern w:val="0"/>
          <w:sz w:val="24"/>
          <w:szCs w:val="24"/>
          <w:lang w:val="en-US" w:eastAsia="zh-CN" w:bidi="ar-SA"/>
        </w:rPr>
        <w:t>2722774</w:t>
      </w:r>
    </w:p>
    <w:p w14:paraId="5213F30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rPr>
        <w:t>简要规格描述或项目基本概况介绍、用途：详见</w:t>
      </w:r>
      <w:r>
        <w:rPr>
          <w:rFonts w:hint="eastAsia"/>
          <w:lang w:eastAsia="zh-CN"/>
        </w:rPr>
        <w:t>“</w:t>
      </w:r>
      <w:r>
        <w:rPr>
          <w:rFonts w:hint="eastAsia"/>
        </w:rPr>
        <w:t>招标文件</w:t>
      </w:r>
      <w:r>
        <w:rPr>
          <w:rFonts w:hint="eastAsia"/>
          <w:lang w:val="en-US" w:eastAsia="zh-CN"/>
        </w:rPr>
        <w:t>-采购需求</w:t>
      </w:r>
      <w:r>
        <w:rPr>
          <w:rFonts w:hint="eastAsia"/>
          <w:lang w:eastAsia="zh-CN"/>
        </w:rPr>
        <w:t>”</w:t>
      </w:r>
    </w:p>
    <w:p w14:paraId="5FAB22CF">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eastAsia="zh-CN"/>
        </w:rPr>
      </w:pPr>
      <w:r>
        <w:rPr>
          <w:rFonts w:hint="eastAsia"/>
          <w:lang w:eastAsia="zh-CN"/>
        </w:rPr>
        <w:t>备注：</w:t>
      </w:r>
      <w:r>
        <w:rPr>
          <w:rFonts w:hint="eastAsia"/>
          <w:lang w:val="en-US" w:eastAsia="zh-CN"/>
        </w:rPr>
        <w:t>/</w:t>
      </w:r>
    </w:p>
    <w:p w14:paraId="595D316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eastAsia="zh-CN"/>
        </w:rPr>
      </w:pPr>
      <w:r>
        <w:rPr>
          <w:rFonts w:hint="eastAsia"/>
          <w:lang w:eastAsia="zh-CN"/>
        </w:rPr>
        <w:t>标项三：</w:t>
      </w:r>
    </w:p>
    <w:p w14:paraId="7FA9F5E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eastAsia="zh-CN"/>
        </w:rPr>
      </w:pPr>
      <w:r>
        <w:rPr>
          <w:rFonts w:hint="eastAsia"/>
          <w:lang w:eastAsia="zh-CN"/>
        </w:rPr>
        <w:t>标项名称：</w:t>
      </w:r>
      <w:r>
        <w:rPr>
          <w:rFonts w:hint="eastAsia" w:ascii="宋体" w:hAnsi="宋体" w:eastAsia="宋体" w:cs="宋体"/>
          <w:b w:val="0"/>
          <w:bCs w:val="0"/>
          <w:kern w:val="0"/>
          <w:sz w:val="24"/>
          <w:szCs w:val="24"/>
          <w:lang w:val="en-US" w:eastAsia="zh-CN" w:bidi="ar-SA"/>
        </w:rPr>
        <w:t>田径场设备</w:t>
      </w:r>
    </w:p>
    <w:p w14:paraId="4D88AB05">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eastAsia="zh-CN"/>
        </w:rPr>
      </w:pPr>
      <w:r>
        <w:rPr>
          <w:rFonts w:hint="eastAsia"/>
          <w:lang w:eastAsia="zh-CN"/>
        </w:rPr>
        <w:t>数量：</w:t>
      </w:r>
      <w:r>
        <w:rPr>
          <w:rFonts w:hint="eastAsia"/>
          <w:lang w:val="en-US" w:eastAsia="zh-CN"/>
        </w:rPr>
        <w:t>1</w:t>
      </w:r>
    </w:p>
    <w:p w14:paraId="734A9BD7">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eastAsia="zh-CN"/>
        </w:rPr>
      </w:pPr>
      <w:r>
        <w:rPr>
          <w:rFonts w:hint="eastAsia"/>
          <w:lang w:eastAsia="zh-CN"/>
        </w:rPr>
        <w:t>预算金额（元）：</w:t>
      </w:r>
      <w:r>
        <w:rPr>
          <w:rFonts w:hint="eastAsia" w:ascii="仿宋" w:hAnsi="仿宋" w:eastAsia="仿宋" w:cs="仿宋"/>
          <w:b w:val="0"/>
          <w:bCs w:val="0"/>
          <w:kern w:val="0"/>
          <w:sz w:val="24"/>
          <w:szCs w:val="24"/>
          <w:lang w:val="en-US" w:eastAsia="zh-CN" w:bidi="ar-SA"/>
        </w:rPr>
        <w:t>1028263</w:t>
      </w:r>
    </w:p>
    <w:p w14:paraId="2D0C2364">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宋体"/>
          <w:lang w:val="en-US" w:eastAsia="zh-CN"/>
        </w:rPr>
      </w:pPr>
      <w:r>
        <w:rPr>
          <w:rFonts w:hint="eastAsia"/>
          <w:lang w:eastAsia="zh-CN"/>
        </w:rPr>
        <w:t>最高限价（元）：</w:t>
      </w:r>
      <w:r>
        <w:rPr>
          <w:rFonts w:hint="eastAsia" w:ascii="仿宋" w:hAnsi="仿宋" w:eastAsia="仿宋" w:cs="仿宋"/>
          <w:b w:val="0"/>
          <w:bCs w:val="0"/>
          <w:kern w:val="0"/>
          <w:sz w:val="24"/>
          <w:szCs w:val="24"/>
          <w:lang w:val="en-US" w:eastAsia="zh-CN" w:bidi="ar-SA"/>
        </w:rPr>
        <w:t>1028263</w:t>
      </w:r>
    </w:p>
    <w:p w14:paraId="4AC4CA7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rPr>
        <w:t>简要规格描述或项目基本概况介绍、用途：详见</w:t>
      </w:r>
      <w:r>
        <w:rPr>
          <w:rFonts w:hint="eastAsia"/>
          <w:lang w:eastAsia="zh-CN"/>
        </w:rPr>
        <w:t>“</w:t>
      </w:r>
      <w:r>
        <w:rPr>
          <w:rFonts w:hint="eastAsia"/>
        </w:rPr>
        <w:t>招标文件</w:t>
      </w:r>
      <w:r>
        <w:rPr>
          <w:rFonts w:hint="eastAsia"/>
          <w:lang w:val="en-US" w:eastAsia="zh-CN"/>
        </w:rPr>
        <w:t>-采购需求</w:t>
      </w:r>
      <w:r>
        <w:rPr>
          <w:rFonts w:hint="eastAsia"/>
          <w:lang w:eastAsia="zh-CN"/>
        </w:rPr>
        <w:t>”</w:t>
      </w:r>
    </w:p>
    <w:p w14:paraId="315FFE40">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eastAsia="zh-CN"/>
        </w:rPr>
      </w:pPr>
      <w:r>
        <w:rPr>
          <w:rFonts w:hint="eastAsia"/>
          <w:lang w:eastAsia="zh-CN"/>
        </w:rPr>
        <w:t>备注：</w:t>
      </w:r>
      <w:r>
        <w:rPr>
          <w:rFonts w:hint="eastAsia"/>
          <w:lang w:val="en-US" w:eastAsia="zh-CN"/>
        </w:rPr>
        <w:t>/</w:t>
      </w:r>
    </w:p>
    <w:p w14:paraId="53A3EF0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eastAsia="zh-CN"/>
        </w:rPr>
      </w:pPr>
      <w:r>
        <w:rPr>
          <w:rFonts w:hint="eastAsia"/>
          <w:lang w:eastAsia="zh-CN"/>
        </w:rPr>
        <w:t>标项四：</w:t>
      </w:r>
    </w:p>
    <w:p w14:paraId="52D8330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eastAsia="zh-CN"/>
        </w:rPr>
      </w:pPr>
      <w:r>
        <w:rPr>
          <w:rFonts w:hint="eastAsia"/>
          <w:lang w:eastAsia="zh-CN"/>
        </w:rPr>
        <w:t>标项名称：</w:t>
      </w:r>
      <w:r>
        <w:rPr>
          <w:rFonts w:hint="eastAsia" w:ascii="Times New Roman" w:hAnsi="Times New Roman" w:cs="宋体"/>
          <w:color w:val="auto"/>
          <w:sz w:val="24"/>
          <w:szCs w:val="18"/>
          <w:lang w:val="en-US" w:eastAsia="zh-CN"/>
        </w:rPr>
        <w:t>体测中心设备</w:t>
      </w:r>
    </w:p>
    <w:p w14:paraId="3B435FF5">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eastAsia="zh-CN"/>
        </w:rPr>
      </w:pPr>
      <w:r>
        <w:rPr>
          <w:rFonts w:hint="eastAsia"/>
          <w:lang w:eastAsia="zh-CN"/>
        </w:rPr>
        <w:t>数量：</w:t>
      </w:r>
      <w:r>
        <w:rPr>
          <w:rFonts w:hint="eastAsia"/>
          <w:lang w:val="en-US" w:eastAsia="zh-CN"/>
        </w:rPr>
        <w:t>1</w:t>
      </w:r>
    </w:p>
    <w:p w14:paraId="0EB957A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lang w:val="en-US" w:eastAsia="zh-CN"/>
        </w:rPr>
      </w:pPr>
      <w:r>
        <w:rPr>
          <w:rFonts w:hint="eastAsia" w:ascii="宋体" w:hAnsi="宋体" w:eastAsia="宋体" w:cs="宋体"/>
          <w:lang w:eastAsia="zh-CN"/>
        </w:rPr>
        <w:t>预算金额（元）：</w:t>
      </w:r>
      <w:r>
        <w:rPr>
          <w:rFonts w:hint="eastAsia" w:ascii="宋体" w:hAnsi="宋体" w:eastAsia="宋体" w:cs="宋体"/>
          <w:color w:val="auto"/>
          <w:sz w:val="24"/>
          <w:szCs w:val="18"/>
          <w:u w:val="none"/>
          <w:lang w:val="en-US" w:eastAsia="zh-CN"/>
        </w:rPr>
        <w:t>1068000</w:t>
      </w:r>
    </w:p>
    <w:p w14:paraId="10BAC58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lang w:val="en-US" w:eastAsia="zh-CN"/>
        </w:rPr>
      </w:pPr>
      <w:r>
        <w:rPr>
          <w:rFonts w:hint="eastAsia" w:ascii="宋体" w:hAnsi="宋体" w:eastAsia="宋体" w:cs="宋体"/>
          <w:lang w:eastAsia="zh-CN"/>
        </w:rPr>
        <w:t>最高限价（元）：</w:t>
      </w:r>
      <w:r>
        <w:rPr>
          <w:rFonts w:hint="eastAsia" w:ascii="宋体" w:hAnsi="宋体" w:eastAsia="宋体" w:cs="宋体"/>
          <w:color w:val="auto"/>
          <w:sz w:val="24"/>
          <w:szCs w:val="18"/>
          <w:u w:val="none"/>
          <w:lang w:val="en-US" w:eastAsia="zh-CN"/>
        </w:rPr>
        <w:t>1068000</w:t>
      </w:r>
    </w:p>
    <w:p w14:paraId="11312E1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lang w:val="en-US" w:eastAsia="zh-CN"/>
        </w:rPr>
      </w:pPr>
      <w:r>
        <w:rPr>
          <w:rFonts w:hint="eastAsia" w:ascii="宋体" w:hAnsi="宋体" w:eastAsia="宋体" w:cs="宋体"/>
        </w:rPr>
        <w:t>简要规格描述或项目基本概况介绍、用途：详见</w:t>
      </w:r>
      <w:r>
        <w:rPr>
          <w:rFonts w:hint="eastAsia" w:ascii="宋体" w:hAnsi="宋体" w:eastAsia="宋体" w:cs="宋体"/>
          <w:lang w:eastAsia="zh-CN"/>
        </w:rPr>
        <w:t>“</w:t>
      </w:r>
      <w:r>
        <w:rPr>
          <w:rFonts w:hint="eastAsia" w:ascii="宋体" w:hAnsi="宋体" w:eastAsia="宋体" w:cs="宋体"/>
        </w:rPr>
        <w:t>招标文件</w:t>
      </w:r>
      <w:r>
        <w:rPr>
          <w:rFonts w:hint="eastAsia" w:ascii="宋体" w:hAnsi="宋体" w:eastAsia="宋体" w:cs="宋体"/>
          <w:lang w:val="en-US" w:eastAsia="zh-CN"/>
        </w:rPr>
        <w:t>-采购需求</w:t>
      </w:r>
      <w:r>
        <w:rPr>
          <w:rFonts w:hint="eastAsia" w:ascii="宋体" w:hAnsi="宋体" w:eastAsia="宋体" w:cs="宋体"/>
          <w:lang w:eastAsia="zh-CN"/>
        </w:rPr>
        <w:t>”</w:t>
      </w:r>
    </w:p>
    <w:p w14:paraId="216C6DB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lang w:val="en-US" w:eastAsia="zh-CN"/>
        </w:rPr>
      </w:pPr>
      <w:r>
        <w:rPr>
          <w:rFonts w:hint="eastAsia" w:ascii="宋体" w:hAnsi="宋体" w:eastAsia="宋体" w:cs="宋体"/>
          <w:lang w:eastAsia="zh-CN"/>
        </w:rPr>
        <w:t>备注：</w:t>
      </w:r>
      <w:r>
        <w:rPr>
          <w:rFonts w:hint="eastAsia" w:ascii="宋体" w:hAnsi="宋体" w:eastAsia="宋体" w:cs="宋体"/>
          <w:lang w:val="en-US" w:eastAsia="zh-CN"/>
        </w:rPr>
        <w:t>/</w:t>
      </w:r>
    </w:p>
    <w:p w14:paraId="0097DB6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lang w:val="en-US" w:eastAsia="zh-CN"/>
        </w:rPr>
      </w:pPr>
      <w:r>
        <w:rPr>
          <w:rFonts w:hint="eastAsia" w:ascii="宋体" w:hAnsi="宋体" w:eastAsia="宋体" w:cs="宋体"/>
          <w:lang w:eastAsia="zh-CN"/>
        </w:rPr>
        <w:t>合同履约期限：</w:t>
      </w:r>
      <w:r>
        <w:rPr>
          <w:rFonts w:hint="eastAsia" w:cs="宋体"/>
          <w:lang w:eastAsia="zh-CN"/>
        </w:rPr>
        <w:t>四个标项均于</w:t>
      </w:r>
      <w:r>
        <w:rPr>
          <w:rFonts w:hint="eastAsia"/>
          <w:lang w:val="en-US" w:eastAsia="zh-CN"/>
        </w:rPr>
        <w:t>2025年5月30日之前完成供货、安装、调试</w:t>
      </w:r>
      <w:r>
        <w:rPr>
          <w:rFonts w:hint="eastAsia" w:ascii="宋体" w:hAnsi="宋体" w:eastAsia="宋体" w:cs="宋体"/>
          <w:lang w:val="en-US" w:eastAsia="zh-CN"/>
        </w:rPr>
        <w:t>。</w:t>
      </w:r>
    </w:p>
    <w:p w14:paraId="6DE6FD0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aps w:val="0"/>
          <w:color w:val="000000"/>
          <w:spacing w:val="0"/>
          <w:szCs w:val="24"/>
          <w:highlight w:val="yellow"/>
          <w:lang w:eastAsia="zh-CN"/>
        </w:rPr>
      </w:pPr>
      <w:r>
        <w:rPr>
          <w:rFonts w:hint="eastAsia" w:ascii="宋体" w:hAnsi="宋体" w:eastAsia="宋体" w:cs="宋体"/>
          <w:highlight w:val="none"/>
          <w:lang w:eastAsia="zh-CN"/>
        </w:rPr>
        <w:t>本项目不接受联合体投标。</w:t>
      </w:r>
    </w:p>
    <w:p w14:paraId="0B7A8490">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b/>
          <w:bCs/>
        </w:rPr>
      </w:pPr>
      <w:bookmarkStart w:id="6" w:name="_Toc24393"/>
      <w:r>
        <w:rPr>
          <w:rFonts w:hint="eastAsia"/>
          <w:b/>
          <w:bCs/>
          <w:lang w:eastAsia="zh-CN"/>
        </w:rPr>
        <w:t>二、申请</w:t>
      </w:r>
      <w:r>
        <w:rPr>
          <w:rFonts w:hint="eastAsia"/>
          <w:b/>
          <w:bCs/>
        </w:rPr>
        <w:t>人</w:t>
      </w:r>
      <w:r>
        <w:rPr>
          <w:rFonts w:hint="eastAsia"/>
          <w:b/>
          <w:bCs/>
          <w:lang w:eastAsia="zh-CN"/>
        </w:rPr>
        <w:t>的</w:t>
      </w:r>
      <w:r>
        <w:rPr>
          <w:rFonts w:hint="eastAsia"/>
          <w:b/>
          <w:bCs/>
        </w:rPr>
        <w:t>资格要求:</w:t>
      </w:r>
      <w:bookmarkEnd w:id="6"/>
    </w:p>
    <w:p w14:paraId="6964368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1.满足《中华人民共和国政府采购法》第二十二条规定；未被“信用中国”（www.creditchina.gov.cn)、中国政府采购网（www.ccgp.gov.cn）列入失信被执行人、重大税收违法失信主体、政府采购严重违法失信行为记录名单。</w:t>
      </w:r>
    </w:p>
    <w:p w14:paraId="5B1BFFCD">
      <w:pPr>
        <w:keepNext w:val="0"/>
        <w:keepLines w:val="0"/>
        <w:pageBreakBefore w:val="0"/>
        <w:widowControl w:val="0"/>
        <w:kinsoku/>
        <w:wordWrap/>
        <w:overflowPunct/>
        <w:topLinePunct w:val="0"/>
        <w:autoSpaceDE/>
        <w:autoSpaceDN/>
        <w:bidi w:val="0"/>
        <w:adjustRightInd/>
        <w:snapToGrid/>
        <w:spacing w:line="440" w:lineRule="exact"/>
        <w:textAlignment w:val="auto"/>
        <w:rPr>
          <w:rStyle w:val="48"/>
          <w:rFonts w:hint="eastAsia" w:ascii="宋体" w:hAnsi="宋体" w:eastAsia="宋体" w:cs="宋体"/>
          <w:b w:val="0"/>
          <w:bCs/>
          <w:lang w:val="en-US" w:eastAsia="zh-CN"/>
        </w:rPr>
      </w:pPr>
      <w:r>
        <w:rPr>
          <w:rFonts w:hint="eastAsia"/>
        </w:rPr>
        <w:t>2.落实政府采购政策需满足的资格要求：</w:t>
      </w:r>
    </w:p>
    <w:p w14:paraId="3248AD1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rPr>
      </w:pPr>
      <w:r>
        <w:rPr>
          <w:rFonts w:hint="eastAsia" w:cs="宋体"/>
          <w:color w:val="000000"/>
          <w:lang w:eastAsia="zh-CN"/>
        </w:rPr>
        <w:t>□</w:t>
      </w:r>
      <w:r>
        <w:rPr>
          <w:rFonts w:hint="eastAsia" w:ascii="宋体" w:hAnsi="宋体" w:cs="宋体"/>
          <w:sz w:val="24"/>
        </w:rPr>
        <w:t>无；</w:t>
      </w:r>
    </w:p>
    <w:p w14:paraId="462BB10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rPr>
      </w:pPr>
      <w:r>
        <w:rPr>
          <w:rFonts w:hint="eastAsia" w:cs="宋体"/>
          <w:color w:val="000000"/>
          <w:lang w:eastAsia="zh-CN"/>
        </w:rPr>
        <w:t>☑</w:t>
      </w:r>
      <w:r>
        <w:rPr>
          <w:rFonts w:hint="eastAsia" w:ascii="宋体" w:hAnsi="宋体" w:cs="宋体"/>
          <w:kern w:val="0"/>
          <w:sz w:val="24"/>
        </w:rPr>
        <w:t>专</w:t>
      </w:r>
      <w:r>
        <w:rPr>
          <w:rFonts w:hint="eastAsia" w:ascii="宋体" w:hAnsi="宋体" w:cs="宋体"/>
          <w:sz w:val="24"/>
        </w:rPr>
        <w:t>门面向中小企业</w:t>
      </w:r>
    </w:p>
    <w:p w14:paraId="5C3AA885">
      <w:pPr>
        <w:keepNext w:val="0"/>
        <w:keepLines w:val="0"/>
        <w:pageBreakBefore w:val="0"/>
        <w:widowControl w:val="0"/>
        <w:kinsoku/>
        <w:wordWrap/>
        <w:overflowPunct/>
        <w:topLinePunct w:val="0"/>
        <w:autoSpaceDE/>
        <w:autoSpaceDN/>
        <w:bidi w:val="0"/>
        <w:adjustRightInd/>
        <w:snapToGrid/>
        <w:spacing w:line="440" w:lineRule="exact"/>
        <w:ind w:firstLine="897" w:firstLineChars="374"/>
        <w:textAlignment w:val="auto"/>
        <w:rPr>
          <w:rFonts w:hint="eastAsia" w:ascii="宋体" w:hAnsi="宋体" w:cs="宋体"/>
          <w:sz w:val="24"/>
          <w:u w:val="single"/>
        </w:rPr>
      </w:pPr>
      <w:r>
        <w:rPr>
          <w:rFonts w:hint="eastAsia" w:cs="宋体"/>
          <w:color w:val="000000"/>
          <w:lang w:eastAsia="zh-CN"/>
        </w:rPr>
        <w:t>☑</w:t>
      </w:r>
      <w:r>
        <w:rPr>
          <w:rFonts w:hint="eastAsia" w:ascii="宋体" w:hAnsi="宋体" w:cs="宋体"/>
          <w:sz w:val="24"/>
        </w:rPr>
        <w:t>货物全部由符合政策要求的中小企业制造，提供中小企业声明函；</w:t>
      </w:r>
    </w:p>
    <w:p w14:paraId="0934C83F">
      <w:pPr>
        <w:keepNext w:val="0"/>
        <w:keepLines w:val="0"/>
        <w:pageBreakBefore w:val="0"/>
        <w:widowControl w:val="0"/>
        <w:kinsoku/>
        <w:wordWrap/>
        <w:overflowPunct/>
        <w:topLinePunct w:val="0"/>
        <w:autoSpaceDE/>
        <w:autoSpaceDN/>
        <w:bidi w:val="0"/>
        <w:adjustRightInd/>
        <w:snapToGrid/>
        <w:spacing w:line="440" w:lineRule="exact"/>
        <w:ind w:firstLine="897" w:firstLineChars="374"/>
        <w:textAlignment w:val="auto"/>
        <w:rPr>
          <w:rFonts w:hint="eastAsia" w:ascii="宋体" w:hAnsi="宋体" w:cs="宋体"/>
          <w:sz w:val="24"/>
        </w:rPr>
      </w:pPr>
      <w:r>
        <w:rPr>
          <w:rFonts w:hint="eastAsia" w:cs="宋体"/>
          <w:color w:val="000000"/>
          <w:lang w:eastAsia="zh-CN"/>
        </w:rPr>
        <w:t>□</w:t>
      </w:r>
      <w:r>
        <w:rPr>
          <w:rFonts w:hint="eastAsia" w:ascii="宋体" w:hAnsi="宋体" w:cs="宋体"/>
          <w:sz w:val="24"/>
        </w:rPr>
        <w:t>货物全部由符合政策要求的小微企业制造，提供中小企业声明函；</w:t>
      </w:r>
    </w:p>
    <w:p w14:paraId="654F5F07">
      <w:pPr>
        <w:keepNext w:val="0"/>
        <w:keepLines w:val="0"/>
        <w:pageBreakBefore w:val="0"/>
        <w:widowControl w:val="0"/>
        <w:kinsoku/>
        <w:wordWrap/>
        <w:overflowPunct/>
        <w:topLinePunct w:val="0"/>
        <w:autoSpaceDE/>
        <w:autoSpaceDN/>
        <w:bidi w:val="0"/>
        <w:adjustRightInd/>
        <w:snapToGrid/>
        <w:spacing w:line="440" w:lineRule="exact"/>
        <w:ind w:firstLine="897" w:firstLineChars="374"/>
        <w:textAlignment w:val="auto"/>
        <w:rPr>
          <w:rFonts w:hint="eastAsia" w:ascii="宋体" w:hAnsi="宋体" w:cs="宋体"/>
          <w:sz w:val="24"/>
        </w:rPr>
      </w:pPr>
      <w:r>
        <w:rPr>
          <w:rFonts w:hint="eastAsia" w:cs="宋体"/>
          <w:color w:val="000000"/>
          <w:lang w:eastAsia="zh-CN"/>
        </w:rPr>
        <w:t>□</w:t>
      </w:r>
      <w:r>
        <w:rPr>
          <w:rFonts w:hint="eastAsia" w:ascii="宋体" w:hAnsi="宋体" w:cs="宋体"/>
          <w:sz w:val="24"/>
        </w:rPr>
        <w:t>服务全部由符合政策要求的中小企业承接，提供中小企业声明函；</w:t>
      </w:r>
    </w:p>
    <w:p w14:paraId="6FC4E0E2">
      <w:pPr>
        <w:keepNext w:val="0"/>
        <w:keepLines w:val="0"/>
        <w:pageBreakBefore w:val="0"/>
        <w:widowControl w:val="0"/>
        <w:kinsoku/>
        <w:wordWrap/>
        <w:overflowPunct/>
        <w:topLinePunct w:val="0"/>
        <w:autoSpaceDE/>
        <w:autoSpaceDN/>
        <w:bidi w:val="0"/>
        <w:adjustRightInd/>
        <w:snapToGrid/>
        <w:spacing w:line="440" w:lineRule="exact"/>
        <w:ind w:firstLine="897" w:firstLineChars="374"/>
        <w:textAlignment w:val="auto"/>
        <w:rPr>
          <w:rFonts w:hint="eastAsia" w:ascii="宋体" w:hAnsi="宋体" w:cs="宋体"/>
          <w:sz w:val="24"/>
        </w:rPr>
      </w:pPr>
      <w:r>
        <w:rPr>
          <w:rFonts w:hint="eastAsia" w:cs="宋体"/>
          <w:color w:val="000000"/>
          <w:lang w:eastAsia="zh-CN"/>
        </w:rPr>
        <w:t>□</w:t>
      </w:r>
      <w:r>
        <w:rPr>
          <w:rFonts w:hint="eastAsia" w:ascii="宋体" w:hAnsi="宋体" w:cs="宋体"/>
          <w:sz w:val="24"/>
        </w:rPr>
        <w:t>服务全部由符合政策要求的小微企业承接，提供中小企业声明函；</w:t>
      </w:r>
    </w:p>
    <w:p w14:paraId="42473AB1">
      <w:pPr>
        <w:keepNext w:val="0"/>
        <w:keepLines w:val="0"/>
        <w:pageBreakBefore w:val="0"/>
        <w:widowControl w:val="0"/>
        <w:kinsoku/>
        <w:wordWrap/>
        <w:overflowPunct/>
        <w:topLinePunct w:val="0"/>
        <w:autoSpaceDE/>
        <w:autoSpaceDN/>
        <w:bidi w:val="0"/>
        <w:adjustRightInd/>
        <w:snapToGrid/>
        <w:spacing w:line="440" w:lineRule="exact"/>
        <w:textAlignment w:val="auto"/>
        <w:rPr>
          <w:rStyle w:val="48"/>
          <w:rFonts w:hint="eastAsia" w:ascii="宋体" w:hAnsi="宋体" w:eastAsia="宋体" w:cs="宋体"/>
          <w:b w:val="0"/>
          <w:bCs/>
          <w:lang w:eastAsia="zh-CN"/>
        </w:rPr>
      </w:pPr>
      <w:r>
        <w:rPr>
          <w:rFonts w:hint="eastAsia"/>
        </w:rPr>
        <w:t>3.本项目的特定资格要求：</w:t>
      </w:r>
      <w:r>
        <w:rPr>
          <w:rFonts w:hint="eastAsia"/>
          <w:lang w:eastAsia="zh-CN"/>
        </w:rPr>
        <w:t>无。</w:t>
      </w:r>
    </w:p>
    <w:p w14:paraId="1814622C">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b/>
          <w:bCs/>
        </w:rPr>
      </w:pPr>
      <w:r>
        <w:rPr>
          <w:rFonts w:hint="eastAsia"/>
          <w:b/>
          <w:bCs/>
          <w:lang w:eastAsia="zh-CN"/>
        </w:rPr>
        <w:t>三</w:t>
      </w:r>
      <w:r>
        <w:rPr>
          <w:rFonts w:hint="eastAsia"/>
          <w:b/>
          <w:bCs/>
        </w:rPr>
        <w:t>、获取</w:t>
      </w:r>
      <w:r>
        <w:rPr>
          <w:rFonts w:hint="eastAsia"/>
          <w:b/>
          <w:bCs/>
          <w:lang w:eastAsia="zh-CN"/>
        </w:rPr>
        <w:t>（下载）</w:t>
      </w:r>
      <w:r>
        <w:rPr>
          <w:rFonts w:hint="eastAsia"/>
          <w:b/>
          <w:bCs/>
        </w:rPr>
        <w:t>招标文件</w:t>
      </w:r>
    </w:p>
    <w:p w14:paraId="09B4664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rPr>
        <w:t>1.时间：/至</w:t>
      </w:r>
      <w:r>
        <w:rPr>
          <w:rFonts w:hint="eastAsia"/>
          <w:u w:val="single"/>
        </w:rPr>
        <w:t>202</w:t>
      </w:r>
      <w:r>
        <w:rPr>
          <w:rFonts w:hint="eastAsia"/>
          <w:u w:val="single"/>
          <w:lang w:val="en-US" w:eastAsia="zh-CN"/>
        </w:rPr>
        <w:t>5</w:t>
      </w:r>
      <w:r>
        <w:rPr>
          <w:rFonts w:hint="eastAsia"/>
          <w:u w:val="single"/>
        </w:rPr>
        <w:t>年</w:t>
      </w:r>
      <w:r>
        <w:rPr>
          <w:rFonts w:hint="eastAsia"/>
          <w:u w:val="single"/>
          <w:lang w:val="en-US" w:eastAsia="zh-CN"/>
        </w:rPr>
        <w:t>2</w:t>
      </w:r>
      <w:r>
        <w:rPr>
          <w:rFonts w:hint="eastAsia"/>
          <w:u w:val="single"/>
        </w:rPr>
        <w:t>月</w:t>
      </w:r>
      <w:r>
        <w:rPr>
          <w:rFonts w:hint="eastAsia"/>
          <w:u w:val="single"/>
          <w:lang w:val="en-US" w:eastAsia="zh-CN"/>
        </w:rPr>
        <w:t>7</w:t>
      </w:r>
      <w:r>
        <w:rPr>
          <w:rFonts w:hint="eastAsia"/>
          <w:u w:val="single"/>
        </w:rPr>
        <w:t>日</w:t>
      </w:r>
      <w:r>
        <w:rPr>
          <w:rFonts w:hint="eastAsia"/>
        </w:rPr>
        <w:t>，每天上午00:00至12:00，下午12:00至23:59（北京时间，线上获取法定节假日均可</w:t>
      </w:r>
      <w:r>
        <w:rPr>
          <w:rFonts w:hint="eastAsia"/>
          <w:lang w:eastAsia="zh-CN"/>
        </w:rPr>
        <w:t>，</w:t>
      </w:r>
      <w:r>
        <w:rPr>
          <w:rFonts w:hint="eastAsia"/>
        </w:rPr>
        <w:t>线下获取文件法定节假日除外）</w:t>
      </w:r>
      <w:r>
        <w:rPr>
          <w:rFonts w:hint="eastAsia"/>
          <w:lang w:eastAsia="zh-CN"/>
        </w:rPr>
        <w:t>。</w:t>
      </w:r>
    </w:p>
    <w:p w14:paraId="019CCCA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lang w:val="en-US" w:eastAsia="zh-CN"/>
        </w:rPr>
        <w:t>2.</w:t>
      </w:r>
      <w:r>
        <w:rPr>
          <w:rFonts w:hint="eastAsia"/>
        </w:rPr>
        <w:t>地点（网址）：浙江政府采购网（http://zfcg.czt.zj.gov.cn）</w:t>
      </w:r>
    </w:p>
    <w:p w14:paraId="1FFF3B9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3.</w:t>
      </w:r>
      <w:r>
        <w:rPr>
          <w:rFonts w:hint="eastAsia"/>
        </w:rPr>
        <w:t>方式：供应商登录政采云平台https://www.zcygov.cn/在线申请获取</w:t>
      </w:r>
      <w:r>
        <w:rPr>
          <w:rFonts w:hint="eastAsia"/>
          <w:lang w:eastAsia="zh-CN"/>
        </w:rPr>
        <w:t>招标文件</w:t>
      </w:r>
      <w:r>
        <w:rPr>
          <w:rFonts w:hint="eastAsia"/>
        </w:rPr>
        <w:t>（进入“项目采购”应用，在获取</w:t>
      </w:r>
      <w:r>
        <w:rPr>
          <w:rFonts w:hint="eastAsia"/>
          <w:lang w:eastAsia="zh-CN"/>
        </w:rPr>
        <w:t>招标文件</w:t>
      </w:r>
      <w:r>
        <w:rPr>
          <w:rFonts w:hint="eastAsia"/>
        </w:rPr>
        <w:t>菜单中选择项目，申请获取</w:t>
      </w:r>
      <w:r>
        <w:rPr>
          <w:rFonts w:hint="eastAsia"/>
          <w:lang w:eastAsia="zh-CN"/>
        </w:rPr>
        <w:t>招标文件</w:t>
      </w:r>
      <w:r>
        <w:rPr>
          <w:rFonts w:hint="eastAsia"/>
        </w:rPr>
        <w:t>）</w:t>
      </w:r>
    </w:p>
    <w:p w14:paraId="13F01F0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lang w:val="en-US" w:eastAsia="zh-CN"/>
        </w:rPr>
        <w:t>4</w:t>
      </w:r>
      <w:r>
        <w:rPr>
          <w:rFonts w:hint="eastAsia"/>
        </w:rPr>
        <w:t>.售价</w:t>
      </w:r>
      <w:r>
        <w:rPr>
          <w:rFonts w:hint="eastAsia"/>
          <w:lang w:eastAsia="zh-CN"/>
        </w:rPr>
        <w:t>（元）</w:t>
      </w:r>
      <w:r>
        <w:rPr>
          <w:rFonts w:hint="eastAsia"/>
        </w:rPr>
        <w:t>：</w:t>
      </w:r>
      <w:r>
        <w:rPr>
          <w:rFonts w:hint="eastAsia"/>
          <w:lang w:val="en-US" w:eastAsia="zh-CN"/>
        </w:rPr>
        <w:t>0</w:t>
      </w:r>
    </w:p>
    <w:p w14:paraId="2D47B81B">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b/>
          <w:bCs/>
        </w:rPr>
      </w:pPr>
      <w:bookmarkStart w:id="7" w:name="_Toc1080"/>
      <w:r>
        <w:rPr>
          <w:rFonts w:hint="eastAsia"/>
          <w:b/>
          <w:bCs/>
          <w:lang w:eastAsia="zh-CN"/>
        </w:rPr>
        <w:t>四</w:t>
      </w:r>
      <w:r>
        <w:rPr>
          <w:rFonts w:hint="eastAsia"/>
          <w:b/>
          <w:bCs/>
        </w:rPr>
        <w:t>、投标</w:t>
      </w:r>
      <w:r>
        <w:rPr>
          <w:rFonts w:hint="eastAsia"/>
          <w:b/>
          <w:bCs/>
          <w:lang w:eastAsia="zh-CN"/>
        </w:rPr>
        <w:t>文件提交（上传）</w:t>
      </w:r>
      <w:r>
        <w:rPr>
          <w:rFonts w:hint="eastAsia"/>
          <w:b/>
          <w:bCs/>
        </w:rPr>
        <w:t>截止时间、开标时间</w:t>
      </w:r>
      <w:r>
        <w:rPr>
          <w:rFonts w:hint="eastAsia"/>
          <w:b/>
          <w:bCs/>
          <w:lang w:eastAsia="zh-CN"/>
        </w:rPr>
        <w:t>和</w:t>
      </w:r>
      <w:r>
        <w:rPr>
          <w:rFonts w:hint="eastAsia"/>
          <w:b/>
          <w:bCs/>
        </w:rPr>
        <w:t>地点</w:t>
      </w:r>
      <w:bookmarkEnd w:id="7"/>
    </w:p>
    <w:p w14:paraId="5A2F7EC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bookmarkStart w:id="8" w:name="_Toc2231"/>
      <w:r>
        <w:rPr>
          <w:rFonts w:hint="eastAsia"/>
        </w:rPr>
        <w:t>1.</w:t>
      </w:r>
      <w:r>
        <w:rPr>
          <w:rFonts w:hint="eastAsia"/>
          <w:lang w:eastAsia="zh-CN"/>
        </w:rPr>
        <w:t>提交（上传）</w:t>
      </w:r>
      <w:r>
        <w:rPr>
          <w:rFonts w:hint="eastAsia"/>
        </w:rPr>
        <w:t>截止时间：</w:t>
      </w:r>
      <w:r>
        <w:rPr>
          <w:rFonts w:hint="eastAsia"/>
          <w:b/>
          <w:bCs/>
          <w:u w:val="single"/>
        </w:rPr>
        <w:t>202</w:t>
      </w:r>
      <w:r>
        <w:rPr>
          <w:rFonts w:hint="eastAsia"/>
          <w:b/>
          <w:bCs/>
          <w:u w:val="single"/>
          <w:lang w:val="en-US" w:eastAsia="zh-CN"/>
        </w:rPr>
        <w:t>5</w:t>
      </w:r>
      <w:r>
        <w:rPr>
          <w:rFonts w:hint="eastAsia"/>
          <w:b/>
          <w:bCs/>
          <w:u w:val="single"/>
        </w:rPr>
        <w:t>年</w:t>
      </w:r>
      <w:bookmarkStart w:id="84" w:name="_GoBack"/>
      <w:bookmarkEnd w:id="84"/>
      <w:r>
        <w:rPr>
          <w:rFonts w:hint="eastAsia"/>
          <w:b/>
          <w:bCs/>
          <w:u w:val="single"/>
          <w:lang w:val="en-US" w:eastAsia="zh-CN"/>
        </w:rPr>
        <w:t>2</w:t>
      </w:r>
      <w:r>
        <w:rPr>
          <w:rFonts w:hint="eastAsia"/>
          <w:b/>
          <w:bCs/>
          <w:u w:val="single"/>
        </w:rPr>
        <w:t>月</w:t>
      </w:r>
      <w:r>
        <w:rPr>
          <w:rFonts w:hint="eastAsia"/>
          <w:b/>
          <w:bCs/>
          <w:u w:val="single"/>
          <w:lang w:val="en-US" w:eastAsia="zh-CN"/>
        </w:rPr>
        <w:t>7</w:t>
      </w:r>
      <w:r>
        <w:rPr>
          <w:rFonts w:hint="eastAsia"/>
          <w:b/>
          <w:bCs/>
          <w:u w:val="single"/>
        </w:rPr>
        <w:t>日</w:t>
      </w:r>
      <w:r>
        <w:rPr>
          <w:rFonts w:hint="eastAsia"/>
          <w:b/>
          <w:bCs/>
          <w:u w:val="single"/>
          <w:lang w:eastAsia="zh-CN"/>
        </w:rPr>
        <w:t>上午</w:t>
      </w:r>
      <w:r>
        <w:rPr>
          <w:rFonts w:hint="eastAsia"/>
          <w:b/>
          <w:bCs/>
          <w:u w:val="single"/>
          <w:lang w:val="en-US" w:eastAsia="zh-CN"/>
        </w:rPr>
        <w:t>09</w:t>
      </w:r>
      <w:r>
        <w:rPr>
          <w:rFonts w:hint="eastAsia"/>
          <w:b/>
          <w:bCs/>
          <w:u w:val="single"/>
        </w:rPr>
        <w:t>:</w:t>
      </w:r>
      <w:r>
        <w:rPr>
          <w:rFonts w:hint="eastAsia"/>
          <w:b/>
          <w:bCs/>
          <w:u w:val="single"/>
          <w:lang w:val="en-US" w:eastAsia="zh-CN"/>
        </w:rPr>
        <w:t>00</w:t>
      </w:r>
      <w:r>
        <w:rPr>
          <w:rFonts w:hint="eastAsia"/>
        </w:rPr>
        <w:t>（北京时间）</w:t>
      </w:r>
    </w:p>
    <w:p w14:paraId="31C4DEAD">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eastAsia="zh-CN"/>
        </w:rPr>
      </w:pPr>
      <w:r>
        <w:rPr>
          <w:rFonts w:hint="eastAsia"/>
          <w:lang w:val="en-US" w:eastAsia="zh-CN"/>
        </w:rPr>
        <w:t>2.投标地点（网址）：</w:t>
      </w:r>
      <w:r>
        <w:rPr>
          <w:rFonts w:hint="eastAsia" w:ascii="宋体" w:hAnsi="宋体" w:cs="宋体"/>
          <w:sz w:val="24"/>
          <w:u w:val="single"/>
        </w:rPr>
        <w:t>政采云平台（https://www.zcygov.cn/）</w:t>
      </w:r>
      <w:r>
        <w:rPr>
          <w:rFonts w:hint="eastAsia"/>
          <w:lang w:val="en-US" w:eastAsia="zh-CN"/>
        </w:rPr>
        <w:t xml:space="preserve">                    </w:t>
      </w:r>
    </w:p>
    <w:p w14:paraId="5614D8E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lang w:val="en-US" w:eastAsia="zh-CN"/>
        </w:rPr>
        <w:t>3</w:t>
      </w:r>
      <w:r>
        <w:rPr>
          <w:rFonts w:hint="eastAsia"/>
        </w:rPr>
        <w:t>.开标时间：</w:t>
      </w:r>
      <w:r>
        <w:rPr>
          <w:rFonts w:hint="eastAsia"/>
          <w:b/>
          <w:bCs/>
          <w:u w:val="single"/>
        </w:rPr>
        <w:t>202</w:t>
      </w:r>
      <w:r>
        <w:rPr>
          <w:rFonts w:hint="eastAsia"/>
          <w:b/>
          <w:bCs/>
          <w:u w:val="single"/>
          <w:lang w:val="en-US" w:eastAsia="zh-CN"/>
        </w:rPr>
        <w:t>5</w:t>
      </w:r>
      <w:r>
        <w:rPr>
          <w:rFonts w:hint="eastAsia"/>
          <w:b/>
          <w:bCs/>
          <w:u w:val="single"/>
        </w:rPr>
        <w:t>年</w:t>
      </w:r>
      <w:r>
        <w:rPr>
          <w:rFonts w:hint="eastAsia"/>
          <w:b/>
          <w:bCs/>
          <w:u w:val="single"/>
          <w:lang w:val="en-US" w:eastAsia="zh-CN"/>
        </w:rPr>
        <w:t>2</w:t>
      </w:r>
      <w:r>
        <w:rPr>
          <w:rFonts w:hint="eastAsia"/>
          <w:b/>
          <w:bCs/>
          <w:u w:val="single"/>
        </w:rPr>
        <w:t>月</w:t>
      </w:r>
      <w:r>
        <w:rPr>
          <w:rFonts w:hint="eastAsia"/>
          <w:b/>
          <w:bCs/>
          <w:u w:val="single"/>
          <w:lang w:val="en-US" w:eastAsia="zh-CN"/>
        </w:rPr>
        <w:t>7</w:t>
      </w:r>
      <w:r>
        <w:rPr>
          <w:rFonts w:hint="eastAsia"/>
          <w:b/>
          <w:bCs/>
          <w:u w:val="single"/>
        </w:rPr>
        <w:t>日</w:t>
      </w:r>
      <w:r>
        <w:rPr>
          <w:rFonts w:hint="eastAsia"/>
          <w:b/>
          <w:bCs/>
          <w:u w:val="single"/>
          <w:lang w:eastAsia="zh-CN"/>
        </w:rPr>
        <w:t>上午</w:t>
      </w:r>
      <w:r>
        <w:rPr>
          <w:rFonts w:hint="eastAsia"/>
          <w:b/>
          <w:bCs/>
          <w:u w:val="single"/>
          <w:lang w:val="en-US" w:eastAsia="zh-CN"/>
        </w:rPr>
        <w:t>09</w:t>
      </w:r>
      <w:r>
        <w:rPr>
          <w:rFonts w:hint="eastAsia"/>
          <w:b/>
          <w:bCs/>
          <w:u w:val="single"/>
        </w:rPr>
        <w:t>:</w:t>
      </w:r>
      <w:r>
        <w:rPr>
          <w:rFonts w:hint="eastAsia"/>
          <w:b/>
          <w:bCs/>
          <w:u w:val="single"/>
          <w:lang w:val="en-US" w:eastAsia="zh-CN"/>
        </w:rPr>
        <w:t>00</w:t>
      </w:r>
      <w:r>
        <w:rPr>
          <w:rFonts w:hint="eastAsia"/>
        </w:rPr>
        <w:t>（北京时间）</w:t>
      </w:r>
    </w:p>
    <w:p w14:paraId="54C2AE2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sz w:val="24"/>
          <w:u w:val="single"/>
        </w:rPr>
      </w:pPr>
      <w:r>
        <w:rPr>
          <w:rFonts w:hint="eastAsia"/>
          <w:lang w:val="en-US" w:eastAsia="zh-CN"/>
        </w:rPr>
        <w:t>4</w:t>
      </w:r>
      <w:r>
        <w:rPr>
          <w:rFonts w:hint="eastAsia"/>
        </w:rPr>
        <w:t>.开标地点</w:t>
      </w:r>
      <w:r>
        <w:rPr>
          <w:rFonts w:hint="eastAsia"/>
          <w:lang w:eastAsia="zh-CN"/>
        </w:rPr>
        <w:t>（网址）</w:t>
      </w:r>
      <w:r>
        <w:rPr>
          <w:rFonts w:hint="eastAsia"/>
        </w:rPr>
        <w:t>：</w:t>
      </w:r>
      <w:bookmarkEnd w:id="8"/>
      <w:r>
        <w:rPr>
          <w:rFonts w:hint="eastAsia" w:ascii="宋体" w:hAnsi="宋体" w:cs="宋体"/>
          <w:sz w:val="24"/>
          <w:u w:val="single"/>
        </w:rPr>
        <w:t>政采云平台（https://www.zcygov.cn/）</w:t>
      </w:r>
    </w:p>
    <w:p w14:paraId="690ABB12">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b/>
          <w:bCs/>
          <w:lang w:val="en-US" w:eastAsia="zh-CN"/>
        </w:rPr>
      </w:pPr>
      <w:r>
        <w:rPr>
          <w:rFonts w:hint="eastAsia"/>
          <w:b/>
          <w:bCs/>
          <w:lang w:val="en-US" w:eastAsia="zh-CN"/>
        </w:rPr>
        <w:t>五、公告期限</w:t>
      </w:r>
    </w:p>
    <w:p w14:paraId="71419FC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rPr>
        <w:t>自本公告发布之日起5个工作日。</w:t>
      </w:r>
    </w:p>
    <w:p w14:paraId="6726BA06">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b/>
          <w:bCs/>
        </w:rPr>
      </w:pPr>
      <w:bookmarkStart w:id="9" w:name="_Toc6191"/>
      <w:r>
        <w:rPr>
          <w:rFonts w:hint="eastAsia"/>
          <w:b/>
          <w:bCs/>
          <w:lang w:eastAsia="zh-CN"/>
        </w:rPr>
        <w:t>六</w:t>
      </w:r>
      <w:r>
        <w:rPr>
          <w:rFonts w:hint="eastAsia"/>
          <w:b/>
          <w:bCs/>
        </w:rPr>
        <w:t>、其他</w:t>
      </w:r>
      <w:r>
        <w:rPr>
          <w:rFonts w:hint="eastAsia"/>
          <w:b/>
          <w:bCs/>
          <w:lang w:eastAsia="zh-CN"/>
        </w:rPr>
        <w:t>补充事宜</w:t>
      </w:r>
      <w:r>
        <w:rPr>
          <w:rFonts w:hint="eastAsia"/>
          <w:b/>
          <w:bCs/>
        </w:rPr>
        <w:t>：</w:t>
      </w:r>
      <w:bookmarkEnd w:id="9"/>
    </w:p>
    <w:p w14:paraId="2A0EAE2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color w:val="000000"/>
          <w:lang w:bidi="ar"/>
        </w:rPr>
        <w:t>1.</w:t>
      </w:r>
      <w:r>
        <w:rPr>
          <w:rFonts w:hint="eastAsia" w:ascii="宋体" w:hAnsi="宋体" w:eastAsia="宋体" w:cs="宋体"/>
          <w:i w:val="0"/>
          <w:iCs w:val="0"/>
          <w:caps w:val="0"/>
          <w:color w:val="000000"/>
          <w:spacing w:val="0"/>
          <w:sz w:val="24"/>
          <w:szCs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5D0C97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color w:val="000000"/>
          <w:lang w:bidi="ar"/>
        </w:rPr>
        <w:t>2.</w:t>
      </w:r>
      <w:r>
        <w:rPr>
          <w:rFonts w:hint="eastAsia" w:ascii="宋体" w:hAnsi="宋体" w:eastAsia="宋体" w:cs="宋体"/>
          <w:i w:val="0"/>
          <w:iCs w:val="0"/>
          <w:caps w:val="0"/>
          <w:color w:val="000000"/>
          <w:spacing w:val="0"/>
          <w:sz w:val="24"/>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3201FD4">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lang w:val="en-US" w:eastAsia="zh-CN"/>
        </w:rPr>
        <w:t>3.</w:t>
      </w:r>
      <w:r>
        <w:rPr>
          <w:rFonts w:hint="eastAsia"/>
        </w:rPr>
        <w:t>供应商认为</w:t>
      </w:r>
      <w:r>
        <w:rPr>
          <w:rFonts w:hint="eastAsia"/>
          <w:lang w:eastAsia="zh-CN"/>
        </w:rPr>
        <w:t>招标文件</w:t>
      </w:r>
      <w:r>
        <w:rPr>
          <w:rFonts w:hint="eastAsia"/>
        </w:rPr>
        <w:t>使自己的权益受到损害的，可以自获取</w:t>
      </w:r>
      <w:r>
        <w:rPr>
          <w:rFonts w:hint="eastAsia"/>
          <w:lang w:eastAsia="zh-CN"/>
        </w:rPr>
        <w:t>招标文件</w:t>
      </w:r>
      <w:r>
        <w:rPr>
          <w:rFonts w:hint="eastAsia"/>
        </w:rPr>
        <w:t>之日或者采购公告期限届满之日（公告期限届满后获取</w:t>
      </w:r>
      <w:r>
        <w:rPr>
          <w:rFonts w:hint="eastAsia"/>
          <w:lang w:eastAsia="zh-CN"/>
        </w:rPr>
        <w:t>招标文件</w:t>
      </w:r>
      <w:r>
        <w:rPr>
          <w:rFonts w:hint="eastAsia"/>
        </w:rPr>
        <w:t>的，以公告期限届满之日为准）起7个工作日内，对</w:t>
      </w:r>
      <w:r>
        <w:rPr>
          <w:rFonts w:hint="eastAsia"/>
          <w:lang w:eastAsia="zh-CN"/>
        </w:rPr>
        <w:t>招标文件</w:t>
      </w:r>
      <w:r>
        <w:rPr>
          <w:rFonts w:hint="eastAsia"/>
        </w:rPr>
        <w:t>需求以书面形式向</w:t>
      </w:r>
      <w:r>
        <w:rPr>
          <w:rFonts w:hint="eastAsia"/>
          <w:lang w:eastAsia="zh-CN"/>
        </w:rPr>
        <w:t>招标人</w:t>
      </w:r>
      <w:r>
        <w:rPr>
          <w:rFonts w:hint="eastAsia"/>
        </w:rPr>
        <w:t>提出质疑，对其他内容以书面形式向</w:t>
      </w:r>
      <w:r>
        <w:rPr>
          <w:rFonts w:hint="eastAsia"/>
          <w:lang w:eastAsia="zh-CN"/>
        </w:rPr>
        <w:t>招标人</w:t>
      </w:r>
      <w:r>
        <w:rPr>
          <w:rFonts w:hint="eastAsia"/>
        </w:rPr>
        <w:t>和</w:t>
      </w:r>
      <w:r>
        <w:rPr>
          <w:rFonts w:hint="eastAsia"/>
          <w:lang w:eastAsia="zh-CN"/>
        </w:rPr>
        <w:t>招标代理机构</w:t>
      </w:r>
      <w:r>
        <w:rPr>
          <w:rFonts w:hint="eastAsia"/>
        </w:rPr>
        <w:t>提出质疑。质疑供应商对</w:t>
      </w:r>
      <w:r>
        <w:rPr>
          <w:rFonts w:hint="eastAsia"/>
          <w:lang w:eastAsia="zh-CN"/>
        </w:rPr>
        <w:t>招标人</w:t>
      </w:r>
      <w:r>
        <w:rPr>
          <w:rFonts w:hint="eastAsia"/>
        </w:rPr>
        <w:t>、</w:t>
      </w:r>
      <w:r>
        <w:rPr>
          <w:rFonts w:hint="eastAsia"/>
          <w:lang w:eastAsia="zh-CN"/>
        </w:rPr>
        <w:t>招标代理机构</w:t>
      </w:r>
      <w:r>
        <w:rPr>
          <w:rFonts w:hint="eastAsia"/>
        </w:rPr>
        <w:t>的答复不满意或</w:t>
      </w:r>
      <w:r>
        <w:rPr>
          <w:rFonts w:hint="eastAsia"/>
          <w:lang w:eastAsia="zh-CN"/>
        </w:rPr>
        <w:t>招标人</w:t>
      </w:r>
      <w:r>
        <w:rPr>
          <w:rFonts w:hint="eastAsia"/>
        </w:rPr>
        <w:t>、</w:t>
      </w:r>
      <w:r>
        <w:rPr>
          <w:rFonts w:hint="eastAsia"/>
          <w:lang w:eastAsia="zh-CN"/>
        </w:rPr>
        <w:t>招标代理机构</w:t>
      </w:r>
      <w:r>
        <w:rPr>
          <w:rFonts w:hint="eastAsia"/>
        </w:rPr>
        <w:t>未在规定的时间内作出答复的，可以在答复期满后十五个工作日内向同级政府采购监督管理部门投诉。质疑函范本、投诉书范本请到浙江政府采购网下载专区下载。</w:t>
      </w:r>
    </w:p>
    <w:p w14:paraId="35DF417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aps w:val="0"/>
          <w:color w:val="000000"/>
          <w:spacing w:val="0"/>
          <w:sz w:val="24"/>
          <w:szCs w:val="24"/>
          <w:lang w:eastAsia="zh-CN"/>
        </w:rPr>
      </w:pPr>
      <w:r>
        <w:rPr>
          <w:rFonts w:hint="eastAsia"/>
          <w:lang w:val="en-US" w:eastAsia="zh-CN"/>
        </w:rPr>
        <w:t>4.</w:t>
      </w:r>
      <w:r>
        <w:rPr>
          <w:rFonts w:hint="eastAsia" w:ascii="宋体" w:hAnsi="宋体" w:eastAsia="宋体" w:cs="宋体"/>
          <w:i w:val="0"/>
          <w:iCs w:val="0"/>
          <w:caps w:val="0"/>
          <w:color w:val="000000"/>
          <w:spacing w:val="0"/>
          <w:sz w:val="24"/>
          <w:szCs w:val="24"/>
        </w:rPr>
        <w:t>其他事项：（1）采购项目需要落实的政府采购政策：《政府采购促进中小企业发展管理办法》（财库﹝2020﹞46号）、《关于促进残疾人就业政府采购政策的通知》（财库〔2017〕141号）、《关于政府采购支持监狱企业发展有关问题的通知》（财库[2014]68号）、《关于调整优化节能产品环境标志产品政府采购执行机制的通知》（财库[2019]9号）。</w:t>
      </w:r>
    </w:p>
    <w:p w14:paraId="393E8D7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aps w:val="0"/>
          <w:color w:val="000000"/>
          <w:spacing w:val="0"/>
          <w:sz w:val="24"/>
          <w:szCs w:val="24"/>
          <w:lang w:eastAsia="zh-CN"/>
        </w:rPr>
      </w:pPr>
      <w:r>
        <w:rPr>
          <w:rFonts w:hint="eastAsia" w:ascii="宋体" w:hAnsi="宋体" w:eastAsia="宋体" w:cs="宋体"/>
          <w:i w:val="0"/>
          <w:iCs w:val="0"/>
          <w:caps w:val="0"/>
          <w:color w:val="000000"/>
          <w:spacing w:val="0"/>
          <w:sz w:val="24"/>
          <w:szCs w:val="24"/>
        </w:rPr>
        <w:t>（2）根据《浙江省财政厅关于规范政府采购供应商资格设定及资格审查的通知》（浙财采监[2013]24号）第6条规定接受金融、保险、通讯等特定行业的全国性企业所设立的区域性分支机构，以及个体工商户、个人独资企业、合伙企业，且已经依法办理了工商、税务和社保登记手续，并且获得总机构授权或能够提供房产权证或其他有效财产证明材料，证明其具备实际承担责任的能力和法定的缔结合同能力。</w:t>
      </w:r>
    </w:p>
    <w:p w14:paraId="6226EAC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i w:val="0"/>
          <w:iCs w:val="0"/>
          <w:caps w:val="0"/>
          <w:color w:val="000000"/>
          <w:spacing w:val="0"/>
          <w:sz w:val="24"/>
          <w:szCs w:val="24"/>
          <w:lang w:eastAsia="zh-CN"/>
        </w:rPr>
      </w:pPr>
      <w:r>
        <w:rPr>
          <w:rFonts w:hint="eastAsia" w:ascii="宋体" w:hAnsi="宋体" w:eastAsia="宋体" w:cs="宋体"/>
          <w:i w:val="0"/>
          <w:iCs w:val="0"/>
          <w:caps w:val="0"/>
          <w:color w:val="000000"/>
          <w:spacing w:val="0"/>
          <w:sz w:val="24"/>
          <w:szCs w:val="24"/>
        </w:rPr>
        <w:t>（3）单位负责人为同一人或者存在直接控股、管理关系的不同供应商，不得同时参加同一合同项下的投标。</w:t>
      </w:r>
    </w:p>
    <w:p w14:paraId="70A7B24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val="en-US" w:eastAsia="zh-CN"/>
        </w:rPr>
      </w:pPr>
      <w:r>
        <w:rPr>
          <w:rFonts w:hint="eastAsia" w:ascii="宋体" w:hAnsi="宋体" w:eastAsia="宋体" w:cs="宋体"/>
          <w:i w:val="0"/>
          <w:iCs w:val="0"/>
          <w:caps w:val="0"/>
          <w:color w:val="000000"/>
          <w:spacing w:val="0"/>
          <w:sz w:val="24"/>
          <w:szCs w:val="24"/>
        </w:rPr>
        <w:t>（4）为项目提供整体设计、规范编制或者项目管理、监理、检测等服务的供应商，不得参加该项目的投标。</w:t>
      </w:r>
    </w:p>
    <w:p w14:paraId="333F3489">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lang w:eastAsia="zh-CN"/>
        </w:rPr>
      </w:pPr>
      <w:bookmarkStart w:id="10" w:name="_Toc5293"/>
      <w:r>
        <w:rPr>
          <w:rFonts w:hint="eastAsia"/>
          <w:b/>
          <w:bCs/>
          <w:lang w:eastAsia="zh-CN"/>
        </w:rPr>
        <w:t>七</w:t>
      </w:r>
      <w:r>
        <w:rPr>
          <w:rFonts w:hint="eastAsia"/>
          <w:b/>
          <w:bCs/>
        </w:rPr>
        <w:t>、</w:t>
      </w:r>
      <w:bookmarkEnd w:id="10"/>
      <w:r>
        <w:rPr>
          <w:rFonts w:hint="eastAsia"/>
          <w:b/>
          <w:bCs/>
        </w:rPr>
        <w:t>对本次</w:t>
      </w:r>
      <w:r>
        <w:rPr>
          <w:rFonts w:hint="eastAsia"/>
          <w:b/>
          <w:bCs/>
          <w:lang w:eastAsia="zh-CN"/>
        </w:rPr>
        <w:t>招标</w:t>
      </w:r>
      <w:r>
        <w:rPr>
          <w:rFonts w:hint="eastAsia"/>
          <w:b/>
          <w:bCs/>
        </w:rPr>
        <w:t>提出询问、质疑、投诉，请按以下方式联系</w:t>
      </w:r>
    </w:p>
    <w:p w14:paraId="6AA6510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1.</w:t>
      </w:r>
      <w:r>
        <w:rPr>
          <w:rFonts w:hint="eastAsia"/>
          <w:lang w:eastAsia="zh-CN"/>
        </w:rPr>
        <w:t>采购人</w:t>
      </w:r>
      <w:r>
        <w:rPr>
          <w:rFonts w:hint="eastAsia"/>
        </w:rPr>
        <w:t>信息</w:t>
      </w:r>
    </w:p>
    <w:p w14:paraId="294B40AA">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宋体"/>
          <w:lang w:val="en-US" w:eastAsia="zh-CN"/>
        </w:rPr>
      </w:pPr>
      <w:r>
        <w:rPr>
          <w:rFonts w:hint="eastAsia"/>
        </w:rPr>
        <w:t>名称：</w:t>
      </w:r>
      <w:r>
        <w:rPr>
          <w:rFonts w:hint="eastAsia"/>
          <w:lang w:eastAsia="zh-CN"/>
        </w:rPr>
        <w:t>湖州学院</w:t>
      </w:r>
    </w:p>
    <w:p w14:paraId="38DFA24A">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宋体"/>
          <w:lang w:val="en-US" w:eastAsia="zh-CN"/>
        </w:rPr>
      </w:pPr>
      <w:r>
        <w:rPr>
          <w:rFonts w:hint="eastAsia"/>
        </w:rPr>
        <w:t>地址：</w:t>
      </w:r>
      <w:r>
        <w:rPr>
          <w:rFonts w:hint="eastAsia"/>
          <w:lang w:eastAsia="zh-CN"/>
        </w:rPr>
        <w:t>湖州市学士路</w:t>
      </w:r>
      <w:r>
        <w:rPr>
          <w:rFonts w:hint="eastAsia"/>
          <w:lang w:val="en-US" w:eastAsia="zh-CN"/>
        </w:rPr>
        <w:t>1号</w:t>
      </w:r>
    </w:p>
    <w:p w14:paraId="4D3FB6A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宋体"/>
          <w:lang w:val="en-US" w:eastAsia="zh-CN"/>
        </w:rPr>
      </w:pPr>
      <w:r>
        <w:rPr>
          <w:rFonts w:hint="eastAsia"/>
        </w:rPr>
        <w:t>项目联系人（询问）：</w:t>
      </w:r>
      <w:r>
        <w:rPr>
          <w:rFonts w:hint="eastAsia"/>
          <w:lang w:eastAsia="zh-CN"/>
        </w:rPr>
        <w:t>徐老师</w:t>
      </w:r>
    </w:p>
    <w:p w14:paraId="10EBAF21">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eastAsia="zh-CN"/>
        </w:rPr>
      </w:pPr>
      <w:r>
        <w:rPr>
          <w:rFonts w:hint="eastAsia"/>
        </w:rPr>
        <w:t>项目联系方式（询问）：</w:t>
      </w:r>
      <w:r>
        <w:rPr>
          <w:rFonts w:hint="eastAsia"/>
          <w:lang w:val="en-US" w:eastAsia="zh-CN"/>
        </w:rPr>
        <w:t>0572-2112239</w:t>
      </w:r>
    </w:p>
    <w:p w14:paraId="5455BE7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宋体"/>
          <w:lang w:eastAsia="zh-CN"/>
        </w:rPr>
      </w:pPr>
      <w:r>
        <w:rPr>
          <w:rFonts w:hint="eastAsia"/>
        </w:rPr>
        <w:t>质疑联系人：</w:t>
      </w:r>
      <w:r>
        <w:rPr>
          <w:rFonts w:hint="eastAsia"/>
          <w:lang w:eastAsia="zh-CN"/>
        </w:rPr>
        <w:t>孙老师</w:t>
      </w:r>
    </w:p>
    <w:p w14:paraId="4BD9211F">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eastAsia="zh-CN"/>
        </w:rPr>
      </w:pPr>
      <w:r>
        <w:rPr>
          <w:rFonts w:hint="eastAsia"/>
        </w:rPr>
        <w:t>质疑联系方式：</w:t>
      </w:r>
      <w:r>
        <w:rPr>
          <w:rFonts w:hint="eastAsia"/>
          <w:lang w:val="en-US" w:eastAsia="zh-CN"/>
        </w:rPr>
        <w:t>0572-2112239</w:t>
      </w:r>
    </w:p>
    <w:p w14:paraId="06D008F8">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pPr>
      <w:r>
        <w:rPr>
          <w:rFonts w:hint="eastAsia"/>
        </w:rPr>
        <w:t>2.</w:t>
      </w:r>
      <w:r>
        <w:rPr>
          <w:rFonts w:hint="eastAsia"/>
          <w:lang w:eastAsia="zh-CN"/>
        </w:rPr>
        <w:t>采购代理机构</w:t>
      </w:r>
      <w:r>
        <w:rPr>
          <w:rFonts w:hint="eastAsia"/>
        </w:rPr>
        <w:t>信息</w:t>
      </w:r>
    </w:p>
    <w:p w14:paraId="4347054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eastAsia="zh-CN"/>
        </w:rPr>
      </w:pPr>
      <w:r>
        <w:rPr>
          <w:rFonts w:hint="eastAsia"/>
        </w:rPr>
        <w:t>名称：</w:t>
      </w:r>
      <w:r>
        <w:rPr>
          <w:rFonts w:hint="eastAsia"/>
          <w:lang w:eastAsia="zh-CN"/>
        </w:rPr>
        <w:t>浙江致信招标代理有限公司</w:t>
      </w:r>
    </w:p>
    <w:p w14:paraId="5D780110">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eastAsia="zh-CN"/>
        </w:rPr>
      </w:pPr>
      <w:r>
        <w:rPr>
          <w:rFonts w:hint="eastAsia"/>
        </w:rPr>
        <w:t>地址：</w:t>
      </w:r>
      <w:r>
        <w:rPr>
          <w:rFonts w:hint="eastAsia"/>
          <w:lang w:eastAsia="zh-CN"/>
        </w:rPr>
        <w:t>湖州市康山街道嘉年华国际广场</w:t>
      </w:r>
      <w:r>
        <w:rPr>
          <w:rFonts w:hint="eastAsia"/>
          <w:lang w:val="en-US" w:eastAsia="zh-CN"/>
        </w:rPr>
        <w:t>C座C1805室</w:t>
      </w:r>
    </w:p>
    <w:p w14:paraId="389001E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eastAsia="zh-CN"/>
        </w:rPr>
      </w:pPr>
      <w:r>
        <w:rPr>
          <w:rFonts w:hint="eastAsia"/>
        </w:rPr>
        <w:t>项目联系人（询问）：</w:t>
      </w:r>
      <w:r>
        <w:rPr>
          <w:rFonts w:hint="eastAsia"/>
          <w:lang w:eastAsia="zh-CN"/>
        </w:rPr>
        <w:t>徐工</w:t>
      </w:r>
    </w:p>
    <w:p w14:paraId="1254BEE1">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eastAsia="zh-CN"/>
        </w:rPr>
      </w:pPr>
      <w:r>
        <w:rPr>
          <w:rFonts w:hint="eastAsia"/>
        </w:rPr>
        <w:t>项目联系方式（询问）：</w:t>
      </w:r>
      <w:r>
        <w:rPr>
          <w:rFonts w:hint="eastAsia"/>
          <w:lang w:val="en-US" w:eastAsia="zh-CN"/>
        </w:rPr>
        <w:t>0572-2038559</w:t>
      </w:r>
    </w:p>
    <w:p w14:paraId="52C9030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eastAsia="zh-CN"/>
        </w:rPr>
      </w:pPr>
      <w:r>
        <w:rPr>
          <w:rFonts w:hint="eastAsia"/>
        </w:rPr>
        <w:t>质疑联系人：</w:t>
      </w:r>
      <w:r>
        <w:rPr>
          <w:rFonts w:hint="eastAsia"/>
          <w:lang w:eastAsia="zh-CN"/>
        </w:rPr>
        <w:t>俞工</w:t>
      </w:r>
    </w:p>
    <w:p w14:paraId="5B19DEDF">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lang w:val="en-US" w:eastAsia="zh-CN"/>
        </w:rPr>
      </w:pPr>
      <w:r>
        <w:rPr>
          <w:rFonts w:hint="eastAsia"/>
        </w:rPr>
        <w:t>质疑联系方式：</w:t>
      </w:r>
      <w:r>
        <w:rPr>
          <w:rFonts w:hint="eastAsia"/>
          <w:lang w:val="en-US" w:eastAsia="zh-CN"/>
        </w:rPr>
        <w:t>0571-88026807</w:t>
      </w:r>
    </w:p>
    <w:p w14:paraId="74136C26">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同级政府采购监督管理部门</w:t>
      </w:r>
    </w:p>
    <w:p w14:paraId="777BD1F4">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名称：湖州市财政局政府采购监管处</w:t>
      </w:r>
    </w:p>
    <w:p w14:paraId="500DB6D9">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地址：湖州市吴兴区龙王山路518号</w:t>
      </w:r>
    </w:p>
    <w:p w14:paraId="59F42AC9">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sz w:val="24"/>
          <w:szCs w:val="24"/>
          <w:lang w:eastAsia="zh-CN"/>
        </w:rPr>
        <w:t>程先生</w:t>
      </w:r>
    </w:p>
    <w:p w14:paraId="3D52F7BF">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宋体"/>
          <w:lang w:val="en-US" w:eastAsia="zh-CN"/>
        </w:rPr>
      </w:pPr>
      <w:r>
        <w:rPr>
          <w:rFonts w:hint="eastAsia" w:ascii="宋体" w:hAnsi="宋体" w:eastAsia="宋体" w:cs="宋体"/>
          <w:sz w:val="24"/>
          <w:szCs w:val="24"/>
        </w:rPr>
        <w:t>监督投诉电话：0572-2150</w:t>
      </w:r>
      <w:r>
        <w:rPr>
          <w:rFonts w:hint="eastAsia" w:ascii="宋体" w:hAnsi="宋体" w:eastAsia="宋体" w:cs="宋体"/>
          <w:sz w:val="24"/>
          <w:szCs w:val="24"/>
          <w:lang w:val="en-US" w:eastAsia="zh-CN"/>
        </w:rPr>
        <w:t>216</w:t>
      </w:r>
    </w:p>
    <w:p w14:paraId="39532A94">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textAlignment w:val="auto"/>
        <w:rPr>
          <w:rFonts w:hint="eastAsia" w:cs="宋体"/>
          <w:highlight w:val="none"/>
          <w:lang w:val="en-US" w:eastAsia="zh-CN"/>
        </w:rPr>
      </w:pPr>
    </w:p>
    <w:p w14:paraId="2D0D5BEE">
      <w:pPr>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eastAsia" w:ascii="宋体" w:hAnsi="宋体" w:cs="宋体"/>
          <w:sz w:val="24"/>
        </w:rPr>
      </w:pPr>
      <w:r>
        <w:rPr>
          <w:rFonts w:hint="eastAsia" w:cs="宋体"/>
          <w:highlight w:val="none"/>
          <w:lang w:val="en-US" w:eastAsia="zh-CN"/>
        </w:rPr>
        <w:t>提示：</w:t>
      </w:r>
      <w:r>
        <w:rPr>
          <w:rFonts w:hint="eastAsia" w:ascii="宋体" w:hAnsi="宋体" w:cs="宋体"/>
          <w:sz w:val="24"/>
        </w:rPr>
        <w:t>若对项目采购电子交易系统操作有疑问，可登录政采云（https://www.zcygov.cn/），点击右侧咨询小采，获取采小蜜智能服务管家帮助，或拨打政采云服务热线</w:t>
      </w:r>
      <w:r>
        <w:rPr>
          <w:rFonts w:hint="eastAsia" w:cs="宋体"/>
          <w:sz w:val="24"/>
          <w:lang w:val="en-US" w:eastAsia="zh-CN"/>
        </w:rPr>
        <w:t>95763</w:t>
      </w:r>
      <w:r>
        <w:rPr>
          <w:rFonts w:hint="eastAsia" w:ascii="宋体" w:hAnsi="宋体" w:cs="宋体"/>
          <w:sz w:val="24"/>
        </w:rPr>
        <w:t>获取热线服务帮助。</w:t>
      </w:r>
    </w:p>
    <w:p w14:paraId="42C468FD">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cs="宋体"/>
          <w:highlight w:val="none"/>
          <w:lang w:val="en-US" w:eastAsia="zh-CN"/>
        </w:rPr>
      </w:pPr>
      <w:r>
        <w:rPr>
          <w:rFonts w:hint="eastAsia"/>
        </w:rPr>
        <w:t>CA问题联系电话（人工）：汇信CA 400-888-4636；天谷CA 400-087-8198</w:t>
      </w:r>
    </w:p>
    <w:p w14:paraId="65BB1617">
      <w:pPr>
        <w:pStyle w:val="78"/>
        <w:rPr>
          <w:rFonts w:hint="default" w:ascii="宋体" w:hAnsi="宋体" w:eastAsia="宋体" w:cs="宋体"/>
          <w:color w:val="auto"/>
          <w:lang w:val="en-US" w:eastAsia="zh-CN"/>
        </w:rPr>
      </w:pPr>
      <w:r>
        <w:rPr>
          <w:rFonts w:hint="eastAsia" w:ascii="宋体" w:hAnsi="宋体" w:eastAsia="宋体" w:cs="宋体"/>
          <w:color w:val="auto"/>
          <w:lang w:val="en-US" w:eastAsia="zh-CN"/>
        </w:rPr>
        <w:t xml:space="preserve">   </w:t>
      </w:r>
    </w:p>
    <w:p w14:paraId="191788FC">
      <w:pPr>
        <w:pStyle w:val="78"/>
        <w:rPr>
          <w:rFonts w:hint="eastAsia" w:ascii="宋体" w:hAnsi="宋体" w:eastAsia="宋体" w:cs="宋体"/>
          <w:color w:val="auto"/>
        </w:rPr>
        <w:sectPr>
          <w:footerReference r:id="rId13" w:type="default"/>
          <w:pgSz w:w="11906" w:h="16838"/>
          <w:pgMar w:top="1247" w:right="1247" w:bottom="1247" w:left="1247" w:header="170" w:footer="567" w:gutter="0"/>
          <w:pgNumType w:fmt="decimal" w:start="1"/>
          <w:cols w:space="720" w:num="1"/>
          <w:docGrid w:linePitch="381" w:charSpace="0"/>
        </w:sectPr>
      </w:pPr>
    </w:p>
    <w:bookmarkEnd w:id="3"/>
    <w:p w14:paraId="5007E144">
      <w:pPr>
        <w:pStyle w:val="3"/>
        <w:numPr>
          <w:ilvl w:val="0"/>
          <w:numId w:val="0"/>
        </w:numPr>
        <w:jc w:val="center"/>
        <w:rPr>
          <w:rFonts w:hint="eastAsia" w:ascii="宋体" w:hAnsi="宋体" w:eastAsia="宋体" w:cs="宋体"/>
          <w:sz w:val="36"/>
          <w:szCs w:val="36"/>
        </w:rPr>
      </w:pPr>
      <w:bookmarkStart w:id="11" w:name="_Toc8514"/>
      <w:r>
        <w:rPr>
          <w:rFonts w:hint="eastAsia" w:cs="宋体"/>
          <w:sz w:val="36"/>
          <w:szCs w:val="36"/>
          <w:lang w:eastAsia="zh-CN"/>
        </w:rPr>
        <w:t>第二章</w:t>
      </w:r>
      <w:r>
        <w:rPr>
          <w:rFonts w:hint="eastAsia" w:cs="宋体"/>
          <w:sz w:val="36"/>
          <w:szCs w:val="36"/>
          <w:lang w:val="en-US" w:eastAsia="zh-CN"/>
        </w:rPr>
        <w:t xml:space="preserve">  </w:t>
      </w:r>
      <w:r>
        <w:rPr>
          <w:rFonts w:hint="eastAsia" w:cs="宋体"/>
          <w:sz w:val="36"/>
          <w:szCs w:val="36"/>
          <w:lang w:eastAsia="zh-CN"/>
        </w:rPr>
        <w:t>采购</w:t>
      </w:r>
      <w:r>
        <w:rPr>
          <w:rFonts w:hint="eastAsia" w:ascii="宋体" w:hAnsi="宋体" w:eastAsia="宋体" w:cs="宋体"/>
          <w:sz w:val="36"/>
          <w:szCs w:val="36"/>
        </w:rPr>
        <w:t>需求</w:t>
      </w:r>
      <w:bookmarkEnd w:id="11"/>
    </w:p>
    <w:p w14:paraId="7475263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b/>
          <w:bCs/>
          <w:lang w:eastAsia="zh-CN"/>
        </w:rPr>
      </w:pPr>
      <w:bookmarkStart w:id="12" w:name="_Toc21112"/>
      <w:bookmarkStart w:id="13" w:name="_Toc18187"/>
      <w:bookmarkStart w:id="14" w:name="_Toc450840085"/>
      <w:r>
        <w:rPr>
          <w:rFonts w:hint="eastAsia" w:ascii="宋体" w:hAnsi="宋体" w:eastAsia="宋体" w:cs="宋体"/>
          <w:b/>
          <w:bCs/>
        </w:rPr>
        <w:t>一、</w:t>
      </w:r>
      <w:r>
        <w:rPr>
          <w:rFonts w:hint="eastAsia" w:ascii="宋体" w:hAnsi="宋体" w:eastAsia="宋体" w:cs="宋体"/>
          <w:b/>
          <w:bCs/>
          <w:lang w:eastAsia="zh-CN"/>
        </w:rPr>
        <w:t>项目概况</w:t>
      </w:r>
    </w:p>
    <w:tbl>
      <w:tblPr>
        <w:tblStyle w:val="45"/>
        <w:tblW w:w="10323" w:type="dxa"/>
        <w:tblInd w:w="-2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2427"/>
        <w:gridCol w:w="805"/>
        <w:gridCol w:w="859"/>
        <w:gridCol w:w="2018"/>
        <w:gridCol w:w="1582"/>
        <w:gridCol w:w="1800"/>
      </w:tblGrid>
      <w:tr w14:paraId="07448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32" w:type="dxa"/>
            <w:noWrap w:val="0"/>
            <w:vAlign w:val="center"/>
          </w:tcPr>
          <w:p w14:paraId="28F0B99C">
            <w:pPr>
              <w:keepNext w:val="0"/>
              <w:keepLines w:val="0"/>
              <w:pageBreakBefore w:val="0"/>
              <w:kinsoku/>
              <w:wordWrap/>
              <w:overflowPunct/>
              <w:topLinePunct w:val="0"/>
              <w:bidi w:val="0"/>
              <w:adjustRightInd/>
              <w:snapToGrid/>
              <w:spacing w:line="420" w:lineRule="exact"/>
              <w:ind w:left="0" w:leftChars="0" w:firstLine="0" w:firstLineChars="0"/>
              <w:jc w:val="center"/>
              <w:textAlignment w:val="auto"/>
              <w:rPr>
                <w:rFonts w:hint="eastAsia" w:ascii="宋体" w:hAnsi="宋体" w:eastAsia="宋体" w:cs="仿宋"/>
                <w:b/>
                <w:bCs/>
                <w:sz w:val="24"/>
                <w:lang w:eastAsia="zh-CN"/>
              </w:rPr>
            </w:pPr>
            <w:r>
              <w:rPr>
                <w:rFonts w:hint="eastAsia" w:ascii="宋体" w:hAnsi="宋体" w:eastAsia="宋体" w:cs="仿宋"/>
                <w:b/>
                <w:bCs/>
                <w:sz w:val="24"/>
                <w:highlight w:val="none"/>
                <w:lang w:eastAsia="zh-CN"/>
              </w:rPr>
              <w:t>标项</w:t>
            </w:r>
          </w:p>
        </w:tc>
        <w:tc>
          <w:tcPr>
            <w:tcW w:w="2427" w:type="dxa"/>
            <w:noWrap w:val="0"/>
            <w:vAlign w:val="center"/>
          </w:tcPr>
          <w:p w14:paraId="6DDA31DB">
            <w:pPr>
              <w:keepNext w:val="0"/>
              <w:keepLines w:val="0"/>
              <w:pageBreakBefore w:val="0"/>
              <w:kinsoku/>
              <w:wordWrap/>
              <w:overflowPunct/>
              <w:topLinePunct w:val="0"/>
              <w:bidi w:val="0"/>
              <w:adjustRightInd/>
              <w:snapToGrid/>
              <w:spacing w:line="420" w:lineRule="exact"/>
              <w:ind w:left="0" w:leftChars="0" w:firstLine="0" w:firstLineChars="0"/>
              <w:jc w:val="center"/>
              <w:textAlignment w:val="auto"/>
              <w:rPr>
                <w:rFonts w:hint="eastAsia" w:ascii="宋体" w:hAnsi="宋体" w:eastAsia="宋体" w:cs="仿宋"/>
                <w:b/>
                <w:bCs/>
                <w:sz w:val="24"/>
                <w:lang w:eastAsia="zh-CN"/>
              </w:rPr>
            </w:pPr>
            <w:r>
              <w:rPr>
                <w:rFonts w:hint="eastAsia" w:ascii="宋体" w:hAnsi="宋体" w:eastAsia="宋体" w:cs="仿宋"/>
                <w:b/>
                <w:bCs/>
                <w:sz w:val="24"/>
                <w:highlight w:val="none"/>
                <w:lang w:eastAsia="zh-CN"/>
              </w:rPr>
              <w:t>采购内容</w:t>
            </w:r>
          </w:p>
        </w:tc>
        <w:tc>
          <w:tcPr>
            <w:tcW w:w="805" w:type="dxa"/>
            <w:noWrap w:val="0"/>
            <w:vAlign w:val="center"/>
          </w:tcPr>
          <w:p w14:paraId="4D230CEC">
            <w:pPr>
              <w:keepNext w:val="0"/>
              <w:keepLines w:val="0"/>
              <w:pageBreakBefore w:val="0"/>
              <w:kinsoku/>
              <w:wordWrap/>
              <w:overflowPunct/>
              <w:topLinePunct w:val="0"/>
              <w:bidi w:val="0"/>
              <w:adjustRightInd/>
              <w:snapToGrid/>
              <w:spacing w:line="420" w:lineRule="exact"/>
              <w:ind w:left="0" w:leftChars="0" w:firstLine="0" w:firstLineChars="0"/>
              <w:jc w:val="center"/>
              <w:textAlignment w:val="auto"/>
              <w:rPr>
                <w:rFonts w:hint="eastAsia" w:ascii="宋体" w:hAnsi="宋体" w:eastAsia="宋体" w:cs="仿宋"/>
                <w:b/>
                <w:bCs/>
                <w:sz w:val="24"/>
                <w:lang w:eastAsia="zh-CN"/>
              </w:rPr>
            </w:pPr>
            <w:r>
              <w:rPr>
                <w:rFonts w:hint="eastAsia" w:ascii="宋体" w:hAnsi="宋体" w:eastAsia="宋体" w:cs="仿宋"/>
                <w:b/>
                <w:bCs/>
                <w:sz w:val="24"/>
                <w:highlight w:val="none"/>
                <w:lang w:val="en-US" w:eastAsia="zh-CN"/>
              </w:rPr>
              <w:t>数量</w:t>
            </w:r>
          </w:p>
        </w:tc>
        <w:tc>
          <w:tcPr>
            <w:tcW w:w="859" w:type="dxa"/>
            <w:noWrap w:val="0"/>
            <w:vAlign w:val="center"/>
          </w:tcPr>
          <w:p w14:paraId="15E4E271">
            <w:pPr>
              <w:keepNext w:val="0"/>
              <w:keepLines w:val="0"/>
              <w:pageBreakBefore w:val="0"/>
              <w:kinsoku/>
              <w:wordWrap/>
              <w:overflowPunct/>
              <w:topLinePunct w:val="0"/>
              <w:bidi w:val="0"/>
              <w:adjustRightInd/>
              <w:snapToGrid/>
              <w:spacing w:line="420" w:lineRule="exact"/>
              <w:ind w:left="0" w:leftChars="0" w:firstLine="0" w:firstLineChars="0"/>
              <w:jc w:val="center"/>
              <w:textAlignment w:val="auto"/>
              <w:rPr>
                <w:rFonts w:hint="eastAsia" w:ascii="宋体" w:hAnsi="宋体" w:eastAsia="宋体" w:cs="仿宋"/>
                <w:b/>
                <w:bCs/>
                <w:sz w:val="24"/>
                <w:lang w:eastAsia="zh-CN"/>
              </w:rPr>
            </w:pPr>
            <w:r>
              <w:rPr>
                <w:rFonts w:hint="eastAsia" w:ascii="宋体" w:hAnsi="宋体" w:eastAsia="宋体" w:cs="仿宋"/>
                <w:b/>
                <w:bCs/>
                <w:sz w:val="24"/>
                <w:highlight w:val="none"/>
                <w:lang w:val="en-US" w:eastAsia="zh-CN"/>
              </w:rPr>
              <w:t>单位</w:t>
            </w:r>
          </w:p>
        </w:tc>
        <w:tc>
          <w:tcPr>
            <w:tcW w:w="2018" w:type="dxa"/>
            <w:noWrap w:val="0"/>
            <w:vAlign w:val="center"/>
          </w:tcPr>
          <w:p w14:paraId="5372DA1B">
            <w:pPr>
              <w:keepNext w:val="0"/>
              <w:keepLines w:val="0"/>
              <w:pageBreakBefore w:val="0"/>
              <w:kinsoku/>
              <w:wordWrap/>
              <w:overflowPunct/>
              <w:topLinePunct w:val="0"/>
              <w:bidi w:val="0"/>
              <w:adjustRightInd/>
              <w:snapToGrid/>
              <w:spacing w:line="420" w:lineRule="exact"/>
              <w:ind w:left="0" w:leftChars="0" w:firstLine="0" w:firstLineChars="0"/>
              <w:jc w:val="center"/>
              <w:textAlignment w:val="auto"/>
              <w:rPr>
                <w:rFonts w:hint="eastAsia" w:ascii="宋体" w:hAnsi="宋体" w:eastAsia="宋体" w:cs="仿宋"/>
                <w:b/>
                <w:bCs/>
                <w:sz w:val="24"/>
                <w:lang w:eastAsia="zh-CN"/>
              </w:rPr>
            </w:pPr>
            <w:r>
              <w:rPr>
                <w:rFonts w:hint="eastAsia" w:ascii="宋体" w:hAnsi="宋体" w:eastAsia="宋体" w:cs="仿宋"/>
                <w:b/>
                <w:bCs/>
                <w:sz w:val="24"/>
                <w:highlight w:val="none"/>
                <w:lang w:val="en-US" w:eastAsia="zh-CN"/>
              </w:rPr>
              <w:t>简要规格描述</w:t>
            </w:r>
          </w:p>
        </w:tc>
        <w:tc>
          <w:tcPr>
            <w:tcW w:w="1582" w:type="dxa"/>
            <w:noWrap w:val="0"/>
            <w:vAlign w:val="center"/>
          </w:tcPr>
          <w:p w14:paraId="508FC359">
            <w:pPr>
              <w:keepNext w:val="0"/>
              <w:keepLines w:val="0"/>
              <w:pageBreakBefore w:val="0"/>
              <w:kinsoku/>
              <w:wordWrap/>
              <w:overflowPunct/>
              <w:topLinePunct w:val="0"/>
              <w:bidi w:val="0"/>
              <w:adjustRightInd/>
              <w:snapToGrid/>
              <w:spacing w:line="420" w:lineRule="exact"/>
              <w:ind w:left="0" w:leftChars="0" w:firstLine="0" w:firstLineChars="0"/>
              <w:jc w:val="center"/>
              <w:textAlignment w:val="auto"/>
              <w:rPr>
                <w:rFonts w:hint="default" w:ascii="宋体" w:hAnsi="宋体" w:eastAsia="宋体" w:cs="仿宋"/>
                <w:b/>
                <w:bCs/>
                <w:sz w:val="24"/>
                <w:lang w:val="en-US" w:eastAsia="zh-CN"/>
              </w:rPr>
            </w:pPr>
            <w:r>
              <w:rPr>
                <w:rFonts w:hint="eastAsia" w:ascii="宋体" w:hAnsi="宋体" w:eastAsia="宋体" w:cs="仿宋"/>
                <w:b/>
                <w:bCs/>
                <w:sz w:val="24"/>
                <w:highlight w:val="none"/>
                <w:lang w:eastAsia="zh-CN"/>
              </w:rPr>
              <w:t>预算</w:t>
            </w:r>
            <w:r>
              <w:rPr>
                <w:rFonts w:hint="eastAsia" w:ascii="宋体" w:hAnsi="宋体" w:eastAsia="宋体" w:cs="仿宋"/>
                <w:b/>
                <w:bCs/>
                <w:sz w:val="24"/>
                <w:highlight w:val="none"/>
                <w:lang w:val="en-US" w:eastAsia="zh-CN"/>
              </w:rPr>
              <w:t>金额</w:t>
            </w:r>
          </w:p>
        </w:tc>
        <w:tc>
          <w:tcPr>
            <w:tcW w:w="1800" w:type="dxa"/>
            <w:noWrap w:val="0"/>
            <w:vAlign w:val="center"/>
          </w:tcPr>
          <w:p w14:paraId="21781437">
            <w:pPr>
              <w:keepNext w:val="0"/>
              <w:keepLines w:val="0"/>
              <w:pageBreakBefore w:val="0"/>
              <w:kinsoku/>
              <w:wordWrap/>
              <w:overflowPunct/>
              <w:topLinePunct w:val="0"/>
              <w:bidi w:val="0"/>
              <w:adjustRightInd/>
              <w:snapToGrid/>
              <w:spacing w:line="420" w:lineRule="exact"/>
              <w:ind w:left="0" w:leftChars="0" w:firstLine="0" w:firstLineChars="0"/>
              <w:jc w:val="center"/>
              <w:textAlignment w:val="auto"/>
              <w:rPr>
                <w:rFonts w:hint="eastAsia" w:ascii="宋体" w:hAnsi="宋体" w:eastAsia="宋体" w:cs="仿宋"/>
                <w:b/>
                <w:bCs/>
                <w:sz w:val="24"/>
                <w:highlight w:val="none"/>
                <w:lang w:eastAsia="zh-CN"/>
              </w:rPr>
            </w:pPr>
            <w:r>
              <w:rPr>
                <w:rFonts w:hint="eastAsia" w:ascii="宋体" w:hAnsi="宋体" w:eastAsia="宋体" w:cs="仿宋"/>
                <w:b/>
                <w:bCs/>
                <w:sz w:val="24"/>
                <w:highlight w:val="none"/>
                <w:lang w:val="en-US" w:eastAsia="zh-CN"/>
              </w:rPr>
              <w:t>交货期限</w:t>
            </w:r>
          </w:p>
        </w:tc>
      </w:tr>
      <w:tr w14:paraId="726D3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32" w:type="dxa"/>
            <w:noWrap w:val="0"/>
            <w:vAlign w:val="center"/>
          </w:tcPr>
          <w:p w14:paraId="7776BA3A">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ascii="宋体" w:hAnsi="宋体" w:eastAsia="宋体" w:cs="仿宋"/>
                <w:sz w:val="24"/>
              </w:rPr>
            </w:pPr>
            <w:r>
              <w:rPr>
                <w:rFonts w:hint="eastAsia" w:ascii="宋体" w:hAnsi="宋体" w:eastAsia="宋体" w:cs="仿宋"/>
                <w:sz w:val="24"/>
                <w:highlight w:val="none"/>
                <w:lang w:val="en-US" w:eastAsia="zh-CN"/>
              </w:rPr>
              <w:t>一</w:t>
            </w:r>
          </w:p>
        </w:tc>
        <w:tc>
          <w:tcPr>
            <w:tcW w:w="2427" w:type="dxa"/>
            <w:noWrap w:val="0"/>
            <w:vAlign w:val="center"/>
          </w:tcPr>
          <w:p w14:paraId="783C8A64">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both"/>
              <w:textAlignment w:val="auto"/>
              <w:rPr>
                <w:rFonts w:hint="default" w:ascii="宋体" w:hAnsi="宋体" w:eastAsia="宋体" w:cs="仿宋"/>
                <w:sz w:val="24"/>
                <w:lang w:val="en-US" w:eastAsia="zh-CN"/>
              </w:rPr>
            </w:pPr>
            <w:r>
              <w:rPr>
                <w:rFonts w:hint="eastAsia" w:cs="宋体"/>
                <w:b w:val="0"/>
                <w:bCs/>
                <w:color w:val="auto"/>
                <w:kern w:val="0"/>
                <w:sz w:val="24"/>
                <w:szCs w:val="24"/>
                <w:lang w:val="en-US" w:eastAsia="zh-CN" w:bidi="ar-SA"/>
              </w:rPr>
              <w:t>篮球、乒乓球、排球、网球、羽毛球馆设备</w:t>
            </w:r>
          </w:p>
        </w:tc>
        <w:tc>
          <w:tcPr>
            <w:tcW w:w="805" w:type="dxa"/>
            <w:noWrap w:val="0"/>
            <w:vAlign w:val="center"/>
          </w:tcPr>
          <w:p w14:paraId="2103300F">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default" w:ascii="宋体" w:hAnsi="宋体" w:eastAsia="宋体" w:cs="仿宋"/>
                <w:sz w:val="24"/>
                <w:lang w:val="en-US" w:eastAsia="zh-CN"/>
              </w:rPr>
            </w:pPr>
            <w:r>
              <w:rPr>
                <w:rFonts w:hint="eastAsia" w:ascii="宋体" w:hAnsi="宋体" w:eastAsia="宋体" w:cs="仿宋"/>
                <w:sz w:val="24"/>
                <w:lang w:val="en-US" w:eastAsia="zh-CN"/>
              </w:rPr>
              <w:t>1</w:t>
            </w:r>
          </w:p>
        </w:tc>
        <w:tc>
          <w:tcPr>
            <w:tcW w:w="859" w:type="dxa"/>
            <w:noWrap w:val="0"/>
            <w:vAlign w:val="center"/>
          </w:tcPr>
          <w:p w14:paraId="08BC2938">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w:t>
            </w:r>
          </w:p>
        </w:tc>
        <w:tc>
          <w:tcPr>
            <w:tcW w:w="2018" w:type="dxa"/>
            <w:noWrap w:val="0"/>
            <w:vAlign w:val="center"/>
          </w:tcPr>
          <w:p w14:paraId="3140D73F">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详见“采购清单”</w:t>
            </w:r>
          </w:p>
        </w:tc>
        <w:tc>
          <w:tcPr>
            <w:tcW w:w="1582" w:type="dxa"/>
            <w:noWrap w:val="0"/>
            <w:vAlign w:val="center"/>
          </w:tcPr>
          <w:p w14:paraId="29ACF01F">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default" w:ascii="宋体" w:hAnsi="宋体" w:eastAsia="宋体" w:cs="仿宋"/>
                <w:sz w:val="24"/>
                <w:highlight w:val="none"/>
                <w:lang w:val="en-US" w:eastAsia="zh-CN"/>
              </w:rPr>
            </w:pPr>
            <w:r>
              <w:rPr>
                <w:rFonts w:hint="eastAsia"/>
                <w:lang w:val="en-US" w:eastAsia="zh-CN"/>
              </w:rPr>
              <w:t>1195853元</w:t>
            </w:r>
          </w:p>
        </w:tc>
        <w:tc>
          <w:tcPr>
            <w:tcW w:w="1800" w:type="dxa"/>
            <w:vMerge w:val="restart"/>
            <w:noWrap w:val="0"/>
            <w:vAlign w:val="center"/>
          </w:tcPr>
          <w:p w14:paraId="43E53BEF">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both"/>
              <w:textAlignment w:val="auto"/>
              <w:rPr>
                <w:rFonts w:hint="default" w:ascii="宋体" w:hAnsi="宋体" w:eastAsia="宋体" w:cs="宋体"/>
                <w:sz w:val="24"/>
                <w:szCs w:val="24"/>
                <w:highlight w:val="none"/>
                <w:lang w:val="en-US" w:eastAsia="zh-CN"/>
              </w:rPr>
            </w:pPr>
            <w:r>
              <w:rPr>
                <w:rFonts w:hint="eastAsia" w:cs="宋体"/>
                <w:lang w:eastAsia="zh-CN"/>
              </w:rPr>
              <w:t>四个标项均于</w:t>
            </w:r>
            <w:r>
              <w:rPr>
                <w:rFonts w:hint="eastAsia"/>
                <w:lang w:val="en-US" w:eastAsia="zh-CN"/>
              </w:rPr>
              <w:t>2025年5月30日之前完成供货、安装、调试</w:t>
            </w:r>
          </w:p>
        </w:tc>
      </w:tr>
      <w:tr w14:paraId="2CF7F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32" w:type="dxa"/>
            <w:noWrap w:val="0"/>
            <w:vAlign w:val="center"/>
          </w:tcPr>
          <w:p w14:paraId="4B3869BA">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仿宋"/>
                <w:sz w:val="24"/>
                <w:lang w:val="en-US" w:eastAsia="zh-CN"/>
              </w:rPr>
            </w:pPr>
            <w:r>
              <w:rPr>
                <w:rFonts w:hint="eastAsia" w:ascii="宋体" w:hAnsi="宋体" w:eastAsia="宋体" w:cs="仿宋"/>
                <w:sz w:val="24"/>
                <w:highlight w:val="none"/>
                <w:lang w:val="en-US" w:eastAsia="zh-CN"/>
              </w:rPr>
              <w:t>二</w:t>
            </w:r>
          </w:p>
        </w:tc>
        <w:tc>
          <w:tcPr>
            <w:tcW w:w="2427" w:type="dxa"/>
            <w:noWrap w:val="0"/>
            <w:vAlign w:val="center"/>
          </w:tcPr>
          <w:p w14:paraId="36E01D81">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both"/>
              <w:textAlignment w:val="auto"/>
              <w:rPr>
                <w:rFonts w:hint="default" w:ascii="宋体" w:hAnsi="宋体" w:eastAsia="宋体" w:cs="仿宋"/>
                <w:sz w:val="24"/>
                <w:lang w:val="en-US" w:eastAsia="zh-CN"/>
              </w:rPr>
            </w:pPr>
            <w:r>
              <w:rPr>
                <w:rFonts w:hint="eastAsia" w:ascii="宋体" w:hAnsi="宋体" w:eastAsia="宋体" w:cs="宋体"/>
                <w:b w:val="0"/>
                <w:bCs/>
                <w:color w:val="auto"/>
                <w:kern w:val="0"/>
                <w:sz w:val="24"/>
                <w:szCs w:val="24"/>
                <w:lang w:val="en-US" w:eastAsia="zh-CN" w:bidi="ar-SA"/>
              </w:rPr>
              <w:t>瑜伽馆、武术馆、跆拳道馆、体操馆、健美操馆、力量馆与职工之家设备</w:t>
            </w:r>
          </w:p>
        </w:tc>
        <w:tc>
          <w:tcPr>
            <w:tcW w:w="805" w:type="dxa"/>
            <w:noWrap w:val="0"/>
            <w:vAlign w:val="center"/>
          </w:tcPr>
          <w:p w14:paraId="2FCA5125">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default" w:ascii="宋体" w:hAnsi="宋体" w:eastAsia="宋体" w:cs="仿宋"/>
                <w:sz w:val="24"/>
                <w:lang w:val="en-US" w:eastAsia="zh-CN"/>
              </w:rPr>
            </w:pPr>
            <w:r>
              <w:rPr>
                <w:rFonts w:hint="eastAsia" w:ascii="宋体" w:hAnsi="宋体" w:eastAsia="宋体" w:cs="仿宋"/>
                <w:sz w:val="24"/>
                <w:lang w:val="en-US" w:eastAsia="zh-CN"/>
              </w:rPr>
              <w:t>1</w:t>
            </w:r>
          </w:p>
        </w:tc>
        <w:tc>
          <w:tcPr>
            <w:tcW w:w="859" w:type="dxa"/>
            <w:noWrap w:val="0"/>
            <w:vAlign w:val="center"/>
          </w:tcPr>
          <w:p w14:paraId="076D82B7">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w:t>
            </w:r>
          </w:p>
        </w:tc>
        <w:tc>
          <w:tcPr>
            <w:tcW w:w="2018" w:type="dxa"/>
            <w:noWrap w:val="0"/>
            <w:vAlign w:val="center"/>
          </w:tcPr>
          <w:p w14:paraId="20D76BDC">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详见“采购清单”</w:t>
            </w:r>
          </w:p>
        </w:tc>
        <w:tc>
          <w:tcPr>
            <w:tcW w:w="1582" w:type="dxa"/>
            <w:noWrap w:val="0"/>
            <w:vAlign w:val="center"/>
          </w:tcPr>
          <w:p w14:paraId="1B3EFEF5">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仿宋"/>
                <w:sz w:val="24"/>
                <w:highlight w:val="none"/>
                <w:lang w:eastAsia="zh-CN"/>
              </w:rPr>
            </w:pPr>
            <w:r>
              <w:rPr>
                <w:rFonts w:hint="eastAsia" w:ascii="仿宋" w:hAnsi="仿宋" w:eastAsia="仿宋" w:cs="仿宋"/>
                <w:b w:val="0"/>
                <w:bCs w:val="0"/>
                <w:kern w:val="0"/>
                <w:sz w:val="24"/>
                <w:szCs w:val="24"/>
                <w:lang w:val="en-US" w:eastAsia="zh-CN" w:bidi="ar-SA"/>
              </w:rPr>
              <w:t>2722774</w:t>
            </w:r>
            <w:r>
              <w:rPr>
                <w:rFonts w:hint="eastAsia"/>
                <w:lang w:val="en-US" w:eastAsia="zh-CN"/>
              </w:rPr>
              <w:t>元</w:t>
            </w:r>
          </w:p>
        </w:tc>
        <w:tc>
          <w:tcPr>
            <w:tcW w:w="1800" w:type="dxa"/>
            <w:vMerge w:val="continue"/>
            <w:noWrap w:val="0"/>
            <w:vAlign w:val="center"/>
          </w:tcPr>
          <w:p w14:paraId="7E777E31">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both"/>
              <w:textAlignment w:val="auto"/>
              <w:rPr>
                <w:rFonts w:hint="eastAsia" w:ascii="宋体" w:hAnsi="宋体" w:eastAsia="宋体" w:cs="宋体"/>
                <w:sz w:val="24"/>
                <w:szCs w:val="24"/>
                <w:highlight w:val="none"/>
                <w:lang w:val="en-US" w:eastAsia="zh-CN"/>
              </w:rPr>
            </w:pPr>
          </w:p>
        </w:tc>
      </w:tr>
      <w:tr w14:paraId="7EF57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2" w:type="dxa"/>
            <w:noWrap w:val="0"/>
            <w:vAlign w:val="center"/>
          </w:tcPr>
          <w:p w14:paraId="41E49E43">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仿宋"/>
                <w:sz w:val="24"/>
                <w:highlight w:val="none"/>
                <w:lang w:val="en-US" w:eastAsia="zh-CN"/>
              </w:rPr>
            </w:pPr>
            <w:r>
              <w:rPr>
                <w:rFonts w:hint="eastAsia" w:ascii="宋体" w:hAnsi="宋体" w:eastAsia="宋体" w:cs="仿宋"/>
                <w:sz w:val="24"/>
                <w:highlight w:val="none"/>
                <w:lang w:val="en-US" w:eastAsia="zh-CN"/>
              </w:rPr>
              <w:t>三</w:t>
            </w:r>
          </w:p>
        </w:tc>
        <w:tc>
          <w:tcPr>
            <w:tcW w:w="2427" w:type="dxa"/>
            <w:noWrap w:val="0"/>
            <w:vAlign w:val="center"/>
          </w:tcPr>
          <w:p w14:paraId="323B525E">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default" w:ascii="宋体" w:hAnsi="宋体" w:eastAsia="宋体" w:cs="仿宋"/>
                <w:sz w:val="24"/>
                <w:highlight w:val="none"/>
                <w:lang w:val="en-US" w:eastAsia="zh-CN"/>
              </w:rPr>
            </w:pPr>
            <w:r>
              <w:rPr>
                <w:rFonts w:hint="eastAsia" w:ascii="宋体" w:hAnsi="宋体" w:eastAsia="宋体" w:cs="宋体"/>
                <w:b w:val="0"/>
                <w:bCs w:val="0"/>
                <w:kern w:val="0"/>
                <w:sz w:val="24"/>
                <w:szCs w:val="24"/>
                <w:lang w:val="en-US" w:eastAsia="zh-CN" w:bidi="ar-SA"/>
              </w:rPr>
              <w:t>田径场设备</w:t>
            </w:r>
          </w:p>
        </w:tc>
        <w:tc>
          <w:tcPr>
            <w:tcW w:w="805" w:type="dxa"/>
            <w:noWrap w:val="0"/>
            <w:vAlign w:val="center"/>
          </w:tcPr>
          <w:p w14:paraId="303FC1C1">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仿宋"/>
                <w:sz w:val="24"/>
                <w:highlight w:val="none"/>
                <w:lang w:val="en-US" w:eastAsia="zh-CN"/>
              </w:rPr>
            </w:pPr>
            <w:r>
              <w:rPr>
                <w:rFonts w:hint="eastAsia" w:ascii="宋体" w:hAnsi="宋体" w:eastAsia="宋体" w:cs="仿宋"/>
                <w:sz w:val="24"/>
                <w:lang w:val="en-US" w:eastAsia="zh-CN"/>
              </w:rPr>
              <w:t>1</w:t>
            </w:r>
          </w:p>
        </w:tc>
        <w:tc>
          <w:tcPr>
            <w:tcW w:w="859" w:type="dxa"/>
            <w:noWrap w:val="0"/>
            <w:vAlign w:val="center"/>
          </w:tcPr>
          <w:p w14:paraId="16EE0F16">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仿宋"/>
                <w:sz w:val="24"/>
                <w:highlight w:val="none"/>
                <w:lang w:val="en-US" w:eastAsia="zh-CN"/>
              </w:rPr>
            </w:pPr>
            <w:r>
              <w:rPr>
                <w:rFonts w:hint="eastAsia" w:ascii="宋体" w:hAnsi="宋体" w:eastAsia="宋体" w:cs="宋体"/>
                <w:sz w:val="24"/>
                <w:szCs w:val="24"/>
                <w:lang w:val="en-US" w:eastAsia="zh-CN"/>
              </w:rPr>
              <w:t>项</w:t>
            </w:r>
          </w:p>
        </w:tc>
        <w:tc>
          <w:tcPr>
            <w:tcW w:w="2018" w:type="dxa"/>
            <w:noWrap w:val="0"/>
            <w:vAlign w:val="center"/>
          </w:tcPr>
          <w:p w14:paraId="59D10773">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仿宋"/>
                <w:sz w:val="24"/>
                <w:highlight w:val="none"/>
                <w:lang w:eastAsia="zh-CN"/>
              </w:rPr>
            </w:pPr>
            <w:r>
              <w:rPr>
                <w:rFonts w:hint="eastAsia" w:ascii="宋体" w:hAnsi="宋体" w:eastAsia="宋体" w:cs="宋体"/>
                <w:sz w:val="24"/>
                <w:szCs w:val="24"/>
                <w:lang w:val="en-US" w:eastAsia="zh-CN"/>
              </w:rPr>
              <w:t>详见“采购清单”</w:t>
            </w:r>
          </w:p>
        </w:tc>
        <w:tc>
          <w:tcPr>
            <w:tcW w:w="1582" w:type="dxa"/>
            <w:noWrap w:val="0"/>
            <w:vAlign w:val="center"/>
          </w:tcPr>
          <w:p w14:paraId="3DAD217B">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default" w:ascii="宋体" w:hAnsi="宋体" w:eastAsia="宋体" w:cs="宋体"/>
                <w:sz w:val="24"/>
                <w:szCs w:val="24"/>
                <w:highlight w:val="none"/>
                <w:lang w:val="en-US" w:eastAsia="zh-CN"/>
              </w:rPr>
            </w:pPr>
            <w:r>
              <w:rPr>
                <w:rFonts w:hint="eastAsia" w:ascii="仿宋" w:hAnsi="仿宋" w:eastAsia="仿宋" w:cs="仿宋"/>
                <w:b w:val="0"/>
                <w:bCs w:val="0"/>
                <w:kern w:val="0"/>
                <w:sz w:val="24"/>
                <w:szCs w:val="24"/>
                <w:lang w:val="en-US" w:eastAsia="zh-CN" w:bidi="ar-SA"/>
              </w:rPr>
              <w:t>1028263</w:t>
            </w:r>
            <w:r>
              <w:rPr>
                <w:rFonts w:hint="eastAsia"/>
                <w:lang w:val="en-US" w:eastAsia="zh-CN"/>
              </w:rPr>
              <w:t>元</w:t>
            </w:r>
          </w:p>
        </w:tc>
        <w:tc>
          <w:tcPr>
            <w:tcW w:w="1800" w:type="dxa"/>
            <w:vMerge w:val="continue"/>
            <w:noWrap w:val="0"/>
            <w:vAlign w:val="center"/>
          </w:tcPr>
          <w:p w14:paraId="517F086E">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both"/>
              <w:textAlignment w:val="auto"/>
              <w:rPr>
                <w:rFonts w:hint="default" w:ascii="宋体" w:hAnsi="宋体" w:eastAsia="宋体" w:cs="宋体"/>
                <w:color w:val="000000"/>
                <w:kern w:val="0"/>
                <w:sz w:val="24"/>
                <w:szCs w:val="24"/>
                <w:highlight w:val="none"/>
                <w:lang w:val="en-US" w:eastAsia="zh-CN"/>
              </w:rPr>
            </w:pPr>
          </w:p>
        </w:tc>
      </w:tr>
      <w:tr w14:paraId="701EF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32" w:type="dxa"/>
            <w:noWrap w:val="0"/>
            <w:vAlign w:val="center"/>
          </w:tcPr>
          <w:p w14:paraId="5DB8843F">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仿宋"/>
                <w:sz w:val="24"/>
                <w:highlight w:val="none"/>
                <w:lang w:val="en-US" w:eastAsia="zh-CN"/>
              </w:rPr>
            </w:pPr>
            <w:r>
              <w:rPr>
                <w:rFonts w:hint="eastAsia" w:ascii="宋体" w:hAnsi="宋体" w:eastAsia="宋体" w:cs="仿宋"/>
                <w:sz w:val="24"/>
                <w:highlight w:val="none"/>
                <w:lang w:val="en-US" w:eastAsia="zh-CN"/>
              </w:rPr>
              <w:t>四</w:t>
            </w:r>
          </w:p>
        </w:tc>
        <w:tc>
          <w:tcPr>
            <w:tcW w:w="2427" w:type="dxa"/>
            <w:noWrap w:val="0"/>
            <w:vAlign w:val="center"/>
          </w:tcPr>
          <w:p w14:paraId="29FB2124">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default" w:ascii="宋体" w:hAnsi="宋体" w:eastAsia="宋体" w:cs="仿宋"/>
                <w:sz w:val="24"/>
                <w:highlight w:val="none"/>
                <w:lang w:val="en-US" w:eastAsia="zh-CN"/>
              </w:rPr>
            </w:pPr>
            <w:r>
              <w:rPr>
                <w:rFonts w:hint="eastAsia" w:ascii="Times New Roman" w:hAnsi="Times New Roman" w:cs="宋体"/>
                <w:color w:val="auto"/>
                <w:sz w:val="24"/>
                <w:szCs w:val="18"/>
                <w:lang w:val="en-US" w:eastAsia="zh-CN"/>
              </w:rPr>
              <w:t>体测中心设备</w:t>
            </w:r>
          </w:p>
        </w:tc>
        <w:tc>
          <w:tcPr>
            <w:tcW w:w="805" w:type="dxa"/>
            <w:noWrap w:val="0"/>
            <w:vAlign w:val="center"/>
          </w:tcPr>
          <w:p w14:paraId="6A444AC8">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仿宋"/>
                <w:sz w:val="24"/>
                <w:highlight w:val="none"/>
                <w:lang w:val="en-US" w:eastAsia="zh-CN"/>
              </w:rPr>
            </w:pPr>
            <w:r>
              <w:rPr>
                <w:rFonts w:hint="eastAsia" w:ascii="宋体" w:hAnsi="宋体" w:eastAsia="宋体" w:cs="仿宋"/>
                <w:sz w:val="24"/>
                <w:lang w:val="en-US" w:eastAsia="zh-CN"/>
              </w:rPr>
              <w:t>1</w:t>
            </w:r>
          </w:p>
        </w:tc>
        <w:tc>
          <w:tcPr>
            <w:tcW w:w="859" w:type="dxa"/>
            <w:noWrap w:val="0"/>
            <w:vAlign w:val="center"/>
          </w:tcPr>
          <w:p w14:paraId="1CA7BD94">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仿宋"/>
                <w:sz w:val="24"/>
                <w:highlight w:val="none"/>
                <w:lang w:val="en-US" w:eastAsia="zh-CN"/>
              </w:rPr>
            </w:pPr>
            <w:r>
              <w:rPr>
                <w:rFonts w:hint="eastAsia" w:ascii="宋体" w:hAnsi="宋体" w:eastAsia="宋体" w:cs="宋体"/>
                <w:sz w:val="24"/>
                <w:szCs w:val="24"/>
                <w:lang w:val="en-US" w:eastAsia="zh-CN"/>
              </w:rPr>
              <w:t>项</w:t>
            </w:r>
          </w:p>
        </w:tc>
        <w:tc>
          <w:tcPr>
            <w:tcW w:w="2018" w:type="dxa"/>
            <w:noWrap w:val="0"/>
            <w:vAlign w:val="center"/>
          </w:tcPr>
          <w:p w14:paraId="4C022057">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仿宋"/>
                <w:sz w:val="24"/>
                <w:highlight w:val="none"/>
                <w:lang w:eastAsia="zh-CN"/>
              </w:rPr>
            </w:pPr>
            <w:r>
              <w:rPr>
                <w:rFonts w:hint="eastAsia" w:ascii="宋体" w:hAnsi="宋体" w:eastAsia="宋体" w:cs="宋体"/>
                <w:sz w:val="24"/>
                <w:szCs w:val="24"/>
                <w:lang w:val="en-US" w:eastAsia="zh-CN"/>
              </w:rPr>
              <w:t>详见“采购清单”</w:t>
            </w:r>
          </w:p>
        </w:tc>
        <w:tc>
          <w:tcPr>
            <w:tcW w:w="1582" w:type="dxa"/>
            <w:noWrap w:val="0"/>
            <w:vAlign w:val="center"/>
          </w:tcPr>
          <w:p w14:paraId="04E08B52">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color w:val="auto"/>
                <w:sz w:val="24"/>
                <w:szCs w:val="18"/>
                <w:u w:val="none"/>
                <w:lang w:val="en-US" w:eastAsia="zh-CN"/>
              </w:rPr>
              <w:t>1068000</w:t>
            </w:r>
            <w:r>
              <w:rPr>
                <w:rFonts w:hint="eastAsia"/>
                <w:lang w:val="en-US" w:eastAsia="zh-CN"/>
              </w:rPr>
              <w:t>元</w:t>
            </w:r>
          </w:p>
        </w:tc>
        <w:tc>
          <w:tcPr>
            <w:tcW w:w="1800" w:type="dxa"/>
            <w:vMerge w:val="continue"/>
            <w:noWrap w:val="0"/>
            <w:vAlign w:val="center"/>
          </w:tcPr>
          <w:p w14:paraId="56FCB7DE">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both"/>
              <w:textAlignment w:val="auto"/>
              <w:rPr>
                <w:rFonts w:hint="default" w:ascii="宋体" w:hAnsi="宋体" w:eastAsia="宋体" w:cs="宋体"/>
                <w:color w:val="000000"/>
                <w:kern w:val="0"/>
                <w:sz w:val="24"/>
                <w:szCs w:val="24"/>
                <w:highlight w:val="none"/>
                <w:lang w:val="en-US" w:eastAsia="zh-CN"/>
              </w:rPr>
            </w:pPr>
          </w:p>
        </w:tc>
      </w:tr>
      <w:tr w14:paraId="098F9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10323" w:type="dxa"/>
            <w:gridSpan w:val="7"/>
            <w:noWrap w:val="0"/>
            <w:vAlign w:val="center"/>
          </w:tcPr>
          <w:p w14:paraId="694EF441">
            <w:pPr>
              <w:pStyle w:val="207"/>
              <w:keepNext w:val="0"/>
              <w:keepLines w:val="0"/>
              <w:pageBreakBefore w:val="0"/>
              <w:kinsoku/>
              <w:wordWrap/>
              <w:overflowPunct/>
              <w:topLinePunct w:val="0"/>
              <w:bidi w:val="0"/>
              <w:adjustRightInd/>
              <w:snapToGrid/>
              <w:spacing w:line="360" w:lineRule="exact"/>
              <w:ind w:left="0" w:leftChars="0" w:firstLine="0" w:firstLineChars="0"/>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b/>
                <w:bCs/>
                <w:color w:val="000000"/>
                <w:kern w:val="0"/>
                <w:sz w:val="24"/>
                <w:szCs w:val="24"/>
                <w:highlight w:val="none"/>
                <w:lang w:val="en-US" w:eastAsia="zh-CN"/>
              </w:rPr>
              <w:t>注：</w:t>
            </w:r>
            <w:r>
              <w:rPr>
                <w:rFonts w:hint="eastAsia" w:ascii="宋体" w:hAnsi="宋体" w:eastAsia="宋体" w:cs="仿宋"/>
                <w:b/>
                <w:bCs/>
                <w:kern w:val="2"/>
                <w:sz w:val="24"/>
                <w:szCs w:val="24"/>
                <w:highlight w:val="none"/>
                <w:lang w:val="en-US" w:eastAsia="zh-CN" w:bidi="ar-SA"/>
              </w:rPr>
              <w:t>▲</w:t>
            </w:r>
            <w:r>
              <w:rPr>
                <w:rFonts w:hint="eastAsia" w:cs="宋体"/>
                <w:b/>
                <w:bCs/>
                <w:sz w:val="24"/>
                <w:highlight w:val="none"/>
                <w:lang w:val="en-US" w:eastAsia="zh-CN"/>
              </w:rPr>
              <w:t>定标说明：</w:t>
            </w:r>
            <w:r>
              <w:rPr>
                <w:rFonts w:hint="eastAsia" w:cs="宋体"/>
                <w:b/>
                <w:bCs/>
                <w:sz w:val="24"/>
                <w:highlight w:val="none"/>
                <w:lang w:eastAsia="zh-CN"/>
              </w:rPr>
              <w:t>本</w:t>
            </w:r>
            <w:r>
              <w:rPr>
                <w:rFonts w:hint="eastAsia" w:cs="宋体"/>
                <w:b/>
                <w:bCs/>
                <w:sz w:val="24"/>
                <w:highlight w:val="none"/>
                <w:lang w:val="en-US" w:eastAsia="zh-CN"/>
              </w:rPr>
              <w:t>项目</w:t>
            </w:r>
            <w:r>
              <w:rPr>
                <w:rFonts w:hint="eastAsia" w:cs="宋体"/>
                <w:b/>
                <w:bCs/>
                <w:sz w:val="24"/>
                <w:highlight w:val="none"/>
                <w:lang w:eastAsia="zh-CN"/>
              </w:rPr>
              <w:t>招标共四个标项，供应商可以自行选择参与的标项（投标人可投其中任一标项，也可各标项均投），但每个中标人只允许中标一个标项。本项目评审顺序为标项一、二、三、四，已中标的供应商仍然进入下一标项评审，但不再被推荐为中标人。</w:t>
            </w:r>
          </w:p>
        </w:tc>
      </w:tr>
    </w:tbl>
    <w:p w14:paraId="21A41FF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11"/>
          <w:szCs w:val="11"/>
          <w:lang w:val="en-US" w:eastAsia="zh-CN"/>
        </w:rPr>
      </w:pPr>
    </w:p>
    <w:p w14:paraId="72C7F7D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b/>
          <w:bCs/>
          <w:szCs w:val="24"/>
          <w:lang w:val="en-US" w:eastAsia="zh-CN"/>
        </w:rPr>
      </w:pPr>
      <w:r>
        <w:rPr>
          <w:rFonts w:hint="eastAsia" w:ascii="宋体" w:hAnsi="宋体" w:eastAsia="宋体" w:cs="宋体"/>
          <w:b/>
          <w:bCs/>
          <w:lang w:val="en-US" w:eastAsia="zh-CN"/>
        </w:rPr>
        <w:t>二、</w:t>
      </w:r>
      <w:r>
        <w:rPr>
          <w:rFonts w:hint="eastAsia" w:cs="宋体"/>
          <w:b/>
          <w:bCs/>
          <w:lang w:val="en-US" w:eastAsia="zh-CN"/>
        </w:rPr>
        <w:t xml:space="preserve">采购说明                                            </w:t>
      </w:r>
    </w:p>
    <w:p w14:paraId="492B2E45">
      <w:pPr>
        <w:spacing w:line="360" w:lineRule="auto"/>
        <w:ind w:firstLine="480" w:firstLineChars="200"/>
        <w:rPr>
          <w:rFonts w:cs="宋体"/>
          <w:color w:val="auto"/>
        </w:rPr>
      </w:pPr>
      <w:r>
        <w:rPr>
          <w:rFonts w:hint="eastAsia" w:cs="宋体"/>
        </w:rPr>
        <w:t>1.本技术规范要求提出的是最低限度的基本技术要求，并未对所有技术细节作出规定，</w:t>
      </w:r>
      <w:r>
        <w:rPr>
          <w:rFonts w:hint="eastAsia" w:cs="宋体"/>
          <w:color w:val="auto"/>
        </w:rPr>
        <w:t>投标人应根据拟投产品（设备）实际情况提供准确技术参数和性能指标（配置），且不得低于招标要求。</w:t>
      </w:r>
      <w:r>
        <w:rPr>
          <w:rFonts w:hint="eastAsia" w:cs="宋体"/>
          <w:color w:val="auto"/>
          <w:highlight w:val="none"/>
        </w:rPr>
        <w:t>带“▲”条款为实质性要求条款（必须满足），“★”指重要要求条款</w:t>
      </w:r>
      <w:r>
        <w:rPr>
          <w:rFonts w:hint="eastAsia" w:cs="宋体"/>
          <w:color w:val="auto"/>
        </w:rPr>
        <w:t>。</w:t>
      </w:r>
    </w:p>
    <w:p w14:paraId="1DA994E5">
      <w:pPr>
        <w:spacing w:line="360" w:lineRule="auto"/>
        <w:ind w:firstLine="480"/>
        <w:rPr>
          <w:rFonts w:cs="宋体"/>
        </w:rPr>
      </w:pPr>
      <w:r>
        <w:rPr>
          <w:rFonts w:hint="eastAsia" w:cs="宋体"/>
          <w:lang w:val="en-US" w:eastAsia="zh-CN"/>
        </w:rPr>
        <w:t>2.</w:t>
      </w:r>
      <w:r>
        <w:rPr>
          <w:rFonts w:hint="eastAsia" w:cs="宋体"/>
        </w:rPr>
        <w:t xml:space="preserve">供应商提供的产品应标明所执行的质量标准，若同一标准已颁发新标准，则按最新标准执行。若同一产品同时有几个标准（国际标准、国家标准、行业标准、企业标准等），则按最高层次的标准执行。 </w:t>
      </w:r>
    </w:p>
    <w:p w14:paraId="097243B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szCs w:val="10"/>
          <w:lang w:eastAsia="zh-CN"/>
        </w:rPr>
      </w:pPr>
      <w:r>
        <w:rPr>
          <w:rFonts w:hint="eastAsia" w:cs="宋体"/>
        </w:rPr>
        <w:t>3.</w:t>
      </w:r>
      <w:r>
        <w:rPr>
          <w:rFonts w:hAnsi="宋体"/>
          <w:sz w:val="24"/>
        </w:rPr>
        <w:t>投标人应保证所供设备的</w:t>
      </w:r>
      <w:r>
        <w:rPr>
          <w:rFonts w:hint="eastAsia"/>
          <w:color w:val="auto"/>
          <w:sz w:val="24"/>
          <w:lang w:val="en-US" w:eastAsia="zh-CN"/>
        </w:rPr>
        <w:t>原厂性</w:t>
      </w:r>
      <w:r>
        <w:rPr>
          <w:rFonts w:hint="eastAsia"/>
          <w:sz w:val="24"/>
          <w:lang w:val="en-US" w:eastAsia="zh-CN"/>
        </w:rPr>
        <w:t>、</w:t>
      </w:r>
      <w:r>
        <w:rPr>
          <w:rFonts w:hAnsi="宋体"/>
          <w:sz w:val="24"/>
        </w:rPr>
        <w:t>先进性、可靠性和适用性；</w:t>
      </w:r>
      <w:r>
        <w:rPr>
          <w:rFonts w:hAnsi="宋体"/>
          <w:bCs/>
          <w:sz w:val="24"/>
        </w:rPr>
        <w:t>投标人提供的设备各组成部分必须是完整的、全新的、功能全的单元，同时应是全新的、高质量和工艺精良的产品，所用的原材料必须无任何缺陷</w:t>
      </w:r>
      <w:r>
        <w:rPr>
          <w:rFonts w:hint="eastAsia" w:hAnsi="宋体"/>
          <w:bCs/>
          <w:sz w:val="24"/>
          <w:lang w:eastAsia="zh-CN"/>
        </w:rPr>
        <w:t>。</w:t>
      </w:r>
    </w:p>
    <w:p w14:paraId="0B2E395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b w:val="0"/>
          <w:bCs w:val="0"/>
          <w:lang w:val="en-US" w:eastAsia="zh-CN"/>
        </w:rPr>
      </w:pPr>
      <w:r>
        <w:rPr>
          <w:rFonts w:hint="eastAsia"/>
          <w:b w:val="0"/>
          <w:bCs w:val="0"/>
          <w:lang w:val="en-US" w:eastAsia="zh-CN"/>
        </w:rPr>
        <w:t>4.</w:t>
      </w:r>
      <w:r>
        <w:rPr>
          <w:rFonts w:hAnsi="宋体"/>
          <w:sz w:val="24"/>
        </w:rPr>
        <w:t>投标人的报价不仅应包括招标文件提供的技术条款标明的，还应包括任何未明确标出，但全套设备、系统安装后保证正常安全运行所不可缺少的配件及附件的全部费用，包含设备费、</w:t>
      </w:r>
      <w:r>
        <w:rPr>
          <w:rFonts w:hint="eastAsia"/>
          <w:color w:val="auto"/>
          <w:sz w:val="24"/>
          <w:lang w:val="en-US" w:eastAsia="zh-CN"/>
        </w:rPr>
        <w:t>运输费、人工费、</w:t>
      </w:r>
      <w:r>
        <w:rPr>
          <w:rFonts w:hAnsi="宋体"/>
          <w:sz w:val="24"/>
        </w:rPr>
        <w:t>安装费、系统及调试费、检验费和质保期内的相关费用等，其中全部设备材料应说明名称、型号、数量、单价、总价、产地、厂商等。投标人按要求应列入而未列入设备材料清单的设备及材料，均认为已在其设备材料清单中包括。</w:t>
      </w:r>
    </w:p>
    <w:p w14:paraId="7B68EEC0">
      <w:pPr>
        <w:bidi w:val="0"/>
        <w:spacing w:line="360" w:lineRule="auto"/>
        <w:jc w:val="left"/>
        <w:rPr>
          <w:rFonts w:hint="eastAsia" w:cs="宋体"/>
        </w:rPr>
      </w:pPr>
      <w:r>
        <w:rPr>
          <w:rFonts w:hint="eastAsia"/>
          <w:b w:val="0"/>
          <w:bCs w:val="0"/>
          <w:lang w:val="en-US" w:eastAsia="zh-CN"/>
        </w:rPr>
        <w:t>5.</w:t>
      </w:r>
      <w:r>
        <w:rPr>
          <w:rFonts w:hint="eastAsia" w:cs="宋体"/>
        </w:rPr>
        <w:t>核心产品：</w:t>
      </w:r>
      <w:r>
        <w:rPr>
          <w:rFonts w:hint="eastAsia" w:cs="宋体"/>
          <w:lang w:eastAsia="zh-CN"/>
        </w:rPr>
        <w:t>各标项</w:t>
      </w:r>
      <w:r>
        <w:rPr>
          <w:rFonts w:hint="eastAsia" w:cs="宋体"/>
        </w:rPr>
        <w:t>的核心产品见下表</w:t>
      </w:r>
      <w:r>
        <w:rPr>
          <w:rFonts w:hint="eastAsia" w:cs="宋体"/>
          <w:lang w:eastAsia="zh-CN"/>
        </w:rPr>
        <w:t>“采购内容清单”</w:t>
      </w:r>
      <w:r>
        <w:rPr>
          <w:rFonts w:hint="eastAsia" w:cs="宋体"/>
        </w:rPr>
        <w:t>，核心产品的品牌认定见本章“</w:t>
      </w:r>
      <w:r>
        <w:rPr>
          <w:rFonts w:hint="eastAsia" w:cs="宋体"/>
          <w:lang w:eastAsia="zh-CN"/>
        </w:rPr>
        <w:t>六</w:t>
      </w:r>
      <w:r>
        <w:rPr>
          <w:rFonts w:hint="eastAsia" w:cs="宋体"/>
        </w:rPr>
        <w:t>、商务要求</w:t>
      </w:r>
      <w:r>
        <w:rPr>
          <w:rFonts w:hint="eastAsia" w:cs="宋体"/>
          <w:lang w:val="en-US" w:eastAsia="zh-CN"/>
        </w:rPr>
        <w:t>-（四）</w:t>
      </w:r>
      <w:r>
        <w:rPr>
          <w:rFonts w:hint="eastAsia" w:cs="宋体"/>
        </w:rPr>
        <w:t>品牌认定”。</w:t>
      </w:r>
    </w:p>
    <w:p w14:paraId="76E1DEA1">
      <w:pPr>
        <w:bidi w:val="0"/>
        <w:ind w:left="0" w:leftChars="0" w:firstLine="0" w:firstLineChars="0"/>
        <w:jc w:val="left"/>
        <w:rPr>
          <w:rFonts w:hint="eastAsia"/>
          <w:lang w:val="en-US" w:eastAsia="zh-CN"/>
        </w:rPr>
        <w:sectPr>
          <w:footerReference r:id="rId14" w:type="default"/>
          <w:pgSz w:w="11906" w:h="16838"/>
          <w:pgMar w:top="1247" w:right="1134" w:bottom="1247" w:left="1134" w:header="170" w:footer="567" w:gutter="0"/>
          <w:pgNumType w:fmt="decimal"/>
          <w:cols w:space="720" w:num="1"/>
          <w:docGrid w:linePitch="381" w:charSpace="0"/>
        </w:sectPr>
      </w:pPr>
      <w:r>
        <w:rPr>
          <w:rFonts w:hint="eastAsia" w:cs="宋体"/>
          <w:b/>
          <w:bCs/>
          <w:lang w:val="en-US" w:eastAsia="zh-CN"/>
        </w:rPr>
        <w:t>三</w:t>
      </w:r>
      <w:r>
        <w:rPr>
          <w:rFonts w:hint="eastAsia" w:ascii="宋体" w:hAnsi="宋体" w:eastAsia="宋体" w:cs="宋体"/>
          <w:b/>
          <w:bCs/>
          <w:lang w:val="en-US" w:eastAsia="zh-CN"/>
        </w:rPr>
        <w:t>、</w:t>
      </w:r>
      <w:r>
        <w:rPr>
          <w:rFonts w:hint="eastAsia" w:cs="宋体"/>
          <w:b/>
          <w:bCs/>
          <w:lang w:val="en-US" w:eastAsia="zh-CN"/>
        </w:rPr>
        <w:t>各标项采购内容清单</w:t>
      </w:r>
    </w:p>
    <w:bookmarkEnd w:id="12"/>
    <w:bookmarkEnd w:id="13"/>
    <w:p w14:paraId="339FFE4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b/>
          <w:bCs/>
          <w:lang w:eastAsia="zh-CN"/>
        </w:rPr>
      </w:pPr>
      <w:r>
        <w:rPr>
          <w:rFonts w:hint="eastAsia"/>
          <w:b/>
          <w:bCs/>
          <w:lang w:eastAsia="zh-CN"/>
        </w:rPr>
        <w:t>标项一：</w:t>
      </w:r>
      <w:r>
        <w:rPr>
          <w:rFonts w:hint="eastAsia" w:cs="宋体"/>
          <w:b/>
          <w:bCs w:val="0"/>
          <w:color w:val="auto"/>
          <w:kern w:val="0"/>
          <w:sz w:val="24"/>
          <w:szCs w:val="24"/>
          <w:lang w:val="en-US" w:eastAsia="zh-CN" w:bidi="ar-SA"/>
        </w:rPr>
        <w:t>篮球、乒乓球、排球、网球、羽毛球馆设备（预算金额：</w:t>
      </w:r>
      <w:r>
        <w:rPr>
          <w:rFonts w:hint="eastAsia" w:cs="宋体"/>
          <w:b/>
          <w:bCs/>
          <w:lang w:val="en-US" w:eastAsia="zh-CN"/>
        </w:rPr>
        <w:t>1195853元</w:t>
      </w:r>
      <w:r>
        <w:rPr>
          <w:rFonts w:hint="eastAsia" w:cs="宋体"/>
          <w:b/>
          <w:bCs w:val="0"/>
          <w:color w:val="auto"/>
          <w:kern w:val="0"/>
          <w:sz w:val="24"/>
          <w:szCs w:val="24"/>
          <w:lang w:val="en-US" w:eastAsia="zh-CN" w:bidi="ar-SA"/>
        </w:rPr>
        <w:t>）</w:t>
      </w:r>
    </w:p>
    <w:tbl>
      <w:tblPr>
        <w:tblStyle w:val="45"/>
        <w:tblW w:w="15096" w:type="dxa"/>
        <w:tblInd w:w="-309" w:type="dxa"/>
        <w:tblLayout w:type="fixed"/>
        <w:tblCellMar>
          <w:top w:w="0" w:type="dxa"/>
          <w:left w:w="108" w:type="dxa"/>
          <w:bottom w:w="0" w:type="dxa"/>
          <w:right w:w="108" w:type="dxa"/>
        </w:tblCellMar>
      </w:tblPr>
      <w:tblGrid>
        <w:gridCol w:w="695"/>
        <w:gridCol w:w="1719"/>
        <w:gridCol w:w="702"/>
        <w:gridCol w:w="727"/>
        <w:gridCol w:w="11253"/>
      </w:tblGrid>
      <w:tr w14:paraId="79672F38">
        <w:tblPrEx>
          <w:tblCellMar>
            <w:top w:w="0" w:type="dxa"/>
            <w:left w:w="108" w:type="dxa"/>
            <w:bottom w:w="0" w:type="dxa"/>
            <w:right w:w="108" w:type="dxa"/>
          </w:tblCellMar>
        </w:tblPrEx>
        <w:trPr>
          <w:trHeight w:val="378" w:hRule="atLeast"/>
          <w:tblHeader/>
        </w:trPr>
        <w:tc>
          <w:tcPr>
            <w:tcW w:w="695" w:type="dxa"/>
            <w:tcBorders>
              <w:top w:val="single" w:color="auto" w:sz="8" w:space="0"/>
              <w:left w:val="single" w:color="auto" w:sz="8" w:space="0"/>
              <w:bottom w:val="single" w:color="auto" w:sz="4" w:space="0"/>
              <w:right w:val="single" w:color="auto" w:sz="4" w:space="0"/>
            </w:tcBorders>
            <w:shd w:val="clear" w:color="auto" w:fill="auto"/>
            <w:noWrap/>
            <w:vAlign w:val="center"/>
          </w:tcPr>
          <w:p w14:paraId="57002AED">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序号</w:t>
            </w:r>
          </w:p>
        </w:tc>
        <w:tc>
          <w:tcPr>
            <w:tcW w:w="1719" w:type="dxa"/>
            <w:tcBorders>
              <w:top w:val="single" w:color="auto" w:sz="8" w:space="0"/>
              <w:left w:val="nil"/>
              <w:bottom w:val="single" w:color="auto" w:sz="4" w:space="0"/>
              <w:right w:val="single" w:color="auto" w:sz="4" w:space="0"/>
            </w:tcBorders>
            <w:shd w:val="clear" w:color="auto" w:fill="auto"/>
            <w:noWrap/>
            <w:vAlign w:val="center"/>
          </w:tcPr>
          <w:p w14:paraId="309FB651">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设备名称</w:t>
            </w:r>
          </w:p>
        </w:tc>
        <w:tc>
          <w:tcPr>
            <w:tcW w:w="702" w:type="dxa"/>
            <w:tcBorders>
              <w:top w:val="single" w:color="auto" w:sz="8" w:space="0"/>
              <w:left w:val="nil"/>
              <w:bottom w:val="single" w:color="auto" w:sz="4" w:space="0"/>
              <w:right w:val="single" w:color="auto" w:sz="4" w:space="0"/>
            </w:tcBorders>
            <w:shd w:val="clear" w:color="auto" w:fill="auto"/>
            <w:noWrap/>
            <w:vAlign w:val="center"/>
          </w:tcPr>
          <w:p w14:paraId="3D13CEF7">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单位</w:t>
            </w:r>
          </w:p>
        </w:tc>
        <w:tc>
          <w:tcPr>
            <w:tcW w:w="727" w:type="dxa"/>
            <w:tcBorders>
              <w:top w:val="single" w:color="auto" w:sz="8" w:space="0"/>
              <w:left w:val="nil"/>
              <w:bottom w:val="single" w:color="auto" w:sz="4" w:space="0"/>
              <w:right w:val="single" w:color="auto" w:sz="4" w:space="0"/>
            </w:tcBorders>
            <w:shd w:val="clear" w:color="auto" w:fill="auto"/>
            <w:noWrap/>
            <w:vAlign w:val="center"/>
          </w:tcPr>
          <w:p w14:paraId="3F50EAB1">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数量</w:t>
            </w:r>
          </w:p>
        </w:tc>
        <w:tc>
          <w:tcPr>
            <w:tcW w:w="11253" w:type="dxa"/>
            <w:tcBorders>
              <w:top w:val="single" w:color="auto" w:sz="8" w:space="0"/>
              <w:left w:val="nil"/>
              <w:bottom w:val="single" w:color="auto" w:sz="4" w:space="0"/>
              <w:right w:val="single" w:color="auto" w:sz="8" w:space="0"/>
            </w:tcBorders>
            <w:shd w:val="clear" w:color="auto" w:fill="auto"/>
            <w:vAlign w:val="center"/>
          </w:tcPr>
          <w:p w14:paraId="5D621399">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技术参数</w:t>
            </w:r>
          </w:p>
        </w:tc>
      </w:tr>
      <w:tr w14:paraId="44DC315B">
        <w:tblPrEx>
          <w:tblCellMar>
            <w:top w:w="0" w:type="dxa"/>
            <w:left w:w="108" w:type="dxa"/>
            <w:bottom w:w="0" w:type="dxa"/>
            <w:right w:w="108" w:type="dxa"/>
          </w:tblCellMar>
        </w:tblPrEx>
        <w:tc>
          <w:tcPr>
            <w:tcW w:w="695" w:type="dxa"/>
            <w:tcBorders>
              <w:top w:val="nil"/>
              <w:left w:val="single" w:color="auto" w:sz="8" w:space="0"/>
              <w:bottom w:val="single" w:color="auto" w:sz="4" w:space="0"/>
              <w:right w:val="single" w:color="auto" w:sz="4" w:space="0"/>
            </w:tcBorders>
            <w:shd w:val="clear" w:color="auto" w:fill="auto"/>
            <w:noWrap/>
            <w:vAlign w:val="center"/>
          </w:tcPr>
          <w:p w14:paraId="60B44AE4">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1719" w:type="dxa"/>
            <w:tcBorders>
              <w:top w:val="nil"/>
              <w:left w:val="nil"/>
              <w:bottom w:val="single" w:color="auto" w:sz="4" w:space="0"/>
              <w:right w:val="single" w:color="auto" w:sz="4" w:space="0"/>
            </w:tcBorders>
            <w:shd w:val="clear" w:color="auto" w:fill="auto"/>
            <w:vAlign w:val="center"/>
          </w:tcPr>
          <w:p w14:paraId="5343386F">
            <w:pPr>
              <w:keepNext w:val="0"/>
              <w:keepLines w:val="0"/>
              <w:pageBreakBefore w:val="0"/>
              <w:widowControl/>
              <w:shd w:val="clear"/>
              <w:kinsoku/>
              <w:wordWrap/>
              <w:overflowPunct/>
              <w:topLinePunct w:val="0"/>
              <w:autoSpaceDE/>
              <w:autoSpaceDN/>
              <w:bidi w:val="0"/>
              <w:adjustRightInd/>
              <w:snapToGrid/>
              <w:spacing w:line="340" w:lineRule="exact"/>
              <w:ind w:left="0" w:leftChars="0" w:firstLine="0" w:firstLineChars="0"/>
              <w:jc w:val="both"/>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电动液压篮球架</w:t>
            </w:r>
          </w:p>
          <w:p w14:paraId="2022664C">
            <w:pPr>
              <w:keepNext w:val="0"/>
              <w:keepLines w:val="0"/>
              <w:pageBreakBefore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sz w:val="21"/>
                <w:szCs w:val="21"/>
              </w:rPr>
            </w:pPr>
            <w:r>
              <w:rPr>
                <w:rFonts w:hint="eastAsia" w:cs="宋体"/>
                <w:b/>
                <w:bCs/>
                <w:i w:val="0"/>
                <w:iCs w:val="0"/>
                <w:color w:val="FF0000"/>
                <w:kern w:val="0"/>
                <w:sz w:val="21"/>
                <w:szCs w:val="21"/>
                <w:u w:val="none"/>
                <w:lang w:val="en-US" w:eastAsia="zh-CN" w:bidi="ar"/>
              </w:rPr>
              <w:t>（核心产品）</w:t>
            </w:r>
          </w:p>
        </w:tc>
        <w:tc>
          <w:tcPr>
            <w:tcW w:w="702" w:type="dxa"/>
            <w:tcBorders>
              <w:top w:val="nil"/>
              <w:left w:val="nil"/>
              <w:bottom w:val="single" w:color="auto" w:sz="4" w:space="0"/>
              <w:right w:val="single" w:color="auto" w:sz="4" w:space="0"/>
            </w:tcBorders>
            <w:shd w:val="clear" w:color="auto" w:fill="auto"/>
            <w:vAlign w:val="center"/>
          </w:tcPr>
          <w:p w14:paraId="18976178">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副</w:t>
            </w:r>
          </w:p>
        </w:tc>
        <w:tc>
          <w:tcPr>
            <w:tcW w:w="727" w:type="dxa"/>
            <w:tcBorders>
              <w:top w:val="nil"/>
              <w:left w:val="nil"/>
              <w:bottom w:val="single" w:color="auto" w:sz="4" w:space="0"/>
              <w:right w:val="single" w:color="auto" w:sz="4" w:space="0"/>
            </w:tcBorders>
            <w:shd w:val="clear" w:color="auto" w:fill="auto"/>
            <w:noWrap/>
            <w:vAlign w:val="center"/>
          </w:tcPr>
          <w:p w14:paraId="5F2644AF">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1</w:t>
            </w:r>
          </w:p>
        </w:tc>
        <w:tc>
          <w:tcPr>
            <w:tcW w:w="11253" w:type="dxa"/>
            <w:tcBorders>
              <w:top w:val="nil"/>
              <w:left w:val="nil"/>
              <w:bottom w:val="single" w:color="auto" w:sz="4" w:space="0"/>
              <w:right w:val="single" w:color="auto" w:sz="8" w:space="0"/>
            </w:tcBorders>
            <w:shd w:val="clear" w:color="auto" w:fill="auto"/>
            <w:vAlign w:val="center"/>
          </w:tcPr>
          <w:p w14:paraId="51624FF5">
            <w:pPr>
              <w:pStyle w:val="165"/>
              <w:keepNext w:val="0"/>
              <w:keepLines w:val="0"/>
              <w:pageBreakBefore w:val="0"/>
              <w:widowControl/>
              <w:shd w:val="clear"/>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产品规格</w:t>
            </w:r>
          </w:p>
          <w:p w14:paraId="66F7D140">
            <w:pPr>
              <w:pStyle w:val="165"/>
              <w:keepNext w:val="0"/>
              <w:keepLines w:val="0"/>
              <w:pageBreakBefore w:val="0"/>
              <w:widowControl/>
              <w:shd w:val="clear"/>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篮架伸臂为3.35m，篮圈上沿离地面高3.05m，球架底座尺寸：长×宽×前高×后高=2.5×1.3×0.74×0.385（m）。</w:t>
            </w:r>
          </w:p>
          <w:p w14:paraId="78C72B3F">
            <w:pPr>
              <w:pStyle w:val="165"/>
              <w:keepNext w:val="0"/>
              <w:keepLines w:val="0"/>
              <w:pageBreakBefore w:val="0"/>
              <w:widowControl/>
              <w:shd w:val="clear"/>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产品用材</w:t>
            </w:r>
          </w:p>
          <w:p w14:paraId="54CF2BAC">
            <w:pPr>
              <w:pStyle w:val="165"/>
              <w:keepNext w:val="0"/>
              <w:keepLines w:val="0"/>
              <w:pageBreakBefore w:val="0"/>
              <w:widowControl/>
              <w:shd w:val="clear"/>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篮球架底座采用6 mm的铁板在专用折边机上折边拼焊而成，底座前立柱、后立柱支撑架和油缸支撑架采用6 mm铁板折边制作，篮架立柱采用</w:t>
            </w:r>
            <w:r>
              <w:rPr>
                <w:rFonts w:hint="eastAsia" w:ascii="宋体" w:hAnsi="宋体" w:eastAsia="宋体" w:cs="宋体"/>
                <w:kern w:val="0"/>
                <w:sz w:val="21"/>
                <w:szCs w:val="21"/>
                <w:highlight w:val="none"/>
              </w:rPr>
              <w:t>150×70×3</w:t>
            </w:r>
            <w:r>
              <w:rPr>
                <w:rFonts w:hint="eastAsia" w:ascii="宋体" w:hAnsi="宋体" w:cs="宋体"/>
                <w:kern w:val="0"/>
                <w:sz w:val="21"/>
                <w:szCs w:val="21"/>
                <w:highlight w:val="none"/>
                <w:lang w:val="en-US" w:eastAsia="zh-CN"/>
              </w:rPr>
              <w:t>mm</w:t>
            </w:r>
            <w:r>
              <w:rPr>
                <w:rFonts w:hint="eastAsia" w:ascii="宋体" w:hAnsi="宋体" w:eastAsia="宋体" w:cs="宋体"/>
                <w:kern w:val="0"/>
                <w:sz w:val="21"/>
                <w:szCs w:val="21"/>
              </w:rPr>
              <w:t>方管、</w:t>
            </w:r>
            <w:r>
              <w:rPr>
                <w:rFonts w:hint="eastAsia" w:ascii="宋体" w:hAnsi="宋体" w:eastAsia="宋体" w:cs="宋体"/>
                <w:kern w:val="0"/>
                <w:sz w:val="21"/>
                <w:szCs w:val="21"/>
                <w:highlight w:val="none"/>
              </w:rPr>
              <w:t>120×70×3</w:t>
            </w:r>
            <w:r>
              <w:rPr>
                <w:rFonts w:hint="eastAsia" w:ascii="宋体" w:hAnsi="宋体" w:cs="宋体"/>
                <w:kern w:val="0"/>
                <w:sz w:val="21"/>
                <w:szCs w:val="21"/>
                <w:highlight w:val="none"/>
                <w:lang w:val="en-US" w:eastAsia="zh-CN"/>
              </w:rPr>
              <w:t>mm</w:t>
            </w:r>
            <w:r>
              <w:rPr>
                <w:rFonts w:hint="eastAsia" w:ascii="宋体" w:hAnsi="宋体" w:eastAsia="宋体" w:cs="宋体"/>
                <w:kern w:val="0"/>
                <w:sz w:val="21"/>
                <w:szCs w:val="21"/>
              </w:rPr>
              <w:t>方管和</w:t>
            </w:r>
            <w:r>
              <w:rPr>
                <w:rFonts w:hint="eastAsia" w:ascii="宋体" w:hAnsi="宋体" w:eastAsia="宋体" w:cs="宋体"/>
                <w:kern w:val="0"/>
                <w:sz w:val="21"/>
                <w:szCs w:val="21"/>
                <w:highlight w:val="none"/>
              </w:rPr>
              <w:t>70×70×3</w:t>
            </w:r>
            <w:r>
              <w:rPr>
                <w:rFonts w:hint="eastAsia" w:ascii="宋体" w:hAnsi="宋体" w:cs="宋体"/>
                <w:kern w:val="0"/>
                <w:sz w:val="21"/>
                <w:szCs w:val="21"/>
                <w:highlight w:val="none"/>
                <w:lang w:val="en-US" w:eastAsia="zh-CN"/>
              </w:rPr>
              <w:t>mm</w:t>
            </w:r>
            <w:r>
              <w:rPr>
                <w:rFonts w:hint="eastAsia" w:ascii="宋体" w:hAnsi="宋体" w:eastAsia="宋体" w:cs="宋体"/>
                <w:kern w:val="0"/>
                <w:sz w:val="21"/>
                <w:szCs w:val="21"/>
              </w:rPr>
              <w:t>方管拼焊而成，篮架伸臂采用</w:t>
            </w:r>
            <w:r>
              <w:rPr>
                <w:rFonts w:hint="eastAsia" w:ascii="宋体" w:hAnsi="宋体" w:eastAsia="宋体" w:cs="宋体"/>
                <w:kern w:val="0"/>
                <w:sz w:val="21"/>
                <w:szCs w:val="21"/>
                <w:highlight w:val="none"/>
              </w:rPr>
              <w:t>140×140×4</w:t>
            </w:r>
            <w:r>
              <w:rPr>
                <w:rFonts w:hint="eastAsia" w:ascii="宋体" w:hAnsi="宋体" w:cs="宋体"/>
                <w:kern w:val="0"/>
                <w:sz w:val="21"/>
                <w:szCs w:val="21"/>
                <w:highlight w:val="none"/>
                <w:lang w:val="en-US" w:eastAsia="zh-CN"/>
              </w:rPr>
              <w:t>mm</w:t>
            </w:r>
            <w:r>
              <w:rPr>
                <w:rFonts w:hint="eastAsia" w:ascii="宋体" w:hAnsi="宋体" w:eastAsia="宋体" w:cs="宋体"/>
                <w:kern w:val="0"/>
                <w:sz w:val="21"/>
                <w:szCs w:val="21"/>
              </w:rPr>
              <w:t>方管、</w:t>
            </w:r>
            <w:r>
              <w:rPr>
                <w:rFonts w:hint="eastAsia" w:ascii="宋体" w:hAnsi="宋体" w:eastAsia="宋体" w:cs="宋体"/>
                <w:kern w:val="0"/>
                <w:sz w:val="21"/>
                <w:szCs w:val="21"/>
                <w:highlight w:val="none"/>
              </w:rPr>
              <w:t>140×70×3</w:t>
            </w:r>
            <w:r>
              <w:rPr>
                <w:rFonts w:hint="eastAsia" w:ascii="宋体" w:hAnsi="宋体" w:cs="宋体"/>
                <w:kern w:val="0"/>
                <w:sz w:val="21"/>
                <w:szCs w:val="21"/>
                <w:highlight w:val="none"/>
                <w:lang w:val="en-US" w:eastAsia="zh-CN"/>
              </w:rPr>
              <w:t>mm</w:t>
            </w:r>
            <w:r>
              <w:rPr>
                <w:rFonts w:hint="eastAsia" w:ascii="宋体" w:hAnsi="宋体" w:eastAsia="宋体" w:cs="宋体"/>
                <w:kern w:val="0"/>
                <w:sz w:val="21"/>
                <w:szCs w:val="21"/>
              </w:rPr>
              <w:t>方管和</w:t>
            </w:r>
            <w:r>
              <w:rPr>
                <w:rFonts w:hint="eastAsia" w:ascii="宋体" w:hAnsi="宋体" w:eastAsia="宋体" w:cs="宋体"/>
                <w:kern w:val="0"/>
                <w:sz w:val="21"/>
                <w:szCs w:val="21"/>
                <w:highlight w:val="none"/>
              </w:rPr>
              <w:t>70×50</w:t>
            </w:r>
            <w:r>
              <w:rPr>
                <w:rFonts w:hint="eastAsia" w:ascii="宋体" w:hAnsi="宋体" w:cs="宋体"/>
                <w:kern w:val="0"/>
                <w:sz w:val="21"/>
                <w:szCs w:val="21"/>
                <w:highlight w:val="none"/>
                <w:lang w:val="en-US" w:eastAsia="zh-CN"/>
              </w:rPr>
              <w:t>mm</w:t>
            </w:r>
            <w:r>
              <w:rPr>
                <w:rFonts w:hint="eastAsia" w:ascii="宋体" w:hAnsi="宋体" w:eastAsia="宋体" w:cs="宋体"/>
                <w:kern w:val="0"/>
                <w:sz w:val="21"/>
                <w:szCs w:val="21"/>
              </w:rPr>
              <w:t>方管拼焊而成，焊缝表面均匀光滑，篮架立柱转动部位和伸臂头部连接件均采用优质精密铸钢件制作，性能安全可靠，篮架上拉杆采用优质圆管在弯管机上一次成型，避免了电焊及焊渣易引起生锈的隐患，下拉杆采用精拉管拼焊而成，合理的结构设计与独特的外观造型和谐统一。</w:t>
            </w:r>
          </w:p>
          <w:p w14:paraId="52573401">
            <w:pPr>
              <w:pStyle w:val="165"/>
              <w:keepNext w:val="0"/>
              <w:keepLines w:val="0"/>
              <w:pageBreakBefore w:val="0"/>
              <w:widowControl/>
              <w:shd w:val="clear"/>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产品结构原理</w:t>
            </w:r>
          </w:p>
          <w:p w14:paraId="6F9ABDCB">
            <w:pPr>
              <w:pStyle w:val="165"/>
              <w:keepNext w:val="0"/>
              <w:keepLines w:val="0"/>
              <w:pageBreakBefore w:val="0"/>
              <w:widowControl/>
              <w:shd w:val="clear"/>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YLJ-5电动液压篮球架采用微电脑控制系统，设有篮架升降系统、走轮伸缩机构、电器、液压系统。篮架主体升降采用四连杆机构，使用时电机接通220V、50HZ单相电源即可启动，带动油泵，经微电脑控制系统进行“功能”转换，油缸随即产生伸缩运动，从而使球架立柱升降和底座走轮起落。</w:t>
            </w:r>
          </w:p>
          <w:p w14:paraId="1C5DCEF0">
            <w:pPr>
              <w:pStyle w:val="165"/>
              <w:keepNext w:val="0"/>
              <w:keepLines w:val="0"/>
              <w:pageBreakBefore w:val="0"/>
              <w:widowControl/>
              <w:shd w:val="clear"/>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4</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篮板</w:t>
            </w:r>
          </w:p>
          <w:p w14:paraId="43C7B873">
            <w:pPr>
              <w:pStyle w:val="165"/>
              <w:keepNext w:val="0"/>
              <w:keepLines w:val="0"/>
              <w:pageBreakBefore w:val="0"/>
              <w:widowControl/>
              <w:shd w:val="clear"/>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篮板为五支点篮板，配用国际通用的高强度安全玻璃篮板（13mm厚双层夹胶玻璃），规格：1800×1050（mm），具有透明度高、耐侯性好、抗老化、耐腐蚀、不易模糊等特点，并在篮板下沿侧面覆盖有保护圈，保护圈前后表面高度、厚度均≥20mm，底面厚度≥50mm，符合FIBA规则，能有效保护运动员扣篮时不受伤害。篮板弹性500N/min，中心挠度≤6mm，取消外力1min后篮板恢复原状。</w:t>
            </w:r>
          </w:p>
          <w:p w14:paraId="06F97BCB">
            <w:pPr>
              <w:pStyle w:val="165"/>
              <w:keepNext w:val="0"/>
              <w:keepLines w:val="0"/>
              <w:pageBreakBefore w:val="0"/>
              <w:widowControl/>
              <w:shd w:val="clear"/>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5</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篮圈</w:t>
            </w:r>
          </w:p>
          <w:p w14:paraId="291F192B">
            <w:pPr>
              <w:pStyle w:val="165"/>
              <w:keepNext w:val="0"/>
              <w:keepLines w:val="0"/>
              <w:pageBreakBefore w:val="0"/>
              <w:widowControl/>
              <w:shd w:val="clear"/>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篮圈采用φ19实心圆钢制作，篮圈抗弯性能好，在篮圈最远点的圈顶上施加静载荷未到105kg时，篮圈无转动，当静载荷≥105kg时，篮圈向下转动，角度不超过30度，能有效解决投篮时篮圈的稳定性和运动员扣篮时的安全性问题。</w:t>
            </w:r>
          </w:p>
          <w:p w14:paraId="0D2176F9">
            <w:pPr>
              <w:pStyle w:val="165"/>
              <w:keepNext w:val="0"/>
              <w:keepLines w:val="0"/>
              <w:pageBreakBefore w:val="0"/>
              <w:widowControl/>
              <w:shd w:val="clear"/>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6</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防护措施</w:t>
            </w:r>
          </w:p>
          <w:p w14:paraId="03ABFCC2">
            <w:pPr>
              <w:pStyle w:val="165"/>
              <w:keepNext w:val="0"/>
              <w:keepLines w:val="0"/>
              <w:pageBreakBefore w:val="0"/>
              <w:widowControl/>
              <w:shd w:val="clear"/>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篮架前立柱、底座、伸臂配备有专用护套，能有效保护运动员免受撞击，篮架底座下部设有防震垫，后部装有特制专用配重，单只配重500kg，能保证在篮圈根部施加3200N的载荷时，篮球架不倾翻。前立柱与伸臂间装有专用保险机构，能有效保证使用时的安全性及美观性。</w:t>
            </w:r>
          </w:p>
          <w:p w14:paraId="51D478AA">
            <w:pPr>
              <w:pStyle w:val="165"/>
              <w:keepNext w:val="0"/>
              <w:keepLines w:val="0"/>
              <w:pageBreakBefore w:val="0"/>
              <w:widowControl/>
              <w:shd w:val="clear"/>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7</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爬坡功能</w:t>
            </w:r>
          </w:p>
          <w:p w14:paraId="6DCF5088">
            <w:pPr>
              <w:pStyle w:val="165"/>
              <w:keepNext w:val="0"/>
              <w:keepLines w:val="0"/>
              <w:pageBreakBefore w:val="0"/>
              <w:widowControl/>
              <w:shd w:val="clear"/>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底座除了本身的走轮机构外，为了方便爬较陡的斜坡，在底座的后侧又另设计有一专用爬坡轮，使用时，安装方便。</w:t>
            </w:r>
          </w:p>
          <w:p w14:paraId="2D7717CF">
            <w:pPr>
              <w:pStyle w:val="165"/>
              <w:keepNext w:val="0"/>
              <w:keepLines w:val="0"/>
              <w:pageBreakBefore w:val="0"/>
              <w:widowControl/>
              <w:shd w:val="clear"/>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rPr>
              <w:t>微电脑控制，全自动升降</w:t>
            </w:r>
            <w:r>
              <w:rPr>
                <w:rFonts w:hint="eastAsia" w:ascii="宋体" w:hAnsi="宋体" w:cs="宋体"/>
                <w:kern w:val="0"/>
                <w:sz w:val="21"/>
                <w:szCs w:val="21"/>
                <w:lang w:eastAsia="zh-CN"/>
              </w:rPr>
              <w:t>。</w:t>
            </w:r>
          </w:p>
          <w:p w14:paraId="5D317DFA">
            <w:pPr>
              <w:pStyle w:val="165"/>
              <w:keepNext w:val="0"/>
              <w:keepLines w:val="0"/>
              <w:pageBreakBefore w:val="0"/>
              <w:widowControl/>
              <w:shd w:val="clear"/>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FF0000"/>
                <w:sz w:val="21"/>
                <w:szCs w:val="21"/>
                <w:lang w:val="en-US" w:eastAsia="zh-CN"/>
              </w:rPr>
            </w:pPr>
            <w:r>
              <w:rPr>
                <w:rFonts w:hint="eastAsia" w:ascii="宋体" w:hAnsi="宋体" w:cs="宋体"/>
                <w:color w:val="auto"/>
                <w:kern w:val="0"/>
                <w:sz w:val="20"/>
                <w:szCs w:val="20"/>
                <w:highlight w:val="none"/>
                <w:lang w:val="en-US" w:eastAsia="zh-CN"/>
              </w:rPr>
              <w:t>8.</w:t>
            </w:r>
            <w:r>
              <w:rPr>
                <w:rFonts w:hint="eastAsia" w:ascii="宋体" w:hAnsi="宋体" w:eastAsia="宋体" w:cs="宋体"/>
                <w:color w:val="auto"/>
                <w:sz w:val="21"/>
                <w:szCs w:val="21"/>
                <w:lang w:val="en-US" w:eastAsia="zh-CN"/>
              </w:rPr>
              <w:t>依据GB/T23176-2008 《篮球架》 对篮板支撑构架水平和垂直变形量进行检测，在支撑构架上施加130N静载荷，保持1min，卸载后从原位置计算支撑架构的永久性水平变形量≤10mm（实际为2mm）；在支撑构架上施加2700N静载荷，保持1min，卸载后从原位置计算支撑架构的永久性垂直变形量≤10mm（实际为2mm）。</w:t>
            </w:r>
          </w:p>
          <w:p w14:paraId="2DDB8F0B">
            <w:pPr>
              <w:pStyle w:val="165"/>
              <w:keepNext w:val="0"/>
              <w:keepLines w:val="0"/>
              <w:pageBreakBefore w:val="0"/>
              <w:widowControl/>
              <w:shd w:val="clear"/>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0"/>
                <w:szCs w:val="20"/>
                <w:highlight w:val="none"/>
              </w:rPr>
              <w:t>★</w:t>
            </w:r>
            <w:r>
              <w:rPr>
                <w:rFonts w:hint="eastAsia" w:ascii="宋体" w:hAnsi="宋体" w:eastAsia="宋体" w:cs="宋体"/>
                <w:b w:val="0"/>
                <w:bCs/>
                <w:color w:val="auto"/>
                <w:sz w:val="21"/>
                <w:szCs w:val="21"/>
                <w:highlight w:val="none"/>
                <w:lang w:eastAsia="zh-CN"/>
              </w:rPr>
              <w:t>须</w:t>
            </w:r>
            <w:r>
              <w:rPr>
                <w:rFonts w:hint="eastAsia" w:ascii="宋体" w:hAnsi="宋体" w:eastAsia="宋体" w:cs="宋体"/>
                <w:b w:val="0"/>
                <w:bCs/>
                <w:color w:val="auto"/>
                <w:sz w:val="21"/>
                <w:szCs w:val="21"/>
                <w:highlight w:val="none"/>
              </w:rPr>
              <w:t>承诺中标后提供由</w:t>
            </w:r>
            <w:r>
              <w:rPr>
                <w:rFonts w:hint="eastAsia" w:ascii="宋体" w:hAnsi="宋体" w:eastAsia="宋体" w:cs="宋体"/>
                <w:b w:val="0"/>
                <w:bCs/>
                <w:color w:val="auto"/>
                <w:sz w:val="21"/>
                <w:szCs w:val="21"/>
                <w:highlight w:val="none"/>
                <w:lang w:eastAsia="zh-CN"/>
              </w:rPr>
              <w:t>第三方</w:t>
            </w:r>
            <w:r>
              <w:rPr>
                <w:rFonts w:hint="eastAsia" w:ascii="宋体" w:hAnsi="宋体" w:eastAsia="宋体" w:cs="宋体"/>
                <w:b w:val="0"/>
                <w:bCs/>
                <w:color w:val="auto"/>
                <w:sz w:val="21"/>
                <w:szCs w:val="21"/>
                <w:highlight w:val="none"/>
              </w:rPr>
              <w:t>检测机构出具的带有CMA或CNAS标识的检测报告</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报告中的检测依据及各项检测指标应符合以上参数要求</w:t>
            </w:r>
            <w:r>
              <w:rPr>
                <w:rFonts w:hint="eastAsia" w:ascii="宋体" w:hAnsi="宋体" w:cs="宋体"/>
                <w:color w:val="auto"/>
                <w:kern w:val="2"/>
                <w:sz w:val="21"/>
                <w:szCs w:val="21"/>
                <w:highlight w:val="none"/>
                <w:lang w:val="en-US" w:eastAsia="zh-CN" w:bidi="ar-SA"/>
              </w:rPr>
              <w:t>。</w:t>
            </w:r>
          </w:p>
          <w:p w14:paraId="26913333">
            <w:pPr>
              <w:pStyle w:val="165"/>
              <w:keepNext w:val="0"/>
              <w:keepLines w:val="0"/>
              <w:pageBreakBefore w:val="0"/>
              <w:widowControl/>
              <w:shd w:val="clear"/>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kern w:val="0"/>
                <w:sz w:val="21"/>
                <w:szCs w:val="21"/>
                <w:lang w:eastAsia="zh-CN"/>
              </w:rPr>
            </w:pPr>
            <w:r>
              <w:rPr>
                <w:rFonts w:hint="eastAsia" w:ascii="宋体" w:hAnsi="宋体" w:eastAsia="宋体" w:cs="宋体"/>
                <w:color w:val="000000"/>
                <w:kern w:val="0"/>
                <w:sz w:val="21"/>
                <w:szCs w:val="21"/>
                <w:highlight w:val="none"/>
                <w:lang w:val="en-US" w:eastAsia="zh-CN"/>
              </w:rPr>
              <w:t>▲</w:t>
            </w:r>
            <w:r>
              <w:rPr>
                <w:rFonts w:hint="eastAsia" w:ascii="宋体" w:hAnsi="宋体" w:cs="宋体"/>
                <w:color w:val="000000"/>
                <w:kern w:val="0"/>
                <w:sz w:val="21"/>
                <w:szCs w:val="21"/>
                <w:highlight w:val="none"/>
                <w:lang w:val="en-US" w:eastAsia="zh-CN"/>
              </w:rPr>
              <w:t>产品通过国际篮联（</w:t>
            </w:r>
            <w:r>
              <w:rPr>
                <w:rFonts w:hint="eastAsia" w:ascii="宋体" w:hAnsi="宋体" w:eastAsia="宋体" w:cs="宋体"/>
                <w:kern w:val="0"/>
                <w:sz w:val="21"/>
                <w:szCs w:val="21"/>
                <w:highlight w:val="none"/>
              </w:rPr>
              <w:t>FIBA</w:t>
            </w:r>
            <w:r>
              <w:rPr>
                <w:rFonts w:hint="eastAsia" w:ascii="宋体" w:hAnsi="宋体" w:cs="宋体"/>
                <w:kern w:val="0"/>
                <w:sz w:val="21"/>
                <w:szCs w:val="21"/>
                <w:highlight w:val="none"/>
                <w:lang w:eastAsia="zh-CN"/>
              </w:rPr>
              <w:t>）</w:t>
            </w:r>
            <w:r>
              <w:rPr>
                <w:rFonts w:hint="eastAsia" w:ascii="宋体" w:hAnsi="宋体" w:eastAsia="宋体" w:cs="宋体"/>
                <w:kern w:val="0"/>
                <w:sz w:val="21"/>
                <w:szCs w:val="21"/>
                <w:highlight w:val="none"/>
              </w:rPr>
              <w:t>认证</w:t>
            </w:r>
            <w:r>
              <w:rPr>
                <w:rFonts w:hint="eastAsia" w:ascii="宋体" w:hAnsi="宋体" w:cs="宋体"/>
                <w:kern w:val="0"/>
                <w:sz w:val="21"/>
                <w:szCs w:val="21"/>
                <w:highlight w:val="none"/>
                <w:lang w:eastAsia="zh-CN"/>
              </w:rPr>
              <w:t>。</w:t>
            </w:r>
          </w:p>
        </w:tc>
      </w:tr>
      <w:tr w14:paraId="50B595B0">
        <w:tblPrEx>
          <w:tblCellMar>
            <w:top w:w="0" w:type="dxa"/>
            <w:left w:w="108" w:type="dxa"/>
            <w:bottom w:w="0" w:type="dxa"/>
            <w:right w:w="108" w:type="dxa"/>
          </w:tblCellMar>
        </w:tblPrEx>
        <w:trPr>
          <w:trHeight w:val="7912" w:hRule="atLeast"/>
        </w:trPr>
        <w:tc>
          <w:tcPr>
            <w:tcW w:w="695" w:type="dxa"/>
            <w:tcBorders>
              <w:top w:val="nil"/>
              <w:left w:val="single" w:color="auto" w:sz="8" w:space="0"/>
              <w:bottom w:val="single" w:color="auto" w:sz="4" w:space="0"/>
              <w:right w:val="single" w:color="auto" w:sz="4" w:space="0"/>
            </w:tcBorders>
            <w:shd w:val="clear" w:color="auto" w:fill="auto"/>
            <w:noWrap/>
            <w:vAlign w:val="center"/>
          </w:tcPr>
          <w:p w14:paraId="4E54889A">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1719" w:type="dxa"/>
            <w:tcBorders>
              <w:top w:val="nil"/>
              <w:left w:val="nil"/>
              <w:bottom w:val="single" w:color="auto" w:sz="4" w:space="0"/>
              <w:right w:val="single" w:color="auto" w:sz="4" w:space="0"/>
            </w:tcBorders>
            <w:shd w:val="clear" w:color="auto" w:fill="auto"/>
            <w:vAlign w:val="center"/>
          </w:tcPr>
          <w:p w14:paraId="5C8ECEA1">
            <w:pPr>
              <w:keepNext w:val="0"/>
              <w:keepLines w:val="0"/>
              <w:pageBreakBefore w:val="0"/>
              <w:widowControl/>
              <w:shd w:val="clear"/>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
                <w:bCs/>
                <w:kern w:val="0"/>
                <w:sz w:val="20"/>
                <w:szCs w:val="20"/>
              </w:rPr>
            </w:pPr>
            <w:r>
              <w:rPr>
                <w:rFonts w:hint="eastAsia" w:ascii="宋体" w:hAnsi="宋体" w:eastAsia="宋体" w:cs="宋体"/>
                <w:b/>
                <w:bCs/>
                <w:kern w:val="0"/>
                <w:sz w:val="20"/>
                <w:szCs w:val="20"/>
              </w:rPr>
              <w:t>智能电动悬臂</w:t>
            </w:r>
          </w:p>
          <w:p w14:paraId="3CACBEF2">
            <w:pPr>
              <w:keepNext w:val="0"/>
              <w:keepLines w:val="0"/>
              <w:pageBreakBefore w:val="0"/>
              <w:widowControl/>
              <w:shd w:val="clear"/>
              <w:kinsoku/>
              <w:wordWrap/>
              <w:overflowPunct/>
              <w:topLinePunct w:val="0"/>
              <w:autoSpaceDE/>
              <w:autoSpaceDN/>
              <w:bidi w:val="0"/>
              <w:adjustRightInd/>
              <w:snapToGrid/>
              <w:spacing w:line="340" w:lineRule="exact"/>
              <w:ind w:left="0" w:leftChars="0" w:firstLine="0" w:firstLineChars="0"/>
              <w:jc w:val="center"/>
              <w:textAlignment w:val="auto"/>
              <w:rPr>
                <w:rFonts w:hint="eastAsia"/>
              </w:rPr>
            </w:pPr>
            <w:r>
              <w:rPr>
                <w:rFonts w:hint="eastAsia" w:ascii="宋体" w:hAnsi="宋体" w:eastAsia="宋体" w:cs="宋体"/>
                <w:b/>
                <w:bCs/>
                <w:kern w:val="0"/>
                <w:sz w:val="20"/>
                <w:szCs w:val="20"/>
              </w:rPr>
              <w:t>篮球架</w:t>
            </w:r>
          </w:p>
        </w:tc>
        <w:tc>
          <w:tcPr>
            <w:tcW w:w="702" w:type="dxa"/>
            <w:tcBorders>
              <w:top w:val="nil"/>
              <w:left w:val="nil"/>
              <w:bottom w:val="single" w:color="auto" w:sz="4" w:space="0"/>
              <w:right w:val="single" w:color="auto" w:sz="4" w:space="0"/>
            </w:tcBorders>
            <w:shd w:val="clear" w:color="auto" w:fill="auto"/>
            <w:noWrap/>
            <w:vAlign w:val="center"/>
          </w:tcPr>
          <w:p w14:paraId="00505A5C">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个</w:t>
            </w:r>
          </w:p>
        </w:tc>
        <w:tc>
          <w:tcPr>
            <w:tcW w:w="727" w:type="dxa"/>
            <w:tcBorders>
              <w:top w:val="nil"/>
              <w:left w:val="nil"/>
              <w:bottom w:val="single" w:color="auto" w:sz="4" w:space="0"/>
              <w:right w:val="single" w:color="auto" w:sz="4" w:space="0"/>
            </w:tcBorders>
            <w:shd w:val="clear" w:color="auto" w:fill="auto"/>
            <w:noWrap/>
            <w:vAlign w:val="center"/>
          </w:tcPr>
          <w:p w14:paraId="42D55427">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4</w:t>
            </w:r>
          </w:p>
        </w:tc>
        <w:tc>
          <w:tcPr>
            <w:tcW w:w="11253" w:type="dxa"/>
            <w:tcBorders>
              <w:top w:val="nil"/>
              <w:left w:val="nil"/>
              <w:bottom w:val="single" w:color="auto" w:sz="4" w:space="0"/>
              <w:right w:val="single" w:color="auto" w:sz="8" w:space="0"/>
            </w:tcBorders>
            <w:shd w:val="clear" w:color="auto" w:fill="auto"/>
            <w:vAlign w:val="center"/>
          </w:tcPr>
          <w:p w14:paraId="1220C686">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kern w:val="0"/>
                <w:sz w:val="20"/>
                <w:szCs w:val="20"/>
              </w:rPr>
            </w:pPr>
            <w:r>
              <w:rPr>
                <w:rFonts w:hint="eastAsia" w:ascii="宋体" w:hAnsi="宋体" w:eastAsia="宋体" w:cs="宋体"/>
                <w:kern w:val="0"/>
                <w:sz w:val="20"/>
                <w:szCs w:val="20"/>
              </w:rPr>
              <w:t>根据现场实际情况设计</w:t>
            </w:r>
          </w:p>
          <w:p w14:paraId="195B123E">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kern w:val="0"/>
                <w:sz w:val="20"/>
                <w:szCs w:val="20"/>
              </w:rPr>
            </w:pPr>
            <w:r>
              <w:rPr>
                <w:rFonts w:hint="eastAsia" w:ascii="宋体" w:hAnsi="宋体" w:eastAsia="宋体" w:cs="宋体"/>
                <w:kern w:val="0"/>
                <w:sz w:val="20"/>
                <w:szCs w:val="20"/>
              </w:rPr>
              <w:t>伸臂2—3.8m</w:t>
            </w:r>
          </w:p>
          <w:p w14:paraId="3A78B7F0">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kern w:val="0"/>
                <w:sz w:val="20"/>
                <w:szCs w:val="20"/>
              </w:rPr>
            </w:pPr>
            <w:r>
              <w:rPr>
                <w:rFonts w:hint="eastAsia" w:ascii="宋体" w:hAnsi="宋体" w:eastAsia="宋体" w:cs="宋体"/>
                <w:kern w:val="0"/>
                <w:sz w:val="20"/>
                <w:szCs w:val="20"/>
              </w:rPr>
              <w:t>配高强度安全玻璃篮板</w:t>
            </w:r>
          </w:p>
          <w:p w14:paraId="4FD47F7D">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kern w:val="0"/>
                <w:sz w:val="20"/>
                <w:szCs w:val="20"/>
              </w:rPr>
            </w:pPr>
            <w:r>
              <w:rPr>
                <w:rFonts w:hint="eastAsia" w:ascii="宋体" w:hAnsi="宋体" w:eastAsia="宋体" w:cs="宋体"/>
                <w:kern w:val="0"/>
                <w:sz w:val="20"/>
                <w:szCs w:val="20"/>
              </w:rPr>
              <w:t>1</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产品规格</w:t>
            </w:r>
          </w:p>
          <w:p w14:paraId="35A4FA1F">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kern w:val="0"/>
                <w:sz w:val="20"/>
                <w:szCs w:val="20"/>
              </w:rPr>
            </w:pPr>
            <w:r>
              <w:rPr>
                <w:rFonts w:hint="eastAsia" w:ascii="宋体" w:hAnsi="宋体" w:eastAsia="宋体" w:cs="宋体"/>
                <w:kern w:val="0"/>
                <w:sz w:val="20"/>
                <w:szCs w:val="20"/>
              </w:rPr>
              <w:t>篮架伸臂2—3.6m，篮圈上沿离地面高3.05m。</w:t>
            </w:r>
          </w:p>
          <w:p w14:paraId="744618CF">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kern w:val="0"/>
                <w:sz w:val="20"/>
                <w:szCs w:val="20"/>
              </w:rPr>
            </w:pPr>
            <w:r>
              <w:rPr>
                <w:rFonts w:hint="eastAsia" w:ascii="宋体" w:hAnsi="宋体" w:eastAsia="宋体" w:cs="宋体"/>
                <w:kern w:val="0"/>
                <w:sz w:val="20"/>
                <w:szCs w:val="20"/>
              </w:rPr>
              <w:t>2</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产品结构及工作原理</w:t>
            </w:r>
          </w:p>
          <w:p w14:paraId="2FF91631">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kern w:val="0"/>
                <w:sz w:val="20"/>
                <w:szCs w:val="20"/>
              </w:rPr>
            </w:pPr>
            <w:r>
              <w:rPr>
                <w:rFonts w:hint="eastAsia" w:ascii="宋体" w:hAnsi="宋体" w:eastAsia="宋体" w:cs="宋体"/>
                <w:kern w:val="0"/>
                <w:sz w:val="20"/>
                <w:szCs w:val="20"/>
              </w:rPr>
              <w:t>篮球架主要由固定臂、伸出主杆、拉杆、预埋件和电机组成，主要原理：通过步进电机带动齿轮传动，使伸出主杆在行程控制范围内伸缩，达到伸臂长度要求。合理的结构设计与独特的外观造型和谐统一，美观大方。</w:t>
            </w:r>
          </w:p>
          <w:p w14:paraId="39552493">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kern w:val="0"/>
                <w:sz w:val="20"/>
                <w:szCs w:val="20"/>
              </w:rPr>
            </w:pPr>
            <w:r>
              <w:rPr>
                <w:rFonts w:hint="eastAsia" w:ascii="宋体" w:hAnsi="宋体" w:eastAsia="宋体" w:cs="宋体"/>
                <w:kern w:val="0"/>
                <w:sz w:val="20"/>
                <w:szCs w:val="20"/>
              </w:rPr>
              <w:t>3</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产品用材</w:t>
            </w:r>
          </w:p>
          <w:p w14:paraId="0E5BEF72">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kern w:val="0"/>
                <w:sz w:val="20"/>
                <w:szCs w:val="20"/>
              </w:rPr>
            </w:pPr>
            <w:r>
              <w:rPr>
                <w:rFonts w:hint="eastAsia" w:ascii="宋体" w:hAnsi="宋体" w:eastAsia="宋体" w:cs="宋体"/>
                <w:kern w:val="0"/>
                <w:sz w:val="20"/>
                <w:szCs w:val="20"/>
              </w:rPr>
              <w:t>篮球架固定臂采用</w:t>
            </w:r>
            <w:r>
              <w:rPr>
                <w:rFonts w:hint="eastAsia" w:ascii="宋体" w:hAnsi="宋体" w:eastAsia="宋体" w:cs="宋体"/>
                <w:kern w:val="0"/>
                <w:sz w:val="20"/>
                <w:szCs w:val="20"/>
                <w:highlight w:val="none"/>
              </w:rPr>
              <w:t>200×200×5</w:t>
            </w:r>
            <w:r>
              <w:rPr>
                <w:rFonts w:hint="eastAsia" w:cs="宋体"/>
                <w:kern w:val="0"/>
                <w:sz w:val="20"/>
                <w:szCs w:val="20"/>
                <w:highlight w:val="none"/>
                <w:lang w:val="en-US" w:eastAsia="zh-CN"/>
              </w:rPr>
              <w:t>mm</w:t>
            </w:r>
            <w:r>
              <w:rPr>
                <w:rFonts w:hint="eastAsia" w:ascii="宋体" w:hAnsi="宋体" w:eastAsia="宋体" w:cs="宋体"/>
                <w:kern w:val="0"/>
                <w:sz w:val="20"/>
                <w:szCs w:val="20"/>
              </w:rPr>
              <w:t>方管制作，伸出主杆采用</w:t>
            </w:r>
            <w:r>
              <w:rPr>
                <w:rFonts w:hint="eastAsia" w:ascii="宋体" w:hAnsi="宋体" w:eastAsia="宋体" w:cs="宋体"/>
                <w:kern w:val="0"/>
                <w:sz w:val="20"/>
                <w:szCs w:val="20"/>
                <w:highlight w:val="none"/>
              </w:rPr>
              <w:t>140×140×5</w:t>
            </w:r>
            <w:r>
              <w:rPr>
                <w:rFonts w:hint="eastAsia" w:cs="宋体"/>
                <w:kern w:val="0"/>
                <w:sz w:val="20"/>
                <w:szCs w:val="20"/>
                <w:highlight w:val="none"/>
                <w:lang w:val="en-US" w:eastAsia="zh-CN"/>
              </w:rPr>
              <w:t>mm</w:t>
            </w:r>
            <w:r>
              <w:rPr>
                <w:rFonts w:hint="eastAsia" w:ascii="宋体" w:hAnsi="宋体" w:eastAsia="宋体" w:cs="宋体"/>
                <w:kern w:val="0"/>
                <w:sz w:val="20"/>
                <w:szCs w:val="20"/>
              </w:rPr>
              <w:t>方管制作，上拉杆采用Φ48×3圆管在弯管机上一次成型，后拉杆采用</w:t>
            </w:r>
            <w:r>
              <w:rPr>
                <w:rFonts w:hint="eastAsia" w:ascii="宋体" w:hAnsi="宋体" w:eastAsia="宋体" w:cs="宋体"/>
                <w:kern w:val="0"/>
                <w:sz w:val="20"/>
                <w:szCs w:val="20"/>
                <w:highlight w:val="none"/>
              </w:rPr>
              <w:t>50×40×3</w:t>
            </w:r>
            <w:r>
              <w:rPr>
                <w:rFonts w:hint="eastAsia" w:cs="宋体"/>
                <w:kern w:val="0"/>
                <w:sz w:val="20"/>
                <w:szCs w:val="20"/>
                <w:highlight w:val="none"/>
                <w:lang w:val="en-US" w:eastAsia="zh-CN"/>
              </w:rPr>
              <w:t>mm</w:t>
            </w:r>
            <w:r>
              <w:rPr>
                <w:rFonts w:hint="eastAsia" w:ascii="宋体" w:hAnsi="宋体" w:eastAsia="宋体" w:cs="宋体"/>
                <w:kern w:val="0"/>
                <w:sz w:val="20"/>
                <w:szCs w:val="20"/>
              </w:rPr>
              <w:t>方管在弯管机上一次成型，篮球架配备有专用高强度螺栓，与混凝土立柱或横梁连接采用化学螺栓，篮球架安装有罩壳，采用2mm钢板折边成型。</w:t>
            </w:r>
          </w:p>
          <w:p w14:paraId="78835BA5">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kern w:val="0"/>
                <w:sz w:val="20"/>
                <w:szCs w:val="20"/>
              </w:rPr>
            </w:pPr>
            <w:r>
              <w:rPr>
                <w:rFonts w:hint="eastAsia" w:ascii="宋体" w:hAnsi="宋体" w:eastAsia="宋体" w:cs="宋体"/>
                <w:kern w:val="0"/>
                <w:sz w:val="20"/>
                <w:szCs w:val="20"/>
              </w:rPr>
              <w:t>4</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篮板调节</w:t>
            </w:r>
          </w:p>
          <w:p w14:paraId="1D7D05E0">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kern w:val="0"/>
                <w:sz w:val="20"/>
                <w:szCs w:val="20"/>
              </w:rPr>
            </w:pPr>
            <w:r>
              <w:rPr>
                <w:rFonts w:hint="eastAsia" w:ascii="宋体" w:hAnsi="宋体" w:eastAsia="宋体" w:cs="宋体"/>
                <w:kern w:val="0"/>
                <w:sz w:val="20"/>
                <w:szCs w:val="20"/>
              </w:rPr>
              <w:t>篮架设有调节机构，通过调节上拉杆和后拉杆调节螺丝松紧，可调节篮板的平面度和垂直度，使用安全且方便。</w:t>
            </w:r>
          </w:p>
          <w:p w14:paraId="59123826">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kern w:val="0"/>
                <w:sz w:val="20"/>
                <w:szCs w:val="20"/>
              </w:rPr>
            </w:pPr>
            <w:r>
              <w:rPr>
                <w:rFonts w:hint="eastAsia" w:ascii="宋体" w:hAnsi="宋体" w:eastAsia="宋体" w:cs="宋体"/>
                <w:kern w:val="0"/>
                <w:sz w:val="20"/>
                <w:szCs w:val="20"/>
              </w:rPr>
              <w:t>5</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篮板</w:t>
            </w:r>
          </w:p>
          <w:p w14:paraId="16A3AD96">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kern w:val="0"/>
                <w:sz w:val="20"/>
                <w:szCs w:val="20"/>
              </w:rPr>
            </w:pPr>
            <w:r>
              <w:rPr>
                <w:rFonts w:hint="eastAsia" w:ascii="宋体" w:hAnsi="宋体" w:eastAsia="宋体" w:cs="宋体"/>
                <w:kern w:val="0"/>
                <w:sz w:val="20"/>
                <w:szCs w:val="20"/>
              </w:rPr>
              <w:t>规格：1800×1050（mm），篮板配用国际通用的高强度安全玻璃篮板（13mm厚双层夹胶玻璃），具有透明度高、耐侯性好、抗老化、耐腐蚀、不易模糊等特点，并在篮板下沿侧面覆盖有保护圈，保护圈前后表面高度、厚度均≥20mm，底面厚度≥50mm，符合FIBA规则，能有效保护运动员不受伤害。篮板弹性500N/1m，中心挠度≤6mm，取消外力1min后篮板恢复原状。</w:t>
            </w:r>
          </w:p>
          <w:p w14:paraId="37243301">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kern w:val="0"/>
                <w:sz w:val="20"/>
                <w:szCs w:val="20"/>
              </w:rPr>
            </w:pPr>
            <w:r>
              <w:rPr>
                <w:rFonts w:hint="eastAsia" w:ascii="宋体" w:hAnsi="宋体" w:eastAsia="宋体" w:cs="宋体"/>
                <w:kern w:val="0"/>
                <w:sz w:val="20"/>
                <w:szCs w:val="20"/>
              </w:rPr>
              <w:t>6</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篮圈</w:t>
            </w:r>
          </w:p>
          <w:p w14:paraId="38BF7D31">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kern w:val="0"/>
                <w:sz w:val="20"/>
                <w:szCs w:val="20"/>
              </w:rPr>
            </w:pPr>
            <w:r>
              <w:rPr>
                <w:rFonts w:hint="eastAsia" w:ascii="宋体" w:hAnsi="宋体" w:eastAsia="宋体" w:cs="宋体"/>
                <w:kern w:val="0"/>
                <w:sz w:val="20"/>
                <w:szCs w:val="20"/>
              </w:rPr>
              <w:t>篮圈抗弯性能好，在篮圈最远点的圈顶上施加静载荷未到105kg时，篮圈无转动，当静载荷≥105kg时，篮圈向下转动，角度不超过30度，能有效解决投篮时篮圈的稳定性和运动员扣篮时的安全性问题。</w:t>
            </w:r>
          </w:p>
          <w:p w14:paraId="14B0A9FA">
            <w:pPr>
              <w:pStyle w:val="165"/>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color w:val="auto"/>
                <w:kern w:val="0"/>
                <w:sz w:val="20"/>
                <w:szCs w:val="20"/>
                <w:highlight w:val="none"/>
                <w:lang w:val="en-US" w:eastAsia="zh-CN"/>
              </w:rPr>
              <w:t>7.本产</w:t>
            </w:r>
            <w:r>
              <w:rPr>
                <w:rFonts w:hint="eastAsia" w:ascii="宋体" w:hAnsi="宋体" w:eastAsia="宋体" w:cs="宋体"/>
                <w:b w:val="0"/>
                <w:bCs w:val="0"/>
                <w:color w:val="auto"/>
                <w:kern w:val="2"/>
                <w:sz w:val="21"/>
                <w:szCs w:val="21"/>
                <w:highlight w:val="none"/>
                <w:lang w:val="en-US" w:eastAsia="zh-CN" w:bidi="ar-SA"/>
              </w:rPr>
              <w:t>品使用的化学螺栓，具有依据JGJ145-2013《混凝土结构后锚固技术规程》,试验仪器SH-V10微型锚杆拉拔仪（HY-JZ-299）的后锚固拉拔检测报告，且检测结果满足荷载试验设计值。</w:t>
            </w:r>
          </w:p>
          <w:p w14:paraId="690A7C33">
            <w:pPr>
              <w:pStyle w:val="165"/>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kern w:val="0"/>
                <w:sz w:val="20"/>
                <w:szCs w:val="20"/>
              </w:rPr>
            </w:pPr>
            <w:r>
              <w:rPr>
                <w:rFonts w:hint="eastAsia" w:ascii="宋体" w:hAnsi="宋体" w:eastAsia="宋体" w:cs="宋体"/>
                <w:color w:val="auto"/>
                <w:kern w:val="0"/>
                <w:sz w:val="20"/>
                <w:szCs w:val="20"/>
                <w:highlight w:val="none"/>
              </w:rPr>
              <w:t>★</w:t>
            </w:r>
            <w:r>
              <w:rPr>
                <w:rFonts w:hint="eastAsia" w:ascii="宋体" w:hAnsi="宋体" w:eastAsia="宋体" w:cs="宋体"/>
                <w:b w:val="0"/>
                <w:bCs/>
                <w:color w:val="auto"/>
                <w:sz w:val="21"/>
                <w:szCs w:val="21"/>
                <w:highlight w:val="none"/>
                <w:lang w:eastAsia="zh-CN"/>
              </w:rPr>
              <w:t>须</w:t>
            </w:r>
            <w:r>
              <w:rPr>
                <w:rFonts w:hint="eastAsia" w:ascii="宋体" w:hAnsi="宋体" w:eastAsia="宋体" w:cs="宋体"/>
                <w:b w:val="0"/>
                <w:bCs/>
                <w:color w:val="auto"/>
                <w:sz w:val="21"/>
                <w:szCs w:val="21"/>
                <w:highlight w:val="none"/>
              </w:rPr>
              <w:t>承诺中标后提供由</w:t>
            </w:r>
            <w:r>
              <w:rPr>
                <w:rFonts w:hint="eastAsia" w:ascii="宋体" w:hAnsi="宋体" w:eastAsia="宋体" w:cs="宋体"/>
                <w:b w:val="0"/>
                <w:bCs/>
                <w:color w:val="auto"/>
                <w:sz w:val="21"/>
                <w:szCs w:val="21"/>
                <w:highlight w:val="none"/>
                <w:lang w:eastAsia="zh-CN"/>
              </w:rPr>
              <w:t>第三方</w:t>
            </w:r>
            <w:r>
              <w:rPr>
                <w:rFonts w:hint="eastAsia" w:ascii="宋体" w:hAnsi="宋体" w:eastAsia="宋体" w:cs="宋体"/>
                <w:b w:val="0"/>
                <w:bCs/>
                <w:color w:val="auto"/>
                <w:sz w:val="21"/>
                <w:szCs w:val="21"/>
                <w:highlight w:val="none"/>
              </w:rPr>
              <w:t>检测机构出具的带有CMA或CNAS标识的检测报告</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报告中的检测依据及各项检测指标应符合以上参数要求</w:t>
            </w:r>
            <w:r>
              <w:rPr>
                <w:rFonts w:hint="eastAsia" w:ascii="宋体" w:hAnsi="宋体" w:cs="宋体"/>
                <w:color w:val="auto"/>
                <w:kern w:val="2"/>
                <w:sz w:val="21"/>
                <w:szCs w:val="21"/>
                <w:highlight w:val="none"/>
                <w:lang w:val="en-US" w:eastAsia="zh-CN" w:bidi="ar-SA"/>
              </w:rPr>
              <w:t>。</w:t>
            </w:r>
          </w:p>
        </w:tc>
      </w:tr>
      <w:tr w14:paraId="5A010C5A">
        <w:tblPrEx>
          <w:tblCellMar>
            <w:top w:w="0" w:type="dxa"/>
            <w:left w:w="108" w:type="dxa"/>
            <w:bottom w:w="0" w:type="dxa"/>
            <w:right w:w="108" w:type="dxa"/>
          </w:tblCellMar>
        </w:tblPrEx>
        <w:trPr>
          <w:trHeight w:val="416" w:hRule="atLeast"/>
        </w:trPr>
        <w:tc>
          <w:tcPr>
            <w:tcW w:w="695" w:type="dxa"/>
            <w:tcBorders>
              <w:top w:val="nil"/>
              <w:left w:val="single" w:color="auto" w:sz="8" w:space="0"/>
              <w:bottom w:val="single" w:color="auto" w:sz="4" w:space="0"/>
              <w:right w:val="single" w:color="auto" w:sz="4" w:space="0"/>
            </w:tcBorders>
            <w:shd w:val="clear" w:color="auto" w:fill="auto"/>
            <w:noWrap/>
            <w:vAlign w:val="center"/>
          </w:tcPr>
          <w:p w14:paraId="3F68D1B7">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1719" w:type="dxa"/>
            <w:tcBorders>
              <w:top w:val="nil"/>
              <w:left w:val="nil"/>
              <w:bottom w:val="single" w:color="auto" w:sz="4" w:space="0"/>
              <w:right w:val="single" w:color="auto" w:sz="4" w:space="0"/>
            </w:tcBorders>
            <w:shd w:val="clear" w:color="auto" w:fill="auto"/>
            <w:vAlign w:val="center"/>
          </w:tcPr>
          <w:p w14:paraId="3F8C1900">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
                <w:bCs/>
                <w:kern w:val="0"/>
                <w:sz w:val="20"/>
                <w:szCs w:val="20"/>
              </w:rPr>
            </w:pPr>
            <w:r>
              <w:rPr>
                <w:rFonts w:hint="eastAsia" w:ascii="宋体" w:hAnsi="宋体" w:eastAsia="宋体" w:cs="宋体"/>
                <w:b/>
                <w:bCs/>
                <w:kern w:val="0"/>
                <w:sz w:val="20"/>
                <w:szCs w:val="20"/>
              </w:rPr>
              <w:t>篮球示教板</w:t>
            </w:r>
          </w:p>
        </w:tc>
        <w:tc>
          <w:tcPr>
            <w:tcW w:w="702" w:type="dxa"/>
            <w:tcBorders>
              <w:top w:val="nil"/>
              <w:left w:val="nil"/>
              <w:bottom w:val="single" w:color="auto" w:sz="4" w:space="0"/>
              <w:right w:val="single" w:color="auto" w:sz="4" w:space="0"/>
            </w:tcBorders>
            <w:shd w:val="clear" w:color="auto" w:fill="auto"/>
            <w:noWrap/>
            <w:vAlign w:val="center"/>
          </w:tcPr>
          <w:p w14:paraId="03D97092">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块</w:t>
            </w:r>
          </w:p>
        </w:tc>
        <w:tc>
          <w:tcPr>
            <w:tcW w:w="727" w:type="dxa"/>
            <w:tcBorders>
              <w:top w:val="nil"/>
              <w:left w:val="nil"/>
              <w:bottom w:val="single" w:color="auto" w:sz="4" w:space="0"/>
              <w:right w:val="single" w:color="auto" w:sz="4" w:space="0"/>
            </w:tcBorders>
            <w:shd w:val="clear" w:color="auto" w:fill="auto"/>
            <w:noWrap/>
            <w:vAlign w:val="center"/>
          </w:tcPr>
          <w:p w14:paraId="6F1B395C">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w:t>
            </w:r>
          </w:p>
        </w:tc>
        <w:tc>
          <w:tcPr>
            <w:tcW w:w="11253" w:type="dxa"/>
            <w:tcBorders>
              <w:top w:val="nil"/>
              <w:left w:val="nil"/>
              <w:bottom w:val="single" w:color="auto" w:sz="4" w:space="0"/>
              <w:right w:val="single" w:color="auto" w:sz="8" w:space="0"/>
            </w:tcBorders>
            <w:shd w:val="clear" w:color="auto" w:fill="auto"/>
            <w:vAlign w:val="center"/>
          </w:tcPr>
          <w:p w14:paraId="461B9A13">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1.2×0.9m，复合玻璃钢板四周铝合金包边，配备磁性珠。配备5枚红色、5枚兰色、2枚黑(黄）色棋子</w:t>
            </w:r>
          </w:p>
        </w:tc>
      </w:tr>
      <w:tr w14:paraId="7996ECFF">
        <w:tblPrEx>
          <w:tblCellMar>
            <w:top w:w="0" w:type="dxa"/>
            <w:left w:w="108" w:type="dxa"/>
            <w:bottom w:w="0" w:type="dxa"/>
            <w:right w:w="108" w:type="dxa"/>
          </w:tblCellMar>
        </w:tblPrEx>
        <w:trPr>
          <w:trHeight w:val="347" w:hRule="atLeast"/>
        </w:trPr>
        <w:tc>
          <w:tcPr>
            <w:tcW w:w="695" w:type="dxa"/>
            <w:tcBorders>
              <w:top w:val="nil"/>
              <w:left w:val="single" w:color="auto" w:sz="8" w:space="0"/>
              <w:bottom w:val="single" w:color="auto" w:sz="4" w:space="0"/>
              <w:right w:val="single" w:color="auto" w:sz="4" w:space="0"/>
            </w:tcBorders>
            <w:shd w:val="clear" w:color="auto" w:fill="auto"/>
            <w:noWrap/>
            <w:vAlign w:val="center"/>
          </w:tcPr>
          <w:p w14:paraId="3A595071">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1719" w:type="dxa"/>
            <w:tcBorders>
              <w:top w:val="nil"/>
              <w:left w:val="nil"/>
              <w:bottom w:val="single" w:color="auto" w:sz="4" w:space="0"/>
              <w:right w:val="single" w:color="auto" w:sz="4" w:space="0"/>
            </w:tcBorders>
            <w:shd w:val="clear" w:color="auto" w:fill="auto"/>
            <w:vAlign w:val="center"/>
          </w:tcPr>
          <w:p w14:paraId="0AE4E1FC">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
                <w:bCs/>
                <w:kern w:val="0"/>
                <w:sz w:val="20"/>
                <w:szCs w:val="20"/>
              </w:rPr>
            </w:pPr>
            <w:r>
              <w:rPr>
                <w:rFonts w:hint="eastAsia" w:ascii="宋体" w:hAnsi="宋体" w:eastAsia="宋体" w:cs="宋体"/>
                <w:b/>
                <w:bCs/>
                <w:kern w:val="0"/>
                <w:sz w:val="20"/>
                <w:szCs w:val="20"/>
              </w:rPr>
              <w:t>竞赛官员席位</w:t>
            </w:r>
          </w:p>
        </w:tc>
        <w:tc>
          <w:tcPr>
            <w:tcW w:w="702" w:type="dxa"/>
            <w:tcBorders>
              <w:top w:val="nil"/>
              <w:left w:val="nil"/>
              <w:bottom w:val="single" w:color="auto" w:sz="4" w:space="0"/>
              <w:right w:val="single" w:color="auto" w:sz="4" w:space="0"/>
            </w:tcBorders>
            <w:shd w:val="clear" w:color="auto" w:fill="auto"/>
            <w:vAlign w:val="center"/>
          </w:tcPr>
          <w:p w14:paraId="60E213B7">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张</w:t>
            </w:r>
          </w:p>
        </w:tc>
        <w:tc>
          <w:tcPr>
            <w:tcW w:w="727" w:type="dxa"/>
            <w:tcBorders>
              <w:top w:val="nil"/>
              <w:left w:val="nil"/>
              <w:bottom w:val="single" w:color="auto" w:sz="4" w:space="0"/>
              <w:right w:val="single" w:color="auto" w:sz="4" w:space="0"/>
            </w:tcBorders>
            <w:shd w:val="clear" w:color="auto" w:fill="auto"/>
            <w:noWrap/>
            <w:vAlign w:val="center"/>
          </w:tcPr>
          <w:p w14:paraId="487FF161">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6</w:t>
            </w:r>
          </w:p>
        </w:tc>
        <w:tc>
          <w:tcPr>
            <w:tcW w:w="11253" w:type="dxa"/>
            <w:tcBorders>
              <w:top w:val="nil"/>
              <w:left w:val="nil"/>
              <w:bottom w:val="single" w:color="auto" w:sz="4" w:space="0"/>
              <w:right w:val="single" w:color="auto" w:sz="8" w:space="0"/>
            </w:tcBorders>
            <w:shd w:val="clear" w:color="auto" w:fill="auto"/>
            <w:vAlign w:val="center"/>
          </w:tcPr>
          <w:p w14:paraId="69FBE250">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b w:val="0"/>
                <w:bCs w:val="0"/>
                <w:kern w:val="0"/>
                <w:sz w:val="20"/>
                <w:szCs w:val="20"/>
              </w:rPr>
              <w:t>竞赛官员</w:t>
            </w:r>
            <w:r>
              <w:rPr>
                <w:rFonts w:hint="eastAsia" w:ascii="宋体" w:hAnsi="宋体" w:eastAsia="宋体" w:cs="宋体"/>
                <w:color w:val="000000"/>
                <w:kern w:val="0"/>
                <w:sz w:val="20"/>
                <w:szCs w:val="20"/>
              </w:rPr>
              <w:t>席位(软包）、每场6张</w:t>
            </w:r>
          </w:p>
        </w:tc>
      </w:tr>
      <w:tr w14:paraId="52F8B1B9">
        <w:tblPrEx>
          <w:tblCellMar>
            <w:top w:w="0" w:type="dxa"/>
            <w:left w:w="108" w:type="dxa"/>
            <w:bottom w:w="0" w:type="dxa"/>
            <w:right w:w="108" w:type="dxa"/>
          </w:tblCellMar>
        </w:tblPrEx>
        <w:tc>
          <w:tcPr>
            <w:tcW w:w="695" w:type="dxa"/>
            <w:tcBorders>
              <w:top w:val="nil"/>
              <w:left w:val="single" w:color="auto" w:sz="8" w:space="0"/>
              <w:bottom w:val="single" w:color="auto" w:sz="4" w:space="0"/>
              <w:right w:val="single" w:color="auto" w:sz="4" w:space="0"/>
            </w:tcBorders>
            <w:shd w:val="clear" w:color="auto" w:fill="auto"/>
            <w:noWrap/>
            <w:vAlign w:val="center"/>
          </w:tcPr>
          <w:p w14:paraId="3DAC79C7">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1719" w:type="dxa"/>
            <w:tcBorders>
              <w:top w:val="nil"/>
              <w:left w:val="nil"/>
              <w:bottom w:val="single" w:color="auto" w:sz="4" w:space="0"/>
              <w:right w:val="single" w:color="auto" w:sz="4" w:space="0"/>
            </w:tcBorders>
            <w:shd w:val="clear" w:color="auto" w:fill="auto"/>
            <w:vAlign w:val="center"/>
          </w:tcPr>
          <w:p w14:paraId="0B11E7F3">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
                <w:bCs/>
                <w:kern w:val="0"/>
                <w:sz w:val="20"/>
                <w:szCs w:val="20"/>
              </w:rPr>
            </w:pPr>
            <w:r>
              <w:rPr>
                <w:rFonts w:hint="eastAsia" w:ascii="宋体" w:hAnsi="宋体" w:eastAsia="宋体" w:cs="宋体"/>
                <w:b/>
                <w:bCs/>
                <w:kern w:val="0"/>
                <w:sz w:val="20"/>
                <w:szCs w:val="20"/>
              </w:rPr>
              <w:t>折叠座椅</w:t>
            </w:r>
          </w:p>
        </w:tc>
        <w:tc>
          <w:tcPr>
            <w:tcW w:w="702" w:type="dxa"/>
            <w:tcBorders>
              <w:top w:val="nil"/>
              <w:left w:val="nil"/>
              <w:bottom w:val="single" w:color="auto" w:sz="4" w:space="0"/>
              <w:right w:val="single" w:color="auto" w:sz="4" w:space="0"/>
            </w:tcBorders>
            <w:shd w:val="clear" w:color="auto" w:fill="auto"/>
            <w:vAlign w:val="center"/>
          </w:tcPr>
          <w:p w14:paraId="7CED6662">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张</w:t>
            </w:r>
          </w:p>
        </w:tc>
        <w:tc>
          <w:tcPr>
            <w:tcW w:w="727" w:type="dxa"/>
            <w:tcBorders>
              <w:top w:val="nil"/>
              <w:left w:val="nil"/>
              <w:bottom w:val="single" w:color="auto" w:sz="4" w:space="0"/>
              <w:right w:val="single" w:color="auto" w:sz="4" w:space="0"/>
            </w:tcBorders>
            <w:shd w:val="clear" w:color="auto" w:fill="auto"/>
            <w:noWrap/>
            <w:vAlign w:val="center"/>
          </w:tcPr>
          <w:p w14:paraId="2A146D19">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w:t>
            </w:r>
          </w:p>
        </w:tc>
        <w:tc>
          <w:tcPr>
            <w:tcW w:w="11253" w:type="dxa"/>
            <w:tcBorders>
              <w:top w:val="nil"/>
              <w:left w:val="nil"/>
              <w:bottom w:val="single" w:color="auto" w:sz="4" w:space="0"/>
              <w:right w:val="single" w:color="auto" w:sz="8" w:space="0"/>
            </w:tcBorders>
            <w:shd w:val="clear" w:color="auto" w:fill="auto"/>
            <w:vAlign w:val="center"/>
          </w:tcPr>
          <w:p w14:paraId="5C236CFC">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扶手、椅脚：采用非金属材料</w:t>
            </w:r>
            <w:r>
              <w:rPr>
                <w:rFonts w:hint="eastAsia" w:ascii="宋体" w:hAnsi="宋体" w:eastAsia="宋体" w:cs="宋体"/>
                <w:color w:val="000000"/>
                <w:kern w:val="0"/>
                <w:sz w:val="20"/>
                <w:szCs w:val="20"/>
                <w:highlight w:val="none"/>
              </w:rPr>
              <w:t>尼龙PA66加纤维GF经模具一体注塑成型</w:t>
            </w:r>
            <w:r>
              <w:rPr>
                <w:rFonts w:hint="eastAsia" w:ascii="宋体" w:hAnsi="宋体" w:eastAsia="宋体" w:cs="宋体"/>
                <w:color w:val="000000"/>
                <w:kern w:val="0"/>
                <w:sz w:val="20"/>
                <w:szCs w:val="20"/>
              </w:rPr>
              <w:t>，一体成色灰色饰面，无需喷涂，扶手设计为开放结构，不分左中右，满足在每个座位间隔安装扶手的要求。采用塑料模注塑成形成色，外形美观且坚固，永不生锈。椅脚底部增设调整支撑，既防滑耐磨，又能保证座椅适应不同的地面。</w:t>
            </w:r>
          </w:p>
          <w:p w14:paraId="50F0FE22">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座背PU椅面材质：采用钢架焊接钢板和100%聚氨脂模具内一次成型。背PU厚度≥25mm，座PU厚度≥25mm，PU宽度达560mm，座背板PU组装连体板设计制作,椅背带V字形线条顶腰流线设计，既符合人体维度设计，又增加座椅的设计观感，坐感舒适，久坐不变形，颜色的搭配既增加环境的融合度，又耐脏耐用，确保座椅的使用寿命。PU座背内忖钢架焊接钢板工艺，材质为高强度钢架焊接穿孔钢板（钢板厚度不低于1.5mm），外部采用100%纯高密度聚氨酯（PU)全部包裹（即椅座和椅背造型上无外露钢架）模注成型，椅座及椅背内不填充其它物质。</w:t>
            </w:r>
          </w:p>
          <w:p w14:paraId="27FA395F">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3.承重横梁：采用高强度</w:t>
            </w:r>
            <w:r>
              <w:rPr>
                <w:rFonts w:hint="eastAsia" w:ascii="宋体" w:hAnsi="宋体" w:eastAsia="宋体" w:cs="宋体"/>
                <w:color w:val="000000"/>
                <w:kern w:val="0"/>
                <w:sz w:val="20"/>
                <w:szCs w:val="20"/>
                <w:highlight w:val="none"/>
              </w:rPr>
              <w:t>40</w:t>
            </w:r>
            <w:r>
              <w:rPr>
                <w:rFonts w:hint="eastAsia" w:ascii="宋体" w:hAnsi="宋体" w:eastAsia="宋体" w:cs="宋体"/>
                <w:kern w:val="0"/>
                <w:sz w:val="20"/>
                <w:szCs w:val="20"/>
                <w:highlight w:val="none"/>
              </w:rPr>
              <w:t>×</w:t>
            </w:r>
            <w:r>
              <w:rPr>
                <w:rFonts w:hint="eastAsia" w:ascii="宋体" w:hAnsi="宋体" w:eastAsia="宋体" w:cs="宋体"/>
                <w:color w:val="000000"/>
                <w:kern w:val="0"/>
                <w:sz w:val="20"/>
                <w:szCs w:val="20"/>
                <w:highlight w:val="none"/>
              </w:rPr>
              <w:t>80</w:t>
            </w:r>
            <w:r>
              <w:rPr>
                <w:rFonts w:hint="eastAsia" w:cs="宋体"/>
                <w:color w:val="000000"/>
                <w:kern w:val="0"/>
                <w:sz w:val="20"/>
                <w:szCs w:val="20"/>
                <w:highlight w:val="none"/>
                <w:lang w:val="en-US" w:eastAsia="zh-CN"/>
              </w:rPr>
              <w:t>mm</w:t>
            </w:r>
            <w:r>
              <w:rPr>
                <w:rFonts w:hint="eastAsia" w:ascii="宋体" w:hAnsi="宋体" w:eastAsia="宋体" w:cs="宋体"/>
                <w:color w:val="000000"/>
                <w:kern w:val="0"/>
                <w:sz w:val="20"/>
                <w:szCs w:val="20"/>
              </w:rPr>
              <w:t>的优质方管，厚度不低于1.8mm，具有超强的承重能力和稳定性，表面做静电喷粉喷涂处理。采用“卡”式结构，不需要在横梁上预埋螺母，表面无孔位，卡扣件为钢制压型铸件，宽度35mm，立面压型深度≥60mm，座椅支架及椅腿可在上面任一位置安装，表面与椅腿及支架完全咬合。横档两侧采用多边菱形设计封盖，增强座椅线条设计感，更为时尚优雅。</w:t>
            </w:r>
          </w:p>
          <w:p w14:paraId="20C293F1">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整套安全性能好，结构稳定，五金部分皆由高品质部件组成，外皮和内芯层均由高密度聚氨酯PU材料通过模具一次发泡成型，具有良好的坐感，有良好的减震作用，不易使人（尤其是老人孕妇小孩）受伤。分子结构紧密，耐用耐磨，防水防菌易清洁。※备注：整个座位安装设计要求无螺丝外露，安全美观。</w:t>
            </w:r>
          </w:p>
        </w:tc>
      </w:tr>
      <w:tr w14:paraId="134B7319">
        <w:tblPrEx>
          <w:tblCellMar>
            <w:top w:w="0" w:type="dxa"/>
            <w:left w:w="108" w:type="dxa"/>
            <w:bottom w:w="0" w:type="dxa"/>
            <w:right w:w="108" w:type="dxa"/>
          </w:tblCellMar>
        </w:tblPrEx>
        <w:trPr>
          <w:trHeight w:val="320" w:hRule="atLeast"/>
        </w:trPr>
        <w:tc>
          <w:tcPr>
            <w:tcW w:w="695" w:type="dxa"/>
            <w:tcBorders>
              <w:top w:val="nil"/>
              <w:left w:val="single" w:color="auto" w:sz="8" w:space="0"/>
              <w:bottom w:val="single" w:color="auto" w:sz="4" w:space="0"/>
              <w:right w:val="single" w:color="auto" w:sz="4" w:space="0"/>
            </w:tcBorders>
            <w:shd w:val="clear" w:color="auto" w:fill="auto"/>
            <w:noWrap/>
            <w:vAlign w:val="center"/>
          </w:tcPr>
          <w:p w14:paraId="639D480D">
            <w:pPr>
              <w:keepNext w:val="0"/>
              <w:keepLines w:val="0"/>
              <w:pageBreakBefore w:val="0"/>
              <w:widowControl/>
              <w:shd w:val="clea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1719" w:type="dxa"/>
            <w:tcBorders>
              <w:top w:val="nil"/>
              <w:left w:val="nil"/>
              <w:bottom w:val="single" w:color="auto" w:sz="4" w:space="0"/>
              <w:right w:val="single" w:color="auto" w:sz="4" w:space="0"/>
            </w:tcBorders>
            <w:shd w:val="clear" w:color="auto" w:fill="auto"/>
            <w:vAlign w:val="center"/>
          </w:tcPr>
          <w:p w14:paraId="6C2F1B45">
            <w:pPr>
              <w:keepNext w:val="0"/>
              <w:keepLines w:val="0"/>
              <w:pageBreakBefore w:val="0"/>
              <w:widowControl/>
              <w:shd w:val="clea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kern w:val="0"/>
                <w:sz w:val="20"/>
                <w:szCs w:val="20"/>
              </w:rPr>
            </w:pPr>
            <w:r>
              <w:rPr>
                <w:rFonts w:hint="eastAsia" w:ascii="宋体" w:hAnsi="宋体" w:eastAsia="宋体" w:cs="宋体"/>
                <w:b/>
                <w:bCs/>
                <w:kern w:val="0"/>
                <w:sz w:val="20"/>
                <w:szCs w:val="20"/>
              </w:rPr>
              <w:t>钢排椅</w:t>
            </w:r>
          </w:p>
        </w:tc>
        <w:tc>
          <w:tcPr>
            <w:tcW w:w="702" w:type="dxa"/>
            <w:tcBorders>
              <w:top w:val="nil"/>
              <w:left w:val="nil"/>
              <w:bottom w:val="single" w:color="auto" w:sz="4" w:space="0"/>
              <w:right w:val="single" w:color="auto" w:sz="4" w:space="0"/>
            </w:tcBorders>
            <w:shd w:val="clear" w:color="auto" w:fill="auto"/>
            <w:vAlign w:val="center"/>
          </w:tcPr>
          <w:p w14:paraId="277B3555">
            <w:pPr>
              <w:keepNext w:val="0"/>
              <w:keepLines w:val="0"/>
              <w:pageBreakBefore w:val="0"/>
              <w:widowControl/>
              <w:shd w:val="clea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座</w:t>
            </w:r>
          </w:p>
        </w:tc>
        <w:tc>
          <w:tcPr>
            <w:tcW w:w="727" w:type="dxa"/>
            <w:tcBorders>
              <w:top w:val="nil"/>
              <w:left w:val="nil"/>
              <w:bottom w:val="single" w:color="auto" w:sz="4" w:space="0"/>
              <w:right w:val="single" w:color="auto" w:sz="4" w:space="0"/>
            </w:tcBorders>
            <w:shd w:val="clear" w:color="auto" w:fill="auto"/>
            <w:noWrap/>
            <w:vAlign w:val="center"/>
          </w:tcPr>
          <w:p w14:paraId="3D01E889">
            <w:pPr>
              <w:keepNext w:val="0"/>
              <w:keepLines w:val="0"/>
              <w:pageBreakBefore w:val="0"/>
              <w:widowControl/>
              <w:shd w:val="clea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1</w:t>
            </w:r>
            <w:r>
              <w:rPr>
                <w:rFonts w:hint="eastAsia" w:ascii="宋体" w:hAnsi="宋体" w:eastAsia="宋体" w:cs="宋体"/>
                <w:color w:val="000000"/>
                <w:kern w:val="0"/>
                <w:sz w:val="20"/>
                <w:szCs w:val="20"/>
                <w:lang w:val="en-US" w:eastAsia="zh-CN"/>
              </w:rPr>
              <w:t>2</w:t>
            </w:r>
          </w:p>
        </w:tc>
        <w:tc>
          <w:tcPr>
            <w:tcW w:w="11253" w:type="dxa"/>
            <w:tcBorders>
              <w:top w:val="nil"/>
              <w:left w:val="nil"/>
              <w:bottom w:val="single" w:color="auto" w:sz="4" w:space="0"/>
              <w:right w:val="single" w:color="auto" w:sz="8" w:space="0"/>
            </w:tcBorders>
            <w:shd w:val="clear" w:color="auto" w:fill="auto"/>
            <w:vAlign w:val="center"/>
          </w:tcPr>
          <w:p w14:paraId="7159663A">
            <w:pPr>
              <w:keepNext w:val="0"/>
              <w:keepLines w:val="0"/>
              <w:pageBreakBefore w:val="0"/>
              <w:widowControl/>
              <w:shd w:val="clear"/>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扶手、椅脚：采用非金属材料</w:t>
            </w:r>
            <w:r>
              <w:rPr>
                <w:rFonts w:hint="eastAsia" w:ascii="宋体" w:hAnsi="宋体" w:eastAsia="宋体" w:cs="宋体"/>
                <w:color w:val="000000"/>
                <w:kern w:val="0"/>
                <w:sz w:val="20"/>
                <w:szCs w:val="20"/>
                <w:highlight w:val="none"/>
              </w:rPr>
              <w:t>尼龙PA66加纤维GF经模具一体注塑成型</w:t>
            </w:r>
            <w:r>
              <w:rPr>
                <w:rFonts w:hint="eastAsia" w:ascii="宋体" w:hAnsi="宋体" w:eastAsia="宋体" w:cs="宋体"/>
                <w:color w:val="000000"/>
                <w:kern w:val="0"/>
                <w:sz w:val="20"/>
                <w:szCs w:val="20"/>
              </w:rPr>
              <w:t>，一体成色灰色饰面，无需喷涂，扶手设计为开放结构，不分左中右，满足在每个座位间隔安装扶手的要求。采用塑料模注塑成形成色，外形美观且坚固，永不生锈。椅脚底部增设调整支撑，既防滑耐磨，又能保证座椅适应不同的地面。</w:t>
            </w:r>
          </w:p>
          <w:p w14:paraId="1412A737">
            <w:pPr>
              <w:keepNext w:val="0"/>
              <w:keepLines w:val="0"/>
              <w:pageBreakBefore w:val="0"/>
              <w:widowControl/>
              <w:shd w:val="clear"/>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座背PU椅面材质：采用钢架焊接钢板和100%聚氨脂模具内一次成型。背PU厚度≥25mm，座PU厚度≥25mm，PU宽度达560mm，座背板PU组装连体板设计制作,椅背带V字形线条顶腰流线设计，既符合人体维度设计，又增加座椅的设计观感，坐感舒适，久坐不变形，颜色的搭配既增加环境的融合度，又耐脏耐用，确保座椅的使用寿命。PU座背内忖钢架焊接钢板工艺，材质为高强度钢架焊接穿孔钢板（钢板厚度不低于1.5mm），外部采用100%纯高密度聚氨酯（PU)全部包裹（即椅座和椅背造型上无外露钢架）模注成型，椅座及椅背内不填充其它物质。</w:t>
            </w:r>
          </w:p>
          <w:p w14:paraId="1047B6EE">
            <w:pPr>
              <w:keepNext w:val="0"/>
              <w:keepLines w:val="0"/>
              <w:pageBreakBefore w:val="0"/>
              <w:widowControl/>
              <w:shd w:val="clear"/>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3.承重横梁：采用高强度</w:t>
            </w:r>
            <w:r>
              <w:rPr>
                <w:rFonts w:hint="eastAsia" w:ascii="宋体" w:hAnsi="宋体" w:eastAsia="宋体" w:cs="宋体"/>
                <w:color w:val="000000"/>
                <w:kern w:val="0"/>
                <w:sz w:val="20"/>
                <w:szCs w:val="20"/>
                <w:highlight w:val="none"/>
              </w:rPr>
              <w:t>40</w:t>
            </w:r>
            <w:r>
              <w:rPr>
                <w:rFonts w:hint="eastAsia" w:ascii="宋体" w:hAnsi="宋体" w:eastAsia="宋体" w:cs="宋体"/>
                <w:kern w:val="0"/>
                <w:sz w:val="20"/>
                <w:szCs w:val="20"/>
                <w:highlight w:val="none"/>
              </w:rPr>
              <w:t>×</w:t>
            </w:r>
            <w:r>
              <w:rPr>
                <w:rFonts w:hint="eastAsia" w:ascii="宋体" w:hAnsi="宋体" w:eastAsia="宋体" w:cs="宋体"/>
                <w:color w:val="000000"/>
                <w:kern w:val="0"/>
                <w:sz w:val="20"/>
                <w:szCs w:val="20"/>
                <w:highlight w:val="none"/>
              </w:rPr>
              <w:t>80</w:t>
            </w:r>
            <w:r>
              <w:rPr>
                <w:rFonts w:hint="eastAsia" w:cs="宋体"/>
                <w:color w:val="000000"/>
                <w:kern w:val="0"/>
                <w:sz w:val="20"/>
                <w:szCs w:val="20"/>
                <w:highlight w:val="none"/>
                <w:lang w:val="en-US" w:eastAsia="zh-CN"/>
              </w:rPr>
              <w:t>mm</w:t>
            </w:r>
            <w:r>
              <w:rPr>
                <w:rFonts w:hint="eastAsia" w:ascii="宋体" w:hAnsi="宋体" w:eastAsia="宋体" w:cs="宋体"/>
                <w:color w:val="000000"/>
                <w:kern w:val="0"/>
                <w:sz w:val="20"/>
                <w:szCs w:val="20"/>
              </w:rPr>
              <w:t>的优质方管，厚度不低于1.8mm，具有超强的承重能力和稳定性，表面做静电喷粉喷涂处理。采用“卡”式结构，不需要在横梁上预埋螺母，表面无孔位，卡扣件为钢制压型铸件，宽度35mm，立面压型深度≥60mm，座椅支架及椅腿可在上面任一位置安装，表面与椅腿及支架完全咬合。横档两侧采用多边菱形设计封盖，增强座椅线条设计感，更为时尚优雅。</w:t>
            </w:r>
          </w:p>
        </w:tc>
      </w:tr>
      <w:tr w14:paraId="15C6D5CD">
        <w:tblPrEx>
          <w:tblCellMar>
            <w:top w:w="0" w:type="dxa"/>
            <w:left w:w="108" w:type="dxa"/>
            <w:bottom w:w="0" w:type="dxa"/>
            <w:right w:w="108" w:type="dxa"/>
          </w:tblCellMar>
        </w:tblPrEx>
        <w:trPr>
          <w:trHeight w:val="402" w:hRule="atLeast"/>
        </w:trPr>
        <w:tc>
          <w:tcPr>
            <w:tcW w:w="695" w:type="dxa"/>
            <w:tcBorders>
              <w:top w:val="nil"/>
              <w:left w:val="single" w:color="auto" w:sz="8" w:space="0"/>
              <w:bottom w:val="single" w:color="auto" w:sz="4" w:space="0"/>
              <w:right w:val="single" w:color="auto" w:sz="4" w:space="0"/>
            </w:tcBorders>
            <w:shd w:val="clear" w:color="auto" w:fill="auto"/>
            <w:noWrap/>
            <w:vAlign w:val="center"/>
          </w:tcPr>
          <w:p w14:paraId="3466CAD4">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w:t>
            </w:r>
          </w:p>
        </w:tc>
        <w:tc>
          <w:tcPr>
            <w:tcW w:w="1719" w:type="dxa"/>
            <w:tcBorders>
              <w:top w:val="nil"/>
              <w:left w:val="nil"/>
              <w:bottom w:val="single" w:color="auto" w:sz="4" w:space="0"/>
              <w:right w:val="single" w:color="auto" w:sz="4" w:space="0"/>
            </w:tcBorders>
            <w:shd w:val="clear" w:color="auto" w:fill="auto"/>
            <w:vAlign w:val="center"/>
          </w:tcPr>
          <w:p w14:paraId="54610D57">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
                <w:bCs/>
                <w:kern w:val="0"/>
                <w:sz w:val="20"/>
                <w:szCs w:val="20"/>
              </w:rPr>
            </w:pPr>
            <w:r>
              <w:rPr>
                <w:rFonts w:hint="eastAsia" w:ascii="宋体" w:hAnsi="宋体" w:eastAsia="宋体" w:cs="宋体"/>
                <w:b/>
                <w:bCs/>
                <w:kern w:val="0"/>
                <w:sz w:val="20"/>
                <w:szCs w:val="20"/>
                <w:highlight w:val="none"/>
              </w:rPr>
              <w:t>二十四秒专用线</w:t>
            </w:r>
          </w:p>
        </w:tc>
        <w:tc>
          <w:tcPr>
            <w:tcW w:w="702" w:type="dxa"/>
            <w:tcBorders>
              <w:top w:val="nil"/>
              <w:left w:val="nil"/>
              <w:bottom w:val="single" w:color="auto" w:sz="4" w:space="0"/>
              <w:right w:val="single" w:color="auto" w:sz="4" w:space="0"/>
            </w:tcBorders>
            <w:shd w:val="clear" w:color="auto" w:fill="auto"/>
            <w:noWrap/>
            <w:vAlign w:val="center"/>
          </w:tcPr>
          <w:p w14:paraId="51336DD9">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套</w:t>
            </w:r>
          </w:p>
        </w:tc>
        <w:tc>
          <w:tcPr>
            <w:tcW w:w="727" w:type="dxa"/>
            <w:tcBorders>
              <w:top w:val="nil"/>
              <w:left w:val="nil"/>
              <w:bottom w:val="single" w:color="auto" w:sz="4" w:space="0"/>
              <w:right w:val="single" w:color="auto" w:sz="4" w:space="0"/>
            </w:tcBorders>
            <w:shd w:val="clear" w:color="auto" w:fill="auto"/>
            <w:noWrap/>
            <w:vAlign w:val="center"/>
          </w:tcPr>
          <w:p w14:paraId="57605A2F">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1253" w:type="dxa"/>
            <w:tcBorders>
              <w:top w:val="nil"/>
              <w:left w:val="nil"/>
              <w:bottom w:val="single" w:color="auto" w:sz="4" w:space="0"/>
              <w:right w:val="single" w:color="auto" w:sz="8" w:space="0"/>
            </w:tcBorders>
            <w:shd w:val="clear" w:color="auto" w:fill="auto"/>
            <w:vAlign w:val="center"/>
          </w:tcPr>
          <w:p w14:paraId="4F17C085">
            <w:pPr>
              <w:keepNext w:val="0"/>
              <w:keepLines w:val="0"/>
              <w:pageBreakBefore w:val="0"/>
              <w:widowControl/>
              <w:shd w:val="clear"/>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highlight w:val="none"/>
              </w:rPr>
              <w:t>/</w:t>
            </w:r>
          </w:p>
        </w:tc>
      </w:tr>
      <w:tr w14:paraId="46964549">
        <w:tblPrEx>
          <w:tblCellMar>
            <w:top w:w="0" w:type="dxa"/>
            <w:left w:w="108" w:type="dxa"/>
            <w:bottom w:w="0" w:type="dxa"/>
            <w:right w:w="108" w:type="dxa"/>
          </w:tblCellMar>
        </w:tblPrEx>
        <w:tc>
          <w:tcPr>
            <w:tcW w:w="695" w:type="dxa"/>
            <w:tcBorders>
              <w:top w:val="nil"/>
              <w:left w:val="single" w:color="auto" w:sz="8" w:space="0"/>
              <w:bottom w:val="single" w:color="auto" w:sz="4" w:space="0"/>
              <w:right w:val="single" w:color="auto" w:sz="4" w:space="0"/>
            </w:tcBorders>
            <w:shd w:val="clear" w:color="auto" w:fill="auto"/>
            <w:noWrap/>
            <w:vAlign w:val="center"/>
          </w:tcPr>
          <w:p w14:paraId="30A68699">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w:t>
            </w:r>
          </w:p>
        </w:tc>
        <w:tc>
          <w:tcPr>
            <w:tcW w:w="1719" w:type="dxa"/>
            <w:tcBorders>
              <w:top w:val="nil"/>
              <w:left w:val="nil"/>
              <w:bottom w:val="single" w:color="auto" w:sz="4" w:space="0"/>
              <w:right w:val="single" w:color="auto" w:sz="4" w:space="0"/>
            </w:tcBorders>
            <w:shd w:val="clear" w:color="auto" w:fill="auto"/>
            <w:vAlign w:val="center"/>
          </w:tcPr>
          <w:p w14:paraId="1A78CDB0">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
                <w:bCs/>
                <w:kern w:val="0"/>
                <w:sz w:val="20"/>
                <w:szCs w:val="20"/>
              </w:rPr>
            </w:pPr>
            <w:r>
              <w:rPr>
                <w:rFonts w:hint="eastAsia" w:ascii="宋体" w:hAnsi="宋体" w:eastAsia="宋体" w:cs="宋体"/>
                <w:b/>
                <w:bCs/>
                <w:kern w:val="0"/>
                <w:sz w:val="20"/>
                <w:szCs w:val="20"/>
              </w:rPr>
              <w:t>计时，二十四秒显示器</w:t>
            </w:r>
          </w:p>
        </w:tc>
        <w:tc>
          <w:tcPr>
            <w:tcW w:w="702" w:type="dxa"/>
            <w:tcBorders>
              <w:top w:val="nil"/>
              <w:left w:val="nil"/>
              <w:bottom w:val="single" w:color="auto" w:sz="4" w:space="0"/>
              <w:right w:val="single" w:color="auto" w:sz="4" w:space="0"/>
            </w:tcBorders>
            <w:shd w:val="clear" w:color="auto" w:fill="auto"/>
            <w:noWrap/>
            <w:vAlign w:val="center"/>
          </w:tcPr>
          <w:p w14:paraId="4FF19754">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套</w:t>
            </w:r>
          </w:p>
        </w:tc>
        <w:tc>
          <w:tcPr>
            <w:tcW w:w="727" w:type="dxa"/>
            <w:tcBorders>
              <w:top w:val="nil"/>
              <w:left w:val="nil"/>
              <w:bottom w:val="single" w:color="auto" w:sz="4" w:space="0"/>
              <w:right w:val="single" w:color="auto" w:sz="4" w:space="0"/>
            </w:tcBorders>
            <w:shd w:val="clear" w:color="auto" w:fill="auto"/>
            <w:noWrap/>
            <w:vAlign w:val="center"/>
          </w:tcPr>
          <w:p w14:paraId="00771AF9">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w:t>
            </w:r>
          </w:p>
        </w:tc>
        <w:tc>
          <w:tcPr>
            <w:tcW w:w="11253" w:type="dxa"/>
            <w:tcBorders>
              <w:top w:val="nil"/>
              <w:left w:val="nil"/>
              <w:bottom w:val="single" w:color="auto" w:sz="4" w:space="0"/>
              <w:right w:val="single" w:color="auto" w:sz="8" w:space="0"/>
            </w:tcBorders>
            <w:shd w:val="clear" w:color="auto" w:fill="auto"/>
            <w:vAlign w:val="center"/>
          </w:tcPr>
          <w:p w14:paraId="7B4571B9">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单面显示</w:t>
            </w:r>
            <w:r>
              <w:rPr>
                <w:rFonts w:hint="eastAsia" w:cs="宋体"/>
                <w:color w:val="000000"/>
                <w:kern w:val="0"/>
                <w:sz w:val="20"/>
                <w:szCs w:val="20"/>
                <w:lang w:eastAsia="zh-CN"/>
              </w:rPr>
              <w:t>，</w:t>
            </w:r>
            <w:r>
              <w:rPr>
                <w:rFonts w:hint="eastAsia" w:ascii="宋体" w:hAnsi="宋体" w:eastAsia="宋体" w:cs="宋体"/>
                <w:color w:val="000000"/>
                <w:kern w:val="0"/>
                <w:sz w:val="20"/>
                <w:szCs w:val="20"/>
              </w:rPr>
              <w:t>摇控</w:t>
            </w:r>
          </w:p>
          <w:p w14:paraId="1671E652">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二十四秒专用线另配</w:t>
            </w:r>
          </w:p>
        </w:tc>
      </w:tr>
      <w:tr w14:paraId="0B667A58">
        <w:tblPrEx>
          <w:tblCellMar>
            <w:top w:w="0" w:type="dxa"/>
            <w:left w:w="108" w:type="dxa"/>
            <w:bottom w:w="0" w:type="dxa"/>
            <w:right w:w="108" w:type="dxa"/>
          </w:tblCellMar>
        </w:tblPrEx>
        <w:tc>
          <w:tcPr>
            <w:tcW w:w="695" w:type="dxa"/>
            <w:tcBorders>
              <w:top w:val="nil"/>
              <w:left w:val="single" w:color="auto" w:sz="8" w:space="0"/>
              <w:bottom w:val="single" w:color="auto" w:sz="4" w:space="0"/>
              <w:right w:val="single" w:color="auto" w:sz="4" w:space="0"/>
            </w:tcBorders>
            <w:shd w:val="clear" w:color="auto" w:fill="auto"/>
            <w:noWrap/>
            <w:vAlign w:val="center"/>
          </w:tcPr>
          <w:p w14:paraId="298AACBE">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w:t>
            </w:r>
          </w:p>
        </w:tc>
        <w:tc>
          <w:tcPr>
            <w:tcW w:w="1719" w:type="dxa"/>
            <w:tcBorders>
              <w:top w:val="nil"/>
              <w:left w:val="nil"/>
              <w:bottom w:val="single" w:color="auto" w:sz="4" w:space="0"/>
              <w:right w:val="single" w:color="auto" w:sz="4" w:space="0"/>
            </w:tcBorders>
            <w:shd w:val="clear" w:color="auto" w:fill="auto"/>
            <w:vAlign w:val="center"/>
          </w:tcPr>
          <w:p w14:paraId="022875BE">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
                <w:bCs/>
                <w:kern w:val="0"/>
                <w:sz w:val="20"/>
                <w:szCs w:val="20"/>
              </w:rPr>
            </w:pPr>
            <w:r>
              <w:rPr>
                <w:rFonts w:hint="eastAsia" w:ascii="宋体" w:hAnsi="宋体" w:eastAsia="宋体" w:cs="宋体"/>
                <w:b/>
                <w:bCs/>
                <w:kern w:val="0"/>
                <w:sz w:val="20"/>
                <w:szCs w:val="20"/>
              </w:rPr>
              <w:t>讯响器</w:t>
            </w:r>
          </w:p>
        </w:tc>
        <w:tc>
          <w:tcPr>
            <w:tcW w:w="702" w:type="dxa"/>
            <w:tcBorders>
              <w:top w:val="nil"/>
              <w:left w:val="nil"/>
              <w:bottom w:val="single" w:color="auto" w:sz="4" w:space="0"/>
              <w:right w:val="single" w:color="auto" w:sz="4" w:space="0"/>
            </w:tcBorders>
            <w:shd w:val="clear" w:color="auto" w:fill="auto"/>
            <w:noWrap/>
            <w:vAlign w:val="center"/>
          </w:tcPr>
          <w:p w14:paraId="1C3E742E">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台</w:t>
            </w:r>
          </w:p>
        </w:tc>
        <w:tc>
          <w:tcPr>
            <w:tcW w:w="727" w:type="dxa"/>
            <w:tcBorders>
              <w:top w:val="nil"/>
              <w:left w:val="nil"/>
              <w:bottom w:val="single" w:color="auto" w:sz="4" w:space="0"/>
              <w:right w:val="single" w:color="auto" w:sz="4" w:space="0"/>
            </w:tcBorders>
            <w:shd w:val="clear" w:color="auto" w:fill="auto"/>
            <w:noWrap/>
            <w:vAlign w:val="center"/>
          </w:tcPr>
          <w:p w14:paraId="3DEEB8AA">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1253" w:type="dxa"/>
            <w:tcBorders>
              <w:top w:val="nil"/>
              <w:left w:val="nil"/>
              <w:bottom w:val="single" w:color="auto" w:sz="4" w:space="0"/>
              <w:right w:val="single" w:color="auto" w:sz="8" w:space="0"/>
            </w:tcBorders>
            <w:shd w:val="clear" w:color="auto" w:fill="auto"/>
            <w:vAlign w:val="center"/>
          </w:tcPr>
          <w:p w14:paraId="466E28A2">
            <w:pPr>
              <w:pStyle w:val="165"/>
              <w:keepNext w:val="0"/>
              <w:keepLines w:val="0"/>
              <w:pageBreakBefore w:val="0"/>
              <w:widowControl/>
              <w:numPr>
                <w:ilvl w:val="0"/>
                <w:numId w:val="0"/>
              </w:numPr>
              <w:shd w:val="clear"/>
              <w:kinsoku/>
              <w:wordWrap/>
              <w:overflowPunct/>
              <w:topLinePunct w:val="0"/>
              <w:autoSpaceDE/>
              <w:autoSpaceDN/>
              <w:bidi w:val="0"/>
              <w:adjustRightInd/>
              <w:snapToGrid/>
              <w:spacing w:line="320" w:lineRule="exact"/>
              <w:ind w:leftChars="0"/>
              <w:jc w:val="left"/>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1</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该设备为金属构建，上边有两个输出喇叭</w:t>
            </w:r>
            <w:r>
              <w:rPr>
                <w:rFonts w:hint="eastAsia" w:ascii="宋体" w:hAnsi="宋体" w:cs="宋体"/>
                <w:color w:val="000000"/>
                <w:kern w:val="0"/>
                <w:sz w:val="20"/>
                <w:szCs w:val="20"/>
                <w:lang w:eastAsia="zh-CN"/>
              </w:rPr>
              <w:t>；</w:t>
            </w:r>
          </w:p>
          <w:p w14:paraId="36833F53">
            <w:pPr>
              <w:pStyle w:val="165"/>
              <w:keepNext w:val="0"/>
              <w:keepLines w:val="0"/>
              <w:pageBreakBefore w:val="0"/>
              <w:widowControl/>
              <w:numPr>
                <w:ilvl w:val="0"/>
                <w:numId w:val="0"/>
              </w:numPr>
              <w:shd w:val="clear"/>
              <w:kinsoku/>
              <w:wordWrap/>
              <w:overflowPunct/>
              <w:topLinePunct w:val="0"/>
              <w:autoSpaceDE/>
              <w:autoSpaceDN/>
              <w:bidi w:val="0"/>
              <w:adjustRightInd/>
              <w:snapToGrid/>
              <w:spacing w:line="320" w:lineRule="exact"/>
              <w:ind w:leftChars="0"/>
              <w:jc w:val="left"/>
              <w:textAlignment w:val="auto"/>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2</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讯响器，篮球比赛过程中，裁判用来提示暂停，换人告知人员指示。操作方便简单</w:t>
            </w:r>
            <w:r>
              <w:rPr>
                <w:rFonts w:hint="eastAsia" w:ascii="宋体" w:hAnsi="宋体" w:cs="宋体"/>
                <w:color w:val="000000"/>
                <w:kern w:val="0"/>
                <w:sz w:val="20"/>
                <w:szCs w:val="20"/>
                <w:lang w:eastAsia="zh-CN"/>
              </w:rPr>
              <w:t>；</w:t>
            </w:r>
          </w:p>
          <w:p w14:paraId="7619D671">
            <w:pPr>
              <w:pStyle w:val="165"/>
              <w:keepNext w:val="0"/>
              <w:keepLines w:val="0"/>
              <w:pageBreakBefore w:val="0"/>
              <w:widowControl/>
              <w:numPr>
                <w:ilvl w:val="0"/>
                <w:numId w:val="0"/>
              </w:numPr>
              <w:shd w:val="clear"/>
              <w:kinsoku/>
              <w:wordWrap/>
              <w:overflowPunct/>
              <w:topLinePunct w:val="0"/>
              <w:autoSpaceDE/>
              <w:autoSpaceDN/>
              <w:bidi w:val="0"/>
              <w:adjustRightInd/>
              <w:snapToGrid/>
              <w:spacing w:line="320" w:lineRule="exact"/>
              <w:ind w:leftChars="0"/>
              <w:jc w:val="left"/>
              <w:textAlignment w:val="auto"/>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3</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内置电动气泵，可发出两种高低复合汽笛声</w:t>
            </w:r>
            <w:r>
              <w:rPr>
                <w:rFonts w:hint="eastAsia" w:ascii="宋体" w:hAnsi="宋体" w:cs="宋体"/>
                <w:color w:val="000000"/>
                <w:kern w:val="0"/>
                <w:sz w:val="20"/>
                <w:szCs w:val="20"/>
                <w:lang w:eastAsia="zh-CN"/>
              </w:rPr>
              <w:t>；</w:t>
            </w:r>
          </w:p>
          <w:p w14:paraId="1FFCBE21">
            <w:pPr>
              <w:pStyle w:val="165"/>
              <w:keepNext w:val="0"/>
              <w:keepLines w:val="0"/>
              <w:pageBreakBefore w:val="0"/>
              <w:widowControl/>
              <w:numPr>
                <w:ilvl w:val="0"/>
                <w:numId w:val="0"/>
              </w:numPr>
              <w:shd w:val="clear"/>
              <w:kinsoku/>
              <w:wordWrap/>
              <w:overflowPunct/>
              <w:topLinePunct w:val="0"/>
              <w:autoSpaceDE/>
              <w:autoSpaceDN/>
              <w:bidi w:val="0"/>
              <w:adjustRightInd/>
              <w:snapToGrid/>
              <w:spacing w:line="320" w:lineRule="exact"/>
              <w:ind w:leftChars="0"/>
              <w:jc w:val="left"/>
              <w:textAlignment w:val="auto"/>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可配置两人操作的线控，线控支持10米内操作</w:t>
            </w:r>
            <w:r>
              <w:rPr>
                <w:rFonts w:hint="eastAsia" w:ascii="宋体" w:hAnsi="宋体" w:cs="宋体"/>
                <w:color w:val="000000"/>
                <w:kern w:val="0"/>
                <w:sz w:val="20"/>
                <w:szCs w:val="20"/>
                <w:lang w:eastAsia="zh-CN"/>
              </w:rPr>
              <w:t>。</w:t>
            </w:r>
          </w:p>
        </w:tc>
      </w:tr>
      <w:tr w14:paraId="75019E61">
        <w:tblPrEx>
          <w:tblCellMar>
            <w:top w:w="0" w:type="dxa"/>
            <w:left w:w="108" w:type="dxa"/>
            <w:bottom w:w="0" w:type="dxa"/>
            <w:right w:w="108" w:type="dxa"/>
          </w:tblCellMar>
        </w:tblPrEx>
        <w:tc>
          <w:tcPr>
            <w:tcW w:w="695" w:type="dxa"/>
            <w:tcBorders>
              <w:top w:val="nil"/>
              <w:left w:val="single" w:color="auto" w:sz="8" w:space="0"/>
              <w:bottom w:val="single" w:color="auto" w:sz="4" w:space="0"/>
              <w:right w:val="single" w:color="auto" w:sz="4" w:space="0"/>
            </w:tcBorders>
            <w:shd w:val="clear" w:color="auto" w:fill="auto"/>
            <w:noWrap/>
            <w:vAlign w:val="center"/>
          </w:tcPr>
          <w:p w14:paraId="37C2AC64">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719" w:type="dxa"/>
            <w:tcBorders>
              <w:top w:val="nil"/>
              <w:left w:val="nil"/>
              <w:bottom w:val="single" w:color="auto" w:sz="4" w:space="0"/>
              <w:right w:val="single" w:color="auto" w:sz="4" w:space="0"/>
            </w:tcBorders>
            <w:shd w:val="clear" w:color="auto" w:fill="auto"/>
            <w:vAlign w:val="center"/>
          </w:tcPr>
          <w:p w14:paraId="50CC7195">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
                <w:bCs/>
                <w:kern w:val="0"/>
                <w:sz w:val="20"/>
                <w:szCs w:val="20"/>
                <w:lang w:val="en-US" w:eastAsia="zh-CN"/>
              </w:rPr>
            </w:pPr>
            <w:r>
              <w:rPr>
                <w:rFonts w:hint="eastAsia" w:ascii="宋体" w:hAnsi="宋体" w:eastAsia="宋体" w:cs="宋体"/>
                <w:b/>
                <w:bCs/>
                <w:kern w:val="0"/>
                <w:sz w:val="20"/>
                <w:szCs w:val="20"/>
              </w:rPr>
              <w:t>球类成绩处理系统</w:t>
            </w:r>
            <w:r>
              <w:rPr>
                <w:rFonts w:hint="eastAsia" w:ascii="宋体" w:hAnsi="宋体" w:eastAsia="宋体" w:cs="宋体"/>
                <w:b/>
                <w:bCs/>
                <w:kern w:val="0"/>
                <w:sz w:val="20"/>
                <w:szCs w:val="20"/>
                <w:lang w:eastAsia="zh-CN"/>
              </w:rPr>
              <w:t>、</w:t>
            </w:r>
            <w:r>
              <w:rPr>
                <w:rFonts w:hint="eastAsia" w:ascii="宋体" w:hAnsi="宋体" w:eastAsia="宋体" w:cs="宋体"/>
                <w:b/>
                <w:bCs/>
                <w:kern w:val="0"/>
                <w:sz w:val="20"/>
                <w:szCs w:val="20"/>
                <w:lang w:val="en-US" w:eastAsia="zh-CN"/>
              </w:rPr>
              <w:t>计时计分主机、计时计分软件</w:t>
            </w:r>
          </w:p>
        </w:tc>
        <w:tc>
          <w:tcPr>
            <w:tcW w:w="702" w:type="dxa"/>
            <w:tcBorders>
              <w:top w:val="nil"/>
              <w:left w:val="nil"/>
              <w:bottom w:val="single" w:color="auto" w:sz="4" w:space="0"/>
              <w:right w:val="single" w:color="auto" w:sz="4" w:space="0"/>
            </w:tcBorders>
            <w:shd w:val="clear" w:color="auto" w:fill="auto"/>
            <w:vAlign w:val="center"/>
          </w:tcPr>
          <w:p w14:paraId="4C4F1D73">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套</w:t>
            </w:r>
          </w:p>
        </w:tc>
        <w:tc>
          <w:tcPr>
            <w:tcW w:w="727" w:type="dxa"/>
            <w:tcBorders>
              <w:top w:val="nil"/>
              <w:left w:val="nil"/>
              <w:bottom w:val="single" w:color="auto" w:sz="4" w:space="0"/>
              <w:right w:val="single" w:color="auto" w:sz="4" w:space="0"/>
            </w:tcBorders>
            <w:shd w:val="clear" w:color="auto" w:fill="auto"/>
            <w:noWrap/>
            <w:vAlign w:val="center"/>
          </w:tcPr>
          <w:p w14:paraId="66BDB43B">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w:t>
            </w:r>
          </w:p>
        </w:tc>
        <w:tc>
          <w:tcPr>
            <w:tcW w:w="11253" w:type="dxa"/>
            <w:tcBorders>
              <w:top w:val="nil"/>
              <w:left w:val="nil"/>
              <w:bottom w:val="single" w:color="auto" w:sz="4" w:space="0"/>
              <w:right w:val="single" w:color="auto" w:sz="8" w:space="0"/>
            </w:tcBorders>
            <w:shd w:val="clear" w:color="auto" w:fill="auto"/>
          </w:tcPr>
          <w:p w14:paraId="4FEED749">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1</w:t>
            </w:r>
            <w:r>
              <w:rPr>
                <w:rFonts w:hint="eastAsia" w:ascii="宋体" w:hAnsi="宋体" w:eastAsia="宋体" w:cs="宋体"/>
                <w:kern w:val="0"/>
                <w:sz w:val="20"/>
                <w:szCs w:val="20"/>
                <w:highlight w:val="none"/>
                <w:lang w:eastAsia="zh-CN"/>
              </w:rPr>
              <w:t>.</w:t>
            </w:r>
            <w:r>
              <w:rPr>
                <w:rFonts w:hint="eastAsia" w:ascii="宋体" w:hAnsi="宋体" w:eastAsia="宋体" w:cs="宋体"/>
                <w:kern w:val="0"/>
                <w:sz w:val="20"/>
                <w:szCs w:val="20"/>
                <w:highlight w:val="none"/>
              </w:rPr>
              <w:t>符合篮球类比赛规则，满足各类型的比赛要求。                                                                       2</w:t>
            </w:r>
            <w:r>
              <w:rPr>
                <w:rFonts w:hint="eastAsia" w:ascii="宋体" w:hAnsi="宋体" w:eastAsia="宋体" w:cs="宋体"/>
                <w:kern w:val="0"/>
                <w:sz w:val="20"/>
                <w:szCs w:val="20"/>
                <w:highlight w:val="none"/>
                <w:lang w:val="en-US" w:eastAsia="zh-CN"/>
              </w:rPr>
              <w:t>.</w:t>
            </w:r>
            <w:r>
              <w:rPr>
                <w:rFonts w:hint="eastAsia" w:ascii="宋体" w:hAnsi="宋体" w:eastAsia="宋体" w:cs="宋体"/>
                <w:kern w:val="0"/>
                <w:sz w:val="20"/>
                <w:szCs w:val="20"/>
                <w:highlight w:val="none"/>
              </w:rPr>
              <w:t>能够根据比赛规程，实现比赛项目运动员注册及报名信息转入、裁判员及工作人员的注册、秩序册生成、赛程编排、现场检录、成绩记录、成绩统计处理及比赛流程控制、成绩公告报表生成等功能；                                                     3</w:t>
            </w:r>
            <w:r>
              <w:rPr>
                <w:rFonts w:hint="eastAsia" w:ascii="宋体" w:hAnsi="宋体" w:eastAsia="宋体" w:cs="宋体"/>
                <w:kern w:val="0"/>
                <w:sz w:val="20"/>
                <w:szCs w:val="20"/>
                <w:highlight w:val="none"/>
                <w:lang w:val="en-US" w:eastAsia="zh-CN"/>
              </w:rPr>
              <w:t>.</w:t>
            </w:r>
            <w:r>
              <w:rPr>
                <w:rFonts w:hint="eastAsia" w:ascii="宋体" w:hAnsi="宋体" w:eastAsia="宋体" w:cs="宋体"/>
                <w:kern w:val="0"/>
                <w:sz w:val="20"/>
                <w:szCs w:val="20"/>
                <w:highlight w:val="none"/>
              </w:rPr>
              <w:t>对篮球赛事进行全队与个人进行技术统计；</w:t>
            </w:r>
          </w:p>
          <w:p w14:paraId="2D485C7F">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kern w:val="0"/>
                <w:sz w:val="20"/>
                <w:szCs w:val="20"/>
                <w:highlight w:val="none"/>
              </w:rPr>
            </w:pPr>
            <w:r>
              <w:rPr>
                <w:rFonts w:hint="eastAsia" w:ascii="宋体" w:hAnsi="宋体" w:eastAsia="宋体" w:cs="宋体"/>
                <w:kern w:val="0"/>
                <w:sz w:val="20"/>
                <w:szCs w:val="20"/>
                <w:highlight w:val="none"/>
              </w:rPr>
              <w:t>4</w:t>
            </w:r>
            <w:r>
              <w:rPr>
                <w:rFonts w:hint="eastAsia" w:ascii="宋体" w:hAnsi="宋体" w:eastAsia="宋体" w:cs="宋体"/>
                <w:kern w:val="0"/>
                <w:sz w:val="20"/>
                <w:szCs w:val="20"/>
                <w:highlight w:val="none"/>
                <w:lang w:val="en-US" w:eastAsia="zh-CN"/>
              </w:rPr>
              <w:t>.</w:t>
            </w:r>
            <w:r>
              <w:rPr>
                <w:rFonts w:hint="eastAsia" w:ascii="宋体" w:hAnsi="宋体" w:eastAsia="宋体" w:cs="宋体"/>
                <w:kern w:val="0"/>
                <w:sz w:val="20"/>
                <w:szCs w:val="20"/>
                <w:highlight w:val="none"/>
              </w:rPr>
              <w:t>能与赛场大屏幕实现联动，将比赛成绩实时的显示在大屏幕上</w:t>
            </w:r>
          </w:p>
          <w:p w14:paraId="060E42B5">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计时计分主机</w:t>
            </w:r>
          </w:p>
          <w:p w14:paraId="0D96A54D">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1.外形尺寸:355cm(长)</w:t>
            </w:r>
            <w:r>
              <w:rPr>
                <w:rFonts w:hint="eastAsia" w:ascii="宋体" w:hAnsi="宋体" w:eastAsia="宋体" w:cs="宋体"/>
                <w:kern w:val="0"/>
                <w:sz w:val="20"/>
                <w:szCs w:val="20"/>
                <w:highlight w:val="none"/>
              </w:rPr>
              <w:t>×</w:t>
            </w:r>
            <w:r>
              <w:rPr>
                <w:rFonts w:hint="eastAsia" w:ascii="宋体" w:hAnsi="宋体" w:eastAsia="宋体" w:cs="宋体"/>
                <w:kern w:val="0"/>
                <w:sz w:val="20"/>
                <w:szCs w:val="20"/>
                <w:highlight w:val="none"/>
                <w:lang w:val="en-US" w:eastAsia="zh-CN"/>
              </w:rPr>
              <w:t>256cm(宽)</w:t>
            </w:r>
            <w:r>
              <w:rPr>
                <w:rFonts w:hint="eastAsia" w:ascii="宋体" w:hAnsi="宋体" w:eastAsia="宋体" w:cs="宋体"/>
                <w:kern w:val="0"/>
                <w:sz w:val="20"/>
                <w:szCs w:val="20"/>
                <w:highlight w:val="none"/>
              </w:rPr>
              <w:t>×</w:t>
            </w:r>
            <w:r>
              <w:rPr>
                <w:rFonts w:hint="eastAsia" w:ascii="宋体" w:hAnsi="宋体" w:eastAsia="宋体" w:cs="宋体"/>
                <w:kern w:val="0"/>
                <w:sz w:val="20"/>
                <w:szCs w:val="20"/>
                <w:highlight w:val="none"/>
                <w:lang w:val="en-US" w:eastAsia="zh-CN"/>
              </w:rPr>
              <w:t>118cm(高）；</w:t>
            </w:r>
          </w:p>
          <w:p w14:paraId="224CE535">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2.显示：7寸触屏液晶显示；</w:t>
            </w:r>
          </w:p>
          <w:p w14:paraId="24FC6247">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3.接口：音频输出、RS485、24秒显示屏、全队犯规屏、时间控制器、电源接口、USB接口、HDMI接口、COM串口、RJ45网口等多种接口。</w:t>
            </w:r>
          </w:p>
          <w:p w14:paraId="613D2F7E">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4.标准计时系统：误差小于10ms。</w:t>
            </w:r>
          </w:p>
          <w:p w14:paraId="2D0643CC">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5.通讯方式：RS485串口通讯、网络通讯。</w:t>
            </w:r>
          </w:p>
          <w:p w14:paraId="2E6B9739">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6.通讯距离：RS485串口通讯1200米、网口通讯100米。</w:t>
            </w:r>
          </w:p>
          <w:p w14:paraId="26EC0617">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7.系统满足级别：本系统按照国际标准设计生产。完全满足任何国际级赛事、国家级赛事（NBA、CBA、WCBA、CUBA等）</w:t>
            </w:r>
          </w:p>
          <w:p w14:paraId="4A577DCD">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8.系统功能：计时部分可现实分、秒、1/10秒，24秒，并可在0-99分、0-99秒之间任意设置。具有开始、暂停、复位、24秒、14秒等功能。</w:t>
            </w:r>
          </w:p>
          <w:p w14:paraId="5A2F3E83">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9.综合记分功能：可进行全队记分、个人记分、个人犯规、全队犯规、全队暂停的操作。</w:t>
            </w:r>
          </w:p>
          <w:p w14:paraId="53B9B493">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10.适用比赛项目：篮球、排球、足球、乒乓球、羽毛球等十多种对抗类球类比赛；根据不同类型赛事，可更换对应赛事操作面板。</w:t>
            </w:r>
          </w:p>
          <w:p w14:paraId="43AB6952">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11.数据发送功能：系统具备网络发布功能，可对局域网内任意电脑进行比赛数据的发送。本系统还可通过局域网对转播车进行数据发送，方便电视台对比赛数据的实时转播。</w:t>
            </w:r>
          </w:p>
          <w:p w14:paraId="0BA5BD18">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计时计分软件</w:t>
            </w:r>
          </w:p>
          <w:p w14:paraId="50C3CA90">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1.软件支持：篮球、排球、乒乓球、羽毛球、足球等球类比赛。</w:t>
            </w:r>
          </w:p>
          <w:p w14:paraId="5B35B49E">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2.软件启动选择对应的球类比赛，进入比赛界面，可选择语言。</w:t>
            </w:r>
          </w:p>
          <w:p w14:paraId="17995D92">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3.支持比赛报名表一键导入，自动生成比赛数据。</w:t>
            </w:r>
          </w:p>
          <w:p w14:paraId="627E2250">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4.支持赛前确认首发队员，生成首发队员信息。</w:t>
            </w:r>
          </w:p>
          <w:p w14:paraId="7FF47479">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5.支持对接LED大屏，可调制画面大小</w:t>
            </w:r>
            <w:r>
              <w:rPr>
                <w:rFonts w:hint="eastAsia" w:cs="宋体"/>
                <w:kern w:val="0"/>
                <w:sz w:val="20"/>
                <w:szCs w:val="20"/>
                <w:highlight w:val="none"/>
                <w:lang w:val="en-US" w:eastAsia="zh-CN"/>
              </w:rPr>
              <w:t>。</w:t>
            </w:r>
          </w:p>
          <w:p w14:paraId="377152EE">
            <w:pPr>
              <w:pStyle w:val="8"/>
              <w:keepNext w:val="0"/>
              <w:keepLines w:val="0"/>
              <w:pageBreakBefore w:val="0"/>
              <w:kinsoku/>
              <w:wordWrap/>
              <w:overflowPunct/>
              <w:topLinePunct w:val="0"/>
              <w:autoSpaceDE/>
              <w:autoSpaceDN/>
              <w:bidi w:val="0"/>
              <w:adjustRightInd/>
              <w:snapToGrid/>
              <w:spacing w:line="320" w:lineRule="exact"/>
              <w:ind w:left="0" w:leftChars="0" w:firstLine="0" w:firstLineChars="0"/>
              <w:textAlignment w:val="auto"/>
              <w:rPr>
                <w:rFonts w:hint="eastAsia" w:eastAsia="宋体"/>
                <w:highlight w:val="none"/>
                <w:lang w:val="en-US" w:eastAsia="zh-CN"/>
              </w:rPr>
            </w:pPr>
            <w:r>
              <w:rPr>
                <w:rFonts w:hint="eastAsia" w:ascii="宋体" w:hAnsi="宋体" w:eastAsia="宋体" w:cs="宋体"/>
                <w:color w:val="000000"/>
                <w:kern w:val="0"/>
                <w:sz w:val="21"/>
                <w:szCs w:val="21"/>
                <w:highlight w:val="none"/>
                <w:lang w:val="en-US" w:eastAsia="zh-CN"/>
              </w:rPr>
              <w:t>▲</w:t>
            </w:r>
            <w:r>
              <w:rPr>
                <w:rFonts w:hint="eastAsia" w:cs="宋体"/>
                <w:kern w:val="0"/>
                <w:sz w:val="20"/>
                <w:szCs w:val="20"/>
                <w:highlight w:val="none"/>
                <w:lang w:eastAsia="zh-CN"/>
              </w:rPr>
              <w:t>提供</w:t>
            </w:r>
            <w:r>
              <w:rPr>
                <w:rFonts w:hint="eastAsia" w:ascii="宋体" w:hAnsi="宋体" w:eastAsia="宋体" w:cs="宋体"/>
                <w:kern w:val="0"/>
                <w:sz w:val="20"/>
                <w:szCs w:val="20"/>
                <w:highlight w:val="none"/>
              </w:rPr>
              <w:t>国家软件著作权登记证书</w:t>
            </w:r>
            <w:r>
              <w:rPr>
                <w:rFonts w:hint="eastAsia" w:ascii="宋体" w:hAnsi="宋体" w:cs="宋体"/>
                <w:kern w:val="0"/>
                <w:sz w:val="20"/>
                <w:szCs w:val="20"/>
                <w:highlight w:val="none"/>
                <w:lang w:eastAsia="zh-CN"/>
              </w:rPr>
              <w:t>。</w:t>
            </w:r>
          </w:p>
        </w:tc>
      </w:tr>
      <w:tr w14:paraId="76DF8DC6">
        <w:tblPrEx>
          <w:tblCellMar>
            <w:top w:w="0" w:type="dxa"/>
            <w:left w:w="108" w:type="dxa"/>
            <w:bottom w:w="0" w:type="dxa"/>
            <w:right w:w="108" w:type="dxa"/>
          </w:tblCellMar>
        </w:tblPrEx>
        <w:tc>
          <w:tcPr>
            <w:tcW w:w="695" w:type="dxa"/>
            <w:tcBorders>
              <w:top w:val="nil"/>
              <w:left w:val="single" w:color="auto" w:sz="8" w:space="0"/>
              <w:bottom w:val="single" w:color="auto" w:sz="4" w:space="0"/>
              <w:right w:val="single" w:color="auto" w:sz="4" w:space="0"/>
            </w:tcBorders>
            <w:shd w:val="clear" w:color="auto" w:fill="auto"/>
            <w:noWrap/>
            <w:vAlign w:val="center"/>
          </w:tcPr>
          <w:p w14:paraId="4A2E2389">
            <w:pPr>
              <w:keepNext w:val="0"/>
              <w:keepLines w:val="0"/>
              <w:pageBreakBefore w:val="0"/>
              <w:widowControl/>
              <w:shd w:val="clear"/>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11</w:t>
            </w:r>
          </w:p>
        </w:tc>
        <w:tc>
          <w:tcPr>
            <w:tcW w:w="1719" w:type="dxa"/>
            <w:tcBorders>
              <w:top w:val="nil"/>
              <w:left w:val="nil"/>
              <w:bottom w:val="single" w:color="auto" w:sz="4" w:space="0"/>
              <w:right w:val="single" w:color="auto" w:sz="4" w:space="0"/>
            </w:tcBorders>
            <w:shd w:val="clear" w:color="auto" w:fill="auto"/>
            <w:vAlign w:val="center"/>
          </w:tcPr>
          <w:p w14:paraId="5FEB3320">
            <w:pPr>
              <w:keepNext w:val="0"/>
              <w:keepLines w:val="0"/>
              <w:pageBreakBefore w:val="0"/>
              <w:widowControl/>
              <w:shd w:val="clear"/>
              <w:kinsoku/>
              <w:wordWrap/>
              <w:overflowPunct/>
              <w:topLinePunct w:val="0"/>
              <w:autoSpaceDE/>
              <w:autoSpaceDN/>
              <w:bidi w:val="0"/>
              <w:adjustRightInd/>
              <w:snapToGrid/>
              <w:spacing w:line="340" w:lineRule="exact"/>
              <w:ind w:left="0" w:leftChars="0" w:firstLine="0" w:firstLineChars="0"/>
              <w:jc w:val="center"/>
              <w:textAlignment w:val="auto"/>
              <w:rPr>
                <w:rFonts w:hint="eastAsia"/>
              </w:rPr>
            </w:pPr>
            <w:r>
              <w:rPr>
                <w:rFonts w:hint="eastAsia" w:ascii="宋体" w:hAnsi="宋体" w:eastAsia="宋体" w:cs="宋体"/>
                <w:b/>
                <w:bCs/>
                <w:kern w:val="0"/>
                <w:sz w:val="20"/>
                <w:szCs w:val="20"/>
                <w:highlight w:val="none"/>
              </w:rPr>
              <w:t>乒乓球桌</w:t>
            </w:r>
          </w:p>
        </w:tc>
        <w:tc>
          <w:tcPr>
            <w:tcW w:w="702" w:type="dxa"/>
            <w:tcBorders>
              <w:top w:val="nil"/>
              <w:left w:val="nil"/>
              <w:bottom w:val="single" w:color="auto" w:sz="4" w:space="0"/>
              <w:right w:val="single" w:color="auto" w:sz="4" w:space="0"/>
            </w:tcBorders>
            <w:shd w:val="clear" w:color="auto" w:fill="auto"/>
            <w:vAlign w:val="center"/>
          </w:tcPr>
          <w:p w14:paraId="293DF160">
            <w:pPr>
              <w:keepNext w:val="0"/>
              <w:keepLines w:val="0"/>
              <w:pageBreakBefore w:val="0"/>
              <w:widowControl/>
              <w:shd w:val="clear"/>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张</w:t>
            </w:r>
          </w:p>
        </w:tc>
        <w:tc>
          <w:tcPr>
            <w:tcW w:w="727" w:type="dxa"/>
            <w:tcBorders>
              <w:top w:val="nil"/>
              <w:left w:val="nil"/>
              <w:bottom w:val="single" w:color="auto" w:sz="4" w:space="0"/>
              <w:right w:val="single" w:color="auto" w:sz="4" w:space="0"/>
            </w:tcBorders>
            <w:shd w:val="clear" w:color="auto" w:fill="auto"/>
            <w:noWrap/>
            <w:vAlign w:val="center"/>
          </w:tcPr>
          <w:p w14:paraId="64F63538">
            <w:pPr>
              <w:keepNext w:val="0"/>
              <w:keepLines w:val="0"/>
              <w:pageBreakBefore w:val="0"/>
              <w:widowControl/>
              <w:shd w:val="clear"/>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1</w:t>
            </w:r>
            <w:r>
              <w:rPr>
                <w:rFonts w:hint="eastAsia" w:ascii="宋体" w:hAnsi="宋体" w:eastAsia="宋体" w:cs="宋体"/>
                <w:color w:val="000000"/>
                <w:kern w:val="0"/>
                <w:sz w:val="20"/>
                <w:szCs w:val="20"/>
                <w:lang w:val="en-US" w:eastAsia="zh-CN"/>
              </w:rPr>
              <w:t>6</w:t>
            </w:r>
          </w:p>
        </w:tc>
        <w:tc>
          <w:tcPr>
            <w:tcW w:w="11253" w:type="dxa"/>
            <w:tcBorders>
              <w:top w:val="nil"/>
              <w:left w:val="nil"/>
              <w:bottom w:val="single" w:color="auto" w:sz="4" w:space="0"/>
              <w:right w:val="single" w:color="auto" w:sz="8" w:space="0"/>
            </w:tcBorders>
            <w:shd w:val="clear" w:color="auto" w:fill="auto"/>
            <w:vAlign w:val="center"/>
          </w:tcPr>
          <w:p w14:paraId="572086E4">
            <w:pPr>
              <w:keepNext w:val="0"/>
              <w:keepLines w:val="0"/>
              <w:pageBreakBefore w:val="0"/>
              <w:widowControl/>
              <w:shd w:val="clear"/>
              <w:kinsoku/>
              <w:wordWrap/>
              <w:overflowPunct/>
              <w:topLinePunct w:val="0"/>
              <w:autoSpaceDE/>
              <w:autoSpaceDN/>
              <w:bidi w:val="0"/>
              <w:adjustRightInd/>
              <w:snapToGrid/>
              <w:spacing w:line="340" w:lineRule="exact"/>
              <w:ind w:left="0" w:leftChars="0" w:firstLine="0" w:firstLineChars="0"/>
              <w:jc w:val="left"/>
              <w:textAlignment w:val="auto"/>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lang w:val="en-US" w:eastAsia="zh-CN"/>
              </w:rPr>
              <w:t>1.</w:t>
            </w:r>
            <w:r>
              <w:rPr>
                <w:rFonts w:hint="eastAsia" w:ascii="宋体" w:hAnsi="宋体" w:eastAsia="宋体" w:cs="宋体"/>
                <w:color w:val="000000"/>
                <w:kern w:val="0"/>
                <w:sz w:val="20"/>
                <w:szCs w:val="20"/>
                <w:highlight w:val="none"/>
              </w:rPr>
              <w:t>乒兵球台</w:t>
            </w:r>
          </w:p>
          <w:p w14:paraId="58BCB27E">
            <w:pPr>
              <w:keepNext w:val="0"/>
              <w:keepLines w:val="0"/>
              <w:pageBreakBefore w:val="0"/>
              <w:widowControl/>
              <w:shd w:val="clear"/>
              <w:kinsoku/>
              <w:wordWrap/>
              <w:overflowPunct/>
              <w:topLinePunct w:val="0"/>
              <w:autoSpaceDE/>
              <w:autoSpaceDN/>
              <w:bidi w:val="0"/>
              <w:adjustRightInd/>
              <w:snapToGrid/>
              <w:spacing w:line="340" w:lineRule="exact"/>
              <w:ind w:left="0" w:leftChars="0" w:firstLine="0" w:firstLineChars="0"/>
              <w:jc w:val="left"/>
              <w:textAlignment w:val="auto"/>
              <w:rPr>
                <w:rFonts w:hint="default" w:ascii="宋体" w:hAnsi="宋体" w:eastAsia="宋体" w:cs="宋体"/>
                <w:color w:val="000000"/>
                <w:kern w:val="0"/>
                <w:sz w:val="20"/>
                <w:szCs w:val="20"/>
                <w:highlight w:val="none"/>
                <w:lang w:val="en-US" w:eastAsia="zh-CN"/>
              </w:rPr>
            </w:pPr>
            <w:r>
              <w:rPr>
                <w:rFonts w:hint="eastAsia" w:ascii="宋体" w:hAnsi="宋体" w:eastAsia="宋体" w:cs="宋体"/>
                <w:color w:val="000000"/>
                <w:kern w:val="0"/>
                <w:sz w:val="20"/>
                <w:szCs w:val="20"/>
                <w:highlight w:val="none"/>
                <w:lang w:val="en-US" w:eastAsia="zh-CN"/>
              </w:rPr>
              <w:t>2.</w:t>
            </w:r>
            <w:r>
              <w:rPr>
                <w:rFonts w:hint="eastAsia" w:ascii="宋体" w:hAnsi="宋体" w:eastAsia="宋体" w:cs="宋体"/>
                <w:color w:val="000000"/>
                <w:kern w:val="0"/>
                <w:sz w:val="20"/>
                <w:szCs w:val="20"/>
                <w:highlight w:val="none"/>
              </w:rPr>
              <w:t>系列：国际经典系列</w:t>
            </w:r>
            <w:r>
              <w:rPr>
                <w:rFonts w:hint="eastAsia" w:cs="宋体"/>
                <w:color w:val="000000"/>
                <w:kern w:val="0"/>
                <w:sz w:val="20"/>
                <w:szCs w:val="20"/>
                <w:highlight w:val="none"/>
                <w:lang w:eastAsia="zh-CN"/>
              </w:rPr>
              <w:t>（</w:t>
            </w:r>
            <w:r>
              <w:rPr>
                <w:rFonts w:hint="eastAsia" w:cs="宋体"/>
                <w:color w:val="000000"/>
                <w:kern w:val="0"/>
                <w:sz w:val="20"/>
                <w:szCs w:val="20"/>
                <w:highlight w:val="none"/>
                <w:lang w:val="en-US" w:eastAsia="zh-CN"/>
              </w:rPr>
              <w:t>近三届全运会指定产品）</w:t>
            </w:r>
          </w:p>
          <w:p w14:paraId="4E311AD0">
            <w:pPr>
              <w:keepNext w:val="0"/>
              <w:keepLines w:val="0"/>
              <w:pageBreakBefore w:val="0"/>
              <w:widowControl/>
              <w:shd w:val="clear"/>
              <w:kinsoku/>
              <w:wordWrap/>
              <w:overflowPunct/>
              <w:topLinePunct w:val="0"/>
              <w:autoSpaceDE/>
              <w:autoSpaceDN/>
              <w:bidi w:val="0"/>
              <w:adjustRightInd/>
              <w:snapToGrid/>
              <w:spacing w:line="340" w:lineRule="exact"/>
              <w:ind w:left="0" w:leftChars="0" w:firstLine="0" w:firstLineChars="0"/>
              <w:jc w:val="left"/>
              <w:textAlignment w:val="auto"/>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lang w:val="en-US" w:eastAsia="zh-CN"/>
              </w:rPr>
              <w:t>3.</w:t>
            </w:r>
            <w:r>
              <w:rPr>
                <w:rFonts w:hint="eastAsia" w:ascii="宋体" w:hAnsi="宋体" w:eastAsia="宋体" w:cs="宋体"/>
                <w:color w:val="000000"/>
                <w:kern w:val="0"/>
                <w:sz w:val="20"/>
                <w:szCs w:val="20"/>
                <w:highlight w:val="none"/>
              </w:rPr>
              <w:t>室内球台/室外球台：室内球台</w:t>
            </w:r>
          </w:p>
          <w:p w14:paraId="70854BC9">
            <w:pPr>
              <w:keepNext w:val="0"/>
              <w:keepLines w:val="0"/>
              <w:pageBreakBefore w:val="0"/>
              <w:widowControl/>
              <w:shd w:val="clear"/>
              <w:kinsoku/>
              <w:wordWrap/>
              <w:overflowPunct/>
              <w:topLinePunct w:val="0"/>
              <w:autoSpaceDE/>
              <w:autoSpaceDN/>
              <w:bidi w:val="0"/>
              <w:adjustRightInd/>
              <w:snapToGrid/>
              <w:spacing w:line="340" w:lineRule="exact"/>
              <w:ind w:left="0" w:leftChars="0" w:firstLine="0" w:firstLineChars="0"/>
              <w:jc w:val="left"/>
              <w:textAlignment w:val="auto"/>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lang w:val="en-US" w:eastAsia="zh-CN"/>
              </w:rPr>
              <w:t>4.</w:t>
            </w:r>
            <w:r>
              <w:rPr>
                <w:rFonts w:hint="eastAsia" w:ascii="宋体" w:hAnsi="宋体" w:eastAsia="宋体" w:cs="宋体"/>
                <w:color w:val="000000"/>
                <w:kern w:val="0"/>
                <w:sz w:val="20"/>
                <w:szCs w:val="20"/>
                <w:highlight w:val="none"/>
              </w:rPr>
              <w:t>台面颜色：蓝色/黑色</w:t>
            </w:r>
          </w:p>
          <w:p w14:paraId="064F16D8">
            <w:pPr>
              <w:keepNext w:val="0"/>
              <w:keepLines w:val="0"/>
              <w:pageBreakBefore w:val="0"/>
              <w:widowControl/>
              <w:shd w:val="clear"/>
              <w:kinsoku/>
              <w:wordWrap/>
              <w:overflowPunct/>
              <w:topLinePunct w:val="0"/>
              <w:autoSpaceDE/>
              <w:autoSpaceDN/>
              <w:bidi w:val="0"/>
              <w:adjustRightInd/>
              <w:snapToGrid/>
              <w:spacing w:line="340" w:lineRule="exact"/>
              <w:ind w:left="0" w:leftChars="0" w:firstLine="0" w:firstLineChars="0"/>
              <w:jc w:val="left"/>
              <w:textAlignment w:val="auto"/>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lang w:val="en-US" w:eastAsia="zh-CN"/>
              </w:rPr>
              <w:t>5.</w:t>
            </w:r>
            <w:r>
              <w:rPr>
                <w:rFonts w:hint="eastAsia" w:ascii="宋体" w:hAnsi="宋体" w:eastAsia="宋体" w:cs="宋体"/>
                <w:color w:val="000000"/>
                <w:kern w:val="0"/>
                <w:sz w:val="20"/>
                <w:szCs w:val="20"/>
                <w:highlight w:val="none"/>
              </w:rPr>
              <w:t>台面材质：</w:t>
            </w:r>
            <w:r>
              <w:rPr>
                <w:rFonts w:hint="eastAsia" w:cs="宋体"/>
                <w:color w:val="000000"/>
                <w:kern w:val="0"/>
                <w:sz w:val="20"/>
                <w:szCs w:val="20"/>
                <w:highlight w:val="none"/>
                <w:lang w:val="en-US" w:eastAsia="zh-CN"/>
              </w:rPr>
              <w:t>M</w:t>
            </w:r>
            <w:r>
              <w:rPr>
                <w:rFonts w:hint="eastAsia" w:ascii="宋体" w:hAnsi="宋体" w:eastAsia="宋体" w:cs="宋体"/>
                <w:color w:val="000000"/>
                <w:kern w:val="0"/>
                <w:sz w:val="20"/>
                <w:szCs w:val="20"/>
                <w:highlight w:val="none"/>
              </w:rPr>
              <w:t>DF</w:t>
            </w:r>
          </w:p>
          <w:p w14:paraId="42EC9091">
            <w:pPr>
              <w:keepNext w:val="0"/>
              <w:keepLines w:val="0"/>
              <w:pageBreakBefore w:val="0"/>
              <w:widowControl/>
              <w:shd w:val="clear"/>
              <w:kinsoku/>
              <w:wordWrap/>
              <w:overflowPunct/>
              <w:topLinePunct w:val="0"/>
              <w:autoSpaceDE/>
              <w:autoSpaceDN/>
              <w:bidi w:val="0"/>
              <w:adjustRightInd/>
              <w:snapToGrid/>
              <w:spacing w:line="340" w:lineRule="exact"/>
              <w:ind w:left="0" w:leftChars="0" w:firstLine="0" w:firstLineChars="0"/>
              <w:jc w:val="left"/>
              <w:textAlignment w:val="auto"/>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lang w:val="en-US" w:eastAsia="zh-CN"/>
              </w:rPr>
              <w:t>6.</w:t>
            </w:r>
            <w:r>
              <w:rPr>
                <w:rFonts w:hint="eastAsia" w:ascii="宋体" w:hAnsi="宋体" w:eastAsia="宋体" w:cs="宋体"/>
                <w:color w:val="000000"/>
                <w:kern w:val="0"/>
                <w:sz w:val="20"/>
                <w:szCs w:val="20"/>
                <w:highlight w:val="none"/>
              </w:rPr>
              <w:t>台面尺寸：常规尺寸</w:t>
            </w:r>
          </w:p>
          <w:p w14:paraId="4303DBB4">
            <w:pPr>
              <w:keepNext w:val="0"/>
              <w:keepLines w:val="0"/>
              <w:pageBreakBefore w:val="0"/>
              <w:widowControl/>
              <w:shd w:val="clear"/>
              <w:kinsoku/>
              <w:wordWrap/>
              <w:overflowPunct/>
              <w:topLinePunct w:val="0"/>
              <w:autoSpaceDE/>
              <w:autoSpaceDN/>
              <w:bidi w:val="0"/>
              <w:adjustRightInd/>
              <w:snapToGrid/>
              <w:spacing w:line="340" w:lineRule="exact"/>
              <w:ind w:left="0" w:leftChars="0" w:firstLine="0" w:firstLineChars="0"/>
              <w:jc w:val="left"/>
              <w:textAlignment w:val="auto"/>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lang w:val="en-US" w:eastAsia="zh-CN"/>
              </w:rPr>
              <w:t>7.</w:t>
            </w:r>
            <w:r>
              <w:rPr>
                <w:rFonts w:hint="eastAsia" w:ascii="宋体" w:hAnsi="宋体" w:eastAsia="宋体" w:cs="宋体"/>
                <w:color w:val="000000"/>
                <w:kern w:val="0"/>
                <w:sz w:val="20"/>
                <w:szCs w:val="20"/>
                <w:highlight w:val="none"/>
              </w:rPr>
              <w:t>标准尺寸：</w:t>
            </w:r>
          </w:p>
          <w:p w14:paraId="6193E8A2">
            <w:pPr>
              <w:keepNext w:val="0"/>
              <w:keepLines w:val="0"/>
              <w:pageBreakBefore w:val="0"/>
              <w:widowControl/>
              <w:shd w:val="clear"/>
              <w:kinsoku/>
              <w:wordWrap/>
              <w:overflowPunct/>
              <w:topLinePunct w:val="0"/>
              <w:autoSpaceDE/>
              <w:autoSpaceDN/>
              <w:bidi w:val="0"/>
              <w:adjustRightInd/>
              <w:snapToGrid/>
              <w:spacing w:line="340" w:lineRule="exact"/>
              <w:ind w:left="0" w:leftChars="0" w:firstLine="0" w:firstLineChars="0"/>
              <w:jc w:val="left"/>
              <w:textAlignment w:val="auto"/>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lang w:val="en-US" w:eastAsia="zh-CN"/>
              </w:rPr>
              <w:t>8.</w:t>
            </w:r>
            <w:r>
              <w:rPr>
                <w:rFonts w:hint="eastAsia" w:ascii="宋体" w:hAnsi="宋体" w:eastAsia="宋体" w:cs="宋体"/>
                <w:color w:val="000000"/>
                <w:kern w:val="0"/>
                <w:sz w:val="20"/>
                <w:szCs w:val="20"/>
                <w:highlight w:val="none"/>
              </w:rPr>
              <w:t>台长：2740mm,台宽：1525mm,台高：760mm</w:t>
            </w:r>
          </w:p>
          <w:p w14:paraId="0960665B">
            <w:pPr>
              <w:keepNext w:val="0"/>
              <w:keepLines w:val="0"/>
              <w:pageBreakBefore w:val="0"/>
              <w:widowControl/>
              <w:shd w:val="clear"/>
              <w:kinsoku/>
              <w:wordWrap/>
              <w:overflowPunct/>
              <w:topLinePunct w:val="0"/>
              <w:autoSpaceDE/>
              <w:autoSpaceDN/>
              <w:bidi w:val="0"/>
              <w:adjustRightInd/>
              <w:snapToGrid/>
              <w:spacing w:line="340" w:lineRule="exact"/>
              <w:ind w:left="0" w:leftChars="0" w:firstLine="0" w:firstLineChars="0"/>
              <w:jc w:val="left"/>
              <w:textAlignment w:val="auto"/>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lang w:val="en-US" w:eastAsia="zh-CN"/>
              </w:rPr>
              <w:t>9.</w:t>
            </w:r>
            <w:r>
              <w:rPr>
                <w:rFonts w:hint="eastAsia" w:ascii="宋体" w:hAnsi="宋体" w:eastAsia="宋体" w:cs="宋体"/>
                <w:color w:val="000000"/>
                <w:kern w:val="0"/>
                <w:sz w:val="20"/>
                <w:szCs w:val="20"/>
                <w:highlight w:val="none"/>
              </w:rPr>
              <w:t>有无脚轮:无脚轮</w:t>
            </w:r>
          </w:p>
          <w:p w14:paraId="0862FEBA">
            <w:pPr>
              <w:keepNext w:val="0"/>
              <w:keepLines w:val="0"/>
              <w:pageBreakBefore w:val="0"/>
              <w:widowControl/>
              <w:shd w:val="clear"/>
              <w:kinsoku/>
              <w:wordWrap/>
              <w:overflowPunct/>
              <w:topLinePunct w:val="0"/>
              <w:autoSpaceDE/>
              <w:autoSpaceDN/>
              <w:bidi w:val="0"/>
              <w:adjustRightInd/>
              <w:snapToGrid/>
              <w:spacing w:line="340" w:lineRule="exact"/>
              <w:ind w:left="0" w:leftChars="0" w:firstLine="0" w:firstLineChars="0"/>
              <w:jc w:val="left"/>
              <w:textAlignment w:val="auto"/>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lang w:val="en-US" w:eastAsia="zh-CN"/>
              </w:rPr>
              <w:t>10.</w:t>
            </w:r>
            <w:r>
              <w:rPr>
                <w:rFonts w:hint="eastAsia" w:ascii="宋体" w:hAnsi="宋体" w:eastAsia="宋体" w:cs="宋体"/>
                <w:color w:val="000000"/>
                <w:kern w:val="0"/>
                <w:sz w:val="20"/>
                <w:szCs w:val="20"/>
                <w:highlight w:val="none"/>
              </w:rPr>
              <w:t>是否可调节高度：可调节高度</w:t>
            </w:r>
          </w:p>
          <w:p w14:paraId="5DA983C6">
            <w:pPr>
              <w:keepNext w:val="0"/>
              <w:keepLines w:val="0"/>
              <w:pageBreakBefore w:val="0"/>
              <w:widowControl/>
              <w:shd w:val="clear"/>
              <w:kinsoku/>
              <w:wordWrap/>
              <w:overflowPunct/>
              <w:topLinePunct w:val="0"/>
              <w:autoSpaceDE/>
              <w:autoSpaceDN/>
              <w:bidi w:val="0"/>
              <w:adjustRightInd/>
              <w:snapToGrid/>
              <w:spacing w:line="340" w:lineRule="exact"/>
              <w:ind w:left="0" w:leftChars="0" w:firstLine="0" w:firstLineChars="0"/>
              <w:jc w:val="left"/>
              <w:textAlignment w:val="auto"/>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lang w:val="en-US" w:eastAsia="zh-CN"/>
              </w:rPr>
              <w:t>11.</w:t>
            </w:r>
            <w:r>
              <w:rPr>
                <w:rFonts w:hint="eastAsia" w:ascii="宋体" w:hAnsi="宋体" w:eastAsia="宋体" w:cs="宋体"/>
                <w:color w:val="000000"/>
                <w:kern w:val="0"/>
                <w:sz w:val="20"/>
                <w:szCs w:val="20"/>
                <w:highlight w:val="none"/>
              </w:rPr>
              <w:t>物理性能：</w:t>
            </w:r>
          </w:p>
          <w:p w14:paraId="68BB6364">
            <w:pPr>
              <w:keepNext w:val="0"/>
              <w:keepLines w:val="0"/>
              <w:pageBreakBefore w:val="0"/>
              <w:widowControl/>
              <w:shd w:val="clear"/>
              <w:kinsoku/>
              <w:wordWrap/>
              <w:overflowPunct/>
              <w:topLinePunct w:val="0"/>
              <w:autoSpaceDE/>
              <w:autoSpaceDN/>
              <w:bidi w:val="0"/>
              <w:adjustRightInd/>
              <w:snapToGrid/>
              <w:spacing w:line="340" w:lineRule="exact"/>
              <w:ind w:left="0" w:leftChars="0" w:firstLine="0" w:firstLineChars="0"/>
              <w:jc w:val="left"/>
              <w:textAlignment w:val="auto"/>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弹性：230-260mm</w:t>
            </w:r>
          </w:p>
          <w:p w14:paraId="77BB3193">
            <w:pPr>
              <w:keepNext w:val="0"/>
              <w:keepLines w:val="0"/>
              <w:pageBreakBefore w:val="0"/>
              <w:widowControl/>
              <w:shd w:val="clear"/>
              <w:kinsoku/>
              <w:wordWrap/>
              <w:overflowPunct/>
              <w:topLinePunct w:val="0"/>
              <w:autoSpaceDE/>
              <w:autoSpaceDN/>
              <w:bidi w:val="0"/>
              <w:adjustRightInd/>
              <w:snapToGrid/>
              <w:spacing w:line="340" w:lineRule="exact"/>
              <w:ind w:left="0" w:leftChars="0" w:firstLine="0" w:firstLineChars="0"/>
              <w:jc w:val="left"/>
              <w:textAlignment w:val="auto"/>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弹性均匀度：≤5mm</w:t>
            </w:r>
          </w:p>
          <w:p w14:paraId="18B5D920">
            <w:pPr>
              <w:keepNext w:val="0"/>
              <w:keepLines w:val="0"/>
              <w:pageBreakBefore w:val="0"/>
              <w:widowControl/>
              <w:shd w:val="clear"/>
              <w:kinsoku/>
              <w:wordWrap/>
              <w:overflowPunct/>
              <w:topLinePunct w:val="0"/>
              <w:autoSpaceDE/>
              <w:autoSpaceDN/>
              <w:bidi w:val="0"/>
              <w:adjustRightInd/>
              <w:snapToGrid/>
              <w:spacing w:line="340" w:lineRule="exact"/>
              <w:ind w:left="0" w:leftChars="0" w:firstLine="0" w:firstLineChars="0"/>
              <w:jc w:val="left"/>
              <w:textAlignment w:val="auto"/>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球台稳定性：&lt;10</w:t>
            </w:r>
          </w:p>
          <w:p w14:paraId="3907302F">
            <w:pPr>
              <w:keepNext w:val="0"/>
              <w:keepLines w:val="0"/>
              <w:pageBreakBefore w:val="0"/>
              <w:widowControl/>
              <w:shd w:val="clear"/>
              <w:kinsoku/>
              <w:wordWrap/>
              <w:overflowPunct/>
              <w:topLinePunct w:val="0"/>
              <w:autoSpaceDE/>
              <w:autoSpaceDN/>
              <w:bidi w:val="0"/>
              <w:adjustRightInd/>
              <w:snapToGrid/>
              <w:spacing w:line="340" w:lineRule="exact"/>
              <w:ind w:left="0" w:leftChars="0" w:firstLine="0" w:firstLineChars="0"/>
              <w:jc w:val="left"/>
              <w:textAlignment w:val="auto"/>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台面光泽度：≤0.6</w:t>
            </w:r>
          </w:p>
          <w:p w14:paraId="632D9239">
            <w:pPr>
              <w:keepNext w:val="0"/>
              <w:keepLines w:val="0"/>
              <w:pageBreakBefore w:val="0"/>
              <w:widowControl/>
              <w:shd w:val="clear"/>
              <w:kinsoku/>
              <w:wordWrap/>
              <w:overflowPunct/>
              <w:topLinePunct w:val="0"/>
              <w:autoSpaceDE/>
              <w:autoSpaceDN/>
              <w:bidi w:val="0"/>
              <w:adjustRightInd/>
              <w:snapToGrid/>
              <w:spacing w:line="340" w:lineRule="exact"/>
              <w:ind w:left="0" w:leftChars="0" w:firstLine="0" w:firstLineChars="0"/>
              <w:jc w:val="left"/>
              <w:textAlignment w:val="auto"/>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平面度：≤3mm</w:t>
            </w:r>
          </w:p>
          <w:p w14:paraId="50CA4960">
            <w:pPr>
              <w:keepNext w:val="0"/>
              <w:keepLines w:val="0"/>
              <w:pageBreakBefore w:val="0"/>
              <w:widowControl/>
              <w:shd w:val="clear"/>
              <w:kinsoku/>
              <w:wordWrap/>
              <w:overflowPunct/>
              <w:topLinePunct w:val="0"/>
              <w:autoSpaceDE/>
              <w:autoSpaceDN/>
              <w:bidi w:val="0"/>
              <w:adjustRightInd/>
              <w:snapToGrid/>
              <w:spacing w:line="340" w:lineRule="exact"/>
              <w:ind w:left="0" w:leftChars="0" w:firstLine="0" w:firstLineChars="0"/>
              <w:jc w:val="left"/>
              <w:textAlignment w:val="auto"/>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lang w:val="en-US" w:eastAsia="zh-CN"/>
              </w:rPr>
              <w:t>12.</w:t>
            </w:r>
            <w:r>
              <w:rPr>
                <w:rFonts w:hint="eastAsia" w:ascii="宋体" w:hAnsi="宋体" w:eastAsia="宋体" w:cs="宋体"/>
                <w:color w:val="000000"/>
                <w:kern w:val="0"/>
                <w:sz w:val="20"/>
                <w:szCs w:val="20"/>
                <w:highlight w:val="none"/>
              </w:rPr>
              <w:t>包装尺寸：</w:t>
            </w:r>
          </w:p>
          <w:p w14:paraId="6EF59A7D">
            <w:pPr>
              <w:keepNext w:val="0"/>
              <w:keepLines w:val="0"/>
              <w:pageBreakBefore w:val="0"/>
              <w:widowControl/>
              <w:shd w:val="clear"/>
              <w:kinsoku/>
              <w:wordWrap/>
              <w:overflowPunct/>
              <w:topLinePunct w:val="0"/>
              <w:autoSpaceDE/>
              <w:autoSpaceDN/>
              <w:bidi w:val="0"/>
              <w:adjustRightInd/>
              <w:snapToGrid/>
              <w:spacing w:line="340" w:lineRule="exact"/>
              <w:ind w:left="0" w:leftChars="0" w:firstLine="0" w:firstLineChars="0"/>
              <w:jc w:val="left"/>
              <w:textAlignment w:val="auto"/>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1#箱：1640</w:t>
            </w:r>
            <w:r>
              <w:rPr>
                <w:rFonts w:hint="eastAsia" w:ascii="宋体" w:hAnsi="宋体" w:eastAsia="宋体" w:cs="宋体"/>
                <w:kern w:val="0"/>
                <w:sz w:val="20"/>
                <w:szCs w:val="20"/>
                <w:highlight w:val="none"/>
              </w:rPr>
              <w:t>×</w:t>
            </w:r>
            <w:r>
              <w:rPr>
                <w:rFonts w:hint="eastAsia" w:ascii="宋体" w:hAnsi="宋体" w:eastAsia="宋体" w:cs="宋体"/>
                <w:color w:val="000000"/>
                <w:kern w:val="0"/>
                <w:sz w:val="20"/>
                <w:szCs w:val="20"/>
                <w:highlight w:val="none"/>
              </w:rPr>
              <w:t>1490</w:t>
            </w:r>
            <w:r>
              <w:rPr>
                <w:rFonts w:hint="eastAsia" w:ascii="宋体" w:hAnsi="宋体" w:eastAsia="宋体" w:cs="宋体"/>
                <w:kern w:val="0"/>
                <w:sz w:val="20"/>
                <w:szCs w:val="20"/>
                <w:highlight w:val="none"/>
              </w:rPr>
              <w:t>×</w:t>
            </w:r>
            <w:r>
              <w:rPr>
                <w:rFonts w:hint="eastAsia" w:ascii="宋体" w:hAnsi="宋体" w:eastAsia="宋体" w:cs="宋体"/>
                <w:color w:val="000000"/>
                <w:kern w:val="0"/>
                <w:sz w:val="20"/>
                <w:szCs w:val="20"/>
                <w:highlight w:val="none"/>
              </w:rPr>
              <w:t>260mm 129KG）</w:t>
            </w:r>
          </w:p>
          <w:p w14:paraId="0BCCF5E4">
            <w:pPr>
              <w:keepNext w:val="0"/>
              <w:keepLines w:val="0"/>
              <w:pageBreakBefore w:val="0"/>
              <w:widowControl/>
              <w:shd w:val="clear"/>
              <w:kinsoku/>
              <w:wordWrap/>
              <w:overflowPunct/>
              <w:topLinePunct w:val="0"/>
              <w:autoSpaceDE/>
              <w:autoSpaceDN/>
              <w:bidi w:val="0"/>
              <w:adjustRightInd/>
              <w:snapToGrid/>
              <w:spacing w:line="340" w:lineRule="exact"/>
              <w:ind w:left="0" w:leftChars="0" w:firstLine="0" w:firstLineChars="0"/>
              <w:jc w:val="left"/>
              <w:textAlignment w:val="auto"/>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2#箱：1420</w:t>
            </w:r>
            <w:r>
              <w:rPr>
                <w:rFonts w:hint="eastAsia" w:ascii="宋体" w:hAnsi="宋体" w:eastAsia="宋体" w:cs="宋体"/>
                <w:kern w:val="0"/>
                <w:sz w:val="20"/>
                <w:szCs w:val="20"/>
                <w:highlight w:val="none"/>
              </w:rPr>
              <w:t>×</w:t>
            </w:r>
            <w:r>
              <w:rPr>
                <w:rFonts w:hint="eastAsia" w:ascii="宋体" w:hAnsi="宋体" w:eastAsia="宋体" w:cs="宋体"/>
                <w:color w:val="000000"/>
                <w:kern w:val="0"/>
                <w:sz w:val="20"/>
                <w:szCs w:val="20"/>
                <w:highlight w:val="none"/>
              </w:rPr>
              <w:t>1330</w:t>
            </w:r>
            <w:r>
              <w:rPr>
                <w:rFonts w:hint="eastAsia" w:ascii="宋体" w:hAnsi="宋体" w:eastAsia="宋体" w:cs="宋体"/>
                <w:kern w:val="0"/>
                <w:sz w:val="20"/>
                <w:szCs w:val="20"/>
                <w:highlight w:val="none"/>
              </w:rPr>
              <w:t>×</w:t>
            </w:r>
            <w:r>
              <w:rPr>
                <w:rFonts w:hint="eastAsia" w:ascii="宋体" w:hAnsi="宋体" w:eastAsia="宋体" w:cs="宋体"/>
                <w:color w:val="000000"/>
                <w:kern w:val="0"/>
                <w:sz w:val="20"/>
                <w:szCs w:val="20"/>
                <w:highlight w:val="none"/>
              </w:rPr>
              <w:t>380mm（58KG）</w:t>
            </w:r>
          </w:p>
          <w:p w14:paraId="1147357B">
            <w:pPr>
              <w:pStyle w:val="8"/>
              <w:keepNext w:val="0"/>
              <w:keepLines w:val="0"/>
              <w:pageBreakBefore w:val="0"/>
              <w:kinsoku/>
              <w:wordWrap/>
              <w:overflowPunct/>
              <w:topLinePunct w:val="0"/>
              <w:autoSpaceDE/>
              <w:autoSpaceDN/>
              <w:bidi w:val="0"/>
              <w:adjustRightInd/>
              <w:snapToGrid/>
              <w:spacing w:line="340" w:lineRule="exact"/>
              <w:ind w:left="0" w:leftChars="0" w:firstLine="0" w:firstLineChars="0"/>
              <w:textAlignment w:val="auto"/>
              <w:rPr>
                <w:rFonts w:hint="default"/>
                <w:highlight w:val="none"/>
                <w:lang w:val="en-US"/>
              </w:rPr>
            </w:pPr>
            <w:r>
              <w:rPr>
                <w:rFonts w:hint="eastAsia" w:ascii="宋体" w:hAnsi="宋体" w:eastAsia="宋体" w:cs="宋体"/>
                <w:color w:val="000000"/>
                <w:kern w:val="0"/>
                <w:sz w:val="21"/>
                <w:szCs w:val="21"/>
                <w:highlight w:val="none"/>
                <w:lang w:val="en-US" w:eastAsia="zh-CN"/>
              </w:rPr>
              <w:t>▲</w:t>
            </w:r>
            <w:r>
              <w:rPr>
                <w:rFonts w:hint="eastAsia" w:ascii="宋体" w:hAnsi="宋体" w:cs="宋体"/>
                <w:color w:val="000000"/>
                <w:kern w:val="0"/>
                <w:sz w:val="21"/>
                <w:szCs w:val="21"/>
                <w:highlight w:val="none"/>
                <w:lang w:val="en-US" w:eastAsia="zh-CN"/>
              </w:rPr>
              <w:t>产品通过国际乒联（ITTF）认证</w:t>
            </w:r>
          </w:p>
        </w:tc>
      </w:tr>
      <w:tr w14:paraId="0481CDF4">
        <w:tblPrEx>
          <w:tblCellMar>
            <w:top w:w="0" w:type="dxa"/>
            <w:left w:w="108" w:type="dxa"/>
            <w:bottom w:w="0" w:type="dxa"/>
            <w:right w:w="108" w:type="dxa"/>
          </w:tblCellMar>
        </w:tblPrEx>
        <w:tc>
          <w:tcPr>
            <w:tcW w:w="695" w:type="dxa"/>
            <w:tcBorders>
              <w:top w:val="nil"/>
              <w:left w:val="single" w:color="auto" w:sz="8" w:space="0"/>
              <w:bottom w:val="single" w:color="auto" w:sz="4" w:space="0"/>
              <w:right w:val="single" w:color="auto" w:sz="4" w:space="0"/>
            </w:tcBorders>
            <w:shd w:val="clear" w:color="auto" w:fill="auto"/>
            <w:noWrap/>
            <w:vAlign w:val="center"/>
          </w:tcPr>
          <w:p w14:paraId="6EED04D0">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12</w:t>
            </w:r>
          </w:p>
        </w:tc>
        <w:tc>
          <w:tcPr>
            <w:tcW w:w="1719" w:type="dxa"/>
            <w:tcBorders>
              <w:top w:val="nil"/>
              <w:left w:val="nil"/>
              <w:bottom w:val="single" w:color="auto" w:sz="4" w:space="0"/>
              <w:right w:val="single" w:color="auto" w:sz="4" w:space="0"/>
            </w:tcBorders>
            <w:shd w:val="clear" w:color="auto" w:fill="auto"/>
            <w:vAlign w:val="center"/>
          </w:tcPr>
          <w:p w14:paraId="061D7665">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
                <w:bCs/>
                <w:kern w:val="0"/>
                <w:sz w:val="20"/>
                <w:szCs w:val="20"/>
              </w:rPr>
            </w:pPr>
            <w:r>
              <w:rPr>
                <w:rFonts w:hint="eastAsia" w:ascii="宋体" w:hAnsi="宋体" w:eastAsia="宋体" w:cs="宋体"/>
                <w:b/>
                <w:bCs/>
                <w:kern w:val="0"/>
                <w:sz w:val="20"/>
                <w:szCs w:val="20"/>
                <w:highlight w:val="none"/>
              </w:rPr>
              <w:t>乒乓网架</w:t>
            </w:r>
          </w:p>
        </w:tc>
        <w:tc>
          <w:tcPr>
            <w:tcW w:w="702" w:type="dxa"/>
            <w:tcBorders>
              <w:top w:val="nil"/>
              <w:left w:val="nil"/>
              <w:bottom w:val="single" w:color="auto" w:sz="4" w:space="0"/>
              <w:right w:val="single" w:color="auto" w:sz="4" w:space="0"/>
            </w:tcBorders>
            <w:shd w:val="clear" w:color="auto" w:fill="auto"/>
            <w:noWrap/>
            <w:vAlign w:val="center"/>
          </w:tcPr>
          <w:p w14:paraId="27D648CA">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套</w:t>
            </w:r>
          </w:p>
        </w:tc>
        <w:tc>
          <w:tcPr>
            <w:tcW w:w="727" w:type="dxa"/>
            <w:tcBorders>
              <w:top w:val="nil"/>
              <w:left w:val="nil"/>
              <w:bottom w:val="single" w:color="auto" w:sz="4" w:space="0"/>
              <w:right w:val="single" w:color="auto" w:sz="4" w:space="0"/>
            </w:tcBorders>
            <w:shd w:val="clear" w:color="auto" w:fill="auto"/>
            <w:noWrap/>
            <w:vAlign w:val="center"/>
          </w:tcPr>
          <w:p w14:paraId="14CFBE92">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16</w:t>
            </w:r>
          </w:p>
        </w:tc>
        <w:tc>
          <w:tcPr>
            <w:tcW w:w="11253" w:type="dxa"/>
            <w:tcBorders>
              <w:top w:val="nil"/>
              <w:left w:val="nil"/>
              <w:bottom w:val="single" w:color="auto" w:sz="4" w:space="0"/>
              <w:right w:val="single" w:color="auto" w:sz="8" w:space="0"/>
            </w:tcBorders>
            <w:shd w:val="clear" w:color="auto" w:fill="auto"/>
            <w:vAlign w:val="center"/>
          </w:tcPr>
          <w:p w14:paraId="29C8BF6C">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lang w:val="en-US" w:eastAsia="zh-CN"/>
              </w:rPr>
              <w:t>1.</w:t>
            </w:r>
            <w:r>
              <w:rPr>
                <w:rFonts w:hint="eastAsia" w:ascii="宋体" w:hAnsi="宋体" w:eastAsia="宋体" w:cs="宋体"/>
                <w:color w:val="000000"/>
                <w:kern w:val="0"/>
                <w:sz w:val="20"/>
                <w:szCs w:val="20"/>
                <w:highlight w:val="none"/>
              </w:rPr>
              <w:t>乒乓球网架</w:t>
            </w:r>
            <w:r>
              <w:rPr>
                <w:rFonts w:hint="eastAsia" w:cs="宋体"/>
                <w:color w:val="000000"/>
                <w:kern w:val="0"/>
                <w:sz w:val="20"/>
                <w:szCs w:val="20"/>
                <w:highlight w:val="none"/>
                <w:lang w:eastAsia="zh-CN"/>
              </w:rPr>
              <w:t>、</w:t>
            </w:r>
            <w:r>
              <w:rPr>
                <w:rFonts w:hint="eastAsia" w:ascii="宋体" w:hAnsi="宋体" w:eastAsia="宋体" w:cs="宋体"/>
                <w:color w:val="000000"/>
                <w:kern w:val="0"/>
                <w:sz w:val="20"/>
                <w:szCs w:val="20"/>
                <w:highlight w:val="none"/>
              </w:rPr>
              <w:t>带网</w:t>
            </w:r>
          </w:p>
          <w:p w14:paraId="5657FB02">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lang w:val="en-US" w:eastAsia="zh-CN"/>
              </w:rPr>
              <w:t>2.</w:t>
            </w:r>
            <w:r>
              <w:rPr>
                <w:rFonts w:hint="eastAsia" w:ascii="宋体" w:hAnsi="宋体" w:eastAsia="宋体" w:cs="宋体"/>
                <w:color w:val="000000"/>
                <w:kern w:val="0"/>
                <w:sz w:val="20"/>
                <w:szCs w:val="20"/>
                <w:highlight w:val="none"/>
              </w:rPr>
              <w:t>配置网：410网、网尺</w:t>
            </w:r>
          </w:p>
          <w:p w14:paraId="4DD59A32">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lang w:val="en-US" w:eastAsia="zh-CN"/>
              </w:rPr>
              <w:t>3.</w:t>
            </w:r>
            <w:r>
              <w:rPr>
                <w:rFonts w:hint="eastAsia" w:ascii="宋体" w:hAnsi="宋体" w:eastAsia="宋体" w:cs="宋体"/>
                <w:color w:val="000000"/>
                <w:kern w:val="0"/>
                <w:sz w:val="20"/>
                <w:szCs w:val="20"/>
                <w:highlight w:val="none"/>
              </w:rPr>
              <w:t>装配方式：内置</w:t>
            </w:r>
          </w:p>
          <w:p w14:paraId="740ED8DB">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lang w:val="en-US" w:eastAsia="zh-CN"/>
              </w:rPr>
              <w:t>4.</w:t>
            </w:r>
            <w:r>
              <w:rPr>
                <w:rFonts w:hint="eastAsia" w:ascii="宋体" w:hAnsi="宋体" w:eastAsia="宋体" w:cs="宋体"/>
                <w:color w:val="000000"/>
                <w:kern w:val="0"/>
                <w:sz w:val="20"/>
                <w:szCs w:val="20"/>
                <w:highlight w:val="none"/>
              </w:rPr>
              <w:t>装台方式：螺旋式</w:t>
            </w:r>
          </w:p>
          <w:p w14:paraId="0583BE55">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lang w:val="en-US" w:eastAsia="zh-CN"/>
              </w:rPr>
              <w:t>5.</w:t>
            </w:r>
            <w:r>
              <w:rPr>
                <w:rFonts w:hint="eastAsia" w:ascii="宋体" w:hAnsi="宋体" w:eastAsia="宋体" w:cs="宋体"/>
                <w:color w:val="000000"/>
                <w:kern w:val="0"/>
                <w:sz w:val="20"/>
                <w:szCs w:val="20"/>
                <w:highlight w:val="none"/>
              </w:rPr>
              <w:t>特点：架体固实、适用于高档台</w:t>
            </w:r>
          </w:p>
          <w:p w14:paraId="79106578">
            <w:pPr>
              <w:pStyle w:val="8"/>
              <w:ind w:left="0" w:leftChars="0" w:firstLine="0" w:firstLineChars="0"/>
              <w:rPr>
                <w:rFonts w:hint="eastAsia"/>
                <w:highlight w:val="none"/>
              </w:rPr>
            </w:pPr>
            <w:r>
              <w:rPr>
                <w:rFonts w:hint="eastAsia" w:ascii="宋体" w:hAnsi="宋体" w:eastAsia="宋体" w:cs="宋体"/>
                <w:color w:val="000000"/>
                <w:kern w:val="0"/>
                <w:sz w:val="21"/>
                <w:szCs w:val="21"/>
                <w:highlight w:val="none"/>
                <w:lang w:val="en-US" w:eastAsia="zh-CN"/>
              </w:rPr>
              <w:t>▲</w:t>
            </w:r>
            <w:r>
              <w:rPr>
                <w:rFonts w:hint="eastAsia" w:ascii="宋体" w:hAnsi="宋体" w:cs="宋体"/>
                <w:color w:val="000000"/>
                <w:kern w:val="0"/>
                <w:sz w:val="21"/>
                <w:szCs w:val="21"/>
                <w:highlight w:val="none"/>
                <w:lang w:val="en-US" w:eastAsia="zh-CN"/>
              </w:rPr>
              <w:t>产品通过国际乒联（ITTF）认证</w:t>
            </w:r>
          </w:p>
        </w:tc>
      </w:tr>
      <w:tr w14:paraId="2BE4553C">
        <w:tblPrEx>
          <w:tblCellMar>
            <w:top w:w="0" w:type="dxa"/>
            <w:left w:w="108" w:type="dxa"/>
            <w:bottom w:w="0" w:type="dxa"/>
            <w:right w:w="108" w:type="dxa"/>
          </w:tblCellMar>
        </w:tblPrEx>
        <w:trPr>
          <w:trHeight w:val="484" w:hRule="atLeast"/>
        </w:trPr>
        <w:tc>
          <w:tcPr>
            <w:tcW w:w="695" w:type="dxa"/>
            <w:tcBorders>
              <w:top w:val="nil"/>
              <w:left w:val="single" w:color="auto" w:sz="8" w:space="0"/>
              <w:bottom w:val="single" w:color="auto" w:sz="4" w:space="0"/>
              <w:right w:val="single" w:color="auto" w:sz="4" w:space="0"/>
            </w:tcBorders>
            <w:shd w:val="clear" w:color="auto" w:fill="auto"/>
            <w:noWrap/>
            <w:vAlign w:val="center"/>
          </w:tcPr>
          <w:p w14:paraId="63021242">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13</w:t>
            </w:r>
          </w:p>
        </w:tc>
        <w:tc>
          <w:tcPr>
            <w:tcW w:w="1719" w:type="dxa"/>
            <w:tcBorders>
              <w:top w:val="nil"/>
              <w:left w:val="nil"/>
              <w:bottom w:val="single" w:color="auto" w:sz="4" w:space="0"/>
              <w:right w:val="single" w:color="auto" w:sz="4" w:space="0"/>
            </w:tcBorders>
            <w:shd w:val="clear" w:color="auto" w:fill="auto"/>
            <w:vAlign w:val="center"/>
          </w:tcPr>
          <w:p w14:paraId="5FFE446C">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
                <w:bCs/>
                <w:kern w:val="0"/>
                <w:sz w:val="20"/>
                <w:szCs w:val="20"/>
              </w:rPr>
            </w:pPr>
            <w:r>
              <w:rPr>
                <w:rFonts w:hint="eastAsia" w:ascii="宋体" w:hAnsi="宋体" w:eastAsia="宋体" w:cs="宋体"/>
                <w:b/>
                <w:bCs/>
                <w:kern w:val="0"/>
                <w:sz w:val="20"/>
                <w:szCs w:val="20"/>
                <w:highlight w:val="none"/>
              </w:rPr>
              <w:t>乒乓球翻分牌</w:t>
            </w:r>
          </w:p>
        </w:tc>
        <w:tc>
          <w:tcPr>
            <w:tcW w:w="702" w:type="dxa"/>
            <w:tcBorders>
              <w:top w:val="nil"/>
              <w:left w:val="nil"/>
              <w:bottom w:val="single" w:color="auto" w:sz="4" w:space="0"/>
              <w:right w:val="single" w:color="auto" w:sz="4" w:space="0"/>
            </w:tcBorders>
            <w:shd w:val="clear" w:color="auto" w:fill="auto"/>
            <w:noWrap/>
            <w:vAlign w:val="center"/>
          </w:tcPr>
          <w:p w14:paraId="1916A1C5">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副</w:t>
            </w:r>
          </w:p>
        </w:tc>
        <w:tc>
          <w:tcPr>
            <w:tcW w:w="727" w:type="dxa"/>
            <w:tcBorders>
              <w:top w:val="nil"/>
              <w:left w:val="nil"/>
              <w:bottom w:val="single" w:color="auto" w:sz="4" w:space="0"/>
              <w:right w:val="single" w:color="auto" w:sz="4" w:space="0"/>
            </w:tcBorders>
            <w:shd w:val="clear" w:color="auto" w:fill="auto"/>
            <w:noWrap/>
            <w:vAlign w:val="center"/>
          </w:tcPr>
          <w:p w14:paraId="035AEE3B">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8</w:t>
            </w:r>
          </w:p>
        </w:tc>
        <w:tc>
          <w:tcPr>
            <w:tcW w:w="11253" w:type="dxa"/>
            <w:tcBorders>
              <w:top w:val="nil"/>
              <w:left w:val="nil"/>
              <w:bottom w:val="single" w:color="auto" w:sz="4" w:space="0"/>
              <w:right w:val="single" w:color="auto" w:sz="8" w:space="0"/>
            </w:tcBorders>
            <w:shd w:val="clear" w:color="auto" w:fill="auto"/>
            <w:vAlign w:val="center"/>
          </w:tcPr>
          <w:p w14:paraId="27953B64">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台式，可折叠</w:t>
            </w:r>
          </w:p>
        </w:tc>
      </w:tr>
      <w:tr w14:paraId="729D6915">
        <w:tblPrEx>
          <w:tblCellMar>
            <w:top w:w="0" w:type="dxa"/>
            <w:left w:w="108" w:type="dxa"/>
            <w:bottom w:w="0" w:type="dxa"/>
            <w:right w:w="108" w:type="dxa"/>
          </w:tblCellMar>
        </w:tblPrEx>
        <w:tc>
          <w:tcPr>
            <w:tcW w:w="695" w:type="dxa"/>
            <w:tcBorders>
              <w:top w:val="nil"/>
              <w:left w:val="single" w:color="auto" w:sz="8" w:space="0"/>
              <w:bottom w:val="single" w:color="auto" w:sz="4" w:space="0"/>
              <w:right w:val="single" w:color="auto" w:sz="4" w:space="0"/>
            </w:tcBorders>
            <w:shd w:val="clear" w:color="auto" w:fill="auto"/>
            <w:noWrap/>
            <w:vAlign w:val="center"/>
          </w:tcPr>
          <w:p w14:paraId="47477B41">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14</w:t>
            </w:r>
          </w:p>
        </w:tc>
        <w:tc>
          <w:tcPr>
            <w:tcW w:w="1719" w:type="dxa"/>
            <w:tcBorders>
              <w:top w:val="nil"/>
              <w:left w:val="nil"/>
              <w:bottom w:val="single" w:color="auto" w:sz="4" w:space="0"/>
              <w:right w:val="single" w:color="auto" w:sz="4" w:space="0"/>
            </w:tcBorders>
            <w:shd w:val="clear" w:color="auto" w:fill="auto"/>
            <w:vAlign w:val="center"/>
          </w:tcPr>
          <w:p w14:paraId="1A63EE87">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
                <w:bCs/>
                <w:kern w:val="0"/>
                <w:sz w:val="20"/>
                <w:szCs w:val="20"/>
              </w:rPr>
            </w:pPr>
            <w:r>
              <w:rPr>
                <w:rFonts w:hint="eastAsia" w:ascii="宋体" w:hAnsi="宋体" w:eastAsia="宋体" w:cs="宋体"/>
                <w:b/>
                <w:bCs/>
                <w:kern w:val="0"/>
                <w:sz w:val="20"/>
                <w:szCs w:val="20"/>
                <w:highlight w:val="none"/>
              </w:rPr>
              <w:t>乒乓球集球盒</w:t>
            </w:r>
          </w:p>
        </w:tc>
        <w:tc>
          <w:tcPr>
            <w:tcW w:w="702" w:type="dxa"/>
            <w:tcBorders>
              <w:top w:val="nil"/>
              <w:left w:val="nil"/>
              <w:bottom w:val="single" w:color="auto" w:sz="4" w:space="0"/>
              <w:right w:val="single" w:color="auto" w:sz="4" w:space="0"/>
            </w:tcBorders>
            <w:shd w:val="clear" w:color="auto" w:fill="auto"/>
            <w:vAlign w:val="center"/>
          </w:tcPr>
          <w:p w14:paraId="558B87A7">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只</w:t>
            </w:r>
          </w:p>
        </w:tc>
        <w:tc>
          <w:tcPr>
            <w:tcW w:w="727" w:type="dxa"/>
            <w:tcBorders>
              <w:top w:val="nil"/>
              <w:left w:val="nil"/>
              <w:bottom w:val="single" w:color="auto" w:sz="4" w:space="0"/>
              <w:right w:val="single" w:color="auto" w:sz="4" w:space="0"/>
            </w:tcBorders>
            <w:shd w:val="clear" w:color="auto" w:fill="auto"/>
            <w:noWrap/>
            <w:vAlign w:val="center"/>
          </w:tcPr>
          <w:p w14:paraId="5F027778">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1</w:t>
            </w:r>
            <w:r>
              <w:rPr>
                <w:rFonts w:hint="eastAsia" w:ascii="宋体" w:hAnsi="宋体" w:eastAsia="宋体" w:cs="宋体"/>
                <w:color w:val="000000"/>
                <w:kern w:val="0"/>
                <w:sz w:val="20"/>
                <w:szCs w:val="20"/>
                <w:lang w:val="en-US" w:eastAsia="zh-CN"/>
              </w:rPr>
              <w:t>6</w:t>
            </w:r>
          </w:p>
        </w:tc>
        <w:tc>
          <w:tcPr>
            <w:tcW w:w="11253" w:type="dxa"/>
            <w:tcBorders>
              <w:top w:val="nil"/>
              <w:left w:val="nil"/>
              <w:bottom w:val="single" w:color="auto" w:sz="4" w:space="0"/>
              <w:right w:val="single" w:color="auto" w:sz="8" w:space="0"/>
            </w:tcBorders>
            <w:shd w:val="clear" w:color="auto" w:fill="auto"/>
            <w:vAlign w:val="center"/>
          </w:tcPr>
          <w:p w14:paraId="23965C08">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高度调节范围: 760-970 (mm)</w:t>
            </w:r>
          </w:p>
          <w:p w14:paraId="64445E1E">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重量: 5.5kg</w:t>
            </w:r>
          </w:p>
          <w:p w14:paraId="3175EA09">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装箱尺寸</w:t>
            </w:r>
            <w:r>
              <w:rPr>
                <w:rFonts w:hint="eastAsia" w:cs="宋体"/>
                <w:color w:val="000000"/>
                <w:kern w:val="0"/>
                <w:sz w:val="20"/>
                <w:szCs w:val="20"/>
                <w:lang w:eastAsia="zh-CN"/>
              </w:rPr>
              <w:t>：</w:t>
            </w:r>
            <w:r>
              <w:rPr>
                <w:rFonts w:hint="eastAsia" w:ascii="宋体" w:hAnsi="宋体" w:eastAsia="宋体" w:cs="宋体"/>
                <w:color w:val="000000"/>
                <w:kern w:val="0"/>
                <w:sz w:val="20"/>
                <w:szCs w:val="20"/>
              </w:rPr>
              <w:t>505</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color w:val="000000"/>
                <w:kern w:val="0"/>
                <w:sz w:val="20"/>
                <w:szCs w:val="20"/>
              </w:rPr>
              <w:t>505</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color w:val="000000"/>
                <w:kern w:val="0"/>
                <w:sz w:val="20"/>
                <w:szCs w:val="20"/>
              </w:rPr>
              <w:t>330 (mm)</w:t>
            </w:r>
          </w:p>
        </w:tc>
      </w:tr>
      <w:tr w14:paraId="626781FF">
        <w:tblPrEx>
          <w:tblCellMar>
            <w:top w:w="0" w:type="dxa"/>
            <w:left w:w="108" w:type="dxa"/>
            <w:bottom w:w="0" w:type="dxa"/>
            <w:right w:w="108" w:type="dxa"/>
          </w:tblCellMar>
        </w:tblPrEx>
        <w:tc>
          <w:tcPr>
            <w:tcW w:w="695" w:type="dxa"/>
            <w:tcBorders>
              <w:top w:val="nil"/>
              <w:left w:val="single" w:color="auto" w:sz="8" w:space="0"/>
              <w:bottom w:val="single" w:color="auto" w:sz="4" w:space="0"/>
              <w:right w:val="single" w:color="auto" w:sz="4" w:space="0"/>
            </w:tcBorders>
            <w:shd w:val="clear" w:color="auto" w:fill="auto"/>
            <w:noWrap/>
            <w:vAlign w:val="center"/>
          </w:tcPr>
          <w:p w14:paraId="1F56FD84">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15</w:t>
            </w:r>
          </w:p>
        </w:tc>
        <w:tc>
          <w:tcPr>
            <w:tcW w:w="1719" w:type="dxa"/>
            <w:tcBorders>
              <w:top w:val="nil"/>
              <w:left w:val="nil"/>
              <w:bottom w:val="single" w:color="auto" w:sz="4" w:space="0"/>
              <w:right w:val="single" w:color="auto" w:sz="4" w:space="0"/>
            </w:tcBorders>
            <w:shd w:val="clear" w:color="auto" w:fill="auto"/>
            <w:vAlign w:val="center"/>
          </w:tcPr>
          <w:p w14:paraId="24D806B7">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
                <w:bCs/>
                <w:kern w:val="0"/>
                <w:sz w:val="20"/>
                <w:szCs w:val="20"/>
              </w:rPr>
            </w:pPr>
            <w:r>
              <w:rPr>
                <w:rFonts w:hint="eastAsia" w:ascii="宋体" w:hAnsi="宋体" w:eastAsia="宋体" w:cs="宋体"/>
                <w:b/>
                <w:bCs/>
                <w:kern w:val="0"/>
                <w:sz w:val="20"/>
                <w:szCs w:val="20"/>
                <w:highlight w:val="none"/>
              </w:rPr>
              <w:t>挡板</w:t>
            </w:r>
          </w:p>
        </w:tc>
        <w:tc>
          <w:tcPr>
            <w:tcW w:w="702" w:type="dxa"/>
            <w:tcBorders>
              <w:top w:val="nil"/>
              <w:left w:val="nil"/>
              <w:bottom w:val="single" w:color="auto" w:sz="4" w:space="0"/>
              <w:right w:val="single" w:color="auto" w:sz="4" w:space="0"/>
            </w:tcBorders>
            <w:shd w:val="clear" w:color="auto" w:fill="auto"/>
            <w:noWrap/>
            <w:vAlign w:val="center"/>
          </w:tcPr>
          <w:p w14:paraId="7055C986">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块</w:t>
            </w:r>
          </w:p>
        </w:tc>
        <w:tc>
          <w:tcPr>
            <w:tcW w:w="727" w:type="dxa"/>
            <w:tcBorders>
              <w:top w:val="nil"/>
              <w:left w:val="nil"/>
              <w:bottom w:val="single" w:color="auto" w:sz="4" w:space="0"/>
              <w:right w:val="single" w:color="auto" w:sz="4" w:space="0"/>
            </w:tcBorders>
            <w:shd w:val="clear" w:color="auto" w:fill="auto"/>
            <w:noWrap/>
            <w:vAlign w:val="center"/>
          </w:tcPr>
          <w:p w14:paraId="47F999B7">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40</w:t>
            </w:r>
          </w:p>
        </w:tc>
        <w:tc>
          <w:tcPr>
            <w:tcW w:w="11253" w:type="dxa"/>
            <w:tcBorders>
              <w:top w:val="nil"/>
              <w:left w:val="nil"/>
              <w:bottom w:val="single" w:color="auto" w:sz="4" w:space="0"/>
              <w:right w:val="single" w:color="auto" w:sz="8" w:space="0"/>
            </w:tcBorders>
            <w:shd w:val="clear" w:color="auto" w:fill="auto"/>
            <w:vAlign w:val="center"/>
          </w:tcPr>
          <w:p w14:paraId="3B148BF2">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1.</w:t>
            </w:r>
            <w:r>
              <w:rPr>
                <w:rFonts w:hint="eastAsia" w:ascii="宋体" w:hAnsi="宋体" w:eastAsia="宋体" w:cs="宋体"/>
                <w:kern w:val="0"/>
                <w:sz w:val="20"/>
                <w:szCs w:val="20"/>
              </w:rPr>
              <w:t>系列</w:t>
            </w:r>
            <w:r>
              <w:rPr>
                <w:rFonts w:hint="eastAsia" w:cs="宋体"/>
                <w:kern w:val="0"/>
                <w:sz w:val="20"/>
                <w:szCs w:val="20"/>
                <w:lang w:eastAsia="zh-CN"/>
              </w:rPr>
              <w:t>：</w:t>
            </w:r>
            <w:r>
              <w:rPr>
                <w:rFonts w:hint="eastAsia" w:ascii="宋体" w:hAnsi="宋体" w:eastAsia="宋体" w:cs="宋体"/>
                <w:kern w:val="0"/>
                <w:sz w:val="20"/>
                <w:szCs w:val="20"/>
              </w:rPr>
              <w:t>乒乓配件</w:t>
            </w:r>
          </w:p>
          <w:p w14:paraId="1D7A8589">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2.</w:t>
            </w:r>
            <w:r>
              <w:rPr>
                <w:rFonts w:hint="eastAsia" w:ascii="宋体" w:hAnsi="宋体" w:eastAsia="宋体" w:cs="宋体"/>
                <w:kern w:val="0"/>
                <w:sz w:val="20"/>
                <w:szCs w:val="20"/>
              </w:rPr>
              <w:t>型号: S6-01 (弹力布)</w:t>
            </w:r>
          </w:p>
          <w:p w14:paraId="445BCBBC">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3.</w:t>
            </w:r>
            <w:r>
              <w:rPr>
                <w:rFonts w:hint="eastAsia" w:ascii="宋体" w:hAnsi="宋体" w:eastAsia="宋体" w:cs="宋体"/>
                <w:kern w:val="0"/>
                <w:sz w:val="20"/>
                <w:szCs w:val="20"/>
              </w:rPr>
              <w:t>规格</w:t>
            </w:r>
            <w:r>
              <w:rPr>
                <w:rFonts w:hint="eastAsia" w:cs="宋体"/>
                <w:kern w:val="0"/>
                <w:sz w:val="20"/>
                <w:szCs w:val="20"/>
                <w:lang w:eastAsia="zh-CN"/>
              </w:rPr>
              <w:t>：</w:t>
            </w:r>
            <w:r>
              <w:rPr>
                <w:rFonts w:hint="eastAsia" w:ascii="宋体" w:hAnsi="宋体" w:eastAsia="宋体" w:cs="宋体"/>
                <w:kern w:val="0"/>
                <w:sz w:val="20"/>
                <w:szCs w:val="20"/>
              </w:rPr>
              <w:t>约1400</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kern w:val="0"/>
                <w:sz w:val="20"/>
                <w:szCs w:val="20"/>
              </w:rPr>
              <w:t>750mm</w:t>
            </w:r>
          </w:p>
          <w:p w14:paraId="6346FD85">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4.</w:t>
            </w:r>
            <w:r>
              <w:rPr>
                <w:rFonts w:hint="eastAsia" w:ascii="宋体" w:hAnsi="宋体" w:eastAsia="宋体" w:cs="宋体"/>
                <w:kern w:val="0"/>
                <w:sz w:val="20"/>
                <w:szCs w:val="20"/>
              </w:rPr>
              <w:t>装箱重量</w:t>
            </w:r>
            <w:r>
              <w:rPr>
                <w:rFonts w:hint="eastAsia" w:cs="宋体"/>
                <w:kern w:val="0"/>
                <w:sz w:val="20"/>
                <w:szCs w:val="20"/>
                <w:lang w:eastAsia="zh-CN"/>
              </w:rPr>
              <w:t>：</w:t>
            </w:r>
            <w:r>
              <w:rPr>
                <w:rFonts w:hint="eastAsia" w:ascii="宋体" w:hAnsi="宋体" w:eastAsia="宋体" w:cs="宋体"/>
                <w:kern w:val="0"/>
                <w:sz w:val="20"/>
                <w:szCs w:val="20"/>
              </w:rPr>
              <w:t>约30KG</w:t>
            </w:r>
          </w:p>
          <w:p w14:paraId="666A0454">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5.</w:t>
            </w:r>
            <w:r>
              <w:rPr>
                <w:rFonts w:hint="eastAsia" w:ascii="宋体" w:hAnsi="宋体" w:eastAsia="宋体" w:cs="宋体"/>
                <w:kern w:val="0"/>
                <w:sz w:val="20"/>
                <w:szCs w:val="20"/>
              </w:rPr>
              <w:t>装箱尺寸</w:t>
            </w:r>
            <w:r>
              <w:rPr>
                <w:rFonts w:hint="eastAsia" w:cs="宋体"/>
                <w:kern w:val="0"/>
                <w:sz w:val="20"/>
                <w:szCs w:val="20"/>
                <w:lang w:eastAsia="zh-CN"/>
              </w:rPr>
              <w:t>：</w:t>
            </w:r>
            <w:r>
              <w:rPr>
                <w:rFonts w:hint="eastAsia" w:ascii="宋体" w:hAnsi="宋体" w:eastAsia="宋体" w:cs="宋体"/>
                <w:kern w:val="0"/>
                <w:sz w:val="20"/>
                <w:szCs w:val="20"/>
              </w:rPr>
              <w:t>约1330</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kern w:val="0"/>
                <w:sz w:val="20"/>
                <w:szCs w:val="20"/>
              </w:rPr>
              <w:t>360</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kern w:val="0"/>
                <w:sz w:val="20"/>
                <w:szCs w:val="20"/>
              </w:rPr>
              <w:t>140mm</w:t>
            </w:r>
          </w:p>
          <w:p w14:paraId="4ACE12E6">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rPr>
            </w:pPr>
            <w:r>
              <w:rPr>
                <w:rFonts w:hint="eastAsia" w:ascii="宋体" w:hAnsi="宋体" w:eastAsia="宋体" w:cs="宋体"/>
                <w:kern w:val="0"/>
                <w:sz w:val="20"/>
                <w:szCs w:val="20"/>
                <w:lang w:val="en-US" w:eastAsia="zh-CN"/>
              </w:rPr>
              <w:t>6.</w:t>
            </w:r>
            <w:r>
              <w:rPr>
                <w:rFonts w:hint="eastAsia" w:ascii="宋体" w:hAnsi="宋体" w:eastAsia="宋体" w:cs="宋体"/>
                <w:kern w:val="0"/>
                <w:sz w:val="20"/>
                <w:szCs w:val="20"/>
              </w:rPr>
              <w:t>装箱数量: 10块</w:t>
            </w:r>
          </w:p>
        </w:tc>
      </w:tr>
      <w:tr w14:paraId="5DD623DE">
        <w:tblPrEx>
          <w:tblCellMar>
            <w:top w:w="0" w:type="dxa"/>
            <w:left w:w="108" w:type="dxa"/>
            <w:bottom w:w="0" w:type="dxa"/>
            <w:right w:w="108" w:type="dxa"/>
          </w:tblCellMar>
        </w:tblPrEx>
        <w:tc>
          <w:tcPr>
            <w:tcW w:w="695" w:type="dxa"/>
            <w:tcBorders>
              <w:top w:val="nil"/>
              <w:left w:val="single" w:color="auto" w:sz="8" w:space="0"/>
              <w:bottom w:val="single" w:color="auto" w:sz="4" w:space="0"/>
              <w:right w:val="single" w:color="auto" w:sz="4" w:space="0"/>
            </w:tcBorders>
            <w:shd w:val="clear" w:color="auto" w:fill="auto"/>
            <w:noWrap/>
            <w:vAlign w:val="center"/>
          </w:tcPr>
          <w:p w14:paraId="5CE2B721">
            <w:pPr>
              <w:keepNext w:val="0"/>
              <w:keepLines w:val="0"/>
              <w:pageBreakBefore w:val="0"/>
              <w:widowControl/>
              <w:shd w:val="clea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16</w:t>
            </w:r>
          </w:p>
        </w:tc>
        <w:tc>
          <w:tcPr>
            <w:tcW w:w="1719" w:type="dxa"/>
            <w:tcBorders>
              <w:top w:val="nil"/>
              <w:left w:val="nil"/>
              <w:bottom w:val="single" w:color="auto" w:sz="4" w:space="0"/>
              <w:right w:val="single" w:color="auto" w:sz="4" w:space="0"/>
            </w:tcBorders>
            <w:shd w:val="clear" w:color="auto" w:fill="auto"/>
            <w:vAlign w:val="center"/>
          </w:tcPr>
          <w:p w14:paraId="75D9812A">
            <w:pPr>
              <w:keepNext w:val="0"/>
              <w:keepLines w:val="0"/>
              <w:pageBreakBefore w:val="0"/>
              <w:widowControl/>
              <w:shd w:val="clear"/>
              <w:kinsoku/>
              <w:wordWrap/>
              <w:overflowPunct/>
              <w:topLinePunct w:val="0"/>
              <w:autoSpaceDE/>
              <w:autoSpaceDN/>
              <w:bidi w:val="0"/>
              <w:adjustRightInd/>
              <w:snapToGrid/>
              <w:spacing w:line="300" w:lineRule="exact"/>
              <w:ind w:left="0" w:leftChars="0" w:firstLine="0" w:firstLineChars="0"/>
              <w:jc w:val="center"/>
              <w:textAlignment w:val="auto"/>
              <w:rPr>
                <w:rFonts w:hint="eastAsia"/>
              </w:rPr>
            </w:pPr>
            <w:r>
              <w:rPr>
                <w:rFonts w:hint="eastAsia" w:ascii="宋体" w:hAnsi="宋体" w:eastAsia="宋体" w:cs="宋体"/>
                <w:b/>
                <w:bCs/>
                <w:kern w:val="0"/>
                <w:sz w:val="20"/>
                <w:szCs w:val="20"/>
                <w:highlight w:val="none"/>
              </w:rPr>
              <w:t>发球机</w:t>
            </w:r>
          </w:p>
        </w:tc>
        <w:tc>
          <w:tcPr>
            <w:tcW w:w="702" w:type="dxa"/>
            <w:tcBorders>
              <w:top w:val="nil"/>
              <w:left w:val="nil"/>
              <w:bottom w:val="single" w:color="auto" w:sz="4" w:space="0"/>
              <w:right w:val="single" w:color="auto" w:sz="4" w:space="0"/>
            </w:tcBorders>
            <w:shd w:val="clear" w:color="auto" w:fill="auto"/>
            <w:vAlign w:val="center"/>
          </w:tcPr>
          <w:p w14:paraId="6505E231">
            <w:pPr>
              <w:keepNext w:val="0"/>
              <w:keepLines w:val="0"/>
              <w:pageBreakBefore w:val="0"/>
              <w:widowControl/>
              <w:shd w:val="clea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台</w:t>
            </w:r>
          </w:p>
        </w:tc>
        <w:tc>
          <w:tcPr>
            <w:tcW w:w="727" w:type="dxa"/>
            <w:tcBorders>
              <w:top w:val="nil"/>
              <w:left w:val="nil"/>
              <w:bottom w:val="single" w:color="auto" w:sz="4" w:space="0"/>
              <w:right w:val="single" w:color="auto" w:sz="4" w:space="0"/>
            </w:tcBorders>
            <w:shd w:val="clear" w:color="auto" w:fill="auto"/>
            <w:noWrap/>
            <w:vAlign w:val="center"/>
          </w:tcPr>
          <w:p w14:paraId="4EF97E99">
            <w:pPr>
              <w:keepNext w:val="0"/>
              <w:keepLines w:val="0"/>
              <w:pageBreakBefore w:val="0"/>
              <w:widowControl/>
              <w:shd w:val="clea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w:t>
            </w:r>
          </w:p>
        </w:tc>
        <w:tc>
          <w:tcPr>
            <w:tcW w:w="11253" w:type="dxa"/>
            <w:tcBorders>
              <w:top w:val="nil"/>
              <w:left w:val="nil"/>
              <w:bottom w:val="single" w:color="auto" w:sz="4" w:space="0"/>
              <w:right w:val="single" w:color="auto" w:sz="4" w:space="0"/>
            </w:tcBorders>
            <w:shd w:val="clear" w:color="auto" w:fill="auto"/>
            <w:vAlign w:val="center"/>
          </w:tcPr>
          <w:p w14:paraId="700F93EE">
            <w:pPr>
              <w:keepNext w:val="0"/>
              <w:keepLines w:val="0"/>
              <w:pageBreakBefore w:val="0"/>
              <w:widowControl/>
              <w:shd w:val="clear"/>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0"/>
                <w:szCs w:val="20"/>
                <w:highlight w:val="green"/>
              </w:rPr>
            </w:pPr>
            <w:r>
              <w:rPr>
                <w:rFonts w:hint="eastAsia" w:ascii="宋体" w:hAnsi="宋体" w:eastAsia="宋体" w:cs="宋体"/>
                <w:color w:val="000000"/>
                <w:kern w:val="0"/>
                <w:sz w:val="20"/>
                <w:szCs w:val="20"/>
                <w:highlight w:val="none"/>
                <w:lang w:val="en-US" w:eastAsia="zh-CN"/>
              </w:rPr>
              <w:t>1.</w:t>
            </w:r>
            <w:r>
              <w:rPr>
                <w:rFonts w:hint="eastAsia" w:ascii="宋体" w:hAnsi="宋体" w:eastAsia="宋体" w:cs="宋体"/>
                <w:color w:val="000000"/>
                <w:kern w:val="0"/>
                <w:sz w:val="20"/>
                <w:szCs w:val="20"/>
                <w:highlight w:val="none"/>
              </w:rPr>
              <w:t>自编程乒乓发球机</w:t>
            </w:r>
          </w:p>
          <w:p w14:paraId="17E339F6">
            <w:pPr>
              <w:keepNext w:val="0"/>
              <w:keepLines w:val="0"/>
              <w:pageBreakBefore w:val="0"/>
              <w:widowControl/>
              <w:shd w:val="clear"/>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类型：可编程多功能</w:t>
            </w:r>
          </w:p>
          <w:p w14:paraId="587FC34C">
            <w:pPr>
              <w:keepNext w:val="0"/>
              <w:keepLines w:val="0"/>
              <w:pageBreakBefore w:val="0"/>
              <w:widowControl/>
              <w:shd w:val="clear"/>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总重量：26.5KG</w:t>
            </w:r>
          </w:p>
          <w:p w14:paraId="3F3D2544">
            <w:pPr>
              <w:keepNext w:val="0"/>
              <w:keepLines w:val="0"/>
              <w:pageBreakBefore w:val="0"/>
              <w:widowControl/>
              <w:shd w:val="clear"/>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净重量：15.2KG</w:t>
            </w:r>
          </w:p>
          <w:p w14:paraId="242B4470">
            <w:pPr>
              <w:keepNext w:val="0"/>
              <w:keepLines w:val="0"/>
              <w:pageBreakBefore w:val="0"/>
              <w:widowControl/>
              <w:shd w:val="clear"/>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包装体积：1160</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color w:val="000000"/>
                <w:kern w:val="0"/>
                <w:sz w:val="20"/>
                <w:szCs w:val="20"/>
              </w:rPr>
              <w:t>765</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color w:val="000000"/>
                <w:kern w:val="0"/>
                <w:sz w:val="20"/>
                <w:szCs w:val="20"/>
              </w:rPr>
              <w:t>500mm</w:t>
            </w:r>
          </w:p>
          <w:p w14:paraId="623A7CF5">
            <w:pPr>
              <w:keepNext w:val="0"/>
              <w:keepLines w:val="0"/>
              <w:pageBreakBefore w:val="0"/>
              <w:widowControl/>
              <w:shd w:val="clear"/>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主要参数:</w:t>
            </w:r>
          </w:p>
          <w:p w14:paraId="5D1CF2D8">
            <w:pPr>
              <w:keepNext w:val="0"/>
              <w:keepLines w:val="0"/>
              <w:pageBreakBefore w:val="0"/>
              <w:widowControl/>
              <w:shd w:val="clear"/>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出球旋转：九种不同旋转（上旋、下旋、不旋、左侧旋、右侧旋、左侧上旋、左侧下旋、右侧上旋、右侧下旋）</w:t>
            </w:r>
          </w:p>
          <w:p w14:paraId="4FF34968">
            <w:pPr>
              <w:keepNext w:val="0"/>
              <w:keepLines w:val="0"/>
              <w:pageBreakBefore w:val="0"/>
              <w:widowControl/>
              <w:shd w:val="clear"/>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出球频率：25-95球/分钟</w:t>
            </w:r>
          </w:p>
          <w:p w14:paraId="5702042C">
            <w:pPr>
              <w:keepNext w:val="0"/>
              <w:keepLines w:val="0"/>
              <w:pageBreakBefore w:val="0"/>
              <w:widowControl/>
              <w:shd w:val="clear"/>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出球速度：4-50米/秒</w:t>
            </w:r>
          </w:p>
          <w:p w14:paraId="56ABDAD8">
            <w:pPr>
              <w:keepNext w:val="0"/>
              <w:keepLines w:val="0"/>
              <w:pageBreakBefore w:val="0"/>
              <w:widowControl/>
              <w:shd w:val="clear"/>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出球角度：可调范围±40度</w:t>
            </w:r>
          </w:p>
          <w:p w14:paraId="7F3F0993">
            <w:pPr>
              <w:keepNext w:val="0"/>
              <w:keepLines w:val="0"/>
              <w:pageBreakBefore w:val="0"/>
              <w:widowControl/>
              <w:shd w:val="clear"/>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出球落点：定点及全台11点</w:t>
            </w:r>
          </w:p>
          <w:p w14:paraId="1FFA143B">
            <w:pPr>
              <w:keepNext w:val="0"/>
              <w:keepLines w:val="0"/>
              <w:pageBreakBefore w:val="0"/>
              <w:widowControl/>
              <w:shd w:val="clear"/>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功能:可编程加强款，可自由编程，增加了落点的自由选择，多达11种智能组合方案。功能更全面，满足学校，场馆，俱乐部等健身及专业训练需求。</w:t>
            </w:r>
          </w:p>
        </w:tc>
      </w:tr>
      <w:tr w14:paraId="169A7F62">
        <w:tblPrEx>
          <w:tblCellMar>
            <w:top w:w="0" w:type="dxa"/>
            <w:left w:w="108" w:type="dxa"/>
            <w:bottom w:w="0" w:type="dxa"/>
            <w:right w:w="108" w:type="dxa"/>
          </w:tblCellMar>
        </w:tblPrEx>
        <w:tc>
          <w:tcPr>
            <w:tcW w:w="695" w:type="dxa"/>
            <w:tcBorders>
              <w:top w:val="nil"/>
              <w:left w:val="single" w:color="auto" w:sz="8" w:space="0"/>
              <w:bottom w:val="single" w:color="auto" w:sz="4" w:space="0"/>
              <w:right w:val="single" w:color="auto" w:sz="4" w:space="0"/>
            </w:tcBorders>
            <w:shd w:val="clear" w:color="auto" w:fill="auto"/>
            <w:noWrap/>
            <w:vAlign w:val="center"/>
          </w:tcPr>
          <w:p w14:paraId="10C3B68E">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17</w:t>
            </w:r>
          </w:p>
        </w:tc>
        <w:tc>
          <w:tcPr>
            <w:tcW w:w="1719" w:type="dxa"/>
            <w:tcBorders>
              <w:top w:val="nil"/>
              <w:left w:val="nil"/>
              <w:bottom w:val="single" w:color="auto" w:sz="4" w:space="0"/>
              <w:right w:val="single" w:color="auto" w:sz="4" w:space="0"/>
            </w:tcBorders>
            <w:shd w:val="clear" w:color="auto" w:fill="auto"/>
            <w:vAlign w:val="center"/>
          </w:tcPr>
          <w:p w14:paraId="79059B86">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
                <w:bCs/>
                <w:kern w:val="0"/>
                <w:sz w:val="20"/>
                <w:szCs w:val="20"/>
              </w:rPr>
            </w:pPr>
            <w:r>
              <w:rPr>
                <w:rFonts w:hint="eastAsia" w:ascii="宋体" w:hAnsi="宋体" w:eastAsia="宋体" w:cs="宋体"/>
                <w:b/>
                <w:bCs/>
                <w:kern w:val="0"/>
                <w:sz w:val="20"/>
                <w:szCs w:val="20"/>
              </w:rPr>
              <w:t>钢排椅</w:t>
            </w:r>
          </w:p>
        </w:tc>
        <w:tc>
          <w:tcPr>
            <w:tcW w:w="702" w:type="dxa"/>
            <w:tcBorders>
              <w:top w:val="nil"/>
              <w:left w:val="nil"/>
              <w:bottom w:val="single" w:color="auto" w:sz="4" w:space="0"/>
              <w:right w:val="single" w:color="auto" w:sz="4" w:space="0"/>
            </w:tcBorders>
            <w:shd w:val="clear" w:color="auto" w:fill="auto"/>
            <w:vAlign w:val="center"/>
          </w:tcPr>
          <w:p w14:paraId="4FD53895">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组</w:t>
            </w:r>
          </w:p>
        </w:tc>
        <w:tc>
          <w:tcPr>
            <w:tcW w:w="727" w:type="dxa"/>
            <w:tcBorders>
              <w:top w:val="nil"/>
              <w:left w:val="nil"/>
              <w:bottom w:val="single" w:color="auto" w:sz="4" w:space="0"/>
              <w:right w:val="single" w:color="auto" w:sz="4" w:space="0"/>
            </w:tcBorders>
            <w:shd w:val="clear" w:color="auto" w:fill="auto"/>
            <w:noWrap/>
            <w:vAlign w:val="center"/>
          </w:tcPr>
          <w:p w14:paraId="7E40F9F4">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12</w:t>
            </w:r>
          </w:p>
        </w:tc>
        <w:tc>
          <w:tcPr>
            <w:tcW w:w="11253" w:type="dxa"/>
            <w:tcBorders>
              <w:top w:val="nil"/>
              <w:left w:val="nil"/>
              <w:bottom w:val="single" w:color="auto" w:sz="4" w:space="0"/>
              <w:right w:val="single" w:color="auto" w:sz="8" w:space="0"/>
            </w:tcBorders>
            <w:shd w:val="clear" w:color="auto" w:fill="auto"/>
            <w:vAlign w:val="center"/>
          </w:tcPr>
          <w:p w14:paraId="4768F0F7">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扶手、椅脚：采用非金属材料尼龙PA66加纤维GF经模具一体注塑成型，一体成色灰色饰面，无需喷涂，扶手设计为开放结构，不分左中右，满足在每个座位间隔安装扶手的要求。采用塑料模注塑成形成色，外形美观且坚固，永不生锈。椅脚底部增设调整支撑，既防滑耐磨，又能保证座椅适应不同的地面。</w:t>
            </w:r>
          </w:p>
          <w:p w14:paraId="4A55A060">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座背PU椅面材质：采用钢架焊接钢板和100%聚氨脂模具内一次成型。背PU厚度≥25mm，座PU厚度≥25mm，PU宽度达560mm，座背板PU组装连体板设计制作,椅背带V字形线条顶腰流线设计，既符合人体维度设计，又增加座椅的设计观感，坐感舒适，久坐不变形，颜色的搭配既增加环境的融合度，又耐脏耐用，确保座椅的使用寿命。PU座背内忖钢架焊接钢板工艺，材质为高强度钢架焊接穿孔钢板（钢板厚度不低于1.5mm），外部采用100%纯高密度聚氨酯（PU)全部包裹（即椅座和椅背造型上无外露钢架）模注成型，椅座及椅背内不填充其它物质。</w:t>
            </w:r>
          </w:p>
          <w:p w14:paraId="43D6D3AD">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承重横梁：采用高强度40*80的优质方管，厚度不低于1.8mm，具有超强的承重能力和稳定性，表面做静电喷粉喷涂处理。采用“卡”式结构，不需要在横梁上预埋螺母，表面无孔位，卡扣件为钢制压型铸件，宽度35mm，立面压型深度≥60mm，座椅支架及椅腿可在上面任一位置安装，表面与椅腿及支架完全咬合。横档两侧采用多边菱形设计封盖，增强座椅线条设计感，更为时尚优雅。</w:t>
            </w:r>
          </w:p>
          <w:p w14:paraId="3DCE3534">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整套安全性能好，结构稳定，五金部分皆由高品质部件组成，外皮和内芯层均由高密度聚氨酯PU材料通过模具一次发泡成型，具有良好的坐感，有良好的减震作用，不易使人（尤其是老人孕妇小孩）受伤。分子结构紧密，耐用耐磨，防水防菌易清洁。※备注：整个座位安装设计要求无螺丝外露，安全美观。</w:t>
            </w:r>
          </w:p>
        </w:tc>
      </w:tr>
      <w:tr w14:paraId="1BEBADF6">
        <w:tblPrEx>
          <w:tblCellMar>
            <w:top w:w="0" w:type="dxa"/>
            <w:left w:w="108" w:type="dxa"/>
            <w:bottom w:w="0" w:type="dxa"/>
            <w:right w:w="108" w:type="dxa"/>
          </w:tblCellMar>
        </w:tblPrEx>
        <w:trPr>
          <w:trHeight w:val="90" w:hRule="atLeast"/>
        </w:trPr>
        <w:tc>
          <w:tcPr>
            <w:tcW w:w="695" w:type="dxa"/>
            <w:tcBorders>
              <w:top w:val="nil"/>
              <w:left w:val="single" w:color="auto" w:sz="8" w:space="0"/>
              <w:bottom w:val="single" w:color="auto" w:sz="4" w:space="0"/>
              <w:right w:val="single" w:color="auto" w:sz="4" w:space="0"/>
            </w:tcBorders>
            <w:shd w:val="clear" w:color="auto" w:fill="auto"/>
            <w:noWrap/>
            <w:vAlign w:val="center"/>
          </w:tcPr>
          <w:p w14:paraId="1E0531D3">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18</w:t>
            </w:r>
          </w:p>
        </w:tc>
        <w:tc>
          <w:tcPr>
            <w:tcW w:w="1719" w:type="dxa"/>
            <w:tcBorders>
              <w:top w:val="nil"/>
              <w:left w:val="nil"/>
              <w:bottom w:val="single" w:color="auto" w:sz="4" w:space="0"/>
              <w:right w:val="single" w:color="auto" w:sz="4" w:space="0"/>
            </w:tcBorders>
            <w:shd w:val="clear" w:color="auto" w:fill="auto"/>
            <w:vAlign w:val="center"/>
          </w:tcPr>
          <w:p w14:paraId="58714BD1">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
                <w:bCs/>
                <w:kern w:val="0"/>
                <w:sz w:val="20"/>
                <w:szCs w:val="20"/>
              </w:rPr>
            </w:pPr>
            <w:r>
              <w:rPr>
                <w:rFonts w:hint="eastAsia" w:cs="宋体"/>
                <w:b/>
                <w:bCs/>
                <w:kern w:val="0"/>
                <w:sz w:val="20"/>
                <w:szCs w:val="20"/>
                <w:highlight w:val="none"/>
                <w:lang w:eastAsia="zh-CN"/>
              </w:rPr>
              <w:t>乒乓</w:t>
            </w:r>
            <w:r>
              <w:rPr>
                <w:rFonts w:hint="eastAsia" w:ascii="宋体" w:hAnsi="宋体" w:eastAsia="宋体" w:cs="宋体"/>
                <w:b/>
                <w:bCs/>
                <w:kern w:val="0"/>
                <w:sz w:val="20"/>
                <w:szCs w:val="20"/>
                <w:highlight w:val="none"/>
              </w:rPr>
              <w:t>拾球器</w:t>
            </w:r>
          </w:p>
        </w:tc>
        <w:tc>
          <w:tcPr>
            <w:tcW w:w="702" w:type="dxa"/>
            <w:tcBorders>
              <w:top w:val="nil"/>
              <w:left w:val="nil"/>
              <w:bottom w:val="single" w:color="auto" w:sz="4" w:space="0"/>
              <w:right w:val="single" w:color="auto" w:sz="4" w:space="0"/>
            </w:tcBorders>
            <w:shd w:val="clear" w:color="auto" w:fill="auto"/>
            <w:vAlign w:val="center"/>
          </w:tcPr>
          <w:p w14:paraId="7F00D023">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只</w:t>
            </w:r>
          </w:p>
        </w:tc>
        <w:tc>
          <w:tcPr>
            <w:tcW w:w="727" w:type="dxa"/>
            <w:tcBorders>
              <w:top w:val="nil"/>
              <w:left w:val="nil"/>
              <w:bottom w:val="single" w:color="auto" w:sz="4" w:space="0"/>
              <w:right w:val="single" w:color="auto" w:sz="4" w:space="0"/>
            </w:tcBorders>
            <w:shd w:val="clear" w:color="auto" w:fill="auto"/>
            <w:noWrap/>
            <w:vAlign w:val="center"/>
          </w:tcPr>
          <w:p w14:paraId="55249CD2">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10</w:t>
            </w:r>
          </w:p>
        </w:tc>
        <w:tc>
          <w:tcPr>
            <w:tcW w:w="11253" w:type="dxa"/>
            <w:tcBorders>
              <w:top w:val="nil"/>
              <w:left w:val="nil"/>
              <w:bottom w:val="single" w:color="auto" w:sz="4" w:space="0"/>
              <w:right w:val="single" w:color="auto" w:sz="8" w:space="0"/>
            </w:tcBorders>
            <w:shd w:val="clear" w:color="auto" w:fill="auto"/>
            <w:noWrap/>
            <w:vAlign w:val="center"/>
          </w:tcPr>
          <w:p w14:paraId="522D68E2">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1.总长123CM，铝合金支撑杆，三节伸缩杆</w:t>
            </w:r>
          </w:p>
          <w:p w14:paraId="65CE4412">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2.杆网分离设计。手柄贴合人机设计模式，防滑性能好，增大摩擦。网兜展开空间大，网架的波浪形态，收球平稳(网口处略有收缩)</w:t>
            </w:r>
          </w:p>
        </w:tc>
      </w:tr>
      <w:tr w14:paraId="09A892BB">
        <w:tblPrEx>
          <w:tblCellMar>
            <w:top w:w="0" w:type="dxa"/>
            <w:left w:w="108" w:type="dxa"/>
            <w:bottom w:w="0" w:type="dxa"/>
            <w:right w:w="108" w:type="dxa"/>
          </w:tblCellMar>
        </w:tblPrEx>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A868F0">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19</w:t>
            </w:r>
          </w:p>
        </w:tc>
        <w:tc>
          <w:tcPr>
            <w:tcW w:w="1719" w:type="dxa"/>
            <w:tcBorders>
              <w:top w:val="single" w:color="auto" w:sz="4" w:space="0"/>
              <w:left w:val="single" w:color="auto" w:sz="4" w:space="0"/>
              <w:bottom w:val="single" w:color="auto" w:sz="4" w:space="0"/>
              <w:right w:val="single" w:color="auto" w:sz="4" w:space="0"/>
            </w:tcBorders>
            <w:shd w:val="clear" w:color="auto" w:fill="auto"/>
            <w:vAlign w:val="center"/>
          </w:tcPr>
          <w:p w14:paraId="1A065E67">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
                <w:bCs/>
                <w:kern w:val="0"/>
                <w:sz w:val="20"/>
                <w:szCs w:val="20"/>
              </w:rPr>
            </w:pPr>
            <w:r>
              <w:rPr>
                <w:rFonts w:hint="eastAsia" w:ascii="宋体" w:hAnsi="宋体" w:eastAsia="宋体" w:cs="宋体"/>
                <w:b/>
                <w:bCs/>
                <w:kern w:val="0"/>
                <w:sz w:val="20"/>
                <w:szCs w:val="20"/>
              </w:rPr>
              <w:t>配重拆卸式</w:t>
            </w:r>
          </w:p>
          <w:p w14:paraId="0E3761FB">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
                <w:bCs/>
                <w:kern w:val="0"/>
                <w:sz w:val="20"/>
                <w:szCs w:val="20"/>
              </w:rPr>
            </w:pPr>
            <w:r>
              <w:rPr>
                <w:rFonts w:hint="eastAsia" w:ascii="宋体" w:hAnsi="宋体" w:eastAsia="宋体" w:cs="宋体"/>
                <w:b/>
                <w:bCs/>
                <w:kern w:val="0"/>
                <w:sz w:val="20"/>
                <w:szCs w:val="20"/>
              </w:rPr>
              <w:t>排球柱</w:t>
            </w:r>
          </w:p>
        </w:tc>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14:paraId="4E76901E">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rPr>
              <w:t>副</w:t>
            </w:r>
          </w:p>
        </w:tc>
        <w:tc>
          <w:tcPr>
            <w:tcW w:w="7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A4E794">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rPr>
              <w:t>2</w:t>
            </w:r>
          </w:p>
        </w:tc>
        <w:tc>
          <w:tcPr>
            <w:tcW w:w="112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3EFB80">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highlight w:val="none"/>
                <w:lang w:val="en-US" w:eastAsia="zh-CN"/>
              </w:rPr>
            </w:pPr>
            <w:r>
              <w:rPr>
                <w:rFonts w:hint="eastAsia" w:ascii="宋体" w:hAnsi="宋体" w:eastAsia="宋体" w:cs="宋体"/>
                <w:color w:val="000000"/>
                <w:kern w:val="0"/>
                <w:sz w:val="20"/>
                <w:szCs w:val="20"/>
                <w:highlight w:val="none"/>
                <w:lang w:val="en-US" w:eastAsia="zh-CN"/>
              </w:rPr>
              <w:t xml:space="preserve">1.适用场合：室内运动场 </w:t>
            </w:r>
          </w:p>
          <w:p w14:paraId="521A23B9">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highlight w:val="none"/>
                <w:lang w:val="en-US" w:eastAsia="zh-CN"/>
              </w:rPr>
            </w:pPr>
            <w:r>
              <w:rPr>
                <w:rFonts w:hint="eastAsia" w:ascii="宋体" w:hAnsi="宋体" w:eastAsia="宋体" w:cs="宋体"/>
                <w:color w:val="000000"/>
                <w:kern w:val="0"/>
                <w:sz w:val="20"/>
                <w:szCs w:val="20"/>
                <w:highlight w:val="none"/>
                <w:lang w:val="en-US" w:eastAsia="zh-CN"/>
              </w:rPr>
              <w:t xml:space="preserve">2.适用场地：适合两片场地之间尺寸≥4200mm </w:t>
            </w:r>
          </w:p>
          <w:p w14:paraId="1FBB757F">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highlight w:val="none"/>
                <w:lang w:val="en-US" w:eastAsia="zh-CN"/>
              </w:rPr>
            </w:pPr>
            <w:r>
              <w:rPr>
                <w:rFonts w:hint="eastAsia" w:ascii="宋体" w:hAnsi="宋体" w:eastAsia="宋体" w:cs="宋体"/>
                <w:color w:val="000000"/>
                <w:kern w:val="0"/>
                <w:sz w:val="20"/>
                <w:szCs w:val="20"/>
                <w:highlight w:val="none"/>
                <w:lang w:val="en-US" w:eastAsia="zh-CN"/>
              </w:rPr>
              <w:t xml:space="preserve">3.立柱材质: φ76×5 精拔管和φ65×5 精拔管 </w:t>
            </w:r>
          </w:p>
          <w:p w14:paraId="562BFE1F">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highlight w:val="none"/>
                <w:lang w:val="en-US" w:eastAsia="zh-CN"/>
              </w:rPr>
            </w:pPr>
            <w:r>
              <w:rPr>
                <w:rFonts w:hint="eastAsia" w:ascii="宋体" w:hAnsi="宋体" w:eastAsia="宋体" w:cs="宋体"/>
                <w:color w:val="000000"/>
                <w:kern w:val="0"/>
                <w:sz w:val="20"/>
                <w:szCs w:val="20"/>
                <w:highlight w:val="none"/>
                <w:lang w:val="en-US" w:eastAsia="zh-CN"/>
              </w:rPr>
              <w:t xml:space="preserve">4.调节装置：螺杆升降 </w:t>
            </w:r>
          </w:p>
          <w:p w14:paraId="011F099B">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highlight w:val="none"/>
                <w:lang w:val="en-US" w:eastAsia="zh-CN"/>
              </w:rPr>
            </w:pPr>
            <w:r>
              <w:rPr>
                <w:rFonts w:hint="eastAsia" w:ascii="宋体" w:hAnsi="宋体" w:eastAsia="宋体" w:cs="宋体"/>
                <w:color w:val="000000"/>
                <w:kern w:val="0"/>
                <w:sz w:val="20"/>
                <w:szCs w:val="20"/>
                <w:highlight w:val="none"/>
                <w:lang w:val="en-US" w:eastAsia="zh-CN"/>
              </w:rPr>
              <w:t xml:space="preserve">5.底座罩壳：高密度聚乙烯材料中空吹塑一次成型 </w:t>
            </w:r>
          </w:p>
          <w:p w14:paraId="0A912D3D">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lang w:val="en-US" w:eastAsia="zh-CN"/>
              </w:rPr>
              <w:t>6.配重块: 2 块铁配重和 6 块水泥配重，可拆卸</w:t>
            </w:r>
          </w:p>
        </w:tc>
      </w:tr>
      <w:tr w14:paraId="6CFC89AC">
        <w:tblPrEx>
          <w:tblCellMar>
            <w:top w:w="0" w:type="dxa"/>
            <w:left w:w="108" w:type="dxa"/>
            <w:bottom w:w="0" w:type="dxa"/>
            <w:right w:w="108" w:type="dxa"/>
          </w:tblCellMar>
        </w:tblPrEx>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77A16B">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w:t>
            </w:r>
          </w:p>
        </w:tc>
        <w:tc>
          <w:tcPr>
            <w:tcW w:w="1719" w:type="dxa"/>
            <w:tcBorders>
              <w:top w:val="single" w:color="auto" w:sz="4" w:space="0"/>
              <w:left w:val="single" w:color="auto" w:sz="4" w:space="0"/>
              <w:bottom w:val="single" w:color="auto" w:sz="4" w:space="0"/>
              <w:right w:val="single" w:color="auto" w:sz="4" w:space="0"/>
            </w:tcBorders>
            <w:shd w:val="clear" w:color="auto" w:fill="auto"/>
            <w:vAlign w:val="center"/>
          </w:tcPr>
          <w:p w14:paraId="02D8DC6C">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
                <w:bCs/>
                <w:kern w:val="0"/>
                <w:sz w:val="20"/>
                <w:szCs w:val="20"/>
              </w:rPr>
            </w:pPr>
            <w:r>
              <w:rPr>
                <w:rFonts w:hint="eastAsia" w:ascii="宋体" w:hAnsi="宋体" w:eastAsia="宋体" w:cs="宋体"/>
                <w:b/>
                <w:bCs/>
                <w:kern w:val="0"/>
                <w:sz w:val="20"/>
                <w:szCs w:val="20"/>
              </w:rPr>
              <w:t>配重式排球柱</w:t>
            </w:r>
          </w:p>
          <w:p w14:paraId="28F99C57">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
                <w:bCs/>
                <w:kern w:val="0"/>
                <w:sz w:val="20"/>
                <w:szCs w:val="20"/>
              </w:rPr>
            </w:pPr>
            <w:r>
              <w:rPr>
                <w:rFonts w:hint="eastAsia" w:ascii="宋体" w:hAnsi="宋体" w:eastAsia="宋体" w:cs="宋体"/>
                <w:b/>
                <w:bCs/>
                <w:kern w:val="0"/>
                <w:sz w:val="20"/>
                <w:szCs w:val="20"/>
              </w:rPr>
              <w:t>立柱护套</w:t>
            </w:r>
          </w:p>
        </w:tc>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14:paraId="3C9CFB5B">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rPr>
              <w:t>副</w:t>
            </w:r>
          </w:p>
        </w:tc>
        <w:tc>
          <w:tcPr>
            <w:tcW w:w="7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F9F226">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 w:val="0"/>
                <w:bCs w:val="0"/>
                <w:kern w:val="0"/>
                <w:sz w:val="20"/>
                <w:szCs w:val="20"/>
                <w:lang w:val="en-US" w:eastAsia="zh-CN"/>
              </w:rPr>
            </w:pPr>
            <w:r>
              <w:rPr>
                <w:rFonts w:hint="eastAsia" w:ascii="宋体" w:hAnsi="宋体" w:eastAsia="宋体" w:cs="宋体"/>
                <w:b w:val="0"/>
                <w:bCs w:val="0"/>
                <w:kern w:val="0"/>
                <w:sz w:val="20"/>
                <w:szCs w:val="20"/>
              </w:rPr>
              <w:t>2</w:t>
            </w:r>
          </w:p>
        </w:tc>
        <w:tc>
          <w:tcPr>
            <w:tcW w:w="112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C81D28">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highlight w:val="none"/>
              </w:rPr>
            </w:pPr>
            <w:r>
              <w:rPr>
                <w:rFonts w:hint="eastAsia" w:ascii="宋体" w:hAnsi="宋体" w:eastAsia="宋体" w:cs="宋体"/>
                <w:color w:val="000000"/>
                <w:kern w:val="0"/>
                <w:sz w:val="20"/>
                <w:szCs w:val="20"/>
                <w:highlight w:val="none"/>
              </w:rPr>
              <w:t>模压成型</w:t>
            </w:r>
          </w:p>
        </w:tc>
      </w:tr>
      <w:tr w14:paraId="62D27003">
        <w:tblPrEx>
          <w:tblCellMar>
            <w:top w:w="0" w:type="dxa"/>
            <w:left w:w="108" w:type="dxa"/>
            <w:bottom w:w="0" w:type="dxa"/>
            <w:right w:w="108" w:type="dxa"/>
          </w:tblCellMar>
        </w:tblPrEx>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0B58DD">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21</w:t>
            </w:r>
          </w:p>
        </w:tc>
        <w:tc>
          <w:tcPr>
            <w:tcW w:w="1719" w:type="dxa"/>
            <w:tcBorders>
              <w:top w:val="single" w:color="auto" w:sz="4" w:space="0"/>
              <w:left w:val="single" w:color="auto" w:sz="4" w:space="0"/>
              <w:bottom w:val="single" w:color="auto" w:sz="4" w:space="0"/>
              <w:right w:val="single" w:color="auto" w:sz="4" w:space="0"/>
            </w:tcBorders>
            <w:shd w:val="clear" w:color="auto" w:fill="auto"/>
            <w:vAlign w:val="center"/>
          </w:tcPr>
          <w:p w14:paraId="2204E2A2">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
                <w:bCs/>
                <w:kern w:val="0"/>
                <w:sz w:val="20"/>
                <w:szCs w:val="20"/>
              </w:rPr>
            </w:pPr>
            <w:r>
              <w:rPr>
                <w:rFonts w:hint="eastAsia" w:ascii="宋体" w:hAnsi="宋体" w:eastAsia="宋体" w:cs="宋体"/>
                <w:b/>
                <w:bCs/>
                <w:kern w:val="0"/>
                <w:sz w:val="20"/>
                <w:szCs w:val="20"/>
              </w:rPr>
              <w:t>高档排球网</w:t>
            </w:r>
          </w:p>
        </w:tc>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14:paraId="3EACDBD3">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条</w:t>
            </w:r>
          </w:p>
        </w:tc>
        <w:tc>
          <w:tcPr>
            <w:tcW w:w="7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8D92A2">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w:t>
            </w:r>
          </w:p>
        </w:tc>
        <w:tc>
          <w:tcPr>
            <w:tcW w:w="112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322763">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9.5×1 (m)</w:t>
            </w:r>
          </w:p>
          <w:p w14:paraId="16A00DC1">
            <w:pPr>
              <w:pStyle w:val="165"/>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kern w:val="2"/>
                <w:sz w:val="20"/>
                <w:szCs w:val="20"/>
                <w:highlight w:val="none"/>
                <w:lang w:val="en-US" w:eastAsia="zh-CN" w:bidi="ar-SA"/>
              </w:rPr>
            </w:pPr>
            <w:r>
              <w:rPr>
                <w:rFonts w:hint="eastAsia" w:ascii="宋体" w:hAnsi="宋体" w:eastAsia="宋体" w:cs="宋体"/>
                <w:color w:val="000000"/>
                <w:kern w:val="0"/>
                <w:sz w:val="20"/>
                <w:szCs w:val="20"/>
                <w:highlight w:val="none"/>
                <w:lang w:val="en-US" w:eastAsia="zh-CN"/>
              </w:rPr>
              <w:t>▲</w:t>
            </w:r>
            <w:r>
              <w:rPr>
                <w:rFonts w:hint="eastAsia" w:cs="宋体"/>
                <w:color w:val="000000"/>
                <w:kern w:val="0"/>
                <w:sz w:val="20"/>
                <w:szCs w:val="20"/>
                <w:highlight w:val="none"/>
                <w:lang w:val="en-US" w:eastAsia="zh-CN"/>
              </w:rPr>
              <w:t>产品通过国际排联（</w:t>
            </w:r>
            <w:r>
              <w:rPr>
                <w:rFonts w:hint="eastAsia" w:ascii="宋体" w:hAnsi="宋体" w:eastAsia="宋体" w:cs="宋体"/>
                <w:color w:val="000000"/>
                <w:kern w:val="0"/>
                <w:sz w:val="20"/>
                <w:szCs w:val="20"/>
                <w:highlight w:val="none"/>
              </w:rPr>
              <w:t>FIVB</w:t>
            </w:r>
            <w:r>
              <w:rPr>
                <w:rFonts w:hint="eastAsia" w:cs="宋体"/>
                <w:color w:val="000000"/>
                <w:kern w:val="0"/>
                <w:sz w:val="20"/>
                <w:szCs w:val="20"/>
                <w:highlight w:val="none"/>
                <w:lang w:eastAsia="zh-CN"/>
              </w:rPr>
              <w:t>）</w:t>
            </w:r>
            <w:r>
              <w:rPr>
                <w:rFonts w:hint="eastAsia" w:ascii="宋体" w:hAnsi="宋体" w:eastAsia="宋体" w:cs="宋体"/>
                <w:color w:val="000000"/>
                <w:kern w:val="0"/>
                <w:sz w:val="20"/>
                <w:szCs w:val="20"/>
                <w:highlight w:val="none"/>
              </w:rPr>
              <w:t>认证</w:t>
            </w:r>
          </w:p>
        </w:tc>
      </w:tr>
      <w:tr w14:paraId="3F63D1E3">
        <w:tblPrEx>
          <w:tblCellMar>
            <w:top w:w="0" w:type="dxa"/>
            <w:left w:w="108" w:type="dxa"/>
            <w:bottom w:w="0" w:type="dxa"/>
            <w:right w:w="108" w:type="dxa"/>
          </w:tblCellMar>
        </w:tblPrEx>
        <w:trPr>
          <w:trHeight w:val="3486" w:hRule="atLeast"/>
        </w:trPr>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5FCC8C">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22</w:t>
            </w:r>
          </w:p>
        </w:tc>
        <w:tc>
          <w:tcPr>
            <w:tcW w:w="1719" w:type="dxa"/>
            <w:tcBorders>
              <w:top w:val="single" w:color="auto" w:sz="4" w:space="0"/>
              <w:left w:val="single" w:color="auto" w:sz="4" w:space="0"/>
              <w:bottom w:val="single" w:color="auto" w:sz="4" w:space="0"/>
              <w:right w:val="single" w:color="auto" w:sz="4" w:space="0"/>
            </w:tcBorders>
            <w:shd w:val="clear" w:color="auto" w:fill="auto"/>
            <w:vAlign w:val="center"/>
          </w:tcPr>
          <w:p w14:paraId="778B5796">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
                <w:bCs/>
                <w:kern w:val="0"/>
                <w:sz w:val="20"/>
                <w:szCs w:val="20"/>
              </w:rPr>
            </w:pPr>
            <w:r>
              <w:rPr>
                <w:rFonts w:hint="eastAsia" w:ascii="宋体" w:hAnsi="宋体" w:eastAsia="宋体" w:cs="宋体"/>
                <w:b/>
                <w:bCs/>
                <w:kern w:val="0"/>
                <w:sz w:val="20"/>
                <w:szCs w:val="20"/>
              </w:rPr>
              <w:t>可调式排球</w:t>
            </w:r>
          </w:p>
          <w:p w14:paraId="7E888933">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
                <w:bCs/>
                <w:kern w:val="0"/>
                <w:sz w:val="20"/>
                <w:szCs w:val="20"/>
              </w:rPr>
            </w:pPr>
            <w:r>
              <w:rPr>
                <w:rFonts w:hint="eastAsia" w:ascii="宋体" w:hAnsi="宋体" w:eastAsia="宋体" w:cs="宋体"/>
                <w:b/>
                <w:bCs/>
                <w:kern w:val="0"/>
                <w:sz w:val="20"/>
                <w:szCs w:val="20"/>
              </w:rPr>
              <w:t>裁判椅</w:t>
            </w:r>
          </w:p>
        </w:tc>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14:paraId="5FB325CD">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张</w:t>
            </w:r>
          </w:p>
        </w:tc>
        <w:tc>
          <w:tcPr>
            <w:tcW w:w="7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5BEED1">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w:t>
            </w:r>
          </w:p>
        </w:tc>
        <w:tc>
          <w:tcPr>
            <w:tcW w:w="112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6BC13D">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r>
              <w:rPr>
                <w:rFonts w:hint="eastAsia" w:ascii="宋体" w:hAnsi="宋体" w:eastAsia="宋体" w:cs="宋体"/>
                <w:color w:val="000000"/>
                <w:kern w:val="0"/>
                <w:sz w:val="20"/>
                <w:szCs w:val="20"/>
                <w:highlight w:val="none"/>
                <w:lang w:val="en-US" w:eastAsia="zh-CN"/>
              </w:rPr>
              <w:t>.</w:t>
            </w:r>
            <w:r>
              <w:rPr>
                <w:rFonts w:hint="eastAsia" w:ascii="宋体" w:hAnsi="宋体" w:eastAsia="宋体" w:cs="宋体"/>
                <w:color w:val="000000"/>
                <w:kern w:val="0"/>
                <w:sz w:val="20"/>
                <w:szCs w:val="20"/>
                <w:highlight w:val="none"/>
              </w:rPr>
              <w:t>裁判椅主要由底座、升降立柱、升降平台、座椅、栏杆、爬梯和保护套等组成。</w:t>
            </w:r>
          </w:p>
          <w:p w14:paraId="42BBA51F">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w:t>
            </w:r>
            <w:r>
              <w:rPr>
                <w:rFonts w:hint="eastAsia" w:ascii="宋体" w:hAnsi="宋体" w:eastAsia="宋体" w:cs="宋体"/>
                <w:color w:val="000000"/>
                <w:kern w:val="0"/>
                <w:sz w:val="20"/>
                <w:szCs w:val="20"/>
                <w:highlight w:val="none"/>
                <w:lang w:val="en-US" w:eastAsia="zh-CN"/>
              </w:rPr>
              <w:t>.</w:t>
            </w:r>
            <w:r>
              <w:rPr>
                <w:rFonts w:hint="eastAsia" w:ascii="宋体" w:hAnsi="宋体" w:eastAsia="宋体" w:cs="宋体"/>
                <w:color w:val="000000"/>
                <w:kern w:val="0"/>
                <w:sz w:val="20"/>
                <w:szCs w:val="20"/>
                <w:highlight w:val="none"/>
              </w:rPr>
              <w:t>裁判椅底座采用方管和铁板拼焊组成，其后端设有走轮，移动方便。</w:t>
            </w:r>
          </w:p>
          <w:p w14:paraId="692E3EDA">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w:t>
            </w:r>
            <w:r>
              <w:rPr>
                <w:rFonts w:hint="eastAsia" w:ascii="宋体" w:hAnsi="宋体" w:eastAsia="宋体" w:cs="宋体"/>
                <w:color w:val="000000"/>
                <w:kern w:val="0"/>
                <w:sz w:val="20"/>
                <w:szCs w:val="20"/>
                <w:highlight w:val="none"/>
                <w:lang w:val="en-US" w:eastAsia="zh-CN"/>
              </w:rPr>
              <w:t>.</w:t>
            </w:r>
            <w:r>
              <w:rPr>
                <w:rFonts w:hint="eastAsia" w:ascii="宋体" w:hAnsi="宋体" w:eastAsia="宋体" w:cs="宋体"/>
                <w:color w:val="000000"/>
                <w:kern w:val="0"/>
                <w:sz w:val="20"/>
                <w:szCs w:val="20"/>
                <w:highlight w:val="none"/>
              </w:rPr>
              <w:t>裁判椅升降立柱由活动立柱和固定立柱，均采用特制铝合金型材制作，内部设有丝杠传动机构，配备专用手柄调节使活动立柱实现上下升降，从而带动座椅和平台上下升降。</w:t>
            </w:r>
          </w:p>
          <w:p w14:paraId="421611AE">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w:t>
            </w:r>
            <w:r>
              <w:rPr>
                <w:rFonts w:hint="eastAsia" w:ascii="宋体" w:hAnsi="宋体" w:eastAsia="宋体" w:cs="宋体"/>
                <w:color w:val="000000"/>
                <w:kern w:val="0"/>
                <w:sz w:val="20"/>
                <w:szCs w:val="20"/>
                <w:highlight w:val="none"/>
                <w:lang w:val="en-US" w:eastAsia="zh-CN"/>
              </w:rPr>
              <w:t>.</w:t>
            </w:r>
            <w:r>
              <w:rPr>
                <w:rFonts w:hint="eastAsia" w:ascii="宋体" w:hAnsi="宋体" w:eastAsia="宋体" w:cs="宋体"/>
                <w:color w:val="000000"/>
                <w:kern w:val="0"/>
                <w:sz w:val="20"/>
                <w:szCs w:val="20"/>
                <w:highlight w:val="none"/>
              </w:rPr>
              <w:t>裁判椅升降平台基本尺寸：长×宽=550×600（mm），平台升降高度调节范围为1200-1500mm, 扶手高度调节值：850、1000。平台表面铺设花纹板，可防滑。</w:t>
            </w:r>
          </w:p>
          <w:p w14:paraId="0BB8265B">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w:t>
            </w:r>
            <w:r>
              <w:rPr>
                <w:rFonts w:hint="eastAsia" w:ascii="宋体" w:hAnsi="宋体" w:eastAsia="宋体" w:cs="宋体"/>
                <w:color w:val="000000"/>
                <w:kern w:val="0"/>
                <w:sz w:val="20"/>
                <w:szCs w:val="20"/>
                <w:highlight w:val="none"/>
                <w:lang w:val="en-US" w:eastAsia="zh-CN"/>
              </w:rPr>
              <w:t>.</w:t>
            </w:r>
            <w:r>
              <w:rPr>
                <w:rFonts w:hint="eastAsia" w:ascii="宋体" w:hAnsi="宋体" w:eastAsia="宋体" w:cs="宋体"/>
                <w:color w:val="000000"/>
                <w:kern w:val="0"/>
                <w:sz w:val="20"/>
                <w:szCs w:val="20"/>
                <w:highlight w:val="none"/>
              </w:rPr>
              <w:t>裁判椅栏杆采用圆管制作，后侧设有爬梯，方便上下。</w:t>
            </w:r>
          </w:p>
          <w:p w14:paraId="5D4FBB58">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w:t>
            </w:r>
            <w:r>
              <w:rPr>
                <w:rFonts w:hint="eastAsia" w:ascii="宋体" w:hAnsi="宋体" w:eastAsia="宋体" w:cs="宋体"/>
                <w:color w:val="000000"/>
                <w:kern w:val="0"/>
                <w:sz w:val="20"/>
                <w:szCs w:val="20"/>
                <w:highlight w:val="none"/>
                <w:lang w:val="en-US" w:eastAsia="zh-CN"/>
              </w:rPr>
              <w:t>.</w:t>
            </w:r>
            <w:r>
              <w:rPr>
                <w:rFonts w:hint="eastAsia" w:ascii="宋体" w:hAnsi="宋体" w:eastAsia="宋体" w:cs="宋体"/>
                <w:color w:val="000000"/>
                <w:kern w:val="0"/>
                <w:sz w:val="20"/>
                <w:szCs w:val="20"/>
                <w:highlight w:val="none"/>
              </w:rPr>
              <w:t>裁判椅平台下方配有保护套，能够有效地保护运动员免受撞击</w:t>
            </w:r>
          </w:p>
          <w:p w14:paraId="2270064D">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含保护套</w:t>
            </w:r>
          </w:p>
          <w:p w14:paraId="3DA4A0DC">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平台调节高度：1.2-1.5(m)</w:t>
            </w:r>
          </w:p>
          <w:p w14:paraId="60990417">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highlight w:val="none"/>
              </w:rPr>
            </w:pPr>
            <w:r>
              <w:rPr>
                <w:rFonts w:hint="eastAsia" w:ascii="宋体" w:hAnsi="宋体" w:eastAsia="宋体" w:cs="宋体"/>
                <w:color w:val="000000"/>
                <w:kern w:val="0"/>
                <w:sz w:val="20"/>
                <w:szCs w:val="20"/>
                <w:highlight w:val="none"/>
                <w:lang w:val="en-US" w:eastAsia="zh-CN"/>
              </w:rPr>
              <w:t>▲</w:t>
            </w:r>
            <w:r>
              <w:rPr>
                <w:rFonts w:hint="eastAsia" w:cs="宋体"/>
                <w:color w:val="000000"/>
                <w:kern w:val="0"/>
                <w:sz w:val="20"/>
                <w:szCs w:val="20"/>
                <w:highlight w:val="none"/>
                <w:lang w:val="en-US" w:eastAsia="zh-CN"/>
              </w:rPr>
              <w:t>产品通过国际排联（</w:t>
            </w:r>
            <w:r>
              <w:rPr>
                <w:rFonts w:hint="eastAsia" w:ascii="宋体" w:hAnsi="宋体" w:eastAsia="宋体" w:cs="宋体"/>
                <w:color w:val="000000"/>
                <w:kern w:val="0"/>
                <w:sz w:val="20"/>
                <w:szCs w:val="20"/>
                <w:highlight w:val="none"/>
              </w:rPr>
              <w:t>FIVB</w:t>
            </w:r>
            <w:r>
              <w:rPr>
                <w:rFonts w:hint="eastAsia" w:cs="宋体"/>
                <w:color w:val="000000"/>
                <w:kern w:val="0"/>
                <w:sz w:val="20"/>
                <w:szCs w:val="20"/>
                <w:highlight w:val="none"/>
                <w:lang w:eastAsia="zh-CN"/>
              </w:rPr>
              <w:t>）</w:t>
            </w:r>
            <w:r>
              <w:rPr>
                <w:rFonts w:hint="eastAsia" w:ascii="宋体" w:hAnsi="宋体" w:eastAsia="宋体" w:cs="宋体"/>
                <w:color w:val="000000"/>
                <w:kern w:val="0"/>
                <w:sz w:val="20"/>
                <w:szCs w:val="20"/>
                <w:highlight w:val="none"/>
              </w:rPr>
              <w:t>认证</w:t>
            </w:r>
          </w:p>
        </w:tc>
      </w:tr>
      <w:tr w14:paraId="0D6BAC2B">
        <w:tblPrEx>
          <w:tblCellMar>
            <w:top w:w="0" w:type="dxa"/>
            <w:left w:w="108" w:type="dxa"/>
            <w:bottom w:w="0" w:type="dxa"/>
            <w:right w:w="108" w:type="dxa"/>
          </w:tblCellMar>
        </w:tblPrEx>
        <w:trPr>
          <w:trHeight w:val="1379" w:hRule="atLeast"/>
        </w:trPr>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7413FD">
            <w:pPr>
              <w:keepNext w:val="0"/>
              <w:keepLines w:val="0"/>
              <w:pageBreakBefore w:val="0"/>
              <w:widowControl/>
              <w:shd w:val="clea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23</w:t>
            </w:r>
          </w:p>
        </w:tc>
        <w:tc>
          <w:tcPr>
            <w:tcW w:w="1719" w:type="dxa"/>
            <w:tcBorders>
              <w:top w:val="single" w:color="auto" w:sz="4" w:space="0"/>
              <w:left w:val="single" w:color="auto" w:sz="4" w:space="0"/>
              <w:bottom w:val="single" w:color="auto" w:sz="4" w:space="0"/>
              <w:right w:val="single" w:color="auto" w:sz="4" w:space="0"/>
            </w:tcBorders>
            <w:shd w:val="clear" w:color="auto" w:fill="auto"/>
            <w:vAlign w:val="center"/>
          </w:tcPr>
          <w:p w14:paraId="55D28385">
            <w:pPr>
              <w:keepNext w:val="0"/>
              <w:keepLines w:val="0"/>
              <w:pageBreakBefore w:val="0"/>
              <w:widowControl/>
              <w:shd w:val="clea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bCs/>
                <w:kern w:val="0"/>
                <w:sz w:val="20"/>
                <w:szCs w:val="20"/>
              </w:rPr>
            </w:pPr>
            <w:r>
              <w:rPr>
                <w:rFonts w:hint="eastAsia" w:ascii="宋体" w:hAnsi="宋体" w:eastAsia="宋体" w:cs="宋体"/>
                <w:b/>
                <w:bCs/>
                <w:kern w:val="0"/>
                <w:sz w:val="20"/>
                <w:szCs w:val="20"/>
              </w:rPr>
              <w:t>排球标志杆</w:t>
            </w:r>
          </w:p>
        </w:tc>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14:paraId="26F5F48B">
            <w:pPr>
              <w:keepNext w:val="0"/>
              <w:keepLines w:val="0"/>
              <w:pageBreakBefore w:val="0"/>
              <w:widowControl/>
              <w:shd w:val="clea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套</w:t>
            </w:r>
          </w:p>
        </w:tc>
        <w:tc>
          <w:tcPr>
            <w:tcW w:w="7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B2FC32">
            <w:pPr>
              <w:keepNext w:val="0"/>
              <w:keepLines w:val="0"/>
              <w:pageBreakBefore w:val="0"/>
              <w:widowControl/>
              <w:shd w:val="clea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w:t>
            </w:r>
          </w:p>
        </w:tc>
        <w:tc>
          <w:tcPr>
            <w:tcW w:w="112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0F0907">
            <w:pPr>
              <w:keepNext w:val="0"/>
              <w:keepLines w:val="0"/>
              <w:pageBreakBefore w:val="0"/>
              <w:widowControl/>
              <w:shd w:val="clear"/>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r>
              <w:rPr>
                <w:rFonts w:hint="eastAsia" w:ascii="宋体" w:hAnsi="宋体" w:eastAsia="宋体" w:cs="宋体"/>
                <w:color w:val="000000"/>
                <w:kern w:val="0"/>
                <w:sz w:val="20"/>
                <w:szCs w:val="20"/>
                <w:highlight w:val="none"/>
                <w:lang w:val="en-US" w:eastAsia="zh-CN"/>
              </w:rPr>
              <w:t>.</w:t>
            </w:r>
            <w:r>
              <w:rPr>
                <w:rFonts w:hint="eastAsia" w:ascii="宋体" w:hAnsi="宋体" w:eastAsia="宋体" w:cs="宋体"/>
                <w:color w:val="000000"/>
                <w:kern w:val="0"/>
                <w:sz w:val="20"/>
                <w:szCs w:val="20"/>
                <w:highlight w:val="none"/>
              </w:rPr>
              <w:t>排球标志杆规格：直径φ10mm，长1800mm；</w:t>
            </w:r>
          </w:p>
          <w:p w14:paraId="78E112FE">
            <w:pPr>
              <w:keepNext w:val="0"/>
              <w:keepLines w:val="0"/>
              <w:pageBreakBefore w:val="0"/>
              <w:widowControl/>
              <w:shd w:val="clear"/>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w:t>
            </w:r>
            <w:r>
              <w:rPr>
                <w:rFonts w:hint="eastAsia" w:ascii="宋体" w:hAnsi="宋体" w:eastAsia="宋体" w:cs="宋体"/>
                <w:color w:val="000000"/>
                <w:kern w:val="0"/>
                <w:sz w:val="20"/>
                <w:szCs w:val="20"/>
                <w:highlight w:val="none"/>
                <w:lang w:val="en-US" w:eastAsia="zh-CN"/>
              </w:rPr>
              <w:t>.</w:t>
            </w:r>
            <w:r>
              <w:rPr>
                <w:rFonts w:hint="eastAsia" w:ascii="宋体" w:hAnsi="宋体" w:eastAsia="宋体" w:cs="宋体"/>
                <w:color w:val="000000"/>
                <w:kern w:val="0"/>
                <w:sz w:val="20"/>
                <w:szCs w:val="20"/>
                <w:highlight w:val="none"/>
              </w:rPr>
              <w:t>标志杆上设有上下固定件，上部固定件处设有限位机构，方便挂于球网上沿包边处，下部固定件处设有锁紧机构和固定把手，便于将球网下沿包边卡紧锁牢。</w:t>
            </w:r>
          </w:p>
          <w:p w14:paraId="03E4CE8E">
            <w:pPr>
              <w:keepNext w:val="0"/>
              <w:keepLines w:val="0"/>
              <w:pageBreakBefore w:val="0"/>
              <w:widowControl/>
              <w:shd w:val="clear"/>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lang w:val="en-US" w:eastAsia="zh-CN"/>
              </w:rPr>
              <w:t>▲</w:t>
            </w:r>
            <w:r>
              <w:rPr>
                <w:rFonts w:hint="eastAsia" w:cs="宋体"/>
                <w:color w:val="000000"/>
                <w:kern w:val="0"/>
                <w:sz w:val="20"/>
                <w:szCs w:val="20"/>
                <w:highlight w:val="none"/>
                <w:lang w:val="en-US" w:eastAsia="zh-CN"/>
              </w:rPr>
              <w:t>产品通过国际排联（</w:t>
            </w:r>
            <w:r>
              <w:rPr>
                <w:rFonts w:hint="eastAsia" w:ascii="宋体" w:hAnsi="宋体" w:eastAsia="宋体" w:cs="宋体"/>
                <w:color w:val="000000"/>
                <w:kern w:val="0"/>
                <w:sz w:val="20"/>
                <w:szCs w:val="20"/>
                <w:highlight w:val="none"/>
              </w:rPr>
              <w:t>FIVB</w:t>
            </w:r>
            <w:r>
              <w:rPr>
                <w:rFonts w:hint="eastAsia" w:cs="宋体"/>
                <w:color w:val="000000"/>
                <w:kern w:val="0"/>
                <w:sz w:val="20"/>
                <w:szCs w:val="20"/>
                <w:highlight w:val="none"/>
                <w:lang w:eastAsia="zh-CN"/>
              </w:rPr>
              <w:t>）</w:t>
            </w:r>
            <w:r>
              <w:rPr>
                <w:rFonts w:hint="eastAsia" w:ascii="宋体" w:hAnsi="宋体" w:eastAsia="宋体" w:cs="宋体"/>
                <w:color w:val="000000"/>
                <w:kern w:val="0"/>
                <w:sz w:val="20"/>
                <w:szCs w:val="20"/>
                <w:highlight w:val="none"/>
              </w:rPr>
              <w:t>认证</w:t>
            </w:r>
          </w:p>
        </w:tc>
      </w:tr>
      <w:tr w14:paraId="14AEF3BF">
        <w:tblPrEx>
          <w:tblCellMar>
            <w:top w:w="0" w:type="dxa"/>
            <w:left w:w="108" w:type="dxa"/>
            <w:bottom w:w="0" w:type="dxa"/>
            <w:right w:w="108" w:type="dxa"/>
          </w:tblCellMar>
        </w:tblPrEx>
        <w:trPr>
          <w:trHeight w:val="3592" w:hRule="atLeast"/>
        </w:trPr>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B557B6">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24</w:t>
            </w:r>
          </w:p>
        </w:tc>
        <w:tc>
          <w:tcPr>
            <w:tcW w:w="1719" w:type="dxa"/>
            <w:tcBorders>
              <w:top w:val="single" w:color="auto" w:sz="4" w:space="0"/>
              <w:left w:val="single" w:color="auto" w:sz="4" w:space="0"/>
              <w:bottom w:val="single" w:color="auto" w:sz="4" w:space="0"/>
              <w:right w:val="single" w:color="auto" w:sz="4" w:space="0"/>
            </w:tcBorders>
            <w:shd w:val="clear" w:color="auto" w:fill="auto"/>
            <w:vAlign w:val="center"/>
          </w:tcPr>
          <w:p w14:paraId="16CD59CC">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
                <w:bCs/>
                <w:kern w:val="0"/>
                <w:sz w:val="20"/>
                <w:szCs w:val="20"/>
              </w:rPr>
            </w:pPr>
            <w:r>
              <w:rPr>
                <w:rFonts w:hint="eastAsia" w:ascii="宋体" w:hAnsi="宋体" w:eastAsia="宋体" w:cs="宋体"/>
                <w:b/>
                <w:bCs/>
                <w:kern w:val="0"/>
                <w:sz w:val="20"/>
                <w:szCs w:val="20"/>
              </w:rPr>
              <w:t>气排球移动网架</w:t>
            </w:r>
          </w:p>
        </w:tc>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14:paraId="4412F353">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副</w:t>
            </w:r>
          </w:p>
        </w:tc>
        <w:tc>
          <w:tcPr>
            <w:tcW w:w="7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2FDA2D">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w:t>
            </w:r>
          </w:p>
        </w:tc>
        <w:tc>
          <w:tcPr>
            <w:tcW w:w="112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5F756C">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附裁判椅 (含网、无需钢丝 绳) ，底座带走轮、摇手柄 升降，钢管立柱，立柱升降</w:t>
            </w:r>
            <w:r>
              <w:rPr>
                <w:rFonts w:hint="eastAsia" w:cs="宋体"/>
                <w:color w:val="000000"/>
                <w:kern w:val="0"/>
                <w:sz w:val="20"/>
                <w:szCs w:val="20"/>
                <w:lang w:eastAsia="zh-CN"/>
              </w:rPr>
              <w:t>，</w:t>
            </w:r>
            <w:r>
              <w:rPr>
                <w:rFonts w:hint="eastAsia" w:ascii="宋体" w:hAnsi="宋体" w:eastAsia="宋体" w:cs="宋体"/>
                <w:color w:val="000000"/>
                <w:kern w:val="0"/>
                <w:sz w:val="20"/>
                <w:szCs w:val="20"/>
              </w:rPr>
              <w:t>调节范围：1.8-2.2m</w:t>
            </w:r>
          </w:p>
          <w:p w14:paraId="0679EF0A">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(小推车另配)</w:t>
            </w:r>
          </w:p>
          <w:p w14:paraId="5342673E">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1.排球柱由内外立柱，高度调节销和紧线机构组成。</w:t>
            </w:r>
          </w:p>
          <w:p w14:paraId="59321D62">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2.排球柱外立柱选用φ89×3.75优质焊管，内立柱选用φ70异型管材</w:t>
            </w:r>
          </w:p>
          <w:p w14:paraId="70BBB1E4">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制作，通过高度调节销使内立柱上下移动，实现网高调节高度：1800mm-2200mm。</w:t>
            </w:r>
          </w:p>
          <w:p w14:paraId="2CC22738">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3.二外立柱中，一立柱上置有网钩，另一立柱上置有棘爪紧线锁紧机构，通过调节锁紧手柄，调节钢丝绳的松紧，实现网的高度要求。</w:t>
            </w:r>
          </w:p>
          <w:p w14:paraId="2038E53A">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排球柱外立柱底部设有40㎜厚特制缓冲垫，与预埋件相配时起缓冲作用，能有效延长预埋件及立柱的使用寿命，立柱上部设有特制封套，能防止高度调节时内立柱外管与外立柱内管摩擦而引起漆膜脱落，从而影响整体美观。</w:t>
            </w:r>
          </w:p>
          <w:p w14:paraId="01CC9363">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5.排球柱底座配重箱均采用模具冲压成形，单只配置水泥配重175kg，上罩装饰盖，造型美观。</w:t>
            </w:r>
          </w:p>
          <w:p w14:paraId="6FE1E2D2">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6.排球柱底座设有拉手，方便提起球柱底座，以便移动。</w:t>
            </w:r>
          </w:p>
        </w:tc>
      </w:tr>
      <w:tr w14:paraId="59DAD623">
        <w:tblPrEx>
          <w:tblCellMar>
            <w:top w:w="0" w:type="dxa"/>
            <w:left w:w="108" w:type="dxa"/>
            <w:bottom w:w="0" w:type="dxa"/>
            <w:right w:w="108" w:type="dxa"/>
          </w:tblCellMar>
        </w:tblPrEx>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93B811">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25</w:t>
            </w:r>
          </w:p>
        </w:tc>
        <w:tc>
          <w:tcPr>
            <w:tcW w:w="1719" w:type="dxa"/>
            <w:tcBorders>
              <w:top w:val="single" w:color="auto" w:sz="4" w:space="0"/>
              <w:left w:val="single" w:color="auto" w:sz="4" w:space="0"/>
              <w:bottom w:val="single" w:color="auto" w:sz="4" w:space="0"/>
              <w:right w:val="single" w:color="auto" w:sz="4" w:space="0"/>
            </w:tcBorders>
            <w:shd w:val="clear" w:color="auto" w:fill="auto"/>
            <w:vAlign w:val="center"/>
          </w:tcPr>
          <w:p w14:paraId="441FECD0">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
                <w:bCs/>
                <w:kern w:val="0"/>
                <w:sz w:val="20"/>
                <w:szCs w:val="20"/>
              </w:rPr>
            </w:pPr>
            <w:r>
              <w:rPr>
                <w:rFonts w:hint="eastAsia" w:ascii="宋体" w:hAnsi="宋体" w:eastAsia="宋体" w:cs="宋体"/>
                <w:b/>
                <w:bCs/>
                <w:kern w:val="0"/>
                <w:sz w:val="20"/>
                <w:szCs w:val="20"/>
              </w:rPr>
              <w:t>排球备球架</w:t>
            </w:r>
          </w:p>
        </w:tc>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14:paraId="3816BBA2">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台</w:t>
            </w:r>
          </w:p>
        </w:tc>
        <w:tc>
          <w:tcPr>
            <w:tcW w:w="7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227D92">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w:t>
            </w:r>
          </w:p>
        </w:tc>
        <w:tc>
          <w:tcPr>
            <w:tcW w:w="112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8DB0D7">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1.排球备球架一台可放置排球6只。</w:t>
            </w:r>
          </w:p>
          <w:p w14:paraId="55DA443B">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2.排球备球架采用Ф159</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color w:val="000000"/>
                <w:kern w:val="0"/>
                <w:sz w:val="20"/>
                <w:szCs w:val="20"/>
              </w:rPr>
              <w:t>4焊管,Ф60</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color w:val="000000"/>
                <w:kern w:val="0"/>
                <w:sz w:val="20"/>
                <w:szCs w:val="20"/>
              </w:rPr>
              <w:t xml:space="preserve">3焊管, </w:t>
            </w:r>
            <w:r>
              <w:rPr>
                <w:rFonts w:hint="eastAsia" w:ascii="宋体" w:hAnsi="宋体" w:eastAsia="宋体" w:cs="宋体"/>
                <w:color w:val="000000"/>
                <w:kern w:val="0"/>
                <w:sz w:val="20"/>
                <w:szCs w:val="20"/>
                <w:highlight w:val="none"/>
              </w:rPr>
              <w:t>90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color w:val="000000"/>
                <w:kern w:val="0"/>
                <w:sz w:val="20"/>
                <w:szCs w:val="20"/>
                <w:highlight w:val="none"/>
              </w:rPr>
              <w:t>30</w:t>
            </w:r>
            <w:r>
              <w:rPr>
                <w:rFonts w:hint="eastAsia" w:cs="宋体"/>
                <w:color w:val="000000"/>
                <w:kern w:val="0"/>
                <w:sz w:val="20"/>
                <w:szCs w:val="20"/>
                <w:highlight w:val="none"/>
                <w:lang w:val="en-US" w:eastAsia="zh-CN"/>
              </w:rPr>
              <w:t>mm</w:t>
            </w:r>
            <w:r>
              <w:rPr>
                <w:rFonts w:hint="eastAsia" w:ascii="宋体" w:hAnsi="宋体" w:eastAsia="宋体" w:cs="宋体"/>
                <w:color w:val="000000"/>
                <w:kern w:val="0"/>
                <w:sz w:val="20"/>
                <w:szCs w:val="20"/>
              </w:rPr>
              <w:t>椭圆管拼焊制作而成，外形精致美观，小巧玲珑。</w:t>
            </w:r>
          </w:p>
          <w:p w14:paraId="65816E82">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3.排球备球架配有滚轮，移动方便。</w:t>
            </w:r>
          </w:p>
        </w:tc>
      </w:tr>
      <w:tr w14:paraId="331E44EA">
        <w:tblPrEx>
          <w:tblCellMar>
            <w:top w:w="0" w:type="dxa"/>
            <w:left w:w="108" w:type="dxa"/>
            <w:bottom w:w="0" w:type="dxa"/>
            <w:right w:w="108" w:type="dxa"/>
          </w:tblCellMar>
        </w:tblPrEx>
        <w:trPr>
          <w:trHeight w:val="363" w:hRule="atLeast"/>
        </w:trPr>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80F1E6">
            <w:pPr>
              <w:keepNext w:val="0"/>
              <w:keepLines w:val="0"/>
              <w:pageBreakBefore w:val="0"/>
              <w:widowControl/>
              <w:shd w:val="clea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26</w:t>
            </w:r>
          </w:p>
        </w:tc>
        <w:tc>
          <w:tcPr>
            <w:tcW w:w="1719" w:type="dxa"/>
            <w:tcBorders>
              <w:top w:val="single" w:color="auto" w:sz="4" w:space="0"/>
              <w:left w:val="single" w:color="auto" w:sz="4" w:space="0"/>
              <w:bottom w:val="single" w:color="auto" w:sz="4" w:space="0"/>
              <w:right w:val="single" w:color="auto" w:sz="4" w:space="0"/>
            </w:tcBorders>
            <w:shd w:val="clear" w:color="auto" w:fill="auto"/>
            <w:vAlign w:val="center"/>
          </w:tcPr>
          <w:p w14:paraId="5A1112FE">
            <w:pPr>
              <w:keepNext w:val="0"/>
              <w:keepLines w:val="0"/>
              <w:pageBreakBefore w:val="0"/>
              <w:widowControl/>
              <w:shd w:val="clea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kern w:val="0"/>
                <w:sz w:val="20"/>
                <w:szCs w:val="20"/>
              </w:rPr>
            </w:pPr>
            <w:r>
              <w:rPr>
                <w:rFonts w:hint="eastAsia" w:ascii="宋体" w:hAnsi="宋体" w:eastAsia="宋体" w:cs="宋体"/>
                <w:b/>
                <w:bCs/>
                <w:kern w:val="0"/>
                <w:sz w:val="20"/>
                <w:szCs w:val="20"/>
              </w:rPr>
              <w:t>钢排椅</w:t>
            </w:r>
          </w:p>
        </w:tc>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14:paraId="1481720E">
            <w:pPr>
              <w:keepNext w:val="0"/>
              <w:keepLines w:val="0"/>
              <w:pageBreakBefore w:val="0"/>
              <w:widowControl/>
              <w:shd w:val="clea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座</w:t>
            </w:r>
          </w:p>
        </w:tc>
        <w:tc>
          <w:tcPr>
            <w:tcW w:w="7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D3314E">
            <w:pPr>
              <w:keepNext w:val="0"/>
              <w:keepLines w:val="0"/>
              <w:pageBreakBefore w:val="0"/>
              <w:widowControl/>
              <w:shd w:val="clea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12</w:t>
            </w:r>
          </w:p>
        </w:tc>
        <w:tc>
          <w:tcPr>
            <w:tcW w:w="112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840750">
            <w:pPr>
              <w:keepNext w:val="0"/>
              <w:keepLines w:val="0"/>
              <w:pageBreakBefore w:val="0"/>
              <w:widowControl/>
              <w:shd w:val="clear"/>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cs="宋体"/>
                <w:color w:val="000000"/>
                <w:kern w:val="0"/>
                <w:sz w:val="20"/>
                <w:szCs w:val="20"/>
                <w:lang w:val="en-US" w:eastAsia="zh-CN"/>
              </w:rPr>
              <w:t>1.</w:t>
            </w:r>
            <w:r>
              <w:rPr>
                <w:rFonts w:hint="eastAsia" w:ascii="宋体" w:hAnsi="宋体" w:eastAsia="宋体" w:cs="宋体"/>
                <w:color w:val="000000"/>
                <w:kern w:val="0"/>
                <w:sz w:val="20"/>
                <w:szCs w:val="20"/>
              </w:rPr>
              <w:t>扶手、椅脚：采用非金属材料</w:t>
            </w:r>
            <w:r>
              <w:rPr>
                <w:rFonts w:hint="eastAsia" w:ascii="宋体" w:hAnsi="宋体" w:eastAsia="宋体" w:cs="宋体"/>
                <w:color w:val="000000"/>
                <w:kern w:val="0"/>
                <w:sz w:val="20"/>
                <w:szCs w:val="20"/>
                <w:highlight w:val="none"/>
                <w:shd w:val="clear"/>
              </w:rPr>
              <w:t>尼龙PA66加纤维GF经模具一体注塑成型</w:t>
            </w:r>
            <w:r>
              <w:rPr>
                <w:rFonts w:hint="eastAsia" w:ascii="宋体" w:hAnsi="宋体" w:eastAsia="宋体" w:cs="宋体"/>
                <w:color w:val="000000"/>
                <w:kern w:val="0"/>
                <w:sz w:val="20"/>
                <w:szCs w:val="20"/>
              </w:rPr>
              <w:t>，一体成色灰色饰面，无需喷涂，扶手设计为开放结构，不分左中右，满足在每个座位间隔安装扶手的要求。采用塑料模注塑成形成色，外形美观且坚固，永不生锈。椅脚底部增设调整支撑，既防滑耐磨，又能保证座椅适应不同的地面。</w:t>
            </w:r>
          </w:p>
          <w:p w14:paraId="0C843953">
            <w:pPr>
              <w:keepNext w:val="0"/>
              <w:keepLines w:val="0"/>
              <w:pageBreakBefore w:val="0"/>
              <w:widowControl/>
              <w:shd w:val="clear"/>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座背PU椅面材质：采用钢架焊接钢板和100%聚氨脂模具内一次成型。背PU厚度≥25mm，座PU厚度≥25mm，PU宽度达560mm，座背板PU组装连体板设计制作,椅背带V字形线条顶腰流线设计，既符合人体维度设计，又增加座椅的设计观感，坐感舒适，久坐不变形，颜色的搭配既增加环境的融合度，又耐脏耐用，确保座椅的使用寿命。PU座背内忖钢架焊接钢板工艺，材质为高强度钢架焊接穿孔钢板（钢板厚度不低于1.5mm），外部采用100%纯高密度聚氨酯（PU)全部包裹（即椅座和椅背造型上无外露钢架）模注成型，椅座及椅背内不填充其它物质。</w:t>
            </w:r>
          </w:p>
          <w:p w14:paraId="4F6178BB">
            <w:pPr>
              <w:keepNext w:val="0"/>
              <w:keepLines w:val="0"/>
              <w:pageBreakBefore w:val="0"/>
              <w:widowControl/>
              <w:shd w:val="clear"/>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3.承重横梁：采用高强度</w:t>
            </w:r>
            <w:r>
              <w:rPr>
                <w:rFonts w:hint="eastAsia" w:ascii="宋体" w:hAnsi="宋体" w:eastAsia="宋体" w:cs="宋体"/>
                <w:color w:val="000000"/>
                <w:kern w:val="0"/>
                <w:sz w:val="20"/>
                <w:szCs w:val="20"/>
                <w:highlight w:val="none"/>
              </w:rPr>
              <w:t>40*80</w:t>
            </w:r>
            <w:r>
              <w:rPr>
                <w:rFonts w:hint="eastAsia" w:cs="宋体"/>
                <w:color w:val="000000"/>
                <w:kern w:val="0"/>
                <w:sz w:val="20"/>
                <w:szCs w:val="20"/>
                <w:highlight w:val="none"/>
                <w:lang w:val="en-US" w:eastAsia="zh-CN"/>
              </w:rPr>
              <w:t>mm</w:t>
            </w:r>
            <w:r>
              <w:rPr>
                <w:rFonts w:hint="eastAsia" w:ascii="宋体" w:hAnsi="宋体" w:eastAsia="宋体" w:cs="宋体"/>
                <w:color w:val="000000"/>
                <w:kern w:val="0"/>
                <w:sz w:val="20"/>
                <w:szCs w:val="20"/>
              </w:rPr>
              <w:t>的优质方管，厚度不低于1.8mm，具有超强的承重能力和稳定性，表面做静电喷粉喷涂处理。采用“卡”式结构，不需要在横梁上预埋螺母，表面无孔位，卡扣件为钢制压型铸件，宽度35mm，立面压型深度≥60mm，座椅支架及椅腿可在上面任一位置安装，表面与椅腿及支架完全咬合。横档两侧采用多边菱形设计封盖，增强座椅线条设计感，更为时尚优雅。</w:t>
            </w:r>
          </w:p>
          <w:p w14:paraId="11D98194">
            <w:pPr>
              <w:keepNext w:val="0"/>
              <w:keepLines w:val="0"/>
              <w:pageBreakBefore w:val="0"/>
              <w:widowControl/>
              <w:shd w:val="clear"/>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整套安全性能好，结构稳定，五金部分皆由高品质部件组成，外皮和内芯层均由高密度聚氨酯PU材料通过模具一次发泡成型，具有良好的坐感，有良好的减震作用，不易使人（尤其是老人孕妇小孩）受伤。分子结构紧密，耐用耐磨，防水防菌易清洁。※备注：整个座位安装设计要求无螺丝外露，安全美观。</w:t>
            </w:r>
          </w:p>
        </w:tc>
      </w:tr>
      <w:tr w14:paraId="0848485B">
        <w:tblPrEx>
          <w:tblCellMar>
            <w:top w:w="0" w:type="dxa"/>
            <w:left w:w="108" w:type="dxa"/>
            <w:bottom w:w="0" w:type="dxa"/>
            <w:right w:w="108" w:type="dxa"/>
          </w:tblCellMar>
        </w:tblPrEx>
        <w:trPr>
          <w:trHeight w:val="676" w:hRule="atLeast"/>
        </w:trPr>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BD794F">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27</w:t>
            </w:r>
          </w:p>
        </w:tc>
        <w:tc>
          <w:tcPr>
            <w:tcW w:w="1719" w:type="dxa"/>
            <w:tcBorders>
              <w:top w:val="single" w:color="auto" w:sz="4" w:space="0"/>
              <w:left w:val="single" w:color="auto" w:sz="4" w:space="0"/>
              <w:bottom w:val="single" w:color="auto" w:sz="4" w:space="0"/>
              <w:right w:val="single" w:color="auto" w:sz="4" w:space="0"/>
            </w:tcBorders>
            <w:shd w:val="clear" w:color="auto" w:fill="auto"/>
            <w:vAlign w:val="center"/>
          </w:tcPr>
          <w:p w14:paraId="3AC9CFB0">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
                <w:bCs/>
                <w:kern w:val="0"/>
                <w:sz w:val="20"/>
                <w:szCs w:val="20"/>
              </w:rPr>
            </w:pPr>
            <w:r>
              <w:rPr>
                <w:rFonts w:hint="eastAsia" w:ascii="宋体" w:hAnsi="宋体" w:eastAsia="宋体" w:cs="宋体"/>
                <w:b/>
                <w:bCs/>
                <w:kern w:val="0"/>
                <w:sz w:val="20"/>
                <w:szCs w:val="20"/>
              </w:rPr>
              <w:t>条形桌</w:t>
            </w:r>
          </w:p>
        </w:tc>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14:paraId="278B5C4C">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张</w:t>
            </w:r>
          </w:p>
        </w:tc>
        <w:tc>
          <w:tcPr>
            <w:tcW w:w="7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FCB53F">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8</w:t>
            </w:r>
          </w:p>
        </w:tc>
        <w:tc>
          <w:tcPr>
            <w:tcW w:w="112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78F22D">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1.2×0.45m</w:t>
            </w:r>
          </w:p>
          <w:p w14:paraId="656300A1">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实木贴皮</w:t>
            </w:r>
          </w:p>
        </w:tc>
      </w:tr>
      <w:tr w14:paraId="6E37F9EF">
        <w:tblPrEx>
          <w:tblCellMar>
            <w:top w:w="0" w:type="dxa"/>
            <w:left w:w="108" w:type="dxa"/>
            <w:bottom w:w="0" w:type="dxa"/>
            <w:right w:w="108" w:type="dxa"/>
          </w:tblCellMar>
        </w:tblPrEx>
        <w:trPr>
          <w:trHeight w:val="3657" w:hRule="atLeast"/>
        </w:trPr>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F5F076">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28</w:t>
            </w:r>
          </w:p>
        </w:tc>
        <w:tc>
          <w:tcPr>
            <w:tcW w:w="1719" w:type="dxa"/>
            <w:tcBorders>
              <w:top w:val="single" w:color="auto" w:sz="4" w:space="0"/>
              <w:left w:val="single" w:color="auto" w:sz="4" w:space="0"/>
              <w:bottom w:val="single" w:color="auto" w:sz="4" w:space="0"/>
              <w:right w:val="single" w:color="auto" w:sz="4" w:space="0"/>
            </w:tcBorders>
            <w:shd w:val="clear" w:color="auto" w:fill="auto"/>
            <w:vAlign w:val="center"/>
          </w:tcPr>
          <w:p w14:paraId="5463D1F1">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
                <w:bCs/>
                <w:kern w:val="0"/>
                <w:sz w:val="20"/>
                <w:szCs w:val="20"/>
              </w:rPr>
            </w:pPr>
            <w:r>
              <w:rPr>
                <w:rFonts w:hint="eastAsia" w:ascii="宋体" w:hAnsi="宋体" w:eastAsia="宋体" w:cs="宋体"/>
                <w:b/>
                <w:bCs/>
                <w:kern w:val="0"/>
                <w:sz w:val="20"/>
                <w:szCs w:val="20"/>
              </w:rPr>
              <w:t>比赛型网球柱（方型）</w:t>
            </w:r>
          </w:p>
        </w:tc>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14:paraId="10ABA9DD">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对</w:t>
            </w:r>
          </w:p>
        </w:tc>
        <w:tc>
          <w:tcPr>
            <w:tcW w:w="7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6854F5">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112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68C50E">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lang w:val="en-US" w:eastAsia="zh-CN"/>
              </w:rPr>
              <w:t>1.</w:t>
            </w:r>
            <w:r>
              <w:rPr>
                <w:rFonts w:hint="eastAsia" w:ascii="宋体" w:hAnsi="宋体" w:eastAsia="宋体" w:cs="宋体"/>
                <w:color w:val="000000"/>
                <w:kern w:val="0"/>
                <w:sz w:val="20"/>
                <w:szCs w:val="20"/>
                <w:highlight w:val="none"/>
              </w:rPr>
              <w:t>材质：优质加强型铝合金型材精制而成，可完全回收利用</w:t>
            </w:r>
          </w:p>
          <w:p w14:paraId="5C365811">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lang w:val="en-US" w:eastAsia="zh-CN"/>
              </w:rPr>
              <w:t>2.</w:t>
            </w:r>
            <w:r>
              <w:rPr>
                <w:rFonts w:hint="eastAsia" w:ascii="宋体" w:hAnsi="宋体" w:eastAsia="宋体" w:cs="宋体"/>
                <w:color w:val="000000"/>
                <w:kern w:val="0"/>
                <w:sz w:val="20"/>
                <w:szCs w:val="20"/>
                <w:highlight w:val="none"/>
              </w:rPr>
              <w:t>工艺：表面经超耐候聚酯粉末喷涂，颜色十年不脱落，全天候环境使用</w:t>
            </w:r>
          </w:p>
          <w:p w14:paraId="5106508C">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lang w:val="en-US" w:eastAsia="zh-CN"/>
              </w:rPr>
              <w:t>3.</w:t>
            </w:r>
            <w:r>
              <w:rPr>
                <w:rFonts w:hint="eastAsia" w:ascii="宋体" w:hAnsi="宋体" w:eastAsia="宋体" w:cs="宋体"/>
                <w:color w:val="000000"/>
                <w:kern w:val="0"/>
                <w:sz w:val="20"/>
                <w:szCs w:val="20"/>
                <w:highlight w:val="none"/>
              </w:rPr>
              <w:t>结构：全内置涡杆涡轮式收紧装置；防回弹的自动锁定装置，球柱内侧焊接V型边杆，网球网中心承重达600N。</w:t>
            </w:r>
          </w:p>
          <w:p w14:paraId="46B01B9C">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lang w:val="en-US" w:eastAsia="zh-CN"/>
              </w:rPr>
              <w:t>4.</w:t>
            </w:r>
            <w:r>
              <w:rPr>
                <w:rFonts w:hint="eastAsia" w:ascii="宋体" w:hAnsi="宋体" w:eastAsia="宋体" w:cs="宋体"/>
                <w:color w:val="000000"/>
                <w:kern w:val="0"/>
                <w:sz w:val="20"/>
                <w:szCs w:val="20"/>
                <w:highlight w:val="none"/>
              </w:rPr>
              <w:t>规格（方形）：长90×宽90，壁厚4mm；</w:t>
            </w:r>
          </w:p>
          <w:p w14:paraId="2E41A187">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lang w:val="en-US" w:eastAsia="zh-CN"/>
              </w:rPr>
              <w:t>5.</w:t>
            </w:r>
            <w:r>
              <w:rPr>
                <w:rFonts w:hint="eastAsia" w:ascii="宋体" w:hAnsi="宋体" w:eastAsia="宋体" w:cs="宋体"/>
                <w:color w:val="000000"/>
                <w:kern w:val="0"/>
                <w:sz w:val="20"/>
                <w:szCs w:val="20"/>
                <w:highlight w:val="none"/>
              </w:rPr>
              <w:t>地面高度（国际标准）：1070mm；</w:t>
            </w:r>
          </w:p>
          <w:p w14:paraId="57A86385">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lang w:val="en-US" w:eastAsia="zh-CN"/>
              </w:rPr>
              <w:t>6.</w:t>
            </w:r>
            <w:r>
              <w:rPr>
                <w:rFonts w:hint="eastAsia" w:ascii="宋体" w:hAnsi="宋体" w:eastAsia="宋体" w:cs="宋体"/>
                <w:color w:val="000000"/>
                <w:kern w:val="0"/>
                <w:sz w:val="20"/>
                <w:szCs w:val="20"/>
                <w:highlight w:val="none"/>
              </w:rPr>
              <w:t>颜色：墨绿色；</w:t>
            </w:r>
          </w:p>
          <w:p w14:paraId="0BED68A3">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lang w:val="en-US" w:eastAsia="zh-CN"/>
              </w:rPr>
              <w:t>7.</w:t>
            </w:r>
            <w:r>
              <w:rPr>
                <w:rFonts w:hint="eastAsia" w:ascii="宋体" w:hAnsi="宋体" w:eastAsia="宋体" w:cs="宋体"/>
                <w:color w:val="000000"/>
                <w:kern w:val="0"/>
                <w:sz w:val="20"/>
                <w:szCs w:val="20"/>
                <w:highlight w:val="none"/>
              </w:rPr>
              <w:t>标配：网球柱、预埋件、主柱摇把；</w:t>
            </w:r>
          </w:p>
          <w:p w14:paraId="134D360C">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highlight w:val="none"/>
              </w:rPr>
            </w:pPr>
            <w:r>
              <w:rPr>
                <w:rFonts w:hint="eastAsia" w:ascii="宋体" w:hAnsi="宋体" w:eastAsia="宋体" w:cs="宋体"/>
                <w:kern w:val="0"/>
                <w:sz w:val="20"/>
                <w:szCs w:val="20"/>
                <w:highlight w:val="none"/>
              </w:rPr>
              <w:t>★</w:t>
            </w:r>
            <w:r>
              <w:rPr>
                <w:rFonts w:hint="eastAsia" w:cs="宋体"/>
                <w:kern w:val="0"/>
                <w:sz w:val="20"/>
                <w:szCs w:val="20"/>
                <w:highlight w:val="none"/>
                <w:lang w:val="en-US" w:eastAsia="zh-CN"/>
              </w:rPr>
              <w:t>8.</w:t>
            </w:r>
            <w:r>
              <w:rPr>
                <w:rFonts w:hint="eastAsia" w:ascii="宋体" w:hAnsi="宋体" w:eastAsia="宋体" w:cs="宋体"/>
                <w:color w:val="000000"/>
                <w:kern w:val="0"/>
                <w:sz w:val="20"/>
                <w:szCs w:val="20"/>
                <w:highlight w:val="none"/>
              </w:rPr>
              <w:t>网球柱所用的管材涂层符合《GB/T9276-1996》标准，通过自然气候暴露试验（测试周期不低于12个月），灰卡等级不低于5级，且测试完成后，产品无变色、粉化、开裂、起泡、剥落</w:t>
            </w:r>
            <w:r>
              <w:rPr>
                <w:rFonts w:hint="eastAsia" w:cs="宋体"/>
                <w:color w:val="000000"/>
                <w:kern w:val="0"/>
                <w:sz w:val="20"/>
                <w:szCs w:val="20"/>
                <w:highlight w:val="none"/>
                <w:lang w:eastAsia="zh-CN"/>
              </w:rPr>
              <w:t>。</w:t>
            </w:r>
            <w:r>
              <w:rPr>
                <w:rFonts w:hint="eastAsia" w:ascii="宋体" w:hAnsi="宋体" w:eastAsia="宋体" w:cs="宋体"/>
                <w:b w:val="0"/>
                <w:bCs/>
                <w:color w:val="auto"/>
                <w:sz w:val="21"/>
                <w:szCs w:val="21"/>
                <w:highlight w:val="none"/>
                <w:lang w:eastAsia="zh-CN"/>
              </w:rPr>
              <w:t>须</w:t>
            </w:r>
            <w:r>
              <w:rPr>
                <w:rFonts w:hint="eastAsia" w:ascii="宋体" w:hAnsi="宋体" w:eastAsia="宋体" w:cs="宋体"/>
                <w:b w:val="0"/>
                <w:bCs/>
                <w:color w:val="auto"/>
                <w:sz w:val="21"/>
                <w:szCs w:val="21"/>
                <w:highlight w:val="none"/>
              </w:rPr>
              <w:t>承诺中标后提供由</w:t>
            </w:r>
            <w:r>
              <w:rPr>
                <w:rFonts w:hint="eastAsia" w:ascii="宋体" w:hAnsi="宋体" w:eastAsia="宋体" w:cs="宋体"/>
                <w:b w:val="0"/>
                <w:bCs/>
                <w:color w:val="auto"/>
                <w:sz w:val="21"/>
                <w:szCs w:val="21"/>
                <w:highlight w:val="none"/>
                <w:lang w:eastAsia="zh-CN"/>
              </w:rPr>
              <w:t>第三方</w:t>
            </w:r>
            <w:r>
              <w:rPr>
                <w:rFonts w:hint="eastAsia" w:ascii="宋体" w:hAnsi="宋体" w:eastAsia="宋体" w:cs="宋体"/>
                <w:b w:val="0"/>
                <w:bCs/>
                <w:color w:val="auto"/>
                <w:sz w:val="21"/>
                <w:szCs w:val="21"/>
                <w:highlight w:val="none"/>
              </w:rPr>
              <w:t>检测机构出具的带有CMA或CNAS标识的检测报告</w:t>
            </w:r>
            <w:r>
              <w:rPr>
                <w:rFonts w:hint="eastAsia" w:ascii="宋体" w:hAnsi="宋体" w:cs="宋体"/>
                <w:color w:val="auto"/>
                <w:kern w:val="2"/>
                <w:sz w:val="21"/>
                <w:szCs w:val="21"/>
                <w:highlight w:val="none"/>
                <w:lang w:val="en-US" w:eastAsia="zh-CN" w:bidi="ar-SA"/>
              </w:rPr>
              <w:t>。</w:t>
            </w:r>
          </w:p>
          <w:p w14:paraId="45180188">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highlight w:val="none"/>
              </w:rPr>
            </w:pPr>
            <w:r>
              <w:rPr>
                <w:rFonts w:hint="eastAsia" w:ascii="宋体" w:hAnsi="宋体" w:eastAsia="宋体" w:cs="宋体"/>
                <w:kern w:val="0"/>
                <w:sz w:val="20"/>
                <w:szCs w:val="20"/>
                <w:highlight w:val="none"/>
              </w:rPr>
              <w:t>★</w:t>
            </w:r>
            <w:r>
              <w:rPr>
                <w:rFonts w:hint="eastAsia" w:cs="宋体"/>
                <w:kern w:val="0"/>
                <w:sz w:val="20"/>
                <w:szCs w:val="20"/>
                <w:highlight w:val="none"/>
                <w:lang w:val="en-US" w:eastAsia="zh-CN"/>
              </w:rPr>
              <w:t>9.</w:t>
            </w:r>
            <w:r>
              <w:rPr>
                <w:rFonts w:hint="eastAsia" w:ascii="宋体" w:hAnsi="宋体" w:eastAsia="宋体" w:cs="宋体"/>
                <w:color w:val="000000"/>
                <w:kern w:val="0"/>
                <w:sz w:val="20"/>
                <w:szCs w:val="20"/>
                <w:highlight w:val="none"/>
              </w:rPr>
              <w:t>网球柱所用的管材通过耐划痕性测试，且耐冲击性≥50cm、耐弯曲性≤3mm</w:t>
            </w:r>
            <w:r>
              <w:rPr>
                <w:rFonts w:hint="eastAsia" w:cs="宋体"/>
                <w:color w:val="000000"/>
                <w:kern w:val="0"/>
                <w:sz w:val="20"/>
                <w:szCs w:val="20"/>
                <w:highlight w:val="none"/>
                <w:lang w:eastAsia="zh-CN"/>
              </w:rPr>
              <w:t>。</w:t>
            </w:r>
            <w:r>
              <w:rPr>
                <w:rFonts w:hint="eastAsia" w:ascii="宋体" w:hAnsi="宋体" w:eastAsia="宋体" w:cs="宋体"/>
                <w:b w:val="0"/>
                <w:bCs/>
                <w:color w:val="auto"/>
                <w:sz w:val="21"/>
                <w:szCs w:val="21"/>
                <w:highlight w:val="none"/>
                <w:lang w:eastAsia="zh-CN"/>
              </w:rPr>
              <w:t>须</w:t>
            </w:r>
            <w:r>
              <w:rPr>
                <w:rFonts w:hint="eastAsia" w:ascii="宋体" w:hAnsi="宋体" w:eastAsia="宋体" w:cs="宋体"/>
                <w:b w:val="0"/>
                <w:bCs/>
                <w:color w:val="auto"/>
                <w:sz w:val="21"/>
                <w:szCs w:val="21"/>
                <w:highlight w:val="none"/>
              </w:rPr>
              <w:t>承诺中标后提供由</w:t>
            </w:r>
            <w:r>
              <w:rPr>
                <w:rFonts w:hint="eastAsia" w:ascii="宋体" w:hAnsi="宋体" w:eastAsia="宋体" w:cs="宋体"/>
                <w:b w:val="0"/>
                <w:bCs/>
                <w:color w:val="auto"/>
                <w:sz w:val="21"/>
                <w:szCs w:val="21"/>
                <w:highlight w:val="none"/>
                <w:lang w:eastAsia="zh-CN"/>
              </w:rPr>
              <w:t>第三方</w:t>
            </w:r>
            <w:r>
              <w:rPr>
                <w:rFonts w:hint="eastAsia" w:ascii="宋体" w:hAnsi="宋体" w:eastAsia="宋体" w:cs="宋体"/>
                <w:b w:val="0"/>
                <w:bCs/>
                <w:color w:val="auto"/>
                <w:sz w:val="21"/>
                <w:szCs w:val="21"/>
                <w:highlight w:val="none"/>
              </w:rPr>
              <w:t>检测机构出具的带有CMA或CNAS标识的检测报告</w:t>
            </w:r>
            <w:r>
              <w:rPr>
                <w:rFonts w:hint="eastAsia" w:ascii="宋体" w:hAnsi="宋体" w:cs="宋体"/>
                <w:color w:val="auto"/>
                <w:kern w:val="2"/>
                <w:sz w:val="21"/>
                <w:szCs w:val="21"/>
                <w:highlight w:val="none"/>
                <w:lang w:val="en-US" w:eastAsia="zh-CN" w:bidi="ar-SA"/>
              </w:rPr>
              <w:t>。</w:t>
            </w:r>
          </w:p>
        </w:tc>
      </w:tr>
      <w:tr w14:paraId="27D642CE">
        <w:tblPrEx>
          <w:tblCellMar>
            <w:top w:w="0" w:type="dxa"/>
            <w:left w:w="108" w:type="dxa"/>
            <w:bottom w:w="0" w:type="dxa"/>
            <w:right w:w="108" w:type="dxa"/>
          </w:tblCellMar>
        </w:tblPrEx>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2A2DE6">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29</w:t>
            </w:r>
          </w:p>
        </w:tc>
        <w:tc>
          <w:tcPr>
            <w:tcW w:w="1719" w:type="dxa"/>
            <w:tcBorders>
              <w:top w:val="single" w:color="auto" w:sz="4" w:space="0"/>
              <w:left w:val="single" w:color="auto" w:sz="4" w:space="0"/>
              <w:bottom w:val="single" w:color="auto" w:sz="4" w:space="0"/>
              <w:right w:val="single" w:color="auto" w:sz="4" w:space="0"/>
            </w:tcBorders>
            <w:shd w:val="clear" w:color="auto" w:fill="auto"/>
            <w:vAlign w:val="center"/>
          </w:tcPr>
          <w:p w14:paraId="4AB12D0A">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
                <w:bCs/>
                <w:kern w:val="0"/>
                <w:sz w:val="20"/>
                <w:szCs w:val="20"/>
              </w:rPr>
            </w:pPr>
            <w:r>
              <w:rPr>
                <w:rFonts w:hint="eastAsia" w:ascii="宋体" w:hAnsi="宋体" w:eastAsia="宋体" w:cs="宋体"/>
                <w:b/>
                <w:bCs/>
                <w:kern w:val="0"/>
                <w:sz w:val="20"/>
                <w:szCs w:val="20"/>
              </w:rPr>
              <w:t>比赛型网球网</w:t>
            </w:r>
          </w:p>
        </w:tc>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14:paraId="1A01314F">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套</w:t>
            </w:r>
          </w:p>
        </w:tc>
        <w:tc>
          <w:tcPr>
            <w:tcW w:w="7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4656AD">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w:t>
            </w:r>
          </w:p>
        </w:tc>
        <w:tc>
          <w:tcPr>
            <w:tcW w:w="112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AF57CE">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lang w:val="en-US" w:eastAsia="zh-CN"/>
              </w:rPr>
              <w:t>1.</w:t>
            </w:r>
            <w:r>
              <w:rPr>
                <w:rFonts w:hint="eastAsia" w:ascii="宋体" w:hAnsi="宋体" w:eastAsia="宋体" w:cs="宋体"/>
                <w:color w:val="000000"/>
                <w:kern w:val="0"/>
                <w:sz w:val="20"/>
                <w:szCs w:val="20"/>
                <w:highlight w:val="none"/>
              </w:rPr>
              <w:t>产品说明：</w:t>
            </w:r>
          </w:p>
          <w:p w14:paraId="5D5703E5">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聚乙烯绳耐酸碱、抗老化、抗冲击，使用寿命长；                        </w:t>
            </w:r>
          </w:p>
          <w:p w14:paraId="4E09DE1F">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 xml:space="preserve">顶部包边采用PVC材质，耐酸碱，化学性质稳定；                             </w:t>
            </w:r>
          </w:p>
          <w:p w14:paraId="42DFE0E7">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包边经四层密线缝制；</w:t>
            </w:r>
          </w:p>
          <w:p w14:paraId="4BF43A71">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lang w:val="en-US" w:eastAsia="zh-CN"/>
              </w:rPr>
              <w:t>2.</w:t>
            </w:r>
            <w:r>
              <w:rPr>
                <w:rFonts w:hint="eastAsia" w:ascii="宋体" w:hAnsi="宋体" w:eastAsia="宋体" w:cs="宋体"/>
                <w:color w:val="000000"/>
                <w:kern w:val="0"/>
                <w:sz w:val="20"/>
                <w:szCs w:val="20"/>
                <w:highlight w:val="none"/>
              </w:rPr>
              <w:t>规格：长12700×宽1070mm；网孔：35×35mm，线径：3mm；</w:t>
            </w:r>
          </w:p>
          <w:p w14:paraId="103E36C0">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lang w:val="en-US" w:eastAsia="zh-CN"/>
              </w:rPr>
              <w:t>3.</w:t>
            </w:r>
            <w:r>
              <w:rPr>
                <w:rFonts w:hint="eastAsia" w:ascii="宋体" w:hAnsi="宋体" w:eastAsia="宋体" w:cs="宋体"/>
                <w:color w:val="000000"/>
                <w:kern w:val="0"/>
                <w:sz w:val="20"/>
                <w:szCs w:val="20"/>
                <w:highlight w:val="none"/>
              </w:rPr>
              <w:t>颜色：黑色；</w:t>
            </w:r>
          </w:p>
          <w:p w14:paraId="79BD609B">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lang w:val="en-US" w:eastAsia="zh-CN"/>
              </w:rPr>
              <w:t>4.</w:t>
            </w:r>
            <w:r>
              <w:rPr>
                <w:rFonts w:hint="eastAsia" w:ascii="宋体" w:hAnsi="宋体" w:eastAsia="宋体" w:cs="宋体"/>
                <w:color w:val="000000"/>
                <w:kern w:val="0"/>
                <w:sz w:val="20"/>
                <w:szCs w:val="20"/>
                <w:highlight w:val="none"/>
              </w:rPr>
              <w:t>标配：网球网、钢丝绳、中心索带、中心索带预埋件；</w:t>
            </w:r>
          </w:p>
          <w:p w14:paraId="6A333F62">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highlight w:val="none"/>
              </w:rPr>
            </w:pPr>
            <w:r>
              <w:rPr>
                <w:rFonts w:hint="eastAsia" w:ascii="宋体" w:hAnsi="宋体" w:eastAsia="宋体" w:cs="宋体"/>
                <w:kern w:val="0"/>
                <w:sz w:val="20"/>
                <w:szCs w:val="20"/>
                <w:highlight w:val="none"/>
              </w:rPr>
              <w:t>★</w:t>
            </w:r>
            <w:r>
              <w:rPr>
                <w:rFonts w:hint="eastAsia" w:cs="宋体"/>
                <w:kern w:val="0"/>
                <w:sz w:val="20"/>
                <w:szCs w:val="20"/>
                <w:highlight w:val="none"/>
                <w:lang w:val="en-US" w:eastAsia="zh-CN"/>
              </w:rPr>
              <w:t>5.</w:t>
            </w:r>
            <w:r>
              <w:rPr>
                <w:rFonts w:hint="eastAsia" w:ascii="宋体" w:hAnsi="宋体" w:eastAsia="宋体" w:cs="宋体"/>
                <w:color w:val="000000"/>
                <w:kern w:val="0"/>
                <w:sz w:val="20"/>
                <w:szCs w:val="20"/>
                <w:highlight w:val="none"/>
              </w:rPr>
              <w:t>网球网符合《GB/T19851.14-2007》标准，其中球网应符合如下要求：球网包边长均在40~50毫米之间；球网的上包边应有帆布等防水材料对折成夹层，用绳索或钢丝制成的穿网绳从夹层穿过，夹层上沿必须紧贴穿网绳</w:t>
            </w:r>
            <w:r>
              <w:rPr>
                <w:rFonts w:hint="eastAsia" w:cs="宋体"/>
                <w:color w:val="000000"/>
                <w:kern w:val="0"/>
                <w:sz w:val="20"/>
                <w:szCs w:val="20"/>
                <w:highlight w:val="none"/>
                <w:lang w:eastAsia="zh-CN"/>
              </w:rPr>
              <w:t>。</w:t>
            </w:r>
            <w:r>
              <w:rPr>
                <w:rFonts w:hint="eastAsia" w:ascii="宋体" w:hAnsi="宋体" w:eastAsia="宋体" w:cs="宋体"/>
                <w:b w:val="0"/>
                <w:bCs/>
                <w:color w:val="auto"/>
                <w:sz w:val="21"/>
                <w:szCs w:val="21"/>
                <w:highlight w:val="none"/>
                <w:lang w:eastAsia="zh-CN"/>
              </w:rPr>
              <w:t>须</w:t>
            </w:r>
            <w:r>
              <w:rPr>
                <w:rFonts w:hint="eastAsia" w:ascii="宋体" w:hAnsi="宋体" w:eastAsia="宋体" w:cs="宋体"/>
                <w:b w:val="0"/>
                <w:bCs/>
                <w:color w:val="auto"/>
                <w:sz w:val="21"/>
                <w:szCs w:val="21"/>
                <w:highlight w:val="none"/>
              </w:rPr>
              <w:t>承诺中标后提供由</w:t>
            </w:r>
            <w:r>
              <w:rPr>
                <w:rFonts w:hint="eastAsia" w:ascii="宋体" w:hAnsi="宋体" w:eastAsia="宋体" w:cs="宋体"/>
                <w:b w:val="0"/>
                <w:bCs/>
                <w:color w:val="auto"/>
                <w:sz w:val="21"/>
                <w:szCs w:val="21"/>
                <w:highlight w:val="none"/>
                <w:lang w:eastAsia="zh-CN"/>
              </w:rPr>
              <w:t>第三方</w:t>
            </w:r>
            <w:r>
              <w:rPr>
                <w:rFonts w:hint="eastAsia" w:ascii="宋体" w:hAnsi="宋体" w:eastAsia="宋体" w:cs="宋体"/>
                <w:b w:val="0"/>
                <w:bCs/>
                <w:color w:val="auto"/>
                <w:sz w:val="21"/>
                <w:szCs w:val="21"/>
                <w:highlight w:val="none"/>
              </w:rPr>
              <w:t>检测机构出具的带有CMA或CNAS标识的检测报告</w:t>
            </w:r>
            <w:r>
              <w:rPr>
                <w:rFonts w:hint="eastAsia" w:ascii="宋体" w:hAnsi="宋体" w:cs="宋体"/>
                <w:color w:val="auto"/>
                <w:kern w:val="2"/>
                <w:sz w:val="21"/>
                <w:szCs w:val="21"/>
                <w:highlight w:val="none"/>
                <w:lang w:val="en-US" w:eastAsia="zh-CN" w:bidi="ar-SA"/>
              </w:rPr>
              <w:t>。</w:t>
            </w:r>
          </w:p>
        </w:tc>
      </w:tr>
      <w:tr w14:paraId="54039A91">
        <w:tblPrEx>
          <w:tblCellMar>
            <w:top w:w="0" w:type="dxa"/>
            <w:left w:w="108" w:type="dxa"/>
            <w:bottom w:w="0" w:type="dxa"/>
            <w:right w:w="108" w:type="dxa"/>
          </w:tblCellMar>
        </w:tblPrEx>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24AACA">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30</w:t>
            </w:r>
          </w:p>
        </w:tc>
        <w:tc>
          <w:tcPr>
            <w:tcW w:w="1719" w:type="dxa"/>
            <w:tcBorders>
              <w:top w:val="single" w:color="auto" w:sz="4" w:space="0"/>
              <w:left w:val="single" w:color="auto" w:sz="4" w:space="0"/>
              <w:bottom w:val="single" w:color="auto" w:sz="4" w:space="0"/>
              <w:right w:val="single" w:color="auto" w:sz="4" w:space="0"/>
            </w:tcBorders>
            <w:shd w:val="clear" w:color="auto" w:fill="auto"/>
            <w:vAlign w:val="center"/>
          </w:tcPr>
          <w:p w14:paraId="1D08D462">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
                <w:bCs/>
                <w:kern w:val="0"/>
                <w:sz w:val="20"/>
                <w:szCs w:val="20"/>
              </w:rPr>
            </w:pPr>
            <w:r>
              <w:rPr>
                <w:rFonts w:hint="eastAsia" w:ascii="宋体" w:hAnsi="宋体" w:eastAsia="宋体" w:cs="宋体"/>
                <w:b/>
                <w:bCs/>
                <w:kern w:val="0"/>
                <w:sz w:val="20"/>
                <w:szCs w:val="20"/>
              </w:rPr>
              <w:t>网球场专用</w:t>
            </w:r>
          </w:p>
          <w:p w14:paraId="099F37D9">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
                <w:bCs/>
                <w:kern w:val="0"/>
                <w:sz w:val="20"/>
                <w:szCs w:val="20"/>
              </w:rPr>
            </w:pPr>
            <w:r>
              <w:rPr>
                <w:rFonts w:hint="eastAsia" w:ascii="宋体" w:hAnsi="宋体" w:eastAsia="宋体" w:cs="宋体"/>
                <w:b/>
                <w:bCs/>
                <w:kern w:val="0"/>
                <w:sz w:val="20"/>
                <w:szCs w:val="20"/>
              </w:rPr>
              <w:t>捡球车</w:t>
            </w:r>
          </w:p>
        </w:tc>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14:paraId="2F7AE1EA">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台</w:t>
            </w:r>
          </w:p>
        </w:tc>
        <w:tc>
          <w:tcPr>
            <w:tcW w:w="7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723D34">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w:t>
            </w:r>
          </w:p>
        </w:tc>
        <w:tc>
          <w:tcPr>
            <w:tcW w:w="112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D54065">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材质：机身主体采用优质加强型结构铝合金型材，铝材可回收重复利用</w:t>
            </w:r>
          </w:p>
          <w:p w14:paraId="257DF944">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设计：结构简单紧凑，方便实用，造型前卫；</w:t>
            </w:r>
          </w:p>
          <w:p w14:paraId="2349F9E4">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电源：无需充电耗电，仅凭人工推动捡球车前行为动力，节能环保，捡球效率高，</w:t>
            </w:r>
          </w:p>
          <w:p w14:paraId="4726F3DA">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外型尺寸（工作状态）：1250×850×960mm（660-1060可调）</w:t>
            </w:r>
          </w:p>
          <w:p w14:paraId="5187B71D">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净重：15.8kg</w:t>
            </w:r>
          </w:p>
          <w:p w14:paraId="22B16AE5">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毛重：17.6kg（包装后重量）</w:t>
            </w:r>
          </w:p>
          <w:p w14:paraId="342F0EB5">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装球容量：200个</w:t>
            </w:r>
          </w:p>
          <w:p w14:paraId="16E21AF9">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8.</w:t>
            </w:r>
            <w:r>
              <w:rPr>
                <w:rFonts w:hint="eastAsia" w:ascii="宋体" w:hAnsi="宋体" w:eastAsia="宋体" w:cs="宋体"/>
                <w:color w:val="000000"/>
                <w:kern w:val="0"/>
                <w:sz w:val="20"/>
                <w:szCs w:val="20"/>
              </w:rPr>
              <w:t>捡球速度：正常使用状态，半场150-180个均匀散落，全部键入篮子约2-3分钟</w:t>
            </w:r>
          </w:p>
          <w:p w14:paraId="77DA04DB">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9.</w:t>
            </w:r>
            <w:r>
              <w:rPr>
                <w:rFonts w:hint="eastAsia" w:ascii="宋体" w:hAnsi="宋体" w:eastAsia="宋体" w:cs="宋体"/>
                <w:color w:val="000000"/>
                <w:kern w:val="0"/>
                <w:sz w:val="20"/>
                <w:szCs w:val="20"/>
              </w:rPr>
              <w:t>颜色：橙色、红色</w:t>
            </w:r>
          </w:p>
        </w:tc>
      </w:tr>
      <w:tr w14:paraId="2F7C265A">
        <w:tblPrEx>
          <w:tblCellMar>
            <w:top w:w="0" w:type="dxa"/>
            <w:left w:w="108" w:type="dxa"/>
            <w:bottom w:w="0" w:type="dxa"/>
            <w:right w:w="108" w:type="dxa"/>
          </w:tblCellMar>
        </w:tblPrEx>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91F365">
            <w:pPr>
              <w:keepNext w:val="0"/>
              <w:keepLines w:val="0"/>
              <w:pageBreakBefore w:val="0"/>
              <w:widowControl/>
              <w:shd w:val="clea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31</w:t>
            </w:r>
          </w:p>
        </w:tc>
        <w:tc>
          <w:tcPr>
            <w:tcW w:w="1719" w:type="dxa"/>
            <w:tcBorders>
              <w:top w:val="single" w:color="auto" w:sz="4" w:space="0"/>
              <w:left w:val="single" w:color="auto" w:sz="4" w:space="0"/>
              <w:bottom w:val="single" w:color="auto" w:sz="4" w:space="0"/>
              <w:right w:val="single" w:color="auto" w:sz="4" w:space="0"/>
            </w:tcBorders>
            <w:shd w:val="clear" w:color="auto" w:fill="auto"/>
            <w:vAlign w:val="center"/>
          </w:tcPr>
          <w:p w14:paraId="4DEC044D">
            <w:pPr>
              <w:keepNext w:val="0"/>
              <w:keepLines w:val="0"/>
              <w:pageBreakBefore w:val="0"/>
              <w:widowControl/>
              <w:shd w:val="clea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kern w:val="0"/>
                <w:sz w:val="20"/>
                <w:szCs w:val="20"/>
              </w:rPr>
            </w:pPr>
            <w:r>
              <w:rPr>
                <w:rFonts w:hint="eastAsia" w:ascii="宋体" w:hAnsi="宋体" w:eastAsia="宋体" w:cs="宋体"/>
                <w:b/>
                <w:bCs/>
                <w:kern w:val="0"/>
                <w:sz w:val="20"/>
                <w:szCs w:val="20"/>
              </w:rPr>
              <w:t>网球教练车</w:t>
            </w:r>
          </w:p>
        </w:tc>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14:paraId="6A39F11F">
            <w:pPr>
              <w:keepNext w:val="0"/>
              <w:keepLines w:val="0"/>
              <w:pageBreakBefore w:val="0"/>
              <w:widowControl/>
              <w:shd w:val="clea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台</w:t>
            </w:r>
          </w:p>
        </w:tc>
        <w:tc>
          <w:tcPr>
            <w:tcW w:w="7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FB7DC3">
            <w:pPr>
              <w:keepNext w:val="0"/>
              <w:keepLines w:val="0"/>
              <w:pageBreakBefore w:val="0"/>
              <w:widowControl/>
              <w:shd w:val="clea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w:t>
            </w:r>
          </w:p>
        </w:tc>
        <w:tc>
          <w:tcPr>
            <w:tcW w:w="112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123143">
            <w:pPr>
              <w:keepNext w:val="0"/>
              <w:keepLines w:val="0"/>
              <w:pageBreakBefore w:val="0"/>
              <w:widowControl/>
              <w:shd w:val="clear"/>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材质：高级材质打造，球篮表面经超耐候聚酯粉喷涂，抗老化使用寿命可达十年之久</w:t>
            </w:r>
          </w:p>
          <w:p w14:paraId="2F9B80D2">
            <w:pPr>
              <w:keepNext w:val="0"/>
              <w:keepLines w:val="0"/>
              <w:pageBreakBefore w:val="0"/>
              <w:widowControl/>
              <w:shd w:val="clear"/>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设计：一体设计，美观大方，优雅时尚，独具特色，PU万向轮360°随心欲自由转动，想推哪里推哪里，底部设计由物品放置层，可供各种网球用品的摆放，海绵推手，球框顶盖防滑设计，方便储存</w:t>
            </w:r>
            <w:r>
              <w:rPr>
                <w:rFonts w:hint="eastAsia" w:cs="宋体"/>
                <w:color w:val="000000"/>
                <w:kern w:val="0"/>
                <w:sz w:val="20"/>
                <w:szCs w:val="20"/>
                <w:lang w:eastAsia="zh-CN"/>
              </w:rPr>
              <w:t>。</w:t>
            </w:r>
          </w:p>
          <w:p w14:paraId="3B62DC75">
            <w:pPr>
              <w:keepNext w:val="0"/>
              <w:keepLines w:val="0"/>
              <w:pageBreakBefore w:val="0"/>
              <w:widowControl/>
              <w:shd w:val="clear"/>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颜色产品：黑色</w:t>
            </w:r>
          </w:p>
          <w:p w14:paraId="76449B71">
            <w:pPr>
              <w:keepNext w:val="0"/>
              <w:keepLines w:val="0"/>
              <w:pageBreakBefore w:val="0"/>
              <w:widowControl/>
              <w:shd w:val="clear"/>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产品包装：长635×宽505×高460mm</w:t>
            </w:r>
          </w:p>
          <w:p w14:paraId="36276BA3">
            <w:pPr>
              <w:keepNext w:val="0"/>
              <w:keepLines w:val="0"/>
              <w:pageBreakBefore w:val="0"/>
              <w:widowControl/>
              <w:shd w:val="clear"/>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产品尺寸：长790×宽495×高994mm</w:t>
            </w:r>
          </w:p>
          <w:p w14:paraId="1CE24218">
            <w:pPr>
              <w:keepNext w:val="0"/>
              <w:keepLines w:val="0"/>
              <w:pageBreakBefore w:val="0"/>
              <w:widowControl/>
              <w:shd w:val="clear"/>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净重：13.3kg</w:t>
            </w:r>
          </w:p>
          <w:p w14:paraId="288ED020">
            <w:pPr>
              <w:keepNext w:val="0"/>
              <w:keepLines w:val="0"/>
              <w:pageBreakBefore w:val="0"/>
              <w:widowControl/>
              <w:shd w:val="clear"/>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毛重：15.3kg</w:t>
            </w:r>
          </w:p>
          <w:p w14:paraId="3BF30881">
            <w:pPr>
              <w:keepNext w:val="0"/>
              <w:keepLines w:val="0"/>
              <w:pageBreakBefore w:val="0"/>
              <w:widowControl/>
              <w:shd w:val="clear"/>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8.</w:t>
            </w:r>
            <w:r>
              <w:rPr>
                <w:rFonts w:hint="eastAsia" w:ascii="宋体" w:hAnsi="宋体" w:eastAsia="宋体" w:cs="宋体"/>
                <w:color w:val="000000"/>
                <w:kern w:val="0"/>
                <w:sz w:val="20"/>
                <w:szCs w:val="20"/>
              </w:rPr>
              <w:t>装球容量：300个</w:t>
            </w:r>
          </w:p>
          <w:p w14:paraId="32045D70">
            <w:pPr>
              <w:keepNext w:val="0"/>
              <w:keepLines w:val="0"/>
              <w:pageBreakBefore w:val="0"/>
              <w:widowControl/>
              <w:shd w:val="clear"/>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9.</w:t>
            </w:r>
            <w:r>
              <w:rPr>
                <w:rFonts w:hint="eastAsia" w:ascii="宋体" w:hAnsi="宋体" w:eastAsia="宋体" w:cs="宋体"/>
                <w:color w:val="000000"/>
                <w:kern w:val="0"/>
                <w:sz w:val="20"/>
                <w:szCs w:val="20"/>
              </w:rPr>
              <w:t>适用范围：适用各种网球活动场合</w:t>
            </w:r>
          </w:p>
        </w:tc>
      </w:tr>
      <w:tr w14:paraId="495C8B41">
        <w:tblPrEx>
          <w:tblCellMar>
            <w:top w:w="0" w:type="dxa"/>
            <w:left w:w="108" w:type="dxa"/>
            <w:bottom w:w="0" w:type="dxa"/>
            <w:right w:w="108" w:type="dxa"/>
          </w:tblCellMar>
        </w:tblPrEx>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57C35F">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32</w:t>
            </w:r>
          </w:p>
        </w:tc>
        <w:tc>
          <w:tcPr>
            <w:tcW w:w="1719" w:type="dxa"/>
            <w:tcBorders>
              <w:top w:val="single" w:color="auto" w:sz="4" w:space="0"/>
              <w:left w:val="single" w:color="auto" w:sz="4" w:space="0"/>
              <w:bottom w:val="single" w:color="auto" w:sz="4" w:space="0"/>
              <w:right w:val="single" w:color="auto" w:sz="4" w:space="0"/>
            </w:tcBorders>
            <w:shd w:val="clear" w:color="auto" w:fill="auto"/>
            <w:vAlign w:val="center"/>
          </w:tcPr>
          <w:p w14:paraId="67BDF530">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
                <w:bCs/>
                <w:kern w:val="0"/>
                <w:sz w:val="20"/>
                <w:szCs w:val="20"/>
              </w:rPr>
            </w:pPr>
            <w:r>
              <w:rPr>
                <w:rFonts w:hint="eastAsia" w:ascii="宋体" w:hAnsi="宋体" w:eastAsia="宋体" w:cs="宋体"/>
                <w:b/>
                <w:bCs/>
                <w:kern w:val="0"/>
                <w:sz w:val="20"/>
                <w:szCs w:val="20"/>
              </w:rPr>
              <w:t>推水器</w:t>
            </w:r>
          </w:p>
        </w:tc>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14:paraId="37AC117F">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台</w:t>
            </w:r>
          </w:p>
        </w:tc>
        <w:tc>
          <w:tcPr>
            <w:tcW w:w="7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37DAF5">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w:t>
            </w:r>
          </w:p>
        </w:tc>
        <w:tc>
          <w:tcPr>
            <w:tcW w:w="112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7E2D1A">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材质：优质加强型结构铝合金型材，铝材可回收重复利用；加厚型胶条夹紧型材，底部采用定向轮；</w:t>
            </w:r>
          </w:p>
          <w:p w14:paraId="34CC5E80">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工艺：表面经超耐候聚酯粉末喷涂，颜色十年不脱落；</w:t>
            </w:r>
          </w:p>
          <w:p w14:paraId="0206417A">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标配：推水器支架×1、胶条×2</w:t>
            </w:r>
          </w:p>
          <w:p w14:paraId="4AB3563F">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规格：长850×宽1375×高840mm</w:t>
            </w:r>
          </w:p>
          <w:p w14:paraId="767500B6">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lang w:val="en-US" w:eastAsia="zh-CN"/>
              </w:rPr>
              <w:t>5.</w:t>
            </w:r>
            <w:r>
              <w:rPr>
                <w:rFonts w:hint="eastAsia" w:ascii="宋体" w:hAnsi="宋体" w:eastAsia="宋体" w:cs="宋体"/>
                <w:color w:val="000000"/>
                <w:kern w:val="0"/>
                <w:sz w:val="20"/>
                <w:szCs w:val="20"/>
                <w:highlight w:val="none"/>
              </w:rPr>
              <w:t>颜色：墨绿色；</w:t>
            </w:r>
          </w:p>
          <w:p w14:paraId="220CA210">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kern w:val="0"/>
                <w:sz w:val="20"/>
                <w:szCs w:val="20"/>
                <w:highlight w:val="none"/>
              </w:rPr>
              <w:t>★</w:t>
            </w:r>
            <w:r>
              <w:rPr>
                <w:rFonts w:hint="eastAsia" w:ascii="宋体" w:hAnsi="宋体" w:eastAsia="宋体" w:cs="宋体"/>
                <w:color w:val="000000"/>
                <w:kern w:val="0"/>
                <w:sz w:val="20"/>
                <w:szCs w:val="20"/>
                <w:highlight w:val="none"/>
              </w:rPr>
              <w:t>推水器符合GB19272-2011标准，产品有害物质、邻苯二甲酸酯含量、多环芳烃含量均未检出</w:t>
            </w:r>
            <w:r>
              <w:rPr>
                <w:rFonts w:hint="eastAsia" w:cs="宋体"/>
                <w:color w:val="000000"/>
                <w:kern w:val="0"/>
                <w:sz w:val="20"/>
                <w:szCs w:val="20"/>
                <w:highlight w:val="none"/>
                <w:lang w:eastAsia="zh-CN"/>
              </w:rPr>
              <w:t>。</w:t>
            </w:r>
            <w:r>
              <w:rPr>
                <w:rFonts w:hint="eastAsia" w:ascii="宋体" w:hAnsi="宋体" w:eastAsia="宋体" w:cs="宋体"/>
                <w:b w:val="0"/>
                <w:bCs/>
                <w:color w:val="auto"/>
                <w:sz w:val="21"/>
                <w:szCs w:val="21"/>
                <w:highlight w:val="none"/>
                <w:lang w:eastAsia="zh-CN"/>
              </w:rPr>
              <w:t>须</w:t>
            </w:r>
            <w:r>
              <w:rPr>
                <w:rFonts w:hint="eastAsia" w:ascii="宋体" w:hAnsi="宋体" w:eastAsia="宋体" w:cs="宋体"/>
                <w:b w:val="0"/>
                <w:bCs/>
                <w:color w:val="auto"/>
                <w:sz w:val="21"/>
                <w:szCs w:val="21"/>
                <w:highlight w:val="none"/>
              </w:rPr>
              <w:t>承诺中标后提供由</w:t>
            </w:r>
            <w:r>
              <w:rPr>
                <w:rFonts w:hint="eastAsia" w:ascii="宋体" w:hAnsi="宋体" w:eastAsia="宋体" w:cs="宋体"/>
                <w:b w:val="0"/>
                <w:bCs/>
                <w:color w:val="auto"/>
                <w:sz w:val="21"/>
                <w:szCs w:val="21"/>
                <w:highlight w:val="none"/>
                <w:lang w:eastAsia="zh-CN"/>
              </w:rPr>
              <w:t>第三方</w:t>
            </w:r>
            <w:r>
              <w:rPr>
                <w:rFonts w:hint="eastAsia" w:ascii="宋体" w:hAnsi="宋体" w:eastAsia="宋体" w:cs="宋体"/>
                <w:b w:val="0"/>
                <w:bCs/>
                <w:color w:val="auto"/>
                <w:sz w:val="21"/>
                <w:szCs w:val="21"/>
                <w:highlight w:val="none"/>
              </w:rPr>
              <w:t>检测机构出具的带有CMA或CNAS标识的检测报告</w:t>
            </w:r>
            <w:r>
              <w:rPr>
                <w:rFonts w:hint="eastAsia" w:ascii="宋体" w:hAnsi="宋体" w:cs="宋体"/>
                <w:color w:val="auto"/>
                <w:kern w:val="2"/>
                <w:sz w:val="21"/>
                <w:szCs w:val="21"/>
                <w:highlight w:val="none"/>
                <w:lang w:val="en-US" w:eastAsia="zh-CN" w:bidi="ar-SA"/>
              </w:rPr>
              <w:t>。</w:t>
            </w:r>
          </w:p>
        </w:tc>
      </w:tr>
      <w:tr w14:paraId="6F9A671F">
        <w:tblPrEx>
          <w:tblCellMar>
            <w:top w:w="0" w:type="dxa"/>
            <w:left w:w="108" w:type="dxa"/>
            <w:bottom w:w="0" w:type="dxa"/>
            <w:right w:w="108" w:type="dxa"/>
          </w:tblCellMar>
        </w:tblPrEx>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28E351">
            <w:pPr>
              <w:keepNext w:val="0"/>
              <w:keepLines w:val="0"/>
              <w:pageBreakBefore w:val="0"/>
              <w:widowControl/>
              <w:shd w:val="clea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33</w:t>
            </w:r>
          </w:p>
        </w:tc>
        <w:tc>
          <w:tcPr>
            <w:tcW w:w="1719" w:type="dxa"/>
            <w:tcBorders>
              <w:top w:val="single" w:color="auto" w:sz="4" w:space="0"/>
              <w:left w:val="single" w:color="auto" w:sz="4" w:space="0"/>
              <w:bottom w:val="single" w:color="auto" w:sz="4" w:space="0"/>
              <w:right w:val="single" w:color="auto" w:sz="4" w:space="0"/>
            </w:tcBorders>
            <w:shd w:val="clear" w:color="auto" w:fill="auto"/>
            <w:vAlign w:val="center"/>
          </w:tcPr>
          <w:p w14:paraId="4DDFE4AC">
            <w:pPr>
              <w:keepNext w:val="0"/>
              <w:keepLines w:val="0"/>
              <w:pageBreakBefore w:val="0"/>
              <w:widowControl/>
              <w:shd w:val="clea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kern w:val="0"/>
                <w:sz w:val="20"/>
                <w:szCs w:val="20"/>
              </w:rPr>
            </w:pPr>
            <w:r>
              <w:rPr>
                <w:rFonts w:hint="eastAsia" w:ascii="宋体" w:hAnsi="宋体" w:eastAsia="宋体" w:cs="宋体"/>
                <w:b/>
                <w:bCs/>
                <w:kern w:val="0"/>
                <w:sz w:val="20"/>
                <w:szCs w:val="20"/>
              </w:rPr>
              <w:t>除毛器</w:t>
            </w:r>
          </w:p>
        </w:tc>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14:paraId="5CA96EBA">
            <w:pPr>
              <w:keepNext w:val="0"/>
              <w:keepLines w:val="0"/>
              <w:pageBreakBefore w:val="0"/>
              <w:widowControl/>
              <w:shd w:val="clea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台</w:t>
            </w:r>
          </w:p>
        </w:tc>
        <w:tc>
          <w:tcPr>
            <w:tcW w:w="7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464A66">
            <w:pPr>
              <w:keepNext w:val="0"/>
              <w:keepLines w:val="0"/>
              <w:pageBreakBefore w:val="0"/>
              <w:widowControl/>
              <w:shd w:val="clea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w:t>
            </w:r>
          </w:p>
        </w:tc>
        <w:tc>
          <w:tcPr>
            <w:tcW w:w="112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0AE969">
            <w:pPr>
              <w:keepNext w:val="0"/>
              <w:keepLines w:val="0"/>
              <w:pageBreakBefore w:val="0"/>
              <w:widowControl/>
              <w:shd w:val="clear"/>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标配：除毛器本体x1，喷水壶x1，毛刷x1</w:t>
            </w:r>
          </w:p>
          <w:p w14:paraId="7B6DFA43">
            <w:pPr>
              <w:keepNext w:val="0"/>
              <w:keepLines w:val="0"/>
              <w:pageBreakBefore w:val="0"/>
              <w:widowControl/>
              <w:shd w:val="clear"/>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材质：除毛器主体和拖杆连接件采用优质加强型结构铝合金型材，铝型材可以回收重复使用，胶盖采用弹性橡胶，方便拆装不易脱落，除毛毯采用涤纶布料</w:t>
            </w:r>
          </w:p>
          <w:p w14:paraId="321F0871">
            <w:pPr>
              <w:keepNext w:val="0"/>
              <w:keepLines w:val="0"/>
              <w:pageBreakBefore w:val="0"/>
              <w:widowControl/>
              <w:shd w:val="clear"/>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工艺：铝材表面经超耐候聚酯粉末喷涂，颜色多年不脱落</w:t>
            </w:r>
          </w:p>
          <w:p w14:paraId="387442E0">
            <w:pPr>
              <w:keepNext w:val="0"/>
              <w:keepLines w:val="0"/>
              <w:pageBreakBefore w:val="0"/>
              <w:widowControl/>
              <w:shd w:val="clear"/>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设计：封口胶盖使用带塞芯结构，使用过程中不易松动，胶盖上亦留出了毛毯伸出的开口使得结构紧凑，增加了美感。此外除毛器才用了静音轮，使用过程中噪音小。拉杆设计成两轴转动，用起来舒适，方便存放和运输。</w:t>
            </w:r>
          </w:p>
          <w:p w14:paraId="76230274">
            <w:pPr>
              <w:keepNext w:val="0"/>
              <w:keepLines w:val="0"/>
              <w:pageBreakBefore w:val="0"/>
              <w:widowControl/>
              <w:shd w:val="clear"/>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规格：长1800mm</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color w:val="000000"/>
                <w:kern w:val="0"/>
                <w:sz w:val="20"/>
                <w:szCs w:val="20"/>
              </w:rPr>
              <w:t>宽13150mm</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color w:val="000000"/>
                <w:kern w:val="0"/>
                <w:sz w:val="20"/>
                <w:szCs w:val="20"/>
              </w:rPr>
              <w:t>高1433mm</w:t>
            </w:r>
          </w:p>
          <w:p w14:paraId="37836E8E">
            <w:pPr>
              <w:keepNext w:val="0"/>
              <w:keepLines w:val="0"/>
              <w:pageBreakBefore w:val="0"/>
              <w:widowControl/>
              <w:shd w:val="clear"/>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颜色：墨绿色</w:t>
            </w:r>
          </w:p>
          <w:p w14:paraId="2297D026">
            <w:pPr>
              <w:keepNext w:val="0"/>
              <w:keepLines w:val="0"/>
              <w:pageBreakBefore w:val="0"/>
              <w:widowControl/>
              <w:shd w:val="clear"/>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适用场地：网球场</w:t>
            </w:r>
          </w:p>
        </w:tc>
      </w:tr>
      <w:tr w14:paraId="42364EAC">
        <w:tblPrEx>
          <w:tblCellMar>
            <w:top w:w="0" w:type="dxa"/>
            <w:left w:w="108" w:type="dxa"/>
            <w:bottom w:w="0" w:type="dxa"/>
            <w:right w:w="108" w:type="dxa"/>
          </w:tblCellMar>
        </w:tblPrEx>
        <w:trPr>
          <w:trHeight w:val="409" w:hRule="atLeast"/>
        </w:trPr>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2A0926">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34</w:t>
            </w:r>
          </w:p>
        </w:tc>
        <w:tc>
          <w:tcPr>
            <w:tcW w:w="1719" w:type="dxa"/>
            <w:tcBorders>
              <w:top w:val="single" w:color="auto" w:sz="4" w:space="0"/>
              <w:left w:val="single" w:color="auto" w:sz="4" w:space="0"/>
              <w:bottom w:val="single" w:color="auto" w:sz="4" w:space="0"/>
              <w:right w:val="single" w:color="auto" w:sz="4" w:space="0"/>
            </w:tcBorders>
            <w:shd w:val="clear" w:color="auto" w:fill="auto"/>
            <w:vAlign w:val="center"/>
          </w:tcPr>
          <w:p w14:paraId="51453328">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
                <w:bCs/>
                <w:kern w:val="0"/>
                <w:sz w:val="20"/>
                <w:szCs w:val="20"/>
              </w:rPr>
            </w:pPr>
            <w:r>
              <w:rPr>
                <w:rFonts w:hint="eastAsia" w:ascii="宋体" w:hAnsi="宋体" w:eastAsia="宋体" w:cs="宋体"/>
                <w:b/>
                <w:bCs/>
                <w:kern w:val="0"/>
                <w:sz w:val="20"/>
                <w:szCs w:val="20"/>
              </w:rPr>
              <w:t>网球赛记分牌</w:t>
            </w:r>
          </w:p>
        </w:tc>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14:paraId="7512286D">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套</w:t>
            </w:r>
          </w:p>
        </w:tc>
        <w:tc>
          <w:tcPr>
            <w:tcW w:w="7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83AA55">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w:t>
            </w:r>
          </w:p>
        </w:tc>
        <w:tc>
          <w:tcPr>
            <w:tcW w:w="112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F1EF46">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手推式记分盒、带走轮</w:t>
            </w:r>
          </w:p>
        </w:tc>
      </w:tr>
      <w:tr w14:paraId="707E2540">
        <w:tblPrEx>
          <w:tblCellMar>
            <w:top w:w="0" w:type="dxa"/>
            <w:left w:w="108" w:type="dxa"/>
            <w:bottom w:w="0" w:type="dxa"/>
            <w:right w:w="108" w:type="dxa"/>
          </w:tblCellMar>
        </w:tblPrEx>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941897">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35</w:t>
            </w:r>
          </w:p>
        </w:tc>
        <w:tc>
          <w:tcPr>
            <w:tcW w:w="1719" w:type="dxa"/>
            <w:tcBorders>
              <w:top w:val="single" w:color="auto" w:sz="4" w:space="0"/>
              <w:left w:val="single" w:color="auto" w:sz="4" w:space="0"/>
              <w:bottom w:val="single" w:color="auto" w:sz="4" w:space="0"/>
              <w:right w:val="single" w:color="auto" w:sz="4" w:space="0"/>
            </w:tcBorders>
            <w:shd w:val="clear" w:color="auto" w:fill="auto"/>
            <w:vAlign w:val="center"/>
          </w:tcPr>
          <w:p w14:paraId="54ED8DAB">
            <w:pPr>
              <w:keepNext w:val="0"/>
              <w:keepLines w:val="0"/>
              <w:pageBreakBefore w:val="0"/>
              <w:widowControl/>
              <w:shd w:val="clear"/>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
                <w:bCs/>
                <w:kern w:val="0"/>
                <w:sz w:val="20"/>
                <w:szCs w:val="20"/>
              </w:rPr>
            </w:pPr>
            <w:r>
              <w:rPr>
                <w:rFonts w:hint="eastAsia" w:ascii="宋体" w:hAnsi="宋体" w:eastAsia="宋体" w:cs="宋体"/>
                <w:b/>
                <w:bCs/>
                <w:kern w:val="0"/>
                <w:sz w:val="20"/>
                <w:szCs w:val="20"/>
              </w:rPr>
              <w:t>智能网球</w:t>
            </w:r>
          </w:p>
          <w:p w14:paraId="6655AB35">
            <w:pPr>
              <w:keepNext w:val="0"/>
              <w:keepLines w:val="0"/>
              <w:pageBreakBefore w:val="0"/>
              <w:widowControl/>
              <w:shd w:val="clear"/>
              <w:kinsoku/>
              <w:wordWrap/>
              <w:overflowPunct/>
              <w:topLinePunct w:val="0"/>
              <w:autoSpaceDE/>
              <w:autoSpaceDN/>
              <w:bidi w:val="0"/>
              <w:adjustRightInd/>
              <w:snapToGrid/>
              <w:spacing w:line="340" w:lineRule="exact"/>
              <w:ind w:left="0" w:leftChars="0" w:firstLine="0" w:firstLineChars="0"/>
              <w:jc w:val="center"/>
              <w:textAlignment w:val="auto"/>
              <w:rPr>
                <w:rFonts w:hint="eastAsia"/>
              </w:rPr>
            </w:pPr>
            <w:r>
              <w:rPr>
                <w:rFonts w:hint="eastAsia" w:ascii="宋体" w:hAnsi="宋体" w:eastAsia="宋体" w:cs="宋体"/>
                <w:b/>
                <w:bCs/>
                <w:kern w:val="0"/>
                <w:sz w:val="20"/>
                <w:szCs w:val="20"/>
              </w:rPr>
              <w:t>运动装备</w:t>
            </w:r>
          </w:p>
        </w:tc>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14:paraId="0A915ED4">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台</w:t>
            </w:r>
          </w:p>
        </w:tc>
        <w:tc>
          <w:tcPr>
            <w:tcW w:w="7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B05A63">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w:t>
            </w:r>
          </w:p>
        </w:tc>
        <w:tc>
          <w:tcPr>
            <w:tcW w:w="112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0FD845">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1.智能无线遥控和手机APP双重操控，轻松调节发球参数；</w:t>
            </w:r>
          </w:p>
          <w:p w14:paraId="60BF0464">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2.智能发球，可按需求自定义设置发球速度、角度、频率、旋球等；</w:t>
            </w:r>
          </w:p>
          <w:p w14:paraId="1E30B05F">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3.智能落点编程，35个点位可选，自编多种发球模式，训练更加精准；</w:t>
            </w:r>
          </w:p>
          <w:p w14:paraId="5F5B2D57">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4.具备多种发球功能，发球频率1.8-9秒，帮助提升球员反应能力、体能和耐力；</w:t>
            </w:r>
          </w:p>
          <w:p w14:paraId="5DE618BE">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5.可帮助球员规范基础动作，进行正反手、脚步、步法练习，提升回球准确率；</w:t>
            </w:r>
          </w:p>
          <w:p w14:paraId="5A963581">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6.配置大容量收纳筐，连续循环发球，大大增加球员触球量。</w:t>
            </w:r>
          </w:p>
          <w:p w14:paraId="3C1A6F1E">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交流电源输入:AC 100-240V  50/60HZ</w:t>
            </w:r>
          </w:p>
          <w:p w14:paraId="7A8B0E35">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8.</w:t>
            </w:r>
            <w:r>
              <w:rPr>
                <w:rFonts w:hint="eastAsia" w:ascii="宋体" w:hAnsi="宋体" w:eastAsia="宋体" w:cs="宋体"/>
                <w:color w:val="000000"/>
                <w:kern w:val="0"/>
                <w:sz w:val="20"/>
                <w:szCs w:val="20"/>
              </w:rPr>
              <w:t>发球频率：1.8-9s/球</w:t>
            </w:r>
          </w:p>
          <w:p w14:paraId="3C86AF77">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9.</w:t>
            </w:r>
            <w:r>
              <w:rPr>
                <w:rFonts w:hint="eastAsia" w:ascii="宋体" w:hAnsi="宋体" w:eastAsia="宋体" w:cs="宋体"/>
                <w:color w:val="000000"/>
                <w:kern w:val="0"/>
                <w:sz w:val="20"/>
                <w:szCs w:val="20"/>
              </w:rPr>
              <w:t>尺寸：570</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color w:val="000000"/>
                <w:kern w:val="0"/>
                <w:sz w:val="20"/>
                <w:szCs w:val="20"/>
              </w:rPr>
              <w:t>410</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color w:val="000000"/>
                <w:kern w:val="0"/>
                <w:sz w:val="20"/>
                <w:szCs w:val="20"/>
              </w:rPr>
              <w:t>820mm</w:t>
            </w:r>
          </w:p>
          <w:p w14:paraId="3BD98D3E">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10.</w:t>
            </w:r>
            <w:r>
              <w:rPr>
                <w:rFonts w:hint="eastAsia" w:ascii="宋体" w:hAnsi="宋体" w:eastAsia="宋体" w:cs="宋体"/>
                <w:color w:val="000000"/>
                <w:kern w:val="0"/>
                <w:sz w:val="20"/>
                <w:szCs w:val="20"/>
              </w:rPr>
              <w:t>功率：360w</w:t>
            </w:r>
          </w:p>
          <w:p w14:paraId="15E72211">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11.</w:t>
            </w:r>
            <w:r>
              <w:rPr>
                <w:rFonts w:hint="eastAsia" w:ascii="宋体" w:hAnsi="宋体" w:eastAsia="宋体" w:cs="宋体"/>
                <w:color w:val="000000"/>
                <w:kern w:val="0"/>
                <w:sz w:val="20"/>
                <w:szCs w:val="20"/>
              </w:rPr>
              <w:t xml:space="preserve">重量：28.5KG               </w:t>
            </w:r>
          </w:p>
          <w:p w14:paraId="5662C270">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rPr>
            </w:pPr>
            <w:r>
              <w:rPr>
                <w:rFonts w:hint="eastAsia" w:ascii="宋体" w:hAnsi="宋体" w:eastAsia="宋体" w:cs="宋体"/>
                <w:color w:val="000000"/>
                <w:kern w:val="0"/>
                <w:sz w:val="20"/>
                <w:szCs w:val="20"/>
                <w:lang w:val="en-US" w:eastAsia="zh-CN"/>
              </w:rPr>
              <w:t>12.</w:t>
            </w:r>
            <w:r>
              <w:rPr>
                <w:rFonts w:hint="eastAsia" w:ascii="宋体" w:hAnsi="宋体" w:eastAsia="宋体" w:cs="宋体"/>
                <w:color w:val="000000"/>
                <w:kern w:val="0"/>
                <w:sz w:val="20"/>
                <w:szCs w:val="20"/>
              </w:rPr>
              <w:t>装球容量：150个</w:t>
            </w:r>
          </w:p>
        </w:tc>
      </w:tr>
      <w:tr w14:paraId="13CB7F23">
        <w:tblPrEx>
          <w:tblCellMar>
            <w:top w:w="0" w:type="dxa"/>
            <w:left w:w="108" w:type="dxa"/>
            <w:bottom w:w="0" w:type="dxa"/>
            <w:right w:w="108" w:type="dxa"/>
          </w:tblCellMar>
        </w:tblPrEx>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472DE0">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36</w:t>
            </w:r>
          </w:p>
        </w:tc>
        <w:tc>
          <w:tcPr>
            <w:tcW w:w="1719" w:type="dxa"/>
            <w:tcBorders>
              <w:top w:val="single" w:color="auto" w:sz="4" w:space="0"/>
              <w:left w:val="single" w:color="auto" w:sz="4" w:space="0"/>
              <w:bottom w:val="single" w:color="auto" w:sz="4" w:space="0"/>
              <w:right w:val="single" w:color="auto" w:sz="4" w:space="0"/>
            </w:tcBorders>
            <w:shd w:val="clear" w:color="auto" w:fill="auto"/>
            <w:vAlign w:val="center"/>
          </w:tcPr>
          <w:p w14:paraId="250B206C">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
                <w:bCs/>
                <w:kern w:val="0"/>
                <w:sz w:val="20"/>
                <w:szCs w:val="20"/>
              </w:rPr>
            </w:pPr>
            <w:r>
              <w:rPr>
                <w:rFonts w:hint="eastAsia" w:ascii="宋体" w:hAnsi="宋体" w:eastAsia="宋体" w:cs="宋体"/>
                <w:b/>
                <w:bCs/>
                <w:kern w:val="0"/>
                <w:sz w:val="20"/>
                <w:szCs w:val="20"/>
              </w:rPr>
              <w:t>钢排椅</w:t>
            </w:r>
          </w:p>
        </w:tc>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14:paraId="66F9D5A8">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组</w:t>
            </w:r>
          </w:p>
        </w:tc>
        <w:tc>
          <w:tcPr>
            <w:tcW w:w="7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0047CD">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12</w:t>
            </w:r>
          </w:p>
        </w:tc>
        <w:tc>
          <w:tcPr>
            <w:tcW w:w="112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C61779">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cs="宋体"/>
                <w:color w:val="000000"/>
                <w:kern w:val="0"/>
                <w:sz w:val="20"/>
                <w:szCs w:val="20"/>
                <w:lang w:val="en-US" w:eastAsia="zh-CN"/>
              </w:rPr>
              <w:t>1.</w:t>
            </w:r>
            <w:r>
              <w:rPr>
                <w:rFonts w:hint="eastAsia" w:ascii="宋体" w:hAnsi="宋体" w:eastAsia="宋体" w:cs="宋体"/>
                <w:color w:val="000000"/>
                <w:kern w:val="0"/>
                <w:sz w:val="20"/>
                <w:szCs w:val="20"/>
              </w:rPr>
              <w:t>扶手、椅脚：采用非金属材料尼龙PA66加纤维GF经模具一体注塑成型，一体成色灰色饰面，无需喷涂，扶手设计为开放结构，不分左中右，满足在每个座位间隔安装扶手的要求。采用塑料模注塑成形成色，外形美观且坚固，永不生锈。椅脚底部增设调整支撑，既防滑耐磨，又能保证座椅适应不同的地面。</w:t>
            </w:r>
          </w:p>
          <w:p w14:paraId="1765669D">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座背PU椅面材质：采用钢架焊接钢板和100%聚氨脂模具内一次成型。背PU厚度≥25mm，座PU厚度≥25mm，PU宽度达560mm，座背板PU组装连体板设计制作,椅背带V字形线条顶腰流线设计，既符合人体维度设计，又增加座椅的设计观感，坐感舒适，久坐不变形，颜色的搭配既增加环境的融合度，又耐脏耐用，确保座椅的使用寿命。PU座背内忖钢架焊接钢板工艺，材质为高强度钢架焊接穿孔钢板（钢板厚度不低于1.5mm），外部采用100%纯高密度聚氨酯（PU)全部包裹（即椅座和椅背造型上无外露钢架）模注成型，椅座及椅背内不填充其它物质。</w:t>
            </w:r>
          </w:p>
          <w:p w14:paraId="65EDCFD4">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承重横梁：采用高强度40*80的优质方管，厚度不低于1.8mm，具有超强的承重能力和稳定性，表面做静电喷粉喷涂处理。采用“卡”式结构，不需要在横梁上预埋螺母，表面无孔位，卡扣件为钢制压型铸件，宽度35mm，立面压型深度≥60mm，座椅支架及椅腿可在上面任一位置安装，表面与椅腿及支架完全咬合。横档两侧采用多边菱形设计封盖，增强座椅线条设计感，更为时尚优雅。</w:t>
            </w:r>
          </w:p>
          <w:p w14:paraId="25D09ACC">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4.整套安全性能好，结构稳定，五金部分皆由高品质部件组成，外皮和内芯层均由高密度聚氨酯PU材料通过模具一次发泡成型，具有良好的坐感，有良好的减震作用，不易使人（尤其是老人孕妇小孩）受伤。分子结构紧密，耐用耐磨，防水防菌易清洁。※备注：整个座位安装设计要求无螺丝外露，安全美观</w:t>
            </w:r>
            <w:r>
              <w:rPr>
                <w:rFonts w:hint="eastAsia" w:cs="宋体"/>
                <w:color w:val="000000"/>
                <w:kern w:val="0"/>
                <w:sz w:val="20"/>
                <w:szCs w:val="20"/>
                <w:lang w:eastAsia="zh-CN"/>
              </w:rPr>
              <w:t>。</w:t>
            </w:r>
          </w:p>
        </w:tc>
      </w:tr>
      <w:tr w14:paraId="6F3D5A36">
        <w:tblPrEx>
          <w:tblCellMar>
            <w:top w:w="0" w:type="dxa"/>
            <w:left w:w="108" w:type="dxa"/>
            <w:bottom w:w="0" w:type="dxa"/>
            <w:right w:w="108" w:type="dxa"/>
          </w:tblCellMar>
        </w:tblPrEx>
        <w:trPr>
          <w:trHeight w:val="419" w:hRule="atLeast"/>
        </w:trPr>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EE3374">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37</w:t>
            </w:r>
          </w:p>
        </w:tc>
        <w:tc>
          <w:tcPr>
            <w:tcW w:w="1719" w:type="dxa"/>
            <w:tcBorders>
              <w:top w:val="single" w:color="auto" w:sz="4" w:space="0"/>
              <w:left w:val="single" w:color="auto" w:sz="4" w:space="0"/>
              <w:bottom w:val="single" w:color="auto" w:sz="4" w:space="0"/>
              <w:right w:val="single" w:color="auto" w:sz="4" w:space="0"/>
            </w:tcBorders>
            <w:shd w:val="clear" w:color="auto" w:fill="auto"/>
            <w:vAlign w:val="center"/>
          </w:tcPr>
          <w:p w14:paraId="69F045B8">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
                <w:bCs/>
                <w:kern w:val="0"/>
                <w:sz w:val="20"/>
                <w:szCs w:val="20"/>
              </w:rPr>
            </w:pPr>
            <w:r>
              <w:rPr>
                <w:rFonts w:hint="eastAsia" w:ascii="宋体" w:hAnsi="宋体" w:eastAsia="宋体" w:cs="宋体"/>
                <w:b/>
                <w:bCs/>
                <w:kern w:val="0"/>
                <w:sz w:val="20"/>
                <w:szCs w:val="20"/>
              </w:rPr>
              <w:t>折叠座椅</w:t>
            </w:r>
          </w:p>
        </w:tc>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14:paraId="0F6348ED">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张</w:t>
            </w:r>
          </w:p>
        </w:tc>
        <w:tc>
          <w:tcPr>
            <w:tcW w:w="7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2D785D">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4</w:t>
            </w:r>
          </w:p>
        </w:tc>
        <w:tc>
          <w:tcPr>
            <w:tcW w:w="112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FB7D2E">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1.高度：85～95cm，座宽：40cm，座深：45cm</w:t>
            </w:r>
          </w:p>
          <w:p w14:paraId="4B287561">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2.材质：碳素钢、皮革</w:t>
            </w:r>
          </w:p>
          <w:p w14:paraId="6EFD7814">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3.重量&gt;5.5kg</w:t>
            </w:r>
          </w:p>
        </w:tc>
      </w:tr>
      <w:tr w14:paraId="63F074B6">
        <w:tblPrEx>
          <w:tblCellMar>
            <w:top w:w="0" w:type="dxa"/>
            <w:left w:w="108" w:type="dxa"/>
            <w:bottom w:w="0" w:type="dxa"/>
            <w:right w:w="108" w:type="dxa"/>
          </w:tblCellMar>
        </w:tblPrEx>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B9D581">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38</w:t>
            </w:r>
          </w:p>
        </w:tc>
        <w:tc>
          <w:tcPr>
            <w:tcW w:w="1719" w:type="dxa"/>
            <w:tcBorders>
              <w:top w:val="single" w:color="auto" w:sz="4" w:space="0"/>
              <w:left w:val="single" w:color="auto" w:sz="4" w:space="0"/>
              <w:bottom w:val="single" w:color="auto" w:sz="4" w:space="0"/>
              <w:right w:val="single" w:color="auto" w:sz="4" w:space="0"/>
            </w:tcBorders>
            <w:shd w:val="clear" w:color="auto" w:fill="auto"/>
            <w:vAlign w:val="center"/>
          </w:tcPr>
          <w:p w14:paraId="6095A914">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
                <w:bCs/>
                <w:kern w:val="0"/>
                <w:sz w:val="20"/>
                <w:szCs w:val="20"/>
              </w:rPr>
            </w:pPr>
            <w:r>
              <w:rPr>
                <w:rFonts w:hint="eastAsia" w:ascii="宋体" w:hAnsi="宋体" w:eastAsia="宋体" w:cs="宋体"/>
                <w:b/>
                <w:bCs/>
                <w:kern w:val="0"/>
                <w:sz w:val="20"/>
                <w:szCs w:val="20"/>
              </w:rPr>
              <w:t>条形桌</w:t>
            </w:r>
          </w:p>
        </w:tc>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14:paraId="6737EE7B">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张</w:t>
            </w:r>
          </w:p>
        </w:tc>
        <w:tc>
          <w:tcPr>
            <w:tcW w:w="7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FDCEBC">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4</w:t>
            </w:r>
          </w:p>
        </w:tc>
        <w:tc>
          <w:tcPr>
            <w:tcW w:w="112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F7DB1F">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1.2×0.45m</w:t>
            </w:r>
          </w:p>
          <w:p w14:paraId="6F91D468">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实木贴皮</w:t>
            </w:r>
          </w:p>
        </w:tc>
      </w:tr>
      <w:tr w14:paraId="104765CD">
        <w:tblPrEx>
          <w:tblCellMar>
            <w:top w:w="0" w:type="dxa"/>
            <w:left w:w="108" w:type="dxa"/>
            <w:bottom w:w="0" w:type="dxa"/>
            <w:right w:w="108" w:type="dxa"/>
          </w:tblCellMar>
        </w:tblPrEx>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FCE72B">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39</w:t>
            </w:r>
          </w:p>
        </w:tc>
        <w:tc>
          <w:tcPr>
            <w:tcW w:w="1719" w:type="dxa"/>
            <w:tcBorders>
              <w:top w:val="single" w:color="auto" w:sz="4" w:space="0"/>
              <w:left w:val="single" w:color="auto" w:sz="4" w:space="0"/>
              <w:bottom w:val="single" w:color="auto" w:sz="4" w:space="0"/>
              <w:right w:val="single" w:color="auto" w:sz="4" w:space="0"/>
            </w:tcBorders>
            <w:shd w:val="clear" w:color="auto" w:fill="auto"/>
            <w:vAlign w:val="center"/>
          </w:tcPr>
          <w:p w14:paraId="7265CE26">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
                <w:bCs/>
                <w:kern w:val="0"/>
                <w:sz w:val="20"/>
                <w:szCs w:val="20"/>
              </w:rPr>
            </w:pPr>
            <w:r>
              <w:rPr>
                <w:rFonts w:hint="eastAsia" w:ascii="宋体" w:hAnsi="宋体" w:eastAsia="宋体" w:cs="宋体"/>
                <w:b/>
                <w:bCs/>
                <w:kern w:val="0"/>
                <w:sz w:val="20"/>
                <w:szCs w:val="20"/>
              </w:rPr>
              <w:t>水晶沙纹</w:t>
            </w:r>
          </w:p>
          <w:p w14:paraId="0429BCE6">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
                <w:bCs/>
                <w:kern w:val="0"/>
                <w:sz w:val="20"/>
                <w:szCs w:val="20"/>
              </w:rPr>
            </w:pPr>
            <w:r>
              <w:rPr>
                <w:rFonts w:hint="eastAsia" w:ascii="宋体" w:hAnsi="宋体" w:eastAsia="宋体" w:cs="宋体"/>
                <w:b/>
                <w:bCs/>
                <w:kern w:val="0"/>
                <w:sz w:val="20"/>
                <w:szCs w:val="20"/>
              </w:rPr>
              <w:t>运动地板</w:t>
            </w:r>
          </w:p>
        </w:tc>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14:paraId="23378399">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0"/>
                <w:sz w:val="20"/>
                <w:szCs w:val="20"/>
                <w:lang w:val="en-US" w:eastAsia="zh-CN"/>
              </w:rPr>
            </w:pPr>
            <w:r>
              <w:rPr>
                <w:rFonts w:hint="eastAsia" w:ascii="宋体" w:hAnsi="宋体" w:eastAsia="宋体" w:cs="宋体"/>
                <w:color w:val="000000"/>
                <w:kern w:val="0"/>
                <w:sz w:val="20"/>
                <w:szCs w:val="20"/>
                <w:lang w:val="en-US" w:eastAsia="zh-CN"/>
              </w:rPr>
              <w:t>㎡</w:t>
            </w:r>
          </w:p>
        </w:tc>
        <w:tc>
          <w:tcPr>
            <w:tcW w:w="7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5D38BF">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972</w:t>
            </w:r>
          </w:p>
        </w:tc>
        <w:tc>
          <w:tcPr>
            <w:tcW w:w="112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43351E">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w:t>
            </w:r>
            <w:r>
              <w:rPr>
                <w:rFonts w:hint="eastAsia" w:ascii="宋体" w:hAnsi="宋体" w:eastAsia="宋体" w:cs="宋体"/>
                <w:color w:val="000000"/>
                <w:kern w:val="0"/>
                <w:sz w:val="20"/>
                <w:szCs w:val="20"/>
                <w:highlight w:val="none"/>
                <w:lang w:val="en-US" w:eastAsia="zh-CN"/>
              </w:rPr>
              <w:t>.</w:t>
            </w:r>
            <w:r>
              <w:rPr>
                <w:rFonts w:hint="eastAsia" w:ascii="宋体" w:hAnsi="宋体" w:eastAsia="宋体" w:cs="宋体"/>
                <w:color w:val="000000"/>
                <w:kern w:val="0"/>
                <w:sz w:val="20"/>
                <w:szCs w:val="20"/>
                <w:highlight w:val="none"/>
              </w:rPr>
              <w:t>规格：厚度7.0mm±0.1mm</w:t>
            </w:r>
          </w:p>
          <w:p w14:paraId="6FFC0539">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2</w:t>
            </w:r>
            <w:r>
              <w:rPr>
                <w:rFonts w:hint="eastAsia" w:ascii="宋体" w:hAnsi="宋体" w:eastAsia="宋体" w:cs="宋体"/>
                <w:color w:val="000000"/>
                <w:kern w:val="0"/>
                <w:sz w:val="20"/>
                <w:szCs w:val="20"/>
                <w:highlight w:val="none"/>
                <w:lang w:val="en-US" w:eastAsia="zh-CN"/>
              </w:rPr>
              <w:t>.</w:t>
            </w:r>
            <w:r>
              <w:rPr>
                <w:rFonts w:hint="eastAsia" w:ascii="宋体" w:hAnsi="宋体" w:eastAsia="宋体" w:cs="宋体"/>
                <w:color w:val="000000"/>
                <w:kern w:val="0"/>
                <w:sz w:val="20"/>
                <w:szCs w:val="20"/>
                <w:highlight w:val="none"/>
              </w:rPr>
              <w:t>硬度（邵A）：55-90（度）</w:t>
            </w:r>
          </w:p>
          <w:p w14:paraId="62590A42">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3</w:t>
            </w:r>
            <w:r>
              <w:rPr>
                <w:rFonts w:hint="eastAsia" w:ascii="宋体" w:hAnsi="宋体" w:eastAsia="宋体" w:cs="宋体"/>
                <w:color w:val="000000"/>
                <w:kern w:val="0"/>
                <w:sz w:val="20"/>
                <w:szCs w:val="20"/>
                <w:highlight w:val="none"/>
                <w:lang w:val="en-US" w:eastAsia="zh-CN"/>
              </w:rPr>
              <w:t>.</w:t>
            </w:r>
            <w:r>
              <w:rPr>
                <w:rFonts w:hint="eastAsia" w:ascii="宋体" w:hAnsi="宋体" w:eastAsia="宋体" w:cs="宋体"/>
                <w:color w:val="000000"/>
                <w:kern w:val="0"/>
                <w:sz w:val="20"/>
                <w:szCs w:val="20"/>
                <w:highlight w:val="none"/>
              </w:rPr>
              <w:t>拉伸强度≥1.0Mpa</w:t>
            </w:r>
          </w:p>
          <w:p w14:paraId="3A472DDD">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4</w:t>
            </w:r>
            <w:r>
              <w:rPr>
                <w:rFonts w:hint="eastAsia" w:ascii="宋体" w:hAnsi="宋体" w:eastAsia="宋体" w:cs="宋体"/>
                <w:color w:val="000000"/>
                <w:kern w:val="0"/>
                <w:sz w:val="20"/>
                <w:szCs w:val="20"/>
                <w:highlight w:val="none"/>
                <w:lang w:val="en-US" w:eastAsia="zh-CN"/>
              </w:rPr>
              <w:t>.</w:t>
            </w:r>
            <w:r>
              <w:rPr>
                <w:rFonts w:hint="eastAsia" w:ascii="宋体" w:hAnsi="宋体" w:eastAsia="宋体" w:cs="宋体"/>
                <w:color w:val="000000"/>
                <w:kern w:val="0"/>
                <w:sz w:val="20"/>
                <w:szCs w:val="20"/>
                <w:highlight w:val="none"/>
              </w:rPr>
              <w:t>拉断伸长率≥120%</w:t>
            </w:r>
          </w:p>
          <w:p w14:paraId="1C0BDE17">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5</w:t>
            </w:r>
            <w:r>
              <w:rPr>
                <w:rFonts w:hint="eastAsia" w:ascii="宋体" w:hAnsi="宋体" w:eastAsia="宋体" w:cs="宋体"/>
                <w:color w:val="000000"/>
                <w:kern w:val="0"/>
                <w:sz w:val="20"/>
                <w:szCs w:val="20"/>
                <w:highlight w:val="none"/>
                <w:lang w:val="en-US" w:eastAsia="zh-CN"/>
              </w:rPr>
              <w:t>.</w:t>
            </w:r>
            <w:r>
              <w:rPr>
                <w:rFonts w:hint="eastAsia" w:ascii="宋体" w:hAnsi="宋体" w:eastAsia="宋体" w:cs="宋体"/>
                <w:color w:val="000000"/>
                <w:kern w:val="0"/>
                <w:sz w:val="20"/>
                <w:szCs w:val="20"/>
                <w:highlight w:val="none"/>
              </w:rPr>
              <w:t>氯乙烯含量：未检出</w:t>
            </w:r>
          </w:p>
          <w:p w14:paraId="4CF25EDB">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6</w:t>
            </w:r>
            <w:r>
              <w:rPr>
                <w:rFonts w:hint="eastAsia" w:ascii="宋体" w:hAnsi="宋体" w:eastAsia="宋体" w:cs="宋体"/>
                <w:color w:val="000000"/>
                <w:kern w:val="0"/>
                <w:sz w:val="20"/>
                <w:szCs w:val="20"/>
                <w:highlight w:val="none"/>
                <w:lang w:val="en-US" w:eastAsia="zh-CN"/>
              </w:rPr>
              <w:t>.</w:t>
            </w:r>
            <w:r>
              <w:rPr>
                <w:rFonts w:hint="eastAsia" w:ascii="宋体" w:hAnsi="宋体" w:eastAsia="宋体" w:cs="宋体"/>
                <w:color w:val="000000"/>
                <w:kern w:val="0"/>
                <w:sz w:val="20"/>
                <w:szCs w:val="20"/>
                <w:highlight w:val="none"/>
              </w:rPr>
              <w:t>防火燃烧性能B1级，20s内焰尖高度≤120mm</w:t>
            </w:r>
          </w:p>
          <w:p w14:paraId="4DC1A6B1">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7</w:t>
            </w:r>
            <w:r>
              <w:rPr>
                <w:rFonts w:hint="eastAsia" w:ascii="宋体" w:hAnsi="宋体" w:eastAsia="宋体" w:cs="宋体"/>
                <w:color w:val="000000"/>
                <w:kern w:val="0"/>
                <w:sz w:val="20"/>
                <w:szCs w:val="20"/>
                <w:highlight w:val="none"/>
                <w:lang w:val="en-US" w:eastAsia="zh-CN"/>
              </w:rPr>
              <w:t>.</w:t>
            </w:r>
            <w:r>
              <w:rPr>
                <w:rFonts w:hint="eastAsia" w:ascii="宋体" w:hAnsi="宋体" w:eastAsia="宋体" w:cs="宋体"/>
                <w:color w:val="000000"/>
                <w:kern w:val="0"/>
                <w:sz w:val="20"/>
                <w:szCs w:val="20"/>
                <w:highlight w:val="none"/>
              </w:rPr>
              <w:t>灰分含量≤0.2%</w:t>
            </w:r>
          </w:p>
          <w:p w14:paraId="3F900591">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8</w:t>
            </w:r>
            <w:r>
              <w:rPr>
                <w:rFonts w:hint="eastAsia" w:ascii="宋体" w:hAnsi="宋体" w:eastAsia="宋体" w:cs="宋体"/>
                <w:color w:val="000000"/>
                <w:kern w:val="0"/>
                <w:sz w:val="20"/>
                <w:szCs w:val="20"/>
                <w:highlight w:val="none"/>
                <w:lang w:val="en-US" w:eastAsia="zh-CN"/>
              </w:rPr>
              <w:t>.</w:t>
            </w:r>
            <w:r>
              <w:rPr>
                <w:rFonts w:hint="eastAsia" w:ascii="宋体" w:hAnsi="宋体" w:eastAsia="宋体" w:cs="宋体"/>
                <w:color w:val="000000"/>
                <w:kern w:val="0"/>
                <w:sz w:val="20"/>
                <w:szCs w:val="20"/>
                <w:highlight w:val="none"/>
              </w:rPr>
              <w:t>焊接强度，平均值≥500N/50mm；最小值≥400N/50mm</w:t>
            </w:r>
          </w:p>
          <w:p w14:paraId="21572E60">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9</w:t>
            </w:r>
            <w:r>
              <w:rPr>
                <w:rFonts w:hint="eastAsia" w:ascii="宋体" w:hAnsi="宋体" w:eastAsia="宋体" w:cs="宋体"/>
                <w:color w:val="000000"/>
                <w:kern w:val="0"/>
                <w:sz w:val="20"/>
                <w:szCs w:val="20"/>
                <w:highlight w:val="none"/>
                <w:lang w:val="en-US" w:eastAsia="zh-CN"/>
              </w:rPr>
              <w:t>.</w:t>
            </w:r>
            <w:r>
              <w:rPr>
                <w:rFonts w:hint="eastAsia" w:ascii="宋体" w:hAnsi="宋体" w:eastAsia="宋体" w:cs="宋体"/>
                <w:color w:val="000000"/>
                <w:kern w:val="0"/>
                <w:sz w:val="20"/>
                <w:szCs w:val="20"/>
                <w:highlight w:val="none"/>
              </w:rPr>
              <w:t>加热尺寸变化率（纵向，横向）≤0.4%</w:t>
            </w:r>
          </w:p>
          <w:p w14:paraId="06F81533">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10</w:t>
            </w:r>
            <w:r>
              <w:rPr>
                <w:rFonts w:hint="eastAsia" w:ascii="宋体" w:hAnsi="宋体" w:eastAsia="宋体" w:cs="宋体"/>
                <w:color w:val="000000"/>
                <w:kern w:val="0"/>
                <w:sz w:val="20"/>
                <w:szCs w:val="20"/>
                <w:highlight w:val="none"/>
                <w:lang w:val="en-US" w:eastAsia="zh-CN"/>
              </w:rPr>
              <w:t>.</w:t>
            </w:r>
            <w:r>
              <w:rPr>
                <w:rFonts w:hint="eastAsia" w:ascii="宋体" w:hAnsi="宋体" w:eastAsia="宋体" w:cs="宋体"/>
                <w:color w:val="000000"/>
                <w:kern w:val="0"/>
                <w:sz w:val="20"/>
                <w:szCs w:val="20"/>
                <w:highlight w:val="none"/>
              </w:rPr>
              <w:t>耐磨性T级，体积损失≤2.0mm³</w:t>
            </w:r>
          </w:p>
          <w:p w14:paraId="2BD4C07C">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11</w:t>
            </w:r>
            <w:r>
              <w:rPr>
                <w:rFonts w:hint="eastAsia" w:ascii="宋体" w:hAnsi="宋体" w:eastAsia="宋体" w:cs="宋体"/>
                <w:color w:val="000000"/>
                <w:kern w:val="0"/>
                <w:sz w:val="20"/>
                <w:szCs w:val="20"/>
                <w:highlight w:val="none"/>
                <w:lang w:val="en-US" w:eastAsia="zh-CN"/>
              </w:rPr>
              <w:t>.</w:t>
            </w:r>
            <w:r>
              <w:rPr>
                <w:rFonts w:hint="eastAsia" w:ascii="宋体" w:hAnsi="宋体" w:eastAsia="宋体" w:cs="宋体"/>
                <w:color w:val="000000"/>
                <w:kern w:val="0"/>
                <w:sz w:val="20"/>
                <w:szCs w:val="20"/>
                <w:highlight w:val="none"/>
              </w:rPr>
              <w:t>防滑性(湿法)≥0.6，质保期限：8年</w:t>
            </w:r>
          </w:p>
          <w:p w14:paraId="265DC512">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★12</w:t>
            </w:r>
            <w:r>
              <w:rPr>
                <w:rFonts w:hint="eastAsia" w:ascii="宋体" w:hAnsi="宋体" w:eastAsia="宋体" w:cs="宋体"/>
                <w:color w:val="auto"/>
                <w:kern w:val="0"/>
                <w:sz w:val="20"/>
                <w:szCs w:val="20"/>
                <w:highlight w:val="none"/>
                <w:lang w:val="en-US" w:eastAsia="zh-CN"/>
              </w:rPr>
              <w:t>.</w:t>
            </w:r>
            <w:r>
              <w:rPr>
                <w:rFonts w:hint="eastAsia" w:ascii="宋体" w:hAnsi="宋体" w:eastAsia="宋体" w:cs="宋体"/>
                <w:color w:val="auto"/>
                <w:kern w:val="0"/>
                <w:sz w:val="20"/>
                <w:szCs w:val="20"/>
                <w:highlight w:val="none"/>
              </w:rPr>
              <w:t>提供28天的甲苯、乙苯释放量≤20µg/m³检测报告</w:t>
            </w:r>
          </w:p>
          <w:p w14:paraId="496CFFB3">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★13</w:t>
            </w:r>
            <w:r>
              <w:rPr>
                <w:rFonts w:hint="eastAsia" w:ascii="宋体" w:hAnsi="宋体" w:eastAsia="宋体" w:cs="宋体"/>
                <w:color w:val="auto"/>
                <w:kern w:val="0"/>
                <w:sz w:val="20"/>
                <w:szCs w:val="20"/>
                <w:highlight w:val="none"/>
                <w:lang w:val="en-US" w:eastAsia="zh-CN"/>
              </w:rPr>
              <w:t>.</w:t>
            </w:r>
            <w:r>
              <w:rPr>
                <w:rFonts w:hint="eastAsia" w:ascii="宋体" w:hAnsi="宋体" w:eastAsia="宋体" w:cs="宋体"/>
                <w:color w:val="auto"/>
                <w:kern w:val="0"/>
                <w:sz w:val="20"/>
                <w:szCs w:val="20"/>
                <w:highlight w:val="none"/>
              </w:rPr>
              <w:t>抗菌性能检测（大肠杆菌、金色葡萄球菌等5种以上细菌），抗菌率≥99.5%。</w:t>
            </w:r>
          </w:p>
          <w:p w14:paraId="52D3DFF6">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★14</w:t>
            </w:r>
            <w:r>
              <w:rPr>
                <w:rFonts w:hint="eastAsia" w:ascii="宋体" w:hAnsi="宋体" w:eastAsia="宋体" w:cs="宋体"/>
                <w:color w:val="auto"/>
                <w:kern w:val="0"/>
                <w:sz w:val="20"/>
                <w:szCs w:val="20"/>
                <w:highlight w:val="none"/>
                <w:lang w:val="en-US" w:eastAsia="zh-CN"/>
              </w:rPr>
              <w:t>.</w:t>
            </w:r>
            <w:r>
              <w:rPr>
                <w:rFonts w:hint="eastAsia" w:ascii="宋体" w:hAnsi="宋体" w:eastAsia="宋体" w:cs="宋体"/>
                <w:color w:val="auto"/>
                <w:kern w:val="0"/>
                <w:sz w:val="20"/>
                <w:szCs w:val="20"/>
                <w:highlight w:val="none"/>
              </w:rPr>
              <w:t>不少于3000h的耐酸耐碱老化后，符合抗滑值平均值≥105，可溶性铅未检出。</w:t>
            </w:r>
          </w:p>
          <w:p w14:paraId="77A67901">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★15</w:t>
            </w:r>
            <w:r>
              <w:rPr>
                <w:rFonts w:hint="eastAsia" w:ascii="宋体" w:hAnsi="宋体" w:eastAsia="宋体" w:cs="宋体"/>
                <w:color w:val="auto"/>
                <w:kern w:val="0"/>
                <w:sz w:val="20"/>
                <w:szCs w:val="20"/>
                <w:highlight w:val="none"/>
                <w:lang w:val="en-US" w:eastAsia="zh-CN"/>
              </w:rPr>
              <w:t>.</w:t>
            </w:r>
            <w:r>
              <w:rPr>
                <w:rFonts w:hint="eastAsia" w:ascii="宋体" w:hAnsi="宋体" w:eastAsia="宋体" w:cs="宋体"/>
                <w:color w:val="auto"/>
                <w:kern w:val="0"/>
                <w:sz w:val="20"/>
                <w:szCs w:val="20"/>
                <w:highlight w:val="none"/>
              </w:rPr>
              <w:t xml:space="preserve">不少于2000h的耐环境应力开裂检测，达到破裂率0% </w:t>
            </w:r>
          </w:p>
          <w:p w14:paraId="1C50B74E">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★16</w:t>
            </w:r>
            <w:r>
              <w:rPr>
                <w:rFonts w:hint="eastAsia" w:ascii="宋体" w:hAnsi="宋体" w:eastAsia="宋体" w:cs="宋体"/>
                <w:color w:val="auto"/>
                <w:kern w:val="0"/>
                <w:sz w:val="20"/>
                <w:szCs w:val="20"/>
                <w:highlight w:val="none"/>
                <w:lang w:val="en-US" w:eastAsia="zh-CN"/>
              </w:rPr>
              <w:t>.</w:t>
            </w:r>
            <w:r>
              <w:rPr>
                <w:rFonts w:hint="eastAsia" w:ascii="宋体" w:hAnsi="宋体" w:eastAsia="宋体" w:cs="宋体"/>
                <w:color w:val="auto"/>
                <w:kern w:val="0"/>
                <w:sz w:val="20"/>
                <w:szCs w:val="20"/>
                <w:highlight w:val="none"/>
              </w:rPr>
              <w:t>不少于3000h耐人工气候（透过玻璃）老化，外观不准许有裂纹，达到耐污染性0级。</w:t>
            </w:r>
          </w:p>
          <w:p w14:paraId="48299A1B">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★17</w:t>
            </w:r>
            <w:r>
              <w:rPr>
                <w:rFonts w:hint="eastAsia" w:ascii="宋体" w:hAnsi="宋体" w:eastAsia="宋体" w:cs="宋体"/>
                <w:color w:val="auto"/>
                <w:kern w:val="0"/>
                <w:sz w:val="20"/>
                <w:szCs w:val="20"/>
                <w:highlight w:val="none"/>
                <w:lang w:val="en-US" w:eastAsia="zh-CN"/>
              </w:rPr>
              <w:t>.</w:t>
            </w:r>
            <w:r>
              <w:rPr>
                <w:rFonts w:hint="eastAsia" w:ascii="宋体" w:hAnsi="宋体" w:eastAsia="宋体" w:cs="宋体"/>
                <w:color w:val="auto"/>
                <w:kern w:val="0"/>
                <w:sz w:val="20"/>
                <w:szCs w:val="20"/>
                <w:highlight w:val="none"/>
              </w:rPr>
              <w:t>提供要求和PVC地板同品牌的胶粘剂中苯，甲苯、二甲苯和可溶性铅全部未检出的检测报告。</w:t>
            </w:r>
          </w:p>
          <w:p w14:paraId="0C795107">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eastAsia="宋体"/>
                <w:highlight w:val="none"/>
                <w:lang w:eastAsia="zh-CN"/>
              </w:rPr>
            </w:pPr>
            <w:r>
              <w:rPr>
                <w:rFonts w:hint="eastAsia" w:cs="宋体"/>
                <w:color w:val="auto"/>
                <w:kern w:val="0"/>
                <w:sz w:val="20"/>
                <w:szCs w:val="20"/>
                <w:highlight w:val="none"/>
                <w:lang w:val="en-US" w:eastAsia="zh-CN"/>
              </w:rPr>
              <w:t>以上12-17项</w:t>
            </w:r>
            <w:r>
              <w:rPr>
                <w:rFonts w:hint="eastAsia" w:ascii="宋体" w:hAnsi="宋体" w:eastAsia="宋体" w:cs="宋体"/>
                <w:b w:val="0"/>
                <w:bCs/>
                <w:color w:val="auto"/>
                <w:sz w:val="21"/>
                <w:szCs w:val="21"/>
                <w:highlight w:val="none"/>
                <w:lang w:eastAsia="zh-CN"/>
              </w:rPr>
              <w:t>须</w:t>
            </w:r>
            <w:r>
              <w:rPr>
                <w:rFonts w:hint="eastAsia" w:ascii="宋体" w:hAnsi="宋体" w:eastAsia="宋体" w:cs="宋体"/>
                <w:b w:val="0"/>
                <w:bCs/>
                <w:color w:val="auto"/>
                <w:sz w:val="21"/>
                <w:szCs w:val="21"/>
                <w:highlight w:val="none"/>
              </w:rPr>
              <w:t>承诺中标后提供由</w:t>
            </w:r>
            <w:r>
              <w:rPr>
                <w:rFonts w:hint="eastAsia" w:ascii="宋体" w:hAnsi="宋体" w:eastAsia="宋体" w:cs="宋体"/>
                <w:b w:val="0"/>
                <w:bCs/>
                <w:color w:val="auto"/>
                <w:sz w:val="21"/>
                <w:szCs w:val="21"/>
                <w:highlight w:val="none"/>
                <w:lang w:eastAsia="zh-CN"/>
              </w:rPr>
              <w:t>第三方</w:t>
            </w:r>
            <w:r>
              <w:rPr>
                <w:rFonts w:hint="eastAsia" w:ascii="宋体" w:hAnsi="宋体" w:eastAsia="宋体" w:cs="宋体"/>
                <w:b w:val="0"/>
                <w:bCs/>
                <w:color w:val="auto"/>
                <w:sz w:val="21"/>
                <w:szCs w:val="21"/>
                <w:highlight w:val="none"/>
              </w:rPr>
              <w:t>检测机构出具的带有CMA或CNAS标识的检测报告</w:t>
            </w:r>
            <w:r>
              <w:rPr>
                <w:rFonts w:hint="eastAsia" w:ascii="宋体" w:hAnsi="宋体" w:cs="宋体"/>
                <w:color w:val="auto"/>
                <w:kern w:val="2"/>
                <w:sz w:val="21"/>
                <w:szCs w:val="21"/>
                <w:highlight w:val="none"/>
                <w:lang w:val="en-US" w:eastAsia="zh-CN" w:bidi="ar-SA"/>
              </w:rPr>
              <w:t>。</w:t>
            </w:r>
          </w:p>
        </w:tc>
      </w:tr>
      <w:tr w14:paraId="711B0E20">
        <w:tblPrEx>
          <w:tblCellMar>
            <w:top w:w="0" w:type="dxa"/>
            <w:left w:w="108" w:type="dxa"/>
            <w:bottom w:w="0" w:type="dxa"/>
            <w:right w:w="108" w:type="dxa"/>
          </w:tblCellMar>
        </w:tblPrEx>
        <w:trPr>
          <w:trHeight w:val="670" w:hRule="atLeast"/>
        </w:trPr>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73FB48">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40</w:t>
            </w:r>
          </w:p>
        </w:tc>
        <w:tc>
          <w:tcPr>
            <w:tcW w:w="1719" w:type="dxa"/>
            <w:tcBorders>
              <w:top w:val="single" w:color="auto" w:sz="4" w:space="0"/>
              <w:left w:val="single" w:color="auto" w:sz="4" w:space="0"/>
              <w:bottom w:val="single" w:color="auto" w:sz="4" w:space="0"/>
              <w:right w:val="single" w:color="auto" w:sz="4" w:space="0"/>
            </w:tcBorders>
            <w:shd w:val="clear" w:color="auto" w:fill="auto"/>
            <w:vAlign w:val="center"/>
          </w:tcPr>
          <w:p w14:paraId="39ED5D23">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
                <w:bCs/>
                <w:kern w:val="0"/>
                <w:sz w:val="20"/>
                <w:szCs w:val="20"/>
              </w:rPr>
            </w:pPr>
            <w:r>
              <w:rPr>
                <w:rFonts w:hint="eastAsia" w:ascii="宋体" w:hAnsi="宋体" w:eastAsia="宋体" w:cs="宋体"/>
                <w:b/>
                <w:bCs/>
                <w:kern w:val="0"/>
                <w:sz w:val="20"/>
                <w:szCs w:val="20"/>
              </w:rPr>
              <w:t>移动式羽毛球柱</w:t>
            </w:r>
          </w:p>
        </w:tc>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14:paraId="332264D7">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副</w:t>
            </w:r>
          </w:p>
        </w:tc>
        <w:tc>
          <w:tcPr>
            <w:tcW w:w="7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015A8B">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9</w:t>
            </w:r>
          </w:p>
        </w:tc>
        <w:tc>
          <w:tcPr>
            <w:tcW w:w="112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96075B">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高级比赛型，带走轮(含网)</w:t>
            </w:r>
          </w:p>
          <w:p w14:paraId="5D6C5910">
            <w:pPr>
              <w:pStyle w:val="8"/>
              <w:keepNext w:val="0"/>
              <w:keepLines w:val="0"/>
              <w:pageBreakBefore w:val="0"/>
              <w:kinsoku/>
              <w:wordWrap/>
              <w:overflowPunct/>
              <w:topLinePunct w:val="0"/>
              <w:autoSpaceDE/>
              <w:autoSpaceDN/>
              <w:bidi w:val="0"/>
              <w:adjustRightInd/>
              <w:snapToGrid/>
              <w:spacing w:line="320" w:lineRule="exact"/>
              <w:ind w:left="0" w:leftChars="0" w:firstLine="0" w:firstLineChars="0"/>
              <w:textAlignment w:val="auto"/>
              <w:rPr>
                <w:rFonts w:hint="default"/>
                <w:highlight w:val="none"/>
                <w:lang w:val="en-US"/>
              </w:rPr>
            </w:pPr>
            <w:r>
              <w:rPr>
                <w:rFonts w:hint="eastAsia" w:ascii="宋体" w:hAnsi="宋体" w:eastAsia="宋体" w:cs="宋体"/>
                <w:color w:val="000000"/>
                <w:kern w:val="0"/>
                <w:sz w:val="21"/>
                <w:szCs w:val="21"/>
                <w:highlight w:val="none"/>
                <w:lang w:val="en-US" w:eastAsia="zh-CN"/>
              </w:rPr>
              <w:t>▲</w:t>
            </w:r>
            <w:r>
              <w:rPr>
                <w:rFonts w:hint="eastAsia" w:ascii="宋体" w:hAnsi="宋体" w:cs="宋体"/>
                <w:kern w:val="2"/>
                <w:sz w:val="20"/>
                <w:szCs w:val="20"/>
                <w:highlight w:val="none"/>
                <w:lang w:val="en-US" w:eastAsia="zh-CN" w:bidi="ar-SA"/>
              </w:rPr>
              <w:t>产品通过世界羽联（BWF）认证</w:t>
            </w:r>
          </w:p>
        </w:tc>
      </w:tr>
      <w:tr w14:paraId="01247099">
        <w:tblPrEx>
          <w:tblCellMar>
            <w:top w:w="0" w:type="dxa"/>
            <w:left w:w="108" w:type="dxa"/>
            <w:bottom w:w="0" w:type="dxa"/>
            <w:right w:w="108" w:type="dxa"/>
          </w:tblCellMar>
        </w:tblPrEx>
        <w:trPr>
          <w:trHeight w:val="419" w:hRule="atLeast"/>
        </w:trPr>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89A821">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41</w:t>
            </w:r>
          </w:p>
        </w:tc>
        <w:tc>
          <w:tcPr>
            <w:tcW w:w="1719" w:type="dxa"/>
            <w:tcBorders>
              <w:top w:val="single" w:color="auto" w:sz="4" w:space="0"/>
              <w:left w:val="single" w:color="auto" w:sz="4" w:space="0"/>
              <w:bottom w:val="single" w:color="auto" w:sz="4" w:space="0"/>
              <w:right w:val="single" w:color="auto" w:sz="4" w:space="0"/>
            </w:tcBorders>
            <w:shd w:val="clear" w:color="auto" w:fill="auto"/>
            <w:vAlign w:val="center"/>
          </w:tcPr>
          <w:p w14:paraId="42511E51">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
                <w:bCs/>
                <w:kern w:val="0"/>
                <w:sz w:val="20"/>
                <w:szCs w:val="20"/>
              </w:rPr>
            </w:pPr>
            <w:r>
              <w:rPr>
                <w:rFonts w:hint="eastAsia" w:ascii="宋体" w:hAnsi="宋体" w:eastAsia="宋体" w:cs="宋体"/>
                <w:b/>
                <w:bCs/>
                <w:kern w:val="0"/>
                <w:sz w:val="20"/>
                <w:szCs w:val="20"/>
              </w:rPr>
              <w:t>羽毛球裁判椅</w:t>
            </w:r>
          </w:p>
        </w:tc>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14:paraId="2BC09EDB">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张</w:t>
            </w:r>
          </w:p>
        </w:tc>
        <w:tc>
          <w:tcPr>
            <w:tcW w:w="7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A649A9">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w:t>
            </w:r>
          </w:p>
        </w:tc>
        <w:tc>
          <w:tcPr>
            <w:tcW w:w="112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8B8E97">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highlight w:val="none"/>
              </w:rPr>
            </w:pPr>
            <w:r>
              <w:rPr>
                <w:rFonts w:hint="eastAsia" w:ascii="宋体" w:hAnsi="宋体" w:eastAsia="宋体" w:cs="宋体"/>
                <w:color w:val="000000"/>
                <w:kern w:val="0"/>
                <w:sz w:val="20"/>
                <w:szCs w:val="20"/>
                <w:highlight w:val="none"/>
              </w:rPr>
              <w:t>底座带走轮</w:t>
            </w:r>
          </w:p>
        </w:tc>
      </w:tr>
      <w:tr w14:paraId="19254877">
        <w:tblPrEx>
          <w:tblCellMar>
            <w:top w:w="0" w:type="dxa"/>
            <w:left w:w="108" w:type="dxa"/>
            <w:bottom w:w="0" w:type="dxa"/>
            <w:right w:w="108" w:type="dxa"/>
          </w:tblCellMar>
        </w:tblPrEx>
        <w:trPr>
          <w:trHeight w:val="381" w:hRule="atLeast"/>
        </w:trPr>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C60995">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42</w:t>
            </w:r>
          </w:p>
        </w:tc>
        <w:tc>
          <w:tcPr>
            <w:tcW w:w="1719" w:type="dxa"/>
            <w:tcBorders>
              <w:top w:val="single" w:color="auto" w:sz="4" w:space="0"/>
              <w:left w:val="single" w:color="auto" w:sz="4" w:space="0"/>
              <w:bottom w:val="single" w:color="auto" w:sz="4" w:space="0"/>
              <w:right w:val="single" w:color="auto" w:sz="4" w:space="0"/>
            </w:tcBorders>
            <w:shd w:val="clear" w:color="auto" w:fill="auto"/>
            <w:vAlign w:val="center"/>
          </w:tcPr>
          <w:p w14:paraId="412416EF">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
                <w:bCs/>
                <w:kern w:val="0"/>
                <w:sz w:val="20"/>
                <w:szCs w:val="20"/>
              </w:rPr>
            </w:pPr>
            <w:r>
              <w:rPr>
                <w:rFonts w:hint="eastAsia" w:ascii="宋体" w:hAnsi="宋体" w:eastAsia="宋体" w:cs="宋体"/>
                <w:b/>
                <w:bCs/>
                <w:kern w:val="0"/>
                <w:sz w:val="20"/>
                <w:szCs w:val="20"/>
              </w:rPr>
              <w:t>羽毛球赛记分牌</w:t>
            </w:r>
          </w:p>
        </w:tc>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14:paraId="007F4A25">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套</w:t>
            </w:r>
          </w:p>
        </w:tc>
        <w:tc>
          <w:tcPr>
            <w:tcW w:w="7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3AA2AB">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w:t>
            </w:r>
          </w:p>
        </w:tc>
        <w:tc>
          <w:tcPr>
            <w:tcW w:w="112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5179F5">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highlight w:val="none"/>
              </w:rPr>
            </w:pPr>
            <w:r>
              <w:rPr>
                <w:rFonts w:hint="eastAsia" w:ascii="宋体" w:hAnsi="宋体" w:eastAsia="宋体" w:cs="宋体"/>
                <w:color w:val="000000"/>
                <w:kern w:val="0"/>
                <w:sz w:val="20"/>
                <w:szCs w:val="20"/>
                <w:highlight w:val="none"/>
              </w:rPr>
              <w:t>底座带走轮</w:t>
            </w:r>
          </w:p>
        </w:tc>
      </w:tr>
      <w:tr w14:paraId="5A85194C">
        <w:tblPrEx>
          <w:tblCellMar>
            <w:top w:w="0" w:type="dxa"/>
            <w:left w:w="108" w:type="dxa"/>
            <w:bottom w:w="0" w:type="dxa"/>
            <w:right w:w="108" w:type="dxa"/>
          </w:tblCellMar>
        </w:tblPrEx>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FF2506">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43</w:t>
            </w:r>
          </w:p>
        </w:tc>
        <w:tc>
          <w:tcPr>
            <w:tcW w:w="1719" w:type="dxa"/>
            <w:tcBorders>
              <w:top w:val="single" w:color="auto" w:sz="4" w:space="0"/>
              <w:left w:val="single" w:color="auto" w:sz="4" w:space="0"/>
              <w:bottom w:val="single" w:color="auto" w:sz="4" w:space="0"/>
              <w:right w:val="single" w:color="auto" w:sz="4" w:space="0"/>
            </w:tcBorders>
            <w:shd w:val="clear" w:color="auto" w:fill="auto"/>
            <w:vAlign w:val="center"/>
          </w:tcPr>
          <w:p w14:paraId="3D064615">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
                <w:bCs/>
                <w:kern w:val="0"/>
                <w:sz w:val="20"/>
                <w:szCs w:val="20"/>
              </w:rPr>
            </w:pPr>
            <w:r>
              <w:rPr>
                <w:rFonts w:hint="eastAsia" w:ascii="宋体" w:hAnsi="宋体" w:eastAsia="宋体" w:cs="宋体"/>
                <w:b/>
                <w:bCs/>
                <w:kern w:val="0"/>
                <w:sz w:val="20"/>
                <w:szCs w:val="20"/>
              </w:rPr>
              <w:t>钢排椅</w:t>
            </w:r>
          </w:p>
        </w:tc>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14:paraId="29258A99">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组</w:t>
            </w:r>
          </w:p>
        </w:tc>
        <w:tc>
          <w:tcPr>
            <w:tcW w:w="7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DC66D0">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12</w:t>
            </w:r>
          </w:p>
        </w:tc>
        <w:tc>
          <w:tcPr>
            <w:tcW w:w="112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A8A0E5">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扶手、椅脚：采用非金属材料尼龙PA66加纤维GF经模具一体注塑成型，一体成色灰色饰面，无需喷涂，扶手设计为开放结构，不分左中右，满足在每个座位间隔安装扶手的要求。采用塑料模注塑成形成色，外形美观且坚固，永不生锈。椅脚底部增设调整支撑，既防滑耐磨，又能保证座椅适应不同的地面。</w:t>
            </w:r>
          </w:p>
          <w:p w14:paraId="77B5DFDF">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座背PU椅面材质：采用钢架焊接钢板和100%聚氨脂模具内一次成型。背PU厚度≥25mm，座PU厚度≥25mm，PU宽度达560mm，座背板PU组装连体板设计制作,椅背带V字形线条顶腰流线设计，既符合人体维度设计，又增加座椅的设计观感，坐感舒适，久坐不变形，颜色的搭配既增加环境的融合度，又耐脏耐用，确保座椅的使用寿命。PU座背内忖钢架焊接钢板工艺，材质为高强度钢架焊接穿孔钢板（钢板厚度不低于1.5mm），外部采用100%纯高密度聚氨酯（PU)全部包裹（即椅座和椅背造型上无外露钢架）模注成型，椅座及椅背内不填充其它物质。</w:t>
            </w:r>
          </w:p>
          <w:p w14:paraId="0A45830B">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3.承重横梁：采用高强度</w:t>
            </w:r>
            <w:r>
              <w:rPr>
                <w:rFonts w:hint="eastAsia" w:ascii="宋体" w:hAnsi="宋体" w:eastAsia="宋体" w:cs="宋体"/>
                <w:color w:val="000000"/>
                <w:kern w:val="0"/>
                <w:sz w:val="20"/>
                <w:szCs w:val="20"/>
                <w:highlight w:val="none"/>
              </w:rPr>
              <w:t>40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color w:val="000000"/>
                <w:kern w:val="0"/>
                <w:sz w:val="20"/>
                <w:szCs w:val="20"/>
                <w:highlight w:val="none"/>
              </w:rPr>
              <w:t>80</w:t>
            </w:r>
            <w:r>
              <w:rPr>
                <w:rFonts w:hint="eastAsia" w:cs="宋体"/>
                <w:color w:val="000000"/>
                <w:kern w:val="0"/>
                <w:sz w:val="20"/>
                <w:szCs w:val="20"/>
                <w:highlight w:val="none"/>
                <w:lang w:val="en-US" w:eastAsia="zh-CN"/>
              </w:rPr>
              <w:t>mm</w:t>
            </w:r>
            <w:r>
              <w:rPr>
                <w:rFonts w:hint="eastAsia" w:ascii="宋体" w:hAnsi="宋体" w:eastAsia="宋体" w:cs="宋体"/>
                <w:color w:val="000000"/>
                <w:kern w:val="0"/>
                <w:sz w:val="20"/>
                <w:szCs w:val="20"/>
              </w:rPr>
              <w:t>的优质方管，厚度不低于1.8mm，具有超强的承重能力和稳定性，表面做静电喷粉喷涂处理。采用“卡”式结构，不需要在横梁上预埋螺母，表面无孔位，卡扣件为钢制压型铸件，宽度35mm，立面压型深度≥60mm，座椅支架及椅腿可在上面任一位置安装，表面与椅腿及支架完全咬合。横档两侧采用多边菱形设计封盖，增强座椅线条设计感，更为时尚优雅。</w:t>
            </w:r>
          </w:p>
          <w:p w14:paraId="1F6B04FE">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整套安全性能好，结构稳定，五金部分皆由高品质部件组成，外皮和内芯层均由高密度聚氨酯PU材料通过模具一次发泡成型，具有良好的坐感，有良好的减震作用，不易使人（尤其是老人孕妇小孩）受伤。分子结构紧密，耐用耐磨，防水防菌易清洁。※备注：整个座位安装设计要求无螺丝外露，安全美观。</w:t>
            </w:r>
          </w:p>
        </w:tc>
      </w:tr>
      <w:tr w14:paraId="39B66F65">
        <w:tblPrEx>
          <w:tblCellMar>
            <w:top w:w="0" w:type="dxa"/>
            <w:left w:w="108" w:type="dxa"/>
            <w:bottom w:w="0" w:type="dxa"/>
            <w:right w:w="108" w:type="dxa"/>
          </w:tblCellMar>
        </w:tblPrEx>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18D2D8">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44</w:t>
            </w:r>
          </w:p>
        </w:tc>
        <w:tc>
          <w:tcPr>
            <w:tcW w:w="1719" w:type="dxa"/>
            <w:tcBorders>
              <w:top w:val="single" w:color="auto" w:sz="4" w:space="0"/>
              <w:left w:val="single" w:color="auto" w:sz="4" w:space="0"/>
              <w:bottom w:val="single" w:color="auto" w:sz="4" w:space="0"/>
              <w:right w:val="single" w:color="auto" w:sz="4" w:space="0"/>
            </w:tcBorders>
            <w:shd w:val="clear" w:color="auto" w:fill="auto"/>
            <w:vAlign w:val="center"/>
          </w:tcPr>
          <w:p w14:paraId="7E4035B8">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
                <w:bCs/>
                <w:kern w:val="0"/>
                <w:sz w:val="20"/>
                <w:szCs w:val="20"/>
              </w:rPr>
            </w:pPr>
            <w:r>
              <w:rPr>
                <w:rFonts w:hint="eastAsia" w:ascii="宋体" w:hAnsi="宋体" w:eastAsia="宋体" w:cs="宋体"/>
                <w:b/>
                <w:bCs/>
                <w:kern w:val="0"/>
                <w:sz w:val="20"/>
                <w:szCs w:val="20"/>
              </w:rPr>
              <w:t>折叠座椅</w:t>
            </w:r>
          </w:p>
        </w:tc>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14:paraId="04D63EA4">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张</w:t>
            </w:r>
          </w:p>
        </w:tc>
        <w:tc>
          <w:tcPr>
            <w:tcW w:w="7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1E3105">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6</w:t>
            </w:r>
          </w:p>
        </w:tc>
        <w:tc>
          <w:tcPr>
            <w:tcW w:w="112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454CAC">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1.高度：85～95cm，座宽：40cm，座深：45cm</w:t>
            </w:r>
          </w:p>
          <w:p w14:paraId="57A1DCBC">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2.材质：碳素钢、皮革</w:t>
            </w:r>
          </w:p>
          <w:p w14:paraId="101062D8">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3.重量&gt;5.5kg</w:t>
            </w:r>
          </w:p>
        </w:tc>
      </w:tr>
      <w:tr w14:paraId="2A89A221">
        <w:tblPrEx>
          <w:tblCellMar>
            <w:top w:w="0" w:type="dxa"/>
            <w:left w:w="108" w:type="dxa"/>
            <w:bottom w:w="0" w:type="dxa"/>
            <w:right w:w="108" w:type="dxa"/>
          </w:tblCellMar>
        </w:tblPrEx>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481563">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45</w:t>
            </w:r>
          </w:p>
        </w:tc>
        <w:tc>
          <w:tcPr>
            <w:tcW w:w="1719" w:type="dxa"/>
            <w:tcBorders>
              <w:top w:val="single" w:color="auto" w:sz="4" w:space="0"/>
              <w:left w:val="single" w:color="auto" w:sz="4" w:space="0"/>
              <w:bottom w:val="single" w:color="auto" w:sz="4" w:space="0"/>
              <w:right w:val="single" w:color="auto" w:sz="4" w:space="0"/>
            </w:tcBorders>
            <w:shd w:val="clear" w:color="auto" w:fill="auto"/>
            <w:vAlign w:val="center"/>
          </w:tcPr>
          <w:p w14:paraId="2855A497">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
                <w:bCs/>
                <w:kern w:val="0"/>
                <w:sz w:val="20"/>
                <w:szCs w:val="20"/>
              </w:rPr>
            </w:pPr>
            <w:r>
              <w:rPr>
                <w:rFonts w:hint="eastAsia" w:ascii="宋体" w:hAnsi="宋体" w:eastAsia="宋体" w:cs="宋体"/>
                <w:b/>
                <w:bCs/>
                <w:kern w:val="0"/>
                <w:sz w:val="20"/>
                <w:szCs w:val="20"/>
              </w:rPr>
              <w:t>条形桌</w:t>
            </w:r>
          </w:p>
        </w:tc>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14:paraId="18F741E9">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张</w:t>
            </w:r>
          </w:p>
        </w:tc>
        <w:tc>
          <w:tcPr>
            <w:tcW w:w="7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363899">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w:t>
            </w:r>
          </w:p>
        </w:tc>
        <w:tc>
          <w:tcPr>
            <w:tcW w:w="112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E3313B">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1.2×0.45m</w:t>
            </w:r>
          </w:p>
          <w:p w14:paraId="369CB4AF">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实木贴皮</w:t>
            </w:r>
          </w:p>
        </w:tc>
      </w:tr>
      <w:tr w14:paraId="4F57EC63">
        <w:tblPrEx>
          <w:tblCellMar>
            <w:top w:w="0" w:type="dxa"/>
            <w:left w:w="108" w:type="dxa"/>
            <w:bottom w:w="0" w:type="dxa"/>
            <w:right w:w="108" w:type="dxa"/>
          </w:tblCellMar>
        </w:tblPrEx>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94AC55">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46</w:t>
            </w:r>
          </w:p>
        </w:tc>
        <w:tc>
          <w:tcPr>
            <w:tcW w:w="1719" w:type="dxa"/>
            <w:tcBorders>
              <w:top w:val="single" w:color="auto" w:sz="4" w:space="0"/>
              <w:left w:val="single" w:color="auto" w:sz="4" w:space="0"/>
              <w:bottom w:val="single" w:color="auto" w:sz="4" w:space="0"/>
              <w:right w:val="single" w:color="auto" w:sz="4" w:space="0"/>
            </w:tcBorders>
            <w:shd w:val="clear" w:color="auto" w:fill="auto"/>
            <w:vAlign w:val="center"/>
          </w:tcPr>
          <w:p w14:paraId="05118126">
            <w:pPr>
              <w:keepNext w:val="0"/>
              <w:keepLines w:val="0"/>
              <w:pageBreakBefore w:val="0"/>
              <w:widowControl/>
              <w:shd w:val="clear"/>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
                <w:bCs/>
                <w:kern w:val="0"/>
                <w:sz w:val="20"/>
                <w:szCs w:val="20"/>
              </w:rPr>
            </w:pPr>
            <w:r>
              <w:rPr>
                <w:rFonts w:hint="eastAsia" w:ascii="宋体" w:hAnsi="宋体" w:eastAsia="宋体" w:cs="宋体"/>
                <w:b/>
                <w:bCs/>
                <w:kern w:val="0"/>
                <w:sz w:val="20"/>
                <w:szCs w:val="20"/>
              </w:rPr>
              <w:t>智能羽毛球</w:t>
            </w:r>
          </w:p>
          <w:p w14:paraId="43AE06B2">
            <w:pPr>
              <w:keepNext w:val="0"/>
              <w:keepLines w:val="0"/>
              <w:pageBreakBefore w:val="0"/>
              <w:widowControl/>
              <w:shd w:val="clear"/>
              <w:kinsoku/>
              <w:wordWrap/>
              <w:overflowPunct/>
              <w:topLinePunct w:val="0"/>
              <w:autoSpaceDE/>
              <w:autoSpaceDN/>
              <w:bidi w:val="0"/>
              <w:adjustRightInd/>
              <w:snapToGrid/>
              <w:spacing w:line="340" w:lineRule="exact"/>
              <w:ind w:left="0" w:leftChars="0" w:firstLine="0" w:firstLineChars="0"/>
              <w:jc w:val="center"/>
              <w:textAlignment w:val="auto"/>
              <w:rPr>
                <w:rFonts w:hint="eastAsia"/>
              </w:rPr>
            </w:pPr>
            <w:r>
              <w:rPr>
                <w:rFonts w:hint="eastAsia" w:ascii="宋体" w:hAnsi="宋体" w:eastAsia="宋体" w:cs="宋体"/>
                <w:b/>
                <w:bCs/>
                <w:kern w:val="0"/>
                <w:sz w:val="20"/>
                <w:szCs w:val="20"/>
              </w:rPr>
              <w:t>运动装备</w:t>
            </w:r>
          </w:p>
        </w:tc>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14:paraId="517D39E4">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台</w:t>
            </w:r>
          </w:p>
        </w:tc>
        <w:tc>
          <w:tcPr>
            <w:tcW w:w="7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F42860">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w:t>
            </w:r>
          </w:p>
        </w:tc>
        <w:tc>
          <w:tcPr>
            <w:tcW w:w="112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083CDA">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1.全功能智能触摸操控、2台单机、升降系统及控制系统组成；</w:t>
            </w:r>
          </w:p>
          <w:p w14:paraId="7A037786">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2.俯仰角调整系统、发球高度最高可达7.5米；</w:t>
            </w:r>
          </w:p>
          <w:p w14:paraId="7CFC7EAE">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3.1台单独发球或2台发球机联合发球、发球落点可任意自编；</w:t>
            </w:r>
          </w:p>
          <w:p w14:paraId="6B1A05E1">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4.高性能的触摸屏界面、立体化的球场模拟画面；</w:t>
            </w:r>
          </w:p>
          <w:p w14:paraId="05CBDA60">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5.可储存100种模式、任意修改和调用；                                                              </w:t>
            </w:r>
          </w:p>
          <w:p w14:paraId="6C49B832">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6.正反手球功能、网前小球、后场高远球、四方球、中场杀球、后场杀球、平高球、平射球功能；</w:t>
            </w:r>
          </w:p>
          <w:p w14:paraId="24BA6344">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7.大容量球笼，可连续发球，提高训练效率；</w:t>
            </w:r>
          </w:p>
          <w:p w14:paraId="79AA4298">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8.可用于日常运动、教学培训、是绝佳的羽毛球陪练伙伴</w:t>
            </w:r>
            <w:r>
              <w:rPr>
                <w:rFonts w:hint="eastAsia" w:cs="宋体"/>
                <w:color w:val="000000"/>
                <w:kern w:val="0"/>
                <w:sz w:val="20"/>
                <w:szCs w:val="20"/>
                <w:lang w:eastAsia="zh-CN"/>
              </w:rPr>
              <w:t>；</w:t>
            </w:r>
          </w:p>
          <w:p w14:paraId="1E2AD121">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9.</w:t>
            </w:r>
            <w:r>
              <w:rPr>
                <w:rFonts w:hint="eastAsia" w:ascii="宋体" w:hAnsi="宋体" w:eastAsia="宋体" w:cs="宋体"/>
                <w:color w:val="000000"/>
                <w:kern w:val="0"/>
                <w:sz w:val="20"/>
                <w:szCs w:val="20"/>
              </w:rPr>
              <w:t>电源类型：100-240VAC 50/60HZ</w:t>
            </w:r>
            <w:r>
              <w:rPr>
                <w:rFonts w:hint="eastAsia" w:cs="宋体"/>
                <w:color w:val="000000"/>
                <w:kern w:val="0"/>
                <w:sz w:val="20"/>
                <w:szCs w:val="20"/>
                <w:lang w:eastAsia="zh-CN"/>
              </w:rPr>
              <w:t>；</w:t>
            </w:r>
            <w:r>
              <w:rPr>
                <w:rFonts w:hint="eastAsia" w:ascii="宋体" w:hAnsi="宋体" w:eastAsia="宋体" w:cs="宋体"/>
                <w:color w:val="000000"/>
                <w:kern w:val="0"/>
                <w:sz w:val="20"/>
                <w:szCs w:val="20"/>
              </w:rPr>
              <w:t xml:space="preserve"> </w:t>
            </w:r>
          </w:p>
          <w:p w14:paraId="4AD0ABAD">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10.</w:t>
            </w:r>
            <w:r>
              <w:rPr>
                <w:rFonts w:hint="eastAsia" w:ascii="宋体" w:hAnsi="宋体" w:eastAsia="宋体" w:cs="宋体"/>
                <w:color w:val="000000"/>
                <w:kern w:val="0"/>
                <w:sz w:val="20"/>
                <w:szCs w:val="20"/>
              </w:rPr>
              <w:t>发球频率：1.4-5.5秒/球</w:t>
            </w:r>
            <w:r>
              <w:rPr>
                <w:rFonts w:hint="eastAsia" w:cs="宋体"/>
                <w:color w:val="000000"/>
                <w:kern w:val="0"/>
                <w:sz w:val="20"/>
                <w:szCs w:val="20"/>
                <w:lang w:eastAsia="zh-CN"/>
              </w:rPr>
              <w:t>；</w:t>
            </w:r>
          </w:p>
          <w:p w14:paraId="0FFA2932">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11.</w:t>
            </w:r>
            <w:r>
              <w:rPr>
                <w:rFonts w:hint="eastAsia" w:ascii="宋体" w:hAnsi="宋体" w:eastAsia="宋体" w:cs="宋体"/>
                <w:color w:val="000000"/>
                <w:kern w:val="0"/>
                <w:sz w:val="20"/>
                <w:szCs w:val="20"/>
              </w:rPr>
              <w:t>尺寸：875</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color w:val="000000"/>
                <w:kern w:val="0"/>
                <w:sz w:val="20"/>
                <w:szCs w:val="20"/>
              </w:rPr>
              <w:t>642</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color w:val="000000"/>
                <w:kern w:val="0"/>
                <w:sz w:val="20"/>
                <w:szCs w:val="20"/>
              </w:rPr>
              <w:t>3120mm</w:t>
            </w:r>
            <w:r>
              <w:rPr>
                <w:rFonts w:hint="eastAsia" w:cs="宋体"/>
                <w:color w:val="000000"/>
                <w:kern w:val="0"/>
                <w:sz w:val="20"/>
                <w:szCs w:val="20"/>
                <w:lang w:eastAsia="zh-CN"/>
              </w:rPr>
              <w:t>；</w:t>
            </w:r>
          </w:p>
          <w:p w14:paraId="6844CF37">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12.</w:t>
            </w:r>
            <w:r>
              <w:rPr>
                <w:rFonts w:hint="eastAsia" w:ascii="宋体" w:hAnsi="宋体" w:eastAsia="宋体" w:cs="宋体"/>
                <w:color w:val="000000"/>
                <w:kern w:val="0"/>
                <w:sz w:val="20"/>
                <w:szCs w:val="20"/>
              </w:rPr>
              <w:t>功率：360w</w:t>
            </w:r>
            <w:r>
              <w:rPr>
                <w:rFonts w:hint="eastAsia" w:cs="宋体"/>
                <w:color w:val="000000"/>
                <w:kern w:val="0"/>
                <w:sz w:val="20"/>
                <w:szCs w:val="20"/>
                <w:lang w:eastAsia="zh-CN"/>
              </w:rPr>
              <w:t>；</w:t>
            </w:r>
          </w:p>
          <w:p w14:paraId="43A56D7F">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13.</w:t>
            </w:r>
            <w:r>
              <w:rPr>
                <w:rFonts w:hint="eastAsia" w:ascii="宋体" w:hAnsi="宋体" w:eastAsia="宋体" w:cs="宋体"/>
                <w:color w:val="000000"/>
                <w:kern w:val="0"/>
                <w:sz w:val="20"/>
                <w:szCs w:val="20"/>
              </w:rPr>
              <w:t>重量：81KG</w:t>
            </w:r>
            <w:r>
              <w:rPr>
                <w:rFonts w:hint="eastAsia" w:cs="宋体"/>
                <w:color w:val="000000"/>
                <w:kern w:val="0"/>
                <w:sz w:val="20"/>
                <w:szCs w:val="20"/>
                <w:lang w:eastAsia="zh-CN"/>
              </w:rPr>
              <w:t>；</w:t>
            </w:r>
            <w:r>
              <w:rPr>
                <w:rFonts w:hint="eastAsia" w:ascii="宋体" w:hAnsi="宋体" w:eastAsia="宋体" w:cs="宋体"/>
                <w:color w:val="000000"/>
                <w:kern w:val="0"/>
                <w:sz w:val="20"/>
                <w:szCs w:val="20"/>
              </w:rPr>
              <w:t xml:space="preserve">         </w:t>
            </w:r>
          </w:p>
          <w:p w14:paraId="33F9D063">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lang w:eastAsia="zh-CN"/>
              </w:rPr>
            </w:pPr>
            <w:r>
              <w:rPr>
                <w:rFonts w:hint="eastAsia" w:ascii="宋体" w:hAnsi="宋体" w:eastAsia="宋体" w:cs="宋体"/>
                <w:color w:val="000000"/>
                <w:kern w:val="0"/>
                <w:sz w:val="20"/>
                <w:szCs w:val="20"/>
                <w:lang w:val="en-US" w:eastAsia="zh-CN"/>
              </w:rPr>
              <w:t>14.</w:t>
            </w:r>
            <w:r>
              <w:rPr>
                <w:rFonts w:hint="eastAsia" w:ascii="宋体" w:hAnsi="宋体" w:eastAsia="宋体" w:cs="宋体"/>
                <w:color w:val="000000"/>
                <w:kern w:val="0"/>
                <w:sz w:val="20"/>
                <w:szCs w:val="20"/>
              </w:rPr>
              <w:t>装球容量：400个</w:t>
            </w:r>
            <w:r>
              <w:rPr>
                <w:rFonts w:hint="eastAsia" w:cs="宋体"/>
                <w:color w:val="000000"/>
                <w:kern w:val="0"/>
                <w:sz w:val="20"/>
                <w:szCs w:val="20"/>
                <w:lang w:eastAsia="zh-CN"/>
              </w:rPr>
              <w:t>。</w:t>
            </w:r>
          </w:p>
        </w:tc>
      </w:tr>
      <w:tr w14:paraId="0708D765">
        <w:tblPrEx>
          <w:tblCellMar>
            <w:top w:w="0" w:type="dxa"/>
            <w:left w:w="108" w:type="dxa"/>
            <w:bottom w:w="0" w:type="dxa"/>
            <w:right w:w="108" w:type="dxa"/>
          </w:tblCellMar>
        </w:tblPrEx>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9A0AC7">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47</w:t>
            </w:r>
          </w:p>
        </w:tc>
        <w:tc>
          <w:tcPr>
            <w:tcW w:w="1719" w:type="dxa"/>
            <w:tcBorders>
              <w:top w:val="single" w:color="auto" w:sz="4" w:space="0"/>
              <w:left w:val="single" w:color="auto" w:sz="4" w:space="0"/>
              <w:bottom w:val="single" w:color="auto" w:sz="4" w:space="0"/>
              <w:right w:val="single" w:color="auto" w:sz="4" w:space="0"/>
            </w:tcBorders>
            <w:shd w:val="clear" w:color="auto" w:fill="auto"/>
            <w:vAlign w:val="center"/>
          </w:tcPr>
          <w:p w14:paraId="18AD5A42">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羽网两用拉线机</w:t>
            </w:r>
          </w:p>
        </w:tc>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14:paraId="358ED2FF">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台</w:t>
            </w:r>
          </w:p>
        </w:tc>
        <w:tc>
          <w:tcPr>
            <w:tcW w:w="7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5351F0">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w:t>
            </w:r>
          </w:p>
        </w:tc>
        <w:tc>
          <w:tcPr>
            <w:tcW w:w="1125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3AB3E4">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1.稳定恒力拉线功能、开机自检、自动侦测故障功能；</w:t>
            </w:r>
          </w:p>
          <w:p w14:paraId="5AFC5901">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2.储存记忆功能、可以任意设置四组磅数储存；</w:t>
            </w:r>
          </w:p>
          <w:p w14:paraId="6F905606">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3.设置四组预拉功能、减少球线损伤；</w:t>
            </w:r>
          </w:p>
          <w:p w14:paraId="3BFF5D85">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4.拉线次数记忆功能、三档拉线速度设置；</w:t>
            </w:r>
          </w:p>
          <w:p w14:paraId="5D9EF30B">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5.打结增磅设置、打结拉磅完成后自动复位；</w:t>
            </w:r>
          </w:p>
          <w:p w14:paraId="5467D0C2">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6.按键声音大小三档设置功能；</w:t>
            </w:r>
          </w:p>
          <w:p w14:paraId="2C986AE2">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7.公斤/磅转换功能；</w:t>
            </w:r>
          </w:p>
          <w:p w14:paraId="405C24E2">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8.同步夹拍系统、六点定位、球拍受力更均匀</w:t>
            </w:r>
            <w:r>
              <w:rPr>
                <w:rFonts w:hint="eastAsia" w:cs="宋体"/>
                <w:color w:val="000000"/>
                <w:kern w:val="0"/>
                <w:sz w:val="21"/>
                <w:szCs w:val="21"/>
                <w:lang w:eastAsia="zh-CN"/>
              </w:rPr>
              <w:t>；</w:t>
            </w:r>
          </w:p>
          <w:p w14:paraId="79B2DD08">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9.</w:t>
            </w:r>
            <w:r>
              <w:rPr>
                <w:rFonts w:hint="eastAsia" w:ascii="宋体" w:hAnsi="宋体" w:eastAsia="宋体" w:cs="宋体"/>
                <w:color w:val="000000"/>
                <w:kern w:val="0"/>
                <w:sz w:val="21"/>
                <w:szCs w:val="21"/>
              </w:rPr>
              <w:t>交流电源输入:AC 100-240V</w:t>
            </w:r>
            <w:r>
              <w:rPr>
                <w:rFonts w:hint="eastAsia" w:cs="宋体"/>
                <w:color w:val="000000"/>
                <w:kern w:val="0"/>
                <w:sz w:val="21"/>
                <w:szCs w:val="21"/>
                <w:lang w:eastAsia="zh-CN"/>
              </w:rPr>
              <w:t>；</w:t>
            </w:r>
            <w:r>
              <w:rPr>
                <w:rFonts w:hint="eastAsia" w:ascii="宋体" w:hAnsi="宋体" w:eastAsia="宋体" w:cs="宋体"/>
                <w:color w:val="000000"/>
                <w:kern w:val="0"/>
                <w:sz w:val="21"/>
                <w:szCs w:val="21"/>
              </w:rPr>
              <w:t xml:space="preserve"> </w:t>
            </w:r>
          </w:p>
          <w:p w14:paraId="2EFCD9C1">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10.</w:t>
            </w:r>
            <w:r>
              <w:rPr>
                <w:rFonts w:hint="eastAsia" w:ascii="宋体" w:hAnsi="宋体" w:eastAsia="宋体" w:cs="宋体"/>
                <w:color w:val="000000"/>
                <w:kern w:val="0"/>
                <w:sz w:val="21"/>
                <w:szCs w:val="21"/>
              </w:rPr>
              <w:t>尺寸：470</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color w:val="000000"/>
                <w:kern w:val="0"/>
                <w:sz w:val="21"/>
                <w:szCs w:val="21"/>
              </w:rPr>
              <w:t>960</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color w:val="000000"/>
                <w:kern w:val="0"/>
                <w:sz w:val="21"/>
                <w:szCs w:val="21"/>
              </w:rPr>
              <w:t>1100mm</w:t>
            </w:r>
            <w:r>
              <w:rPr>
                <w:rFonts w:hint="eastAsia" w:cs="宋体"/>
                <w:color w:val="000000"/>
                <w:kern w:val="0"/>
                <w:sz w:val="21"/>
                <w:szCs w:val="21"/>
                <w:lang w:eastAsia="zh-CN"/>
              </w:rPr>
              <w:t>；</w:t>
            </w:r>
          </w:p>
          <w:p w14:paraId="5CC5AD60">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11.</w:t>
            </w:r>
            <w:r>
              <w:rPr>
                <w:rFonts w:hint="eastAsia" w:ascii="宋体" w:hAnsi="宋体" w:eastAsia="宋体" w:cs="宋体"/>
                <w:color w:val="000000"/>
                <w:kern w:val="0"/>
                <w:sz w:val="21"/>
                <w:szCs w:val="21"/>
              </w:rPr>
              <w:t>功率：35W</w:t>
            </w:r>
            <w:r>
              <w:rPr>
                <w:rFonts w:hint="eastAsia" w:cs="宋体"/>
                <w:color w:val="000000"/>
                <w:kern w:val="0"/>
                <w:sz w:val="21"/>
                <w:szCs w:val="21"/>
                <w:lang w:eastAsia="zh-CN"/>
              </w:rPr>
              <w:t>；</w:t>
            </w:r>
          </w:p>
          <w:p w14:paraId="58F59FAB">
            <w:pPr>
              <w:keepNext w:val="0"/>
              <w:keepLines w:val="0"/>
              <w:pageBreakBefore w:val="0"/>
              <w:widowControl/>
              <w:shd w:val="clea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12.</w:t>
            </w:r>
            <w:r>
              <w:rPr>
                <w:rFonts w:hint="eastAsia" w:ascii="宋体" w:hAnsi="宋体" w:eastAsia="宋体" w:cs="宋体"/>
                <w:color w:val="000000"/>
                <w:kern w:val="0"/>
                <w:sz w:val="21"/>
                <w:szCs w:val="21"/>
              </w:rPr>
              <w:t>重量：39KG</w:t>
            </w:r>
            <w:r>
              <w:rPr>
                <w:rFonts w:hint="eastAsia" w:cs="宋体"/>
                <w:color w:val="000000"/>
                <w:kern w:val="0"/>
                <w:sz w:val="21"/>
                <w:szCs w:val="21"/>
                <w:lang w:eastAsia="zh-CN"/>
              </w:rPr>
              <w:t>。</w:t>
            </w:r>
          </w:p>
        </w:tc>
      </w:tr>
      <w:tr w14:paraId="4C8EE03E">
        <w:tblPrEx>
          <w:tblCellMar>
            <w:top w:w="0" w:type="dxa"/>
            <w:left w:w="108" w:type="dxa"/>
            <w:bottom w:w="0" w:type="dxa"/>
            <w:right w:w="108" w:type="dxa"/>
          </w:tblCellMar>
        </w:tblPrEx>
        <w:trPr>
          <w:trHeight w:val="558" w:hRule="atLeast"/>
        </w:trPr>
        <w:tc>
          <w:tcPr>
            <w:tcW w:w="1509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71064016">
            <w:pPr>
              <w:keepNext w:val="0"/>
              <w:keepLines w:val="0"/>
              <w:pageBreakBefore w:val="0"/>
              <w:widowControl/>
              <w:shd w:val="clear"/>
              <w:kinsoku/>
              <w:wordWrap/>
              <w:overflowPunct/>
              <w:topLinePunct w:val="0"/>
              <w:autoSpaceDE/>
              <w:autoSpaceDN/>
              <w:bidi w:val="0"/>
              <w:adjustRightInd/>
              <w:snapToGrid/>
              <w:spacing w:line="380" w:lineRule="exact"/>
              <w:ind w:left="0" w:leftChars="0" w:firstLine="0" w:firstLineChars="0"/>
              <w:jc w:val="left"/>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b/>
                <w:bCs/>
                <w:color w:val="auto"/>
                <w:sz w:val="24"/>
                <w:szCs w:val="24"/>
              </w:rPr>
              <w:t>本</w:t>
            </w:r>
            <w:r>
              <w:rPr>
                <w:rFonts w:hint="eastAsia" w:ascii="宋体" w:hAnsi="宋体" w:eastAsia="宋体" w:cs="宋体"/>
                <w:b/>
                <w:bCs/>
                <w:color w:val="auto"/>
                <w:sz w:val="24"/>
                <w:szCs w:val="24"/>
                <w:lang w:eastAsia="zh-CN"/>
              </w:rPr>
              <w:t>标项</w:t>
            </w:r>
            <w:r>
              <w:rPr>
                <w:rFonts w:hint="eastAsia" w:ascii="宋体" w:hAnsi="宋体" w:eastAsia="宋体" w:cs="宋体"/>
                <w:b/>
                <w:bCs/>
                <w:color w:val="auto"/>
                <w:sz w:val="24"/>
                <w:szCs w:val="24"/>
              </w:rPr>
              <w:t>核心产品为：</w:t>
            </w:r>
            <w:r>
              <w:rPr>
                <w:rFonts w:hint="eastAsia" w:ascii="宋体" w:hAnsi="宋体" w:eastAsia="宋体" w:cs="宋体"/>
                <w:b/>
                <w:bCs/>
                <w:kern w:val="0"/>
                <w:sz w:val="24"/>
                <w:szCs w:val="24"/>
                <w:u w:val="single"/>
              </w:rPr>
              <w:t>电动液压篮球架</w:t>
            </w:r>
            <w:r>
              <w:rPr>
                <w:rFonts w:hint="eastAsia" w:ascii="宋体" w:hAnsi="宋体" w:eastAsia="宋体" w:cs="宋体"/>
                <w:b/>
                <w:bCs/>
                <w:color w:val="auto"/>
                <w:sz w:val="24"/>
                <w:szCs w:val="24"/>
              </w:rPr>
              <w:t>。</w:t>
            </w:r>
          </w:p>
        </w:tc>
      </w:tr>
    </w:tbl>
    <w:p w14:paraId="656171FC">
      <w:pPr>
        <w:bidi w:val="0"/>
        <w:rPr>
          <w:rFonts w:hint="eastAsia"/>
          <w:lang w:eastAsia="zh-CN"/>
        </w:rPr>
      </w:pPr>
    </w:p>
    <w:p w14:paraId="2DA6CC84">
      <w:pPr>
        <w:pStyle w:val="14"/>
        <w:rPr>
          <w:rFonts w:hint="eastAsia" w:ascii="宋体" w:hAnsi="宋体" w:eastAsia="宋体" w:cs="宋体"/>
          <w:b/>
          <w:bCs/>
          <w:sz w:val="24"/>
          <w:szCs w:val="24"/>
          <w:lang w:eastAsia="zh-CN"/>
        </w:rPr>
        <w:sectPr>
          <w:pgSz w:w="16838" w:h="11906" w:orient="landscape"/>
          <w:pgMar w:top="1134" w:right="1247" w:bottom="1134" w:left="1247" w:header="170" w:footer="567" w:gutter="0"/>
          <w:pgNumType w:fmt="decimal"/>
          <w:cols w:space="720" w:num="1"/>
          <w:docGrid w:linePitch="381" w:charSpace="0"/>
        </w:sectPr>
      </w:pPr>
    </w:p>
    <w:p w14:paraId="7392044C">
      <w:pPr>
        <w:pStyle w:val="14"/>
        <w:rPr>
          <w:rFonts w:hint="eastAsia" w:ascii="宋体" w:hAnsi="宋体" w:eastAsia="宋体" w:cs="宋体"/>
          <w:b/>
          <w:bCs w:val="0"/>
          <w:color w:val="auto"/>
          <w:kern w:val="0"/>
          <w:sz w:val="24"/>
          <w:szCs w:val="24"/>
          <w:lang w:val="en-US" w:eastAsia="zh-CN" w:bidi="ar-SA"/>
        </w:rPr>
      </w:pPr>
      <w:r>
        <w:rPr>
          <w:rFonts w:hint="eastAsia" w:ascii="宋体" w:hAnsi="宋体" w:eastAsia="宋体" w:cs="宋体"/>
          <w:b/>
          <w:bCs/>
          <w:sz w:val="24"/>
          <w:szCs w:val="24"/>
          <w:lang w:eastAsia="zh-CN"/>
        </w:rPr>
        <w:t>标项二：</w:t>
      </w:r>
      <w:r>
        <w:rPr>
          <w:rFonts w:hint="eastAsia" w:ascii="宋体" w:hAnsi="宋体" w:eastAsia="宋体" w:cs="宋体"/>
          <w:b/>
          <w:bCs w:val="0"/>
          <w:color w:val="auto"/>
          <w:kern w:val="0"/>
          <w:sz w:val="24"/>
          <w:szCs w:val="24"/>
          <w:lang w:val="en-US" w:eastAsia="zh-CN" w:bidi="ar-SA"/>
        </w:rPr>
        <w:t>瑜伽馆、武术馆、跆拳道馆、体操馆、健美操馆、力量馆与职工之家设备（预算金额：2722774</w:t>
      </w:r>
      <w:r>
        <w:rPr>
          <w:rFonts w:hint="eastAsia" w:ascii="宋体" w:hAnsi="宋体" w:eastAsia="宋体" w:cs="宋体"/>
          <w:b/>
          <w:bCs/>
          <w:sz w:val="24"/>
          <w:szCs w:val="24"/>
          <w:lang w:val="en-US" w:eastAsia="zh-CN"/>
        </w:rPr>
        <w:t>元</w:t>
      </w:r>
      <w:r>
        <w:rPr>
          <w:rFonts w:hint="eastAsia" w:ascii="宋体" w:hAnsi="宋体" w:eastAsia="宋体" w:cs="宋体"/>
          <w:b/>
          <w:bCs w:val="0"/>
          <w:color w:val="auto"/>
          <w:kern w:val="0"/>
          <w:sz w:val="24"/>
          <w:szCs w:val="24"/>
          <w:lang w:val="en-US" w:eastAsia="zh-CN" w:bidi="ar-SA"/>
        </w:rPr>
        <w:t>）</w:t>
      </w:r>
    </w:p>
    <w:tbl>
      <w:tblPr>
        <w:tblStyle w:val="45"/>
        <w:tblW w:w="15082" w:type="dxa"/>
        <w:tblInd w:w="-295" w:type="dxa"/>
        <w:tblLayout w:type="fixed"/>
        <w:tblCellMar>
          <w:top w:w="0" w:type="dxa"/>
          <w:left w:w="108" w:type="dxa"/>
          <w:bottom w:w="0" w:type="dxa"/>
          <w:right w:w="108" w:type="dxa"/>
        </w:tblCellMar>
      </w:tblPr>
      <w:tblGrid>
        <w:gridCol w:w="681"/>
        <w:gridCol w:w="1641"/>
        <w:gridCol w:w="937"/>
        <w:gridCol w:w="763"/>
        <w:gridCol w:w="11060"/>
      </w:tblGrid>
      <w:tr w14:paraId="43E4395D">
        <w:tblPrEx>
          <w:tblCellMar>
            <w:top w:w="0" w:type="dxa"/>
            <w:left w:w="108" w:type="dxa"/>
            <w:bottom w:w="0" w:type="dxa"/>
            <w:right w:w="108" w:type="dxa"/>
          </w:tblCellMar>
        </w:tblPrEx>
        <w:trPr>
          <w:trHeight w:val="426" w:hRule="atLeast"/>
          <w:tblHeader/>
        </w:trPr>
        <w:tc>
          <w:tcPr>
            <w:tcW w:w="681" w:type="dxa"/>
            <w:tcBorders>
              <w:top w:val="single" w:color="auto" w:sz="8" w:space="0"/>
              <w:left w:val="single" w:color="auto" w:sz="8" w:space="0"/>
              <w:bottom w:val="single" w:color="auto" w:sz="4" w:space="0"/>
              <w:right w:val="single" w:color="auto" w:sz="4" w:space="0"/>
            </w:tcBorders>
            <w:shd w:val="clear" w:color="auto" w:fill="auto"/>
            <w:noWrap/>
            <w:vAlign w:val="center"/>
          </w:tcPr>
          <w:p w14:paraId="79C3481D">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序号</w:t>
            </w:r>
          </w:p>
        </w:tc>
        <w:tc>
          <w:tcPr>
            <w:tcW w:w="1641" w:type="dxa"/>
            <w:tcBorders>
              <w:top w:val="single" w:color="auto" w:sz="8" w:space="0"/>
              <w:left w:val="nil"/>
              <w:bottom w:val="single" w:color="auto" w:sz="4" w:space="0"/>
              <w:right w:val="single" w:color="auto" w:sz="4" w:space="0"/>
            </w:tcBorders>
            <w:shd w:val="clear" w:color="auto" w:fill="auto"/>
            <w:noWrap/>
            <w:vAlign w:val="center"/>
          </w:tcPr>
          <w:p w14:paraId="378D6A50">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设备名称</w:t>
            </w:r>
          </w:p>
        </w:tc>
        <w:tc>
          <w:tcPr>
            <w:tcW w:w="937" w:type="dxa"/>
            <w:tcBorders>
              <w:top w:val="single" w:color="auto" w:sz="8" w:space="0"/>
              <w:left w:val="nil"/>
              <w:bottom w:val="single" w:color="auto" w:sz="4" w:space="0"/>
              <w:right w:val="single" w:color="auto" w:sz="4" w:space="0"/>
            </w:tcBorders>
            <w:shd w:val="clear" w:color="auto" w:fill="auto"/>
            <w:noWrap/>
            <w:vAlign w:val="center"/>
          </w:tcPr>
          <w:p w14:paraId="63EDBFFF">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单位</w:t>
            </w:r>
          </w:p>
        </w:tc>
        <w:tc>
          <w:tcPr>
            <w:tcW w:w="763" w:type="dxa"/>
            <w:tcBorders>
              <w:top w:val="single" w:color="auto" w:sz="8" w:space="0"/>
              <w:left w:val="nil"/>
              <w:bottom w:val="single" w:color="auto" w:sz="4" w:space="0"/>
              <w:right w:val="single" w:color="auto" w:sz="4" w:space="0"/>
            </w:tcBorders>
            <w:shd w:val="clear" w:color="auto" w:fill="auto"/>
            <w:noWrap/>
            <w:vAlign w:val="center"/>
          </w:tcPr>
          <w:p w14:paraId="7BE47C68">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数量</w:t>
            </w:r>
          </w:p>
        </w:tc>
        <w:tc>
          <w:tcPr>
            <w:tcW w:w="11060" w:type="dxa"/>
            <w:tcBorders>
              <w:top w:val="single" w:color="auto" w:sz="8" w:space="0"/>
              <w:left w:val="nil"/>
              <w:bottom w:val="single" w:color="auto" w:sz="4" w:space="0"/>
              <w:right w:val="single" w:color="auto" w:sz="8" w:space="0"/>
            </w:tcBorders>
            <w:shd w:val="clear" w:color="auto" w:fill="auto"/>
            <w:vAlign w:val="center"/>
          </w:tcPr>
          <w:p w14:paraId="65F41385">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技术参数</w:t>
            </w:r>
          </w:p>
        </w:tc>
      </w:tr>
      <w:tr w14:paraId="6AEBD0F1">
        <w:tblPrEx>
          <w:tblCellMar>
            <w:top w:w="0" w:type="dxa"/>
            <w:left w:w="108" w:type="dxa"/>
            <w:bottom w:w="0" w:type="dxa"/>
            <w:right w:w="108" w:type="dxa"/>
          </w:tblCellMar>
        </w:tblPrEx>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F161C3">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w:t>
            </w:r>
          </w:p>
        </w:tc>
        <w:tc>
          <w:tcPr>
            <w:tcW w:w="1641" w:type="dxa"/>
            <w:tcBorders>
              <w:top w:val="single" w:color="auto" w:sz="4" w:space="0"/>
              <w:left w:val="single" w:color="auto" w:sz="4" w:space="0"/>
              <w:bottom w:val="single" w:color="auto" w:sz="4" w:space="0"/>
              <w:right w:val="single" w:color="auto" w:sz="4" w:space="0"/>
            </w:tcBorders>
            <w:shd w:val="clear" w:color="auto" w:fill="auto"/>
            <w:vAlign w:val="center"/>
          </w:tcPr>
          <w:p w14:paraId="0DAF10E2">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瑜伽砖</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63A86EAE">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个</w:t>
            </w:r>
          </w:p>
        </w:tc>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CE1C58">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40</w:t>
            </w:r>
          </w:p>
        </w:tc>
        <w:tc>
          <w:tcPr>
            <w:tcW w:w="1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9A2823">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材质：EVA</w:t>
            </w:r>
          </w:p>
          <w:p w14:paraId="6873928B">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2.</w:t>
            </w:r>
            <w:r>
              <w:rPr>
                <w:rFonts w:hint="eastAsia" w:ascii="宋体" w:hAnsi="宋体" w:eastAsia="宋体" w:cs="宋体"/>
                <w:color w:val="000000"/>
                <w:kern w:val="0"/>
                <w:sz w:val="21"/>
                <w:szCs w:val="21"/>
              </w:rPr>
              <w:t>规格：23</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color w:val="000000"/>
                <w:kern w:val="0"/>
                <w:sz w:val="21"/>
                <w:szCs w:val="21"/>
              </w:rPr>
              <w:t>15</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color w:val="000000"/>
                <w:kern w:val="0"/>
                <w:sz w:val="21"/>
                <w:szCs w:val="21"/>
              </w:rPr>
              <w:t>8cm 2只对装</w:t>
            </w:r>
          </w:p>
          <w:p w14:paraId="72200EB7">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3.</w:t>
            </w:r>
            <w:r>
              <w:rPr>
                <w:rFonts w:hint="eastAsia" w:ascii="宋体" w:hAnsi="宋体" w:eastAsia="宋体" w:cs="宋体"/>
                <w:color w:val="000000"/>
                <w:kern w:val="0"/>
                <w:sz w:val="21"/>
                <w:szCs w:val="21"/>
              </w:rPr>
              <w:t>克重：270g</w:t>
            </w:r>
          </w:p>
        </w:tc>
      </w:tr>
      <w:tr w14:paraId="33CAD19D">
        <w:tblPrEx>
          <w:tblCellMar>
            <w:top w:w="0" w:type="dxa"/>
            <w:left w:w="108" w:type="dxa"/>
            <w:bottom w:w="0" w:type="dxa"/>
            <w:right w:w="108" w:type="dxa"/>
          </w:tblCellMar>
        </w:tblPrEx>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89E307">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w:t>
            </w:r>
          </w:p>
        </w:tc>
        <w:tc>
          <w:tcPr>
            <w:tcW w:w="1641" w:type="dxa"/>
            <w:tcBorders>
              <w:top w:val="single" w:color="auto" w:sz="4" w:space="0"/>
              <w:left w:val="single" w:color="auto" w:sz="4" w:space="0"/>
              <w:bottom w:val="single" w:color="auto" w:sz="4" w:space="0"/>
              <w:right w:val="single" w:color="auto" w:sz="4" w:space="0"/>
            </w:tcBorders>
            <w:shd w:val="clear" w:color="auto" w:fill="auto"/>
            <w:vAlign w:val="center"/>
          </w:tcPr>
          <w:p w14:paraId="562539A6">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八字拉力带</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1082AB6F">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个</w:t>
            </w:r>
          </w:p>
        </w:tc>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44F93D">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40</w:t>
            </w:r>
          </w:p>
        </w:tc>
        <w:tc>
          <w:tcPr>
            <w:tcW w:w="1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1D5C8B">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材质：橡胶</w:t>
            </w:r>
          </w:p>
          <w:p w14:paraId="3D67C069">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2.</w:t>
            </w:r>
            <w:r>
              <w:rPr>
                <w:rFonts w:hint="eastAsia" w:ascii="宋体" w:hAnsi="宋体" w:eastAsia="宋体" w:cs="宋体"/>
                <w:color w:val="000000"/>
                <w:kern w:val="0"/>
                <w:sz w:val="21"/>
                <w:szCs w:val="21"/>
              </w:rPr>
              <w:t>重量：140克</w:t>
            </w:r>
          </w:p>
          <w:p w14:paraId="2188E7D8">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3.</w:t>
            </w:r>
            <w:r>
              <w:rPr>
                <w:rFonts w:hint="eastAsia" w:ascii="宋体" w:hAnsi="宋体" w:eastAsia="宋体" w:cs="宋体"/>
                <w:color w:val="000000"/>
                <w:kern w:val="0"/>
                <w:sz w:val="21"/>
                <w:szCs w:val="21"/>
              </w:rPr>
              <w:t>规格：长44厘米，宽11厘米</w:t>
            </w:r>
          </w:p>
          <w:p w14:paraId="597A23F4">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4.</w:t>
            </w:r>
            <w:r>
              <w:rPr>
                <w:rFonts w:hint="eastAsia" w:ascii="宋体" w:hAnsi="宋体" w:eastAsia="宋体" w:cs="宋体"/>
                <w:color w:val="000000"/>
                <w:kern w:val="0"/>
                <w:sz w:val="21"/>
                <w:szCs w:val="21"/>
              </w:rPr>
              <w:t>颜色：菘蓝绿</w:t>
            </w:r>
          </w:p>
        </w:tc>
      </w:tr>
      <w:tr w14:paraId="4D92ECD7">
        <w:tblPrEx>
          <w:tblCellMar>
            <w:top w:w="0" w:type="dxa"/>
            <w:left w:w="108" w:type="dxa"/>
            <w:bottom w:w="0" w:type="dxa"/>
            <w:right w:w="108" w:type="dxa"/>
          </w:tblCellMar>
        </w:tblPrEx>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9F726C">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w:t>
            </w:r>
          </w:p>
        </w:tc>
        <w:tc>
          <w:tcPr>
            <w:tcW w:w="1641" w:type="dxa"/>
            <w:tcBorders>
              <w:top w:val="single" w:color="auto" w:sz="4" w:space="0"/>
              <w:left w:val="single" w:color="auto" w:sz="4" w:space="0"/>
              <w:bottom w:val="single" w:color="auto" w:sz="4" w:space="0"/>
              <w:right w:val="single" w:color="auto" w:sz="4" w:space="0"/>
            </w:tcBorders>
            <w:shd w:val="clear" w:color="auto" w:fill="auto"/>
            <w:vAlign w:val="center"/>
          </w:tcPr>
          <w:p w14:paraId="3931265F">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软式壶铃</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5DB800A6">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个</w:t>
            </w:r>
          </w:p>
        </w:tc>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D0062C">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20</w:t>
            </w:r>
          </w:p>
        </w:tc>
        <w:tc>
          <w:tcPr>
            <w:tcW w:w="1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CBFBF6">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材质：外PVC，内钢砂</w:t>
            </w:r>
          </w:p>
          <w:p w14:paraId="43435857">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2.</w:t>
            </w:r>
            <w:r>
              <w:rPr>
                <w:rFonts w:hint="eastAsia" w:ascii="宋体" w:hAnsi="宋体" w:eastAsia="宋体" w:cs="宋体"/>
                <w:color w:val="000000"/>
                <w:kern w:val="0"/>
                <w:sz w:val="21"/>
                <w:szCs w:val="21"/>
              </w:rPr>
              <w:t>颜色：粉色</w:t>
            </w:r>
          </w:p>
          <w:p w14:paraId="4A736606">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3.</w:t>
            </w:r>
            <w:r>
              <w:rPr>
                <w:rFonts w:hint="eastAsia" w:ascii="宋体" w:hAnsi="宋体" w:eastAsia="宋体" w:cs="宋体"/>
                <w:color w:val="000000"/>
                <w:kern w:val="0"/>
                <w:sz w:val="21"/>
                <w:szCs w:val="21"/>
              </w:rPr>
              <w:t>重量：8KG</w:t>
            </w:r>
          </w:p>
        </w:tc>
      </w:tr>
      <w:tr w14:paraId="0190F339">
        <w:tblPrEx>
          <w:tblCellMar>
            <w:top w:w="0" w:type="dxa"/>
            <w:left w:w="108" w:type="dxa"/>
            <w:bottom w:w="0" w:type="dxa"/>
            <w:right w:w="108" w:type="dxa"/>
          </w:tblCellMar>
        </w:tblPrEx>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6712EF">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w:t>
            </w:r>
          </w:p>
        </w:tc>
        <w:tc>
          <w:tcPr>
            <w:tcW w:w="1641" w:type="dxa"/>
            <w:tcBorders>
              <w:top w:val="single" w:color="auto" w:sz="4" w:space="0"/>
              <w:left w:val="single" w:color="auto" w:sz="4" w:space="0"/>
              <w:bottom w:val="single" w:color="auto" w:sz="4" w:space="0"/>
              <w:right w:val="single" w:color="auto" w:sz="4" w:space="0"/>
            </w:tcBorders>
            <w:shd w:val="clear" w:color="auto" w:fill="auto"/>
            <w:vAlign w:val="center"/>
          </w:tcPr>
          <w:p w14:paraId="59843FE2">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骨头哑铃</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3B0FA38A">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个</w:t>
            </w:r>
          </w:p>
        </w:tc>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E87052">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40</w:t>
            </w:r>
          </w:p>
        </w:tc>
        <w:tc>
          <w:tcPr>
            <w:tcW w:w="1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9E7712">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规格：长20.5cm</w:t>
            </w:r>
          </w:p>
          <w:p w14:paraId="04A0C052">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2.</w:t>
            </w:r>
            <w:r>
              <w:rPr>
                <w:rFonts w:hint="eastAsia" w:ascii="宋体" w:hAnsi="宋体" w:eastAsia="宋体" w:cs="宋体"/>
                <w:color w:val="000000"/>
                <w:kern w:val="0"/>
                <w:sz w:val="21"/>
                <w:szCs w:val="21"/>
              </w:rPr>
              <w:t>材质：表面纳米浸塑，内部铁</w:t>
            </w:r>
          </w:p>
          <w:p w14:paraId="692C0C8A">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3.</w:t>
            </w:r>
            <w:r>
              <w:rPr>
                <w:rFonts w:hint="eastAsia" w:ascii="宋体" w:hAnsi="宋体" w:eastAsia="宋体" w:cs="宋体"/>
                <w:color w:val="000000"/>
                <w:kern w:val="0"/>
                <w:sz w:val="21"/>
                <w:szCs w:val="21"/>
              </w:rPr>
              <w:t>颜色：绿色</w:t>
            </w:r>
          </w:p>
          <w:p w14:paraId="6090E93B">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4.</w:t>
            </w:r>
            <w:r>
              <w:rPr>
                <w:rFonts w:hint="eastAsia" w:ascii="宋体" w:hAnsi="宋体" w:eastAsia="宋体" w:cs="宋体"/>
                <w:color w:val="000000"/>
                <w:kern w:val="0"/>
                <w:sz w:val="21"/>
                <w:szCs w:val="21"/>
              </w:rPr>
              <w:t>克重：2.0KG</w:t>
            </w:r>
          </w:p>
        </w:tc>
      </w:tr>
      <w:tr w14:paraId="02ADFAA3">
        <w:tblPrEx>
          <w:tblCellMar>
            <w:top w:w="0" w:type="dxa"/>
            <w:left w:w="108" w:type="dxa"/>
            <w:bottom w:w="0" w:type="dxa"/>
            <w:right w:w="108" w:type="dxa"/>
          </w:tblCellMar>
        </w:tblPrEx>
        <w:trPr>
          <w:trHeight w:val="602"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3455F4">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w:t>
            </w:r>
          </w:p>
        </w:tc>
        <w:tc>
          <w:tcPr>
            <w:tcW w:w="1641" w:type="dxa"/>
            <w:tcBorders>
              <w:top w:val="single" w:color="auto" w:sz="4" w:space="0"/>
              <w:left w:val="single" w:color="auto" w:sz="4" w:space="0"/>
              <w:bottom w:val="single" w:color="auto" w:sz="4" w:space="0"/>
              <w:right w:val="single" w:color="auto" w:sz="4" w:space="0"/>
            </w:tcBorders>
            <w:shd w:val="clear" w:color="auto" w:fill="auto"/>
            <w:vAlign w:val="center"/>
          </w:tcPr>
          <w:p w14:paraId="67EB79D2">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瑜伽球</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369C2D94">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个</w:t>
            </w:r>
          </w:p>
        </w:tc>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F16892">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20</w:t>
            </w:r>
          </w:p>
        </w:tc>
        <w:tc>
          <w:tcPr>
            <w:tcW w:w="1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934DA8">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材质：PVC</w:t>
            </w:r>
          </w:p>
          <w:p w14:paraId="3C31063F">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2.</w:t>
            </w:r>
            <w:r>
              <w:rPr>
                <w:rFonts w:hint="eastAsia" w:ascii="宋体" w:hAnsi="宋体" w:eastAsia="宋体" w:cs="宋体"/>
                <w:color w:val="000000"/>
                <w:kern w:val="0"/>
                <w:sz w:val="21"/>
                <w:szCs w:val="21"/>
              </w:rPr>
              <w:t>规格：55cm 蔷薇紫 克重1.2KG</w:t>
            </w:r>
            <w:r>
              <w:rPr>
                <w:rFonts w:hint="eastAsia" w:cs="宋体"/>
                <w:color w:val="000000"/>
                <w:kern w:val="0"/>
                <w:sz w:val="21"/>
                <w:szCs w:val="21"/>
                <w:lang w:eastAsia="zh-CN"/>
              </w:rPr>
              <w:t>；</w:t>
            </w:r>
            <w:r>
              <w:rPr>
                <w:rFonts w:hint="eastAsia" w:ascii="宋体" w:hAnsi="宋体" w:eastAsia="宋体" w:cs="宋体"/>
                <w:color w:val="000000"/>
                <w:kern w:val="0"/>
                <w:sz w:val="21"/>
                <w:szCs w:val="21"/>
              </w:rPr>
              <w:t>65cm 菘蓝绿 克重1.4KG</w:t>
            </w:r>
            <w:r>
              <w:rPr>
                <w:rFonts w:hint="eastAsia" w:cs="宋体"/>
                <w:color w:val="000000"/>
                <w:kern w:val="0"/>
                <w:sz w:val="21"/>
                <w:szCs w:val="21"/>
                <w:lang w:eastAsia="zh-CN"/>
              </w:rPr>
              <w:t>；</w:t>
            </w:r>
            <w:r>
              <w:rPr>
                <w:rFonts w:hint="eastAsia" w:ascii="宋体" w:hAnsi="宋体" w:eastAsia="宋体" w:cs="宋体"/>
                <w:color w:val="000000"/>
                <w:kern w:val="0"/>
                <w:sz w:val="21"/>
                <w:szCs w:val="21"/>
              </w:rPr>
              <w:t>75cm 云层灰 克重1.6KG</w:t>
            </w:r>
          </w:p>
        </w:tc>
      </w:tr>
      <w:tr w14:paraId="69B2C091">
        <w:tblPrEx>
          <w:tblCellMar>
            <w:top w:w="0" w:type="dxa"/>
            <w:left w:w="108" w:type="dxa"/>
            <w:bottom w:w="0" w:type="dxa"/>
            <w:right w:w="108" w:type="dxa"/>
          </w:tblCellMar>
        </w:tblPrEx>
        <w:trPr>
          <w:trHeight w:val="547"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2D85B0">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w:t>
            </w:r>
          </w:p>
        </w:tc>
        <w:tc>
          <w:tcPr>
            <w:tcW w:w="1641" w:type="dxa"/>
            <w:tcBorders>
              <w:top w:val="single" w:color="auto" w:sz="4" w:space="0"/>
              <w:left w:val="single" w:color="auto" w:sz="4" w:space="0"/>
              <w:bottom w:val="single" w:color="auto" w:sz="4" w:space="0"/>
              <w:right w:val="single" w:color="auto" w:sz="4" w:space="0"/>
            </w:tcBorders>
            <w:shd w:val="clear" w:color="auto" w:fill="auto"/>
            <w:vAlign w:val="center"/>
          </w:tcPr>
          <w:p w14:paraId="2F156BB1">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普拉提小球</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6D242B12">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个</w:t>
            </w:r>
          </w:p>
        </w:tc>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318F1C">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20</w:t>
            </w:r>
          </w:p>
        </w:tc>
        <w:tc>
          <w:tcPr>
            <w:tcW w:w="1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A0C23A">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材质：PVC</w:t>
            </w:r>
          </w:p>
          <w:p w14:paraId="13469C5F">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2.</w:t>
            </w:r>
            <w:r>
              <w:rPr>
                <w:rFonts w:hint="eastAsia" w:ascii="宋体" w:hAnsi="宋体" w:eastAsia="宋体" w:cs="宋体"/>
                <w:color w:val="000000"/>
                <w:kern w:val="0"/>
                <w:sz w:val="21"/>
                <w:szCs w:val="21"/>
              </w:rPr>
              <w:t>规格：菘蓝绿20cm</w:t>
            </w:r>
            <w:r>
              <w:rPr>
                <w:rFonts w:hint="eastAsia" w:cs="宋体"/>
                <w:color w:val="000000"/>
                <w:kern w:val="0"/>
                <w:sz w:val="21"/>
                <w:szCs w:val="21"/>
                <w:lang w:eastAsia="zh-CN"/>
              </w:rPr>
              <w:t>；</w:t>
            </w:r>
            <w:r>
              <w:rPr>
                <w:rFonts w:hint="eastAsia" w:ascii="宋体" w:hAnsi="宋体" w:eastAsia="宋体" w:cs="宋体"/>
                <w:color w:val="000000"/>
                <w:kern w:val="0"/>
                <w:sz w:val="21"/>
                <w:szCs w:val="21"/>
              </w:rPr>
              <w:t>深空灰25cm</w:t>
            </w:r>
            <w:r>
              <w:rPr>
                <w:rFonts w:hint="eastAsia" w:cs="宋体"/>
                <w:color w:val="000000"/>
                <w:kern w:val="0"/>
                <w:sz w:val="21"/>
                <w:szCs w:val="21"/>
                <w:lang w:eastAsia="zh-CN"/>
              </w:rPr>
              <w:t>。</w:t>
            </w:r>
          </w:p>
        </w:tc>
      </w:tr>
      <w:tr w14:paraId="1F33028C">
        <w:tblPrEx>
          <w:tblCellMar>
            <w:top w:w="0" w:type="dxa"/>
            <w:left w:w="108" w:type="dxa"/>
            <w:bottom w:w="0" w:type="dxa"/>
            <w:right w:w="108" w:type="dxa"/>
          </w:tblCellMar>
        </w:tblPrEx>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E57072">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7</w:t>
            </w:r>
          </w:p>
        </w:tc>
        <w:tc>
          <w:tcPr>
            <w:tcW w:w="1641" w:type="dxa"/>
            <w:tcBorders>
              <w:top w:val="single" w:color="auto" w:sz="4" w:space="0"/>
              <w:left w:val="single" w:color="auto" w:sz="4" w:space="0"/>
              <w:bottom w:val="single" w:color="auto" w:sz="4" w:space="0"/>
              <w:right w:val="single" w:color="auto" w:sz="4" w:space="0"/>
            </w:tcBorders>
            <w:shd w:val="clear" w:color="auto" w:fill="auto"/>
            <w:vAlign w:val="center"/>
          </w:tcPr>
          <w:p w14:paraId="38D44903">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大踏板（PRO版）</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134E9184">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个</w:t>
            </w:r>
          </w:p>
        </w:tc>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964A71">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20</w:t>
            </w:r>
          </w:p>
        </w:tc>
        <w:tc>
          <w:tcPr>
            <w:tcW w:w="1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E51B84">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1.材质：主体PP材料+表皮TPR材料，表面贴合大面积TPR软胶，防滑, 脚底使用四个TPR软胶做支撑，减震防滑。</w:t>
            </w:r>
          </w:p>
          <w:p w14:paraId="220B61EA">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2.规格：椭圆结构造型，配有四个六边型底拖，产品整体长度107cm，宽度42cm，高度20cm</w:t>
            </w:r>
            <w:r>
              <w:rPr>
                <w:rFonts w:hint="eastAsia" w:cs="宋体"/>
                <w:color w:val="000000"/>
                <w:kern w:val="0"/>
                <w:sz w:val="21"/>
                <w:szCs w:val="21"/>
                <w:lang w:val="en-US" w:eastAsia="zh-CN"/>
              </w:rPr>
              <w:t>。</w:t>
            </w:r>
          </w:p>
          <w:p w14:paraId="38D7F7F5">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3.</w:t>
            </w:r>
            <w:r>
              <w:rPr>
                <w:rFonts w:hint="eastAsia" w:ascii="宋体" w:hAnsi="宋体" w:eastAsia="宋体" w:cs="宋体"/>
                <w:color w:val="000000"/>
                <w:kern w:val="0"/>
                <w:sz w:val="21"/>
                <w:szCs w:val="21"/>
                <w:highlight w:val="none"/>
                <w:lang w:val="en-US" w:eastAsia="zh-CN"/>
              </w:rPr>
              <w:t>产品已投保产品责任险</w:t>
            </w:r>
            <w:r>
              <w:rPr>
                <w:rFonts w:hint="eastAsia" w:cs="宋体"/>
                <w:color w:val="000000"/>
                <w:kern w:val="0"/>
                <w:sz w:val="21"/>
                <w:szCs w:val="21"/>
                <w:highlight w:val="none"/>
                <w:lang w:val="en-US" w:eastAsia="zh-CN"/>
              </w:rPr>
              <w:t>，</w:t>
            </w:r>
            <w:r>
              <w:rPr>
                <w:rFonts w:hint="eastAsia" w:ascii="宋体" w:hAnsi="宋体" w:eastAsia="宋体" w:cs="宋体"/>
                <w:kern w:val="0"/>
                <w:sz w:val="21"/>
                <w:szCs w:val="21"/>
                <w:highlight w:val="none"/>
              </w:rPr>
              <w:t>提供保单复印件</w:t>
            </w:r>
            <w:r>
              <w:rPr>
                <w:rFonts w:hint="eastAsia" w:cs="宋体"/>
                <w:color w:val="000000"/>
                <w:kern w:val="0"/>
                <w:sz w:val="21"/>
                <w:szCs w:val="21"/>
                <w:highlight w:val="none"/>
                <w:lang w:val="en-US" w:eastAsia="zh-CN"/>
              </w:rPr>
              <w:t>。</w:t>
            </w:r>
          </w:p>
          <w:p w14:paraId="21176180">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kern w:val="0"/>
                <w:sz w:val="21"/>
                <w:szCs w:val="21"/>
                <w:highlight w:val="none"/>
              </w:rPr>
              <w:t>★</w:t>
            </w:r>
            <w:r>
              <w:rPr>
                <w:rFonts w:hint="eastAsia" w:cs="宋体"/>
                <w:kern w:val="0"/>
                <w:sz w:val="21"/>
                <w:szCs w:val="21"/>
                <w:highlight w:val="none"/>
                <w:lang w:val="en-US" w:eastAsia="zh-CN"/>
              </w:rPr>
              <w:t>4</w:t>
            </w:r>
            <w:r>
              <w:rPr>
                <w:rFonts w:hint="eastAsia" w:ascii="宋体" w:hAnsi="宋体" w:eastAsia="宋体" w:cs="宋体"/>
                <w:kern w:val="0"/>
                <w:sz w:val="21"/>
                <w:szCs w:val="21"/>
                <w:highlight w:val="none"/>
                <w:lang w:val="en-US" w:eastAsia="zh-CN"/>
              </w:rPr>
              <w:t>.</w:t>
            </w:r>
            <w:r>
              <w:rPr>
                <w:rFonts w:hint="eastAsia" w:ascii="宋体" w:hAnsi="宋体" w:eastAsia="宋体" w:cs="宋体"/>
                <w:color w:val="000000"/>
                <w:kern w:val="0"/>
                <w:sz w:val="21"/>
                <w:szCs w:val="21"/>
                <w:highlight w:val="none"/>
                <w:lang w:val="en-US" w:eastAsia="zh-CN"/>
              </w:rPr>
              <w:t>下压耐久试验报告（基于100公斤重量，经20000次下压冲击试验后，完好无损，功能正常）和防滑测试检测报告（摩擦系数平均值不小于0.67)</w:t>
            </w:r>
            <w:r>
              <w:rPr>
                <w:rFonts w:hint="eastAsia" w:cs="宋体"/>
                <w:color w:val="000000"/>
                <w:kern w:val="0"/>
                <w:sz w:val="21"/>
                <w:szCs w:val="21"/>
                <w:highlight w:val="none"/>
                <w:lang w:val="en-US" w:eastAsia="zh-CN"/>
              </w:rPr>
              <w:t>。</w:t>
            </w:r>
            <w:r>
              <w:rPr>
                <w:rFonts w:hint="eastAsia" w:ascii="宋体" w:hAnsi="宋体" w:eastAsia="宋体" w:cs="宋体"/>
                <w:b w:val="0"/>
                <w:bCs/>
                <w:color w:val="auto"/>
                <w:sz w:val="21"/>
                <w:szCs w:val="21"/>
                <w:highlight w:val="none"/>
                <w:lang w:eastAsia="zh-CN"/>
              </w:rPr>
              <w:t>须</w:t>
            </w:r>
            <w:r>
              <w:rPr>
                <w:rFonts w:hint="eastAsia" w:ascii="宋体" w:hAnsi="宋体" w:eastAsia="宋体" w:cs="宋体"/>
                <w:b w:val="0"/>
                <w:bCs/>
                <w:color w:val="auto"/>
                <w:sz w:val="21"/>
                <w:szCs w:val="21"/>
                <w:highlight w:val="none"/>
              </w:rPr>
              <w:t>承诺中标后提供由</w:t>
            </w:r>
            <w:r>
              <w:rPr>
                <w:rFonts w:hint="eastAsia" w:ascii="宋体" w:hAnsi="宋体" w:eastAsia="宋体" w:cs="宋体"/>
                <w:b w:val="0"/>
                <w:bCs/>
                <w:color w:val="auto"/>
                <w:sz w:val="21"/>
                <w:szCs w:val="21"/>
                <w:highlight w:val="none"/>
                <w:lang w:eastAsia="zh-CN"/>
              </w:rPr>
              <w:t>第三方</w:t>
            </w:r>
            <w:r>
              <w:rPr>
                <w:rFonts w:hint="eastAsia" w:ascii="宋体" w:hAnsi="宋体" w:eastAsia="宋体" w:cs="宋体"/>
                <w:b w:val="0"/>
                <w:bCs/>
                <w:color w:val="auto"/>
                <w:sz w:val="21"/>
                <w:szCs w:val="21"/>
                <w:highlight w:val="none"/>
              </w:rPr>
              <w:t>检测机构出具的带有CMA或CNAS标识的检测报告</w:t>
            </w:r>
            <w:r>
              <w:rPr>
                <w:rFonts w:hint="eastAsia" w:ascii="宋体" w:hAnsi="宋体" w:cs="宋体"/>
                <w:color w:val="auto"/>
                <w:kern w:val="2"/>
                <w:sz w:val="21"/>
                <w:szCs w:val="21"/>
                <w:highlight w:val="none"/>
                <w:lang w:val="en-US" w:eastAsia="zh-CN" w:bidi="ar-SA"/>
              </w:rPr>
              <w:t>。</w:t>
            </w:r>
          </w:p>
        </w:tc>
      </w:tr>
      <w:tr w14:paraId="4F846091">
        <w:tblPrEx>
          <w:tblCellMar>
            <w:top w:w="0" w:type="dxa"/>
            <w:left w:w="108" w:type="dxa"/>
            <w:bottom w:w="0" w:type="dxa"/>
            <w:right w:w="108" w:type="dxa"/>
          </w:tblCellMar>
        </w:tblPrEx>
        <w:trPr>
          <w:trHeight w:val="2049"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1BE9F1">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w:t>
            </w:r>
          </w:p>
        </w:tc>
        <w:tc>
          <w:tcPr>
            <w:tcW w:w="1641" w:type="dxa"/>
            <w:tcBorders>
              <w:top w:val="single" w:color="auto" w:sz="4" w:space="0"/>
              <w:left w:val="single" w:color="auto" w:sz="4" w:space="0"/>
              <w:bottom w:val="single" w:color="auto" w:sz="4" w:space="0"/>
              <w:right w:val="single" w:color="auto" w:sz="4" w:space="0"/>
            </w:tcBorders>
            <w:shd w:val="clear" w:color="auto" w:fill="auto"/>
            <w:vAlign w:val="center"/>
          </w:tcPr>
          <w:p w14:paraId="618BD942">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半圆平衡球（PRO版）</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62B43AB4">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个</w:t>
            </w:r>
          </w:p>
        </w:tc>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E493D5">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20</w:t>
            </w:r>
          </w:p>
        </w:tc>
        <w:tc>
          <w:tcPr>
            <w:tcW w:w="1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70A27C">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1.材质：球皮环保PVC材质，边框ABS材质，底盘PP+玻纤+TPR材质。</w:t>
            </w:r>
          </w:p>
          <w:p w14:paraId="579F48F2">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2.规格：底部圆直径63cm，底部要求粘贴TPR防滑皮，贴皮面积50cm,球皮最大可充气高度22cm。</w:t>
            </w:r>
          </w:p>
          <w:p w14:paraId="58F9CD1D">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3.</w:t>
            </w:r>
            <w:r>
              <w:rPr>
                <w:rFonts w:hint="eastAsia" w:ascii="宋体" w:hAnsi="宋体" w:eastAsia="宋体" w:cs="宋体"/>
                <w:color w:val="000000"/>
                <w:kern w:val="0"/>
                <w:sz w:val="21"/>
                <w:szCs w:val="21"/>
                <w:highlight w:val="none"/>
                <w:lang w:val="en-US" w:eastAsia="zh-CN"/>
              </w:rPr>
              <w:t>产品已投保产品责任险</w:t>
            </w:r>
            <w:r>
              <w:rPr>
                <w:rFonts w:hint="eastAsia" w:cs="宋体"/>
                <w:color w:val="000000"/>
                <w:kern w:val="0"/>
                <w:sz w:val="21"/>
                <w:szCs w:val="21"/>
                <w:highlight w:val="none"/>
                <w:lang w:val="en-US" w:eastAsia="zh-CN"/>
              </w:rPr>
              <w:t>，</w:t>
            </w:r>
            <w:r>
              <w:rPr>
                <w:rFonts w:hint="eastAsia" w:ascii="宋体" w:hAnsi="宋体" w:eastAsia="宋体" w:cs="宋体"/>
                <w:kern w:val="0"/>
                <w:sz w:val="21"/>
                <w:szCs w:val="21"/>
                <w:highlight w:val="none"/>
              </w:rPr>
              <w:t>提供保单复印件</w:t>
            </w:r>
            <w:r>
              <w:rPr>
                <w:rFonts w:hint="eastAsia" w:cs="宋体"/>
                <w:color w:val="000000"/>
                <w:kern w:val="0"/>
                <w:sz w:val="21"/>
                <w:szCs w:val="21"/>
                <w:highlight w:val="none"/>
                <w:lang w:val="en-US" w:eastAsia="zh-CN"/>
              </w:rPr>
              <w:t>。</w:t>
            </w:r>
          </w:p>
          <w:p w14:paraId="43FC1AE4">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4.</w:t>
            </w:r>
            <w:r>
              <w:rPr>
                <w:rFonts w:hint="eastAsia" w:ascii="宋体" w:hAnsi="宋体" w:eastAsia="宋体" w:cs="宋体"/>
                <w:color w:val="000000"/>
                <w:kern w:val="0"/>
                <w:sz w:val="21"/>
                <w:szCs w:val="21"/>
                <w:highlight w:val="none"/>
                <w:lang w:val="en-US" w:eastAsia="zh-CN"/>
              </w:rPr>
              <w:t>下压耐久试验报告（不小于150公斤重量，经10000次下压试验后，完好无损，功能正常）和防滑测试检测报告（摩擦系数平均值不小于0.88)。</w:t>
            </w:r>
            <w:r>
              <w:rPr>
                <w:rFonts w:hint="eastAsia" w:ascii="宋体" w:hAnsi="宋体" w:eastAsia="宋体" w:cs="宋体"/>
                <w:b w:val="0"/>
                <w:bCs/>
                <w:color w:val="auto"/>
                <w:sz w:val="21"/>
                <w:szCs w:val="21"/>
                <w:highlight w:val="none"/>
                <w:lang w:eastAsia="zh-CN"/>
              </w:rPr>
              <w:t>须</w:t>
            </w:r>
            <w:r>
              <w:rPr>
                <w:rFonts w:hint="eastAsia" w:ascii="宋体" w:hAnsi="宋体" w:eastAsia="宋体" w:cs="宋体"/>
                <w:b w:val="0"/>
                <w:bCs/>
                <w:color w:val="auto"/>
                <w:sz w:val="21"/>
                <w:szCs w:val="21"/>
                <w:highlight w:val="none"/>
              </w:rPr>
              <w:t>承诺中标后提供由</w:t>
            </w:r>
            <w:r>
              <w:rPr>
                <w:rFonts w:hint="eastAsia" w:ascii="宋体" w:hAnsi="宋体" w:eastAsia="宋体" w:cs="宋体"/>
                <w:b w:val="0"/>
                <w:bCs/>
                <w:color w:val="auto"/>
                <w:sz w:val="21"/>
                <w:szCs w:val="21"/>
                <w:highlight w:val="none"/>
                <w:lang w:eastAsia="zh-CN"/>
              </w:rPr>
              <w:t>第三方</w:t>
            </w:r>
            <w:r>
              <w:rPr>
                <w:rFonts w:hint="eastAsia" w:ascii="宋体" w:hAnsi="宋体" w:eastAsia="宋体" w:cs="宋体"/>
                <w:b w:val="0"/>
                <w:bCs/>
                <w:color w:val="auto"/>
                <w:sz w:val="21"/>
                <w:szCs w:val="21"/>
                <w:highlight w:val="none"/>
              </w:rPr>
              <w:t>检测机构出具的带有CMA或CNAS标识的检测报告</w:t>
            </w:r>
            <w:r>
              <w:rPr>
                <w:rFonts w:hint="eastAsia" w:ascii="宋体" w:hAnsi="宋体" w:cs="宋体"/>
                <w:color w:val="auto"/>
                <w:kern w:val="2"/>
                <w:sz w:val="21"/>
                <w:szCs w:val="21"/>
                <w:highlight w:val="none"/>
                <w:lang w:val="en-US" w:eastAsia="zh-CN" w:bidi="ar-SA"/>
              </w:rPr>
              <w:t>。</w:t>
            </w:r>
          </w:p>
          <w:p w14:paraId="36E96D94">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5.</w:t>
            </w:r>
            <w:r>
              <w:rPr>
                <w:rFonts w:hint="eastAsia" w:ascii="宋体" w:hAnsi="宋体" w:eastAsia="宋体" w:cs="宋体"/>
                <w:b w:val="0"/>
                <w:bCs/>
                <w:color w:val="auto"/>
                <w:sz w:val="21"/>
                <w:szCs w:val="21"/>
                <w:highlight w:val="none"/>
                <w:lang w:eastAsia="zh-CN"/>
              </w:rPr>
              <w:t>须</w:t>
            </w:r>
            <w:r>
              <w:rPr>
                <w:rFonts w:hint="eastAsia" w:ascii="宋体" w:hAnsi="宋体" w:eastAsia="宋体" w:cs="宋体"/>
                <w:b w:val="0"/>
                <w:bCs/>
                <w:color w:val="auto"/>
                <w:sz w:val="21"/>
                <w:szCs w:val="21"/>
                <w:highlight w:val="none"/>
              </w:rPr>
              <w:t>承诺中标后提供由</w:t>
            </w:r>
            <w:r>
              <w:rPr>
                <w:rFonts w:hint="eastAsia" w:ascii="宋体" w:hAnsi="宋体" w:eastAsia="宋体" w:cs="宋体"/>
                <w:b w:val="0"/>
                <w:bCs/>
                <w:color w:val="auto"/>
                <w:sz w:val="21"/>
                <w:szCs w:val="21"/>
                <w:highlight w:val="none"/>
                <w:lang w:eastAsia="zh-CN"/>
              </w:rPr>
              <w:t>第三方</w:t>
            </w:r>
            <w:r>
              <w:rPr>
                <w:rFonts w:hint="eastAsia" w:ascii="宋体" w:hAnsi="宋体" w:eastAsia="宋体" w:cs="宋体"/>
                <w:b w:val="0"/>
                <w:bCs/>
                <w:color w:val="auto"/>
                <w:sz w:val="21"/>
                <w:szCs w:val="21"/>
                <w:highlight w:val="none"/>
              </w:rPr>
              <w:t>检测机构出具的带有CMA或CNAS标识的</w:t>
            </w:r>
            <w:r>
              <w:rPr>
                <w:rFonts w:hint="eastAsia" w:ascii="宋体" w:hAnsi="宋体" w:eastAsia="宋体" w:cs="宋体"/>
                <w:color w:val="000000"/>
                <w:kern w:val="0"/>
                <w:sz w:val="21"/>
                <w:szCs w:val="21"/>
                <w:highlight w:val="none"/>
                <w:lang w:val="en-US" w:eastAsia="zh-CN"/>
              </w:rPr>
              <w:t>关于产品材质与人体接触无毒害物质或过敏反应的</w:t>
            </w:r>
            <w:r>
              <w:rPr>
                <w:rFonts w:hint="eastAsia" w:cs="宋体"/>
                <w:color w:val="000000"/>
                <w:kern w:val="0"/>
                <w:sz w:val="21"/>
                <w:szCs w:val="21"/>
                <w:highlight w:val="none"/>
                <w:lang w:val="en-US" w:eastAsia="zh-CN"/>
              </w:rPr>
              <w:t>检测</w:t>
            </w:r>
            <w:r>
              <w:rPr>
                <w:rFonts w:hint="eastAsia" w:ascii="宋体" w:hAnsi="宋体" w:eastAsia="宋体" w:cs="宋体"/>
                <w:color w:val="000000"/>
                <w:kern w:val="0"/>
                <w:sz w:val="21"/>
                <w:szCs w:val="21"/>
                <w:highlight w:val="none"/>
                <w:lang w:val="en-US" w:eastAsia="zh-CN"/>
              </w:rPr>
              <w:t>报告。</w:t>
            </w:r>
          </w:p>
        </w:tc>
      </w:tr>
      <w:tr w14:paraId="756E3229">
        <w:tblPrEx>
          <w:tblCellMar>
            <w:top w:w="0" w:type="dxa"/>
            <w:left w:w="108" w:type="dxa"/>
            <w:bottom w:w="0" w:type="dxa"/>
            <w:right w:w="108" w:type="dxa"/>
          </w:tblCellMar>
        </w:tblPrEx>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73533D">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w:t>
            </w:r>
          </w:p>
        </w:tc>
        <w:tc>
          <w:tcPr>
            <w:tcW w:w="1641" w:type="dxa"/>
            <w:tcBorders>
              <w:top w:val="single" w:color="auto" w:sz="4" w:space="0"/>
              <w:left w:val="single" w:color="auto" w:sz="4" w:space="0"/>
              <w:bottom w:val="single" w:color="auto" w:sz="4" w:space="0"/>
              <w:right w:val="single" w:color="auto" w:sz="4" w:space="0"/>
            </w:tcBorders>
            <w:shd w:val="clear" w:color="auto" w:fill="auto"/>
            <w:vAlign w:val="center"/>
          </w:tcPr>
          <w:p w14:paraId="28D5F0D8">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滑行盘（PRO版）</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7FC3FCAA">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个</w:t>
            </w:r>
          </w:p>
        </w:tc>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9E7E24">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20</w:t>
            </w:r>
          </w:p>
        </w:tc>
        <w:tc>
          <w:tcPr>
            <w:tcW w:w="1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887D59">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材质：表面为合成PVC材质，支撑面高密度EVA材质。</w:t>
            </w:r>
          </w:p>
          <w:p w14:paraId="26D8C428">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2.</w:t>
            </w:r>
            <w:r>
              <w:rPr>
                <w:rFonts w:hint="eastAsia" w:ascii="宋体" w:hAnsi="宋体" w:eastAsia="宋体" w:cs="宋体"/>
                <w:color w:val="000000"/>
                <w:kern w:val="0"/>
                <w:sz w:val="21"/>
                <w:szCs w:val="21"/>
              </w:rPr>
              <w:t>规格：整体椭圆造型，长度27.5cm  宽度13cm，重量210克。配置有一对脚套及收纳网袋。</w:t>
            </w:r>
          </w:p>
          <w:p w14:paraId="214ACA93">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3.</w:t>
            </w:r>
            <w:r>
              <w:rPr>
                <w:rFonts w:hint="eastAsia" w:ascii="宋体" w:hAnsi="宋体" w:eastAsia="宋体" w:cs="宋体"/>
                <w:color w:val="000000"/>
                <w:kern w:val="0"/>
                <w:sz w:val="21"/>
                <w:szCs w:val="21"/>
              </w:rPr>
              <w:t>产品特点：产品主要用于下肢训练，同时还可以用来拉伸和坚固肩膀，胸部和背部，以及全身大多数的关节，可以在地毯和硬地板2种不同的表面训练，身体将调动所有肌肉群来适应这样的核心和稳定性的锻炼。</w:t>
            </w:r>
          </w:p>
          <w:p w14:paraId="688D6192">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000000"/>
                <w:kern w:val="0"/>
                <w:sz w:val="21"/>
                <w:szCs w:val="21"/>
                <w:highlight w:val="none"/>
                <w:lang w:eastAsia="zh-CN"/>
              </w:rPr>
            </w:pP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4.</w:t>
            </w:r>
            <w:r>
              <w:rPr>
                <w:rFonts w:hint="eastAsia" w:ascii="宋体" w:hAnsi="宋体" w:eastAsia="宋体" w:cs="宋体"/>
                <w:color w:val="000000"/>
                <w:kern w:val="0"/>
                <w:sz w:val="21"/>
                <w:szCs w:val="21"/>
                <w:highlight w:val="none"/>
              </w:rPr>
              <w:t>产品已投保产品责任险</w:t>
            </w:r>
            <w:r>
              <w:rPr>
                <w:rFonts w:hint="eastAsia" w:cs="宋体"/>
                <w:color w:val="000000"/>
                <w:kern w:val="0"/>
                <w:sz w:val="21"/>
                <w:szCs w:val="21"/>
                <w:highlight w:val="none"/>
                <w:lang w:eastAsia="zh-CN"/>
              </w:rPr>
              <w:t>，</w:t>
            </w:r>
            <w:r>
              <w:rPr>
                <w:rFonts w:hint="eastAsia" w:ascii="宋体" w:hAnsi="宋体" w:eastAsia="宋体" w:cs="宋体"/>
                <w:kern w:val="0"/>
                <w:sz w:val="21"/>
                <w:szCs w:val="21"/>
                <w:highlight w:val="none"/>
              </w:rPr>
              <w:t>提供保单复印件</w:t>
            </w:r>
            <w:r>
              <w:rPr>
                <w:rFonts w:hint="eastAsia" w:cs="宋体"/>
                <w:color w:val="000000"/>
                <w:kern w:val="0"/>
                <w:sz w:val="21"/>
                <w:szCs w:val="21"/>
                <w:highlight w:val="none"/>
                <w:lang w:eastAsia="zh-CN"/>
              </w:rPr>
              <w:t>。</w:t>
            </w:r>
          </w:p>
          <w:p w14:paraId="6A8AF30C">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5.</w:t>
            </w:r>
            <w:r>
              <w:rPr>
                <w:rFonts w:hint="eastAsia" w:ascii="宋体" w:hAnsi="宋体" w:eastAsia="宋体" w:cs="宋体"/>
                <w:b w:val="0"/>
                <w:bCs/>
                <w:color w:val="auto"/>
                <w:sz w:val="21"/>
                <w:szCs w:val="21"/>
                <w:highlight w:val="none"/>
                <w:lang w:eastAsia="zh-CN"/>
              </w:rPr>
              <w:t>须</w:t>
            </w:r>
            <w:r>
              <w:rPr>
                <w:rFonts w:hint="eastAsia" w:ascii="宋体" w:hAnsi="宋体" w:eastAsia="宋体" w:cs="宋体"/>
                <w:b w:val="0"/>
                <w:bCs/>
                <w:color w:val="auto"/>
                <w:sz w:val="21"/>
                <w:szCs w:val="21"/>
                <w:highlight w:val="none"/>
              </w:rPr>
              <w:t>承诺中标后提供由</w:t>
            </w:r>
            <w:r>
              <w:rPr>
                <w:rFonts w:hint="eastAsia" w:ascii="宋体" w:hAnsi="宋体" w:eastAsia="宋体" w:cs="宋体"/>
                <w:b w:val="0"/>
                <w:bCs/>
                <w:color w:val="auto"/>
                <w:sz w:val="21"/>
                <w:szCs w:val="21"/>
                <w:highlight w:val="none"/>
                <w:lang w:eastAsia="zh-CN"/>
              </w:rPr>
              <w:t>第三方</w:t>
            </w:r>
            <w:r>
              <w:rPr>
                <w:rFonts w:hint="eastAsia" w:ascii="宋体" w:hAnsi="宋体" w:eastAsia="宋体" w:cs="宋体"/>
                <w:b w:val="0"/>
                <w:bCs/>
                <w:color w:val="auto"/>
                <w:sz w:val="21"/>
                <w:szCs w:val="21"/>
                <w:highlight w:val="none"/>
              </w:rPr>
              <w:t>检测机构出具的带有CMA或CNAS标识</w:t>
            </w:r>
            <w:r>
              <w:rPr>
                <w:rFonts w:hint="eastAsia" w:ascii="宋体" w:hAnsi="宋体" w:eastAsia="宋体" w:cs="宋体"/>
                <w:color w:val="000000"/>
                <w:kern w:val="0"/>
                <w:sz w:val="21"/>
                <w:szCs w:val="21"/>
                <w:highlight w:val="none"/>
              </w:rPr>
              <w:t>的关于产品材质无限用物质和重金属物质的检测报告。</w:t>
            </w:r>
          </w:p>
        </w:tc>
      </w:tr>
      <w:tr w14:paraId="6C6ADE2A">
        <w:tblPrEx>
          <w:tblCellMar>
            <w:top w:w="0" w:type="dxa"/>
            <w:left w:w="108" w:type="dxa"/>
            <w:bottom w:w="0" w:type="dxa"/>
            <w:right w:w="108" w:type="dxa"/>
          </w:tblCellMar>
        </w:tblPrEx>
        <w:trPr>
          <w:trHeight w:val="898"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6361C1">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w:t>
            </w:r>
          </w:p>
        </w:tc>
        <w:tc>
          <w:tcPr>
            <w:tcW w:w="1641" w:type="dxa"/>
            <w:tcBorders>
              <w:top w:val="single" w:color="auto" w:sz="4" w:space="0"/>
              <w:left w:val="single" w:color="auto" w:sz="4" w:space="0"/>
              <w:bottom w:val="single" w:color="auto" w:sz="4" w:space="0"/>
              <w:right w:val="single" w:color="auto" w:sz="4" w:space="0"/>
            </w:tcBorders>
            <w:shd w:val="clear" w:color="auto" w:fill="auto"/>
            <w:vAlign w:val="center"/>
          </w:tcPr>
          <w:p w14:paraId="51B5F21A">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牵拉训练带</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5352CA22">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个</w:t>
            </w:r>
          </w:p>
        </w:tc>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DF7FF2">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40</w:t>
            </w:r>
          </w:p>
        </w:tc>
        <w:tc>
          <w:tcPr>
            <w:tcW w:w="1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40E0AE">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 xml:space="preserve">尺寸：总长127CM，宽4CM，单节长度12.7CM，单层厚度2.5MM                       </w:t>
            </w:r>
          </w:p>
          <w:p w14:paraId="5A8AF1C3">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颜色：灰色+粉色</w:t>
            </w:r>
          </w:p>
          <w:p w14:paraId="4958DC4C">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用途：牵拉训练带 柔韧训练绳 腿部肌肉训练带，主要用于康复性训练</w:t>
            </w:r>
          </w:p>
        </w:tc>
      </w:tr>
      <w:tr w14:paraId="2B617C98">
        <w:tblPrEx>
          <w:tblCellMar>
            <w:top w:w="0" w:type="dxa"/>
            <w:left w:w="108" w:type="dxa"/>
            <w:bottom w:w="0" w:type="dxa"/>
            <w:right w:w="108" w:type="dxa"/>
          </w:tblCellMar>
        </w:tblPrEx>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61237B">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11</w:t>
            </w:r>
          </w:p>
        </w:tc>
        <w:tc>
          <w:tcPr>
            <w:tcW w:w="1641" w:type="dxa"/>
            <w:tcBorders>
              <w:top w:val="single" w:color="auto" w:sz="4" w:space="0"/>
              <w:left w:val="single" w:color="auto" w:sz="4" w:space="0"/>
              <w:bottom w:val="single" w:color="auto" w:sz="4" w:space="0"/>
              <w:right w:val="single" w:color="auto" w:sz="4" w:space="0"/>
            </w:tcBorders>
            <w:shd w:val="clear" w:color="auto" w:fill="auto"/>
            <w:vAlign w:val="center"/>
          </w:tcPr>
          <w:p w14:paraId="6821C86B">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拉筋板</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01B9255E">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个</w:t>
            </w:r>
          </w:p>
        </w:tc>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A1C1C3">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20</w:t>
            </w:r>
          </w:p>
        </w:tc>
        <w:tc>
          <w:tcPr>
            <w:tcW w:w="1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193DF9">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材质：PP+EVA防滑垫+镀锌管</w:t>
            </w:r>
          </w:p>
          <w:p w14:paraId="03265E55">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2.</w:t>
            </w:r>
            <w:r>
              <w:rPr>
                <w:rFonts w:hint="eastAsia" w:ascii="宋体" w:hAnsi="宋体" w:eastAsia="宋体" w:cs="宋体"/>
                <w:color w:val="000000"/>
                <w:kern w:val="0"/>
                <w:sz w:val="21"/>
                <w:szCs w:val="21"/>
              </w:rPr>
              <w:t>尺寸：32</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color w:val="000000"/>
                <w:kern w:val="0"/>
                <w:sz w:val="21"/>
                <w:szCs w:val="21"/>
              </w:rPr>
              <w:t>28</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color w:val="000000"/>
                <w:kern w:val="0"/>
                <w:sz w:val="21"/>
                <w:szCs w:val="21"/>
              </w:rPr>
              <w:t>9cm</w:t>
            </w:r>
          </w:p>
          <w:p w14:paraId="6B01F9CA">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3.</w:t>
            </w:r>
            <w:r>
              <w:rPr>
                <w:rFonts w:hint="eastAsia" w:ascii="宋体" w:hAnsi="宋体" w:eastAsia="宋体" w:cs="宋体"/>
                <w:color w:val="000000"/>
                <w:kern w:val="0"/>
                <w:sz w:val="21"/>
                <w:szCs w:val="21"/>
              </w:rPr>
              <w:t>克重：1245g</w:t>
            </w:r>
          </w:p>
          <w:p w14:paraId="0C280FC7">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4.</w:t>
            </w:r>
            <w:r>
              <w:rPr>
                <w:rFonts w:hint="eastAsia" w:ascii="宋体" w:hAnsi="宋体" w:eastAsia="宋体" w:cs="宋体"/>
                <w:color w:val="000000"/>
                <w:kern w:val="0"/>
                <w:sz w:val="21"/>
                <w:szCs w:val="21"/>
              </w:rPr>
              <w:t>承重：400KG</w:t>
            </w:r>
          </w:p>
        </w:tc>
      </w:tr>
      <w:tr w14:paraId="3D10BBB0">
        <w:tblPrEx>
          <w:tblCellMar>
            <w:top w:w="0" w:type="dxa"/>
            <w:left w:w="108" w:type="dxa"/>
            <w:bottom w:w="0" w:type="dxa"/>
            <w:right w:w="108" w:type="dxa"/>
          </w:tblCellMar>
        </w:tblPrEx>
        <w:trPr>
          <w:trHeight w:val="372"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DF999C">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12</w:t>
            </w:r>
          </w:p>
        </w:tc>
        <w:tc>
          <w:tcPr>
            <w:tcW w:w="1641" w:type="dxa"/>
            <w:tcBorders>
              <w:top w:val="single" w:color="auto" w:sz="4" w:space="0"/>
              <w:left w:val="single" w:color="auto" w:sz="4" w:space="0"/>
              <w:bottom w:val="single" w:color="auto" w:sz="4" w:space="0"/>
              <w:right w:val="single" w:color="auto" w:sz="4" w:space="0"/>
            </w:tcBorders>
            <w:shd w:val="clear" w:color="auto" w:fill="auto"/>
            <w:vAlign w:val="center"/>
          </w:tcPr>
          <w:p w14:paraId="4110CC64">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平衡垫（PRO版）</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12630AF8">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个</w:t>
            </w:r>
          </w:p>
        </w:tc>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00DFBE">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20</w:t>
            </w:r>
          </w:p>
        </w:tc>
        <w:tc>
          <w:tcPr>
            <w:tcW w:w="1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DBB60E">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1.材质：环保PVC材料</w:t>
            </w:r>
          </w:p>
          <w:p w14:paraId="208B6E30">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2.规格：直径≧33cm，高度≧4.8cm，颜色</w:t>
            </w:r>
            <w:r>
              <w:rPr>
                <w:rFonts w:hint="eastAsia" w:cs="宋体"/>
                <w:color w:val="000000"/>
                <w:kern w:val="0"/>
                <w:sz w:val="21"/>
                <w:szCs w:val="21"/>
                <w:lang w:val="en-US" w:eastAsia="zh-CN"/>
              </w:rPr>
              <w:t>：</w:t>
            </w:r>
            <w:r>
              <w:rPr>
                <w:rFonts w:hint="eastAsia" w:ascii="宋体" w:hAnsi="宋体" w:eastAsia="宋体" w:cs="宋体"/>
                <w:color w:val="000000"/>
                <w:kern w:val="0"/>
                <w:sz w:val="21"/>
                <w:szCs w:val="21"/>
                <w:lang w:val="en-US" w:eastAsia="zh-CN"/>
              </w:rPr>
              <w:t xml:space="preserve">黄色，灰色。                                          </w:t>
            </w:r>
          </w:p>
          <w:p w14:paraId="269EA3AB">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3.</w:t>
            </w:r>
            <w:r>
              <w:rPr>
                <w:rFonts w:hint="eastAsia" w:ascii="宋体" w:hAnsi="宋体" w:eastAsia="宋体" w:cs="宋体"/>
                <w:color w:val="000000"/>
                <w:kern w:val="0"/>
                <w:sz w:val="21"/>
                <w:szCs w:val="21"/>
                <w:highlight w:val="none"/>
                <w:lang w:val="en-US" w:eastAsia="zh-CN"/>
              </w:rPr>
              <w:t>产品已投保产品责任险</w:t>
            </w:r>
            <w:r>
              <w:rPr>
                <w:rFonts w:hint="eastAsia" w:cs="宋体"/>
                <w:color w:val="000000"/>
                <w:kern w:val="0"/>
                <w:sz w:val="21"/>
                <w:szCs w:val="21"/>
                <w:highlight w:val="none"/>
                <w:lang w:val="en-US" w:eastAsia="zh-CN"/>
              </w:rPr>
              <w:t>，</w:t>
            </w:r>
            <w:r>
              <w:rPr>
                <w:rFonts w:hint="eastAsia" w:ascii="宋体" w:hAnsi="宋体" w:eastAsia="宋体" w:cs="宋体"/>
                <w:kern w:val="0"/>
                <w:sz w:val="21"/>
                <w:szCs w:val="21"/>
                <w:highlight w:val="none"/>
              </w:rPr>
              <w:t>提供保单复印件</w:t>
            </w:r>
            <w:r>
              <w:rPr>
                <w:rFonts w:hint="eastAsia" w:cs="宋体"/>
                <w:color w:val="000000"/>
                <w:kern w:val="0"/>
                <w:sz w:val="21"/>
                <w:szCs w:val="21"/>
                <w:highlight w:val="none"/>
                <w:lang w:val="en-US" w:eastAsia="zh-CN"/>
              </w:rPr>
              <w:t>。</w:t>
            </w:r>
          </w:p>
          <w:p w14:paraId="2B3CCC2C">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4.</w:t>
            </w:r>
            <w:r>
              <w:rPr>
                <w:rFonts w:hint="eastAsia" w:ascii="宋体" w:hAnsi="宋体" w:eastAsia="宋体" w:cs="宋体"/>
                <w:b w:val="0"/>
                <w:bCs/>
                <w:color w:val="auto"/>
                <w:sz w:val="21"/>
                <w:szCs w:val="21"/>
                <w:highlight w:val="none"/>
                <w:lang w:eastAsia="zh-CN"/>
              </w:rPr>
              <w:t>须</w:t>
            </w:r>
            <w:r>
              <w:rPr>
                <w:rFonts w:hint="eastAsia" w:ascii="宋体" w:hAnsi="宋体" w:eastAsia="宋体" w:cs="宋体"/>
                <w:b w:val="0"/>
                <w:bCs/>
                <w:color w:val="auto"/>
                <w:sz w:val="21"/>
                <w:szCs w:val="21"/>
                <w:highlight w:val="none"/>
              </w:rPr>
              <w:t>承诺中标后提供由</w:t>
            </w:r>
            <w:r>
              <w:rPr>
                <w:rFonts w:hint="eastAsia" w:ascii="宋体" w:hAnsi="宋体" w:eastAsia="宋体" w:cs="宋体"/>
                <w:b w:val="0"/>
                <w:bCs/>
                <w:color w:val="auto"/>
                <w:sz w:val="21"/>
                <w:szCs w:val="21"/>
                <w:highlight w:val="none"/>
                <w:lang w:eastAsia="zh-CN"/>
              </w:rPr>
              <w:t>第三方</w:t>
            </w:r>
            <w:r>
              <w:rPr>
                <w:rFonts w:hint="eastAsia" w:ascii="宋体" w:hAnsi="宋体" w:eastAsia="宋体" w:cs="宋体"/>
                <w:b w:val="0"/>
                <w:bCs/>
                <w:color w:val="auto"/>
                <w:sz w:val="21"/>
                <w:szCs w:val="21"/>
                <w:highlight w:val="none"/>
              </w:rPr>
              <w:t>检测机构出具的带有CMA或CNAS标识</w:t>
            </w:r>
            <w:r>
              <w:rPr>
                <w:rFonts w:hint="eastAsia" w:ascii="宋体" w:hAnsi="宋体" w:eastAsia="宋体" w:cs="宋体"/>
                <w:color w:val="000000"/>
                <w:kern w:val="0"/>
                <w:sz w:val="21"/>
                <w:szCs w:val="21"/>
                <w:highlight w:val="none"/>
                <w:lang w:val="en-US" w:eastAsia="zh-CN"/>
              </w:rPr>
              <w:t>的关于产品材质与人体接触无毒害物质或过敏反应的</w:t>
            </w:r>
            <w:r>
              <w:rPr>
                <w:rFonts w:hint="eastAsia" w:cs="宋体"/>
                <w:color w:val="000000"/>
                <w:kern w:val="0"/>
                <w:sz w:val="21"/>
                <w:szCs w:val="21"/>
                <w:highlight w:val="none"/>
                <w:lang w:val="en-US" w:eastAsia="zh-CN"/>
              </w:rPr>
              <w:t>检测</w:t>
            </w:r>
            <w:r>
              <w:rPr>
                <w:rFonts w:hint="eastAsia" w:ascii="宋体" w:hAnsi="宋体" w:eastAsia="宋体" w:cs="宋体"/>
                <w:color w:val="000000"/>
                <w:kern w:val="0"/>
                <w:sz w:val="21"/>
                <w:szCs w:val="21"/>
                <w:highlight w:val="none"/>
                <w:lang w:val="en-US" w:eastAsia="zh-CN"/>
              </w:rPr>
              <w:t>报告</w:t>
            </w:r>
            <w:r>
              <w:rPr>
                <w:rFonts w:hint="eastAsia" w:cs="宋体"/>
                <w:color w:val="000000"/>
                <w:kern w:val="0"/>
                <w:sz w:val="21"/>
                <w:szCs w:val="21"/>
                <w:highlight w:val="none"/>
                <w:lang w:val="en-US" w:eastAsia="zh-CN"/>
              </w:rPr>
              <w:t>。</w:t>
            </w:r>
          </w:p>
        </w:tc>
      </w:tr>
      <w:tr w14:paraId="25CEFC74">
        <w:tblPrEx>
          <w:tblCellMar>
            <w:top w:w="0" w:type="dxa"/>
            <w:left w:w="108" w:type="dxa"/>
            <w:bottom w:w="0" w:type="dxa"/>
            <w:right w:w="108" w:type="dxa"/>
          </w:tblCellMar>
        </w:tblPrEx>
        <w:trPr>
          <w:trHeight w:val="266"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5D7F70">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13</w:t>
            </w:r>
          </w:p>
        </w:tc>
        <w:tc>
          <w:tcPr>
            <w:tcW w:w="1641" w:type="dxa"/>
            <w:tcBorders>
              <w:top w:val="single" w:color="auto" w:sz="4" w:space="0"/>
              <w:left w:val="single" w:color="auto" w:sz="4" w:space="0"/>
              <w:bottom w:val="single" w:color="auto" w:sz="4" w:space="0"/>
              <w:right w:val="single" w:color="auto" w:sz="4" w:space="0"/>
            </w:tcBorders>
            <w:shd w:val="clear" w:color="auto" w:fill="auto"/>
            <w:vAlign w:val="center"/>
          </w:tcPr>
          <w:p w14:paraId="0647DC5D">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平衡软踏</w:t>
            </w:r>
          </w:p>
          <w:p w14:paraId="6E4F2E8A">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（PRO版）</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6B810433">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个</w:t>
            </w:r>
          </w:p>
        </w:tc>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EBD8D4">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20</w:t>
            </w:r>
          </w:p>
        </w:tc>
        <w:tc>
          <w:tcPr>
            <w:tcW w:w="1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EA495C">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1.材质：高密度PU发泡环保材料。</w:t>
            </w:r>
          </w:p>
          <w:p w14:paraId="6FF12D96">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2.规格：长度49CM,宽度39CM，厚度5.5CM，硬度15度，重量1400克，灰色。</w:t>
            </w:r>
          </w:p>
          <w:p w14:paraId="4EE04D13">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产品特点：产品主要是进行静态或动态平衡、稳定和本体感觉的训练工具。由于其材料发泡的不稳定性，使得训练者需不断保持平衡、稳定你的关节，与不使用平衡垫进行同样的运动相比，这种方法锻炼的肌肉更多、更深。</w:t>
            </w:r>
          </w:p>
          <w:p w14:paraId="5B5CFC29">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4.</w:t>
            </w:r>
            <w:r>
              <w:rPr>
                <w:rFonts w:hint="eastAsia" w:ascii="宋体" w:hAnsi="宋体" w:eastAsia="宋体" w:cs="宋体"/>
                <w:color w:val="000000"/>
                <w:kern w:val="0"/>
                <w:sz w:val="21"/>
                <w:szCs w:val="21"/>
                <w:highlight w:val="none"/>
                <w:lang w:val="en-US" w:eastAsia="zh-CN"/>
              </w:rPr>
              <w:t>产品已投保产品责任险</w:t>
            </w:r>
            <w:r>
              <w:rPr>
                <w:rFonts w:hint="eastAsia" w:cs="宋体"/>
                <w:color w:val="000000"/>
                <w:kern w:val="0"/>
                <w:sz w:val="21"/>
                <w:szCs w:val="21"/>
                <w:highlight w:val="none"/>
                <w:lang w:val="en-US" w:eastAsia="zh-CN"/>
              </w:rPr>
              <w:t>，</w:t>
            </w:r>
            <w:r>
              <w:rPr>
                <w:rFonts w:hint="eastAsia" w:ascii="宋体" w:hAnsi="宋体" w:eastAsia="宋体" w:cs="宋体"/>
                <w:kern w:val="0"/>
                <w:sz w:val="21"/>
                <w:szCs w:val="21"/>
                <w:highlight w:val="none"/>
              </w:rPr>
              <w:t>提供保单复印件</w:t>
            </w:r>
            <w:r>
              <w:rPr>
                <w:rFonts w:hint="eastAsia" w:cs="宋体"/>
                <w:color w:val="000000"/>
                <w:kern w:val="0"/>
                <w:sz w:val="21"/>
                <w:szCs w:val="21"/>
                <w:highlight w:val="none"/>
                <w:lang w:val="en-US" w:eastAsia="zh-CN"/>
              </w:rPr>
              <w:t>。</w:t>
            </w:r>
          </w:p>
          <w:p w14:paraId="2EEBD810">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kern w:val="0"/>
                <w:sz w:val="21"/>
                <w:szCs w:val="21"/>
                <w:highlight w:val="none"/>
              </w:rPr>
              <w:t>★</w:t>
            </w:r>
            <w:r>
              <w:rPr>
                <w:rFonts w:hint="eastAsia" w:ascii="宋体" w:hAnsi="宋体" w:eastAsia="宋体" w:cs="宋体"/>
                <w:kern w:val="0"/>
                <w:sz w:val="21"/>
                <w:szCs w:val="21"/>
                <w:highlight w:val="none"/>
                <w:lang w:val="en-US" w:eastAsia="zh-CN"/>
              </w:rPr>
              <w:t>5.</w:t>
            </w:r>
            <w:r>
              <w:rPr>
                <w:rFonts w:hint="eastAsia" w:ascii="宋体" w:hAnsi="宋体" w:eastAsia="宋体" w:cs="宋体"/>
                <w:b w:val="0"/>
                <w:bCs/>
                <w:color w:val="auto"/>
                <w:sz w:val="21"/>
                <w:szCs w:val="21"/>
                <w:highlight w:val="none"/>
                <w:lang w:eastAsia="zh-CN"/>
              </w:rPr>
              <w:t>须</w:t>
            </w:r>
            <w:r>
              <w:rPr>
                <w:rFonts w:hint="eastAsia" w:ascii="宋体" w:hAnsi="宋体" w:eastAsia="宋体" w:cs="宋体"/>
                <w:b w:val="0"/>
                <w:bCs/>
                <w:color w:val="auto"/>
                <w:sz w:val="21"/>
                <w:szCs w:val="21"/>
                <w:highlight w:val="none"/>
              </w:rPr>
              <w:t>承诺中标后提供由</w:t>
            </w:r>
            <w:r>
              <w:rPr>
                <w:rFonts w:hint="eastAsia" w:ascii="宋体" w:hAnsi="宋体" w:eastAsia="宋体" w:cs="宋体"/>
                <w:b w:val="0"/>
                <w:bCs/>
                <w:color w:val="auto"/>
                <w:sz w:val="21"/>
                <w:szCs w:val="21"/>
                <w:highlight w:val="none"/>
                <w:lang w:eastAsia="zh-CN"/>
              </w:rPr>
              <w:t>第三方</w:t>
            </w:r>
            <w:r>
              <w:rPr>
                <w:rFonts w:hint="eastAsia" w:ascii="宋体" w:hAnsi="宋体" w:eastAsia="宋体" w:cs="宋体"/>
                <w:b w:val="0"/>
                <w:bCs/>
                <w:color w:val="auto"/>
                <w:sz w:val="21"/>
                <w:szCs w:val="21"/>
                <w:highlight w:val="none"/>
              </w:rPr>
              <w:t>检测机构出具的带有CMA或CNAS标识</w:t>
            </w:r>
            <w:r>
              <w:rPr>
                <w:rFonts w:hint="eastAsia" w:ascii="宋体" w:hAnsi="宋体" w:eastAsia="宋体" w:cs="宋体"/>
                <w:color w:val="000000"/>
                <w:kern w:val="0"/>
                <w:sz w:val="21"/>
                <w:szCs w:val="21"/>
                <w:highlight w:val="none"/>
                <w:lang w:val="en-US" w:eastAsia="zh-CN"/>
              </w:rPr>
              <w:t>的关于产品材质与人体接触无毒害物质或过敏反应的</w:t>
            </w:r>
            <w:r>
              <w:rPr>
                <w:rFonts w:hint="eastAsia" w:cs="宋体"/>
                <w:color w:val="000000"/>
                <w:kern w:val="0"/>
                <w:sz w:val="21"/>
                <w:szCs w:val="21"/>
                <w:highlight w:val="none"/>
                <w:lang w:val="en-US" w:eastAsia="zh-CN"/>
              </w:rPr>
              <w:t>检测</w:t>
            </w:r>
            <w:r>
              <w:rPr>
                <w:rFonts w:hint="eastAsia" w:ascii="宋体" w:hAnsi="宋体" w:eastAsia="宋体" w:cs="宋体"/>
                <w:color w:val="000000"/>
                <w:kern w:val="0"/>
                <w:sz w:val="21"/>
                <w:szCs w:val="21"/>
                <w:highlight w:val="none"/>
                <w:lang w:val="en-US" w:eastAsia="zh-CN"/>
              </w:rPr>
              <w:t>报告。</w:t>
            </w:r>
          </w:p>
        </w:tc>
      </w:tr>
      <w:tr w14:paraId="700CF300">
        <w:tblPrEx>
          <w:tblCellMar>
            <w:top w:w="0" w:type="dxa"/>
            <w:left w:w="108" w:type="dxa"/>
            <w:bottom w:w="0" w:type="dxa"/>
            <w:right w:w="108" w:type="dxa"/>
          </w:tblCellMar>
        </w:tblPrEx>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B037EB">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14</w:t>
            </w:r>
          </w:p>
        </w:tc>
        <w:tc>
          <w:tcPr>
            <w:tcW w:w="1641" w:type="dxa"/>
            <w:tcBorders>
              <w:top w:val="single" w:color="auto" w:sz="4" w:space="0"/>
              <w:left w:val="single" w:color="auto" w:sz="4" w:space="0"/>
              <w:bottom w:val="single" w:color="auto" w:sz="4" w:space="0"/>
              <w:right w:val="single" w:color="auto" w:sz="4" w:space="0"/>
            </w:tcBorders>
            <w:shd w:val="clear" w:color="auto" w:fill="auto"/>
            <w:vAlign w:val="center"/>
          </w:tcPr>
          <w:p w14:paraId="35F9A14D">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花生按摩球</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63F88D0B">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个</w:t>
            </w:r>
          </w:p>
        </w:tc>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4F6D70">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40</w:t>
            </w:r>
          </w:p>
        </w:tc>
        <w:tc>
          <w:tcPr>
            <w:tcW w:w="1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767FB0">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规格：130</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color w:val="000000"/>
                <w:kern w:val="0"/>
                <w:sz w:val="21"/>
                <w:szCs w:val="21"/>
              </w:rPr>
              <w:t>66mm</w:t>
            </w:r>
          </w:p>
          <w:p w14:paraId="21A78CD3">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2.</w:t>
            </w:r>
            <w:r>
              <w:rPr>
                <w:rFonts w:hint="eastAsia" w:ascii="宋体" w:hAnsi="宋体" w:eastAsia="宋体" w:cs="宋体"/>
                <w:color w:val="000000"/>
                <w:kern w:val="0"/>
                <w:sz w:val="21"/>
                <w:szCs w:val="21"/>
              </w:rPr>
              <w:t>材质：硅胶材质</w:t>
            </w:r>
          </w:p>
          <w:p w14:paraId="6E9FED46">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3.</w:t>
            </w:r>
            <w:r>
              <w:rPr>
                <w:rFonts w:hint="eastAsia" w:ascii="宋体" w:hAnsi="宋体" w:eastAsia="宋体" w:cs="宋体"/>
                <w:color w:val="000000"/>
                <w:kern w:val="0"/>
                <w:sz w:val="21"/>
                <w:szCs w:val="21"/>
              </w:rPr>
              <w:t>颜色：菘蓝绿</w:t>
            </w:r>
          </w:p>
          <w:p w14:paraId="18B1BD20">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4.</w:t>
            </w:r>
            <w:r>
              <w:rPr>
                <w:rFonts w:hint="eastAsia" w:ascii="宋体" w:hAnsi="宋体" w:eastAsia="宋体" w:cs="宋体"/>
                <w:color w:val="000000"/>
                <w:kern w:val="0"/>
                <w:sz w:val="21"/>
                <w:szCs w:val="21"/>
              </w:rPr>
              <w:t>克重：400g</w:t>
            </w:r>
          </w:p>
        </w:tc>
      </w:tr>
      <w:tr w14:paraId="5EB903CA">
        <w:tblPrEx>
          <w:tblCellMar>
            <w:top w:w="0" w:type="dxa"/>
            <w:left w:w="108" w:type="dxa"/>
            <w:bottom w:w="0" w:type="dxa"/>
            <w:right w:w="108" w:type="dxa"/>
          </w:tblCellMar>
        </w:tblPrEx>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99CAAC">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15</w:t>
            </w:r>
          </w:p>
        </w:tc>
        <w:tc>
          <w:tcPr>
            <w:tcW w:w="1641" w:type="dxa"/>
            <w:tcBorders>
              <w:top w:val="single" w:color="auto" w:sz="4" w:space="0"/>
              <w:left w:val="single" w:color="auto" w:sz="4" w:space="0"/>
              <w:bottom w:val="single" w:color="auto" w:sz="4" w:space="0"/>
              <w:right w:val="single" w:color="auto" w:sz="4" w:space="0"/>
            </w:tcBorders>
            <w:shd w:val="clear" w:color="auto" w:fill="auto"/>
            <w:vAlign w:val="center"/>
          </w:tcPr>
          <w:p w14:paraId="4B41CDEF">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无绳计数跳绳</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6B6AA391">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个</w:t>
            </w:r>
          </w:p>
        </w:tc>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A8AEC7">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20</w:t>
            </w:r>
          </w:p>
        </w:tc>
        <w:tc>
          <w:tcPr>
            <w:tcW w:w="1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8DC655">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规格：手柄15.5厘米，绳长3米，绳体直径4.8毫米，无绳球头3.2厘米</w:t>
            </w:r>
          </w:p>
          <w:p w14:paraId="2894ADDB">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2.</w:t>
            </w:r>
            <w:r>
              <w:rPr>
                <w:rFonts w:hint="eastAsia" w:ascii="宋体" w:hAnsi="宋体" w:eastAsia="宋体" w:cs="宋体"/>
                <w:color w:val="000000"/>
                <w:kern w:val="0"/>
                <w:sz w:val="21"/>
                <w:szCs w:val="21"/>
              </w:rPr>
              <w:t>材质：手柄PP，绳体PVC钢丝，球头PVC+TPR</w:t>
            </w:r>
          </w:p>
          <w:p w14:paraId="65ACA235">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3.</w:t>
            </w:r>
            <w:r>
              <w:rPr>
                <w:rFonts w:hint="eastAsia" w:ascii="宋体" w:hAnsi="宋体" w:eastAsia="宋体" w:cs="宋体"/>
                <w:color w:val="000000"/>
                <w:kern w:val="0"/>
                <w:sz w:val="21"/>
                <w:szCs w:val="21"/>
              </w:rPr>
              <w:t>颜色：粉色</w:t>
            </w:r>
          </w:p>
          <w:p w14:paraId="2680445B">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4.</w:t>
            </w:r>
            <w:r>
              <w:rPr>
                <w:rFonts w:hint="eastAsia" w:ascii="宋体" w:hAnsi="宋体" w:eastAsia="宋体" w:cs="宋体"/>
                <w:color w:val="000000"/>
                <w:kern w:val="0"/>
                <w:sz w:val="21"/>
                <w:szCs w:val="21"/>
              </w:rPr>
              <w:t>克重：约240g</w:t>
            </w:r>
          </w:p>
        </w:tc>
      </w:tr>
      <w:tr w14:paraId="47FE60FD">
        <w:tblPrEx>
          <w:tblCellMar>
            <w:top w:w="0" w:type="dxa"/>
            <w:left w:w="108" w:type="dxa"/>
            <w:bottom w:w="0" w:type="dxa"/>
            <w:right w:w="108" w:type="dxa"/>
          </w:tblCellMar>
        </w:tblPrEx>
        <w:trPr>
          <w:trHeight w:val="448"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0DFB55">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16</w:t>
            </w:r>
          </w:p>
        </w:tc>
        <w:tc>
          <w:tcPr>
            <w:tcW w:w="1641" w:type="dxa"/>
            <w:tcBorders>
              <w:top w:val="single" w:color="auto" w:sz="4" w:space="0"/>
              <w:left w:val="single" w:color="auto" w:sz="4" w:space="0"/>
              <w:bottom w:val="single" w:color="auto" w:sz="4" w:space="0"/>
              <w:right w:val="single" w:color="auto" w:sz="4" w:space="0"/>
            </w:tcBorders>
            <w:shd w:val="clear" w:color="auto" w:fill="auto"/>
            <w:vAlign w:val="center"/>
          </w:tcPr>
          <w:p w14:paraId="40521866">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储物架</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2E934605">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个</w:t>
            </w:r>
          </w:p>
        </w:tc>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06FC2B">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8</w:t>
            </w:r>
          </w:p>
        </w:tc>
        <w:tc>
          <w:tcPr>
            <w:tcW w:w="1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7D51DC">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highlight w:val="yellow"/>
                <w:lang w:val="en-US" w:eastAsia="zh-CN"/>
              </w:rPr>
            </w:pPr>
            <w:r>
              <w:rPr>
                <w:rFonts w:hint="eastAsia" w:ascii="宋体" w:hAnsi="宋体" w:eastAsia="宋体" w:cs="宋体"/>
                <w:color w:val="000000"/>
                <w:kern w:val="0"/>
                <w:sz w:val="21"/>
                <w:szCs w:val="21"/>
                <w:highlight w:val="none"/>
                <w:lang w:val="en-US" w:eastAsia="zh-CN"/>
              </w:rPr>
              <w:t>尺寸：长200cm×宽50cm×高200cm；材质：钢制。</w:t>
            </w:r>
          </w:p>
        </w:tc>
      </w:tr>
      <w:tr w14:paraId="7454AF43">
        <w:tblPrEx>
          <w:tblCellMar>
            <w:top w:w="0" w:type="dxa"/>
            <w:left w:w="108" w:type="dxa"/>
            <w:bottom w:w="0" w:type="dxa"/>
            <w:right w:w="108" w:type="dxa"/>
          </w:tblCellMar>
        </w:tblPrEx>
        <w:trPr>
          <w:trHeight w:val="444"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489B40">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17</w:t>
            </w:r>
          </w:p>
        </w:tc>
        <w:tc>
          <w:tcPr>
            <w:tcW w:w="1641" w:type="dxa"/>
            <w:tcBorders>
              <w:top w:val="single" w:color="auto" w:sz="4" w:space="0"/>
              <w:left w:val="single" w:color="auto" w:sz="4" w:space="0"/>
              <w:bottom w:val="single" w:color="auto" w:sz="4" w:space="0"/>
              <w:right w:val="single" w:color="auto" w:sz="4" w:space="0"/>
            </w:tcBorders>
            <w:shd w:val="clear" w:color="auto" w:fill="auto"/>
            <w:vAlign w:val="center"/>
          </w:tcPr>
          <w:p w14:paraId="6BDEE75A">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练功凳</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2747B928">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个</w:t>
            </w:r>
          </w:p>
        </w:tc>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0319FA">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8</w:t>
            </w:r>
          </w:p>
        </w:tc>
        <w:tc>
          <w:tcPr>
            <w:tcW w:w="1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73D02C">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highlight w:val="yellow"/>
              </w:rPr>
            </w:pPr>
            <w:r>
              <w:rPr>
                <w:rFonts w:hint="eastAsia" w:ascii="宋体" w:hAnsi="宋体" w:eastAsia="宋体" w:cs="宋体"/>
                <w:color w:val="000000"/>
                <w:kern w:val="0"/>
                <w:sz w:val="21"/>
                <w:szCs w:val="21"/>
                <w:highlight w:val="none"/>
                <w:lang w:val="en-US" w:eastAsia="zh-CN"/>
              </w:rPr>
              <w:t>尺寸：长200cm×宽24cm×高30cm；材质：木制。</w:t>
            </w:r>
          </w:p>
        </w:tc>
      </w:tr>
      <w:tr w14:paraId="06CD815C">
        <w:tblPrEx>
          <w:tblCellMar>
            <w:top w:w="0" w:type="dxa"/>
            <w:left w:w="108" w:type="dxa"/>
            <w:bottom w:w="0" w:type="dxa"/>
            <w:right w:w="108" w:type="dxa"/>
          </w:tblCellMar>
        </w:tblPrEx>
        <w:trPr>
          <w:trHeight w:val="3301"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BC8456">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18</w:t>
            </w:r>
          </w:p>
        </w:tc>
        <w:tc>
          <w:tcPr>
            <w:tcW w:w="1641" w:type="dxa"/>
            <w:tcBorders>
              <w:top w:val="single" w:color="auto" w:sz="4" w:space="0"/>
              <w:left w:val="single" w:color="auto" w:sz="4" w:space="0"/>
              <w:bottom w:val="single" w:color="auto" w:sz="4" w:space="0"/>
              <w:right w:val="single" w:color="auto" w:sz="4" w:space="0"/>
            </w:tcBorders>
            <w:shd w:val="clear" w:color="auto" w:fill="auto"/>
            <w:vAlign w:val="center"/>
          </w:tcPr>
          <w:p w14:paraId="232C9D53">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center"/>
              <w:textAlignment w:val="auto"/>
              <w:rPr>
                <w:rFonts w:hint="eastAsia"/>
              </w:rPr>
            </w:pPr>
            <w:r>
              <w:rPr>
                <w:rFonts w:hint="eastAsia" w:ascii="宋体" w:hAnsi="宋体" w:eastAsia="宋体" w:cs="宋体"/>
                <w:b/>
                <w:bCs/>
                <w:kern w:val="0"/>
                <w:sz w:val="21"/>
                <w:szCs w:val="21"/>
              </w:rPr>
              <w:t>新型武术场地</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50071EFC">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块</w:t>
            </w:r>
          </w:p>
        </w:tc>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5CE7D2">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w:t>
            </w:r>
          </w:p>
        </w:tc>
        <w:tc>
          <w:tcPr>
            <w:tcW w:w="1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9580C7">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尺寸要求：毯面长18000mm，毯面宽：12000mm,台板长：16000mm，台板宽：10000mm,规则线长：14000mm,规则线宽,8000mm,总高：90mm。产品结构：场地有多块单板组成，单板之间无间隙，整体应有拉紧措施保证板块之间不产生相对移位；台面面积周围应有宽0.25m-0.5m的安全区并向外向下倾斜；板层下面应有弹性设置；板层上面应有柔性层及防滑毯面，抗阻力应为55N-65N。</w:t>
            </w:r>
          </w:p>
          <w:p w14:paraId="0C19679D">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2.</w:t>
            </w:r>
            <w:r>
              <w:rPr>
                <w:rFonts w:hint="eastAsia" w:ascii="宋体" w:hAnsi="宋体" w:eastAsia="宋体" w:cs="宋体"/>
                <w:color w:val="000000"/>
                <w:kern w:val="0"/>
                <w:sz w:val="21"/>
                <w:szCs w:val="21"/>
              </w:rPr>
              <w:t>产品弹性：台面在0.16m×0.16m的范围内承受600N的静压力保持1nim,台面在直径0.36m的圆周范围内应承受1900N的静压力，构件无损坏、折断现象，并提供检测报告。</w:t>
            </w:r>
          </w:p>
          <w:p w14:paraId="3F96009B">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3.</w:t>
            </w:r>
            <w:r>
              <w:rPr>
                <w:rFonts w:hint="eastAsia" w:ascii="宋体" w:hAnsi="宋体" w:eastAsia="宋体" w:cs="宋体"/>
                <w:color w:val="000000"/>
                <w:kern w:val="0"/>
                <w:sz w:val="21"/>
                <w:szCs w:val="21"/>
              </w:rPr>
              <w:t xml:space="preserve">台面单元材质规格：2m×1m。面层17倍XPE+11mm多层板+弹性块XPE。台面单元柔性层主要材料无妨地毯+XPE，采用火焰热合工艺，单元块之间字母口连接，保险带固定使整个场地成为一个整体。       </w:t>
            </w:r>
          </w:p>
          <w:p w14:paraId="78DF5E64">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4.</w:t>
            </w:r>
            <w:r>
              <w:rPr>
                <w:rFonts w:hint="eastAsia" w:ascii="宋体" w:hAnsi="宋体" w:eastAsia="宋体" w:cs="宋体"/>
                <w:color w:val="000000"/>
                <w:kern w:val="0"/>
                <w:sz w:val="21"/>
                <w:szCs w:val="21"/>
              </w:rPr>
              <w:t>边板材质规格：面层17倍XPE+11mm多层板+弹性块XPE。保险带：尼龙保险带；宽5cm，粘扣规格：宽15cm。</w:t>
            </w:r>
          </w:p>
          <w:p w14:paraId="64539622">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rPr>
              <w:t>木板材质厚度：桦木多层板δ11mm；</w:t>
            </w:r>
          </w:p>
          <w:p w14:paraId="7FFDCB4D">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highlight w:val="none"/>
                <w:lang w:val="en-US" w:eastAsia="zh-CN"/>
              </w:rPr>
              <w:t>▲</w:t>
            </w:r>
            <w:r>
              <w:rPr>
                <w:rFonts w:hint="eastAsia" w:cs="宋体"/>
                <w:color w:val="000000"/>
                <w:kern w:val="0"/>
                <w:sz w:val="21"/>
                <w:szCs w:val="21"/>
                <w:highlight w:val="none"/>
                <w:lang w:val="en-US" w:eastAsia="zh-CN"/>
              </w:rPr>
              <w:t>产品通过</w:t>
            </w:r>
            <w:r>
              <w:rPr>
                <w:rFonts w:hint="eastAsia" w:ascii="宋体" w:hAnsi="宋体" w:eastAsia="宋体" w:cs="宋体"/>
                <w:color w:val="000000"/>
                <w:kern w:val="0"/>
                <w:sz w:val="21"/>
                <w:szCs w:val="21"/>
                <w:highlight w:val="none"/>
              </w:rPr>
              <w:t>国际武联</w:t>
            </w:r>
            <w:r>
              <w:rPr>
                <w:rFonts w:hint="eastAsia" w:cs="宋体"/>
                <w:color w:val="000000"/>
                <w:kern w:val="0"/>
                <w:sz w:val="21"/>
                <w:szCs w:val="21"/>
                <w:highlight w:val="none"/>
                <w:lang w:eastAsia="zh-CN"/>
              </w:rPr>
              <w:t>（</w:t>
            </w:r>
            <w:r>
              <w:rPr>
                <w:rFonts w:hint="eastAsia" w:cs="宋体"/>
                <w:color w:val="000000"/>
                <w:kern w:val="0"/>
                <w:sz w:val="21"/>
                <w:szCs w:val="21"/>
                <w:highlight w:val="none"/>
                <w:lang w:val="en-US" w:eastAsia="zh-CN"/>
              </w:rPr>
              <w:t>IWUF</w:t>
            </w:r>
            <w:r>
              <w:rPr>
                <w:rFonts w:hint="eastAsia"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认证</w:t>
            </w:r>
            <w:r>
              <w:rPr>
                <w:rFonts w:hint="eastAsia" w:cs="宋体"/>
                <w:color w:val="000000"/>
                <w:kern w:val="0"/>
                <w:sz w:val="21"/>
                <w:szCs w:val="21"/>
                <w:highlight w:val="none"/>
                <w:lang w:eastAsia="zh-CN"/>
              </w:rPr>
              <w:t>。</w:t>
            </w:r>
          </w:p>
        </w:tc>
      </w:tr>
      <w:tr w14:paraId="60B3C3B1">
        <w:tblPrEx>
          <w:tblCellMar>
            <w:top w:w="0" w:type="dxa"/>
            <w:left w:w="108" w:type="dxa"/>
            <w:bottom w:w="0" w:type="dxa"/>
            <w:right w:w="108" w:type="dxa"/>
          </w:tblCellMar>
        </w:tblPrEx>
        <w:trPr>
          <w:trHeight w:val="458"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9B9B65">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19</w:t>
            </w:r>
          </w:p>
        </w:tc>
        <w:tc>
          <w:tcPr>
            <w:tcW w:w="1641" w:type="dxa"/>
            <w:tcBorders>
              <w:top w:val="single" w:color="auto" w:sz="4" w:space="0"/>
              <w:left w:val="single" w:color="auto" w:sz="4" w:space="0"/>
              <w:bottom w:val="single" w:color="auto" w:sz="4" w:space="0"/>
              <w:right w:val="single" w:color="auto" w:sz="4" w:space="0"/>
            </w:tcBorders>
            <w:shd w:val="clear" w:color="auto" w:fill="auto"/>
            <w:vAlign w:val="center"/>
          </w:tcPr>
          <w:p w14:paraId="4CF3BDE6">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平衡垫</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46806609">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块</w:t>
            </w:r>
          </w:p>
        </w:tc>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6B3889">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w:t>
            </w:r>
          </w:p>
        </w:tc>
        <w:tc>
          <w:tcPr>
            <w:tcW w:w="1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1B43AA">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highlight w:val="none"/>
              </w:rPr>
              <w:t>1M</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color w:val="000000"/>
                <w:kern w:val="0"/>
                <w:sz w:val="21"/>
                <w:szCs w:val="21"/>
                <w:highlight w:val="none"/>
              </w:rPr>
              <w:t>2M</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color w:val="000000"/>
                <w:kern w:val="0"/>
                <w:sz w:val="21"/>
                <w:szCs w:val="21"/>
                <w:highlight w:val="none"/>
              </w:rPr>
              <w:t>0</w:t>
            </w:r>
            <w:r>
              <w:rPr>
                <w:rFonts w:hint="eastAsia"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rPr>
              <w:t>1M</w:t>
            </w:r>
            <w:r>
              <w:rPr>
                <w:rFonts w:hint="eastAsia" w:ascii="宋体" w:hAnsi="宋体" w:eastAsia="宋体" w:cs="宋体"/>
                <w:color w:val="000000"/>
                <w:kern w:val="0"/>
                <w:sz w:val="21"/>
                <w:szCs w:val="21"/>
              </w:rPr>
              <w:t>。PU材质、压缩海绵</w:t>
            </w:r>
          </w:p>
        </w:tc>
      </w:tr>
      <w:tr w14:paraId="07424A9F">
        <w:tblPrEx>
          <w:tblCellMar>
            <w:top w:w="0" w:type="dxa"/>
            <w:left w:w="108" w:type="dxa"/>
            <w:bottom w:w="0" w:type="dxa"/>
            <w:right w:w="108" w:type="dxa"/>
          </w:tblCellMar>
        </w:tblPrEx>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C6B2AA">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20</w:t>
            </w:r>
          </w:p>
        </w:tc>
        <w:tc>
          <w:tcPr>
            <w:tcW w:w="1641" w:type="dxa"/>
            <w:tcBorders>
              <w:top w:val="single" w:color="auto" w:sz="4" w:space="0"/>
              <w:left w:val="single" w:color="auto" w:sz="4" w:space="0"/>
              <w:bottom w:val="single" w:color="auto" w:sz="4" w:space="0"/>
              <w:right w:val="single" w:color="auto" w:sz="4" w:space="0"/>
            </w:tcBorders>
            <w:shd w:val="clear" w:color="auto" w:fill="auto"/>
            <w:vAlign w:val="center"/>
          </w:tcPr>
          <w:p w14:paraId="03155C3E">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吊沙袋</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43E0FA52">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套</w:t>
            </w:r>
          </w:p>
        </w:tc>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AF2CD0">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w:t>
            </w:r>
          </w:p>
        </w:tc>
        <w:tc>
          <w:tcPr>
            <w:tcW w:w="1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A770D6">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1.</w:t>
            </w:r>
            <w:r>
              <w:rPr>
                <w:rFonts w:hint="eastAsia" w:ascii="宋体" w:hAnsi="宋体" w:eastAsia="宋体" w:cs="宋体"/>
                <w:color w:val="000000"/>
                <w:kern w:val="0"/>
                <w:sz w:val="21"/>
                <w:szCs w:val="21"/>
                <w:highlight w:val="none"/>
              </w:rPr>
              <w:t>规格：3900mm×3900mm×2705mm</w:t>
            </w:r>
          </w:p>
          <w:p w14:paraId="332E8019">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2.</w:t>
            </w:r>
            <w:r>
              <w:rPr>
                <w:rFonts w:hint="eastAsia" w:ascii="宋体" w:hAnsi="宋体" w:eastAsia="宋体" w:cs="宋体"/>
                <w:color w:val="000000"/>
                <w:kern w:val="0"/>
                <w:sz w:val="21"/>
                <w:szCs w:val="21"/>
                <w:highlight w:val="none"/>
              </w:rPr>
              <w:t>材质：碳素结构钢</w:t>
            </w:r>
          </w:p>
          <w:p w14:paraId="5101B853">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A.多功能旋转训练器主要材质：Q235碳素结构钢；</w:t>
            </w:r>
          </w:p>
          <w:p w14:paraId="05C6735D">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立柱焊合主要材质：Q235/φ76×10、Q235/φ60×6圆管；</w:t>
            </w:r>
          </w:p>
          <w:p w14:paraId="565CC5AF">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框架主要材质：Q235/□50×3方管和Q235/30×60×3矩管；</w:t>
            </w:r>
          </w:p>
          <w:p w14:paraId="16977036">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导轨主要材质：Q235/φ30冷拔圆钢；</w:t>
            </w:r>
          </w:p>
          <w:p w14:paraId="2737230F">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梨球架体、拳靶架体主要材质：Q235/无缝管∅ 45×3圆管；</w:t>
            </w:r>
          </w:p>
          <w:p w14:paraId="0717D83F">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000000"/>
                <w:kern w:val="0"/>
                <w:sz w:val="21"/>
                <w:szCs w:val="21"/>
                <w:highlight w:val="yellow"/>
              </w:rPr>
            </w:pPr>
            <w:r>
              <w:rPr>
                <w:rFonts w:hint="eastAsia" w:ascii="宋体" w:hAnsi="宋体" w:eastAsia="宋体" w:cs="宋体"/>
                <w:color w:val="000000"/>
                <w:kern w:val="0"/>
                <w:sz w:val="21"/>
                <w:szCs w:val="21"/>
                <w:highlight w:val="none"/>
              </w:rPr>
              <w:t>B.包括四套沙袋、一个梨球、三个拳靶。</w:t>
            </w:r>
          </w:p>
        </w:tc>
      </w:tr>
      <w:tr w14:paraId="5A77C8A8">
        <w:tblPrEx>
          <w:tblCellMar>
            <w:top w:w="0" w:type="dxa"/>
            <w:left w:w="108" w:type="dxa"/>
            <w:bottom w:w="0" w:type="dxa"/>
            <w:right w:w="108" w:type="dxa"/>
          </w:tblCellMar>
        </w:tblPrEx>
        <w:trPr>
          <w:trHeight w:val="419"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0E0D2A">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21</w:t>
            </w:r>
          </w:p>
        </w:tc>
        <w:tc>
          <w:tcPr>
            <w:tcW w:w="1641" w:type="dxa"/>
            <w:tcBorders>
              <w:top w:val="single" w:color="auto" w:sz="4" w:space="0"/>
              <w:left w:val="single" w:color="auto" w:sz="4" w:space="0"/>
              <w:bottom w:val="single" w:color="auto" w:sz="4" w:space="0"/>
              <w:right w:val="single" w:color="auto" w:sz="4" w:space="0"/>
            </w:tcBorders>
            <w:shd w:val="clear" w:color="auto" w:fill="auto"/>
            <w:vAlign w:val="center"/>
          </w:tcPr>
          <w:p w14:paraId="3571FB76">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练功凳</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329FA5F5">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个</w:t>
            </w:r>
          </w:p>
        </w:tc>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1B6C57">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8</w:t>
            </w:r>
          </w:p>
        </w:tc>
        <w:tc>
          <w:tcPr>
            <w:tcW w:w="1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159BB5">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highlight w:val="yellow"/>
              </w:rPr>
            </w:pPr>
            <w:r>
              <w:rPr>
                <w:rFonts w:hint="eastAsia" w:ascii="宋体" w:hAnsi="宋体" w:eastAsia="宋体" w:cs="宋体"/>
                <w:color w:val="000000"/>
                <w:kern w:val="0"/>
                <w:sz w:val="21"/>
                <w:szCs w:val="21"/>
                <w:highlight w:val="none"/>
                <w:lang w:val="en-US" w:eastAsia="zh-CN"/>
              </w:rPr>
              <w:t>尺寸：长200cm×宽24cm×高30cm；材质：木制。</w:t>
            </w:r>
          </w:p>
        </w:tc>
      </w:tr>
      <w:tr w14:paraId="47BADD2A">
        <w:tblPrEx>
          <w:tblCellMar>
            <w:top w:w="0" w:type="dxa"/>
            <w:left w:w="108" w:type="dxa"/>
            <w:bottom w:w="0" w:type="dxa"/>
            <w:right w:w="108" w:type="dxa"/>
          </w:tblCellMar>
        </w:tblPrEx>
        <w:trPr>
          <w:trHeight w:val="406"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F9B992">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22</w:t>
            </w:r>
          </w:p>
        </w:tc>
        <w:tc>
          <w:tcPr>
            <w:tcW w:w="1641" w:type="dxa"/>
            <w:tcBorders>
              <w:top w:val="single" w:color="auto" w:sz="4" w:space="0"/>
              <w:left w:val="single" w:color="auto" w:sz="4" w:space="0"/>
              <w:bottom w:val="single" w:color="auto" w:sz="4" w:space="0"/>
              <w:right w:val="single" w:color="auto" w:sz="4" w:space="0"/>
            </w:tcBorders>
            <w:shd w:val="clear" w:color="auto" w:fill="auto"/>
            <w:vAlign w:val="center"/>
          </w:tcPr>
          <w:p w14:paraId="273C6D66">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储物架</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05712FD7">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个</w:t>
            </w:r>
          </w:p>
        </w:tc>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FDA9FF">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8</w:t>
            </w:r>
          </w:p>
        </w:tc>
        <w:tc>
          <w:tcPr>
            <w:tcW w:w="1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404E31">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highlight w:val="yellow"/>
              </w:rPr>
            </w:pPr>
            <w:r>
              <w:rPr>
                <w:rFonts w:hint="eastAsia" w:ascii="宋体" w:hAnsi="宋体" w:eastAsia="宋体" w:cs="宋体"/>
                <w:color w:val="000000"/>
                <w:kern w:val="0"/>
                <w:sz w:val="21"/>
                <w:szCs w:val="21"/>
                <w:highlight w:val="none"/>
                <w:lang w:val="en-US" w:eastAsia="zh-CN"/>
              </w:rPr>
              <w:t>尺寸：长200cm×宽50cm×高200cm；材质：钢制。</w:t>
            </w:r>
          </w:p>
        </w:tc>
      </w:tr>
      <w:tr w14:paraId="35FAFC24">
        <w:tblPrEx>
          <w:tblCellMar>
            <w:top w:w="0" w:type="dxa"/>
            <w:left w:w="108" w:type="dxa"/>
            <w:bottom w:w="0" w:type="dxa"/>
            <w:right w:w="108" w:type="dxa"/>
          </w:tblCellMar>
        </w:tblPrEx>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1E8464">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23</w:t>
            </w:r>
          </w:p>
        </w:tc>
        <w:tc>
          <w:tcPr>
            <w:tcW w:w="1641" w:type="dxa"/>
            <w:tcBorders>
              <w:top w:val="single" w:color="auto" w:sz="4" w:space="0"/>
              <w:left w:val="single" w:color="auto" w:sz="4" w:space="0"/>
              <w:bottom w:val="single" w:color="auto" w:sz="4" w:space="0"/>
              <w:right w:val="single" w:color="auto" w:sz="4" w:space="0"/>
            </w:tcBorders>
            <w:shd w:val="clear" w:color="auto" w:fill="auto"/>
            <w:vAlign w:val="center"/>
          </w:tcPr>
          <w:p w14:paraId="23B8DF84">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兵器架</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4EE40245">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副</w:t>
            </w:r>
          </w:p>
        </w:tc>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9D372C">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3</w:t>
            </w:r>
          </w:p>
        </w:tc>
        <w:tc>
          <w:tcPr>
            <w:tcW w:w="1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5900C8">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1.规格： 1200mm×500mm×1000mm</w:t>
            </w:r>
          </w:p>
          <w:p w14:paraId="5ED1F903">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2.材质：优质桦木多层板</w:t>
            </w:r>
          </w:p>
          <w:p w14:paraId="70DC85B8">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highlight w:val="yellow"/>
              </w:rPr>
            </w:pPr>
            <w:r>
              <w:rPr>
                <w:rFonts w:hint="eastAsia" w:ascii="宋体" w:hAnsi="宋体" w:eastAsia="宋体" w:cs="宋体"/>
                <w:color w:val="000000"/>
                <w:kern w:val="0"/>
                <w:sz w:val="21"/>
                <w:szCs w:val="21"/>
                <w:highlight w:val="none"/>
                <w:lang w:val="en-US" w:eastAsia="zh-CN"/>
              </w:rPr>
              <w:t>3.产品说明：可用于摆放兵器，优质耐用，收纳方便，插槽光滑无毛刺，保护兵器，避免擦伤、划痕；安全稳固，节省空间，摆放整齐，美观实用；抗压、防腐、承重能力强；底座三角支撑，受力均匀稳固；两侧手提把手，轻松移动架子。</w:t>
            </w:r>
          </w:p>
        </w:tc>
      </w:tr>
      <w:tr w14:paraId="49392771">
        <w:tblPrEx>
          <w:tblCellMar>
            <w:top w:w="0" w:type="dxa"/>
            <w:left w:w="108" w:type="dxa"/>
            <w:bottom w:w="0" w:type="dxa"/>
            <w:right w:w="108" w:type="dxa"/>
          </w:tblCellMar>
        </w:tblPrEx>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ED29B9">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24</w:t>
            </w:r>
          </w:p>
        </w:tc>
        <w:tc>
          <w:tcPr>
            <w:tcW w:w="1641" w:type="dxa"/>
            <w:tcBorders>
              <w:top w:val="single" w:color="auto" w:sz="4" w:space="0"/>
              <w:left w:val="single" w:color="auto" w:sz="4" w:space="0"/>
              <w:bottom w:val="single" w:color="auto" w:sz="4" w:space="0"/>
              <w:right w:val="single" w:color="auto" w:sz="4" w:space="0"/>
            </w:tcBorders>
            <w:shd w:val="clear" w:color="auto" w:fill="auto"/>
            <w:vAlign w:val="center"/>
          </w:tcPr>
          <w:p w14:paraId="6D9FBD81">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A类跆拳道垫</w:t>
            </w:r>
          </w:p>
          <w:p w14:paraId="45A987B5">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rPr>
            </w:pPr>
            <w:r>
              <w:rPr>
                <w:rFonts w:hint="eastAsia" w:ascii="宋体" w:hAnsi="宋体" w:eastAsia="宋体" w:cs="宋体"/>
                <w:b/>
                <w:bCs/>
                <w:kern w:val="0"/>
                <w:sz w:val="21"/>
                <w:szCs w:val="21"/>
              </w:rPr>
              <w:t>新型8角</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6CCFFCDA">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块</w:t>
            </w:r>
          </w:p>
        </w:tc>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B73878">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w:t>
            </w:r>
          </w:p>
        </w:tc>
        <w:tc>
          <w:tcPr>
            <w:tcW w:w="1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1ACADB">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1.规格：12×12×0.025m用高倍率XPE与专用花纹布复合而成，比赛区是8m的八角形。材料：XPE结构：XPE+柔道布</w:t>
            </w:r>
          </w:p>
          <w:p w14:paraId="7F77512B">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技术改进：采用XPE和跆拳道专用革，降低缓冲力度，完全吸收地垫的承载能，透气性良好，使表面更柔软、安全；采用火焰式热合技术；拼接垫拼接而成</w:t>
            </w:r>
            <w:r>
              <w:rPr>
                <w:rFonts w:hint="eastAsia" w:cs="宋体"/>
                <w:color w:val="000000"/>
                <w:kern w:val="0"/>
                <w:sz w:val="21"/>
                <w:szCs w:val="21"/>
                <w:lang w:val="en-US" w:eastAsia="zh-CN"/>
              </w:rPr>
              <w:t>（196个单元块组成）</w:t>
            </w:r>
            <w:r>
              <w:rPr>
                <w:rFonts w:hint="eastAsia" w:ascii="宋体" w:hAnsi="宋体" w:eastAsia="宋体" w:cs="宋体"/>
                <w:color w:val="000000"/>
                <w:kern w:val="0"/>
                <w:sz w:val="21"/>
                <w:szCs w:val="21"/>
                <w:lang w:val="en-US" w:eastAsia="zh-CN"/>
              </w:rPr>
              <w:t>。颜色：比赛区域：蓝色</w:t>
            </w:r>
          </w:p>
          <w:p w14:paraId="2A71C492">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xml:space="preserve">2.保护区域：红色                  </w:t>
            </w:r>
          </w:p>
          <w:p w14:paraId="02B6E656">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★3.投标产品铬酸、重铬酸、铬酸和重铬酸含量浓度均未检出或合格</w:t>
            </w:r>
            <w:r>
              <w:rPr>
                <w:rFonts w:hint="eastAsia" w:cs="宋体"/>
                <w:color w:val="000000"/>
                <w:kern w:val="0"/>
                <w:sz w:val="21"/>
                <w:szCs w:val="21"/>
                <w:lang w:val="en-US" w:eastAsia="zh-CN"/>
              </w:rPr>
              <w:t>。</w:t>
            </w:r>
          </w:p>
          <w:p w14:paraId="34B548AA">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lang w:val="en-US" w:eastAsia="zh-CN"/>
              </w:rPr>
              <w:t>★4.产品邻苯二甲酸二甲氧基乙酯、甲基六氢苯酐、含量浓度均未检出或合格</w:t>
            </w:r>
            <w:r>
              <w:rPr>
                <w:rFonts w:hint="eastAsia" w:cs="宋体"/>
                <w:color w:val="000000"/>
                <w:kern w:val="0"/>
                <w:sz w:val="21"/>
                <w:szCs w:val="21"/>
                <w:lang w:val="en-US" w:eastAsia="zh-CN"/>
              </w:rPr>
              <w:t>。</w:t>
            </w:r>
          </w:p>
          <w:p w14:paraId="41420F3C">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lang w:val="en-US" w:eastAsia="zh-CN"/>
              </w:rPr>
              <w:t>★5.氧化铅、醋酸铅、钛酸铅锆、磷酸氧化铅、含量浓度均未检出或合格</w:t>
            </w:r>
            <w:r>
              <w:rPr>
                <w:rFonts w:hint="eastAsia" w:cs="宋体"/>
                <w:color w:val="000000"/>
                <w:kern w:val="0"/>
                <w:sz w:val="21"/>
                <w:szCs w:val="21"/>
                <w:lang w:val="en-US" w:eastAsia="zh-CN"/>
              </w:rPr>
              <w:t>。</w:t>
            </w:r>
          </w:p>
          <w:p w14:paraId="0E764451">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lang w:val="en-US" w:eastAsia="zh-CN"/>
              </w:rPr>
              <w:t>★6.镉、硫化镉、氯化镉，含量浓度均未检出或合格</w:t>
            </w:r>
            <w:r>
              <w:rPr>
                <w:rFonts w:hint="eastAsia" w:cs="宋体"/>
                <w:color w:val="000000"/>
                <w:kern w:val="0"/>
                <w:sz w:val="21"/>
                <w:szCs w:val="21"/>
                <w:lang w:val="en-US" w:eastAsia="zh-CN"/>
              </w:rPr>
              <w:t>。</w:t>
            </w:r>
          </w:p>
          <w:p w14:paraId="2AAADF2C">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000000"/>
                <w:kern w:val="0"/>
                <w:sz w:val="21"/>
                <w:szCs w:val="21"/>
                <w:highlight w:val="none"/>
                <w:lang w:val="en-US" w:eastAsia="zh-CN"/>
              </w:rPr>
            </w:pPr>
            <w:r>
              <w:rPr>
                <w:rFonts w:hint="eastAsia" w:cs="宋体"/>
                <w:color w:val="000000"/>
                <w:kern w:val="0"/>
                <w:sz w:val="21"/>
                <w:szCs w:val="21"/>
                <w:highlight w:val="none"/>
                <w:lang w:val="en-US" w:eastAsia="zh-CN"/>
              </w:rPr>
              <w:t>以上3-6项，</w:t>
            </w:r>
            <w:r>
              <w:rPr>
                <w:rFonts w:hint="eastAsia" w:ascii="宋体" w:hAnsi="宋体" w:eastAsia="宋体" w:cs="宋体"/>
                <w:b w:val="0"/>
                <w:bCs/>
                <w:color w:val="auto"/>
                <w:sz w:val="21"/>
                <w:szCs w:val="21"/>
                <w:highlight w:val="none"/>
                <w:lang w:eastAsia="zh-CN"/>
              </w:rPr>
              <w:t>须</w:t>
            </w:r>
            <w:r>
              <w:rPr>
                <w:rFonts w:hint="eastAsia" w:ascii="宋体" w:hAnsi="宋体" w:eastAsia="宋体" w:cs="宋体"/>
                <w:b w:val="0"/>
                <w:bCs/>
                <w:color w:val="auto"/>
                <w:sz w:val="21"/>
                <w:szCs w:val="21"/>
                <w:highlight w:val="none"/>
              </w:rPr>
              <w:t>承诺中标后提供由</w:t>
            </w:r>
            <w:r>
              <w:rPr>
                <w:rFonts w:hint="eastAsia" w:ascii="宋体" w:hAnsi="宋体" w:eastAsia="宋体" w:cs="宋体"/>
                <w:b w:val="0"/>
                <w:bCs/>
                <w:color w:val="auto"/>
                <w:sz w:val="21"/>
                <w:szCs w:val="21"/>
                <w:highlight w:val="none"/>
                <w:lang w:eastAsia="zh-CN"/>
              </w:rPr>
              <w:t>第三方</w:t>
            </w:r>
            <w:r>
              <w:rPr>
                <w:rFonts w:hint="eastAsia" w:ascii="宋体" w:hAnsi="宋体" w:eastAsia="宋体" w:cs="宋体"/>
                <w:b w:val="0"/>
                <w:bCs/>
                <w:color w:val="auto"/>
                <w:sz w:val="21"/>
                <w:szCs w:val="21"/>
                <w:highlight w:val="none"/>
              </w:rPr>
              <w:t>检测机构出具的带有CMA或CNAS标识</w:t>
            </w:r>
            <w:r>
              <w:rPr>
                <w:rFonts w:hint="eastAsia" w:cs="宋体"/>
                <w:b w:val="0"/>
                <w:bCs/>
                <w:color w:val="auto"/>
                <w:sz w:val="21"/>
                <w:szCs w:val="21"/>
                <w:highlight w:val="none"/>
                <w:lang w:eastAsia="zh-CN"/>
              </w:rPr>
              <w:t>的检测报告。</w:t>
            </w:r>
          </w:p>
          <w:p w14:paraId="1BAACE7F">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highlight w:val="none"/>
                <w:lang w:val="en-US" w:eastAsia="zh-CN"/>
              </w:rPr>
              <w:t>▲</w:t>
            </w:r>
            <w:r>
              <w:rPr>
                <w:rFonts w:hint="eastAsia" w:cs="宋体"/>
                <w:color w:val="000000"/>
                <w:kern w:val="0"/>
                <w:sz w:val="21"/>
                <w:szCs w:val="21"/>
                <w:highlight w:val="none"/>
                <w:lang w:val="en-US" w:eastAsia="zh-CN"/>
              </w:rPr>
              <w:t>产品通过世界</w:t>
            </w:r>
            <w:r>
              <w:rPr>
                <w:rFonts w:hint="eastAsia" w:ascii="宋体" w:hAnsi="宋体" w:eastAsia="宋体" w:cs="宋体"/>
                <w:color w:val="000000"/>
                <w:kern w:val="0"/>
                <w:sz w:val="21"/>
                <w:szCs w:val="21"/>
                <w:highlight w:val="none"/>
                <w:lang w:val="en-US" w:eastAsia="zh-CN"/>
              </w:rPr>
              <w:t>跆联</w:t>
            </w:r>
            <w:r>
              <w:rPr>
                <w:rFonts w:hint="eastAsia" w:cs="宋体"/>
                <w:color w:val="000000"/>
                <w:kern w:val="0"/>
                <w:sz w:val="21"/>
                <w:szCs w:val="21"/>
                <w:highlight w:val="none"/>
                <w:lang w:val="en-US" w:eastAsia="zh-CN"/>
              </w:rPr>
              <w:t>（WTF）</w:t>
            </w:r>
            <w:r>
              <w:rPr>
                <w:rFonts w:hint="eastAsia" w:ascii="宋体" w:hAnsi="宋体" w:eastAsia="宋体" w:cs="宋体"/>
                <w:color w:val="000000"/>
                <w:kern w:val="0"/>
                <w:sz w:val="21"/>
                <w:szCs w:val="21"/>
                <w:highlight w:val="none"/>
                <w:lang w:val="en-US" w:eastAsia="zh-CN"/>
              </w:rPr>
              <w:t>认证</w:t>
            </w:r>
            <w:r>
              <w:rPr>
                <w:rFonts w:hint="eastAsia" w:cs="宋体"/>
                <w:color w:val="000000"/>
                <w:kern w:val="0"/>
                <w:sz w:val="21"/>
                <w:szCs w:val="21"/>
                <w:highlight w:val="none"/>
                <w:lang w:val="en-US" w:eastAsia="zh-CN"/>
              </w:rPr>
              <w:t>。</w:t>
            </w:r>
          </w:p>
        </w:tc>
      </w:tr>
      <w:tr w14:paraId="317C52FB">
        <w:tblPrEx>
          <w:tblCellMar>
            <w:top w:w="0" w:type="dxa"/>
            <w:left w:w="108" w:type="dxa"/>
            <w:bottom w:w="0" w:type="dxa"/>
            <w:right w:w="108" w:type="dxa"/>
          </w:tblCellMar>
        </w:tblPrEx>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E5689F">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25</w:t>
            </w:r>
          </w:p>
        </w:tc>
        <w:tc>
          <w:tcPr>
            <w:tcW w:w="1641" w:type="dxa"/>
            <w:tcBorders>
              <w:top w:val="single" w:color="auto" w:sz="4" w:space="0"/>
              <w:left w:val="single" w:color="auto" w:sz="4" w:space="0"/>
              <w:bottom w:val="single" w:color="auto" w:sz="4" w:space="0"/>
              <w:right w:val="single" w:color="auto" w:sz="4" w:space="0"/>
            </w:tcBorders>
            <w:shd w:val="clear" w:color="auto" w:fill="auto"/>
            <w:vAlign w:val="center"/>
          </w:tcPr>
          <w:p w14:paraId="074BF3C1">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吊沙袋</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7EE1E5AF">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套</w:t>
            </w:r>
          </w:p>
        </w:tc>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81F12D">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w:t>
            </w:r>
          </w:p>
        </w:tc>
        <w:tc>
          <w:tcPr>
            <w:tcW w:w="1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593BB0">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1.</w:t>
            </w:r>
            <w:r>
              <w:rPr>
                <w:rFonts w:hint="eastAsia" w:ascii="宋体" w:hAnsi="宋体" w:eastAsia="宋体" w:cs="宋体"/>
                <w:color w:val="000000"/>
                <w:kern w:val="0"/>
                <w:sz w:val="21"/>
                <w:szCs w:val="21"/>
                <w:highlight w:val="none"/>
              </w:rPr>
              <w:t>规格：3900mm×3900mm×2705mm</w:t>
            </w:r>
          </w:p>
          <w:p w14:paraId="59BEB75F">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2.</w:t>
            </w:r>
            <w:r>
              <w:rPr>
                <w:rFonts w:hint="eastAsia" w:ascii="宋体" w:hAnsi="宋体" w:eastAsia="宋体" w:cs="宋体"/>
                <w:color w:val="000000"/>
                <w:kern w:val="0"/>
                <w:sz w:val="21"/>
                <w:szCs w:val="21"/>
                <w:highlight w:val="none"/>
              </w:rPr>
              <w:t>材质：碳素结构钢</w:t>
            </w:r>
          </w:p>
          <w:p w14:paraId="695A3849">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A.多功能旋转训练器主要材质：Q235碳素结构钢；立柱焊合主要材质：Q235/φ76×10、Q235/φ60×6圆管；</w:t>
            </w:r>
          </w:p>
          <w:p w14:paraId="33767ECE">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框架主要材质：Q235/50×3</w:t>
            </w:r>
            <w:r>
              <w:rPr>
                <w:rFonts w:hint="eastAsia" w:cs="宋体"/>
                <w:color w:val="000000"/>
                <w:kern w:val="0"/>
                <w:sz w:val="21"/>
                <w:szCs w:val="21"/>
                <w:highlight w:val="none"/>
                <w:lang w:val="en-US" w:eastAsia="zh-CN"/>
              </w:rPr>
              <w:t>mm</w:t>
            </w:r>
            <w:r>
              <w:rPr>
                <w:rFonts w:hint="eastAsia" w:ascii="宋体" w:hAnsi="宋体" w:eastAsia="宋体" w:cs="宋体"/>
                <w:color w:val="000000"/>
                <w:kern w:val="0"/>
                <w:sz w:val="21"/>
                <w:szCs w:val="21"/>
                <w:highlight w:val="none"/>
              </w:rPr>
              <w:t>方管和Q235/30×60×3矩管；</w:t>
            </w:r>
          </w:p>
          <w:p w14:paraId="2B7CC4E4">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导轨主要材质：Q235/φ30冷拔圆钢；</w:t>
            </w:r>
          </w:p>
          <w:p w14:paraId="2C189090">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梨球架体、拳靶架体主要材质：Q235/无缝管∅45×3圆管；</w:t>
            </w:r>
          </w:p>
          <w:p w14:paraId="695848B1">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000000"/>
                <w:kern w:val="0"/>
                <w:sz w:val="21"/>
                <w:szCs w:val="21"/>
                <w:highlight w:val="yellow"/>
              </w:rPr>
            </w:pPr>
            <w:r>
              <w:rPr>
                <w:rFonts w:hint="eastAsia" w:ascii="宋体" w:hAnsi="宋体" w:eastAsia="宋体" w:cs="宋体"/>
                <w:color w:val="000000"/>
                <w:kern w:val="0"/>
                <w:sz w:val="21"/>
                <w:szCs w:val="21"/>
                <w:highlight w:val="none"/>
              </w:rPr>
              <w:t>B.包括四套沙袋、一个梨球、三个拳靶。</w:t>
            </w:r>
          </w:p>
        </w:tc>
      </w:tr>
      <w:tr w14:paraId="1EA52913">
        <w:tblPrEx>
          <w:tblCellMar>
            <w:top w:w="0" w:type="dxa"/>
            <w:left w:w="108" w:type="dxa"/>
            <w:bottom w:w="0" w:type="dxa"/>
            <w:right w:w="108" w:type="dxa"/>
          </w:tblCellMar>
        </w:tblPrEx>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8A80DE">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26</w:t>
            </w:r>
          </w:p>
        </w:tc>
        <w:tc>
          <w:tcPr>
            <w:tcW w:w="1641" w:type="dxa"/>
            <w:tcBorders>
              <w:top w:val="single" w:color="auto" w:sz="4" w:space="0"/>
              <w:left w:val="single" w:color="auto" w:sz="4" w:space="0"/>
              <w:bottom w:val="single" w:color="auto" w:sz="4" w:space="0"/>
              <w:right w:val="single" w:color="auto" w:sz="4" w:space="0"/>
            </w:tcBorders>
            <w:shd w:val="clear" w:color="auto" w:fill="auto"/>
            <w:vAlign w:val="center"/>
          </w:tcPr>
          <w:p w14:paraId="054594F8">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rPr>
            </w:pPr>
            <w:r>
              <w:rPr>
                <w:rFonts w:hint="eastAsia" w:ascii="宋体" w:hAnsi="宋体" w:eastAsia="宋体" w:cs="宋体"/>
                <w:b/>
                <w:bCs/>
                <w:kern w:val="0"/>
                <w:sz w:val="21"/>
                <w:szCs w:val="21"/>
                <w:highlight w:val="none"/>
              </w:rPr>
              <w:t>多功能靶</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177339BC">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个</w:t>
            </w:r>
          </w:p>
        </w:tc>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536096">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w:t>
            </w:r>
          </w:p>
        </w:tc>
        <w:tc>
          <w:tcPr>
            <w:tcW w:w="1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D4407E">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 xml:space="preserve">规格：1000mm×1500mm×2200mm </w:t>
            </w:r>
          </w:p>
          <w:p w14:paraId="145DE5D1">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2.</w:t>
            </w:r>
            <w:r>
              <w:rPr>
                <w:rFonts w:hint="eastAsia" w:ascii="宋体" w:hAnsi="宋体" w:eastAsia="宋体" w:cs="宋体"/>
                <w:color w:val="000000"/>
                <w:kern w:val="0"/>
                <w:sz w:val="21"/>
                <w:szCs w:val="21"/>
              </w:rPr>
              <w:t>材质：带钢板式</w:t>
            </w:r>
          </w:p>
          <w:p w14:paraId="7570B5ED">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3.</w:t>
            </w:r>
            <w:r>
              <w:rPr>
                <w:rFonts w:hint="eastAsia" w:ascii="宋体" w:hAnsi="宋体" w:eastAsia="宋体" w:cs="宋体"/>
                <w:color w:val="000000"/>
                <w:kern w:val="0"/>
                <w:sz w:val="21"/>
                <w:szCs w:val="21"/>
              </w:rPr>
              <w:t>特点：该拳靶可以非常高效</w:t>
            </w:r>
            <w:r>
              <w:rPr>
                <w:rFonts w:hint="eastAsia" w:cs="宋体"/>
                <w:color w:val="000000"/>
                <w:kern w:val="0"/>
                <w:sz w:val="21"/>
                <w:szCs w:val="21"/>
                <w:lang w:eastAsia="zh-CN"/>
              </w:rPr>
              <w:t>地</w:t>
            </w:r>
            <w:r>
              <w:rPr>
                <w:rFonts w:hint="eastAsia" w:ascii="宋体" w:hAnsi="宋体" w:eastAsia="宋体" w:cs="宋体"/>
                <w:color w:val="000000"/>
                <w:kern w:val="0"/>
                <w:sz w:val="21"/>
                <w:szCs w:val="21"/>
              </w:rPr>
              <w:t>增强人体在运动中的反应能力、动作流畅性、组合拳的击打能力、爆发力。</w:t>
            </w:r>
          </w:p>
        </w:tc>
      </w:tr>
      <w:tr w14:paraId="30C70E1D">
        <w:tblPrEx>
          <w:tblCellMar>
            <w:top w:w="0" w:type="dxa"/>
            <w:left w:w="108" w:type="dxa"/>
            <w:bottom w:w="0" w:type="dxa"/>
            <w:right w:w="108" w:type="dxa"/>
          </w:tblCellMar>
        </w:tblPrEx>
        <w:trPr>
          <w:trHeight w:val="389"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C12339">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27</w:t>
            </w:r>
          </w:p>
        </w:tc>
        <w:tc>
          <w:tcPr>
            <w:tcW w:w="1641" w:type="dxa"/>
            <w:tcBorders>
              <w:top w:val="single" w:color="auto" w:sz="4" w:space="0"/>
              <w:left w:val="single" w:color="auto" w:sz="4" w:space="0"/>
              <w:bottom w:val="single" w:color="auto" w:sz="4" w:space="0"/>
              <w:right w:val="single" w:color="auto" w:sz="4" w:space="0"/>
            </w:tcBorders>
            <w:shd w:val="clear" w:color="auto" w:fill="auto"/>
            <w:vAlign w:val="center"/>
          </w:tcPr>
          <w:p w14:paraId="298B5A96">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练功凳</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1B7EDE60">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个</w:t>
            </w:r>
          </w:p>
        </w:tc>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AA4679">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w:t>
            </w:r>
          </w:p>
        </w:tc>
        <w:tc>
          <w:tcPr>
            <w:tcW w:w="1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C89E3E">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highlight w:val="none"/>
                <w:lang w:val="en-US" w:eastAsia="zh-CN"/>
              </w:rPr>
              <w:t>尺寸：长200cm×宽24cm×高30cm；材质：木制。</w:t>
            </w:r>
          </w:p>
        </w:tc>
      </w:tr>
      <w:tr w14:paraId="27B78170">
        <w:tblPrEx>
          <w:tblCellMar>
            <w:top w:w="0" w:type="dxa"/>
            <w:left w:w="108" w:type="dxa"/>
            <w:bottom w:w="0" w:type="dxa"/>
            <w:right w:w="108" w:type="dxa"/>
          </w:tblCellMar>
        </w:tblPrEx>
        <w:trPr>
          <w:trHeight w:val="321"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5F69B6">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28</w:t>
            </w:r>
          </w:p>
        </w:tc>
        <w:tc>
          <w:tcPr>
            <w:tcW w:w="1641" w:type="dxa"/>
            <w:tcBorders>
              <w:top w:val="single" w:color="auto" w:sz="4" w:space="0"/>
              <w:left w:val="single" w:color="auto" w:sz="4" w:space="0"/>
              <w:bottom w:val="single" w:color="auto" w:sz="4" w:space="0"/>
              <w:right w:val="single" w:color="auto" w:sz="4" w:space="0"/>
            </w:tcBorders>
            <w:shd w:val="clear" w:color="auto" w:fill="auto"/>
            <w:vAlign w:val="center"/>
          </w:tcPr>
          <w:p w14:paraId="51E231D1">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储物架</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240345F8">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个</w:t>
            </w:r>
          </w:p>
        </w:tc>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070B06">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w:t>
            </w:r>
          </w:p>
        </w:tc>
        <w:tc>
          <w:tcPr>
            <w:tcW w:w="1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CE505A">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highlight w:val="none"/>
                <w:lang w:val="en-US" w:eastAsia="zh-CN"/>
              </w:rPr>
              <w:t>尺寸：长200cm×宽50cm×高200cm；材质：钢制。</w:t>
            </w:r>
          </w:p>
        </w:tc>
      </w:tr>
      <w:tr w14:paraId="3F63D7D7">
        <w:tblPrEx>
          <w:tblCellMar>
            <w:top w:w="0" w:type="dxa"/>
            <w:left w:w="108" w:type="dxa"/>
            <w:bottom w:w="0" w:type="dxa"/>
            <w:right w:w="108" w:type="dxa"/>
          </w:tblCellMar>
        </w:tblPrEx>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EF5974">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29</w:t>
            </w:r>
          </w:p>
        </w:tc>
        <w:tc>
          <w:tcPr>
            <w:tcW w:w="1641" w:type="dxa"/>
            <w:tcBorders>
              <w:top w:val="single" w:color="auto" w:sz="4" w:space="0"/>
              <w:left w:val="single" w:color="auto" w:sz="4" w:space="0"/>
              <w:bottom w:val="single" w:color="auto" w:sz="4" w:space="0"/>
              <w:right w:val="single" w:color="auto" w:sz="4" w:space="0"/>
            </w:tcBorders>
            <w:shd w:val="clear" w:color="auto" w:fill="auto"/>
            <w:vAlign w:val="center"/>
          </w:tcPr>
          <w:p w14:paraId="25072485">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标准自由操</w:t>
            </w:r>
          </w:p>
          <w:p w14:paraId="400B48AD">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场地</w:t>
            </w:r>
          </w:p>
          <w:p w14:paraId="197B37A2">
            <w:pPr>
              <w:pStyle w:val="6"/>
              <w:pageBreakBefore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rPr>
            </w:pPr>
            <w:r>
              <w:rPr>
                <w:rFonts w:hint="eastAsia" w:ascii="宋体" w:hAnsi="宋体" w:eastAsia="宋体" w:cs="宋体"/>
                <w:b/>
                <w:bCs/>
                <w:i w:val="0"/>
                <w:iCs w:val="0"/>
                <w:color w:val="FF0000"/>
                <w:kern w:val="0"/>
                <w:sz w:val="21"/>
                <w:szCs w:val="21"/>
                <w:u w:val="none"/>
                <w:lang w:val="en-US" w:eastAsia="zh-CN" w:bidi="ar"/>
              </w:rPr>
              <w:t>（核心产品）</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6FA61B3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56424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AB494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自由操外围尺寸为1400×1400cm，比赛区域尺寸1200×1200cm；面层为特质尼龙地毯，厚度为0.7cm，地毯分两种规格：1300×100cm，共4条，颜色为蓝色；1200×400cm，共3条，颜色为灰色；中间弹性层为特制XPE垫，其外围形状为锯齿状缺口，可相互拼接，尺寸约为200×100cm，厚度为5.5cm，共98块；底板为进口桦木胶合板，厚1.3cm，板底部安装有一定数量特种弹簧组件保证弹性，特种弹簧高度约为10cm，底板组件总高为14cm；板和板之间用铝合金嵌条连接，板角之间的连接采用钢制的连接件，外部整体用拉紧带装置锁紧。</w:t>
            </w:r>
          </w:p>
          <w:p w14:paraId="17AC3A4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lang w:val="en-US" w:eastAsia="zh-CN"/>
              </w:rPr>
              <w:t>▲</w:t>
            </w:r>
            <w:r>
              <w:rPr>
                <w:rFonts w:hint="eastAsia" w:cs="宋体"/>
                <w:color w:val="000000"/>
                <w:kern w:val="0"/>
                <w:sz w:val="21"/>
                <w:szCs w:val="21"/>
                <w:highlight w:val="none"/>
                <w:lang w:val="en-US" w:eastAsia="zh-CN"/>
              </w:rPr>
              <w:t>产品</w:t>
            </w:r>
            <w:r>
              <w:rPr>
                <w:rFonts w:hint="eastAsia" w:ascii="宋体" w:hAnsi="宋体" w:eastAsia="宋体" w:cs="宋体"/>
                <w:i w:val="0"/>
                <w:iCs w:val="0"/>
                <w:color w:val="000000"/>
                <w:kern w:val="0"/>
                <w:sz w:val="21"/>
                <w:szCs w:val="21"/>
                <w:highlight w:val="none"/>
                <w:u w:val="none"/>
                <w:lang w:val="en-US" w:eastAsia="zh-CN" w:bidi="ar"/>
              </w:rPr>
              <w:t>通过国际</w:t>
            </w:r>
            <w:r>
              <w:rPr>
                <w:rFonts w:hint="eastAsia" w:cs="宋体"/>
                <w:i w:val="0"/>
                <w:iCs w:val="0"/>
                <w:color w:val="000000"/>
                <w:kern w:val="0"/>
                <w:sz w:val="21"/>
                <w:szCs w:val="21"/>
                <w:highlight w:val="none"/>
                <w:u w:val="none"/>
                <w:lang w:val="en-US" w:eastAsia="zh-CN" w:bidi="ar"/>
              </w:rPr>
              <w:t>体操联合会（</w:t>
            </w:r>
            <w:r>
              <w:rPr>
                <w:rFonts w:hint="eastAsia" w:ascii="宋体" w:hAnsi="宋体" w:eastAsia="宋体" w:cs="宋体"/>
                <w:i w:val="0"/>
                <w:iCs w:val="0"/>
                <w:color w:val="000000"/>
                <w:kern w:val="0"/>
                <w:sz w:val="21"/>
                <w:szCs w:val="21"/>
                <w:highlight w:val="none"/>
                <w:u w:val="none"/>
                <w:lang w:val="en-US" w:eastAsia="zh-CN" w:bidi="ar"/>
              </w:rPr>
              <w:t>FIG</w:t>
            </w:r>
            <w:r>
              <w:rPr>
                <w:rFonts w:hint="eastAsia"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认证。</w:t>
            </w:r>
          </w:p>
        </w:tc>
      </w:tr>
      <w:tr w14:paraId="0095F46E">
        <w:tblPrEx>
          <w:tblCellMar>
            <w:top w:w="0" w:type="dxa"/>
            <w:left w:w="108" w:type="dxa"/>
            <w:bottom w:w="0" w:type="dxa"/>
            <w:right w:w="108" w:type="dxa"/>
          </w:tblCellMar>
        </w:tblPrEx>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DF55C7">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30</w:t>
            </w:r>
          </w:p>
        </w:tc>
        <w:tc>
          <w:tcPr>
            <w:tcW w:w="1641" w:type="dxa"/>
            <w:tcBorders>
              <w:top w:val="single" w:color="auto" w:sz="4" w:space="0"/>
              <w:left w:val="single" w:color="auto" w:sz="4" w:space="0"/>
              <w:bottom w:val="single" w:color="auto" w:sz="4" w:space="0"/>
              <w:right w:val="single" w:color="auto" w:sz="4" w:space="0"/>
            </w:tcBorders>
            <w:shd w:val="clear" w:color="auto" w:fill="auto"/>
            <w:vAlign w:val="center"/>
          </w:tcPr>
          <w:p w14:paraId="7E8880F9">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bidi="ar"/>
              </w:rPr>
              <w:t>比赛单杠</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06894029">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BF14A2">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6BA5A9">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杠面采用不锈弹簧钢材料，杠面截面直径为2.8cm；两个支撑立柱的中心距为240cm，支撑立柱等部分金属外管静电喷涂处理。单杠杠面高度可调，调节范围为270~290cm；器材配有快速松紧器便于快速调节钢缆松紧。</w:t>
            </w:r>
          </w:p>
          <w:p w14:paraId="0E473E97">
            <w:pPr>
              <w:pStyle w:val="8"/>
              <w:keepNext w:val="0"/>
              <w:keepLines w:val="0"/>
              <w:pageBreakBefore w:val="0"/>
              <w:kinsoku/>
              <w:wordWrap/>
              <w:overflowPunct/>
              <w:topLinePunct w:val="0"/>
              <w:autoSpaceDE/>
              <w:autoSpaceDN/>
              <w:bidi w:val="0"/>
              <w:adjustRightInd/>
              <w:snapToGrid/>
              <w:spacing w:line="320" w:lineRule="exact"/>
              <w:ind w:left="0" w:leftChars="0" w:firstLine="0" w:firstLineChars="0"/>
              <w:textAlignment w:val="auto"/>
              <w:rPr>
                <w:rFonts w:hint="eastAsia"/>
                <w:highlight w:val="none"/>
              </w:rPr>
            </w:pPr>
            <w:r>
              <w:rPr>
                <w:rFonts w:hint="eastAsia" w:ascii="宋体" w:hAnsi="宋体" w:eastAsia="宋体" w:cs="宋体"/>
                <w:color w:val="000000"/>
                <w:kern w:val="0"/>
                <w:sz w:val="21"/>
                <w:szCs w:val="21"/>
                <w:highlight w:val="none"/>
                <w:lang w:val="en-US" w:eastAsia="zh-CN"/>
              </w:rPr>
              <w:t>▲</w:t>
            </w:r>
            <w:r>
              <w:rPr>
                <w:rFonts w:hint="eastAsia" w:cs="宋体"/>
                <w:color w:val="000000"/>
                <w:kern w:val="0"/>
                <w:sz w:val="21"/>
                <w:szCs w:val="21"/>
                <w:highlight w:val="none"/>
                <w:lang w:val="en-US" w:eastAsia="zh-CN"/>
              </w:rPr>
              <w:t>产品</w:t>
            </w:r>
            <w:r>
              <w:rPr>
                <w:rFonts w:hint="eastAsia" w:ascii="宋体" w:hAnsi="宋体" w:eastAsia="宋体" w:cs="宋体"/>
                <w:i w:val="0"/>
                <w:iCs w:val="0"/>
                <w:color w:val="000000"/>
                <w:kern w:val="0"/>
                <w:sz w:val="21"/>
                <w:szCs w:val="21"/>
                <w:highlight w:val="none"/>
                <w:u w:val="none"/>
                <w:lang w:val="en-US" w:eastAsia="zh-CN" w:bidi="ar"/>
              </w:rPr>
              <w:t>通过国际</w:t>
            </w:r>
            <w:r>
              <w:rPr>
                <w:rFonts w:hint="eastAsia" w:cs="宋体"/>
                <w:i w:val="0"/>
                <w:iCs w:val="0"/>
                <w:color w:val="000000"/>
                <w:kern w:val="0"/>
                <w:sz w:val="21"/>
                <w:szCs w:val="21"/>
                <w:highlight w:val="none"/>
                <w:u w:val="none"/>
                <w:lang w:val="en-US" w:eastAsia="zh-CN" w:bidi="ar"/>
              </w:rPr>
              <w:t>体操联合会（</w:t>
            </w:r>
            <w:r>
              <w:rPr>
                <w:rFonts w:hint="eastAsia" w:ascii="宋体" w:hAnsi="宋体" w:eastAsia="宋体" w:cs="宋体"/>
                <w:i w:val="0"/>
                <w:iCs w:val="0"/>
                <w:color w:val="000000"/>
                <w:kern w:val="0"/>
                <w:sz w:val="21"/>
                <w:szCs w:val="21"/>
                <w:highlight w:val="none"/>
                <w:u w:val="none"/>
                <w:lang w:val="en-US" w:eastAsia="zh-CN" w:bidi="ar"/>
              </w:rPr>
              <w:t>FIG</w:t>
            </w:r>
            <w:r>
              <w:rPr>
                <w:rFonts w:hint="eastAsia"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认证。</w:t>
            </w:r>
          </w:p>
        </w:tc>
      </w:tr>
      <w:tr w14:paraId="53EBA37D">
        <w:tblPrEx>
          <w:tblCellMar>
            <w:top w:w="0" w:type="dxa"/>
            <w:left w:w="108" w:type="dxa"/>
            <w:bottom w:w="0" w:type="dxa"/>
            <w:right w:w="108" w:type="dxa"/>
          </w:tblCellMar>
        </w:tblPrEx>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384C58">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31</w:t>
            </w:r>
          </w:p>
        </w:tc>
        <w:tc>
          <w:tcPr>
            <w:tcW w:w="1641" w:type="dxa"/>
            <w:tcBorders>
              <w:top w:val="single" w:color="auto" w:sz="4" w:space="0"/>
              <w:left w:val="single" w:color="auto" w:sz="4" w:space="0"/>
              <w:bottom w:val="single" w:color="auto" w:sz="4" w:space="0"/>
              <w:right w:val="single" w:color="auto" w:sz="4" w:space="0"/>
            </w:tcBorders>
            <w:shd w:val="clear" w:color="auto" w:fill="auto"/>
            <w:vAlign w:val="center"/>
          </w:tcPr>
          <w:p w14:paraId="4BBA9915">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bidi="ar"/>
              </w:rPr>
              <w:t>比赛双杠</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1EB091A4">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7A73FF">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6351FD">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采用木材和钢缆复合的杠面，杠面纵轴心压有安全钢缆，木材的主要材料为榉木，杠面长350cm；两杠面间距可调，可调范围为37~65cm；双杠杠面高度可调，调节范围为165~210cm；升降杆的锁紧装置采用抱箍式锁紧原理，由铸钢材料制成，外表镀铬；双杠底部配有加强稳定性的配重脚；支撑立柱、底脚杆及配重脚等部分金属外管静电喷涂处理。</w:t>
            </w:r>
          </w:p>
          <w:p w14:paraId="24944175">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lang w:val="en-US" w:eastAsia="zh-CN"/>
              </w:rPr>
              <w:t>▲</w:t>
            </w:r>
            <w:r>
              <w:rPr>
                <w:rFonts w:hint="eastAsia" w:cs="宋体"/>
                <w:color w:val="000000"/>
                <w:kern w:val="0"/>
                <w:sz w:val="21"/>
                <w:szCs w:val="21"/>
                <w:highlight w:val="none"/>
                <w:lang w:val="en-US" w:eastAsia="zh-CN"/>
              </w:rPr>
              <w:t>产品</w:t>
            </w:r>
            <w:r>
              <w:rPr>
                <w:rFonts w:hint="eastAsia" w:ascii="宋体" w:hAnsi="宋体" w:eastAsia="宋体" w:cs="宋体"/>
                <w:i w:val="0"/>
                <w:iCs w:val="0"/>
                <w:color w:val="000000"/>
                <w:kern w:val="0"/>
                <w:sz w:val="21"/>
                <w:szCs w:val="21"/>
                <w:highlight w:val="none"/>
                <w:u w:val="none"/>
                <w:lang w:val="en-US" w:eastAsia="zh-CN" w:bidi="ar"/>
              </w:rPr>
              <w:t>通过国际</w:t>
            </w:r>
            <w:r>
              <w:rPr>
                <w:rFonts w:hint="eastAsia" w:cs="宋体"/>
                <w:i w:val="0"/>
                <w:iCs w:val="0"/>
                <w:color w:val="000000"/>
                <w:kern w:val="0"/>
                <w:sz w:val="21"/>
                <w:szCs w:val="21"/>
                <w:highlight w:val="none"/>
                <w:u w:val="none"/>
                <w:lang w:val="en-US" w:eastAsia="zh-CN" w:bidi="ar"/>
              </w:rPr>
              <w:t>体操联合会（</w:t>
            </w:r>
            <w:r>
              <w:rPr>
                <w:rFonts w:hint="eastAsia" w:ascii="宋体" w:hAnsi="宋体" w:eastAsia="宋体" w:cs="宋体"/>
                <w:i w:val="0"/>
                <w:iCs w:val="0"/>
                <w:color w:val="000000"/>
                <w:kern w:val="0"/>
                <w:sz w:val="21"/>
                <w:szCs w:val="21"/>
                <w:highlight w:val="none"/>
                <w:u w:val="none"/>
                <w:lang w:val="en-US" w:eastAsia="zh-CN" w:bidi="ar"/>
              </w:rPr>
              <w:t>FIG</w:t>
            </w:r>
            <w:r>
              <w:rPr>
                <w:rFonts w:hint="eastAsia"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认证。</w:t>
            </w:r>
          </w:p>
        </w:tc>
      </w:tr>
      <w:tr w14:paraId="2B244772">
        <w:tblPrEx>
          <w:tblCellMar>
            <w:top w:w="0" w:type="dxa"/>
            <w:left w:w="108" w:type="dxa"/>
            <w:bottom w:w="0" w:type="dxa"/>
            <w:right w:w="108" w:type="dxa"/>
          </w:tblCellMar>
        </w:tblPrEx>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A55D0E">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32</w:t>
            </w:r>
          </w:p>
        </w:tc>
        <w:tc>
          <w:tcPr>
            <w:tcW w:w="1641" w:type="dxa"/>
            <w:tcBorders>
              <w:top w:val="single" w:color="auto" w:sz="4" w:space="0"/>
              <w:left w:val="single" w:color="auto" w:sz="4" w:space="0"/>
              <w:bottom w:val="single" w:color="auto" w:sz="4" w:space="0"/>
              <w:right w:val="single" w:color="auto" w:sz="4" w:space="0"/>
            </w:tcBorders>
            <w:shd w:val="clear" w:color="auto" w:fill="auto"/>
            <w:vAlign w:val="center"/>
          </w:tcPr>
          <w:p w14:paraId="367963A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bidi="ar"/>
              </w:rPr>
              <w:t>硬助跳板</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0B70405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条</w:t>
            </w:r>
          </w:p>
        </w:tc>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0F4AC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D6D12D">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优质胶合板制作，板面尺寸120×60×22cm，板下有8根弹簧，可拆卸，调节弹性强度。</w:t>
            </w:r>
          </w:p>
          <w:p w14:paraId="6E5741C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lang w:val="en-US" w:eastAsia="zh-CN"/>
              </w:rPr>
              <w:t>▲</w:t>
            </w:r>
            <w:r>
              <w:rPr>
                <w:rFonts w:hint="eastAsia" w:cs="宋体"/>
                <w:color w:val="000000"/>
                <w:kern w:val="0"/>
                <w:sz w:val="21"/>
                <w:szCs w:val="21"/>
                <w:highlight w:val="none"/>
                <w:lang w:val="en-US" w:eastAsia="zh-CN"/>
              </w:rPr>
              <w:t>产品</w:t>
            </w:r>
            <w:r>
              <w:rPr>
                <w:rFonts w:hint="eastAsia" w:ascii="宋体" w:hAnsi="宋体" w:eastAsia="宋体" w:cs="宋体"/>
                <w:i w:val="0"/>
                <w:iCs w:val="0"/>
                <w:color w:val="000000"/>
                <w:kern w:val="0"/>
                <w:sz w:val="21"/>
                <w:szCs w:val="21"/>
                <w:highlight w:val="none"/>
                <w:u w:val="none"/>
                <w:lang w:val="en-US" w:eastAsia="zh-CN" w:bidi="ar"/>
              </w:rPr>
              <w:t>通过国际</w:t>
            </w:r>
            <w:r>
              <w:rPr>
                <w:rFonts w:hint="eastAsia" w:cs="宋体"/>
                <w:i w:val="0"/>
                <w:iCs w:val="0"/>
                <w:color w:val="000000"/>
                <w:kern w:val="0"/>
                <w:sz w:val="21"/>
                <w:szCs w:val="21"/>
                <w:highlight w:val="none"/>
                <w:u w:val="none"/>
                <w:lang w:val="en-US" w:eastAsia="zh-CN" w:bidi="ar"/>
              </w:rPr>
              <w:t>体操联合会（</w:t>
            </w:r>
            <w:r>
              <w:rPr>
                <w:rFonts w:hint="eastAsia" w:ascii="宋体" w:hAnsi="宋体" w:eastAsia="宋体" w:cs="宋体"/>
                <w:i w:val="0"/>
                <w:iCs w:val="0"/>
                <w:color w:val="000000"/>
                <w:kern w:val="0"/>
                <w:sz w:val="21"/>
                <w:szCs w:val="21"/>
                <w:highlight w:val="none"/>
                <w:u w:val="none"/>
                <w:lang w:val="en-US" w:eastAsia="zh-CN" w:bidi="ar"/>
              </w:rPr>
              <w:t>FIG</w:t>
            </w:r>
            <w:r>
              <w:rPr>
                <w:rFonts w:hint="eastAsia"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认证。</w:t>
            </w:r>
          </w:p>
        </w:tc>
      </w:tr>
      <w:tr w14:paraId="46552004">
        <w:tblPrEx>
          <w:tblCellMar>
            <w:top w:w="0" w:type="dxa"/>
            <w:left w:w="108" w:type="dxa"/>
            <w:bottom w:w="0" w:type="dxa"/>
            <w:right w:w="108" w:type="dxa"/>
          </w:tblCellMar>
        </w:tblPrEx>
        <w:trPr>
          <w:trHeight w:val="378"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E43E28">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33</w:t>
            </w:r>
          </w:p>
        </w:tc>
        <w:tc>
          <w:tcPr>
            <w:tcW w:w="1641" w:type="dxa"/>
            <w:tcBorders>
              <w:top w:val="single" w:color="auto" w:sz="4" w:space="0"/>
              <w:left w:val="single" w:color="auto" w:sz="4" w:space="0"/>
              <w:bottom w:val="single" w:color="auto" w:sz="4" w:space="0"/>
              <w:right w:val="single" w:color="auto" w:sz="4" w:space="0"/>
            </w:tcBorders>
            <w:shd w:val="clear" w:color="auto" w:fill="auto"/>
            <w:vAlign w:val="center"/>
          </w:tcPr>
          <w:p w14:paraId="1D38872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bidi="ar"/>
              </w:rPr>
              <w:t>压腿垫</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344C554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块</w:t>
            </w:r>
          </w:p>
        </w:tc>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581D7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8</w:t>
            </w:r>
          </w:p>
        </w:tc>
        <w:tc>
          <w:tcPr>
            <w:tcW w:w="1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1533A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尺寸50×30×30cm，压缩海绵。</w:t>
            </w:r>
          </w:p>
        </w:tc>
      </w:tr>
      <w:tr w14:paraId="6981BF0A">
        <w:tblPrEx>
          <w:tblCellMar>
            <w:top w:w="0" w:type="dxa"/>
            <w:left w:w="108" w:type="dxa"/>
            <w:bottom w:w="0" w:type="dxa"/>
            <w:right w:w="108" w:type="dxa"/>
          </w:tblCellMar>
        </w:tblPrEx>
        <w:trPr>
          <w:trHeight w:val="386"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CE262F">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34</w:t>
            </w:r>
          </w:p>
        </w:tc>
        <w:tc>
          <w:tcPr>
            <w:tcW w:w="1641" w:type="dxa"/>
            <w:tcBorders>
              <w:top w:val="single" w:color="auto" w:sz="4" w:space="0"/>
              <w:left w:val="single" w:color="auto" w:sz="4" w:space="0"/>
              <w:bottom w:val="single" w:color="auto" w:sz="4" w:space="0"/>
              <w:right w:val="single" w:color="auto" w:sz="4" w:space="0"/>
            </w:tcBorders>
            <w:shd w:val="clear" w:color="auto" w:fill="auto"/>
            <w:vAlign w:val="center"/>
          </w:tcPr>
          <w:p w14:paraId="503C50D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bidi="ar"/>
              </w:rPr>
              <w:t>木制倒立架</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0290DAB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对</w:t>
            </w:r>
          </w:p>
        </w:tc>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185E2D">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10</w:t>
            </w:r>
          </w:p>
        </w:tc>
        <w:tc>
          <w:tcPr>
            <w:tcW w:w="1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149AD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辅助训练和素质训练器械，长70cm，高10.5cm，木制杠面，杠面直径4cm。</w:t>
            </w:r>
          </w:p>
        </w:tc>
      </w:tr>
      <w:tr w14:paraId="23E29712">
        <w:tblPrEx>
          <w:tblCellMar>
            <w:top w:w="0" w:type="dxa"/>
            <w:left w:w="108" w:type="dxa"/>
            <w:bottom w:w="0" w:type="dxa"/>
            <w:right w:w="108" w:type="dxa"/>
          </w:tblCellMar>
        </w:tblPrEx>
        <w:trPr>
          <w:trHeight w:val="392"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31FCFA">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35</w:t>
            </w:r>
          </w:p>
        </w:tc>
        <w:tc>
          <w:tcPr>
            <w:tcW w:w="1641" w:type="dxa"/>
            <w:tcBorders>
              <w:top w:val="single" w:color="auto" w:sz="4" w:space="0"/>
              <w:left w:val="single" w:color="auto" w:sz="4" w:space="0"/>
              <w:bottom w:val="single" w:color="auto" w:sz="4" w:space="0"/>
              <w:right w:val="single" w:color="auto" w:sz="4" w:space="0"/>
            </w:tcBorders>
            <w:shd w:val="clear" w:color="auto" w:fill="auto"/>
            <w:vAlign w:val="center"/>
          </w:tcPr>
          <w:p w14:paraId="008D31D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bidi="ar"/>
              </w:rPr>
              <w:t>体操凳</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2DA754B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张</w:t>
            </w:r>
          </w:p>
        </w:tc>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C1BDE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10</w:t>
            </w:r>
          </w:p>
        </w:tc>
        <w:tc>
          <w:tcPr>
            <w:tcW w:w="1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1E63E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体操馆用品，木质凳面，凳面长200cm，宽24cm，高30cm，可折叠</w:t>
            </w:r>
          </w:p>
        </w:tc>
      </w:tr>
      <w:tr w14:paraId="44F5386B">
        <w:tblPrEx>
          <w:tblCellMar>
            <w:top w:w="0" w:type="dxa"/>
            <w:left w:w="108" w:type="dxa"/>
            <w:bottom w:w="0" w:type="dxa"/>
            <w:right w:w="108" w:type="dxa"/>
          </w:tblCellMar>
        </w:tblPrEx>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63BFE1">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36</w:t>
            </w:r>
          </w:p>
        </w:tc>
        <w:tc>
          <w:tcPr>
            <w:tcW w:w="1641" w:type="dxa"/>
            <w:tcBorders>
              <w:top w:val="single" w:color="auto" w:sz="4" w:space="0"/>
              <w:left w:val="single" w:color="auto" w:sz="4" w:space="0"/>
              <w:bottom w:val="single" w:color="auto" w:sz="4" w:space="0"/>
              <w:right w:val="single" w:color="auto" w:sz="4" w:space="0"/>
            </w:tcBorders>
            <w:shd w:val="clear" w:color="auto" w:fill="auto"/>
            <w:vAlign w:val="center"/>
          </w:tcPr>
          <w:p w14:paraId="21296A9C">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bidi="ar"/>
              </w:rPr>
              <w:t>保护台</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753BEB7B">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784737">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1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661D5F">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运动员保护器材，可放置在单杠、双杠、高低杠一侧的平地上，内衬为较硬的XPE缓冲材料，教练员可以站在上面保护运动员。保护台分为单独5层，教练员可以自行调节适宜的使用高度，也可以拆分并用于压腿等素质练习；每层尺寸为150×60×25cm，5层总高为125cm。</w:t>
            </w:r>
          </w:p>
        </w:tc>
      </w:tr>
      <w:tr w14:paraId="34C21475">
        <w:tblPrEx>
          <w:tblCellMar>
            <w:top w:w="0" w:type="dxa"/>
            <w:left w:w="108" w:type="dxa"/>
            <w:bottom w:w="0" w:type="dxa"/>
            <w:right w:w="108" w:type="dxa"/>
          </w:tblCellMar>
        </w:tblPrEx>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D16E24">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37</w:t>
            </w:r>
          </w:p>
        </w:tc>
        <w:tc>
          <w:tcPr>
            <w:tcW w:w="1641" w:type="dxa"/>
            <w:tcBorders>
              <w:top w:val="single" w:color="auto" w:sz="4" w:space="0"/>
              <w:left w:val="single" w:color="auto" w:sz="4" w:space="0"/>
              <w:bottom w:val="single" w:color="auto" w:sz="4" w:space="0"/>
              <w:right w:val="single" w:color="auto" w:sz="4" w:space="0"/>
            </w:tcBorders>
            <w:shd w:val="clear" w:color="auto" w:fill="auto"/>
            <w:vAlign w:val="center"/>
          </w:tcPr>
          <w:p w14:paraId="18808712">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bidi="ar"/>
              </w:rPr>
              <w:t>快乐体操跑跳全套</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2B76FC54">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C39896">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E1EA70">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总长度635cm，由1块底单、1块跳垫和10条跳条组成，颜色多样。底单为双层人革，尺寸为70/120×635cm；跳垫尺寸为80×40×30cm，外包人革，内为25倍硬质海绵；跳条面层采用10种不同颜色的人革，尺寸为80×10×15cm，内衬为25倍硬质海绵，其上端为圆弧，下端有雄扣条可粘在底单上。</w:t>
            </w:r>
          </w:p>
        </w:tc>
      </w:tr>
      <w:tr w14:paraId="1C968805">
        <w:tblPrEx>
          <w:tblCellMar>
            <w:top w:w="0" w:type="dxa"/>
            <w:left w:w="108" w:type="dxa"/>
            <w:bottom w:w="0" w:type="dxa"/>
            <w:right w:w="108" w:type="dxa"/>
          </w:tblCellMar>
        </w:tblPrEx>
        <w:trPr>
          <w:trHeight w:val="403"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761DD3">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38</w:t>
            </w:r>
          </w:p>
        </w:tc>
        <w:tc>
          <w:tcPr>
            <w:tcW w:w="1641" w:type="dxa"/>
            <w:tcBorders>
              <w:top w:val="single" w:color="auto" w:sz="4" w:space="0"/>
              <w:left w:val="single" w:color="auto" w:sz="4" w:space="0"/>
              <w:bottom w:val="single" w:color="auto" w:sz="4" w:space="0"/>
              <w:right w:val="single" w:color="auto" w:sz="4" w:space="0"/>
            </w:tcBorders>
            <w:shd w:val="clear" w:color="auto" w:fill="auto"/>
            <w:vAlign w:val="center"/>
          </w:tcPr>
          <w:p w14:paraId="1401193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bidi="ar"/>
              </w:rPr>
              <w:t>七级跳箱</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0888272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267C3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26AE1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学校体育器材和体操辅助器材，优质胶合板、海绵和PU革制作而成，长122cm，上宽38cm，下宽78cm，总高125cm。</w:t>
            </w:r>
          </w:p>
        </w:tc>
      </w:tr>
      <w:tr w14:paraId="0262D2E0">
        <w:tblPrEx>
          <w:tblCellMar>
            <w:top w:w="0" w:type="dxa"/>
            <w:left w:w="108" w:type="dxa"/>
            <w:bottom w:w="0" w:type="dxa"/>
            <w:right w:w="108" w:type="dxa"/>
          </w:tblCellMar>
        </w:tblPrEx>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BF8975">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39</w:t>
            </w:r>
          </w:p>
        </w:tc>
        <w:tc>
          <w:tcPr>
            <w:tcW w:w="1641" w:type="dxa"/>
            <w:tcBorders>
              <w:top w:val="single" w:color="auto" w:sz="4" w:space="0"/>
              <w:left w:val="single" w:color="auto" w:sz="4" w:space="0"/>
              <w:bottom w:val="single" w:color="auto" w:sz="4" w:space="0"/>
              <w:right w:val="single" w:color="auto" w:sz="4" w:space="0"/>
            </w:tcBorders>
            <w:shd w:val="clear" w:color="auto" w:fill="auto"/>
            <w:vAlign w:val="center"/>
          </w:tcPr>
          <w:p w14:paraId="11D26C4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bidi="ar"/>
              </w:rPr>
              <w:t>助跳板(软板)</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5AD3BFF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块</w:t>
            </w:r>
          </w:p>
        </w:tc>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16471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E28DD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优质胶合板制作，板面尺寸120×60×22cm，板下有5根弹簧，可拆卸，调节弹性强度。</w:t>
            </w:r>
          </w:p>
          <w:p w14:paraId="0D805BDD">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lang w:val="en-US" w:eastAsia="zh-CN"/>
              </w:rPr>
              <w:t>▲</w:t>
            </w:r>
            <w:r>
              <w:rPr>
                <w:rFonts w:hint="eastAsia" w:cs="宋体"/>
                <w:color w:val="000000"/>
                <w:kern w:val="0"/>
                <w:sz w:val="21"/>
                <w:szCs w:val="21"/>
                <w:highlight w:val="none"/>
                <w:lang w:val="en-US" w:eastAsia="zh-CN"/>
              </w:rPr>
              <w:t>产品</w:t>
            </w:r>
            <w:r>
              <w:rPr>
                <w:rFonts w:hint="eastAsia" w:ascii="宋体" w:hAnsi="宋体" w:eastAsia="宋体" w:cs="宋体"/>
                <w:i w:val="0"/>
                <w:iCs w:val="0"/>
                <w:color w:val="000000"/>
                <w:kern w:val="0"/>
                <w:sz w:val="21"/>
                <w:szCs w:val="21"/>
                <w:highlight w:val="none"/>
                <w:u w:val="none"/>
                <w:lang w:val="en-US" w:eastAsia="zh-CN" w:bidi="ar"/>
              </w:rPr>
              <w:t>通过国际</w:t>
            </w:r>
            <w:r>
              <w:rPr>
                <w:rFonts w:hint="eastAsia" w:cs="宋体"/>
                <w:i w:val="0"/>
                <w:iCs w:val="0"/>
                <w:color w:val="000000"/>
                <w:kern w:val="0"/>
                <w:sz w:val="21"/>
                <w:szCs w:val="21"/>
                <w:highlight w:val="none"/>
                <w:u w:val="none"/>
                <w:lang w:val="en-US" w:eastAsia="zh-CN" w:bidi="ar"/>
              </w:rPr>
              <w:t>体操联合会（</w:t>
            </w:r>
            <w:r>
              <w:rPr>
                <w:rFonts w:hint="eastAsia" w:ascii="宋体" w:hAnsi="宋体" w:eastAsia="宋体" w:cs="宋体"/>
                <w:i w:val="0"/>
                <w:iCs w:val="0"/>
                <w:color w:val="000000"/>
                <w:kern w:val="0"/>
                <w:sz w:val="21"/>
                <w:szCs w:val="21"/>
                <w:highlight w:val="none"/>
                <w:u w:val="none"/>
                <w:lang w:val="en-US" w:eastAsia="zh-CN" w:bidi="ar"/>
              </w:rPr>
              <w:t>FIG</w:t>
            </w:r>
            <w:r>
              <w:rPr>
                <w:rFonts w:hint="eastAsia"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认证。</w:t>
            </w:r>
          </w:p>
        </w:tc>
      </w:tr>
      <w:tr w14:paraId="2AB8AF64">
        <w:tblPrEx>
          <w:tblCellMar>
            <w:top w:w="0" w:type="dxa"/>
            <w:left w:w="108" w:type="dxa"/>
            <w:bottom w:w="0" w:type="dxa"/>
            <w:right w:w="108" w:type="dxa"/>
          </w:tblCellMar>
        </w:tblPrEx>
        <w:trPr>
          <w:trHeight w:val="471"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C4A547">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40</w:t>
            </w:r>
          </w:p>
        </w:tc>
        <w:tc>
          <w:tcPr>
            <w:tcW w:w="1641" w:type="dxa"/>
            <w:tcBorders>
              <w:top w:val="single" w:color="auto" w:sz="4" w:space="0"/>
              <w:left w:val="single" w:color="auto" w:sz="4" w:space="0"/>
              <w:bottom w:val="single" w:color="auto" w:sz="4" w:space="0"/>
              <w:right w:val="single" w:color="auto" w:sz="4" w:space="0"/>
            </w:tcBorders>
            <w:shd w:val="clear" w:color="auto" w:fill="auto"/>
            <w:vAlign w:val="center"/>
          </w:tcPr>
          <w:p w14:paraId="148F4A3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落地软垫</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0AC9C06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0EFFA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360E3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符合国际通用器材标准，内衬25倍聚胺脂海绵，面料为高强PVC夹网布，尺寸为200×200×10cm。</w:t>
            </w:r>
          </w:p>
        </w:tc>
      </w:tr>
      <w:tr w14:paraId="31498E36">
        <w:tblPrEx>
          <w:tblCellMar>
            <w:top w:w="0" w:type="dxa"/>
            <w:left w:w="108" w:type="dxa"/>
            <w:bottom w:w="0" w:type="dxa"/>
            <w:right w:w="108" w:type="dxa"/>
          </w:tblCellMar>
        </w:tblPrEx>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C79E39">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41</w:t>
            </w:r>
          </w:p>
        </w:tc>
        <w:tc>
          <w:tcPr>
            <w:tcW w:w="1641" w:type="dxa"/>
            <w:tcBorders>
              <w:top w:val="single" w:color="auto" w:sz="4" w:space="0"/>
              <w:left w:val="single" w:color="auto" w:sz="4" w:space="0"/>
              <w:bottom w:val="single" w:color="auto" w:sz="4" w:space="0"/>
              <w:right w:val="single" w:color="auto" w:sz="4" w:space="0"/>
            </w:tcBorders>
            <w:shd w:val="clear" w:color="auto" w:fill="auto"/>
            <w:vAlign w:val="center"/>
          </w:tcPr>
          <w:p w14:paraId="28662E93">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健美操场地</w:t>
            </w:r>
          </w:p>
          <w:p w14:paraId="27529541">
            <w:pPr>
              <w:pStyle w:val="6"/>
              <w:pageBreakBefore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lang w:val="en-US" w:eastAsia="zh-CN"/>
              </w:rPr>
            </w:pPr>
            <w:r>
              <w:rPr>
                <w:rFonts w:hint="eastAsia" w:ascii="宋体" w:hAnsi="宋体" w:eastAsia="宋体" w:cs="宋体"/>
                <w:b/>
                <w:bCs/>
                <w:i w:val="0"/>
                <w:iCs w:val="0"/>
                <w:color w:val="FF0000"/>
                <w:kern w:val="0"/>
                <w:sz w:val="21"/>
                <w:szCs w:val="21"/>
                <w:u w:val="none"/>
                <w:lang w:val="en-US" w:eastAsia="zh-CN" w:bidi="ar"/>
              </w:rPr>
              <w:t>（核心产品）</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48E6240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7BA20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2BC8BE">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1.运动区为正方形，整体尺寸1200cm×1200cm，单人赛区尺寸为700cm×700cm，双人及三人赛区尺寸为1000cm×1000cm （黑色亚光规则线为赛区一部分）。 </w:t>
            </w:r>
          </w:p>
          <w:p w14:paraId="7A60CC72">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2.整体由100块高密度镶木地板拼接而成。高度为7.5cm，表面光滑但不反光。每块木地板尺寸为120cm×120cm。 </w:t>
            </w:r>
          </w:p>
          <w:p w14:paraId="0536CD21">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3.底部设有快速回弹的减震材</w:t>
            </w:r>
            <w:r>
              <w:rPr>
                <w:rFonts w:hint="eastAsia" w:cs="宋体"/>
                <w:i w:val="0"/>
                <w:iCs w:val="0"/>
                <w:color w:val="000000"/>
                <w:kern w:val="0"/>
                <w:sz w:val="21"/>
                <w:szCs w:val="21"/>
                <w:highlight w:val="none"/>
                <w:u w:val="none"/>
                <w:lang w:val="en-US" w:eastAsia="zh-CN" w:bidi="ar"/>
              </w:rPr>
              <w:t>料（EVA方体弹性块，6</w:t>
            </w:r>
            <w:r>
              <w:rPr>
                <w:rFonts w:hint="eastAsia" w:ascii="宋体" w:hAnsi="宋体" w:eastAsia="宋体" w:cs="宋体"/>
                <w:i w:val="0"/>
                <w:iCs w:val="0"/>
                <w:color w:val="000000"/>
                <w:kern w:val="0"/>
                <w:sz w:val="21"/>
                <w:szCs w:val="21"/>
                <w:highlight w:val="none"/>
                <w:u w:val="none"/>
                <w:lang w:val="en-US" w:eastAsia="zh-CN" w:bidi="ar"/>
              </w:rPr>
              <w:t>×</w:t>
            </w:r>
            <w:r>
              <w:rPr>
                <w:rFonts w:hint="eastAsia" w:cs="宋体"/>
                <w:i w:val="0"/>
                <w:iCs w:val="0"/>
                <w:color w:val="000000"/>
                <w:kern w:val="0"/>
                <w:sz w:val="21"/>
                <w:szCs w:val="21"/>
                <w:highlight w:val="none"/>
                <w:u w:val="none"/>
                <w:lang w:val="en-US" w:eastAsia="zh-CN" w:bidi="ar"/>
              </w:rPr>
              <w:t>6</w:t>
            </w:r>
            <w:r>
              <w:rPr>
                <w:rFonts w:hint="eastAsia" w:ascii="宋体" w:hAnsi="宋体" w:eastAsia="宋体" w:cs="宋体"/>
                <w:i w:val="0"/>
                <w:iCs w:val="0"/>
                <w:color w:val="000000"/>
                <w:kern w:val="0"/>
                <w:sz w:val="21"/>
                <w:szCs w:val="21"/>
                <w:highlight w:val="none"/>
                <w:u w:val="none"/>
                <w:lang w:val="en-US" w:eastAsia="zh-CN" w:bidi="ar"/>
              </w:rPr>
              <w:t>×</w:t>
            </w:r>
            <w:r>
              <w:rPr>
                <w:rFonts w:hint="eastAsia" w:cs="宋体"/>
                <w:i w:val="0"/>
                <w:iCs w:val="0"/>
                <w:color w:val="000000"/>
                <w:kern w:val="0"/>
                <w:sz w:val="21"/>
                <w:szCs w:val="21"/>
                <w:highlight w:val="none"/>
                <w:u w:val="none"/>
                <w:lang w:val="en-US" w:eastAsia="zh-CN" w:bidi="ar"/>
              </w:rPr>
              <w:t>6cm)</w:t>
            </w:r>
            <w:r>
              <w:rPr>
                <w:rFonts w:hint="eastAsia" w:ascii="宋体" w:hAnsi="宋体" w:eastAsia="宋体" w:cs="宋体"/>
                <w:i w:val="0"/>
                <w:iCs w:val="0"/>
                <w:color w:val="000000"/>
                <w:kern w:val="0"/>
                <w:sz w:val="21"/>
                <w:szCs w:val="21"/>
                <w:highlight w:val="none"/>
                <w:u w:val="none"/>
                <w:lang w:val="en-US" w:eastAsia="zh-CN" w:bidi="ar"/>
              </w:rPr>
              <w:t>，为场地提供了良好的减震功能，（对使用者的运动部位起到了保护作用）。特制张紧系统使整个场地牢固的连接在一起，无噪音、无缝隙。适用于专业竞赛及训练使用。</w:t>
            </w:r>
          </w:p>
          <w:p w14:paraId="070A32B4">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lang w:val="en-US" w:eastAsia="zh-CN"/>
              </w:rPr>
              <w:t>▲</w:t>
            </w:r>
            <w:r>
              <w:rPr>
                <w:rFonts w:hint="eastAsia" w:cs="宋体"/>
                <w:color w:val="000000"/>
                <w:kern w:val="0"/>
                <w:sz w:val="21"/>
                <w:szCs w:val="21"/>
                <w:highlight w:val="none"/>
                <w:lang w:val="en-US" w:eastAsia="zh-CN"/>
              </w:rPr>
              <w:t>产品</w:t>
            </w:r>
            <w:r>
              <w:rPr>
                <w:rFonts w:hint="eastAsia" w:ascii="宋体" w:hAnsi="宋体" w:eastAsia="宋体" w:cs="宋体"/>
                <w:i w:val="0"/>
                <w:iCs w:val="0"/>
                <w:color w:val="000000"/>
                <w:kern w:val="0"/>
                <w:sz w:val="21"/>
                <w:szCs w:val="21"/>
                <w:highlight w:val="none"/>
                <w:u w:val="none"/>
                <w:lang w:val="en-US" w:eastAsia="zh-CN" w:bidi="ar"/>
              </w:rPr>
              <w:t>通过国际</w:t>
            </w:r>
            <w:r>
              <w:rPr>
                <w:rFonts w:hint="eastAsia" w:cs="宋体"/>
                <w:i w:val="0"/>
                <w:iCs w:val="0"/>
                <w:color w:val="000000"/>
                <w:kern w:val="0"/>
                <w:sz w:val="21"/>
                <w:szCs w:val="21"/>
                <w:highlight w:val="none"/>
                <w:u w:val="none"/>
                <w:lang w:val="en-US" w:eastAsia="zh-CN" w:bidi="ar"/>
              </w:rPr>
              <w:t>体操联合会（</w:t>
            </w:r>
            <w:r>
              <w:rPr>
                <w:rFonts w:hint="eastAsia" w:ascii="宋体" w:hAnsi="宋体" w:eastAsia="宋体" w:cs="宋体"/>
                <w:i w:val="0"/>
                <w:iCs w:val="0"/>
                <w:color w:val="000000"/>
                <w:kern w:val="0"/>
                <w:sz w:val="21"/>
                <w:szCs w:val="21"/>
                <w:highlight w:val="none"/>
                <w:u w:val="none"/>
                <w:lang w:val="en-US" w:eastAsia="zh-CN" w:bidi="ar"/>
              </w:rPr>
              <w:t>FIG</w:t>
            </w:r>
            <w:r>
              <w:rPr>
                <w:rFonts w:hint="eastAsia"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认证。</w:t>
            </w:r>
          </w:p>
        </w:tc>
      </w:tr>
      <w:tr w14:paraId="526DDBAB">
        <w:tblPrEx>
          <w:tblCellMar>
            <w:top w:w="0" w:type="dxa"/>
            <w:left w:w="108" w:type="dxa"/>
            <w:bottom w:w="0" w:type="dxa"/>
            <w:right w:w="108" w:type="dxa"/>
          </w:tblCellMar>
        </w:tblPrEx>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207401">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42</w:t>
            </w:r>
          </w:p>
        </w:tc>
        <w:tc>
          <w:tcPr>
            <w:tcW w:w="1641" w:type="dxa"/>
            <w:tcBorders>
              <w:top w:val="single" w:color="auto" w:sz="4" w:space="0"/>
              <w:left w:val="single" w:color="auto" w:sz="4" w:space="0"/>
              <w:bottom w:val="single" w:color="auto" w:sz="4" w:space="0"/>
              <w:right w:val="single" w:color="auto" w:sz="4" w:space="0"/>
            </w:tcBorders>
            <w:shd w:val="clear" w:color="auto" w:fill="auto"/>
            <w:vAlign w:val="center"/>
          </w:tcPr>
          <w:p w14:paraId="74AC41F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健美操踏板</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5649EA9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块</w:t>
            </w:r>
          </w:p>
        </w:tc>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0041C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ED40D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1.规格：整体为梯形，上表面长度 88.5cm，宽度 27.5cm 底部表面长度 97cm，宽度 37cm，整体高度 15cm。 重量：5.1kg</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 xml:space="preserve"> </w:t>
            </w:r>
          </w:p>
          <w:p w14:paraId="2280649D">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2.特点：全碳纤维材料制成的台体，外表光滑，强度高，不易发生变形，覆合特殊材料的防滑层及减震层，使用无噪音， </w:t>
            </w:r>
          </w:p>
          <w:p w14:paraId="0430DFF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有效保护了底板。</w:t>
            </w:r>
          </w:p>
          <w:p w14:paraId="561CA5E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highlight w:val="none"/>
                <w:lang w:val="en-US" w:eastAsia="zh-CN"/>
              </w:rPr>
              <w:t>▲</w:t>
            </w:r>
            <w:r>
              <w:rPr>
                <w:rFonts w:hint="eastAsia" w:cs="宋体"/>
                <w:color w:val="000000"/>
                <w:kern w:val="0"/>
                <w:sz w:val="21"/>
                <w:szCs w:val="21"/>
                <w:highlight w:val="none"/>
                <w:lang w:val="en-US" w:eastAsia="zh-CN"/>
              </w:rPr>
              <w:t>产品</w:t>
            </w:r>
            <w:r>
              <w:rPr>
                <w:rFonts w:hint="eastAsia" w:ascii="宋体" w:hAnsi="宋体" w:eastAsia="宋体" w:cs="宋体"/>
                <w:i w:val="0"/>
                <w:iCs w:val="0"/>
                <w:color w:val="000000"/>
                <w:kern w:val="0"/>
                <w:sz w:val="21"/>
                <w:szCs w:val="21"/>
                <w:highlight w:val="none"/>
                <w:u w:val="none"/>
                <w:lang w:val="en-US" w:eastAsia="zh-CN" w:bidi="ar"/>
              </w:rPr>
              <w:t>通过国际</w:t>
            </w:r>
            <w:r>
              <w:rPr>
                <w:rFonts w:hint="eastAsia" w:cs="宋体"/>
                <w:i w:val="0"/>
                <w:iCs w:val="0"/>
                <w:color w:val="000000"/>
                <w:kern w:val="0"/>
                <w:sz w:val="21"/>
                <w:szCs w:val="21"/>
                <w:highlight w:val="none"/>
                <w:u w:val="none"/>
                <w:lang w:val="en-US" w:eastAsia="zh-CN" w:bidi="ar"/>
              </w:rPr>
              <w:t>体操联合会（</w:t>
            </w:r>
            <w:r>
              <w:rPr>
                <w:rFonts w:hint="eastAsia" w:ascii="宋体" w:hAnsi="宋体" w:eastAsia="宋体" w:cs="宋体"/>
                <w:i w:val="0"/>
                <w:iCs w:val="0"/>
                <w:color w:val="000000"/>
                <w:kern w:val="0"/>
                <w:sz w:val="21"/>
                <w:szCs w:val="21"/>
                <w:highlight w:val="none"/>
                <w:u w:val="none"/>
                <w:lang w:val="en-US" w:eastAsia="zh-CN" w:bidi="ar"/>
              </w:rPr>
              <w:t>FIG</w:t>
            </w:r>
            <w:r>
              <w:rPr>
                <w:rFonts w:hint="eastAsia"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认证。</w:t>
            </w:r>
          </w:p>
        </w:tc>
      </w:tr>
      <w:tr w14:paraId="50B58FFA">
        <w:tblPrEx>
          <w:tblCellMar>
            <w:top w:w="0" w:type="dxa"/>
            <w:left w:w="108" w:type="dxa"/>
            <w:bottom w:w="0" w:type="dxa"/>
            <w:right w:w="108" w:type="dxa"/>
          </w:tblCellMar>
        </w:tblPrEx>
        <w:trPr>
          <w:trHeight w:val="45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7BA5E0">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43</w:t>
            </w:r>
          </w:p>
        </w:tc>
        <w:tc>
          <w:tcPr>
            <w:tcW w:w="1641" w:type="dxa"/>
            <w:tcBorders>
              <w:top w:val="single" w:color="auto" w:sz="4" w:space="0"/>
              <w:left w:val="single" w:color="auto" w:sz="4" w:space="0"/>
              <w:bottom w:val="single" w:color="auto" w:sz="4" w:space="0"/>
              <w:right w:val="single" w:color="auto" w:sz="4" w:space="0"/>
            </w:tcBorders>
            <w:shd w:val="clear" w:color="auto" w:fill="auto"/>
            <w:vAlign w:val="center"/>
          </w:tcPr>
          <w:p w14:paraId="31741BC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练功凳</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476D097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1C36F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07A95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highlight w:val="none"/>
                <w:lang w:val="en-US" w:eastAsia="zh-CN"/>
              </w:rPr>
              <w:t>尺寸：长200cm×宽24cm×高30cm；材质：木制。</w:t>
            </w:r>
          </w:p>
        </w:tc>
      </w:tr>
      <w:tr w14:paraId="364C9C96">
        <w:tblPrEx>
          <w:tblCellMar>
            <w:top w:w="0" w:type="dxa"/>
            <w:left w:w="108" w:type="dxa"/>
            <w:bottom w:w="0" w:type="dxa"/>
            <w:right w:w="108" w:type="dxa"/>
          </w:tblCellMar>
        </w:tblPrEx>
        <w:trPr>
          <w:trHeight w:val="42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DBED00">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44</w:t>
            </w:r>
          </w:p>
        </w:tc>
        <w:tc>
          <w:tcPr>
            <w:tcW w:w="1641" w:type="dxa"/>
            <w:tcBorders>
              <w:top w:val="single" w:color="auto" w:sz="4" w:space="0"/>
              <w:left w:val="single" w:color="auto" w:sz="4" w:space="0"/>
              <w:bottom w:val="single" w:color="auto" w:sz="4" w:space="0"/>
              <w:right w:val="single" w:color="auto" w:sz="4" w:space="0"/>
            </w:tcBorders>
            <w:shd w:val="clear" w:color="auto" w:fill="auto"/>
            <w:vAlign w:val="center"/>
          </w:tcPr>
          <w:p w14:paraId="2008103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储物架</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4EF4942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27624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8F9B0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highlight w:val="none"/>
                <w:lang w:val="en-US" w:eastAsia="zh-CN"/>
              </w:rPr>
              <w:t>尺寸：长200cm×宽50cm×高200cm；材质：钢制。</w:t>
            </w:r>
          </w:p>
        </w:tc>
      </w:tr>
      <w:tr w14:paraId="609DB4FE">
        <w:tblPrEx>
          <w:tblCellMar>
            <w:top w:w="0" w:type="dxa"/>
            <w:left w:w="108" w:type="dxa"/>
            <w:bottom w:w="0" w:type="dxa"/>
            <w:right w:w="108" w:type="dxa"/>
          </w:tblCellMar>
        </w:tblPrEx>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8DE659">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45</w:t>
            </w:r>
          </w:p>
        </w:tc>
        <w:tc>
          <w:tcPr>
            <w:tcW w:w="1641" w:type="dxa"/>
            <w:tcBorders>
              <w:top w:val="single" w:color="auto" w:sz="4" w:space="0"/>
              <w:left w:val="single" w:color="auto" w:sz="4" w:space="0"/>
              <w:bottom w:val="single" w:color="auto" w:sz="4" w:space="0"/>
              <w:right w:val="single" w:color="auto" w:sz="4" w:space="0"/>
            </w:tcBorders>
            <w:shd w:val="clear" w:color="auto" w:fill="auto"/>
            <w:vAlign w:val="center"/>
          </w:tcPr>
          <w:p w14:paraId="1B934B50">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更衣柜（六门）</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4FE07BD6">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组</w:t>
            </w:r>
          </w:p>
        </w:tc>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322902">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w:t>
            </w:r>
          </w:p>
        </w:tc>
        <w:tc>
          <w:tcPr>
            <w:tcW w:w="1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FD8EC4">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1.材质：更衣柜全部为ABS全新工程塑料制成，强度高、韧性好、耐冲击，不易腐蚀，无毒无味，环保耐用。</w:t>
            </w:r>
          </w:p>
          <w:p w14:paraId="3396F8F1">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2.工艺：采用钢制模具注塑一次成型；</w:t>
            </w:r>
          </w:p>
          <w:p w14:paraId="0224594F">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3.产品特点：榫接结构并合理布局加强筋，安装时不用胶水粘结，不用任何螺丝和铆钉，使用产品自身力量相互连结，专利结构！产品不变形、不扭曲，达到可重复拆装使用。</w:t>
            </w:r>
          </w:p>
          <w:p w14:paraId="42E89D97">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4.使用寿命：抗冲击、耐腐蚀、不生锈，设计使用寿命大于20年。</w:t>
            </w:r>
          </w:p>
          <w:p w14:paraId="06C95099">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5.铰 链：高强度尼龙铰链，无任何螺丝连接,防水，防锈，专利产品！</w:t>
            </w:r>
          </w:p>
          <w:p w14:paraId="49C2E079">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安装方式：榫卯连接，牢固耐用，底座高度为80mm，上下板厚30mm从而使产品更牢固、结实耐用。每个门板与侧板连结采用高强度尼龙防水铰链和上下门轴加固.，使门更结实耐用，门板与侧板并安装有防盗插销。每门要加装拉手（作用1.方便开关门；2.防止门在不锁状态下自动开门，撞伤他人。）</w:t>
            </w:r>
          </w:p>
          <w:p w14:paraId="7DF9C624">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7.门板：门板内侧加装多功能钩及多功能置物盒。可放置小件物品如笔，手表，眼镜等方便实用。</w:t>
            </w:r>
          </w:p>
          <w:p w14:paraId="40EC9A77">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8.板材厚度：侧板（22mm）、顶板(30mm)、底板（30mm）、门板（32mm）、底座（80mm）</w:t>
            </w:r>
          </w:p>
        </w:tc>
      </w:tr>
      <w:tr w14:paraId="74A262ED">
        <w:tblPrEx>
          <w:tblCellMar>
            <w:top w:w="0" w:type="dxa"/>
            <w:left w:w="108" w:type="dxa"/>
            <w:bottom w:w="0" w:type="dxa"/>
            <w:right w:w="108" w:type="dxa"/>
          </w:tblCellMar>
        </w:tblPrEx>
        <w:trPr>
          <w:trHeight w:val="684"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1A6F69">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46</w:t>
            </w:r>
          </w:p>
        </w:tc>
        <w:tc>
          <w:tcPr>
            <w:tcW w:w="1641" w:type="dxa"/>
            <w:tcBorders>
              <w:top w:val="single" w:color="auto" w:sz="4" w:space="0"/>
              <w:left w:val="single" w:color="auto" w:sz="4" w:space="0"/>
              <w:bottom w:val="single" w:color="auto" w:sz="4" w:space="0"/>
              <w:right w:val="single" w:color="auto" w:sz="4" w:space="0"/>
            </w:tcBorders>
            <w:shd w:val="clear" w:color="auto" w:fill="auto"/>
            <w:vAlign w:val="center"/>
          </w:tcPr>
          <w:p w14:paraId="0D787EF8">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lang w:val="en-US" w:eastAsia="zh-CN"/>
              </w:rPr>
            </w:pPr>
            <w:r>
              <w:rPr>
                <w:rFonts w:hint="eastAsia" w:ascii="宋体" w:hAnsi="宋体" w:eastAsia="宋体" w:cs="宋体"/>
                <w:b/>
                <w:bCs/>
                <w:i w:val="0"/>
                <w:iCs w:val="0"/>
                <w:color w:val="000000"/>
                <w:kern w:val="0"/>
                <w:sz w:val="21"/>
                <w:szCs w:val="21"/>
                <w:u w:val="none"/>
                <w:lang w:val="en-US" w:eastAsia="zh-CN" w:bidi="ar"/>
              </w:rPr>
              <w:t>跑步机</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1213BF9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2165A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AEBC0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lang w:bidi="ar"/>
              </w:rPr>
              <w:t>1.屏幕参数不小于15.6寸触摸电容屏分辨率:1366</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color w:val="000000"/>
                <w:kern w:val="0"/>
                <w:sz w:val="21"/>
                <w:szCs w:val="21"/>
                <w:highlight w:val="none"/>
                <w:lang w:bidi="ar"/>
              </w:rPr>
              <w:t>768；操作系统：安卓系统 驱动马达:交流马达；WIN8界面设计带wifi链接上网功能、浏览器可播放网络电视、电影、音乐、新闻节目等。</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 xml:space="preserve">★2.速度范围：≥0.8-20Km/；坡度范围：≥-3%-15% </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3.跑带厚度：≥2.2mm</w:t>
            </w:r>
            <w:r>
              <w:rPr>
                <w:rFonts w:hint="eastAsia" w:cs="宋体"/>
                <w:color w:val="000000"/>
                <w:kern w:val="0"/>
                <w:sz w:val="21"/>
                <w:szCs w:val="21"/>
                <w:highlight w:val="none"/>
                <w:lang w:eastAsia="zh-CN" w:bidi="ar"/>
              </w:rPr>
              <w:t>；</w:t>
            </w:r>
            <w:r>
              <w:rPr>
                <w:rFonts w:hint="eastAsia" w:ascii="宋体" w:hAnsi="宋体" w:eastAsia="宋体" w:cs="宋体"/>
                <w:color w:val="000000"/>
                <w:kern w:val="0"/>
                <w:sz w:val="21"/>
                <w:szCs w:val="21"/>
                <w:highlight w:val="none"/>
                <w:lang w:bidi="ar"/>
              </w:rPr>
              <w:t xml:space="preserve"> 板厚度：≥25mm  </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★4.跑步表面尺寸（长</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color w:val="000000"/>
                <w:kern w:val="0"/>
                <w:sz w:val="21"/>
                <w:szCs w:val="21"/>
                <w:highlight w:val="none"/>
                <w:lang w:bidi="ar"/>
              </w:rPr>
              <w:t>宽）≥1565×570mm</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5.产品尺寸（长</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color w:val="000000"/>
                <w:kern w:val="0"/>
                <w:sz w:val="21"/>
                <w:szCs w:val="21"/>
                <w:highlight w:val="none"/>
                <w:lang w:bidi="ar"/>
              </w:rPr>
              <w:t>宽</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color w:val="000000"/>
                <w:kern w:val="0"/>
                <w:sz w:val="21"/>
                <w:szCs w:val="21"/>
                <w:highlight w:val="none"/>
                <w:lang w:bidi="ar"/>
              </w:rPr>
              <w:t>高）≥2175×950×1600mm</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★6．主立管规格：≥200×70×2.5mm</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val="en-US" w:eastAsia="zh-CN" w:bidi="ar"/>
              </w:rPr>
              <w:t>7.</w:t>
            </w:r>
            <w:r>
              <w:rPr>
                <w:rFonts w:hint="eastAsia" w:ascii="宋体" w:hAnsi="宋体" w:eastAsia="宋体" w:cs="宋体"/>
                <w:color w:val="000000"/>
                <w:kern w:val="0"/>
                <w:sz w:val="21"/>
                <w:szCs w:val="21"/>
                <w:highlight w:val="none"/>
                <w:lang w:bidi="ar"/>
              </w:rPr>
              <w:t>跑步机带运动大数据上传功能，当天运动数据总结页面、运动结束后跑步机会显示运动相关数据（跑步里程、时长、平均速度、消耗卡路里等），即时推送发微信运动告知个人，并管理个人数据库。</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val="en-US" w:eastAsia="zh-CN" w:bidi="ar"/>
              </w:rPr>
              <w:t>8.</w:t>
            </w:r>
            <w:r>
              <w:rPr>
                <w:rFonts w:hint="eastAsia" w:ascii="宋体" w:hAnsi="宋体" w:eastAsia="宋体" w:cs="宋体"/>
                <w:color w:val="000000"/>
                <w:kern w:val="0"/>
                <w:sz w:val="21"/>
                <w:szCs w:val="21"/>
                <w:highlight w:val="none"/>
                <w:lang w:bidi="ar"/>
              </w:rPr>
              <w:t>跑步机可通过机身二维码登陆智能健身软件，输入个人身高、体重、出生年月，系统会自动生成目标体重、有氧目标、训练目标等信息全程指导个人进行正确锻炼。</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val="en-US" w:eastAsia="zh-CN" w:bidi="ar"/>
              </w:rPr>
              <w:t>9.</w:t>
            </w:r>
            <w:r>
              <w:rPr>
                <w:rFonts w:hint="eastAsia" w:ascii="宋体" w:hAnsi="宋体" w:eastAsia="宋体" w:cs="宋体"/>
                <w:color w:val="000000"/>
                <w:kern w:val="0"/>
                <w:sz w:val="21"/>
                <w:szCs w:val="21"/>
                <w:highlight w:val="none"/>
                <w:lang w:bidi="ar"/>
              </w:rPr>
              <w:t>跑步机扫码登陆可在线观看科学健身培训视频，定期更新系统培训视频，用户可免费共享所有视频培训内容。</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val="en-US" w:eastAsia="zh-CN" w:bidi="ar"/>
              </w:rPr>
              <w:t>10.</w:t>
            </w:r>
            <w:r>
              <w:rPr>
                <w:rFonts w:hint="eastAsia" w:ascii="宋体" w:hAnsi="宋体" w:eastAsia="宋体" w:cs="宋体"/>
                <w:color w:val="000000"/>
                <w:kern w:val="0"/>
                <w:sz w:val="21"/>
                <w:szCs w:val="21"/>
                <w:highlight w:val="none"/>
                <w:lang w:bidi="ar"/>
              </w:rPr>
              <w:t>支持安卓及苹果IOS系统用户可通过跑步机二维邀请码邀请好友自行组建训练群组，可显示群组内成员每天、每周、每月运动数据排名,带用户管理系统可注册登录用户进行运动数据的记录；</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val="en-US" w:eastAsia="zh-CN" w:bidi="ar"/>
              </w:rPr>
              <w:t>11.</w:t>
            </w:r>
            <w:r>
              <w:rPr>
                <w:rFonts w:hint="eastAsia" w:ascii="宋体" w:hAnsi="宋体" w:eastAsia="宋体" w:cs="宋体"/>
                <w:color w:val="000000"/>
                <w:kern w:val="0"/>
                <w:sz w:val="21"/>
                <w:szCs w:val="21"/>
                <w:highlight w:val="none"/>
                <w:lang w:bidi="ar"/>
              </w:rPr>
              <w:t>场景跑步、地图跑步、多国语言一键切换功能，内置高清触摸屏虚拟场景跑步模式，户外真实场景不少于2组（跑台可根据场景变化产生坡度速度变化）。</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★产品</w:t>
            </w:r>
            <w:r>
              <w:rPr>
                <w:rFonts w:hint="eastAsia" w:cs="宋体"/>
                <w:color w:val="000000"/>
                <w:kern w:val="0"/>
                <w:sz w:val="21"/>
                <w:szCs w:val="21"/>
                <w:highlight w:val="none"/>
                <w:lang w:eastAsia="zh-CN" w:bidi="ar"/>
              </w:rPr>
              <w:t>符合</w:t>
            </w:r>
            <w:r>
              <w:rPr>
                <w:rFonts w:hint="eastAsia" w:ascii="宋体" w:hAnsi="宋体" w:eastAsia="宋体" w:cs="宋体"/>
                <w:color w:val="000000"/>
                <w:kern w:val="0"/>
                <w:sz w:val="21"/>
                <w:szCs w:val="21"/>
                <w:highlight w:val="none"/>
                <w:lang w:bidi="ar"/>
              </w:rPr>
              <w:t>GB17498.1-2008国家标准</w:t>
            </w:r>
            <w:r>
              <w:rPr>
                <w:rFonts w:hint="eastAsia" w:cs="宋体"/>
                <w:color w:val="000000"/>
                <w:kern w:val="0"/>
                <w:sz w:val="21"/>
                <w:szCs w:val="21"/>
                <w:highlight w:val="none"/>
                <w:lang w:eastAsia="zh-CN" w:bidi="ar"/>
              </w:rPr>
              <w:t>，</w:t>
            </w:r>
            <w:r>
              <w:rPr>
                <w:rFonts w:hint="eastAsia" w:ascii="宋体" w:hAnsi="宋体" w:eastAsia="宋体" w:cs="宋体"/>
                <w:b w:val="0"/>
                <w:bCs/>
                <w:color w:val="auto"/>
                <w:sz w:val="21"/>
                <w:szCs w:val="21"/>
                <w:highlight w:val="none"/>
                <w:lang w:eastAsia="zh-CN"/>
              </w:rPr>
              <w:t>须</w:t>
            </w:r>
            <w:r>
              <w:rPr>
                <w:rFonts w:hint="eastAsia" w:ascii="宋体" w:hAnsi="宋体" w:eastAsia="宋体" w:cs="宋体"/>
                <w:b w:val="0"/>
                <w:bCs/>
                <w:color w:val="auto"/>
                <w:sz w:val="21"/>
                <w:szCs w:val="21"/>
                <w:highlight w:val="none"/>
              </w:rPr>
              <w:t>承诺中标后提供由</w:t>
            </w:r>
            <w:r>
              <w:rPr>
                <w:rFonts w:hint="eastAsia" w:ascii="宋体" w:hAnsi="宋体" w:eastAsia="宋体" w:cs="宋体"/>
                <w:kern w:val="0"/>
                <w:sz w:val="21"/>
                <w:szCs w:val="21"/>
                <w:highlight w:val="none"/>
              </w:rPr>
              <w:t>国家体育用品质量监督检验中心</w:t>
            </w:r>
            <w:r>
              <w:rPr>
                <w:rFonts w:hint="eastAsia" w:cs="宋体"/>
                <w:kern w:val="0"/>
                <w:sz w:val="21"/>
                <w:szCs w:val="21"/>
                <w:highlight w:val="none"/>
                <w:lang w:eastAsia="zh-CN"/>
              </w:rPr>
              <w:t>出具的检测报告</w:t>
            </w:r>
            <w:r>
              <w:rPr>
                <w:rFonts w:hint="eastAsia" w:ascii="宋体" w:hAnsi="宋体" w:eastAsia="宋体" w:cs="宋体"/>
                <w:color w:val="000000"/>
                <w:kern w:val="0"/>
                <w:sz w:val="21"/>
                <w:szCs w:val="21"/>
                <w:highlight w:val="none"/>
                <w:lang w:bidi="ar"/>
              </w:rPr>
              <w:t>。</w:t>
            </w:r>
          </w:p>
        </w:tc>
      </w:tr>
      <w:tr w14:paraId="1DD4ED0C">
        <w:tblPrEx>
          <w:tblCellMar>
            <w:top w:w="0" w:type="dxa"/>
            <w:left w:w="108" w:type="dxa"/>
            <w:bottom w:w="0" w:type="dxa"/>
            <w:right w:w="108" w:type="dxa"/>
          </w:tblCellMar>
        </w:tblPrEx>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37664E">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47</w:t>
            </w:r>
          </w:p>
        </w:tc>
        <w:tc>
          <w:tcPr>
            <w:tcW w:w="1641" w:type="dxa"/>
            <w:tcBorders>
              <w:top w:val="single" w:color="auto" w:sz="4" w:space="0"/>
              <w:left w:val="single" w:color="auto" w:sz="4" w:space="0"/>
              <w:bottom w:val="single" w:color="auto" w:sz="4" w:space="0"/>
              <w:right w:val="single" w:color="auto" w:sz="4" w:space="0"/>
            </w:tcBorders>
            <w:shd w:val="clear" w:color="auto" w:fill="auto"/>
            <w:vAlign w:val="center"/>
          </w:tcPr>
          <w:p w14:paraId="5F9B9ADC">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lang w:val="en-US" w:eastAsia="zh-CN"/>
              </w:rPr>
            </w:pPr>
            <w:r>
              <w:rPr>
                <w:rFonts w:hint="eastAsia" w:ascii="宋体" w:hAnsi="宋体" w:eastAsia="宋体" w:cs="宋体"/>
                <w:b/>
                <w:bCs/>
                <w:i w:val="0"/>
                <w:iCs w:val="0"/>
                <w:color w:val="000000"/>
                <w:kern w:val="0"/>
                <w:sz w:val="21"/>
                <w:szCs w:val="21"/>
                <w:u w:val="none"/>
                <w:lang w:val="en-US" w:eastAsia="zh-CN" w:bidi="ar"/>
              </w:rPr>
              <w:t>无动力跑步机</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6DBB915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BBFC0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58EAED">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val="en-US" w:eastAsia="zh-CN" w:bidi="ar"/>
              </w:rPr>
              <w:t>1.</w:t>
            </w:r>
            <w:r>
              <w:rPr>
                <w:rFonts w:hint="eastAsia" w:ascii="宋体" w:hAnsi="宋体" w:eastAsia="宋体" w:cs="宋体"/>
                <w:color w:val="000000"/>
                <w:kern w:val="0"/>
                <w:sz w:val="21"/>
                <w:szCs w:val="21"/>
                <w:highlight w:val="none"/>
                <w:lang w:bidi="ar"/>
              </w:rPr>
              <w:t xml:space="preserve">运动模式：1-8挡位，6种运动模式    </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val="en-US" w:eastAsia="zh-CN" w:bidi="ar"/>
              </w:rPr>
              <w:t>2.</w:t>
            </w:r>
            <w:r>
              <w:rPr>
                <w:rFonts w:hint="eastAsia" w:ascii="宋体" w:hAnsi="宋体" w:eastAsia="宋体" w:cs="宋体"/>
                <w:color w:val="000000"/>
                <w:kern w:val="0"/>
                <w:sz w:val="21"/>
                <w:szCs w:val="21"/>
                <w:highlight w:val="none"/>
                <w:lang w:bidi="ar"/>
              </w:rPr>
              <w:t>整机尺寸：≥2300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color w:val="000000"/>
                <w:kern w:val="0"/>
                <w:sz w:val="21"/>
                <w:szCs w:val="21"/>
                <w:highlight w:val="none"/>
                <w:lang w:bidi="ar"/>
              </w:rPr>
              <w:t>960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color w:val="000000"/>
                <w:kern w:val="0"/>
                <w:sz w:val="21"/>
                <w:szCs w:val="21"/>
                <w:highlight w:val="none"/>
                <w:lang w:bidi="ar"/>
              </w:rPr>
              <w:t xml:space="preserve">1500mm </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w:t>
            </w:r>
            <w:r>
              <w:rPr>
                <w:rFonts w:hint="eastAsia" w:ascii="宋体" w:hAnsi="宋体" w:eastAsia="宋体" w:cs="宋体"/>
                <w:color w:val="000000"/>
                <w:kern w:val="0"/>
                <w:sz w:val="21"/>
                <w:szCs w:val="21"/>
                <w:highlight w:val="none"/>
                <w:lang w:val="en-US" w:eastAsia="zh-CN" w:bidi="ar"/>
              </w:rPr>
              <w:t>3.</w:t>
            </w:r>
            <w:r>
              <w:rPr>
                <w:rFonts w:hint="eastAsia" w:ascii="宋体" w:hAnsi="宋体" w:eastAsia="宋体" w:cs="宋体"/>
                <w:color w:val="000000"/>
                <w:kern w:val="0"/>
                <w:sz w:val="21"/>
                <w:szCs w:val="21"/>
                <w:highlight w:val="none"/>
                <w:lang w:bidi="ar"/>
              </w:rPr>
              <w:t>跑带：≥1500×480mm；橡胶材质+铝合金支架，减重效果好，寿命长；“X”型专有阻尼设计，增强产品防滑效果，提升高强度阻尼训练效果；</w:t>
            </w:r>
          </w:p>
          <w:p w14:paraId="6183B899">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val="en-US" w:eastAsia="zh-CN" w:bidi="ar"/>
              </w:rPr>
              <w:t>4.</w:t>
            </w:r>
            <w:r>
              <w:rPr>
                <w:rFonts w:hint="eastAsia" w:ascii="宋体" w:hAnsi="宋体" w:eastAsia="宋体" w:cs="宋体"/>
                <w:color w:val="000000"/>
                <w:kern w:val="0"/>
                <w:sz w:val="21"/>
                <w:szCs w:val="21"/>
                <w:highlight w:val="none"/>
                <w:lang w:bidi="ar"/>
              </w:rPr>
              <w:t>主立管规格：≥115×39×2.0mm</w:t>
            </w:r>
          </w:p>
          <w:p w14:paraId="66CDACF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lang w:bidi="ar"/>
              </w:rPr>
              <w:t>★</w:t>
            </w:r>
            <w:r>
              <w:rPr>
                <w:rFonts w:hint="eastAsia" w:ascii="宋体" w:hAnsi="宋体" w:eastAsia="宋体" w:cs="宋体"/>
                <w:color w:val="000000"/>
                <w:kern w:val="0"/>
                <w:sz w:val="21"/>
                <w:szCs w:val="21"/>
                <w:highlight w:val="none"/>
                <w:lang w:val="en-US" w:eastAsia="zh-CN" w:bidi="ar"/>
              </w:rPr>
              <w:t>5.</w:t>
            </w:r>
            <w:r>
              <w:rPr>
                <w:rFonts w:hint="eastAsia" w:ascii="宋体" w:hAnsi="宋体" w:eastAsia="宋体" w:cs="宋体"/>
                <w:color w:val="000000"/>
                <w:kern w:val="0"/>
                <w:sz w:val="21"/>
                <w:szCs w:val="21"/>
                <w:highlight w:val="none"/>
                <w:lang w:bidi="ar"/>
              </w:rPr>
              <w:t>底盘边管规格：≥1500×300×3.0mm</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w:t>
            </w:r>
            <w:r>
              <w:rPr>
                <w:rFonts w:hint="eastAsia" w:ascii="宋体" w:hAnsi="宋体" w:eastAsia="宋体" w:cs="宋体"/>
                <w:color w:val="000000"/>
                <w:kern w:val="0"/>
                <w:sz w:val="21"/>
                <w:szCs w:val="21"/>
                <w:highlight w:val="none"/>
                <w:lang w:val="en-US" w:eastAsia="zh-CN" w:bidi="ar"/>
              </w:rPr>
              <w:t>6.</w:t>
            </w:r>
            <w:r>
              <w:rPr>
                <w:rFonts w:hint="eastAsia" w:ascii="宋体" w:hAnsi="宋体" w:eastAsia="宋体" w:cs="宋体"/>
                <w:color w:val="000000"/>
                <w:kern w:val="0"/>
                <w:sz w:val="21"/>
                <w:szCs w:val="21"/>
                <w:highlight w:val="none"/>
                <w:lang w:bidi="ar"/>
              </w:rPr>
              <w:t>具备运动指示灯、阻力带接头、显示仪表、手机架；</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★产品</w:t>
            </w:r>
            <w:r>
              <w:rPr>
                <w:rFonts w:hint="eastAsia" w:cs="宋体"/>
                <w:color w:val="000000"/>
                <w:kern w:val="0"/>
                <w:sz w:val="21"/>
                <w:szCs w:val="21"/>
                <w:highlight w:val="none"/>
                <w:lang w:eastAsia="zh-CN" w:bidi="ar"/>
              </w:rPr>
              <w:t>符合</w:t>
            </w:r>
            <w:r>
              <w:rPr>
                <w:rFonts w:hint="eastAsia" w:ascii="宋体" w:hAnsi="宋体" w:eastAsia="宋体" w:cs="宋体"/>
                <w:color w:val="000000"/>
                <w:kern w:val="0"/>
                <w:sz w:val="21"/>
                <w:szCs w:val="21"/>
                <w:highlight w:val="none"/>
                <w:lang w:bidi="ar"/>
              </w:rPr>
              <w:t>GB17498.1-2008国家标准</w:t>
            </w:r>
            <w:r>
              <w:rPr>
                <w:rFonts w:hint="eastAsia" w:cs="宋体"/>
                <w:color w:val="000000"/>
                <w:kern w:val="0"/>
                <w:sz w:val="21"/>
                <w:szCs w:val="21"/>
                <w:highlight w:val="none"/>
                <w:lang w:eastAsia="zh-CN" w:bidi="ar"/>
              </w:rPr>
              <w:t>，</w:t>
            </w:r>
            <w:r>
              <w:rPr>
                <w:rFonts w:hint="eastAsia" w:ascii="宋体" w:hAnsi="宋体" w:eastAsia="宋体" w:cs="宋体"/>
                <w:b w:val="0"/>
                <w:bCs/>
                <w:color w:val="auto"/>
                <w:sz w:val="21"/>
                <w:szCs w:val="21"/>
                <w:highlight w:val="none"/>
                <w:lang w:eastAsia="zh-CN"/>
              </w:rPr>
              <w:t>须</w:t>
            </w:r>
            <w:r>
              <w:rPr>
                <w:rFonts w:hint="eastAsia" w:ascii="宋体" w:hAnsi="宋体" w:eastAsia="宋体" w:cs="宋体"/>
                <w:b w:val="0"/>
                <w:bCs/>
                <w:color w:val="auto"/>
                <w:sz w:val="21"/>
                <w:szCs w:val="21"/>
                <w:highlight w:val="none"/>
              </w:rPr>
              <w:t>承诺中标后提供由</w:t>
            </w:r>
            <w:r>
              <w:rPr>
                <w:rFonts w:hint="eastAsia" w:ascii="宋体" w:hAnsi="宋体" w:eastAsia="宋体" w:cs="宋体"/>
                <w:kern w:val="0"/>
                <w:sz w:val="21"/>
                <w:szCs w:val="21"/>
                <w:highlight w:val="none"/>
              </w:rPr>
              <w:t>国家体育用品质量监督检验中心</w:t>
            </w:r>
            <w:r>
              <w:rPr>
                <w:rFonts w:hint="eastAsia" w:cs="宋体"/>
                <w:kern w:val="0"/>
                <w:sz w:val="21"/>
                <w:szCs w:val="21"/>
                <w:highlight w:val="none"/>
                <w:lang w:eastAsia="zh-CN"/>
              </w:rPr>
              <w:t>出具的检测报告</w:t>
            </w:r>
            <w:r>
              <w:rPr>
                <w:rFonts w:hint="eastAsia" w:ascii="宋体" w:hAnsi="宋体" w:eastAsia="宋体" w:cs="宋体"/>
                <w:color w:val="000000"/>
                <w:kern w:val="0"/>
                <w:sz w:val="21"/>
                <w:szCs w:val="21"/>
                <w:highlight w:val="none"/>
                <w:lang w:bidi="ar"/>
              </w:rPr>
              <w:t>。</w:t>
            </w:r>
          </w:p>
        </w:tc>
      </w:tr>
      <w:tr w14:paraId="797407D0">
        <w:tblPrEx>
          <w:tblCellMar>
            <w:top w:w="0" w:type="dxa"/>
            <w:left w:w="108" w:type="dxa"/>
            <w:bottom w:w="0" w:type="dxa"/>
            <w:right w:w="108" w:type="dxa"/>
          </w:tblCellMar>
        </w:tblPrEx>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E04849">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48</w:t>
            </w:r>
          </w:p>
        </w:tc>
        <w:tc>
          <w:tcPr>
            <w:tcW w:w="1641" w:type="dxa"/>
            <w:tcBorders>
              <w:top w:val="single" w:color="auto" w:sz="4" w:space="0"/>
              <w:left w:val="single" w:color="auto" w:sz="4" w:space="0"/>
              <w:bottom w:val="single" w:color="auto" w:sz="4" w:space="0"/>
              <w:right w:val="single" w:color="auto" w:sz="4" w:space="0"/>
            </w:tcBorders>
            <w:shd w:val="clear" w:color="auto" w:fill="auto"/>
            <w:vAlign w:val="center"/>
          </w:tcPr>
          <w:p w14:paraId="150165FE">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高端商用</w:t>
            </w:r>
          </w:p>
          <w:p w14:paraId="7251C541">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lang w:val="en-US" w:eastAsia="zh-CN"/>
              </w:rPr>
            </w:pPr>
            <w:r>
              <w:rPr>
                <w:rFonts w:hint="eastAsia" w:ascii="宋体" w:hAnsi="宋体" w:eastAsia="宋体" w:cs="宋体"/>
                <w:b/>
                <w:bCs/>
                <w:i w:val="0"/>
                <w:iCs w:val="0"/>
                <w:color w:val="000000"/>
                <w:kern w:val="0"/>
                <w:sz w:val="21"/>
                <w:szCs w:val="21"/>
                <w:u w:val="none"/>
                <w:lang w:val="en-US" w:eastAsia="zh-CN" w:bidi="ar"/>
              </w:rPr>
              <w:t>划船器</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340C489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47432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CEDAF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lang w:bidi="ar"/>
              </w:rPr>
              <w:t>1.仪表不小于7"LCD(背光)；阻力系统：风阻+电磁控；</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2.4种自定义训练模式；12组固定程序；</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★3.无线心率，蓝牙 有；把立管规格：≥125×75×2.0mm</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4.阻力等级：不少于16段阻力调整；</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5.显示屏：LED智能视窗；速度快捷、加速键：体验不同的跑步速度轻松实现；</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6.产品尺寸：≥2400×545×820mm（长×宽×高）</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 xml:space="preserve">7.最大人体重量：≥150KG </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8.功率：大于等于330W</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★产品</w:t>
            </w:r>
            <w:r>
              <w:rPr>
                <w:rFonts w:hint="eastAsia" w:cs="宋体"/>
                <w:color w:val="000000"/>
                <w:kern w:val="0"/>
                <w:sz w:val="21"/>
                <w:szCs w:val="21"/>
                <w:highlight w:val="none"/>
                <w:lang w:eastAsia="zh-CN" w:bidi="ar"/>
              </w:rPr>
              <w:t>符合</w:t>
            </w:r>
            <w:r>
              <w:rPr>
                <w:rFonts w:hint="eastAsia" w:ascii="宋体" w:hAnsi="宋体" w:eastAsia="宋体" w:cs="宋体"/>
                <w:color w:val="000000"/>
                <w:kern w:val="0"/>
                <w:sz w:val="21"/>
                <w:szCs w:val="21"/>
                <w:highlight w:val="none"/>
                <w:lang w:bidi="ar"/>
              </w:rPr>
              <w:t>GB17498.1-2008国家标准</w:t>
            </w:r>
            <w:r>
              <w:rPr>
                <w:rFonts w:hint="eastAsia" w:cs="宋体"/>
                <w:color w:val="000000"/>
                <w:kern w:val="0"/>
                <w:sz w:val="21"/>
                <w:szCs w:val="21"/>
                <w:highlight w:val="none"/>
                <w:lang w:eastAsia="zh-CN" w:bidi="ar"/>
              </w:rPr>
              <w:t>，</w:t>
            </w:r>
            <w:r>
              <w:rPr>
                <w:rFonts w:hint="eastAsia" w:ascii="宋体" w:hAnsi="宋体" w:eastAsia="宋体" w:cs="宋体"/>
                <w:b w:val="0"/>
                <w:bCs/>
                <w:color w:val="auto"/>
                <w:sz w:val="21"/>
                <w:szCs w:val="21"/>
                <w:highlight w:val="none"/>
                <w:lang w:eastAsia="zh-CN"/>
              </w:rPr>
              <w:t>须</w:t>
            </w:r>
            <w:r>
              <w:rPr>
                <w:rFonts w:hint="eastAsia" w:ascii="宋体" w:hAnsi="宋体" w:eastAsia="宋体" w:cs="宋体"/>
                <w:b w:val="0"/>
                <w:bCs/>
                <w:color w:val="auto"/>
                <w:sz w:val="21"/>
                <w:szCs w:val="21"/>
                <w:highlight w:val="none"/>
              </w:rPr>
              <w:t>承诺中标后提供由</w:t>
            </w:r>
            <w:r>
              <w:rPr>
                <w:rFonts w:hint="eastAsia" w:ascii="宋体" w:hAnsi="宋体" w:eastAsia="宋体" w:cs="宋体"/>
                <w:kern w:val="0"/>
                <w:sz w:val="21"/>
                <w:szCs w:val="21"/>
                <w:highlight w:val="none"/>
              </w:rPr>
              <w:t>国家体育用品质量监督检验中心</w:t>
            </w:r>
            <w:r>
              <w:rPr>
                <w:rFonts w:hint="eastAsia" w:cs="宋体"/>
                <w:kern w:val="0"/>
                <w:sz w:val="21"/>
                <w:szCs w:val="21"/>
                <w:highlight w:val="none"/>
                <w:lang w:eastAsia="zh-CN"/>
              </w:rPr>
              <w:t>出具的检测报告</w:t>
            </w:r>
            <w:r>
              <w:rPr>
                <w:rFonts w:hint="eastAsia" w:ascii="宋体" w:hAnsi="宋体" w:eastAsia="宋体" w:cs="宋体"/>
                <w:color w:val="000000"/>
                <w:kern w:val="0"/>
                <w:sz w:val="21"/>
                <w:szCs w:val="21"/>
                <w:highlight w:val="none"/>
                <w:lang w:bidi="ar"/>
              </w:rPr>
              <w:t>。</w:t>
            </w:r>
          </w:p>
        </w:tc>
      </w:tr>
      <w:tr w14:paraId="36C2D450">
        <w:tblPrEx>
          <w:tblCellMar>
            <w:top w:w="0" w:type="dxa"/>
            <w:left w:w="108" w:type="dxa"/>
            <w:bottom w:w="0" w:type="dxa"/>
            <w:right w:w="108" w:type="dxa"/>
          </w:tblCellMar>
        </w:tblPrEx>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65B25D">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49</w:t>
            </w:r>
          </w:p>
        </w:tc>
        <w:tc>
          <w:tcPr>
            <w:tcW w:w="1641" w:type="dxa"/>
            <w:tcBorders>
              <w:top w:val="single" w:color="auto" w:sz="4" w:space="0"/>
              <w:left w:val="single" w:color="auto" w:sz="4" w:space="0"/>
              <w:bottom w:val="single" w:color="auto" w:sz="4" w:space="0"/>
              <w:right w:val="single" w:color="auto" w:sz="4" w:space="0"/>
            </w:tcBorders>
            <w:shd w:val="clear" w:color="auto" w:fill="auto"/>
            <w:vAlign w:val="center"/>
          </w:tcPr>
          <w:p w14:paraId="1CC322C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标准式框架</w:t>
            </w:r>
          </w:p>
          <w:p w14:paraId="6003650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训练器</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220146CD">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D717C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58414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lang w:bidi="ar"/>
              </w:rPr>
              <w:t>1.产品尺寸：≥1650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color w:val="000000"/>
                <w:kern w:val="0"/>
                <w:sz w:val="21"/>
                <w:szCs w:val="21"/>
                <w:highlight w:val="none"/>
                <w:lang w:bidi="ar"/>
              </w:rPr>
              <w:t>2000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color w:val="000000"/>
                <w:kern w:val="0"/>
                <w:sz w:val="21"/>
                <w:szCs w:val="21"/>
                <w:highlight w:val="none"/>
                <w:lang w:bidi="ar"/>
              </w:rPr>
              <w:t>2450mm（长x宽x高）</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★2.主立管规格：≥125</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color w:val="000000"/>
                <w:kern w:val="0"/>
                <w:sz w:val="21"/>
                <w:szCs w:val="21"/>
                <w:highlight w:val="none"/>
                <w:lang w:bidi="ar"/>
              </w:rPr>
              <w:t>70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color w:val="000000"/>
                <w:kern w:val="0"/>
                <w:sz w:val="21"/>
                <w:szCs w:val="21"/>
                <w:highlight w:val="none"/>
                <w:lang w:bidi="ar"/>
              </w:rPr>
              <w:t>3.5mm</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★3.最大训练载荷：≥500kg</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4.整机颜色：黑色银砂纹；最大人体重量：≥220kg</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★产品</w:t>
            </w:r>
            <w:r>
              <w:rPr>
                <w:rFonts w:hint="eastAsia" w:cs="宋体"/>
                <w:color w:val="000000"/>
                <w:kern w:val="0"/>
                <w:sz w:val="21"/>
                <w:szCs w:val="21"/>
                <w:highlight w:val="none"/>
                <w:lang w:eastAsia="zh-CN" w:bidi="ar"/>
              </w:rPr>
              <w:t>符合</w:t>
            </w:r>
            <w:r>
              <w:rPr>
                <w:rFonts w:hint="eastAsia" w:ascii="宋体" w:hAnsi="宋体" w:eastAsia="宋体" w:cs="宋体"/>
                <w:color w:val="000000"/>
                <w:kern w:val="0"/>
                <w:sz w:val="21"/>
                <w:szCs w:val="21"/>
                <w:highlight w:val="none"/>
                <w:lang w:bidi="ar"/>
              </w:rPr>
              <w:t>GB17498.1-2008国家标准</w:t>
            </w:r>
            <w:r>
              <w:rPr>
                <w:rFonts w:hint="eastAsia" w:cs="宋体"/>
                <w:color w:val="000000"/>
                <w:kern w:val="0"/>
                <w:sz w:val="21"/>
                <w:szCs w:val="21"/>
                <w:highlight w:val="none"/>
                <w:lang w:eastAsia="zh-CN" w:bidi="ar"/>
              </w:rPr>
              <w:t>，</w:t>
            </w:r>
            <w:r>
              <w:rPr>
                <w:rFonts w:hint="eastAsia" w:ascii="宋体" w:hAnsi="宋体" w:eastAsia="宋体" w:cs="宋体"/>
                <w:b w:val="0"/>
                <w:bCs/>
                <w:color w:val="auto"/>
                <w:sz w:val="21"/>
                <w:szCs w:val="21"/>
                <w:highlight w:val="none"/>
                <w:lang w:eastAsia="zh-CN"/>
              </w:rPr>
              <w:t>须</w:t>
            </w:r>
            <w:r>
              <w:rPr>
                <w:rFonts w:hint="eastAsia" w:ascii="宋体" w:hAnsi="宋体" w:eastAsia="宋体" w:cs="宋体"/>
                <w:b w:val="0"/>
                <w:bCs/>
                <w:color w:val="auto"/>
                <w:sz w:val="21"/>
                <w:szCs w:val="21"/>
                <w:highlight w:val="none"/>
              </w:rPr>
              <w:t>承诺中标后提供由</w:t>
            </w:r>
            <w:r>
              <w:rPr>
                <w:rFonts w:hint="eastAsia" w:ascii="宋体" w:hAnsi="宋体" w:eastAsia="宋体" w:cs="宋体"/>
                <w:kern w:val="0"/>
                <w:sz w:val="21"/>
                <w:szCs w:val="21"/>
                <w:highlight w:val="none"/>
              </w:rPr>
              <w:t>国家体育用品质量监督检验中心</w:t>
            </w:r>
            <w:r>
              <w:rPr>
                <w:rFonts w:hint="eastAsia" w:cs="宋体"/>
                <w:kern w:val="0"/>
                <w:sz w:val="21"/>
                <w:szCs w:val="21"/>
                <w:highlight w:val="none"/>
                <w:lang w:eastAsia="zh-CN"/>
              </w:rPr>
              <w:t>出具的检测报告</w:t>
            </w:r>
            <w:r>
              <w:rPr>
                <w:rFonts w:hint="eastAsia" w:ascii="宋体" w:hAnsi="宋体" w:eastAsia="宋体" w:cs="宋体"/>
                <w:color w:val="000000"/>
                <w:kern w:val="0"/>
                <w:sz w:val="21"/>
                <w:szCs w:val="21"/>
                <w:highlight w:val="none"/>
                <w:lang w:bidi="ar"/>
              </w:rPr>
              <w:t>。</w:t>
            </w:r>
          </w:p>
        </w:tc>
      </w:tr>
      <w:tr w14:paraId="7605960D">
        <w:tblPrEx>
          <w:tblCellMar>
            <w:top w:w="0" w:type="dxa"/>
            <w:left w:w="108" w:type="dxa"/>
            <w:bottom w:w="0" w:type="dxa"/>
            <w:right w:w="108" w:type="dxa"/>
          </w:tblCellMar>
        </w:tblPrEx>
        <w:trPr>
          <w:trHeight w:val="128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9F8AF9">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50</w:t>
            </w:r>
          </w:p>
        </w:tc>
        <w:tc>
          <w:tcPr>
            <w:tcW w:w="1641" w:type="dxa"/>
            <w:tcBorders>
              <w:top w:val="single" w:color="auto" w:sz="4" w:space="0"/>
              <w:left w:val="single" w:color="auto" w:sz="4" w:space="0"/>
              <w:bottom w:val="single" w:color="auto" w:sz="4" w:space="0"/>
              <w:right w:val="single" w:color="auto" w:sz="4" w:space="0"/>
            </w:tcBorders>
            <w:shd w:val="clear" w:color="auto" w:fill="auto"/>
            <w:vAlign w:val="center"/>
          </w:tcPr>
          <w:p w14:paraId="732DDF2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2.2米竞技男杆</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16F22B7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根</w:t>
            </w:r>
          </w:p>
        </w:tc>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18945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56FCA5">
            <w:pPr>
              <w:keepNext w:val="0"/>
              <w:keepLines w:val="0"/>
              <w:pageBreakBefore w:val="0"/>
              <w:widowControl/>
              <w:numPr>
                <w:ilvl w:val="0"/>
                <w:numId w:val="5"/>
              </w:numPr>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颜色：镀硬铬本色；材质：合金钢材质，镀硬铬</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2.尺寸：2.2米长，杆子直径28mm</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3.规格：20公斤重，承重2000磅</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4.特点：专业比赛用杠铃杆，8个滚针轴承，杆子振动时的响声小，不易生锈。竞技训练杆</w:t>
            </w:r>
          </w:p>
          <w:p w14:paraId="48A6592F">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auto"/>
              <w:rPr>
                <w:rFonts w:hint="eastAsia" w:eastAsia="宋体"/>
                <w:lang w:val="en-US" w:eastAsia="zh-CN"/>
              </w:rPr>
            </w:pPr>
            <w:r>
              <w:rPr>
                <w:rFonts w:hint="eastAsia" w:ascii="宋体" w:hAnsi="宋体" w:eastAsia="宋体" w:cs="宋体"/>
                <w:color w:val="000000"/>
                <w:kern w:val="0"/>
                <w:sz w:val="21"/>
                <w:szCs w:val="21"/>
                <w:highlight w:val="none"/>
                <w:lang w:bidi="ar"/>
              </w:rPr>
              <w:t>★</w:t>
            </w:r>
            <w:r>
              <w:rPr>
                <w:rFonts w:hint="eastAsia" w:ascii="宋体" w:hAnsi="宋体" w:eastAsia="宋体" w:cs="宋体"/>
                <w:b w:val="0"/>
                <w:bCs/>
                <w:color w:val="auto"/>
                <w:sz w:val="21"/>
                <w:szCs w:val="21"/>
                <w:highlight w:val="none"/>
                <w:lang w:eastAsia="zh-CN"/>
              </w:rPr>
              <w:t>须</w:t>
            </w:r>
            <w:r>
              <w:rPr>
                <w:rFonts w:hint="eastAsia" w:ascii="宋体" w:hAnsi="宋体" w:eastAsia="宋体" w:cs="宋体"/>
                <w:b w:val="0"/>
                <w:bCs/>
                <w:color w:val="auto"/>
                <w:sz w:val="21"/>
                <w:szCs w:val="21"/>
                <w:highlight w:val="none"/>
              </w:rPr>
              <w:t>承诺中标后提供由</w:t>
            </w:r>
            <w:r>
              <w:rPr>
                <w:rFonts w:hint="eastAsia" w:ascii="宋体" w:hAnsi="宋体" w:eastAsia="宋体" w:cs="宋体"/>
                <w:b w:val="0"/>
                <w:bCs/>
                <w:color w:val="auto"/>
                <w:sz w:val="21"/>
                <w:szCs w:val="21"/>
                <w:highlight w:val="none"/>
                <w:lang w:eastAsia="zh-CN"/>
              </w:rPr>
              <w:t>第三方</w:t>
            </w:r>
            <w:r>
              <w:rPr>
                <w:rFonts w:hint="eastAsia" w:ascii="宋体" w:hAnsi="宋体" w:eastAsia="宋体" w:cs="宋体"/>
                <w:b w:val="0"/>
                <w:bCs/>
                <w:color w:val="auto"/>
                <w:sz w:val="21"/>
                <w:szCs w:val="21"/>
                <w:highlight w:val="none"/>
              </w:rPr>
              <w:t>检测机构出具的带有CMA或CNAS标识的检测报告</w:t>
            </w:r>
            <w:r>
              <w:rPr>
                <w:rFonts w:hint="eastAsia" w:ascii="宋体" w:hAnsi="宋体" w:eastAsia="宋体" w:cs="宋体"/>
                <w:b w:val="0"/>
                <w:bCs/>
                <w:color w:val="auto"/>
                <w:sz w:val="21"/>
                <w:szCs w:val="21"/>
                <w:highlight w:val="none"/>
                <w:lang w:eastAsia="zh-CN"/>
              </w:rPr>
              <w:t>。</w:t>
            </w:r>
          </w:p>
        </w:tc>
      </w:tr>
      <w:tr w14:paraId="4B1EC340">
        <w:tblPrEx>
          <w:tblCellMar>
            <w:top w:w="0" w:type="dxa"/>
            <w:left w:w="108" w:type="dxa"/>
            <w:bottom w:w="0" w:type="dxa"/>
            <w:right w:w="108" w:type="dxa"/>
          </w:tblCellMar>
        </w:tblPrEx>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D48600">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51</w:t>
            </w:r>
          </w:p>
        </w:tc>
        <w:tc>
          <w:tcPr>
            <w:tcW w:w="1641" w:type="dxa"/>
            <w:tcBorders>
              <w:top w:val="single" w:color="auto" w:sz="4" w:space="0"/>
              <w:left w:val="single" w:color="auto" w:sz="4" w:space="0"/>
              <w:bottom w:val="single" w:color="auto" w:sz="4" w:space="0"/>
              <w:right w:val="single" w:color="auto" w:sz="4" w:space="0"/>
            </w:tcBorders>
            <w:shd w:val="clear" w:color="auto" w:fill="auto"/>
            <w:vAlign w:val="center"/>
          </w:tcPr>
          <w:p w14:paraId="216EB79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奥林匹克</w:t>
            </w:r>
          </w:p>
          <w:p w14:paraId="29E2C73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杠铃片</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76FF83E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BF0B1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DA19D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5KG-25KG各2片，直径450mm，厚度51mm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材料：CPU（浇筑型聚氨酯弹性体）、镀硬铬轮毂圈、内部20#铸铁铁芯；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铸造工艺：整体一次性浇注成型，表面磨砂设计，耐磨抗摔，国际通用标准颜色。</w:t>
            </w:r>
          </w:p>
        </w:tc>
      </w:tr>
      <w:tr w14:paraId="73E3DB44">
        <w:tblPrEx>
          <w:tblCellMar>
            <w:top w:w="0" w:type="dxa"/>
            <w:left w:w="108" w:type="dxa"/>
            <w:bottom w:w="0" w:type="dxa"/>
            <w:right w:w="108" w:type="dxa"/>
          </w:tblCellMar>
        </w:tblPrEx>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1F5989">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52</w:t>
            </w:r>
          </w:p>
        </w:tc>
        <w:tc>
          <w:tcPr>
            <w:tcW w:w="1641" w:type="dxa"/>
            <w:tcBorders>
              <w:top w:val="single" w:color="auto" w:sz="4" w:space="0"/>
              <w:left w:val="single" w:color="auto" w:sz="4" w:space="0"/>
              <w:bottom w:val="single" w:color="auto" w:sz="4" w:space="0"/>
              <w:right w:val="single" w:color="auto" w:sz="4" w:space="0"/>
            </w:tcBorders>
            <w:shd w:val="clear" w:color="auto" w:fill="auto"/>
            <w:vAlign w:val="center"/>
          </w:tcPr>
          <w:p w14:paraId="466DDD9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可调式双滑轮多功能训练器</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6A83950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1530A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F30D4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lang w:bidi="ar"/>
              </w:rPr>
              <w:t>1.外形尺寸：≥1860mm×1000mm×2200mm（长×宽×高）</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 xml:space="preserve">2.锻炼部位：多肌群训练（胸、肩、背、腿） </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3.主立管规格：≥平椭120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color w:val="000000"/>
                <w:kern w:val="0"/>
                <w:sz w:val="21"/>
                <w:szCs w:val="21"/>
                <w:highlight w:val="none"/>
                <w:lang w:bidi="ar"/>
              </w:rPr>
              <w:t>50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color w:val="000000"/>
                <w:kern w:val="0"/>
                <w:sz w:val="21"/>
                <w:szCs w:val="21"/>
                <w:highlight w:val="none"/>
                <w:lang w:bidi="ar"/>
              </w:rPr>
              <w:t>3.0mm</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4.导杆：实心、镀铬；规格：∮19</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color w:val="000000"/>
                <w:kern w:val="0"/>
                <w:sz w:val="21"/>
                <w:szCs w:val="21"/>
                <w:highlight w:val="none"/>
                <w:lang w:bidi="ar"/>
              </w:rPr>
              <w:t xml:space="preserve">1250  </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 xml:space="preserve">5.滑轮：尼龙+玻璃纤维；规格：∮117  </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 xml:space="preserve">6.防护罩：龙门架两侧防护；材质：铁皮+亚克力板； </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7.最大训练载荷：≥350kg</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8.最大配重：2x单组100KG；最小配重：5KG；</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★产品</w:t>
            </w:r>
            <w:r>
              <w:rPr>
                <w:rFonts w:hint="eastAsia" w:cs="宋体"/>
                <w:color w:val="000000"/>
                <w:kern w:val="0"/>
                <w:sz w:val="21"/>
                <w:szCs w:val="21"/>
                <w:highlight w:val="none"/>
                <w:lang w:eastAsia="zh-CN" w:bidi="ar"/>
              </w:rPr>
              <w:t>符合</w:t>
            </w:r>
            <w:r>
              <w:rPr>
                <w:rFonts w:hint="eastAsia" w:ascii="宋体" w:hAnsi="宋体" w:eastAsia="宋体" w:cs="宋体"/>
                <w:color w:val="000000"/>
                <w:kern w:val="0"/>
                <w:sz w:val="21"/>
                <w:szCs w:val="21"/>
                <w:highlight w:val="none"/>
                <w:lang w:bidi="ar"/>
              </w:rPr>
              <w:t>GB17498.1-2008国家标准</w:t>
            </w:r>
            <w:r>
              <w:rPr>
                <w:rFonts w:hint="eastAsia" w:cs="宋体"/>
                <w:color w:val="000000"/>
                <w:kern w:val="0"/>
                <w:sz w:val="21"/>
                <w:szCs w:val="21"/>
                <w:highlight w:val="none"/>
                <w:lang w:eastAsia="zh-CN" w:bidi="ar"/>
              </w:rPr>
              <w:t>，</w:t>
            </w:r>
            <w:r>
              <w:rPr>
                <w:rFonts w:hint="eastAsia" w:ascii="宋体" w:hAnsi="宋体" w:eastAsia="宋体" w:cs="宋体"/>
                <w:b w:val="0"/>
                <w:bCs/>
                <w:color w:val="auto"/>
                <w:sz w:val="21"/>
                <w:szCs w:val="21"/>
                <w:highlight w:val="none"/>
                <w:lang w:eastAsia="zh-CN"/>
              </w:rPr>
              <w:t>须</w:t>
            </w:r>
            <w:r>
              <w:rPr>
                <w:rFonts w:hint="eastAsia" w:ascii="宋体" w:hAnsi="宋体" w:eastAsia="宋体" w:cs="宋体"/>
                <w:b w:val="0"/>
                <w:bCs/>
                <w:color w:val="auto"/>
                <w:sz w:val="21"/>
                <w:szCs w:val="21"/>
                <w:highlight w:val="none"/>
              </w:rPr>
              <w:t>承诺中标后提供由</w:t>
            </w:r>
            <w:r>
              <w:rPr>
                <w:rFonts w:hint="eastAsia" w:ascii="宋体" w:hAnsi="宋体" w:eastAsia="宋体" w:cs="宋体"/>
                <w:kern w:val="0"/>
                <w:sz w:val="21"/>
                <w:szCs w:val="21"/>
                <w:highlight w:val="none"/>
              </w:rPr>
              <w:t>国家体育用品质量监督检验中心</w:t>
            </w:r>
            <w:r>
              <w:rPr>
                <w:rFonts w:hint="eastAsia" w:cs="宋体"/>
                <w:kern w:val="0"/>
                <w:sz w:val="21"/>
                <w:szCs w:val="21"/>
                <w:highlight w:val="none"/>
                <w:lang w:eastAsia="zh-CN"/>
              </w:rPr>
              <w:t>出具的检测报告</w:t>
            </w:r>
            <w:r>
              <w:rPr>
                <w:rFonts w:hint="eastAsia" w:ascii="宋体" w:hAnsi="宋体" w:eastAsia="宋体" w:cs="宋体"/>
                <w:color w:val="000000"/>
                <w:kern w:val="0"/>
                <w:sz w:val="21"/>
                <w:szCs w:val="21"/>
                <w:highlight w:val="none"/>
                <w:lang w:bidi="ar"/>
              </w:rPr>
              <w:t>。</w:t>
            </w:r>
          </w:p>
        </w:tc>
      </w:tr>
      <w:tr w14:paraId="06050173">
        <w:tblPrEx>
          <w:tblCellMar>
            <w:top w:w="0" w:type="dxa"/>
            <w:left w:w="108" w:type="dxa"/>
            <w:bottom w:w="0" w:type="dxa"/>
            <w:right w:w="108" w:type="dxa"/>
          </w:tblCellMar>
        </w:tblPrEx>
        <w:trPr>
          <w:trHeight w:val="1493"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17F878">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53</w:t>
            </w:r>
          </w:p>
        </w:tc>
        <w:tc>
          <w:tcPr>
            <w:tcW w:w="1641" w:type="dxa"/>
            <w:tcBorders>
              <w:top w:val="single" w:color="auto" w:sz="4" w:space="0"/>
              <w:left w:val="single" w:color="auto" w:sz="4" w:space="0"/>
              <w:bottom w:val="single" w:color="auto" w:sz="4" w:space="0"/>
              <w:right w:val="single" w:color="auto" w:sz="4" w:space="0"/>
            </w:tcBorders>
            <w:shd w:val="clear" w:color="auto" w:fill="auto"/>
            <w:vAlign w:val="center"/>
          </w:tcPr>
          <w:p w14:paraId="6AB8A0C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多重可调节</w:t>
            </w:r>
          </w:p>
          <w:p w14:paraId="290141D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练习椅</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0B4AF8AD">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9D78F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A51EB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lang w:bidi="ar"/>
              </w:rPr>
              <w:t>1.锻炼功能：组合及辅助训练；</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2.主框架材质：Q235A；主立管规格：≥80×40×3.0mm</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3.产品规格尺寸：≥1350×500×400mm（长×宽×高）</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4.最大人体重量：≥265KG；类别S级（商用）；</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★产品</w:t>
            </w:r>
            <w:r>
              <w:rPr>
                <w:rFonts w:hint="eastAsia" w:cs="宋体"/>
                <w:color w:val="000000"/>
                <w:kern w:val="0"/>
                <w:sz w:val="21"/>
                <w:szCs w:val="21"/>
                <w:highlight w:val="none"/>
                <w:lang w:eastAsia="zh-CN" w:bidi="ar"/>
              </w:rPr>
              <w:t>符合</w:t>
            </w:r>
            <w:r>
              <w:rPr>
                <w:rFonts w:hint="eastAsia" w:ascii="宋体" w:hAnsi="宋体" w:eastAsia="宋体" w:cs="宋体"/>
                <w:color w:val="000000"/>
                <w:kern w:val="0"/>
                <w:sz w:val="21"/>
                <w:szCs w:val="21"/>
                <w:highlight w:val="none"/>
                <w:lang w:bidi="ar"/>
              </w:rPr>
              <w:t>GB17498.1-2008国家标准</w:t>
            </w:r>
            <w:r>
              <w:rPr>
                <w:rFonts w:hint="eastAsia" w:cs="宋体"/>
                <w:color w:val="000000"/>
                <w:kern w:val="0"/>
                <w:sz w:val="21"/>
                <w:szCs w:val="21"/>
                <w:highlight w:val="none"/>
                <w:lang w:eastAsia="zh-CN" w:bidi="ar"/>
              </w:rPr>
              <w:t>，</w:t>
            </w:r>
            <w:r>
              <w:rPr>
                <w:rFonts w:hint="eastAsia" w:ascii="宋体" w:hAnsi="宋体" w:eastAsia="宋体" w:cs="宋体"/>
                <w:b w:val="0"/>
                <w:bCs/>
                <w:color w:val="auto"/>
                <w:sz w:val="21"/>
                <w:szCs w:val="21"/>
                <w:highlight w:val="none"/>
                <w:lang w:eastAsia="zh-CN"/>
              </w:rPr>
              <w:t>须</w:t>
            </w:r>
            <w:r>
              <w:rPr>
                <w:rFonts w:hint="eastAsia" w:ascii="宋体" w:hAnsi="宋体" w:eastAsia="宋体" w:cs="宋体"/>
                <w:b w:val="0"/>
                <w:bCs/>
                <w:color w:val="auto"/>
                <w:sz w:val="21"/>
                <w:szCs w:val="21"/>
                <w:highlight w:val="none"/>
              </w:rPr>
              <w:t>承诺中标后提供由</w:t>
            </w:r>
            <w:r>
              <w:rPr>
                <w:rFonts w:hint="eastAsia" w:ascii="宋体" w:hAnsi="宋体" w:eastAsia="宋体" w:cs="宋体"/>
                <w:kern w:val="0"/>
                <w:sz w:val="21"/>
                <w:szCs w:val="21"/>
                <w:highlight w:val="none"/>
              </w:rPr>
              <w:t>国家体育用品质量监督检验中心</w:t>
            </w:r>
            <w:r>
              <w:rPr>
                <w:rFonts w:hint="eastAsia" w:cs="宋体"/>
                <w:kern w:val="0"/>
                <w:sz w:val="21"/>
                <w:szCs w:val="21"/>
                <w:highlight w:val="none"/>
                <w:lang w:eastAsia="zh-CN"/>
              </w:rPr>
              <w:t>出具的检测报告</w:t>
            </w:r>
            <w:r>
              <w:rPr>
                <w:rFonts w:hint="eastAsia" w:ascii="宋体" w:hAnsi="宋体" w:eastAsia="宋体" w:cs="宋体"/>
                <w:color w:val="000000"/>
                <w:kern w:val="0"/>
                <w:sz w:val="21"/>
                <w:szCs w:val="21"/>
                <w:highlight w:val="none"/>
                <w:lang w:bidi="ar"/>
              </w:rPr>
              <w:t>。</w:t>
            </w:r>
          </w:p>
        </w:tc>
      </w:tr>
      <w:tr w14:paraId="642E7C49">
        <w:tblPrEx>
          <w:tblCellMar>
            <w:top w:w="0" w:type="dxa"/>
            <w:left w:w="108" w:type="dxa"/>
            <w:bottom w:w="0" w:type="dxa"/>
            <w:right w:w="108" w:type="dxa"/>
          </w:tblCellMar>
        </w:tblPrEx>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EA6C5F">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54</w:t>
            </w:r>
          </w:p>
        </w:tc>
        <w:tc>
          <w:tcPr>
            <w:tcW w:w="1641" w:type="dxa"/>
            <w:tcBorders>
              <w:top w:val="single" w:color="auto" w:sz="4" w:space="0"/>
              <w:left w:val="single" w:color="auto" w:sz="4" w:space="0"/>
              <w:bottom w:val="single" w:color="auto" w:sz="4" w:space="0"/>
              <w:right w:val="single" w:color="auto" w:sz="4" w:space="0"/>
            </w:tcBorders>
            <w:shd w:val="clear" w:color="auto" w:fill="auto"/>
            <w:vAlign w:val="center"/>
          </w:tcPr>
          <w:p w14:paraId="3F3E2F4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双层哑铃架</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39340A5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7D0E5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C9010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lang w:bidi="ar"/>
              </w:rPr>
              <w:t>1.外形尺寸：≥2350×680×880mm（长x宽x高）</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2.功能：放置哑铃（10副）</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3.主框架材质：Q235A；最大训练载荷：≥800kg</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4.主立管规格：≥120×40×3.0mm</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★产品</w:t>
            </w:r>
            <w:r>
              <w:rPr>
                <w:rFonts w:hint="eastAsia" w:cs="宋体"/>
                <w:color w:val="000000"/>
                <w:kern w:val="0"/>
                <w:sz w:val="21"/>
                <w:szCs w:val="21"/>
                <w:highlight w:val="none"/>
                <w:lang w:eastAsia="zh-CN" w:bidi="ar"/>
              </w:rPr>
              <w:t>符合</w:t>
            </w:r>
            <w:r>
              <w:rPr>
                <w:rFonts w:hint="eastAsia" w:ascii="宋体" w:hAnsi="宋体" w:eastAsia="宋体" w:cs="宋体"/>
                <w:color w:val="000000"/>
                <w:kern w:val="0"/>
                <w:sz w:val="21"/>
                <w:szCs w:val="21"/>
                <w:highlight w:val="none"/>
                <w:lang w:bidi="ar"/>
              </w:rPr>
              <w:t>GB17498.1-2008国家标准</w:t>
            </w:r>
            <w:r>
              <w:rPr>
                <w:rFonts w:hint="eastAsia" w:cs="宋体"/>
                <w:color w:val="000000"/>
                <w:kern w:val="0"/>
                <w:sz w:val="21"/>
                <w:szCs w:val="21"/>
                <w:highlight w:val="none"/>
                <w:lang w:eastAsia="zh-CN" w:bidi="ar"/>
              </w:rPr>
              <w:t>，</w:t>
            </w:r>
            <w:r>
              <w:rPr>
                <w:rFonts w:hint="eastAsia" w:ascii="宋体" w:hAnsi="宋体" w:eastAsia="宋体" w:cs="宋体"/>
                <w:b w:val="0"/>
                <w:bCs/>
                <w:color w:val="auto"/>
                <w:sz w:val="21"/>
                <w:szCs w:val="21"/>
                <w:highlight w:val="none"/>
                <w:lang w:eastAsia="zh-CN"/>
              </w:rPr>
              <w:t>须</w:t>
            </w:r>
            <w:r>
              <w:rPr>
                <w:rFonts w:hint="eastAsia" w:ascii="宋体" w:hAnsi="宋体" w:eastAsia="宋体" w:cs="宋体"/>
                <w:b w:val="0"/>
                <w:bCs/>
                <w:color w:val="auto"/>
                <w:sz w:val="21"/>
                <w:szCs w:val="21"/>
                <w:highlight w:val="none"/>
              </w:rPr>
              <w:t>承诺中标后提供由</w:t>
            </w:r>
            <w:r>
              <w:rPr>
                <w:rFonts w:hint="eastAsia" w:ascii="宋体" w:hAnsi="宋体" w:eastAsia="宋体" w:cs="宋体"/>
                <w:kern w:val="0"/>
                <w:sz w:val="21"/>
                <w:szCs w:val="21"/>
                <w:highlight w:val="none"/>
              </w:rPr>
              <w:t>国家体育用品质量监督检验中心</w:t>
            </w:r>
            <w:r>
              <w:rPr>
                <w:rFonts w:hint="eastAsia" w:cs="宋体"/>
                <w:kern w:val="0"/>
                <w:sz w:val="21"/>
                <w:szCs w:val="21"/>
                <w:highlight w:val="none"/>
                <w:lang w:eastAsia="zh-CN"/>
              </w:rPr>
              <w:t>出具的检测报告</w:t>
            </w:r>
            <w:r>
              <w:rPr>
                <w:rFonts w:hint="eastAsia" w:ascii="宋体" w:hAnsi="宋体" w:eastAsia="宋体" w:cs="宋体"/>
                <w:color w:val="000000"/>
                <w:kern w:val="0"/>
                <w:sz w:val="21"/>
                <w:szCs w:val="21"/>
                <w:highlight w:val="none"/>
                <w:lang w:bidi="ar"/>
              </w:rPr>
              <w:t>。</w:t>
            </w:r>
          </w:p>
        </w:tc>
      </w:tr>
      <w:tr w14:paraId="240137FD">
        <w:tblPrEx>
          <w:tblCellMar>
            <w:top w:w="0" w:type="dxa"/>
            <w:left w:w="108" w:type="dxa"/>
            <w:bottom w:w="0" w:type="dxa"/>
            <w:right w:w="108" w:type="dxa"/>
          </w:tblCellMar>
        </w:tblPrEx>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CAF12B">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55</w:t>
            </w:r>
          </w:p>
        </w:tc>
        <w:tc>
          <w:tcPr>
            <w:tcW w:w="1641" w:type="dxa"/>
            <w:tcBorders>
              <w:top w:val="single" w:color="auto" w:sz="4" w:space="0"/>
              <w:left w:val="single" w:color="auto" w:sz="4" w:space="0"/>
              <w:bottom w:val="single" w:color="auto" w:sz="4" w:space="0"/>
              <w:right w:val="single" w:color="auto" w:sz="4" w:space="0"/>
            </w:tcBorders>
            <w:shd w:val="clear" w:color="auto" w:fill="auto"/>
            <w:vAlign w:val="center"/>
          </w:tcPr>
          <w:p w14:paraId="654610B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固定哑铃</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4AA3136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3FF8C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1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2E12A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lang w:bidi="ar"/>
              </w:rPr>
              <w:t xml:space="preserve">1.2.5KG-25KG（10个规格） </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2.橡胶哑铃，设计比较有活力，质量提升，使用原胶较好，不使用二次及回收橡胶，基本无刺鼻味道；</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★产品</w:t>
            </w:r>
            <w:r>
              <w:rPr>
                <w:rFonts w:hint="eastAsia" w:cs="宋体"/>
                <w:color w:val="000000"/>
                <w:kern w:val="0"/>
                <w:sz w:val="21"/>
                <w:szCs w:val="21"/>
                <w:highlight w:val="none"/>
                <w:lang w:eastAsia="zh-CN" w:bidi="ar"/>
              </w:rPr>
              <w:t>符合</w:t>
            </w:r>
            <w:r>
              <w:rPr>
                <w:rFonts w:hint="eastAsia" w:ascii="宋体" w:hAnsi="宋体" w:eastAsia="宋体" w:cs="宋体"/>
                <w:color w:val="000000"/>
                <w:kern w:val="0"/>
                <w:sz w:val="21"/>
                <w:szCs w:val="21"/>
                <w:highlight w:val="none"/>
                <w:lang w:bidi="ar"/>
              </w:rPr>
              <w:t>GB17498.1-2008国家标准</w:t>
            </w:r>
            <w:r>
              <w:rPr>
                <w:rFonts w:hint="eastAsia" w:cs="宋体"/>
                <w:color w:val="000000"/>
                <w:kern w:val="0"/>
                <w:sz w:val="21"/>
                <w:szCs w:val="21"/>
                <w:highlight w:val="none"/>
                <w:lang w:eastAsia="zh-CN" w:bidi="ar"/>
              </w:rPr>
              <w:t>，</w:t>
            </w:r>
            <w:r>
              <w:rPr>
                <w:rFonts w:hint="eastAsia" w:ascii="宋体" w:hAnsi="宋体" w:eastAsia="宋体" w:cs="宋体"/>
                <w:b w:val="0"/>
                <w:bCs/>
                <w:color w:val="auto"/>
                <w:sz w:val="21"/>
                <w:szCs w:val="21"/>
                <w:highlight w:val="none"/>
                <w:lang w:eastAsia="zh-CN"/>
              </w:rPr>
              <w:t>须</w:t>
            </w:r>
            <w:r>
              <w:rPr>
                <w:rFonts w:hint="eastAsia" w:ascii="宋体" w:hAnsi="宋体" w:eastAsia="宋体" w:cs="宋体"/>
                <w:b w:val="0"/>
                <w:bCs/>
                <w:color w:val="auto"/>
                <w:sz w:val="21"/>
                <w:szCs w:val="21"/>
                <w:highlight w:val="none"/>
              </w:rPr>
              <w:t>承诺中标后提供由</w:t>
            </w:r>
            <w:r>
              <w:rPr>
                <w:rFonts w:hint="eastAsia" w:ascii="宋体" w:hAnsi="宋体" w:eastAsia="宋体" w:cs="宋体"/>
                <w:kern w:val="0"/>
                <w:sz w:val="21"/>
                <w:szCs w:val="21"/>
                <w:highlight w:val="none"/>
              </w:rPr>
              <w:t>国家体育用品质量监督检验中心</w:t>
            </w:r>
            <w:r>
              <w:rPr>
                <w:rFonts w:hint="eastAsia" w:cs="宋体"/>
                <w:kern w:val="0"/>
                <w:sz w:val="21"/>
                <w:szCs w:val="21"/>
                <w:highlight w:val="none"/>
                <w:lang w:eastAsia="zh-CN"/>
              </w:rPr>
              <w:t>出具的检测报告</w:t>
            </w:r>
            <w:r>
              <w:rPr>
                <w:rFonts w:hint="eastAsia" w:ascii="宋体" w:hAnsi="宋体" w:eastAsia="宋体" w:cs="宋体"/>
                <w:color w:val="000000"/>
                <w:kern w:val="0"/>
                <w:sz w:val="21"/>
                <w:szCs w:val="21"/>
                <w:highlight w:val="none"/>
                <w:lang w:bidi="ar"/>
              </w:rPr>
              <w:t>。</w:t>
            </w:r>
          </w:p>
        </w:tc>
      </w:tr>
      <w:tr w14:paraId="36A8B435">
        <w:tblPrEx>
          <w:tblCellMar>
            <w:top w:w="0" w:type="dxa"/>
            <w:left w:w="108" w:type="dxa"/>
            <w:bottom w:w="0" w:type="dxa"/>
            <w:right w:w="108" w:type="dxa"/>
          </w:tblCellMar>
        </w:tblPrEx>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793E61">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56</w:t>
            </w:r>
          </w:p>
        </w:tc>
        <w:tc>
          <w:tcPr>
            <w:tcW w:w="1641" w:type="dxa"/>
            <w:tcBorders>
              <w:top w:val="single" w:color="auto" w:sz="4" w:space="0"/>
              <w:left w:val="single" w:color="auto" w:sz="4" w:space="0"/>
              <w:bottom w:val="single" w:color="auto" w:sz="4" w:space="0"/>
              <w:right w:val="single" w:color="auto" w:sz="4" w:space="0"/>
            </w:tcBorders>
            <w:shd w:val="clear" w:color="auto" w:fill="auto"/>
            <w:vAlign w:val="center"/>
          </w:tcPr>
          <w:p w14:paraId="569A897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智能坐式推胸训练器</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4339349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D7028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9274A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lang w:bidi="ar"/>
              </w:rPr>
              <w:t>1.外形尺寸：≥1600×1300×1820mm（长*宽*高）；</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2.锻炼部位: 胸大肌、三角肌前束、三头肌</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3.设备主架带不小于原装7寸高清触摸屏，每次运动结束后，可上传手机端运动数据，成绩、次数、重量、卡路里、时间等。</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4.触摸屏可显示器械运行状态图及肌肉运动状态图、运动轨迹、月训练计划等页面，提供运动数据储存及跟踪。</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5.可微信扫描登陆，选择训练目标启动设置目标次数、时间、卡路里。</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6.牵索形式：钢丝绳+滑轮；阻力形式：插片配重式；</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7.座垫双导轨固定设计，提供更好稳定性、舒适度。最大训练载荷：≥200kg</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8.主立管为规格：≥平椭120*50*3.0mm平椭圆型钢管，保证机身的稳定性。</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★产品</w:t>
            </w:r>
            <w:r>
              <w:rPr>
                <w:rFonts w:hint="eastAsia" w:cs="宋体"/>
                <w:color w:val="000000"/>
                <w:kern w:val="0"/>
                <w:sz w:val="21"/>
                <w:szCs w:val="21"/>
                <w:highlight w:val="none"/>
                <w:lang w:eastAsia="zh-CN" w:bidi="ar"/>
              </w:rPr>
              <w:t>符合</w:t>
            </w:r>
            <w:r>
              <w:rPr>
                <w:rFonts w:hint="eastAsia" w:ascii="宋体" w:hAnsi="宋体" w:eastAsia="宋体" w:cs="宋体"/>
                <w:color w:val="000000"/>
                <w:kern w:val="0"/>
                <w:sz w:val="21"/>
                <w:szCs w:val="21"/>
                <w:highlight w:val="none"/>
                <w:lang w:bidi="ar"/>
              </w:rPr>
              <w:t>GB17498.1-2008国家标准</w:t>
            </w:r>
            <w:r>
              <w:rPr>
                <w:rFonts w:hint="eastAsia" w:cs="宋体"/>
                <w:color w:val="000000"/>
                <w:kern w:val="0"/>
                <w:sz w:val="21"/>
                <w:szCs w:val="21"/>
                <w:highlight w:val="none"/>
                <w:lang w:eastAsia="zh-CN" w:bidi="ar"/>
              </w:rPr>
              <w:t>，</w:t>
            </w:r>
            <w:r>
              <w:rPr>
                <w:rFonts w:hint="eastAsia" w:ascii="宋体" w:hAnsi="宋体" w:eastAsia="宋体" w:cs="宋体"/>
                <w:b w:val="0"/>
                <w:bCs/>
                <w:color w:val="auto"/>
                <w:sz w:val="21"/>
                <w:szCs w:val="21"/>
                <w:highlight w:val="none"/>
                <w:lang w:eastAsia="zh-CN"/>
              </w:rPr>
              <w:t>须</w:t>
            </w:r>
            <w:r>
              <w:rPr>
                <w:rFonts w:hint="eastAsia" w:ascii="宋体" w:hAnsi="宋体" w:eastAsia="宋体" w:cs="宋体"/>
                <w:b w:val="0"/>
                <w:bCs/>
                <w:color w:val="auto"/>
                <w:sz w:val="21"/>
                <w:szCs w:val="21"/>
                <w:highlight w:val="none"/>
              </w:rPr>
              <w:t>承诺中标后提供由</w:t>
            </w:r>
            <w:r>
              <w:rPr>
                <w:rFonts w:hint="eastAsia" w:ascii="宋体" w:hAnsi="宋体" w:eastAsia="宋体" w:cs="宋体"/>
                <w:kern w:val="0"/>
                <w:sz w:val="21"/>
                <w:szCs w:val="21"/>
                <w:highlight w:val="none"/>
              </w:rPr>
              <w:t>国家体育用品质量监督检验中心</w:t>
            </w:r>
            <w:r>
              <w:rPr>
                <w:rFonts w:hint="eastAsia" w:cs="宋体"/>
                <w:kern w:val="0"/>
                <w:sz w:val="21"/>
                <w:szCs w:val="21"/>
                <w:highlight w:val="none"/>
                <w:lang w:eastAsia="zh-CN"/>
              </w:rPr>
              <w:t>出具的检测报告</w:t>
            </w:r>
            <w:r>
              <w:rPr>
                <w:rFonts w:hint="eastAsia" w:ascii="宋体" w:hAnsi="宋体" w:eastAsia="宋体" w:cs="宋体"/>
                <w:color w:val="000000"/>
                <w:kern w:val="0"/>
                <w:sz w:val="21"/>
                <w:szCs w:val="21"/>
                <w:highlight w:val="none"/>
                <w:lang w:bidi="ar"/>
              </w:rPr>
              <w:t>。</w:t>
            </w:r>
          </w:p>
        </w:tc>
      </w:tr>
      <w:tr w14:paraId="1F1098F7">
        <w:tblPrEx>
          <w:tblCellMar>
            <w:top w:w="0" w:type="dxa"/>
            <w:left w:w="108" w:type="dxa"/>
            <w:bottom w:w="0" w:type="dxa"/>
            <w:right w:w="108" w:type="dxa"/>
          </w:tblCellMar>
        </w:tblPrEx>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4C9CBF">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57</w:t>
            </w:r>
          </w:p>
        </w:tc>
        <w:tc>
          <w:tcPr>
            <w:tcW w:w="1641" w:type="dxa"/>
            <w:tcBorders>
              <w:top w:val="single" w:color="auto" w:sz="4" w:space="0"/>
              <w:left w:val="single" w:color="auto" w:sz="4" w:space="0"/>
              <w:bottom w:val="single" w:color="auto" w:sz="4" w:space="0"/>
              <w:right w:val="single" w:color="auto" w:sz="4" w:space="0"/>
            </w:tcBorders>
            <w:shd w:val="clear" w:color="auto" w:fill="auto"/>
            <w:vAlign w:val="center"/>
          </w:tcPr>
          <w:p w14:paraId="561D023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智能高拉力</w:t>
            </w:r>
          </w:p>
          <w:p w14:paraId="3BABEE6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背肌训练器</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4428EA1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E1AAF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8E986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lang w:bidi="ar"/>
              </w:rPr>
              <w:t>1.外形尺寸≥1150×1300×1850mm（长*宽*高）</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2.锻炼部位：背部肌群、肱三头肌、三角肌后束、肱二头肌、胸大肌</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3.主立柱规格：≥平椭120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color w:val="000000"/>
                <w:kern w:val="0"/>
                <w:sz w:val="21"/>
                <w:szCs w:val="21"/>
                <w:highlight w:val="none"/>
                <w:lang w:bidi="ar"/>
              </w:rPr>
              <w:t>50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color w:val="000000"/>
                <w:kern w:val="0"/>
                <w:sz w:val="21"/>
                <w:szCs w:val="21"/>
                <w:highlight w:val="none"/>
                <w:lang w:bidi="ar"/>
              </w:rPr>
              <w:t>3.0mm；</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4.牵索形式：钢丝绳+滑轮；阻力形式：插片配重式；</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5.行程设置范围：360mm-660mm，最大行程660mm；精度0.01m</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6.重量系统 重量感应范围：0kg-300kg，精度0.1kg</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7.屏幕信息：≥IPS 7"高清屏幕，分辨率：≥1024</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color w:val="000000"/>
                <w:kern w:val="0"/>
                <w:sz w:val="21"/>
                <w:szCs w:val="21"/>
                <w:highlight w:val="none"/>
                <w:lang w:bidi="ar"/>
              </w:rPr>
              <w:t>600</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8.上传数据：次数、重量、卡路里、时间、智能化项目、触屏开机广告、待机广告扫描页面、★运动轨迹控制★运动轨迹页面显示，运动标准化，提升器械寿命★器械状态图显示、肌肉运动状态热图★微信扫描解锁器材并登陆★注册用户的专属账号，让用户的运动数据轻松上传与保存，并开放数据端口与健身房小程序连接，进行数据存储、记录以及分析。</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★产品</w:t>
            </w:r>
            <w:r>
              <w:rPr>
                <w:rFonts w:hint="eastAsia" w:cs="宋体"/>
                <w:color w:val="000000"/>
                <w:kern w:val="0"/>
                <w:sz w:val="21"/>
                <w:szCs w:val="21"/>
                <w:highlight w:val="none"/>
                <w:lang w:eastAsia="zh-CN" w:bidi="ar"/>
              </w:rPr>
              <w:t>符合</w:t>
            </w:r>
            <w:r>
              <w:rPr>
                <w:rFonts w:hint="eastAsia" w:ascii="宋体" w:hAnsi="宋体" w:eastAsia="宋体" w:cs="宋体"/>
                <w:color w:val="000000"/>
                <w:kern w:val="0"/>
                <w:sz w:val="21"/>
                <w:szCs w:val="21"/>
                <w:highlight w:val="none"/>
                <w:lang w:bidi="ar"/>
              </w:rPr>
              <w:t>GB17498.1-2008国家标准</w:t>
            </w:r>
            <w:r>
              <w:rPr>
                <w:rFonts w:hint="eastAsia" w:cs="宋体"/>
                <w:color w:val="000000"/>
                <w:kern w:val="0"/>
                <w:sz w:val="21"/>
                <w:szCs w:val="21"/>
                <w:highlight w:val="none"/>
                <w:lang w:eastAsia="zh-CN" w:bidi="ar"/>
              </w:rPr>
              <w:t>，</w:t>
            </w:r>
            <w:r>
              <w:rPr>
                <w:rFonts w:hint="eastAsia" w:ascii="宋体" w:hAnsi="宋体" w:eastAsia="宋体" w:cs="宋体"/>
                <w:b w:val="0"/>
                <w:bCs/>
                <w:color w:val="auto"/>
                <w:sz w:val="21"/>
                <w:szCs w:val="21"/>
                <w:highlight w:val="none"/>
                <w:lang w:eastAsia="zh-CN"/>
              </w:rPr>
              <w:t>须</w:t>
            </w:r>
            <w:r>
              <w:rPr>
                <w:rFonts w:hint="eastAsia" w:ascii="宋体" w:hAnsi="宋体" w:eastAsia="宋体" w:cs="宋体"/>
                <w:b w:val="0"/>
                <w:bCs/>
                <w:color w:val="auto"/>
                <w:sz w:val="21"/>
                <w:szCs w:val="21"/>
                <w:highlight w:val="none"/>
              </w:rPr>
              <w:t>承诺中标后提供由</w:t>
            </w:r>
            <w:r>
              <w:rPr>
                <w:rFonts w:hint="eastAsia" w:ascii="宋体" w:hAnsi="宋体" w:eastAsia="宋体" w:cs="宋体"/>
                <w:kern w:val="0"/>
                <w:sz w:val="21"/>
                <w:szCs w:val="21"/>
                <w:highlight w:val="none"/>
              </w:rPr>
              <w:t>国家体育用品质量监督检验中心</w:t>
            </w:r>
            <w:r>
              <w:rPr>
                <w:rFonts w:hint="eastAsia" w:cs="宋体"/>
                <w:kern w:val="0"/>
                <w:sz w:val="21"/>
                <w:szCs w:val="21"/>
                <w:highlight w:val="none"/>
                <w:lang w:eastAsia="zh-CN"/>
              </w:rPr>
              <w:t>出具的检测报告</w:t>
            </w:r>
            <w:r>
              <w:rPr>
                <w:rFonts w:hint="eastAsia" w:ascii="宋体" w:hAnsi="宋体" w:eastAsia="宋体" w:cs="宋体"/>
                <w:color w:val="000000"/>
                <w:kern w:val="0"/>
                <w:sz w:val="21"/>
                <w:szCs w:val="21"/>
                <w:highlight w:val="none"/>
                <w:lang w:bidi="ar"/>
              </w:rPr>
              <w:t>。</w:t>
            </w:r>
          </w:p>
        </w:tc>
      </w:tr>
      <w:tr w14:paraId="0DBA8F02">
        <w:tblPrEx>
          <w:tblCellMar>
            <w:top w:w="0" w:type="dxa"/>
            <w:left w:w="108" w:type="dxa"/>
            <w:bottom w:w="0" w:type="dxa"/>
            <w:right w:w="108" w:type="dxa"/>
          </w:tblCellMar>
        </w:tblPrEx>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10F135">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58</w:t>
            </w:r>
          </w:p>
        </w:tc>
        <w:tc>
          <w:tcPr>
            <w:tcW w:w="1641" w:type="dxa"/>
            <w:tcBorders>
              <w:top w:val="single" w:color="auto" w:sz="4" w:space="0"/>
              <w:left w:val="single" w:color="auto" w:sz="4" w:space="0"/>
              <w:bottom w:val="single" w:color="auto" w:sz="4" w:space="0"/>
              <w:right w:val="single" w:color="auto" w:sz="4" w:space="0"/>
            </w:tcBorders>
            <w:shd w:val="clear" w:color="auto" w:fill="auto"/>
            <w:vAlign w:val="center"/>
          </w:tcPr>
          <w:p w14:paraId="579D7D1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智能蹬腿</w:t>
            </w:r>
          </w:p>
          <w:p w14:paraId="673C923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训练器</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328747E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EA2E9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0B499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lang w:bidi="ar"/>
              </w:rPr>
              <w:t>1.外形尺寸（长×宽×高）≥1750</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color w:val="000000"/>
                <w:kern w:val="0"/>
                <w:sz w:val="21"/>
                <w:szCs w:val="21"/>
                <w:lang w:bidi="ar"/>
              </w:rPr>
              <w:t>1150</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color w:val="000000"/>
                <w:kern w:val="0"/>
                <w:sz w:val="21"/>
                <w:szCs w:val="21"/>
                <w:lang w:bidi="ar"/>
              </w:rPr>
              <w:t>1500mm</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2.锻炼部位：股四头肌，臀大肌，腓肠肌等</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3.主框架材质：Q235A；主立管规格：≥120</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color w:val="000000"/>
                <w:kern w:val="0"/>
                <w:sz w:val="21"/>
                <w:szCs w:val="21"/>
                <w:lang w:bidi="ar"/>
              </w:rPr>
              <w:t>50</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color w:val="000000"/>
                <w:kern w:val="0"/>
                <w:sz w:val="21"/>
                <w:szCs w:val="21"/>
                <w:lang w:bidi="ar"/>
              </w:rPr>
              <w:t xml:space="preserve">3.0mm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4.主转轴材质：45#圆钢；规格：Ø25</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5.主轴轴承：人本6205轴承；最大训练载荷：≥200kg</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6.座垫：可调；材质：PU发泡成型；</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7.钢索：高柔韧性含油钢丝绳；表皮：进口PA材质；破断拉力≥1400KG</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8.导杆：实心、镀铬；</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9.滑轮：尼龙+玻璃纤维；</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10.防护罩：龙门架两侧防护；材质：铁皮+亚克力板</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11.端盖材质：铝合金；</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12.配重铁材质：铸铁；</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13.★不小于7寸IPS触摸屏</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14.操作系统：安卓系统</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15.★具有数据上传功能，每次运动结束后，可上传手机端运动数据，包括成绩、次数、重量、卡路里、时间等</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16.★可显示器械运行状态图及肌肉运动状态图、运动轨迹、等页面，提供运动数据储存及跟踪</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17.★可微信扫描登陆，选择训练目标启动设置目标次数、时间、卡路里</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18.★行程范围 量测范围：0mm-700mm，精度0.01m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19.★重量系统 重量感应范围：0kg-300kg，精度0.1kg</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20.★具有远程器械状态查看和在线异常报警</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highlight w:val="none"/>
                <w:lang w:bidi="ar"/>
              </w:rPr>
              <w:t>★产品</w:t>
            </w:r>
            <w:r>
              <w:rPr>
                <w:rFonts w:hint="eastAsia" w:cs="宋体"/>
                <w:color w:val="000000"/>
                <w:kern w:val="0"/>
                <w:sz w:val="21"/>
                <w:szCs w:val="21"/>
                <w:highlight w:val="none"/>
                <w:lang w:eastAsia="zh-CN" w:bidi="ar"/>
              </w:rPr>
              <w:t>符合</w:t>
            </w:r>
            <w:r>
              <w:rPr>
                <w:rFonts w:hint="eastAsia" w:ascii="宋体" w:hAnsi="宋体" w:eastAsia="宋体" w:cs="宋体"/>
                <w:color w:val="000000"/>
                <w:kern w:val="0"/>
                <w:sz w:val="21"/>
                <w:szCs w:val="21"/>
                <w:highlight w:val="none"/>
                <w:lang w:bidi="ar"/>
              </w:rPr>
              <w:t>GB17498.1-2008国家标准</w:t>
            </w:r>
            <w:r>
              <w:rPr>
                <w:rFonts w:hint="eastAsia" w:cs="宋体"/>
                <w:color w:val="000000"/>
                <w:kern w:val="0"/>
                <w:sz w:val="21"/>
                <w:szCs w:val="21"/>
                <w:highlight w:val="none"/>
                <w:lang w:eastAsia="zh-CN" w:bidi="ar"/>
              </w:rPr>
              <w:t>，</w:t>
            </w:r>
            <w:r>
              <w:rPr>
                <w:rFonts w:hint="eastAsia" w:ascii="宋体" w:hAnsi="宋体" w:eastAsia="宋体" w:cs="宋体"/>
                <w:b w:val="0"/>
                <w:bCs/>
                <w:color w:val="auto"/>
                <w:sz w:val="21"/>
                <w:szCs w:val="21"/>
                <w:highlight w:val="none"/>
                <w:lang w:eastAsia="zh-CN"/>
              </w:rPr>
              <w:t>须</w:t>
            </w:r>
            <w:r>
              <w:rPr>
                <w:rFonts w:hint="eastAsia" w:ascii="宋体" w:hAnsi="宋体" w:eastAsia="宋体" w:cs="宋体"/>
                <w:b w:val="0"/>
                <w:bCs/>
                <w:color w:val="auto"/>
                <w:sz w:val="21"/>
                <w:szCs w:val="21"/>
                <w:highlight w:val="none"/>
              </w:rPr>
              <w:t>承诺中标后提供由</w:t>
            </w:r>
            <w:r>
              <w:rPr>
                <w:rFonts w:hint="eastAsia" w:ascii="宋体" w:hAnsi="宋体" w:eastAsia="宋体" w:cs="宋体"/>
                <w:kern w:val="0"/>
                <w:sz w:val="21"/>
                <w:szCs w:val="21"/>
                <w:highlight w:val="none"/>
              </w:rPr>
              <w:t>国家体育用品质量监督检验中心</w:t>
            </w:r>
            <w:r>
              <w:rPr>
                <w:rFonts w:hint="eastAsia" w:cs="宋体"/>
                <w:kern w:val="0"/>
                <w:sz w:val="21"/>
                <w:szCs w:val="21"/>
                <w:highlight w:val="none"/>
                <w:lang w:eastAsia="zh-CN"/>
              </w:rPr>
              <w:t>出具的检测报告</w:t>
            </w:r>
            <w:r>
              <w:rPr>
                <w:rFonts w:hint="eastAsia" w:ascii="宋体" w:hAnsi="宋体" w:eastAsia="宋体" w:cs="宋体"/>
                <w:color w:val="000000"/>
                <w:kern w:val="0"/>
                <w:sz w:val="21"/>
                <w:szCs w:val="21"/>
                <w:highlight w:val="none"/>
                <w:lang w:bidi="ar"/>
              </w:rPr>
              <w:t>。</w:t>
            </w:r>
          </w:p>
        </w:tc>
      </w:tr>
      <w:tr w14:paraId="705EA01A">
        <w:tblPrEx>
          <w:tblCellMar>
            <w:top w:w="0" w:type="dxa"/>
            <w:left w:w="108" w:type="dxa"/>
            <w:bottom w:w="0" w:type="dxa"/>
            <w:right w:w="108" w:type="dxa"/>
          </w:tblCellMar>
        </w:tblPrEx>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547A3F">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59</w:t>
            </w:r>
          </w:p>
        </w:tc>
        <w:tc>
          <w:tcPr>
            <w:tcW w:w="1641" w:type="dxa"/>
            <w:tcBorders>
              <w:top w:val="single" w:color="auto" w:sz="4" w:space="0"/>
              <w:left w:val="single" w:color="auto" w:sz="4" w:space="0"/>
              <w:bottom w:val="single" w:color="auto" w:sz="4" w:space="0"/>
              <w:right w:val="single" w:color="auto" w:sz="4" w:space="0"/>
            </w:tcBorders>
            <w:shd w:val="clear" w:color="auto" w:fill="auto"/>
            <w:vAlign w:val="center"/>
          </w:tcPr>
          <w:p w14:paraId="0D0A2C8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智能单双杆</w:t>
            </w:r>
          </w:p>
          <w:p w14:paraId="7B1DC32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训练器</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3B4C9AE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8DC3C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8910F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color w:val="000000"/>
                <w:kern w:val="0"/>
                <w:sz w:val="21"/>
                <w:szCs w:val="21"/>
                <w:lang w:bidi="ar"/>
              </w:rPr>
              <w:t>1.外形尺寸（长×宽×高）≥1420</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color w:val="000000"/>
                <w:kern w:val="0"/>
                <w:sz w:val="21"/>
                <w:szCs w:val="21"/>
                <w:lang w:bidi="ar"/>
              </w:rPr>
              <w:t>1100</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color w:val="000000"/>
                <w:kern w:val="0"/>
                <w:sz w:val="21"/>
                <w:szCs w:val="21"/>
                <w:lang w:bidi="ar"/>
              </w:rPr>
              <w:t>2350mm</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2.锻炼部位：背部肌群、肱三头肌、三角肌后束、肱二头肌、胸大肌等</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3.主立管规格：≥120</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color w:val="000000"/>
                <w:kern w:val="0"/>
                <w:sz w:val="21"/>
                <w:szCs w:val="21"/>
                <w:lang w:bidi="ar"/>
              </w:rPr>
              <w:t>50</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color w:val="000000"/>
                <w:kern w:val="0"/>
                <w:sz w:val="21"/>
                <w:szCs w:val="21"/>
                <w:lang w:bidi="ar"/>
              </w:rPr>
              <w:t>3.0mm；</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4.主转轴材质：45#圆钢；规格：≥Ø25</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5.主轴轴承：人本6205轴承</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6.座垫：可调；材质：PU发泡成型；</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7.高柔韧性含油钢丝绳；表皮：PA材质；破断拉力≥1400KG</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8.导杆：实心、镀铬；</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9.滑轮：尼龙+玻璃纤维；最大训练载荷：≥200kg</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10.防护罩：龙门架两侧防护；材质：铁皮+亚克力板；</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11.端盖材质：铝合金；</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12.配重铁材质：铸铁；</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13.不小于7寸IPS触摸屏</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14.操作系统：安卓系统</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15.★具有数据上传功能，每次运动结束后，可上传手机端运动数据，包括成绩、次数、重量、卡路里、时间等</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16.★可显示器械运行状态图及肌肉运动状态图、运动轨迹、等页面，提供运动数据储存及跟踪</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17.★可微信扫描登陆，选择训练目标启动设置目标次数、时间、卡路里</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18.★行程范围 量测范围：0mm-700mm，精度0.01m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19.★重量系统 重量感应范围：0kg-300kg，精度0.1kg</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20.★具有远程器械状态查看和在线异常报警</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highlight w:val="none"/>
                <w:lang w:bidi="ar"/>
              </w:rPr>
              <w:t>★产品</w:t>
            </w:r>
            <w:r>
              <w:rPr>
                <w:rFonts w:hint="eastAsia" w:cs="宋体"/>
                <w:color w:val="000000"/>
                <w:kern w:val="0"/>
                <w:sz w:val="21"/>
                <w:szCs w:val="21"/>
                <w:highlight w:val="none"/>
                <w:lang w:eastAsia="zh-CN" w:bidi="ar"/>
              </w:rPr>
              <w:t>符合</w:t>
            </w:r>
            <w:r>
              <w:rPr>
                <w:rFonts w:hint="eastAsia" w:ascii="宋体" w:hAnsi="宋体" w:eastAsia="宋体" w:cs="宋体"/>
                <w:color w:val="000000"/>
                <w:kern w:val="0"/>
                <w:sz w:val="21"/>
                <w:szCs w:val="21"/>
                <w:highlight w:val="none"/>
                <w:lang w:bidi="ar"/>
              </w:rPr>
              <w:t>GB17498.1-2008国家标准</w:t>
            </w:r>
            <w:r>
              <w:rPr>
                <w:rFonts w:hint="eastAsia" w:cs="宋体"/>
                <w:color w:val="000000"/>
                <w:kern w:val="0"/>
                <w:sz w:val="21"/>
                <w:szCs w:val="21"/>
                <w:highlight w:val="none"/>
                <w:lang w:eastAsia="zh-CN" w:bidi="ar"/>
              </w:rPr>
              <w:t>，</w:t>
            </w:r>
            <w:r>
              <w:rPr>
                <w:rFonts w:hint="eastAsia" w:ascii="宋体" w:hAnsi="宋体" w:eastAsia="宋体" w:cs="宋体"/>
                <w:b w:val="0"/>
                <w:bCs/>
                <w:color w:val="auto"/>
                <w:sz w:val="21"/>
                <w:szCs w:val="21"/>
                <w:highlight w:val="none"/>
                <w:lang w:eastAsia="zh-CN"/>
              </w:rPr>
              <w:t>须</w:t>
            </w:r>
            <w:r>
              <w:rPr>
                <w:rFonts w:hint="eastAsia" w:ascii="宋体" w:hAnsi="宋体" w:eastAsia="宋体" w:cs="宋体"/>
                <w:b w:val="0"/>
                <w:bCs/>
                <w:color w:val="auto"/>
                <w:sz w:val="21"/>
                <w:szCs w:val="21"/>
                <w:highlight w:val="none"/>
              </w:rPr>
              <w:t>承诺中标后提供由</w:t>
            </w:r>
            <w:r>
              <w:rPr>
                <w:rFonts w:hint="eastAsia" w:ascii="宋体" w:hAnsi="宋体" w:eastAsia="宋体" w:cs="宋体"/>
                <w:kern w:val="0"/>
                <w:sz w:val="21"/>
                <w:szCs w:val="21"/>
                <w:highlight w:val="none"/>
              </w:rPr>
              <w:t>国家体育用品质量监督检验中心</w:t>
            </w:r>
            <w:r>
              <w:rPr>
                <w:rFonts w:hint="eastAsia" w:cs="宋体"/>
                <w:kern w:val="0"/>
                <w:sz w:val="21"/>
                <w:szCs w:val="21"/>
                <w:highlight w:val="none"/>
                <w:lang w:eastAsia="zh-CN"/>
              </w:rPr>
              <w:t>出具的检测报告</w:t>
            </w:r>
            <w:r>
              <w:rPr>
                <w:rFonts w:hint="eastAsia" w:ascii="宋体" w:hAnsi="宋体" w:eastAsia="宋体" w:cs="宋体"/>
                <w:color w:val="000000"/>
                <w:kern w:val="0"/>
                <w:sz w:val="21"/>
                <w:szCs w:val="21"/>
                <w:highlight w:val="none"/>
                <w:lang w:bidi="ar"/>
              </w:rPr>
              <w:t>。</w:t>
            </w:r>
          </w:p>
        </w:tc>
      </w:tr>
      <w:tr w14:paraId="0A154CEC">
        <w:tblPrEx>
          <w:tblCellMar>
            <w:top w:w="0" w:type="dxa"/>
            <w:left w:w="108" w:type="dxa"/>
            <w:bottom w:w="0" w:type="dxa"/>
            <w:right w:w="108" w:type="dxa"/>
          </w:tblCellMar>
        </w:tblPrEx>
        <w:trPr>
          <w:trHeight w:val="3807"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BE97E8">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60</w:t>
            </w:r>
          </w:p>
        </w:tc>
        <w:tc>
          <w:tcPr>
            <w:tcW w:w="1641" w:type="dxa"/>
            <w:tcBorders>
              <w:top w:val="single" w:color="auto" w:sz="4" w:space="0"/>
              <w:left w:val="single" w:color="auto" w:sz="4" w:space="0"/>
              <w:bottom w:val="single" w:color="auto" w:sz="4" w:space="0"/>
              <w:right w:val="single" w:color="auto" w:sz="4" w:space="0"/>
            </w:tcBorders>
            <w:shd w:val="clear" w:color="auto" w:fill="auto"/>
            <w:vAlign w:val="center"/>
          </w:tcPr>
          <w:p w14:paraId="6EE407E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自由力量区</w:t>
            </w:r>
          </w:p>
          <w:p w14:paraId="0109257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地垫</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1EFA0F3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平方</w:t>
            </w:r>
            <w:r>
              <w:rPr>
                <w:rFonts w:hint="eastAsia" w:cs="宋体"/>
                <w:i w:val="0"/>
                <w:iCs w:val="0"/>
                <w:color w:val="000000"/>
                <w:kern w:val="0"/>
                <w:sz w:val="21"/>
                <w:szCs w:val="21"/>
                <w:u w:val="none"/>
                <w:lang w:val="en-US" w:eastAsia="zh-CN" w:bidi="ar"/>
              </w:rPr>
              <w:t>米</w:t>
            </w:r>
          </w:p>
        </w:tc>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FB782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w:t>
            </w:r>
          </w:p>
        </w:tc>
        <w:tc>
          <w:tcPr>
            <w:tcW w:w="1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68ABBB">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Chars="0"/>
              <w:jc w:val="left"/>
              <w:textAlignment w:val="auto"/>
              <w:rPr>
                <w:rFonts w:hint="eastAsia" w:cs="宋体"/>
                <w:color w:val="auto"/>
                <w:kern w:val="2"/>
                <w:sz w:val="20"/>
                <w:szCs w:val="20"/>
                <w:highlight w:val="none"/>
                <w:lang w:val="en-US" w:eastAsia="zh-CN" w:bidi="ar-SA"/>
              </w:rPr>
            </w:pPr>
            <w:r>
              <w:rPr>
                <w:rFonts w:hint="eastAsia"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材质：高弹性聚合物</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2.规格：长50cm×宽50cm或者100cm×100cm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3.厚度：2.0cm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4.邵氏硬度：59°</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5.拉伸强度：1.65MPa</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6.断裂伸长率：150%</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7.承重力：500N压痕0.31cm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★8．材料要求达到GB-6566-2010：天然放射性核素；内照射指数Ira＜0.2；放射比活度：核素镭-226活度＜25Bq/kg</w:t>
            </w:r>
            <w:r>
              <w:rPr>
                <w:rFonts w:hint="eastAsia" w:cs="宋体"/>
                <w:i w:val="0"/>
                <w:iCs w:val="0"/>
                <w:color w:val="auto"/>
                <w:kern w:val="0"/>
                <w:sz w:val="21"/>
                <w:szCs w:val="21"/>
                <w:highlight w:val="none"/>
                <w:u w:val="none"/>
                <w:lang w:val="en-US" w:eastAsia="zh-CN" w:bidi="ar"/>
              </w:rPr>
              <w:t>，</w:t>
            </w:r>
            <w:r>
              <w:rPr>
                <w:rFonts w:hint="eastAsia" w:cs="宋体"/>
                <w:color w:val="auto"/>
                <w:kern w:val="2"/>
                <w:sz w:val="20"/>
                <w:szCs w:val="20"/>
                <w:highlight w:val="none"/>
                <w:lang w:val="en-US" w:eastAsia="zh-CN" w:bidi="ar-SA"/>
              </w:rPr>
              <w:t>。</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★9．抗菌性：具有抗菌效果实验室检测报告，根据ISO22196：2011塑料和其他非多孔表面抗菌活动的检测；针对大肠杆菌ATCC8739的抗菌率超过99.65%；</w:t>
            </w:r>
            <w:r>
              <w:rPr>
                <w:rFonts w:hint="eastAsia" w:ascii="宋体" w:hAnsi="宋体" w:eastAsia="宋体" w:cs="宋体"/>
                <w:i w:val="0"/>
                <w:iCs w:val="0"/>
                <w:color w:val="auto"/>
                <w:kern w:val="0"/>
                <w:sz w:val="21"/>
                <w:szCs w:val="21"/>
                <w:highlight w:val="none"/>
                <w:u w:val="none"/>
                <w:lang w:val="en-US" w:eastAsia="zh-CN" w:bidi="ar"/>
              </w:rPr>
              <w:br w:type="textWrapping"/>
            </w:r>
            <w:r>
              <w:rPr>
                <w:rFonts w:hint="eastAsia" w:ascii="宋体" w:hAnsi="宋体" w:eastAsia="宋体" w:cs="宋体"/>
                <w:i w:val="0"/>
                <w:iCs w:val="0"/>
                <w:color w:val="auto"/>
                <w:kern w:val="0"/>
                <w:sz w:val="21"/>
                <w:szCs w:val="21"/>
                <w:highlight w:val="none"/>
                <w:u w:val="none"/>
                <w:lang w:val="en-US" w:eastAsia="zh-CN" w:bidi="ar"/>
              </w:rPr>
              <w:t>★10.耐污染性：具有弹性地面覆盖物染色和抗化学药剂性的测定报告，根据EN ISO26987：2012，针对次氯酸钠的耐污染性达到0级（备注：0级代表无影响）</w:t>
            </w:r>
            <w:r>
              <w:rPr>
                <w:rFonts w:hint="eastAsia" w:cs="宋体"/>
                <w:color w:val="auto"/>
                <w:kern w:val="2"/>
                <w:sz w:val="20"/>
                <w:szCs w:val="20"/>
                <w:highlight w:val="none"/>
                <w:lang w:val="en-US" w:eastAsia="zh-CN" w:bidi="ar-SA"/>
              </w:rPr>
              <w:t>。</w:t>
            </w:r>
          </w:p>
          <w:p w14:paraId="26D19A9E">
            <w:pPr>
              <w:keepNext w:val="0"/>
              <w:keepLines w:val="0"/>
              <w:pageBreakBefore w:val="0"/>
              <w:kinsoku/>
              <w:wordWrap/>
              <w:overflowPunct/>
              <w:topLinePunct w:val="0"/>
              <w:autoSpaceDE/>
              <w:autoSpaceDN/>
              <w:bidi w:val="0"/>
              <w:adjustRightInd/>
              <w:snapToGrid/>
              <w:spacing w:line="300" w:lineRule="exact"/>
              <w:ind w:left="0" w:leftChars="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b w:val="0"/>
                <w:bCs/>
                <w:color w:val="auto"/>
                <w:sz w:val="21"/>
                <w:szCs w:val="21"/>
                <w:highlight w:val="none"/>
                <w:lang w:eastAsia="zh-CN"/>
              </w:rPr>
              <w:t>以上</w:t>
            </w:r>
            <w:r>
              <w:rPr>
                <w:rFonts w:hint="eastAsia" w:ascii="宋体" w:hAnsi="宋体" w:eastAsia="宋体" w:cs="宋体"/>
                <w:b w:val="0"/>
                <w:bCs/>
                <w:color w:val="auto"/>
                <w:sz w:val="21"/>
                <w:szCs w:val="21"/>
                <w:highlight w:val="none"/>
                <w:lang w:val="en-US" w:eastAsia="zh-CN"/>
              </w:rPr>
              <w:t>8-10项</w:t>
            </w:r>
            <w:r>
              <w:rPr>
                <w:rFonts w:hint="eastAsia" w:ascii="宋体" w:hAnsi="宋体" w:eastAsia="宋体" w:cs="宋体"/>
                <w:b w:val="0"/>
                <w:bCs/>
                <w:color w:val="auto"/>
                <w:sz w:val="21"/>
                <w:szCs w:val="21"/>
                <w:highlight w:val="none"/>
                <w:lang w:eastAsia="zh-CN"/>
              </w:rPr>
              <w:t>须</w:t>
            </w:r>
            <w:r>
              <w:rPr>
                <w:rFonts w:hint="eastAsia" w:ascii="宋体" w:hAnsi="宋体" w:eastAsia="宋体" w:cs="宋体"/>
                <w:b w:val="0"/>
                <w:bCs/>
                <w:color w:val="auto"/>
                <w:sz w:val="21"/>
                <w:szCs w:val="21"/>
                <w:highlight w:val="none"/>
              </w:rPr>
              <w:t>承诺中标后提供由</w:t>
            </w:r>
            <w:r>
              <w:rPr>
                <w:rFonts w:hint="eastAsia" w:ascii="宋体" w:hAnsi="宋体" w:eastAsia="宋体" w:cs="宋体"/>
                <w:b w:val="0"/>
                <w:bCs/>
                <w:color w:val="auto"/>
                <w:sz w:val="21"/>
                <w:szCs w:val="21"/>
                <w:highlight w:val="none"/>
                <w:lang w:eastAsia="zh-CN"/>
              </w:rPr>
              <w:t>第三方</w:t>
            </w:r>
            <w:r>
              <w:rPr>
                <w:rFonts w:hint="eastAsia" w:ascii="宋体" w:hAnsi="宋体" w:eastAsia="宋体" w:cs="宋体"/>
                <w:b w:val="0"/>
                <w:bCs/>
                <w:color w:val="auto"/>
                <w:sz w:val="21"/>
                <w:szCs w:val="21"/>
                <w:highlight w:val="none"/>
              </w:rPr>
              <w:t>检测机构出具的带有CMA或CNAS标识的检测报告</w:t>
            </w:r>
            <w:r>
              <w:rPr>
                <w:rFonts w:hint="eastAsia" w:ascii="宋体" w:hAnsi="宋体" w:eastAsia="宋体" w:cs="宋体"/>
                <w:b w:val="0"/>
                <w:bCs/>
                <w:color w:val="auto"/>
                <w:sz w:val="21"/>
                <w:szCs w:val="21"/>
                <w:highlight w:val="none"/>
                <w:lang w:eastAsia="zh-CN"/>
              </w:rPr>
              <w:t>。</w:t>
            </w:r>
          </w:p>
        </w:tc>
      </w:tr>
      <w:tr w14:paraId="3D379E2A">
        <w:tblPrEx>
          <w:tblCellMar>
            <w:top w:w="0" w:type="dxa"/>
            <w:left w:w="108" w:type="dxa"/>
            <w:bottom w:w="0" w:type="dxa"/>
            <w:right w:w="108" w:type="dxa"/>
          </w:tblCellMar>
        </w:tblPrEx>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6061AD">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61</w:t>
            </w:r>
          </w:p>
        </w:tc>
        <w:tc>
          <w:tcPr>
            <w:tcW w:w="1641" w:type="dxa"/>
            <w:tcBorders>
              <w:top w:val="single" w:color="auto" w:sz="4" w:space="0"/>
              <w:left w:val="single" w:color="auto" w:sz="4" w:space="0"/>
              <w:bottom w:val="single" w:color="auto" w:sz="4" w:space="0"/>
              <w:right w:val="single" w:color="auto" w:sz="4" w:space="0"/>
            </w:tcBorders>
            <w:shd w:val="clear" w:color="auto" w:fill="auto"/>
            <w:vAlign w:val="center"/>
          </w:tcPr>
          <w:p w14:paraId="5A095E2A">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跑步机</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534315D0">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台</w:t>
            </w:r>
          </w:p>
        </w:tc>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FE1B41">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w:t>
            </w:r>
          </w:p>
        </w:tc>
        <w:tc>
          <w:tcPr>
            <w:tcW w:w="1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B4023E">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both"/>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1.屏幕参数不小于15.6寸触摸电容屏分辨率:1366</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color w:val="000000"/>
                <w:kern w:val="0"/>
                <w:sz w:val="21"/>
                <w:szCs w:val="21"/>
                <w:highlight w:val="none"/>
                <w:lang w:val="en-US" w:eastAsia="zh-CN"/>
              </w:rPr>
              <w:t>768；操作系统：安卓系统 驱动马达:交流马达；WIN8界面设计带wifi链接上网功能、浏览器可播放网络电视、电影、音乐、新闻节目等。</w:t>
            </w:r>
            <w:r>
              <w:rPr>
                <w:rFonts w:hint="eastAsia" w:ascii="宋体" w:hAnsi="宋体" w:eastAsia="宋体" w:cs="宋体"/>
                <w:color w:val="000000"/>
                <w:kern w:val="0"/>
                <w:sz w:val="21"/>
                <w:szCs w:val="21"/>
                <w:highlight w:val="none"/>
                <w:lang w:val="en-US" w:eastAsia="zh-CN"/>
              </w:rPr>
              <w:br w:type="textWrapping"/>
            </w:r>
            <w:r>
              <w:rPr>
                <w:rFonts w:hint="eastAsia" w:ascii="宋体" w:hAnsi="宋体" w:eastAsia="宋体" w:cs="宋体"/>
                <w:color w:val="000000"/>
                <w:kern w:val="0"/>
                <w:sz w:val="21"/>
                <w:szCs w:val="21"/>
                <w:highlight w:val="none"/>
                <w:lang w:val="en-US" w:eastAsia="zh-CN"/>
              </w:rPr>
              <w:t xml:space="preserve">★2.速度范围：≥0.8-20Km/；坡度范围：≥-3%-15% </w:t>
            </w:r>
            <w:r>
              <w:rPr>
                <w:rFonts w:hint="eastAsia" w:ascii="宋体" w:hAnsi="宋体" w:eastAsia="宋体" w:cs="宋体"/>
                <w:color w:val="000000"/>
                <w:kern w:val="0"/>
                <w:sz w:val="21"/>
                <w:szCs w:val="21"/>
                <w:highlight w:val="none"/>
                <w:lang w:val="en-US" w:eastAsia="zh-CN"/>
              </w:rPr>
              <w:br w:type="textWrapping"/>
            </w:r>
            <w:r>
              <w:rPr>
                <w:rFonts w:hint="eastAsia" w:ascii="宋体" w:hAnsi="宋体" w:eastAsia="宋体" w:cs="宋体"/>
                <w:color w:val="000000"/>
                <w:kern w:val="0"/>
                <w:sz w:val="21"/>
                <w:szCs w:val="21"/>
                <w:highlight w:val="none"/>
                <w:lang w:val="en-US" w:eastAsia="zh-CN"/>
              </w:rPr>
              <w:t xml:space="preserve">3.跑带厚度：≥2.2mm   板厚度：≥25mm  </w:t>
            </w:r>
            <w:r>
              <w:rPr>
                <w:rFonts w:hint="eastAsia" w:ascii="宋体" w:hAnsi="宋体" w:eastAsia="宋体" w:cs="宋体"/>
                <w:color w:val="000000"/>
                <w:kern w:val="0"/>
                <w:sz w:val="21"/>
                <w:szCs w:val="21"/>
                <w:highlight w:val="none"/>
                <w:lang w:val="en-US" w:eastAsia="zh-CN"/>
              </w:rPr>
              <w:br w:type="textWrapping"/>
            </w:r>
            <w:r>
              <w:rPr>
                <w:rFonts w:hint="eastAsia" w:ascii="宋体" w:hAnsi="宋体" w:eastAsia="宋体" w:cs="宋体"/>
                <w:color w:val="000000"/>
                <w:kern w:val="0"/>
                <w:sz w:val="21"/>
                <w:szCs w:val="21"/>
                <w:highlight w:val="none"/>
                <w:lang w:val="en-US" w:eastAsia="zh-CN"/>
              </w:rPr>
              <w:t>★4.跑步表面尺寸（长</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color w:val="000000"/>
                <w:kern w:val="0"/>
                <w:sz w:val="21"/>
                <w:szCs w:val="21"/>
                <w:highlight w:val="none"/>
                <w:lang w:val="en-US" w:eastAsia="zh-CN"/>
              </w:rPr>
              <w:t>宽）≥1565×570mm</w:t>
            </w:r>
            <w:r>
              <w:rPr>
                <w:rFonts w:hint="eastAsia" w:ascii="宋体" w:hAnsi="宋体" w:eastAsia="宋体" w:cs="宋体"/>
                <w:color w:val="000000"/>
                <w:kern w:val="0"/>
                <w:sz w:val="21"/>
                <w:szCs w:val="21"/>
                <w:highlight w:val="none"/>
                <w:lang w:val="en-US" w:eastAsia="zh-CN"/>
              </w:rPr>
              <w:br w:type="textWrapping"/>
            </w:r>
            <w:r>
              <w:rPr>
                <w:rFonts w:hint="eastAsia" w:ascii="宋体" w:hAnsi="宋体" w:eastAsia="宋体" w:cs="宋体"/>
                <w:color w:val="000000"/>
                <w:kern w:val="0"/>
                <w:sz w:val="21"/>
                <w:szCs w:val="21"/>
                <w:highlight w:val="none"/>
                <w:lang w:val="en-US" w:eastAsia="zh-CN"/>
              </w:rPr>
              <w:t>★5.产品尺寸（长</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color w:val="000000"/>
                <w:kern w:val="0"/>
                <w:sz w:val="21"/>
                <w:szCs w:val="21"/>
                <w:highlight w:val="none"/>
                <w:lang w:val="en-US" w:eastAsia="zh-CN"/>
              </w:rPr>
              <w:t>宽</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color w:val="000000"/>
                <w:kern w:val="0"/>
                <w:sz w:val="21"/>
                <w:szCs w:val="21"/>
                <w:highlight w:val="none"/>
                <w:lang w:val="en-US" w:eastAsia="zh-CN"/>
              </w:rPr>
              <w:t>高）≥2175×950×1600mm</w:t>
            </w:r>
            <w:r>
              <w:rPr>
                <w:rFonts w:hint="eastAsia" w:ascii="宋体" w:hAnsi="宋体" w:eastAsia="宋体" w:cs="宋体"/>
                <w:color w:val="000000"/>
                <w:kern w:val="0"/>
                <w:sz w:val="21"/>
                <w:szCs w:val="21"/>
                <w:highlight w:val="none"/>
                <w:lang w:val="en-US" w:eastAsia="zh-CN"/>
              </w:rPr>
              <w:br w:type="textWrapping"/>
            </w:r>
            <w:r>
              <w:rPr>
                <w:rFonts w:hint="eastAsia" w:ascii="宋体" w:hAnsi="宋体" w:eastAsia="宋体" w:cs="宋体"/>
                <w:color w:val="000000"/>
                <w:kern w:val="0"/>
                <w:sz w:val="21"/>
                <w:szCs w:val="21"/>
                <w:highlight w:val="none"/>
                <w:lang w:val="en-US" w:eastAsia="zh-CN"/>
              </w:rPr>
              <w:t>6</w:t>
            </w:r>
            <w:r>
              <w:rPr>
                <w:rFonts w:hint="eastAsia"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lang w:val="en-US" w:eastAsia="zh-CN"/>
              </w:rPr>
              <w:t>主立管规格：≥200×70×2.5mm</w:t>
            </w:r>
            <w:r>
              <w:rPr>
                <w:rFonts w:hint="eastAsia" w:ascii="宋体" w:hAnsi="宋体" w:eastAsia="宋体" w:cs="宋体"/>
                <w:color w:val="000000"/>
                <w:kern w:val="0"/>
                <w:sz w:val="21"/>
                <w:szCs w:val="21"/>
                <w:highlight w:val="none"/>
                <w:lang w:val="en-US" w:eastAsia="zh-CN"/>
              </w:rPr>
              <w:br w:type="textWrapping"/>
            </w:r>
            <w:r>
              <w:rPr>
                <w:rFonts w:hint="eastAsia" w:cs="宋体"/>
                <w:color w:val="000000"/>
                <w:kern w:val="0"/>
                <w:sz w:val="21"/>
                <w:szCs w:val="21"/>
                <w:highlight w:val="none"/>
                <w:lang w:val="en-US" w:eastAsia="zh-CN"/>
              </w:rPr>
              <w:t>7.</w:t>
            </w:r>
            <w:r>
              <w:rPr>
                <w:rFonts w:hint="eastAsia" w:ascii="宋体" w:hAnsi="宋体" w:eastAsia="宋体" w:cs="宋体"/>
                <w:color w:val="000000"/>
                <w:kern w:val="0"/>
                <w:sz w:val="21"/>
                <w:szCs w:val="21"/>
                <w:highlight w:val="none"/>
                <w:lang w:val="en-US" w:eastAsia="zh-CN"/>
              </w:rPr>
              <w:t>跑步机带运动大数据上传功能，当天运动数据总结页面、运动结束后跑步机会显示运动相关数据（跑步里程、时长、平均速度、消耗卡路里等），即时推送发微信运动告知个人，并管理个人数据库。</w:t>
            </w:r>
            <w:r>
              <w:rPr>
                <w:rFonts w:hint="eastAsia" w:ascii="宋体" w:hAnsi="宋体" w:eastAsia="宋体" w:cs="宋体"/>
                <w:color w:val="000000"/>
                <w:kern w:val="0"/>
                <w:sz w:val="21"/>
                <w:szCs w:val="21"/>
                <w:highlight w:val="none"/>
                <w:lang w:val="en-US" w:eastAsia="zh-CN"/>
              </w:rPr>
              <w:br w:type="textWrapping"/>
            </w:r>
            <w:r>
              <w:rPr>
                <w:rFonts w:hint="eastAsia" w:cs="宋体"/>
                <w:color w:val="000000"/>
                <w:kern w:val="0"/>
                <w:sz w:val="21"/>
                <w:szCs w:val="21"/>
                <w:highlight w:val="none"/>
                <w:lang w:val="en-US" w:eastAsia="zh-CN"/>
              </w:rPr>
              <w:t>8.</w:t>
            </w:r>
            <w:r>
              <w:rPr>
                <w:rFonts w:hint="eastAsia" w:ascii="宋体" w:hAnsi="宋体" w:eastAsia="宋体" w:cs="宋体"/>
                <w:color w:val="000000"/>
                <w:kern w:val="0"/>
                <w:sz w:val="21"/>
                <w:szCs w:val="21"/>
                <w:highlight w:val="none"/>
                <w:lang w:val="en-US" w:eastAsia="zh-CN"/>
              </w:rPr>
              <w:t>跑步机可通过机身二维码登陆智能健身软件，输入个人身高、体重、出生年月，系统会自动生成目标体重、有氧目标、训练目标等信息全程指导个人进行正确锻炼。</w:t>
            </w:r>
            <w:r>
              <w:rPr>
                <w:rFonts w:hint="eastAsia" w:ascii="宋体" w:hAnsi="宋体" w:eastAsia="宋体" w:cs="宋体"/>
                <w:color w:val="000000"/>
                <w:kern w:val="0"/>
                <w:sz w:val="21"/>
                <w:szCs w:val="21"/>
                <w:highlight w:val="none"/>
                <w:lang w:val="en-US" w:eastAsia="zh-CN"/>
              </w:rPr>
              <w:br w:type="textWrapping"/>
            </w:r>
            <w:r>
              <w:rPr>
                <w:rFonts w:hint="eastAsia" w:cs="宋体"/>
                <w:color w:val="000000"/>
                <w:kern w:val="0"/>
                <w:sz w:val="21"/>
                <w:szCs w:val="21"/>
                <w:highlight w:val="none"/>
                <w:lang w:val="en-US" w:eastAsia="zh-CN"/>
              </w:rPr>
              <w:t>9.</w:t>
            </w:r>
            <w:r>
              <w:rPr>
                <w:rFonts w:hint="eastAsia" w:ascii="宋体" w:hAnsi="宋体" w:eastAsia="宋体" w:cs="宋体"/>
                <w:color w:val="000000"/>
                <w:kern w:val="0"/>
                <w:sz w:val="21"/>
                <w:szCs w:val="21"/>
                <w:highlight w:val="none"/>
                <w:lang w:val="en-US" w:eastAsia="zh-CN"/>
              </w:rPr>
              <w:t>跑步机扫码登陆可在线观看科学健身培训视频，定期更新系统培训视频，用户可免费共享所有视频培训内容。</w:t>
            </w:r>
            <w:r>
              <w:rPr>
                <w:rFonts w:hint="eastAsia" w:ascii="宋体" w:hAnsi="宋体" w:eastAsia="宋体" w:cs="宋体"/>
                <w:color w:val="000000"/>
                <w:kern w:val="0"/>
                <w:sz w:val="21"/>
                <w:szCs w:val="21"/>
                <w:highlight w:val="none"/>
                <w:lang w:val="en-US" w:eastAsia="zh-CN"/>
              </w:rPr>
              <w:br w:type="textWrapping"/>
            </w:r>
            <w:r>
              <w:rPr>
                <w:rFonts w:hint="eastAsia" w:cs="宋体"/>
                <w:color w:val="000000"/>
                <w:kern w:val="0"/>
                <w:sz w:val="21"/>
                <w:szCs w:val="21"/>
                <w:highlight w:val="none"/>
                <w:lang w:val="en-US" w:eastAsia="zh-CN"/>
              </w:rPr>
              <w:t>10.</w:t>
            </w:r>
            <w:r>
              <w:rPr>
                <w:rFonts w:hint="eastAsia" w:ascii="宋体" w:hAnsi="宋体" w:eastAsia="宋体" w:cs="宋体"/>
                <w:color w:val="000000"/>
                <w:kern w:val="0"/>
                <w:sz w:val="21"/>
                <w:szCs w:val="21"/>
                <w:highlight w:val="none"/>
                <w:lang w:val="en-US" w:eastAsia="zh-CN"/>
              </w:rPr>
              <w:t>支持安卓及苹果IOS系统用户可通过跑步机二维邀请码邀请好友自行组建训练群组，可显示群组内成员每天、每周、每月运动数据排名,带用户管理系统可注册登录用户进行运动数据的记录；</w:t>
            </w:r>
            <w:r>
              <w:rPr>
                <w:rFonts w:hint="eastAsia" w:ascii="宋体" w:hAnsi="宋体" w:eastAsia="宋体" w:cs="宋体"/>
                <w:color w:val="000000"/>
                <w:kern w:val="0"/>
                <w:sz w:val="21"/>
                <w:szCs w:val="21"/>
                <w:highlight w:val="none"/>
                <w:lang w:val="en-US" w:eastAsia="zh-CN"/>
              </w:rPr>
              <w:br w:type="textWrapping"/>
            </w:r>
            <w:r>
              <w:rPr>
                <w:rFonts w:hint="eastAsia" w:cs="宋体"/>
                <w:color w:val="000000"/>
                <w:kern w:val="0"/>
                <w:sz w:val="21"/>
                <w:szCs w:val="21"/>
                <w:highlight w:val="none"/>
                <w:lang w:val="en-US" w:eastAsia="zh-CN"/>
              </w:rPr>
              <w:t>11.</w:t>
            </w:r>
            <w:r>
              <w:rPr>
                <w:rFonts w:hint="eastAsia" w:ascii="宋体" w:hAnsi="宋体" w:eastAsia="宋体" w:cs="宋体"/>
                <w:color w:val="000000"/>
                <w:kern w:val="0"/>
                <w:sz w:val="21"/>
                <w:szCs w:val="21"/>
                <w:highlight w:val="none"/>
                <w:lang w:val="en-US" w:eastAsia="zh-CN"/>
              </w:rPr>
              <w:t>场景跑步、地图跑步、多国语言一键切换功能，内置高清触摸屏虚拟场景跑步模式，户外真实场景不少于2组（跑台可根据场景变化产生坡度速度变化）。</w:t>
            </w:r>
            <w:r>
              <w:rPr>
                <w:rFonts w:hint="eastAsia" w:ascii="宋体" w:hAnsi="宋体" w:eastAsia="宋体" w:cs="宋体"/>
                <w:color w:val="000000"/>
                <w:kern w:val="0"/>
                <w:sz w:val="21"/>
                <w:szCs w:val="21"/>
                <w:highlight w:val="none"/>
                <w:lang w:val="en-US" w:eastAsia="zh-CN"/>
              </w:rPr>
              <w:br w:type="textWrapping"/>
            </w:r>
            <w:r>
              <w:rPr>
                <w:rFonts w:hint="eastAsia" w:ascii="宋体" w:hAnsi="宋体" w:eastAsia="宋体" w:cs="宋体"/>
                <w:color w:val="000000"/>
                <w:kern w:val="0"/>
                <w:sz w:val="21"/>
                <w:szCs w:val="21"/>
                <w:highlight w:val="none"/>
                <w:lang w:bidi="ar"/>
              </w:rPr>
              <w:t>★产品</w:t>
            </w:r>
            <w:r>
              <w:rPr>
                <w:rFonts w:hint="eastAsia" w:cs="宋体"/>
                <w:color w:val="000000"/>
                <w:kern w:val="0"/>
                <w:sz w:val="21"/>
                <w:szCs w:val="21"/>
                <w:highlight w:val="none"/>
                <w:lang w:eastAsia="zh-CN" w:bidi="ar"/>
              </w:rPr>
              <w:t>符合</w:t>
            </w:r>
            <w:r>
              <w:rPr>
                <w:rFonts w:hint="eastAsia" w:ascii="宋体" w:hAnsi="宋体" w:eastAsia="宋体" w:cs="宋体"/>
                <w:color w:val="000000"/>
                <w:kern w:val="0"/>
                <w:sz w:val="21"/>
                <w:szCs w:val="21"/>
                <w:highlight w:val="none"/>
                <w:lang w:bidi="ar"/>
              </w:rPr>
              <w:t>GB17498.1-2008国家标准</w:t>
            </w:r>
            <w:r>
              <w:rPr>
                <w:rFonts w:hint="eastAsia" w:cs="宋体"/>
                <w:color w:val="000000"/>
                <w:kern w:val="0"/>
                <w:sz w:val="21"/>
                <w:szCs w:val="21"/>
                <w:highlight w:val="none"/>
                <w:lang w:eastAsia="zh-CN" w:bidi="ar"/>
              </w:rPr>
              <w:t>，</w:t>
            </w:r>
            <w:r>
              <w:rPr>
                <w:rFonts w:hint="eastAsia" w:ascii="宋体" w:hAnsi="宋体" w:eastAsia="宋体" w:cs="宋体"/>
                <w:b w:val="0"/>
                <w:bCs/>
                <w:color w:val="auto"/>
                <w:sz w:val="21"/>
                <w:szCs w:val="21"/>
                <w:highlight w:val="none"/>
                <w:lang w:eastAsia="zh-CN"/>
              </w:rPr>
              <w:t>须</w:t>
            </w:r>
            <w:r>
              <w:rPr>
                <w:rFonts w:hint="eastAsia" w:ascii="宋体" w:hAnsi="宋体" w:eastAsia="宋体" w:cs="宋体"/>
                <w:b w:val="0"/>
                <w:bCs/>
                <w:color w:val="auto"/>
                <w:sz w:val="21"/>
                <w:szCs w:val="21"/>
                <w:highlight w:val="none"/>
              </w:rPr>
              <w:t>承诺中标后提供由</w:t>
            </w:r>
            <w:r>
              <w:rPr>
                <w:rFonts w:hint="eastAsia" w:ascii="宋体" w:hAnsi="宋体" w:eastAsia="宋体" w:cs="宋体"/>
                <w:kern w:val="0"/>
                <w:sz w:val="21"/>
                <w:szCs w:val="21"/>
                <w:highlight w:val="none"/>
              </w:rPr>
              <w:t>国家体育用品质量监督检验中心</w:t>
            </w:r>
            <w:r>
              <w:rPr>
                <w:rFonts w:hint="eastAsia" w:cs="宋体"/>
                <w:kern w:val="0"/>
                <w:sz w:val="21"/>
                <w:szCs w:val="21"/>
                <w:highlight w:val="none"/>
                <w:lang w:eastAsia="zh-CN"/>
              </w:rPr>
              <w:t>出具的检测报告</w:t>
            </w:r>
            <w:r>
              <w:rPr>
                <w:rFonts w:hint="eastAsia" w:ascii="宋体" w:hAnsi="宋体" w:eastAsia="宋体" w:cs="宋体"/>
                <w:color w:val="000000"/>
                <w:kern w:val="0"/>
                <w:sz w:val="21"/>
                <w:szCs w:val="21"/>
                <w:highlight w:val="none"/>
                <w:lang w:bidi="ar"/>
              </w:rPr>
              <w:t>。</w:t>
            </w:r>
          </w:p>
        </w:tc>
      </w:tr>
      <w:tr w14:paraId="464CD29B">
        <w:tblPrEx>
          <w:tblCellMar>
            <w:top w:w="0" w:type="dxa"/>
            <w:left w:w="108" w:type="dxa"/>
            <w:bottom w:w="0" w:type="dxa"/>
            <w:right w:w="108" w:type="dxa"/>
          </w:tblCellMar>
        </w:tblPrEx>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E830C2">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62</w:t>
            </w:r>
          </w:p>
        </w:tc>
        <w:tc>
          <w:tcPr>
            <w:tcW w:w="1641" w:type="dxa"/>
            <w:tcBorders>
              <w:top w:val="single" w:color="auto" w:sz="4" w:space="0"/>
              <w:left w:val="single" w:color="auto" w:sz="4" w:space="0"/>
              <w:bottom w:val="single" w:color="auto" w:sz="4" w:space="0"/>
              <w:right w:val="single" w:color="auto" w:sz="4" w:space="0"/>
            </w:tcBorders>
            <w:shd w:val="clear" w:color="auto" w:fill="auto"/>
            <w:vAlign w:val="center"/>
          </w:tcPr>
          <w:p w14:paraId="391B6A43">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椭圆机</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0F502CD5">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台</w:t>
            </w:r>
          </w:p>
        </w:tc>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30E8DE">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w:t>
            </w:r>
          </w:p>
        </w:tc>
        <w:tc>
          <w:tcPr>
            <w:tcW w:w="1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AB7734">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1.坡度调整方式：固定坡度</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2.阻力调节方式：电磁控式</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3.步幅：45cm(含)-50cm(不含)</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4.驱动类型：前轮驱动</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5.飞轮重量：10kg</w:t>
            </w:r>
          </w:p>
        </w:tc>
      </w:tr>
      <w:tr w14:paraId="4B25F5AF">
        <w:tblPrEx>
          <w:tblCellMar>
            <w:top w:w="0" w:type="dxa"/>
            <w:left w:w="108" w:type="dxa"/>
            <w:bottom w:w="0" w:type="dxa"/>
            <w:right w:w="108" w:type="dxa"/>
          </w:tblCellMar>
        </w:tblPrEx>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A18247">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63</w:t>
            </w:r>
          </w:p>
        </w:tc>
        <w:tc>
          <w:tcPr>
            <w:tcW w:w="1641" w:type="dxa"/>
            <w:tcBorders>
              <w:top w:val="single" w:color="auto" w:sz="4" w:space="0"/>
              <w:left w:val="single" w:color="auto" w:sz="4" w:space="0"/>
              <w:bottom w:val="single" w:color="auto" w:sz="4" w:space="0"/>
              <w:right w:val="single" w:color="auto" w:sz="4" w:space="0"/>
            </w:tcBorders>
            <w:shd w:val="clear" w:color="auto" w:fill="auto"/>
            <w:vAlign w:val="center"/>
          </w:tcPr>
          <w:p w14:paraId="62C12BFC">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lang w:val="en-US" w:eastAsia="zh-CN"/>
              </w:rPr>
            </w:pPr>
            <w:r>
              <w:rPr>
                <w:rFonts w:hint="eastAsia" w:ascii="宋体" w:hAnsi="宋体" w:eastAsia="宋体" w:cs="宋体"/>
                <w:b/>
                <w:bCs/>
                <w:color w:val="000000"/>
                <w:kern w:val="0"/>
                <w:sz w:val="21"/>
                <w:szCs w:val="21"/>
                <w:highlight w:val="none"/>
                <w:lang w:val="en-US" w:eastAsia="zh-CN"/>
              </w:rPr>
              <w:t>乒乓球桌</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779A6BD4">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张</w:t>
            </w:r>
          </w:p>
        </w:tc>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77F09F">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w:t>
            </w:r>
          </w:p>
        </w:tc>
        <w:tc>
          <w:tcPr>
            <w:tcW w:w="1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B35895">
            <w:pPr>
              <w:keepNext w:val="0"/>
              <w:keepLines w:val="0"/>
              <w:pageBreakBefore w:val="0"/>
              <w:widowControl/>
              <w:shd w:val="clear"/>
              <w:kinsoku/>
              <w:wordWrap/>
              <w:overflowPunct/>
              <w:topLinePunct w:val="0"/>
              <w:autoSpaceDE/>
              <w:autoSpaceDN/>
              <w:bidi w:val="0"/>
              <w:adjustRightInd/>
              <w:snapToGrid/>
              <w:spacing w:line="280" w:lineRule="exact"/>
              <w:ind w:left="0" w:leftChars="0" w:firstLine="0" w:firstLineChars="0"/>
              <w:jc w:val="left"/>
              <w:textAlignment w:val="auto"/>
              <w:rPr>
                <w:rFonts w:hint="default" w:ascii="宋体" w:hAnsi="宋体" w:eastAsia="宋体" w:cs="宋体"/>
                <w:color w:val="000000"/>
                <w:kern w:val="0"/>
                <w:sz w:val="20"/>
                <w:szCs w:val="20"/>
                <w:highlight w:val="none"/>
                <w:lang w:val="en-US" w:eastAsia="zh-CN"/>
              </w:rPr>
            </w:pPr>
            <w:r>
              <w:rPr>
                <w:rFonts w:hint="eastAsia" w:ascii="宋体" w:hAnsi="宋体" w:eastAsia="宋体" w:cs="宋体"/>
                <w:color w:val="000000"/>
                <w:kern w:val="0"/>
                <w:sz w:val="21"/>
                <w:szCs w:val="21"/>
                <w:highlight w:val="none"/>
                <w:lang w:val="en-US" w:eastAsia="zh-CN"/>
              </w:rPr>
              <w:t>乒兵球</w:t>
            </w:r>
            <w:r>
              <w:rPr>
                <w:rFonts w:hint="eastAsia" w:cs="宋体"/>
                <w:color w:val="000000"/>
                <w:kern w:val="0"/>
                <w:sz w:val="21"/>
                <w:szCs w:val="21"/>
                <w:highlight w:val="none"/>
                <w:lang w:val="en-US" w:eastAsia="zh-CN"/>
              </w:rPr>
              <w:t>桌</w:t>
            </w:r>
            <w:r>
              <w:rPr>
                <w:rFonts w:hint="eastAsia" w:ascii="宋体" w:hAnsi="宋体" w:eastAsia="宋体" w:cs="宋体"/>
                <w:color w:val="000000"/>
                <w:kern w:val="0"/>
                <w:sz w:val="21"/>
                <w:szCs w:val="21"/>
                <w:highlight w:val="none"/>
                <w:lang w:val="en-US" w:eastAsia="zh-CN"/>
              </w:rPr>
              <w:br w:type="textWrapping"/>
            </w:r>
            <w:r>
              <w:rPr>
                <w:rFonts w:hint="eastAsia" w:ascii="宋体" w:hAnsi="宋体" w:eastAsia="宋体" w:cs="宋体"/>
                <w:color w:val="000000"/>
                <w:kern w:val="0"/>
                <w:sz w:val="21"/>
                <w:szCs w:val="21"/>
                <w:highlight w:val="none"/>
                <w:lang w:val="en-US" w:eastAsia="zh-CN"/>
              </w:rPr>
              <w:t>系列：国际经典系列</w:t>
            </w:r>
            <w:r>
              <w:rPr>
                <w:rFonts w:hint="eastAsia" w:cs="宋体"/>
                <w:color w:val="000000"/>
                <w:kern w:val="0"/>
                <w:sz w:val="20"/>
                <w:szCs w:val="20"/>
                <w:highlight w:val="none"/>
                <w:lang w:eastAsia="zh-CN"/>
              </w:rPr>
              <w:t>（</w:t>
            </w:r>
            <w:r>
              <w:rPr>
                <w:rFonts w:hint="eastAsia" w:cs="宋体"/>
                <w:color w:val="000000"/>
                <w:kern w:val="0"/>
                <w:sz w:val="20"/>
                <w:szCs w:val="20"/>
                <w:highlight w:val="none"/>
                <w:lang w:val="en-US" w:eastAsia="zh-CN"/>
              </w:rPr>
              <w:t>近三届全运会指定产品）</w:t>
            </w:r>
          </w:p>
          <w:p w14:paraId="2114C203">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室内球台/室外球台：室内球台</w:t>
            </w:r>
            <w:r>
              <w:rPr>
                <w:rFonts w:hint="eastAsia" w:ascii="宋体" w:hAnsi="宋体" w:eastAsia="宋体" w:cs="宋体"/>
                <w:color w:val="000000"/>
                <w:kern w:val="0"/>
                <w:sz w:val="21"/>
                <w:szCs w:val="21"/>
                <w:highlight w:val="none"/>
                <w:lang w:val="en-US" w:eastAsia="zh-CN"/>
              </w:rPr>
              <w:br w:type="textWrapping"/>
            </w:r>
            <w:r>
              <w:rPr>
                <w:rFonts w:hint="eastAsia" w:ascii="宋体" w:hAnsi="宋体" w:eastAsia="宋体" w:cs="宋体"/>
                <w:color w:val="000000"/>
                <w:kern w:val="0"/>
                <w:sz w:val="21"/>
                <w:szCs w:val="21"/>
                <w:highlight w:val="none"/>
                <w:lang w:val="en-US" w:eastAsia="zh-CN"/>
              </w:rPr>
              <w:t>台面颜色：蓝色/黑色</w:t>
            </w:r>
            <w:r>
              <w:rPr>
                <w:rFonts w:hint="eastAsia" w:ascii="宋体" w:hAnsi="宋体" w:eastAsia="宋体" w:cs="宋体"/>
                <w:color w:val="000000"/>
                <w:kern w:val="0"/>
                <w:sz w:val="21"/>
                <w:szCs w:val="21"/>
                <w:highlight w:val="none"/>
                <w:lang w:val="en-US" w:eastAsia="zh-CN"/>
              </w:rPr>
              <w:br w:type="textWrapping"/>
            </w:r>
            <w:r>
              <w:rPr>
                <w:rFonts w:hint="eastAsia" w:ascii="宋体" w:hAnsi="宋体" w:eastAsia="宋体" w:cs="宋体"/>
                <w:color w:val="000000"/>
                <w:kern w:val="0"/>
                <w:sz w:val="21"/>
                <w:szCs w:val="21"/>
                <w:highlight w:val="none"/>
                <w:lang w:val="en-US" w:eastAsia="zh-CN"/>
              </w:rPr>
              <w:t>台面材质：</w:t>
            </w:r>
            <w:r>
              <w:rPr>
                <w:rFonts w:hint="eastAsia" w:cs="宋体"/>
                <w:color w:val="000000"/>
                <w:kern w:val="0"/>
                <w:sz w:val="21"/>
                <w:szCs w:val="21"/>
                <w:highlight w:val="none"/>
                <w:lang w:val="en-US" w:eastAsia="zh-CN"/>
              </w:rPr>
              <w:t>M</w:t>
            </w:r>
            <w:r>
              <w:rPr>
                <w:rFonts w:hint="eastAsia" w:ascii="宋体" w:hAnsi="宋体" w:eastAsia="宋体" w:cs="宋体"/>
                <w:color w:val="000000"/>
                <w:kern w:val="0"/>
                <w:sz w:val="21"/>
                <w:szCs w:val="21"/>
                <w:highlight w:val="none"/>
                <w:lang w:val="en-US" w:eastAsia="zh-CN"/>
              </w:rPr>
              <w:t>DF</w:t>
            </w:r>
            <w:r>
              <w:rPr>
                <w:rFonts w:hint="eastAsia" w:ascii="宋体" w:hAnsi="宋体" w:eastAsia="宋体" w:cs="宋体"/>
                <w:color w:val="000000"/>
                <w:kern w:val="0"/>
                <w:sz w:val="21"/>
                <w:szCs w:val="21"/>
                <w:highlight w:val="none"/>
                <w:lang w:val="en-US" w:eastAsia="zh-CN"/>
              </w:rPr>
              <w:br w:type="textWrapping"/>
            </w:r>
            <w:r>
              <w:rPr>
                <w:rFonts w:hint="eastAsia" w:ascii="宋体" w:hAnsi="宋体" w:eastAsia="宋体" w:cs="宋体"/>
                <w:color w:val="000000"/>
                <w:kern w:val="0"/>
                <w:sz w:val="21"/>
                <w:szCs w:val="21"/>
                <w:highlight w:val="none"/>
                <w:lang w:val="en-US" w:eastAsia="zh-CN"/>
              </w:rPr>
              <w:t>台面尺寸：常规尺寸</w:t>
            </w:r>
            <w:r>
              <w:rPr>
                <w:rFonts w:hint="eastAsia" w:ascii="宋体" w:hAnsi="宋体" w:eastAsia="宋体" w:cs="宋体"/>
                <w:color w:val="000000"/>
                <w:kern w:val="0"/>
                <w:sz w:val="21"/>
                <w:szCs w:val="21"/>
                <w:highlight w:val="none"/>
                <w:lang w:val="en-US" w:eastAsia="zh-CN"/>
              </w:rPr>
              <w:br w:type="textWrapping"/>
            </w:r>
            <w:r>
              <w:rPr>
                <w:rFonts w:hint="eastAsia" w:ascii="宋体" w:hAnsi="宋体" w:eastAsia="宋体" w:cs="宋体"/>
                <w:color w:val="000000"/>
                <w:kern w:val="0"/>
                <w:sz w:val="21"/>
                <w:szCs w:val="21"/>
                <w:highlight w:val="none"/>
                <w:lang w:val="en-US" w:eastAsia="zh-CN"/>
              </w:rPr>
              <w:t>标准尺寸：</w:t>
            </w:r>
            <w:r>
              <w:rPr>
                <w:rFonts w:hint="eastAsia" w:ascii="宋体" w:hAnsi="宋体" w:eastAsia="宋体" w:cs="宋体"/>
                <w:color w:val="000000"/>
                <w:kern w:val="0"/>
                <w:sz w:val="21"/>
                <w:szCs w:val="21"/>
                <w:highlight w:val="none"/>
                <w:lang w:val="en-US" w:eastAsia="zh-CN"/>
              </w:rPr>
              <w:br w:type="textWrapping"/>
            </w:r>
            <w:r>
              <w:rPr>
                <w:rFonts w:hint="eastAsia" w:ascii="宋体" w:hAnsi="宋体" w:eastAsia="宋体" w:cs="宋体"/>
                <w:color w:val="000000"/>
                <w:kern w:val="0"/>
                <w:sz w:val="21"/>
                <w:szCs w:val="21"/>
                <w:highlight w:val="none"/>
                <w:lang w:val="en-US" w:eastAsia="zh-CN"/>
              </w:rPr>
              <w:t>台长：2740mm,台宽：1525mm,台高：760mm</w:t>
            </w:r>
            <w:r>
              <w:rPr>
                <w:rFonts w:hint="eastAsia" w:ascii="宋体" w:hAnsi="宋体" w:eastAsia="宋体" w:cs="宋体"/>
                <w:color w:val="000000"/>
                <w:kern w:val="0"/>
                <w:sz w:val="21"/>
                <w:szCs w:val="21"/>
                <w:highlight w:val="none"/>
                <w:lang w:val="en-US" w:eastAsia="zh-CN"/>
              </w:rPr>
              <w:br w:type="textWrapping"/>
            </w:r>
            <w:r>
              <w:rPr>
                <w:rFonts w:hint="eastAsia" w:ascii="宋体" w:hAnsi="宋体" w:eastAsia="宋体" w:cs="宋体"/>
                <w:color w:val="000000"/>
                <w:kern w:val="0"/>
                <w:sz w:val="21"/>
                <w:szCs w:val="21"/>
                <w:highlight w:val="none"/>
                <w:lang w:val="en-US" w:eastAsia="zh-CN"/>
              </w:rPr>
              <w:t>有无脚轮:无脚轮</w:t>
            </w:r>
            <w:r>
              <w:rPr>
                <w:rFonts w:hint="eastAsia" w:ascii="宋体" w:hAnsi="宋体" w:eastAsia="宋体" w:cs="宋体"/>
                <w:color w:val="000000"/>
                <w:kern w:val="0"/>
                <w:sz w:val="21"/>
                <w:szCs w:val="21"/>
                <w:highlight w:val="none"/>
                <w:lang w:val="en-US" w:eastAsia="zh-CN"/>
              </w:rPr>
              <w:br w:type="textWrapping"/>
            </w:r>
            <w:r>
              <w:rPr>
                <w:rFonts w:hint="eastAsia" w:ascii="宋体" w:hAnsi="宋体" w:eastAsia="宋体" w:cs="宋体"/>
                <w:color w:val="000000"/>
                <w:kern w:val="0"/>
                <w:sz w:val="21"/>
                <w:szCs w:val="21"/>
                <w:highlight w:val="none"/>
                <w:lang w:val="en-US" w:eastAsia="zh-CN"/>
              </w:rPr>
              <w:t>是否可调节高度：可调节高度</w:t>
            </w:r>
            <w:r>
              <w:rPr>
                <w:rFonts w:hint="eastAsia" w:ascii="宋体" w:hAnsi="宋体" w:eastAsia="宋体" w:cs="宋体"/>
                <w:color w:val="000000"/>
                <w:kern w:val="0"/>
                <w:sz w:val="21"/>
                <w:szCs w:val="21"/>
                <w:highlight w:val="none"/>
                <w:lang w:val="en-US" w:eastAsia="zh-CN"/>
              </w:rPr>
              <w:br w:type="textWrapping"/>
            </w:r>
            <w:r>
              <w:rPr>
                <w:rFonts w:hint="eastAsia" w:ascii="宋体" w:hAnsi="宋体" w:eastAsia="宋体" w:cs="宋体"/>
                <w:color w:val="000000"/>
                <w:kern w:val="0"/>
                <w:sz w:val="21"/>
                <w:szCs w:val="21"/>
                <w:highlight w:val="none"/>
                <w:lang w:val="en-US" w:eastAsia="zh-CN"/>
              </w:rPr>
              <w:t>物理性能：</w:t>
            </w:r>
            <w:r>
              <w:rPr>
                <w:rFonts w:hint="eastAsia" w:ascii="宋体" w:hAnsi="宋体" w:eastAsia="宋体" w:cs="宋体"/>
                <w:color w:val="000000"/>
                <w:kern w:val="0"/>
                <w:sz w:val="21"/>
                <w:szCs w:val="21"/>
                <w:highlight w:val="none"/>
                <w:lang w:val="en-US" w:eastAsia="zh-CN"/>
              </w:rPr>
              <w:br w:type="textWrapping"/>
            </w:r>
            <w:r>
              <w:rPr>
                <w:rFonts w:hint="eastAsia" w:ascii="宋体" w:hAnsi="宋体" w:eastAsia="宋体" w:cs="宋体"/>
                <w:color w:val="000000"/>
                <w:kern w:val="0"/>
                <w:sz w:val="21"/>
                <w:szCs w:val="21"/>
                <w:highlight w:val="none"/>
                <w:lang w:val="en-US" w:eastAsia="zh-CN"/>
              </w:rPr>
              <w:t>弹性：230-260mm</w:t>
            </w:r>
            <w:r>
              <w:rPr>
                <w:rFonts w:hint="eastAsia" w:ascii="宋体" w:hAnsi="宋体" w:eastAsia="宋体" w:cs="宋体"/>
                <w:color w:val="000000"/>
                <w:kern w:val="0"/>
                <w:sz w:val="21"/>
                <w:szCs w:val="21"/>
                <w:highlight w:val="none"/>
                <w:lang w:val="en-US" w:eastAsia="zh-CN"/>
              </w:rPr>
              <w:br w:type="textWrapping"/>
            </w:r>
            <w:r>
              <w:rPr>
                <w:rFonts w:hint="eastAsia" w:ascii="宋体" w:hAnsi="宋体" w:eastAsia="宋体" w:cs="宋体"/>
                <w:color w:val="000000"/>
                <w:kern w:val="0"/>
                <w:sz w:val="21"/>
                <w:szCs w:val="21"/>
                <w:highlight w:val="none"/>
                <w:lang w:val="en-US" w:eastAsia="zh-CN"/>
              </w:rPr>
              <w:t>弹性均匀度：≤5mm</w:t>
            </w:r>
            <w:r>
              <w:rPr>
                <w:rFonts w:hint="eastAsia" w:ascii="宋体" w:hAnsi="宋体" w:eastAsia="宋体" w:cs="宋体"/>
                <w:color w:val="000000"/>
                <w:kern w:val="0"/>
                <w:sz w:val="21"/>
                <w:szCs w:val="21"/>
                <w:highlight w:val="none"/>
                <w:lang w:val="en-US" w:eastAsia="zh-CN"/>
              </w:rPr>
              <w:br w:type="textWrapping"/>
            </w:r>
            <w:r>
              <w:rPr>
                <w:rFonts w:hint="eastAsia" w:ascii="宋体" w:hAnsi="宋体" w:eastAsia="宋体" w:cs="宋体"/>
                <w:color w:val="000000"/>
                <w:kern w:val="0"/>
                <w:sz w:val="21"/>
                <w:szCs w:val="21"/>
                <w:highlight w:val="none"/>
                <w:lang w:val="en-US" w:eastAsia="zh-CN"/>
              </w:rPr>
              <w:t>球台稳定性：&lt;10</w:t>
            </w:r>
            <w:r>
              <w:rPr>
                <w:rFonts w:hint="eastAsia" w:ascii="宋体" w:hAnsi="宋体" w:eastAsia="宋体" w:cs="宋体"/>
                <w:color w:val="000000"/>
                <w:kern w:val="0"/>
                <w:sz w:val="21"/>
                <w:szCs w:val="21"/>
                <w:highlight w:val="none"/>
                <w:lang w:val="en-US" w:eastAsia="zh-CN"/>
              </w:rPr>
              <w:br w:type="textWrapping"/>
            </w:r>
            <w:r>
              <w:rPr>
                <w:rFonts w:hint="eastAsia" w:ascii="宋体" w:hAnsi="宋体" w:eastAsia="宋体" w:cs="宋体"/>
                <w:color w:val="000000"/>
                <w:kern w:val="0"/>
                <w:sz w:val="21"/>
                <w:szCs w:val="21"/>
                <w:highlight w:val="none"/>
                <w:lang w:val="en-US" w:eastAsia="zh-CN"/>
              </w:rPr>
              <w:t>台面光泽度：≤0.6</w:t>
            </w:r>
            <w:r>
              <w:rPr>
                <w:rFonts w:hint="eastAsia" w:ascii="宋体" w:hAnsi="宋体" w:eastAsia="宋体" w:cs="宋体"/>
                <w:color w:val="000000"/>
                <w:kern w:val="0"/>
                <w:sz w:val="21"/>
                <w:szCs w:val="21"/>
                <w:highlight w:val="none"/>
                <w:lang w:val="en-US" w:eastAsia="zh-CN"/>
              </w:rPr>
              <w:br w:type="textWrapping"/>
            </w:r>
            <w:r>
              <w:rPr>
                <w:rFonts w:hint="eastAsia" w:ascii="宋体" w:hAnsi="宋体" w:eastAsia="宋体" w:cs="宋体"/>
                <w:color w:val="000000"/>
                <w:kern w:val="0"/>
                <w:sz w:val="21"/>
                <w:szCs w:val="21"/>
                <w:highlight w:val="none"/>
                <w:lang w:val="en-US" w:eastAsia="zh-CN"/>
              </w:rPr>
              <w:t>平面度：≤3mm</w:t>
            </w:r>
            <w:r>
              <w:rPr>
                <w:rFonts w:hint="eastAsia" w:ascii="宋体" w:hAnsi="宋体" w:eastAsia="宋体" w:cs="宋体"/>
                <w:color w:val="000000"/>
                <w:kern w:val="0"/>
                <w:sz w:val="21"/>
                <w:szCs w:val="21"/>
                <w:highlight w:val="none"/>
                <w:lang w:val="en-US" w:eastAsia="zh-CN"/>
              </w:rPr>
              <w:br w:type="textWrapping"/>
            </w:r>
            <w:r>
              <w:rPr>
                <w:rFonts w:hint="eastAsia" w:ascii="宋体" w:hAnsi="宋体" w:eastAsia="宋体" w:cs="宋体"/>
                <w:color w:val="000000"/>
                <w:kern w:val="0"/>
                <w:sz w:val="21"/>
                <w:szCs w:val="21"/>
                <w:highlight w:val="none"/>
                <w:lang w:val="en-US" w:eastAsia="zh-CN"/>
              </w:rPr>
              <w:t>包装尺寸：</w:t>
            </w:r>
            <w:r>
              <w:rPr>
                <w:rFonts w:hint="eastAsia" w:ascii="宋体" w:hAnsi="宋体" w:eastAsia="宋体" w:cs="宋体"/>
                <w:color w:val="000000"/>
                <w:kern w:val="0"/>
                <w:sz w:val="21"/>
                <w:szCs w:val="21"/>
                <w:highlight w:val="none"/>
                <w:lang w:val="en-US" w:eastAsia="zh-CN"/>
              </w:rPr>
              <w:br w:type="textWrapping"/>
            </w:r>
            <w:r>
              <w:rPr>
                <w:rFonts w:hint="eastAsia" w:ascii="宋体" w:hAnsi="宋体" w:eastAsia="宋体" w:cs="宋体"/>
                <w:color w:val="000000"/>
                <w:kern w:val="0"/>
                <w:sz w:val="21"/>
                <w:szCs w:val="21"/>
                <w:highlight w:val="none"/>
                <w:lang w:val="en-US" w:eastAsia="zh-CN"/>
              </w:rPr>
              <w:t>1#箱：1640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color w:val="000000"/>
                <w:kern w:val="0"/>
                <w:sz w:val="21"/>
                <w:szCs w:val="21"/>
                <w:highlight w:val="none"/>
                <w:lang w:val="en-US" w:eastAsia="zh-CN"/>
              </w:rPr>
              <w:t>1490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color w:val="000000"/>
                <w:kern w:val="0"/>
                <w:sz w:val="21"/>
                <w:szCs w:val="21"/>
                <w:highlight w:val="none"/>
                <w:lang w:val="en-US" w:eastAsia="zh-CN"/>
              </w:rPr>
              <w:t>260mm（129KG）</w:t>
            </w:r>
            <w:r>
              <w:rPr>
                <w:rFonts w:hint="eastAsia" w:ascii="宋体" w:hAnsi="宋体" w:eastAsia="宋体" w:cs="宋体"/>
                <w:color w:val="000000"/>
                <w:kern w:val="0"/>
                <w:sz w:val="21"/>
                <w:szCs w:val="21"/>
                <w:highlight w:val="none"/>
                <w:lang w:val="en-US" w:eastAsia="zh-CN"/>
              </w:rPr>
              <w:br w:type="textWrapping"/>
            </w:r>
            <w:r>
              <w:rPr>
                <w:rFonts w:hint="eastAsia" w:ascii="宋体" w:hAnsi="宋体" w:eastAsia="宋体" w:cs="宋体"/>
                <w:color w:val="000000"/>
                <w:kern w:val="0"/>
                <w:sz w:val="21"/>
                <w:szCs w:val="21"/>
                <w:highlight w:val="none"/>
                <w:lang w:val="en-US" w:eastAsia="zh-CN"/>
              </w:rPr>
              <w:t>2#箱：1420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color w:val="000000"/>
                <w:kern w:val="0"/>
                <w:sz w:val="21"/>
                <w:szCs w:val="21"/>
                <w:highlight w:val="none"/>
                <w:lang w:val="en-US" w:eastAsia="zh-CN"/>
              </w:rPr>
              <w:t>1330</w:t>
            </w:r>
            <w:r>
              <w:rPr>
                <w:rFonts w:hint="eastAsia" w:ascii="宋体" w:hAnsi="宋体" w:eastAsia="宋体" w:cs="宋体"/>
                <w:i w:val="0"/>
                <w:iCs w:val="0"/>
                <w:color w:val="000000"/>
                <w:kern w:val="0"/>
                <w:sz w:val="21"/>
                <w:szCs w:val="21"/>
                <w:highlight w:val="none"/>
                <w:u w:val="none"/>
                <w:lang w:val="en-US" w:eastAsia="zh-CN" w:bidi="ar"/>
              </w:rPr>
              <w:t>×</w:t>
            </w:r>
            <w:r>
              <w:rPr>
                <w:rFonts w:hint="eastAsia" w:ascii="宋体" w:hAnsi="宋体" w:eastAsia="宋体" w:cs="宋体"/>
                <w:color w:val="000000"/>
                <w:kern w:val="0"/>
                <w:sz w:val="21"/>
                <w:szCs w:val="21"/>
                <w:highlight w:val="none"/>
                <w:lang w:val="en-US" w:eastAsia="zh-CN"/>
              </w:rPr>
              <w:t>380mm（58KG）</w:t>
            </w:r>
          </w:p>
        </w:tc>
      </w:tr>
      <w:tr w14:paraId="6F323CDA">
        <w:tblPrEx>
          <w:tblCellMar>
            <w:top w:w="0" w:type="dxa"/>
            <w:left w:w="108" w:type="dxa"/>
            <w:bottom w:w="0" w:type="dxa"/>
            <w:right w:w="108" w:type="dxa"/>
          </w:tblCellMar>
        </w:tblPrEx>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C822BC">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64</w:t>
            </w:r>
          </w:p>
        </w:tc>
        <w:tc>
          <w:tcPr>
            <w:tcW w:w="1641" w:type="dxa"/>
            <w:tcBorders>
              <w:top w:val="single" w:color="auto" w:sz="4" w:space="0"/>
              <w:left w:val="single" w:color="auto" w:sz="4" w:space="0"/>
              <w:bottom w:val="single" w:color="auto" w:sz="4" w:space="0"/>
              <w:right w:val="single" w:color="auto" w:sz="4" w:space="0"/>
            </w:tcBorders>
            <w:shd w:val="clear" w:color="auto" w:fill="auto"/>
            <w:vAlign w:val="center"/>
          </w:tcPr>
          <w:p w14:paraId="2983C069">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lang w:val="en-US" w:eastAsia="zh-CN"/>
              </w:rPr>
            </w:pPr>
            <w:r>
              <w:rPr>
                <w:rFonts w:hint="eastAsia" w:ascii="宋体" w:hAnsi="宋体" w:eastAsia="宋体" w:cs="宋体"/>
                <w:b/>
                <w:bCs/>
                <w:color w:val="000000"/>
                <w:kern w:val="0"/>
                <w:sz w:val="21"/>
                <w:szCs w:val="21"/>
                <w:lang w:val="en-US" w:eastAsia="zh-CN"/>
              </w:rPr>
              <w:t>台球桌</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54F17E6C">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张</w:t>
            </w:r>
          </w:p>
        </w:tc>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B253EF">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w:t>
            </w:r>
          </w:p>
        </w:tc>
        <w:tc>
          <w:tcPr>
            <w:tcW w:w="1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10BBC7">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both"/>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1.台球桌长宽：长2800毫米（2.8米），宽1500毫米（1.5米）</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2.台球杆长度：1450毫米，配置4根</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3.袋口数量：6个</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4.球数量配置：16个</w:t>
            </w:r>
          </w:p>
        </w:tc>
      </w:tr>
      <w:tr w14:paraId="3C4FD75A">
        <w:tblPrEx>
          <w:tblCellMar>
            <w:top w:w="0" w:type="dxa"/>
            <w:left w:w="108" w:type="dxa"/>
            <w:bottom w:w="0" w:type="dxa"/>
            <w:right w:w="108" w:type="dxa"/>
          </w:tblCellMar>
        </w:tblPrEx>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946C6B">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65</w:t>
            </w:r>
          </w:p>
        </w:tc>
        <w:tc>
          <w:tcPr>
            <w:tcW w:w="1641" w:type="dxa"/>
            <w:tcBorders>
              <w:top w:val="single" w:color="auto" w:sz="4" w:space="0"/>
              <w:left w:val="single" w:color="auto" w:sz="4" w:space="0"/>
              <w:bottom w:val="single" w:color="auto" w:sz="4" w:space="0"/>
              <w:right w:val="single" w:color="auto" w:sz="4" w:space="0"/>
            </w:tcBorders>
            <w:shd w:val="clear" w:color="auto" w:fill="auto"/>
            <w:vAlign w:val="center"/>
          </w:tcPr>
          <w:p w14:paraId="1A06797B">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更衣柜</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013A1702">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个</w:t>
            </w:r>
          </w:p>
        </w:tc>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8E7B4C">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44</w:t>
            </w:r>
          </w:p>
        </w:tc>
        <w:tc>
          <w:tcPr>
            <w:tcW w:w="1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A2964C">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1.材质：门板需由 ABS 塑料制成，柜体需采用高强度 HIPS 工程塑料制成，柜门与柜体连接需采用尼龙铰链；</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2.工艺：所有板材需采用钢制模具一次注塑成型；</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3.采用榫卯连接结构，DIY 组装，不用胶水，不用金属螺丝，不易变形，可重复拆装使用。产品加强筋采用蜂窝设计，即结实又易于清理卫生，提升抗压力，整柜做工精细，无毛边毛刺等瑕疵；</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4.柜门与柜体连接采用高强度尼龙铰链（Nylon）连接设计，防水。铰链由柜门插件、柜体端插件、两个部件组成，两端采用弹性卡钩固定在门端、柜体端，轻按卡勾即可拆下，不需要任何辅助螺丝连接，铰链自身具有限位功能。铰链易拆易装，方便售后维修</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5.平顶板厚度≥40mm，内部需采用蜂窝结构加固，安装时通过特制的内固定板固定，内固定板在柜子内部卡入卡槽并扣住平顶板，可实现内锁外的结构，整柜安全牢固。平顶板顶部需平滑设计，应可放置一些小物品，且方便清理；</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6.上下板高度30mm，采用增强帽檐设计，可将上下板隐藏于上下门板之间，正面无法观察到，达到柜子正面统一效果，时尚美观</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7.整体后板由注塑机一次成型，后板两侧可顺利插入单、双侧板导向槽，并通过后板上端两侧的T形固定在单、双侧板上，起到加固的作用，后板下端设有分体式特殊插销，该结构穿过下端上下板、后板，从而锁定下方柜子，无法拆卸。</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8.整个柜体板材之间的连接完全不需要任何螺丝，采用拼接的方式，防止侧板变形，整体做到可重复拆装利用。门板采用非贴膜、非喷漆、柜门颜色及外观的可塑性比较高，可以根据客户的不同需求定制不同的颜色，让自己的柜子与众不同，个性凸显</w:t>
            </w:r>
            <w:r>
              <w:rPr>
                <w:rFonts w:hint="eastAsia" w:cs="宋体"/>
                <w:color w:val="000000"/>
                <w:kern w:val="0"/>
                <w:sz w:val="21"/>
                <w:szCs w:val="21"/>
                <w:lang w:val="en-US" w:eastAsia="zh-CN"/>
              </w:rPr>
              <w:t>。</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9.板材厚度：侧板宽22mm（±2mm）、双侧板宽44mm（±2mm）、上下板高30mm（±2mm）；门板厚27mm（±2mm）带造型部分32mm（±2mm）、底座高80mm（±2mm）、平顶板高40mm（±2mm）</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10.产品尺寸（高</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color w:val="000000"/>
                <w:kern w:val="0"/>
                <w:sz w:val="21"/>
                <w:szCs w:val="21"/>
                <w:lang w:val="en-US" w:eastAsia="zh-CN"/>
              </w:rPr>
              <w:t>宽</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color w:val="000000"/>
                <w:kern w:val="0"/>
                <w:sz w:val="21"/>
                <w:szCs w:val="21"/>
                <w:lang w:val="en-US" w:eastAsia="zh-CN"/>
              </w:rPr>
              <w:t>深）(mm) ：620</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color w:val="000000"/>
                <w:kern w:val="0"/>
                <w:sz w:val="21"/>
                <w:szCs w:val="21"/>
                <w:lang w:val="en-US" w:eastAsia="zh-CN"/>
              </w:rPr>
              <w:t>382</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color w:val="000000"/>
                <w:kern w:val="0"/>
                <w:sz w:val="21"/>
                <w:szCs w:val="21"/>
                <w:lang w:val="en-US" w:eastAsia="zh-CN"/>
              </w:rPr>
              <w:t>500</w:t>
            </w:r>
          </w:p>
        </w:tc>
      </w:tr>
      <w:tr w14:paraId="2442BA81">
        <w:tblPrEx>
          <w:tblCellMar>
            <w:top w:w="0" w:type="dxa"/>
            <w:left w:w="108" w:type="dxa"/>
            <w:bottom w:w="0" w:type="dxa"/>
            <w:right w:w="108" w:type="dxa"/>
          </w:tblCellMar>
        </w:tblPrEx>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616DFC">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66</w:t>
            </w:r>
          </w:p>
        </w:tc>
        <w:tc>
          <w:tcPr>
            <w:tcW w:w="1641" w:type="dxa"/>
            <w:tcBorders>
              <w:top w:val="single" w:color="auto" w:sz="4" w:space="0"/>
              <w:left w:val="single" w:color="auto" w:sz="4" w:space="0"/>
              <w:bottom w:val="single" w:color="auto" w:sz="4" w:space="0"/>
              <w:right w:val="single" w:color="auto" w:sz="4" w:space="0"/>
            </w:tcBorders>
            <w:shd w:val="clear" w:color="auto" w:fill="auto"/>
            <w:vAlign w:val="center"/>
          </w:tcPr>
          <w:p w14:paraId="553B61D5">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换鞋凳</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27951338">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个</w:t>
            </w:r>
          </w:p>
        </w:tc>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84DD98">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w:t>
            </w:r>
          </w:p>
        </w:tc>
        <w:tc>
          <w:tcPr>
            <w:tcW w:w="1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9E9D43">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1.座板材质：实木板</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2.座板甲醛释放限量等级：E1</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3.饰面材质：实木皮</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4.封边材质：实木皮</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5.油漆工艺：聚氨酯涂料(PU)</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6.产品尺寸（长</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color w:val="000000"/>
                <w:kern w:val="0"/>
                <w:sz w:val="21"/>
                <w:szCs w:val="21"/>
                <w:lang w:val="en-US" w:eastAsia="zh-CN"/>
              </w:rPr>
              <w:t>宽</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color w:val="000000"/>
                <w:kern w:val="0"/>
                <w:sz w:val="21"/>
                <w:szCs w:val="21"/>
                <w:lang w:val="en-US" w:eastAsia="zh-CN"/>
              </w:rPr>
              <w:t>高）(mm) ：80</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color w:val="000000"/>
                <w:kern w:val="0"/>
                <w:sz w:val="21"/>
                <w:szCs w:val="21"/>
                <w:lang w:val="en-US" w:eastAsia="zh-CN"/>
              </w:rPr>
              <w:t>35</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color w:val="000000"/>
                <w:kern w:val="0"/>
                <w:sz w:val="21"/>
                <w:szCs w:val="21"/>
                <w:lang w:val="en-US" w:eastAsia="zh-CN"/>
              </w:rPr>
              <w:t>45</w:t>
            </w:r>
          </w:p>
        </w:tc>
      </w:tr>
      <w:tr w14:paraId="4AD6A33F">
        <w:tblPrEx>
          <w:tblCellMar>
            <w:top w:w="0" w:type="dxa"/>
            <w:left w:w="108" w:type="dxa"/>
            <w:bottom w:w="0" w:type="dxa"/>
            <w:right w:w="108" w:type="dxa"/>
          </w:tblCellMar>
        </w:tblPrEx>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608C0F">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67</w:t>
            </w:r>
          </w:p>
        </w:tc>
        <w:tc>
          <w:tcPr>
            <w:tcW w:w="1641" w:type="dxa"/>
            <w:tcBorders>
              <w:top w:val="single" w:color="auto" w:sz="4" w:space="0"/>
              <w:left w:val="single" w:color="auto" w:sz="4" w:space="0"/>
              <w:bottom w:val="single" w:color="auto" w:sz="4" w:space="0"/>
              <w:right w:val="single" w:color="auto" w:sz="4" w:space="0"/>
            </w:tcBorders>
            <w:shd w:val="clear" w:color="auto" w:fill="auto"/>
            <w:vAlign w:val="center"/>
          </w:tcPr>
          <w:p w14:paraId="530EEE40">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长条带格口</w:t>
            </w:r>
          </w:p>
          <w:p w14:paraId="71744635">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收纳换鞋凳</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26C10591">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组</w:t>
            </w:r>
          </w:p>
        </w:tc>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0FC9A8">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w:t>
            </w:r>
          </w:p>
        </w:tc>
        <w:tc>
          <w:tcPr>
            <w:tcW w:w="1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F686CC">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1.座板材质：实木板</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2.座板甲醛释放限量等级：E1</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3.饰面材质：实木皮</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4.封边材质：实木皮</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5.油漆工艺：聚氨酯涂料(PU)</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6.脚架材质：实木板</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7.五金配件：普通铰链</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8.覆面材料：PU革</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9.填充物:通用软质聚氨酯泡沫塑料</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10.产品功能:可拆装</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11.产品尺寸（长、宽、高）（mm):150</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color w:val="000000"/>
                <w:kern w:val="0"/>
                <w:sz w:val="21"/>
                <w:szCs w:val="21"/>
                <w:lang w:val="en-US" w:eastAsia="zh-CN"/>
              </w:rPr>
              <w:t>40</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color w:val="000000"/>
                <w:kern w:val="0"/>
                <w:sz w:val="21"/>
                <w:szCs w:val="21"/>
                <w:lang w:val="en-US" w:eastAsia="zh-CN"/>
              </w:rPr>
              <w:t>40,</w:t>
            </w:r>
            <w:r>
              <w:rPr>
                <w:rFonts w:hint="eastAsia" w:cs="宋体"/>
                <w:color w:val="000000"/>
                <w:kern w:val="0"/>
                <w:sz w:val="21"/>
                <w:szCs w:val="21"/>
                <w:lang w:val="en-US" w:eastAsia="zh-CN"/>
              </w:rPr>
              <w:t xml:space="preserve"> </w:t>
            </w:r>
            <w:r>
              <w:rPr>
                <w:rFonts w:hint="eastAsia" w:ascii="宋体" w:hAnsi="宋体" w:eastAsia="宋体" w:cs="宋体"/>
                <w:color w:val="000000"/>
                <w:kern w:val="0"/>
                <w:sz w:val="21"/>
                <w:szCs w:val="21"/>
                <w:lang w:val="en-US" w:eastAsia="zh-CN"/>
              </w:rPr>
              <w:t>8格</w:t>
            </w:r>
          </w:p>
        </w:tc>
      </w:tr>
      <w:tr w14:paraId="51A04B32">
        <w:tblPrEx>
          <w:tblCellMar>
            <w:top w:w="0" w:type="dxa"/>
            <w:left w:w="108" w:type="dxa"/>
            <w:bottom w:w="0" w:type="dxa"/>
            <w:right w:w="108" w:type="dxa"/>
          </w:tblCellMar>
        </w:tblPrEx>
        <w:trPr>
          <w:trHeight w:val="312"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7C0062">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68</w:t>
            </w:r>
          </w:p>
        </w:tc>
        <w:tc>
          <w:tcPr>
            <w:tcW w:w="1641" w:type="dxa"/>
            <w:tcBorders>
              <w:top w:val="single" w:color="auto" w:sz="4" w:space="0"/>
              <w:left w:val="single" w:color="auto" w:sz="4" w:space="0"/>
              <w:bottom w:val="single" w:color="auto" w:sz="4" w:space="0"/>
              <w:right w:val="single" w:color="auto" w:sz="4" w:space="0"/>
            </w:tcBorders>
            <w:shd w:val="clear" w:color="auto" w:fill="auto"/>
            <w:vAlign w:val="center"/>
          </w:tcPr>
          <w:p w14:paraId="1D1E6716">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highlight w:val="none"/>
                <w:lang w:val="en-US" w:eastAsia="zh-CN"/>
              </w:rPr>
              <w:t>挡板</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137FB423">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块</w:t>
            </w:r>
          </w:p>
        </w:tc>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E93C71">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30</w:t>
            </w:r>
          </w:p>
        </w:tc>
        <w:tc>
          <w:tcPr>
            <w:tcW w:w="1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420F6F">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 尺寸：1.4米*0.2米*0.7米</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2. 材质：铝合金框架，可折叠可拆卸可组合</w:t>
            </w:r>
          </w:p>
        </w:tc>
      </w:tr>
      <w:tr w14:paraId="43F8AD71">
        <w:tblPrEx>
          <w:tblCellMar>
            <w:top w:w="0" w:type="dxa"/>
            <w:left w:w="108" w:type="dxa"/>
            <w:bottom w:w="0" w:type="dxa"/>
            <w:right w:w="108" w:type="dxa"/>
          </w:tblCellMar>
        </w:tblPrEx>
        <w:trPr>
          <w:trHeight w:val="32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21D7B3">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69</w:t>
            </w:r>
          </w:p>
        </w:tc>
        <w:tc>
          <w:tcPr>
            <w:tcW w:w="1641" w:type="dxa"/>
            <w:tcBorders>
              <w:top w:val="single" w:color="auto" w:sz="4" w:space="0"/>
              <w:left w:val="single" w:color="auto" w:sz="4" w:space="0"/>
              <w:bottom w:val="single" w:color="auto" w:sz="4" w:space="0"/>
              <w:right w:val="single" w:color="auto" w:sz="4" w:space="0"/>
            </w:tcBorders>
            <w:shd w:val="clear" w:color="auto" w:fill="auto"/>
            <w:vAlign w:val="center"/>
          </w:tcPr>
          <w:p w14:paraId="13D9D972">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体操杆</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4C6CEE53">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个</w:t>
            </w:r>
          </w:p>
        </w:tc>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E3D084">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w:t>
            </w:r>
          </w:p>
        </w:tc>
        <w:tc>
          <w:tcPr>
            <w:tcW w:w="1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F3891C">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 参数：定制，约为4米长，1米5高。</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2. 材质：把杆为实木，支架为钢材</w:t>
            </w:r>
          </w:p>
        </w:tc>
      </w:tr>
      <w:tr w14:paraId="5DBBD8D5">
        <w:tblPrEx>
          <w:tblCellMar>
            <w:top w:w="0" w:type="dxa"/>
            <w:left w:w="108" w:type="dxa"/>
            <w:bottom w:w="0" w:type="dxa"/>
            <w:right w:w="108" w:type="dxa"/>
          </w:tblCellMar>
        </w:tblPrEx>
        <w:trPr>
          <w:trHeight w:val="32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27DFB9">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70</w:t>
            </w:r>
          </w:p>
        </w:tc>
        <w:tc>
          <w:tcPr>
            <w:tcW w:w="1641" w:type="dxa"/>
            <w:tcBorders>
              <w:top w:val="single" w:color="auto" w:sz="4" w:space="0"/>
              <w:left w:val="single" w:color="auto" w:sz="4" w:space="0"/>
              <w:bottom w:val="single" w:color="auto" w:sz="4" w:space="0"/>
              <w:right w:val="single" w:color="auto" w:sz="4" w:space="0"/>
            </w:tcBorders>
            <w:shd w:val="clear" w:color="auto" w:fill="auto"/>
            <w:vAlign w:val="center"/>
          </w:tcPr>
          <w:p w14:paraId="192570DC">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镜面</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32B78773">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平方米</w:t>
            </w:r>
          </w:p>
        </w:tc>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10C8F6">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20</w:t>
            </w:r>
          </w:p>
        </w:tc>
        <w:tc>
          <w:tcPr>
            <w:tcW w:w="1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3C74AC">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 参数：定制，约为20平米（长5米高4米）</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2.材质：镜面材质</w:t>
            </w:r>
          </w:p>
        </w:tc>
      </w:tr>
      <w:tr w14:paraId="4F5B5FE1">
        <w:tblPrEx>
          <w:tblCellMar>
            <w:top w:w="0" w:type="dxa"/>
            <w:left w:w="108" w:type="dxa"/>
            <w:bottom w:w="0" w:type="dxa"/>
            <w:right w:w="108" w:type="dxa"/>
          </w:tblCellMar>
        </w:tblPrEx>
        <w:trPr>
          <w:trHeight w:val="324"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FC4832">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71</w:t>
            </w:r>
          </w:p>
        </w:tc>
        <w:tc>
          <w:tcPr>
            <w:tcW w:w="1641" w:type="dxa"/>
            <w:tcBorders>
              <w:top w:val="single" w:color="auto" w:sz="4" w:space="0"/>
              <w:left w:val="single" w:color="auto" w:sz="4" w:space="0"/>
              <w:bottom w:val="single" w:color="auto" w:sz="4" w:space="0"/>
              <w:right w:val="single" w:color="auto" w:sz="4" w:space="0"/>
            </w:tcBorders>
            <w:shd w:val="clear" w:color="auto" w:fill="auto"/>
            <w:vAlign w:val="center"/>
          </w:tcPr>
          <w:p w14:paraId="4270B93B">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瑜伽垫</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10CD4403">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张</w:t>
            </w:r>
          </w:p>
        </w:tc>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F9E58F">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20</w:t>
            </w:r>
          </w:p>
        </w:tc>
        <w:tc>
          <w:tcPr>
            <w:tcW w:w="1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B0754A">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产品尺寸（长、宽、高）（mm)：183×90×0.8</w:t>
            </w:r>
          </w:p>
        </w:tc>
      </w:tr>
      <w:tr w14:paraId="1604F0BB">
        <w:tblPrEx>
          <w:tblCellMar>
            <w:top w:w="0" w:type="dxa"/>
            <w:left w:w="108" w:type="dxa"/>
            <w:bottom w:w="0" w:type="dxa"/>
            <w:right w:w="108" w:type="dxa"/>
          </w:tblCellMar>
        </w:tblPrEx>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177A99">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72</w:t>
            </w:r>
          </w:p>
        </w:tc>
        <w:tc>
          <w:tcPr>
            <w:tcW w:w="1641" w:type="dxa"/>
            <w:tcBorders>
              <w:top w:val="single" w:color="auto" w:sz="4" w:space="0"/>
              <w:left w:val="single" w:color="auto" w:sz="4" w:space="0"/>
              <w:bottom w:val="single" w:color="auto" w:sz="4" w:space="0"/>
              <w:right w:val="single" w:color="auto" w:sz="4" w:space="0"/>
            </w:tcBorders>
            <w:shd w:val="clear" w:color="auto" w:fill="auto"/>
            <w:vAlign w:val="center"/>
          </w:tcPr>
          <w:p w14:paraId="593DC142">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瑜伽球</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4E5D0557">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个</w:t>
            </w:r>
          </w:p>
        </w:tc>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F6E772">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w:t>
            </w:r>
          </w:p>
        </w:tc>
        <w:tc>
          <w:tcPr>
            <w:tcW w:w="1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6127A1">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1.重量:500.00g</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2.产品材质:ABS</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3.产品直径：65cm</w:t>
            </w:r>
          </w:p>
        </w:tc>
      </w:tr>
      <w:tr w14:paraId="4DCE1D30">
        <w:tblPrEx>
          <w:tblCellMar>
            <w:top w:w="0" w:type="dxa"/>
            <w:left w:w="108" w:type="dxa"/>
            <w:bottom w:w="0" w:type="dxa"/>
            <w:right w:w="108" w:type="dxa"/>
          </w:tblCellMar>
        </w:tblPrEx>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39F929">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73</w:t>
            </w:r>
          </w:p>
        </w:tc>
        <w:tc>
          <w:tcPr>
            <w:tcW w:w="1641" w:type="dxa"/>
            <w:tcBorders>
              <w:top w:val="single" w:color="auto" w:sz="4" w:space="0"/>
              <w:left w:val="single" w:color="auto" w:sz="4" w:space="0"/>
              <w:bottom w:val="single" w:color="auto" w:sz="4" w:space="0"/>
              <w:right w:val="single" w:color="auto" w:sz="4" w:space="0"/>
            </w:tcBorders>
            <w:shd w:val="clear" w:color="auto" w:fill="auto"/>
            <w:vAlign w:val="center"/>
          </w:tcPr>
          <w:p w14:paraId="56B8FFDA">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瑜伽砖</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4436373A">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个</w:t>
            </w:r>
          </w:p>
        </w:tc>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A70C94">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20</w:t>
            </w:r>
          </w:p>
        </w:tc>
        <w:tc>
          <w:tcPr>
            <w:tcW w:w="1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A79857">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1.重量：120g</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2.产品尺寸：23×15×7.5cm</w:t>
            </w:r>
          </w:p>
        </w:tc>
      </w:tr>
      <w:tr w14:paraId="4C516211">
        <w:tblPrEx>
          <w:tblCellMar>
            <w:top w:w="0" w:type="dxa"/>
            <w:left w:w="108" w:type="dxa"/>
            <w:bottom w:w="0" w:type="dxa"/>
            <w:right w:w="108" w:type="dxa"/>
          </w:tblCellMar>
        </w:tblPrEx>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C1D0BC">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74</w:t>
            </w:r>
          </w:p>
        </w:tc>
        <w:tc>
          <w:tcPr>
            <w:tcW w:w="1641" w:type="dxa"/>
            <w:tcBorders>
              <w:top w:val="single" w:color="auto" w:sz="4" w:space="0"/>
              <w:left w:val="single" w:color="auto" w:sz="4" w:space="0"/>
              <w:bottom w:val="single" w:color="auto" w:sz="4" w:space="0"/>
              <w:right w:val="single" w:color="auto" w:sz="4" w:space="0"/>
            </w:tcBorders>
            <w:shd w:val="clear" w:color="auto" w:fill="auto"/>
            <w:vAlign w:val="center"/>
          </w:tcPr>
          <w:p w14:paraId="25FECE99">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长桌（四米，15人）</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1B70FA56">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张</w:t>
            </w:r>
          </w:p>
        </w:tc>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618AC0">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w:t>
            </w:r>
          </w:p>
        </w:tc>
        <w:tc>
          <w:tcPr>
            <w:tcW w:w="1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19DE21">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 长4米，宽2米，高1米。</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2.  材质：复合木板</w:t>
            </w:r>
          </w:p>
        </w:tc>
      </w:tr>
      <w:tr w14:paraId="3F84DA6A">
        <w:tblPrEx>
          <w:tblCellMar>
            <w:top w:w="0" w:type="dxa"/>
            <w:left w:w="108" w:type="dxa"/>
            <w:bottom w:w="0" w:type="dxa"/>
            <w:right w:w="108" w:type="dxa"/>
          </w:tblCellMar>
        </w:tblPrEx>
        <w:trPr>
          <w:trHeight w:val="389"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D4A24D">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75</w:t>
            </w:r>
          </w:p>
        </w:tc>
        <w:tc>
          <w:tcPr>
            <w:tcW w:w="1641" w:type="dxa"/>
            <w:tcBorders>
              <w:top w:val="single" w:color="auto" w:sz="4" w:space="0"/>
              <w:left w:val="single" w:color="auto" w:sz="4" w:space="0"/>
              <w:bottom w:val="single" w:color="auto" w:sz="4" w:space="0"/>
              <w:right w:val="single" w:color="auto" w:sz="4" w:space="0"/>
            </w:tcBorders>
            <w:shd w:val="clear" w:color="auto" w:fill="auto"/>
            <w:vAlign w:val="center"/>
          </w:tcPr>
          <w:p w14:paraId="6CB454B6">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会客沙发</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4F31E91D">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组</w:t>
            </w:r>
          </w:p>
        </w:tc>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6C9ECA">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w:t>
            </w:r>
          </w:p>
        </w:tc>
        <w:tc>
          <w:tcPr>
            <w:tcW w:w="1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4439C6">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1.直排四人位：长度：2.8米，宽1米，高1米</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2.组合双人位：长1.8米，款0.8米，高1米</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3. 材质：头层牛皮；内架为木质实木板，填充物为通用软质聚氨酯泡沫</w:t>
            </w:r>
          </w:p>
        </w:tc>
      </w:tr>
      <w:tr w14:paraId="51FBAC99">
        <w:tblPrEx>
          <w:tblCellMar>
            <w:top w:w="0" w:type="dxa"/>
            <w:left w:w="108" w:type="dxa"/>
            <w:bottom w:w="0" w:type="dxa"/>
            <w:right w:w="108" w:type="dxa"/>
          </w:tblCellMar>
        </w:tblPrEx>
        <w:trPr>
          <w:trHeight w:val="388"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101DF2">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76</w:t>
            </w:r>
          </w:p>
        </w:tc>
        <w:tc>
          <w:tcPr>
            <w:tcW w:w="1641" w:type="dxa"/>
            <w:tcBorders>
              <w:top w:val="single" w:color="auto" w:sz="4" w:space="0"/>
              <w:left w:val="single" w:color="auto" w:sz="4" w:space="0"/>
              <w:bottom w:val="single" w:color="auto" w:sz="4" w:space="0"/>
              <w:right w:val="single" w:color="auto" w:sz="4" w:space="0"/>
            </w:tcBorders>
            <w:shd w:val="clear" w:color="auto" w:fill="auto"/>
            <w:vAlign w:val="center"/>
          </w:tcPr>
          <w:p w14:paraId="2CE3F157">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茶几</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7BD4BCB4">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个</w:t>
            </w:r>
          </w:p>
        </w:tc>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B266C">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w:t>
            </w:r>
          </w:p>
        </w:tc>
        <w:tc>
          <w:tcPr>
            <w:tcW w:w="1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BB8F73">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1.直径60cm, 高75cm</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2. 材质：饰面为岩板封边实木皮</w:t>
            </w:r>
          </w:p>
        </w:tc>
      </w:tr>
      <w:tr w14:paraId="42B7A4D1">
        <w:tblPrEx>
          <w:tblCellMar>
            <w:top w:w="0" w:type="dxa"/>
            <w:left w:w="108" w:type="dxa"/>
            <w:bottom w:w="0" w:type="dxa"/>
            <w:right w:w="108" w:type="dxa"/>
          </w:tblCellMar>
        </w:tblPrEx>
        <w:trPr>
          <w:trHeight w:val="39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387303">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77</w:t>
            </w:r>
          </w:p>
        </w:tc>
        <w:tc>
          <w:tcPr>
            <w:tcW w:w="1641" w:type="dxa"/>
            <w:tcBorders>
              <w:top w:val="single" w:color="auto" w:sz="4" w:space="0"/>
              <w:left w:val="single" w:color="auto" w:sz="4" w:space="0"/>
              <w:bottom w:val="single" w:color="auto" w:sz="4" w:space="0"/>
              <w:right w:val="single" w:color="auto" w:sz="4" w:space="0"/>
            </w:tcBorders>
            <w:shd w:val="clear" w:color="auto" w:fill="auto"/>
            <w:vAlign w:val="center"/>
          </w:tcPr>
          <w:p w14:paraId="445B7CE3">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椅子</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542597AD">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组</w:t>
            </w:r>
          </w:p>
        </w:tc>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3BB7DB">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w:t>
            </w:r>
          </w:p>
        </w:tc>
        <w:tc>
          <w:tcPr>
            <w:tcW w:w="1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EECF12">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 长78cm，宽55cm，高42cm</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2. 材质：饰面为岩板封边实木皮</w:t>
            </w:r>
          </w:p>
        </w:tc>
      </w:tr>
      <w:tr w14:paraId="7188D9A2">
        <w:tblPrEx>
          <w:tblCellMar>
            <w:top w:w="0" w:type="dxa"/>
            <w:left w:w="108" w:type="dxa"/>
            <w:bottom w:w="0" w:type="dxa"/>
            <w:right w:w="108" w:type="dxa"/>
          </w:tblCellMar>
        </w:tblPrEx>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D5EE08">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78</w:t>
            </w:r>
          </w:p>
        </w:tc>
        <w:tc>
          <w:tcPr>
            <w:tcW w:w="1641" w:type="dxa"/>
            <w:tcBorders>
              <w:top w:val="single" w:color="auto" w:sz="4" w:space="0"/>
              <w:left w:val="single" w:color="auto" w:sz="4" w:space="0"/>
              <w:bottom w:val="single" w:color="auto" w:sz="4" w:space="0"/>
              <w:right w:val="single" w:color="auto" w:sz="4" w:space="0"/>
            </w:tcBorders>
            <w:shd w:val="clear" w:color="auto" w:fill="auto"/>
            <w:vAlign w:val="center"/>
          </w:tcPr>
          <w:p w14:paraId="4FB35880">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长桌（三米，12人）</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3AA9CB88">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个</w:t>
            </w:r>
          </w:p>
        </w:tc>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E93DD5">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w:t>
            </w:r>
          </w:p>
        </w:tc>
        <w:tc>
          <w:tcPr>
            <w:tcW w:w="1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63C937">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1.尺寸：3米2*1米4*0.76米</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2.材质：饰面为胡桃木皮，基材材质为高密度板</w:t>
            </w:r>
          </w:p>
        </w:tc>
      </w:tr>
      <w:tr w14:paraId="07FA6190">
        <w:tblPrEx>
          <w:tblCellMar>
            <w:top w:w="0" w:type="dxa"/>
            <w:left w:w="108" w:type="dxa"/>
            <w:bottom w:w="0" w:type="dxa"/>
            <w:right w:w="108" w:type="dxa"/>
          </w:tblCellMar>
        </w:tblPrEx>
        <w:trPr>
          <w:trHeight w:val="536"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F89831">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79</w:t>
            </w:r>
          </w:p>
        </w:tc>
        <w:tc>
          <w:tcPr>
            <w:tcW w:w="1641" w:type="dxa"/>
            <w:tcBorders>
              <w:top w:val="single" w:color="auto" w:sz="4" w:space="0"/>
              <w:left w:val="single" w:color="auto" w:sz="4" w:space="0"/>
              <w:bottom w:val="single" w:color="auto" w:sz="4" w:space="0"/>
              <w:right w:val="single" w:color="auto" w:sz="4" w:space="0"/>
            </w:tcBorders>
            <w:shd w:val="clear" w:color="auto" w:fill="auto"/>
            <w:vAlign w:val="center"/>
          </w:tcPr>
          <w:p w14:paraId="398815A3">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两人位会议</w:t>
            </w:r>
          </w:p>
          <w:p w14:paraId="6ED0B8BA">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条桌</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4E88AD5D">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个</w:t>
            </w:r>
          </w:p>
        </w:tc>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48C204">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40</w:t>
            </w:r>
          </w:p>
        </w:tc>
        <w:tc>
          <w:tcPr>
            <w:tcW w:w="1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530EE7">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 尺寸：1.2米*0.4米*0.76米</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2. 材质：实木板封皮为实木皮</w:t>
            </w:r>
          </w:p>
        </w:tc>
      </w:tr>
      <w:tr w14:paraId="649437EE">
        <w:tblPrEx>
          <w:tblCellMar>
            <w:top w:w="0" w:type="dxa"/>
            <w:left w:w="108" w:type="dxa"/>
            <w:bottom w:w="0" w:type="dxa"/>
            <w:right w:w="108" w:type="dxa"/>
          </w:tblCellMar>
        </w:tblPrEx>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8F251A">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80</w:t>
            </w:r>
          </w:p>
        </w:tc>
        <w:tc>
          <w:tcPr>
            <w:tcW w:w="1641" w:type="dxa"/>
            <w:tcBorders>
              <w:top w:val="single" w:color="auto" w:sz="4" w:space="0"/>
              <w:left w:val="single" w:color="auto" w:sz="4" w:space="0"/>
              <w:bottom w:val="single" w:color="auto" w:sz="4" w:space="0"/>
              <w:right w:val="single" w:color="auto" w:sz="4" w:space="0"/>
            </w:tcBorders>
            <w:shd w:val="clear" w:color="auto" w:fill="auto"/>
            <w:vAlign w:val="center"/>
          </w:tcPr>
          <w:p w14:paraId="494A218E">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婴儿床</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41B85D2E">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个</w:t>
            </w:r>
          </w:p>
        </w:tc>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818786">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w:t>
            </w:r>
          </w:p>
        </w:tc>
        <w:tc>
          <w:tcPr>
            <w:tcW w:w="1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4B21AA">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1.产品类型：摇床</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2.床架材质：实木板</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3.基础甲醛释放限量等级：E1</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4.油漆工艺：聚氨酯涂料</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5.油漆释放量：0.05</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6.覆面材料：棉料</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7.产品尺寸（长×宽×高）(mm)：153×61×89</w:t>
            </w:r>
          </w:p>
        </w:tc>
      </w:tr>
      <w:tr w14:paraId="68CA8B00">
        <w:tblPrEx>
          <w:tblCellMar>
            <w:top w:w="0" w:type="dxa"/>
            <w:left w:w="108" w:type="dxa"/>
            <w:bottom w:w="0" w:type="dxa"/>
            <w:right w:w="108" w:type="dxa"/>
          </w:tblCellMar>
        </w:tblPrEx>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883373">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81</w:t>
            </w:r>
          </w:p>
        </w:tc>
        <w:tc>
          <w:tcPr>
            <w:tcW w:w="1641" w:type="dxa"/>
            <w:tcBorders>
              <w:top w:val="single" w:color="auto" w:sz="4" w:space="0"/>
              <w:left w:val="single" w:color="auto" w:sz="4" w:space="0"/>
              <w:bottom w:val="single" w:color="auto" w:sz="4" w:space="0"/>
              <w:right w:val="single" w:color="auto" w:sz="4" w:space="0"/>
            </w:tcBorders>
            <w:shd w:val="clear" w:color="auto" w:fill="auto"/>
            <w:vAlign w:val="center"/>
          </w:tcPr>
          <w:p w14:paraId="163A3EEA">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尿布台</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28B7D93C">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个</w:t>
            </w:r>
          </w:p>
        </w:tc>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9B7458">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w:t>
            </w:r>
          </w:p>
        </w:tc>
        <w:tc>
          <w:tcPr>
            <w:tcW w:w="1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74DFE6">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1.产品类型：悬挂床</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2.床架材质：抗菌HDPE材料</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3.饰面材质：抗菌HDPE材料</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4.五金配件：螺丝五金</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5.产品尺寸（长×宽×高）(mm)：42×75×60</w:t>
            </w:r>
          </w:p>
        </w:tc>
      </w:tr>
      <w:tr w14:paraId="3533C679">
        <w:tblPrEx>
          <w:tblCellMar>
            <w:top w:w="0" w:type="dxa"/>
            <w:left w:w="108" w:type="dxa"/>
            <w:bottom w:w="0" w:type="dxa"/>
            <w:right w:w="108" w:type="dxa"/>
          </w:tblCellMar>
        </w:tblPrEx>
        <w:trPr>
          <w:trHeight w:val="396"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1F3DEA">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82</w:t>
            </w:r>
          </w:p>
        </w:tc>
        <w:tc>
          <w:tcPr>
            <w:tcW w:w="1641" w:type="dxa"/>
            <w:tcBorders>
              <w:top w:val="single" w:color="auto" w:sz="4" w:space="0"/>
              <w:left w:val="single" w:color="auto" w:sz="4" w:space="0"/>
              <w:bottom w:val="single" w:color="auto" w:sz="4" w:space="0"/>
              <w:right w:val="single" w:color="auto" w:sz="4" w:space="0"/>
            </w:tcBorders>
            <w:shd w:val="clear" w:color="auto" w:fill="auto"/>
            <w:vAlign w:val="center"/>
          </w:tcPr>
          <w:p w14:paraId="09B0CF1C">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值班室桌子</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71EB025C">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个</w:t>
            </w:r>
          </w:p>
        </w:tc>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3DE377">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w:t>
            </w:r>
          </w:p>
        </w:tc>
        <w:tc>
          <w:tcPr>
            <w:tcW w:w="1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0118D7">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1.王字形四人位，尺寸：1米2*0.6米*1.1米</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2.材质：台面为三聚氰胺板，pvc封边，玻璃屏风</w:t>
            </w:r>
          </w:p>
        </w:tc>
      </w:tr>
      <w:tr w14:paraId="2D39A860">
        <w:tblPrEx>
          <w:tblCellMar>
            <w:top w:w="0" w:type="dxa"/>
            <w:left w:w="108" w:type="dxa"/>
            <w:bottom w:w="0" w:type="dxa"/>
            <w:right w:w="108" w:type="dxa"/>
          </w:tblCellMar>
        </w:tblPrEx>
        <w:trPr>
          <w:trHeight w:val="370"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14229D">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83</w:t>
            </w:r>
          </w:p>
        </w:tc>
        <w:tc>
          <w:tcPr>
            <w:tcW w:w="1641" w:type="dxa"/>
            <w:tcBorders>
              <w:top w:val="single" w:color="auto" w:sz="4" w:space="0"/>
              <w:left w:val="single" w:color="auto" w:sz="4" w:space="0"/>
              <w:bottom w:val="single" w:color="auto" w:sz="4" w:space="0"/>
              <w:right w:val="single" w:color="auto" w:sz="4" w:space="0"/>
            </w:tcBorders>
            <w:shd w:val="clear" w:color="auto" w:fill="auto"/>
            <w:vAlign w:val="center"/>
          </w:tcPr>
          <w:p w14:paraId="799C47C3">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值班室椅子</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7D94AA61">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张</w:t>
            </w:r>
          </w:p>
        </w:tc>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62DCC8">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w:t>
            </w:r>
          </w:p>
        </w:tc>
        <w:tc>
          <w:tcPr>
            <w:tcW w:w="1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900C57">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1.尺寸：0.45米*0.5米*0.75米</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2.材质：ABS塑料</w:t>
            </w:r>
          </w:p>
        </w:tc>
      </w:tr>
      <w:tr w14:paraId="5D9284FB">
        <w:tblPrEx>
          <w:tblCellMar>
            <w:top w:w="0" w:type="dxa"/>
            <w:left w:w="108" w:type="dxa"/>
            <w:bottom w:w="0" w:type="dxa"/>
            <w:right w:w="108" w:type="dxa"/>
          </w:tblCellMar>
        </w:tblPrEx>
        <w:trPr>
          <w:trHeight w:val="389"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458AA0">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84</w:t>
            </w:r>
          </w:p>
        </w:tc>
        <w:tc>
          <w:tcPr>
            <w:tcW w:w="1641" w:type="dxa"/>
            <w:tcBorders>
              <w:top w:val="single" w:color="auto" w:sz="4" w:space="0"/>
              <w:left w:val="single" w:color="auto" w:sz="4" w:space="0"/>
              <w:bottom w:val="single" w:color="auto" w:sz="4" w:space="0"/>
              <w:right w:val="single" w:color="auto" w:sz="4" w:space="0"/>
            </w:tcBorders>
            <w:shd w:val="clear" w:color="auto" w:fill="auto"/>
            <w:vAlign w:val="center"/>
          </w:tcPr>
          <w:p w14:paraId="100CE250">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会议椅</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0B786757">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把</w:t>
            </w:r>
          </w:p>
        </w:tc>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35F18C">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80</w:t>
            </w:r>
          </w:p>
        </w:tc>
        <w:tc>
          <w:tcPr>
            <w:tcW w:w="1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2CC43B">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1.尺寸：0.47*0.47*0.9米</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2.材质：实木椅脚，椅座为实木 板，固定扶手</w:t>
            </w:r>
          </w:p>
        </w:tc>
      </w:tr>
      <w:tr w14:paraId="1CE7F716">
        <w:tblPrEx>
          <w:tblCellMar>
            <w:top w:w="0" w:type="dxa"/>
            <w:left w:w="108" w:type="dxa"/>
            <w:bottom w:w="0" w:type="dxa"/>
            <w:right w:w="108" w:type="dxa"/>
          </w:tblCellMar>
        </w:tblPrEx>
        <w:trPr>
          <w:trHeight w:val="361" w:hRule="atLeast"/>
        </w:trPr>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C21818">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85</w:t>
            </w:r>
          </w:p>
        </w:tc>
        <w:tc>
          <w:tcPr>
            <w:tcW w:w="1641" w:type="dxa"/>
            <w:tcBorders>
              <w:top w:val="single" w:color="auto" w:sz="4" w:space="0"/>
              <w:left w:val="single" w:color="auto" w:sz="4" w:space="0"/>
              <w:bottom w:val="single" w:color="auto" w:sz="4" w:space="0"/>
              <w:right w:val="single" w:color="auto" w:sz="4" w:space="0"/>
            </w:tcBorders>
            <w:shd w:val="clear" w:color="auto" w:fill="auto"/>
            <w:vAlign w:val="center"/>
          </w:tcPr>
          <w:p w14:paraId="08BA428B">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书柜</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14:paraId="6E7FF7C5">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平方米</w:t>
            </w:r>
          </w:p>
        </w:tc>
        <w:tc>
          <w:tcPr>
            <w:tcW w:w="7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D4A2FC">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20</w:t>
            </w:r>
          </w:p>
        </w:tc>
        <w:tc>
          <w:tcPr>
            <w:tcW w:w="110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CAC42D">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1.尺寸：定制20平方米书柜，建议长度不超过5米，高度不超过4米，</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宽度为0.5米。预计需要6-8层。</w:t>
            </w:r>
            <w:r>
              <w:rPr>
                <w:rFonts w:hint="eastAsia" w:ascii="宋体" w:hAnsi="宋体" w:eastAsia="宋体" w:cs="宋体"/>
                <w:color w:val="000000"/>
                <w:kern w:val="0"/>
                <w:sz w:val="21"/>
                <w:szCs w:val="21"/>
                <w:lang w:val="en-US" w:eastAsia="zh-CN"/>
              </w:rPr>
              <w:br w:type="textWrapping"/>
            </w:r>
            <w:r>
              <w:rPr>
                <w:rFonts w:hint="eastAsia" w:ascii="宋体" w:hAnsi="宋体" w:eastAsia="宋体" w:cs="宋体"/>
                <w:color w:val="000000"/>
                <w:kern w:val="0"/>
                <w:sz w:val="21"/>
                <w:szCs w:val="21"/>
                <w:lang w:val="en-US" w:eastAsia="zh-CN"/>
              </w:rPr>
              <w:t>2.材质：实木板，平开门，实木皮封层</w:t>
            </w:r>
          </w:p>
        </w:tc>
      </w:tr>
      <w:tr w14:paraId="50008AF9">
        <w:tblPrEx>
          <w:tblCellMar>
            <w:top w:w="0" w:type="dxa"/>
            <w:left w:w="108" w:type="dxa"/>
            <w:bottom w:w="0" w:type="dxa"/>
            <w:right w:w="108" w:type="dxa"/>
          </w:tblCellMar>
        </w:tblPrEx>
        <w:tc>
          <w:tcPr>
            <w:tcW w:w="15082"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3A2594B9">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color w:val="000000"/>
                <w:kern w:val="0"/>
                <w:sz w:val="21"/>
                <w:szCs w:val="21"/>
                <w:lang w:val="en-US" w:eastAsia="zh-CN"/>
              </w:rPr>
            </w:pPr>
            <w:r>
              <w:rPr>
                <w:b/>
                <w:bCs/>
                <w:color w:val="auto"/>
                <w:sz w:val="24"/>
                <w:szCs w:val="18"/>
              </w:rPr>
              <w:t>本</w:t>
            </w:r>
            <w:r>
              <w:rPr>
                <w:rFonts w:hint="eastAsia"/>
                <w:b/>
                <w:bCs/>
                <w:color w:val="auto"/>
                <w:sz w:val="24"/>
                <w:szCs w:val="18"/>
                <w:lang w:eastAsia="zh-CN"/>
              </w:rPr>
              <w:t>标项</w:t>
            </w:r>
            <w:r>
              <w:rPr>
                <w:b/>
                <w:bCs/>
                <w:color w:val="auto"/>
                <w:sz w:val="24"/>
                <w:szCs w:val="18"/>
              </w:rPr>
              <w:t>核心产品为：</w:t>
            </w:r>
            <w:r>
              <w:rPr>
                <w:rFonts w:hint="eastAsia"/>
                <w:b/>
                <w:bCs/>
                <w:color w:val="auto"/>
                <w:sz w:val="24"/>
                <w:szCs w:val="18"/>
                <w:u w:val="single"/>
                <w:lang w:val="en-US" w:eastAsia="zh-CN"/>
              </w:rPr>
              <w:t>标准自由操场地、健美操场地</w:t>
            </w:r>
            <w:r>
              <w:rPr>
                <w:rFonts w:hint="eastAsia"/>
                <w:b/>
                <w:bCs/>
                <w:color w:val="auto"/>
                <w:sz w:val="24"/>
                <w:szCs w:val="18"/>
                <w:lang w:val="en-US" w:eastAsia="zh-CN"/>
              </w:rPr>
              <w:t>。</w:t>
            </w:r>
          </w:p>
        </w:tc>
      </w:tr>
    </w:tbl>
    <w:p w14:paraId="05893100">
      <w:pPr>
        <w:bidi w:val="0"/>
        <w:jc w:val="left"/>
        <w:rPr>
          <w:rFonts w:hint="eastAsia"/>
          <w:lang w:val="en-US" w:eastAsia="zh-CN"/>
        </w:rPr>
        <w:sectPr>
          <w:pgSz w:w="16838" w:h="11906" w:orient="landscape"/>
          <w:pgMar w:top="1134" w:right="1247" w:bottom="1134" w:left="1247" w:header="170" w:footer="567" w:gutter="0"/>
          <w:pgNumType w:fmt="decimal"/>
          <w:cols w:space="720" w:num="1"/>
          <w:docGrid w:linePitch="381" w:charSpace="0"/>
        </w:sectPr>
      </w:pPr>
    </w:p>
    <w:p w14:paraId="71629AAE">
      <w:pPr>
        <w:pStyle w:val="6"/>
        <w:spacing w:line="240" w:lineRule="auto"/>
        <w:ind w:left="0" w:leftChars="0" w:firstLine="0" w:firstLineChars="0"/>
        <w:rPr>
          <w:rFonts w:hint="eastAsia"/>
          <w:lang w:val="en-US" w:eastAsia="zh-CN"/>
        </w:rPr>
      </w:pPr>
      <w:r>
        <w:rPr>
          <w:rFonts w:hint="eastAsia"/>
          <w:lang w:val="en-US" w:eastAsia="zh-CN"/>
        </w:rPr>
        <w:t>标项三：田径场设备（预算金额：1028263元）</w:t>
      </w:r>
    </w:p>
    <w:tbl>
      <w:tblPr>
        <w:tblStyle w:val="45"/>
        <w:tblW w:w="15082" w:type="dxa"/>
        <w:tblInd w:w="-295" w:type="dxa"/>
        <w:tblLayout w:type="fixed"/>
        <w:tblCellMar>
          <w:top w:w="0" w:type="dxa"/>
          <w:left w:w="108" w:type="dxa"/>
          <w:bottom w:w="0" w:type="dxa"/>
          <w:right w:w="108" w:type="dxa"/>
        </w:tblCellMar>
      </w:tblPr>
      <w:tblGrid>
        <w:gridCol w:w="695"/>
        <w:gridCol w:w="2005"/>
        <w:gridCol w:w="682"/>
        <w:gridCol w:w="750"/>
        <w:gridCol w:w="10950"/>
      </w:tblGrid>
      <w:tr w14:paraId="711E7C0B">
        <w:tblPrEx>
          <w:tblCellMar>
            <w:top w:w="0" w:type="dxa"/>
            <w:left w:w="108" w:type="dxa"/>
            <w:bottom w:w="0" w:type="dxa"/>
            <w:right w:w="108" w:type="dxa"/>
          </w:tblCellMar>
        </w:tblPrEx>
        <w:trPr>
          <w:trHeight w:val="386" w:hRule="atLeast"/>
          <w:tblHeader/>
        </w:trPr>
        <w:tc>
          <w:tcPr>
            <w:tcW w:w="695" w:type="dxa"/>
            <w:tcBorders>
              <w:top w:val="single" w:color="auto" w:sz="8" w:space="0"/>
              <w:left w:val="single" w:color="auto" w:sz="8" w:space="0"/>
              <w:bottom w:val="single" w:color="auto" w:sz="4" w:space="0"/>
              <w:right w:val="single" w:color="auto" w:sz="4" w:space="0"/>
            </w:tcBorders>
            <w:shd w:val="clear" w:color="auto" w:fill="auto"/>
            <w:noWrap/>
            <w:vAlign w:val="center"/>
          </w:tcPr>
          <w:p w14:paraId="197D096B">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序号</w:t>
            </w:r>
          </w:p>
        </w:tc>
        <w:tc>
          <w:tcPr>
            <w:tcW w:w="2005" w:type="dxa"/>
            <w:tcBorders>
              <w:top w:val="single" w:color="auto" w:sz="8" w:space="0"/>
              <w:left w:val="nil"/>
              <w:bottom w:val="single" w:color="auto" w:sz="4" w:space="0"/>
              <w:right w:val="single" w:color="auto" w:sz="4" w:space="0"/>
            </w:tcBorders>
            <w:shd w:val="clear" w:color="auto" w:fill="auto"/>
            <w:noWrap/>
            <w:vAlign w:val="center"/>
          </w:tcPr>
          <w:p w14:paraId="0635B4AE">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设备名称</w:t>
            </w:r>
          </w:p>
        </w:tc>
        <w:tc>
          <w:tcPr>
            <w:tcW w:w="682" w:type="dxa"/>
            <w:tcBorders>
              <w:top w:val="single" w:color="auto" w:sz="8" w:space="0"/>
              <w:left w:val="nil"/>
              <w:bottom w:val="single" w:color="auto" w:sz="4" w:space="0"/>
              <w:right w:val="single" w:color="auto" w:sz="4" w:space="0"/>
            </w:tcBorders>
            <w:shd w:val="clear" w:color="auto" w:fill="auto"/>
            <w:noWrap/>
            <w:vAlign w:val="center"/>
          </w:tcPr>
          <w:p w14:paraId="529885B6">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单位</w:t>
            </w:r>
          </w:p>
        </w:tc>
        <w:tc>
          <w:tcPr>
            <w:tcW w:w="750" w:type="dxa"/>
            <w:tcBorders>
              <w:top w:val="single" w:color="auto" w:sz="8" w:space="0"/>
              <w:left w:val="nil"/>
              <w:bottom w:val="single" w:color="auto" w:sz="4" w:space="0"/>
              <w:right w:val="single" w:color="auto" w:sz="4" w:space="0"/>
            </w:tcBorders>
            <w:shd w:val="clear" w:color="auto" w:fill="auto"/>
            <w:noWrap/>
            <w:vAlign w:val="center"/>
          </w:tcPr>
          <w:p w14:paraId="4F41C8BD">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数量</w:t>
            </w:r>
          </w:p>
        </w:tc>
        <w:tc>
          <w:tcPr>
            <w:tcW w:w="10950" w:type="dxa"/>
            <w:tcBorders>
              <w:top w:val="single" w:color="auto" w:sz="8" w:space="0"/>
              <w:left w:val="nil"/>
              <w:bottom w:val="single" w:color="auto" w:sz="4" w:space="0"/>
              <w:right w:val="single" w:color="auto" w:sz="8" w:space="0"/>
            </w:tcBorders>
            <w:shd w:val="clear" w:color="auto" w:fill="auto"/>
            <w:vAlign w:val="center"/>
          </w:tcPr>
          <w:p w14:paraId="55A4D1F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技术参数</w:t>
            </w:r>
          </w:p>
        </w:tc>
      </w:tr>
      <w:tr w14:paraId="4370CD30">
        <w:tblPrEx>
          <w:tblCellMar>
            <w:top w:w="0" w:type="dxa"/>
            <w:left w:w="108" w:type="dxa"/>
            <w:bottom w:w="0" w:type="dxa"/>
            <w:right w:w="108" w:type="dxa"/>
          </w:tblCellMar>
        </w:tblPrEx>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3FF99F">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14:paraId="0CF248D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bidi="ar"/>
              </w:rPr>
              <w:t>铁饼（比赛男塑）2kg</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5EB0922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块</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0D715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10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C8626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φ210—212mm 2kg 钢塑</w:t>
            </w:r>
          </w:p>
          <w:p w14:paraId="1F21F91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w:t>
            </w:r>
            <w:r>
              <w:rPr>
                <w:rFonts w:hint="eastAsia" w:cs="宋体"/>
                <w:color w:val="000000"/>
                <w:kern w:val="0"/>
                <w:sz w:val="21"/>
                <w:szCs w:val="21"/>
                <w:highlight w:val="none"/>
                <w:lang w:val="en-US" w:eastAsia="zh-CN"/>
              </w:rPr>
              <w:t>产品通过国际田联（世界田径</w:t>
            </w:r>
            <w:r>
              <w:rPr>
                <w:rFonts w:hint="eastAsia"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认证</w:t>
            </w:r>
          </w:p>
        </w:tc>
      </w:tr>
      <w:tr w14:paraId="473AE786">
        <w:tblPrEx>
          <w:tblCellMar>
            <w:top w:w="0" w:type="dxa"/>
            <w:left w:w="108" w:type="dxa"/>
            <w:bottom w:w="0" w:type="dxa"/>
            <w:right w:w="108" w:type="dxa"/>
          </w:tblCellMar>
        </w:tblPrEx>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83C401">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14:paraId="76783E0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bidi="ar"/>
              </w:rPr>
              <w:t>铁饼（比赛女塑）1kg</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1D9B7AE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块</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082A7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10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08105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φ180—182mm 1kg 钢塑 高旋</w:t>
            </w:r>
          </w:p>
          <w:p w14:paraId="1AF3698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w:t>
            </w:r>
            <w:r>
              <w:rPr>
                <w:rFonts w:hint="eastAsia" w:cs="宋体"/>
                <w:color w:val="000000"/>
                <w:kern w:val="0"/>
                <w:sz w:val="21"/>
                <w:szCs w:val="21"/>
                <w:highlight w:val="none"/>
                <w:lang w:val="en-US" w:eastAsia="zh-CN"/>
              </w:rPr>
              <w:t>产品通过国际田联（世界田径</w:t>
            </w:r>
            <w:r>
              <w:rPr>
                <w:rFonts w:hint="eastAsia"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认证</w:t>
            </w:r>
          </w:p>
        </w:tc>
      </w:tr>
      <w:tr w14:paraId="3FDED64E">
        <w:tblPrEx>
          <w:tblCellMar>
            <w:top w:w="0" w:type="dxa"/>
            <w:left w:w="108" w:type="dxa"/>
            <w:bottom w:w="0" w:type="dxa"/>
            <w:right w:w="108" w:type="dxa"/>
          </w:tblCellMar>
        </w:tblPrEx>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DF3BE7">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14:paraId="51E59A7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bidi="ar"/>
              </w:rPr>
              <w:t>铁饼（比赛男少塑）1.5kg</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6D7574F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块</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92D0C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10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E55E6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φ200—202mm 1.5 kg 钢塑</w:t>
            </w:r>
          </w:p>
        </w:tc>
      </w:tr>
      <w:tr w14:paraId="78F36049">
        <w:tblPrEx>
          <w:tblCellMar>
            <w:top w:w="0" w:type="dxa"/>
            <w:left w:w="108" w:type="dxa"/>
            <w:bottom w:w="0" w:type="dxa"/>
            <w:right w:w="108" w:type="dxa"/>
          </w:tblCellMar>
        </w:tblPrEx>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AFA291">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14:paraId="533CAD7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bidi="ar"/>
              </w:rPr>
              <w:t>铁饼（比赛女少塑）0.75kg</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4BF81AF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块</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25260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10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BCB97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φ170—172mm 0.75 kg 钢 塑</w:t>
            </w:r>
          </w:p>
        </w:tc>
      </w:tr>
      <w:tr w14:paraId="4896FF6E">
        <w:tblPrEx>
          <w:tblCellMar>
            <w:top w:w="0" w:type="dxa"/>
            <w:left w:w="108" w:type="dxa"/>
            <w:bottom w:w="0" w:type="dxa"/>
            <w:right w:w="108" w:type="dxa"/>
          </w:tblCellMar>
        </w:tblPrEx>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0487D1">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14:paraId="2D86628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bidi="ar"/>
              </w:rPr>
              <w:t>铁饼架</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6B87E47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E4798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0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1D9B0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1.规格：1000mm×522mm×1097.5mm 颜色：桃红色（可定制）材质：优质焊接钢管；</w:t>
            </w:r>
          </w:p>
          <w:p w14:paraId="6F31879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highlight w:val="none"/>
              </w:rPr>
            </w:pPr>
            <w:r>
              <w:rPr>
                <w:rFonts w:hint="eastAsia" w:ascii="宋体" w:hAnsi="宋体" w:eastAsia="宋体" w:cs="宋体"/>
                <w:i w:val="0"/>
                <w:iCs w:val="0"/>
                <w:color w:val="000000"/>
                <w:kern w:val="0"/>
                <w:sz w:val="21"/>
                <w:szCs w:val="21"/>
                <w:highlight w:val="none"/>
                <w:u w:val="none"/>
                <w:lang w:val="en-US" w:eastAsia="zh-CN" w:bidi="ar"/>
              </w:rPr>
              <w:t>2.说明：牢固可靠，适用于国内国际赛事，应用于体育馆、比赛场全规格铁饼的摆放运输，具有移动灵活、方便快捷、省时省力等特点，产品具有耐酸碱、耐湿热、抗老化、外形美观等优点，可放置22个铁饼</w:t>
            </w:r>
          </w:p>
        </w:tc>
      </w:tr>
      <w:tr w14:paraId="2CBD8F1A">
        <w:tblPrEx>
          <w:tblCellMar>
            <w:top w:w="0" w:type="dxa"/>
            <w:left w:w="108" w:type="dxa"/>
            <w:bottom w:w="0" w:type="dxa"/>
            <w:right w:w="108" w:type="dxa"/>
          </w:tblCellMar>
        </w:tblPrEx>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59FAA7">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14:paraId="3EB441B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比赛用铁饼</w:t>
            </w:r>
          </w:p>
          <w:p w14:paraId="0EF1EC5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bidi="ar"/>
              </w:rPr>
              <w:t>投掷远度牌</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475E177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F8985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0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03688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1.规格：400mm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2.重量：8kg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3.颜色：白色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4.材质：玻璃钢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5.性能：用于标枪、铁饼</w:t>
            </w:r>
          </w:p>
        </w:tc>
      </w:tr>
      <w:tr w14:paraId="3C637AC7">
        <w:tblPrEx>
          <w:tblCellMar>
            <w:top w:w="0" w:type="dxa"/>
            <w:left w:w="108" w:type="dxa"/>
            <w:bottom w:w="0" w:type="dxa"/>
            <w:right w:w="108" w:type="dxa"/>
          </w:tblCellMar>
        </w:tblPrEx>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D6BF3E">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7</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14:paraId="63886EE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bidi="ar"/>
              </w:rPr>
              <w:t>高级男子铅球7.26kg</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16C2735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DBD21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10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1D742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7.26kg ø110mm ，碳钢</w:t>
            </w:r>
          </w:p>
          <w:p w14:paraId="59E8B5F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w:t>
            </w:r>
            <w:r>
              <w:rPr>
                <w:rFonts w:hint="eastAsia" w:cs="宋体"/>
                <w:color w:val="000000"/>
                <w:kern w:val="0"/>
                <w:sz w:val="21"/>
                <w:szCs w:val="21"/>
                <w:highlight w:val="none"/>
                <w:lang w:val="en-US" w:eastAsia="zh-CN"/>
              </w:rPr>
              <w:t>产品通过国际田联（世界田径</w:t>
            </w:r>
            <w:r>
              <w:rPr>
                <w:rFonts w:hint="eastAsia"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认证</w:t>
            </w:r>
          </w:p>
        </w:tc>
      </w:tr>
      <w:tr w14:paraId="668A174E">
        <w:tblPrEx>
          <w:tblCellMar>
            <w:top w:w="0" w:type="dxa"/>
            <w:left w:w="108" w:type="dxa"/>
            <w:bottom w:w="0" w:type="dxa"/>
            <w:right w:w="108" w:type="dxa"/>
          </w:tblCellMar>
        </w:tblPrEx>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297AC2">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14:paraId="51F6B72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bidi="ar"/>
              </w:rPr>
              <w:t>高级女子铅球4kg</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74E0090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3AA7A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10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E6D18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4kg ø95mm 碳钢</w:t>
            </w:r>
          </w:p>
          <w:p w14:paraId="3691521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w:t>
            </w:r>
            <w:r>
              <w:rPr>
                <w:rFonts w:hint="eastAsia" w:cs="宋体"/>
                <w:color w:val="000000"/>
                <w:kern w:val="0"/>
                <w:sz w:val="21"/>
                <w:szCs w:val="21"/>
                <w:highlight w:val="none"/>
                <w:lang w:val="en-US" w:eastAsia="zh-CN"/>
              </w:rPr>
              <w:t>产品通过国际田联（世界田径</w:t>
            </w:r>
            <w:r>
              <w:rPr>
                <w:rFonts w:hint="eastAsia"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认证</w:t>
            </w:r>
          </w:p>
        </w:tc>
      </w:tr>
      <w:tr w14:paraId="6CBBEF52">
        <w:tblPrEx>
          <w:tblCellMar>
            <w:top w:w="0" w:type="dxa"/>
            <w:left w:w="108" w:type="dxa"/>
            <w:bottom w:w="0" w:type="dxa"/>
            <w:right w:w="108" w:type="dxa"/>
          </w:tblCellMar>
        </w:tblPrEx>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5D62D4">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14:paraId="5A41B00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bidi="ar"/>
              </w:rPr>
              <w:t>高级男少铅球5kg</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3818EBF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9F2FB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10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FC401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5kg ø100mm </w:t>
            </w:r>
          </w:p>
          <w:p w14:paraId="2C0BE8C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w:t>
            </w:r>
            <w:r>
              <w:rPr>
                <w:rFonts w:hint="eastAsia" w:cs="宋体"/>
                <w:color w:val="000000"/>
                <w:kern w:val="0"/>
                <w:sz w:val="21"/>
                <w:szCs w:val="21"/>
                <w:highlight w:val="none"/>
                <w:lang w:val="en-US" w:eastAsia="zh-CN"/>
              </w:rPr>
              <w:t>产品通过国际田联（世界田径</w:t>
            </w:r>
            <w:r>
              <w:rPr>
                <w:rFonts w:hint="eastAsia"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认证</w:t>
            </w:r>
          </w:p>
        </w:tc>
      </w:tr>
      <w:tr w14:paraId="32971731">
        <w:tblPrEx>
          <w:tblCellMar>
            <w:top w:w="0" w:type="dxa"/>
            <w:left w:w="108" w:type="dxa"/>
            <w:bottom w:w="0" w:type="dxa"/>
            <w:right w:w="108" w:type="dxa"/>
          </w:tblCellMar>
        </w:tblPrEx>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229BA6">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14:paraId="29FB733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bidi="ar"/>
              </w:rPr>
              <w:t>高级女少铅球3kg</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386C6F8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368A6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10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2FEE9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 xml:space="preserve">3kg ø90mm </w:t>
            </w:r>
          </w:p>
          <w:p w14:paraId="2073292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w:t>
            </w:r>
            <w:r>
              <w:rPr>
                <w:rFonts w:hint="eastAsia" w:cs="宋体"/>
                <w:color w:val="000000"/>
                <w:kern w:val="0"/>
                <w:sz w:val="21"/>
                <w:szCs w:val="21"/>
                <w:highlight w:val="none"/>
                <w:lang w:val="en-US" w:eastAsia="zh-CN"/>
              </w:rPr>
              <w:t>产品通过国际田联（世界田径</w:t>
            </w:r>
            <w:r>
              <w:rPr>
                <w:rFonts w:hint="eastAsia"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认证</w:t>
            </w:r>
          </w:p>
        </w:tc>
      </w:tr>
      <w:tr w14:paraId="12AA2FA1">
        <w:tblPrEx>
          <w:tblCellMar>
            <w:top w:w="0" w:type="dxa"/>
            <w:left w:w="108" w:type="dxa"/>
            <w:bottom w:w="0" w:type="dxa"/>
            <w:right w:w="108" w:type="dxa"/>
          </w:tblCellMar>
        </w:tblPrEx>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BFA678">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11</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14:paraId="1F216139">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链球、铁饼护笼</w:t>
            </w:r>
          </w:p>
          <w:p w14:paraId="5AA285B0">
            <w:pPr>
              <w:pStyle w:val="6"/>
              <w:pageBreakBefore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rPr>
            </w:pPr>
            <w:r>
              <w:rPr>
                <w:rFonts w:hint="eastAsia" w:ascii="宋体" w:hAnsi="宋体" w:eastAsia="宋体" w:cs="宋体"/>
                <w:b/>
                <w:bCs/>
                <w:i w:val="0"/>
                <w:iCs w:val="0"/>
                <w:color w:val="FF0000"/>
                <w:kern w:val="0"/>
                <w:sz w:val="21"/>
                <w:szCs w:val="21"/>
                <w:u w:val="none"/>
                <w:lang w:val="en-US" w:eastAsia="zh-CN" w:bidi="ar"/>
              </w:rPr>
              <w:t>（核心产品）</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5FDB2DC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93F7B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0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F2290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1.该护笼能够阻挡重量为7.26千克，以32米/秒的最大速度运行的链球。在挡住链球的同时，器械不会向运动员反弹，也不会从网顶飞出。该护笼具有安全性能好，拆装方便、使用灵活、便于运输等特点。</w:t>
            </w:r>
          </w:p>
          <w:p w14:paraId="0877E26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2.产品安装后占地面积约：15米（长）×11.5米（宽）。</w:t>
            </w:r>
          </w:p>
          <w:p w14:paraId="1A441BD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3.链球、铁饼护笼俯视图形呈U字形，开口宽度6米，共设9片网片和2扇活动门，其中靠近门的2片网片每片规格为2.8×10米、2扇活动门每扇规格为2×10米，其余7片网片高均为7米，★符合最新国际田联标准。</w:t>
            </w:r>
          </w:p>
          <w:p w14:paraId="303EDE2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4.链球、铁饼护笼分别由底座、底座连接件、立柱、立柱连杆和网片组成；护笼门分别由门立杆、门横档和网片组成。</w:t>
            </w:r>
          </w:p>
          <w:p w14:paraId="6978EC1D">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5.护笼底座采用</w:t>
            </w:r>
            <w:r>
              <w:rPr>
                <w:rFonts w:hint="eastAsia" w:ascii="宋体" w:hAnsi="宋体" w:eastAsia="宋体" w:cs="宋体"/>
                <w:i w:val="0"/>
                <w:iCs w:val="0"/>
                <w:color w:val="000000"/>
                <w:kern w:val="0"/>
                <w:sz w:val="21"/>
                <w:szCs w:val="21"/>
                <w:highlight w:val="none"/>
                <w:u w:val="none"/>
                <w:lang w:val="en-US" w:eastAsia="zh-CN" w:bidi="ar"/>
              </w:rPr>
              <w:t>200×70×3</w:t>
            </w:r>
            <w:r>
              <w:rPr>
                <w:rFonts w:hint="eastAsia" w:cs="宋体"/>
                <w:i w:val="0"/>
                <w:iCs w:val="0"/>
                <w:color w:val="000000"/>
                <w:kern w:val="0"/>
                <w:sz w:val="21"/>
                <w:szCs w:val="21"/>
                <w:highlight w:val="none"/>
                <w:u w:val="none"/>
                <w:lang w:val="en-US" w:eastAsia="zh-CN" w:bidi="ar"/>
              </w:rPr>
              <w:t>mm</w:t>
            </w:r>
            <w:r>
              <w:rPr>
                <w:rFonts w:hint="eastAsia" w:ascii="宋体" w:hAnsi="宋体" w:eastAsia="宋体" w:cs="宋体"/>
                <w:i w:val="0"/>
                <w:iCs w:val="0"/>
                <w:color w:val="000000"/>
                <w:kern w:val="0"/>
                <w:sz w:val="21"/>
                <w:szCs w:val="21"/>
                <w:u w:val="none"/>
                <w:lang w:val="en-US" w:eastAsia="zh-CN" w:bidi="ar"/>
              </w:rPr>
              <w:t>方管、</w:t>
            </w:r>
            <w:r>
              <w:rPr>
                <w:rFonts w:hint="eastAsia" w:ascii="宋体" w:hAnsi="宋体" w:eastAsia="宋体" w:cs="宋体"/>
                <w:i w:val="0"/>
                <w:iCs w:val="0"/>
                <w:color w:val="000000"/>
                <w:kern w:val="0"/>
                <w:sz w:val="21"/>
                <w:szCs w:val="21"/>
                <w:highlight w:val="none"/>
                <w:u w:val="none"/>
                <w:lang w:val="en-US" w:eastAsia="zh-CN" w:bidi="ar"/>
              </w:rPr>
              <w:t>100×40×3</w:t>
            </w:r>
            <w:r>
              <w:rPr>
                <w:rFonts w:hint="eastAsia" w:cs="宋体"/>
                <w:i w:val="0"/>
                <w:iCs w:val="0"/>
                <w:color w:val="000000"/>
                <w:kern w:val="0"/>
                <w:sz w:val="21"/>
                <w:szCs w:val="21"/>
                <w:highlight w:val="none"/>
                <w:u w:val="none"/>
                <w:lang w:val="en-US" w:eastAsia="zh-CN" w:bidi="ar"/>
              </w:rPr>
              <w:t>mm</w:t>
            </w:r>
            <w:r>
              <w:rPr>
                <w:rFonts w:hint="eastAsia" w:ascii="宋体" w:hAnsi="宋体" w:eastAsia="宋体" w:cs="宋体"/>
                <w:i w:val="0"/>
                <w:iCs w:val="0"/>
                <w:color w:val="000000"/>
                <w:kern w:val="0"/>
                <w:sz w:val="21"/>
                <w:szCs w:val="21"/>
                <w:u w:val="none"/>
                <w:lang w:val="en-US" w:eastAsia="zh-CN" w:bidi="ar"/>
              </w:rPr>
              <w:t>方管和</w:t>
            </w:r>
            <w:r>
              <w:rPr>
                <w:rFonts w:hint="eastAsia" w:ascii="宋体" w:hAnsi="宋体" w:eastAsia="宋体" w:cs="宋体"/>
                <w:i w:val="0"/>
                <w:iCs w:val="0"/>
                <w:color w:val="000000"/>
                <w:kern w:val="0"/>
                <w:sz w:val="21"/>
                <w:szCs w:val="21"/>
                <w:highlight w:val="none"/>
                <w:u w:val="none"/>
                <w:lang w:val="en-US" w:eastAsia="zh-CN" w:bidi="ar"/>
              </w:rPr>
              <w:t>60×40×2.5</w:t>
            </w:r>
            <w:r>
              <w:rPr>
                <w:rFonts w:hint="eastAsia" w:cs="宋体"/>
                <w:i w:val="0"/>
                <w:iCs w:val="0"/>
                <w:color w:val="000000"/>
                <w:kern w:val="0"/>
                <w:sz w:val="21"/>
                <w:szCs w:val="21"/>
                <w:highlight w:val="none"/>
                <w:u w:val="none"/>
                <w:lang w:val="en-US" w:eastAsia="zh-CN" w:bidi="ar"/>
              </w:rPr>
              <w:t>mm</w:t>
            </w:r>
            <w:r>
              <w:rPr>
                <w:rFonts w:hint="eastAsia" w:ascii="宋体" w:hAnsi="宋体" w:eastAsia="宋体" w:cs="宋体"/>
                <w:i w:val="0"/>
                <w:iCs w:val="0"/>
                <w:color w:val="000000"/>
                <w:kern w:val="0"/>
                <w:sz w:val="21"/>
                <w:szCs w:val="21"/>
                <w:u w:val="none"/>
                <w:lang w:val="en-US" w:eastAsia="zh-CN" w:bidi="ar"/>
              </w:rPr>
              <w:t>方管拼焊制作，底座连接件采用</w:t>
            </w:r>
            <w:r>
              <w:rPr>
                <w:rFonts w:hint="eastAsia" w:ascii="宋体" w:hAnsi="宋体" w:eastAsia="宋体" w:cs="宋体"/>
                <w:i w:val="0"/>
                <w:iCs w:val="0"/>
                <w:color w:val="000000"/>
                <w:kern w:val="0"/>
                <w:sz w:val="21"/>
                <w:szCs w:val="21"/>
                <w:highlight w:val="none"/>
                <w:u w:val="none"/>
                <w:lang w:val="en-US" w:eastAsia="zh-CN" w:bidi="ar"/>
              </w:rPr>
              <w:t>60×40×2.5</w:t>
            </w:r>
            <w:r>
              <w:rPr>
                <w:rFonts w:hint="eastAsia" w:cs="宋体"/>
                <w:i w:val="0"/>
                <w:iCs w:val="0"/>
                <w:color w:val="000000"/>
                <w:kern w:val="0"/>
                <w:sz w:val="21"/>
                <w:szCs w:val="21"/>
                <w:highlight w:val="none"/>
                <w:u w:val="none"/>
                <w:lang w:val="en-US" w:eastAsia="zh-CN" w:bidi="ar"/>
              </w:rPr>
              <w:t>mm</w:t>
            </w:r>
            <w:r>
              <w:rPr>
                <w:rFonts w:hint="eastAsia" w:ascii="宋体" w:hAnsi="宋体" w:eastAsia="宋体" w:cs="宋体"/>
                <w:i w:val="0"/>
                <w:iCs w:val="0"/>
                <w:color w:val="000000"/>
                <w:kern w:val="0"/>
                <w:sz w:val="21"/>
                <w:szCs w:val="21"/>
                <w:u w:val="none"/>
                <w:lang w:val="en-US" w:eastAsia="zh-CN" w:bidi="ar"/>
              </w:rPr>
              <w:t>方管制作，立柱采用Φ89×3.75圆管制作，立柱连杆采用Φ40×3圆管制作；护笼门立杆采用Φ89×3.75圆管制作，门横档采用Φ48×2.75圆管制作。</w:t>
            </w:r>
          </w:p>
          <w:p w14:paraId="0FCB633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护笼网片为单层绳网，黑色，采用特殊合成纤维材料制作，网眼最大尺寸为44mm,其最小抗拉强度为300千克，通过D型卸扣将绳网与网撑（Φ32×2圆管）连接，由拉网绳通过立柱上滑轮控制绳网的升降，如遇大风和大雨天气，便于将绳网降下，增大护笼的安全系数和使用寿命。</w:t>
            </w:r>
          </w:p>
          <w:p w14:paraId="22A1B9B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7</w:t>
            </w:r>
            <w:r>
              <w:rPr>
                <w:rFonts w:hint="eastAsia"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护笼活动门底架下部设有走轮，移动方便。</w:t>
            </w:r>
          </w:p>
        </w:tc>
      </w:tr>
      <w:tr w14:paraId="7B383528">
        <w:tblPrEx>
          <w:tblCellMar>
            <w:top w:w="0" w:type="dxa"/>
            <w:left w:w="108" w:type="dxa"/>
            <w:bottom w:w="0" w:type="dxa"/>
            <w:right w:w="108" w:type="dxa"/>
          </w:tblCellMar>
        </w:tblPrEx>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0179D6">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12</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14:paraId="453DE19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链球、铁饼护笼</w:t>
            </w:r>
          </w:p>
          <w:p w14:paraId="6860E7E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bidi="ar"/>
              </w:rPr>
              <w:t>预埋件</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4930DEC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418DA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0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FD6AF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1.护笼预埋件有预埋管件、内外法兰和预埋封底拼焊制作而成。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2.护笼预埋管件采用Φ140×3.5优质圆管制作，内外法兰采用2mm不锈钢板一次冲压成型制作，预埋封底为橡塑件。</w:t>
            </w:r>
          </w:p>
        </w:tc>
      </w:tr>
      <w:tr w14:paraId="4CFA557B">
        <w:tblPrEx>
          <w:tblCellMar>
            <w:top w:w="0" w:type="dxa"/>
            <w:left w:w="108" w:type="dxa"/>
            <w:bottom w:w="0" w:type="dxa"/>
            <w:right w:w="108" w:type="dxa"/>
          </w:tblCellMar>
        </w:tblPrEx>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D78AFE">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13</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14:paraId="0DA47CF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bidi="ar"/>
              </w:rPr>
              <w:t>铅球架</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144C4FE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F7A31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0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18BFA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1.规格：1100mm×671mm×927mm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2.颜色：桃红色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3.材质：优质焊接钢管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4.性能：本产品牢固可靠，适用于国内国际赛事，全规格铅球皆可摆放运输，省时省力，轻便快捷。</w:t>
            </w:r>
          </w:p>
        </w:tc>
      </w:tr>
      <w:tr w14:paraId="7E12843C">
        <w:tblPrEx>
          <w:tblCellMar>
            <w:top w:w="0" w:type="dxa"/>
            <w:left w:w="108" w:type="dxa"/>
            <w:bottom w:w="0" w:type="dxa"/>
            <w:right w:w="108" w:type="dxa"/>
          </w:tblCellMar>
        </w:tblPrEx>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2058DA">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14</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14:paraId="29E4F5B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bidi="ar"/>
              </w:rPr>
              <w:t>铅球投掷远度牌</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79710CD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D9364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0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D0C87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1.规格：400mm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2.重量：8kg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3.颜色：白色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4.材质：玻璃钢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5.性能：用于标枪、铁饼</w:t>
            </w:r>
          </w:p>
        </w:tc>
      </w:tr>
      <w:tr w14:paraId="3F123516">
        <w:tblPrEx>
          <w:tblCellMar>
            <w:top w:w="0" w:type="dxa"/>
            <w:left w:w="108" w:type="dxa"/>
            <w:bottom w:w="0" w:type="dxa"/>
            <w:right w:w="108" w:type="dxa"/>
          </w:tblCellMar>
        </w:tblPrEx>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5BD3CA">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15</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14:paraId="500EC8E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bidi="ar"/>
              </w:rPr>
              <w:t>铅球插牌</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6F9EF12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只</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C6E46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50</w:t>
            </w:r>
          </w:p>
        </w:tc>
        <w:tc>
          <w:tcPr>
            <w:tcW w:w="10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BC617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1.规格：φ300mm×848mm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2.颜色：桃红色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3.材质：钢制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4.性能：比赛中记录投掷器材落点使用。</w:t>
            </w:r>
          </w:p>
        </w:tc>
      </w:tr>
      <w:tr w14:paraId="07548770">
        <w:tblPrEx>
          <w:tblCellMar>
            <w:top w:w="0" w:type="dxa"/>
            <w:left w:w="108" w:type="dxa"/>
            <w:bottom w:w="0" w:type="dxa"/>
            <w:right w:w="108" w:type="dxa"/>
          </w:tblCellMar>
        </w:tblPrEx>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939D3A">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16</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14:paraId="7BD781C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铝合金男青比赛</w:t>
            </w:r>
          </w:p>
          <w:p w14:paraId="05F142D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bidi="ar"/>
              </w:rPr>
              <w:t>标枪700kg</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523226F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支</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E8643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10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019A1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700g 60 米级 铝制  黄色  米级60m</w:t>
            </w:r>
          </w:p>
        </w:tc>
      </w:tr>
      <w:tr w14:paraId="527AD5B7">
        <w:tblPrEx>
          <w:tblCellMar>
            <w:top w:w="0" w:type="dxa"/>
            <w:left w:w="108" w:type="dxa"/>
            <w:bottom w:w="0" w:type="dxa"/>
            <w:right w:w="108" w:type="dxa"/>
          </w:tblCellMar>
        </w:tblPrEx>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A9B41D">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17</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14:paraId="49898EF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铝合金女子比赛</w:t>
            </w:r>
          </w:p>
          <w:p w14:paraId="33D549A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bidi="ar"/>
              </w:rPr>
              <w:t>标枪600kg</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41D6052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支</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E5914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10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A4699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600g 50 米级  黄色 、铝制</w:t>
            </w:r>
          </w:p>
          <w:p w14:paraId="5273F33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highlight w:val="none"/>
                <w:shd w:val="clear"/>
                <w:lang w:val="en-US" w:eastAsia="zh-CN"/>
              </w:rPr>
              <w:t>▲</w:t>
            </w:r>
            <w:r>
              <w:rPr>
                <w:rFonts w:hint="eastAsia" w:cs="宋体"/>
                <w:color w:val="000000"/>
                <w:kern w:val="0"/>
                <w:sz w:val="21"/>
                <w:szCs w:val="21"/>
                <w:highlight w:val="none"/>
                <w:shd w:val="clear"/>
                <w:lang w:val="en-US" w:eastAsia="zh-CN"/>
              </w:rPr>
              <w:t>产品通过国际田联（世界田径</w:t>
            </w:r>
            <w:r>
              <w:rPr>
                <w:rFonts w:hint="eastAsia" w:cs="宋体"/>
                <w:i w:val="0"/>
                <w:iCs w:val="0"/>
                <w:color w:val="000000"/>
                <w:kern w:val="0"/>
                <w:sz w:val="21"/>
                <w:szCs w:val="21"/>
                <w:highlight w:val="none"/>
                <w:u w:val="none"/>
                <w:shd w:val="clear"/>
                <w:lang w:val="en-US" w:eastAsia="zh-CN" w:bidi="ar"/>
              </w:rPr>
              <w:t>）</w:t>
            </w:r>
            <w:r>
              <w:rPr>
                <w:rFonts w:hint="eastAsia" w:ascii="宋体" w:hAnsi="宋体" w:eastAsia="宋体" w:cs="宋体"/>
                <w:i w:val="0"/>
                <w:iCs w:val="0"/>
                <w:color w:val="000000"/>
                <w:kern w:val="0"/>
                <w:sz w:val="21"/>
                <w:szCs w:val="21"/>
                <w:highlight w:val="none"/>
                <w:u w:val="none"/>
                <w:shd w:val="clear"/>
                <w:lang w:val="en-US" w:eastAsia="zh-CN" w:bidi="ar"/>
              </w:rPr>
              <w:t>认证</w:t>
            </w:r>
          </w:p>
        </w:tc>
      </w:tr>
      <w:tr w14:paraId="5672EBC6">
        <w:tblPrEx>
          <w:tblCellMar>
            <w:top w:w="0" w:type="dxa"/>
            <w:left w:w="108" w:type="dxa"/>
            <w:bottom w:w="0" w:type="dxa"/>
            <w:right w:w="108" w:type="dxa"/>
          </w:tblCellMar>
        </w:tblPrEx>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42B659">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18</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14:paraId="6A67541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bidi="ar"/>
              </w:rPr>
              <w:t>铝合金少年女子比赛标枪500kg</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4BF7161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支</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105FBD">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10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13CAC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500g 2000mm—2100mm 铝制、单色</w:t>
            </w:r>
          </w:p>
        </w:tc>
      </w:tr>
      <w:tr w14:paraId="156898F9">
        <w:tblPrEx>
          <w:tblCellMar>
            <w:top w:w="0" w:type="dxa"/>
            <w:left w:w="108" w:type="dxa"/>
            <w:bottom w:w="0" w:type="dxa"/>
            <w:right w:w="108" w:type="dxa"/>
          </w:tblCellMar>
        </w:tblPrEx>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A2A3E5">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19</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14:paraId="5FF150D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bidi="ar"/>
              </w:rPr>
              <w:t>标枪（训练彩枪）500kg</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486D94C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支</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A7E27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10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C019F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500g 2000mm—2100mm 铝制  双色</w:t>
            </w:r>
          </w:p>
        </w:tc>
      </w:tr>
      <w:tr w14:paraId="65784055">
        <w:tblPrEx>
          <w:tblCellMar>
            <w:top w:w="0" w:type="dxa"/>
            <w:left w:w="108" w:type="dxa"/>
            <w:bottom w:w="0" w:type="dxa"/>
            <w:right w:w="108" w:type="dxa"/>
          </w:tblCellMar>
        </w:tblPrEx>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F2F688">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20</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14:paraId="3A44E34D">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bidi="ar"/>
              </w:rPr>
              <w:t>标枪（训练彩枪）400kg</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750218D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支</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0FC0C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10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F61F3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1900mm—2000mm 400g 单色</w:t>
            </w:r>
          </w:p>
        </w:tc>
      </w:tr>
      <w:tr w14:paraId="1104DD6A">
        <w:tblPrEx>
          <w:tblCellMar>
            <w:top w:w="0" w:type="dxa"/>
            <w:left w:w="108" w:type="dxa"/>
            <w:bottom w:w="0" w:type="dxa"/>
            <w:right w:w="108" w:type="dxa"/>
          </w:tblCellMar>
        </w:tblPrEx>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9F6DEC">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21</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14:paraId="43EE028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bidi="ar"/>
              </w:rPr>
              <w:t>标枪（训练彩枪）300kg</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67EF066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支</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DFE8D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10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D3E49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1800mm— 1900mm 300g 单色</w:t>
            </w:r>
          </w:p>
        </w:tc>
      </w:tr>
      <w:tr w14:paraId="0CDEA069">
        <w:tblPrEx>
          <w:tblCellMar>
            <w:top w:w="0" w:type="dxa"/>
            <w:left w:w="108" w:type="dxa"/>
            <w:bottom w:w="0" w:type="dxa"/>
            <w:right w:w="108" w:type="dxa"/>
          </w:tblCellMar>
        </w:tblPrEx>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585E96">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22</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14:paraId="5C4ABA9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bidi="ar"/>
              </w:rPr>
              <w:t>标枪架</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6DEF7ED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66961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0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B164F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1.规格：1000mm×522mm×1097.5mm</w:t>
            </w:r>
          </w:p>
          <w:p w14:paraId="6883E4E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2.颜色：材质：优质焊接钢管；</w:t>
            </w:r>
          </w:p>
          <w:p w14:paraId="7FBDDFF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3.说明：牢固可靠，适用于国内国际赛事，应用于体育馆、比赛场全规格标枪的摆放运输，具有移动灵活、方便快捷、省时省力等特点，产品具有耐酸碱、耐湿热、抗老化、外形美观等优点。</w:t>
            </w:r>
          </w:p>
        </w:tc>
      </w:tr>
      <w:tr w14:paraId="6C0F82DD">
        <w:tblPrEx>
          <w:tblCellMar>
            <w:top w:w="0" w:type="dxa"/>
            <w:left w:w="108" w:type="dxa"/>
            <w:bottom w:w="0" w:type="dxa"/>
            <w:right w:w="108" w:type="dxa"/>
          </w:tblCellMar>
        </w:tblPrEx>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BDB0DF">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23</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14:paraId="5F0905C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比赛用标枪</w:t>
            </w:r>
          </w:p>
          <w:p w14:paraId="333E2C1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bidi="ar"/>
              </w:rPr>
              <w:t>投掷远度牌</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211E33E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684B5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0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4AD9CD">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1.规格：400mm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2.重量：8kg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3.颜色：白色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4.材质：玻璃钢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5.性能：用于标枪、铁饼</w:t>
            </w:r>
          </w:p>
        </w:tc>
      </w:tr>
      <w:tr w14:paraId="792282A8">
        <w:tblPrEx>
          <w:tblCellMar>
            <w:top w:w="0" w:type="dxa"/>
            <w:left w:w="108" w:type="dxa"/>
            <w:bottom w:w="0" w:type="dxa"/>
            <w:right w:w="108" w:type="dxa"/>
          </w:tblCellMar>
        </w:tblPrEx>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4B6B50">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highlight w:val="none"/>
                <w:shd w:val="clear"/>
                <w:lang w:val="en-US" w:eastAsia="zh-CN"/>
              </w:rPr>
              <w:t>24</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14:paraId="00D9A2E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移动式铝合金</w:t>
            </w:r>
          </w:p>
          <w:p w14:paraId="343EC6A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bidi="ar"/>
              </w:rPr>
              <w:t>足球门</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0455842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副</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6C5F9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0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59024D">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auto"/>
              <w:rPr>
                <w:rFonts w:hint="eastAsia" w:eastAsia="宋体"/>
                <w:highlight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1.球门内净基本尺寸：长×高=7320×2440（mm）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2.足球门由立杆、横梁和系线柱等组成。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color w:val="000000"/>
                <w:kern w:val="0"/>
                <w:sz w:val="21"/>
                <w:szCs w:val="21"/>
                <w:highlight w:val="none"/>
                <w:lang w:val="en-US" w:eastAsia="zh-CN"/>
              </w:rPr>
              <w:t>★</w:t>
            </w:r>
            <w:r>
              <w:rPr>
                <w:rFonts w:hint="eastAsia" w:ascii="宋体" w:hAnsi="宋体" w:eastAsia="宋体" w:cs="宋体"/>
                <w:i w:val="0"/>
                <w:iCs w:val="0"/>
                <w:color w:val="000000"/>
                <w:kern w:val="0"/>
                <w:sz w:val="21"/>
                <w:szCs w:val="21"/>
                <w:highlight w:val="none"/>
                <w:u w:val="none"/>
                <w:lang w:val="en-US" w:eastAsia="zh-CN" w:bidi="ar"/>
              </w:rPr>
              <w:t>3.球门立杆和横梁均采用φ120铝合金型材制成，上设铝合金网勾，置网方便，球网系线柱采用φ89×2.75的钢管制成，横梁和立杆上没有可能危害到运动员安全的连接物件露在外面。球门立杆和系线柱均配备有专用预埋件，由镀锌管和不锈钢冲压件组合而成，只需将立杆和系线柱插入预埋孔，即可投入使用，拆装方便。安装完成后，预埋件与球门柱结合紧密、无晃动，立杆与地面垂直，横梁与立杆的夹角呈90°</w:t>
            </w:r>
            <w:r>
              <w:rPr>
                <w:rFonts w:hint="eastAsia" w:cs="宋体"/>
                <w:i w:val="0"/>
                <w:iCs w:val="0"/>
                <w:color w:val="000000"/>
                <w:kern w:val="0"/>
                <w:sz w:val="21"/>
                <w:szCs w:val="21"/>
                <w:highlight w:val="none"/>
                <w:u w:val="none"/>
                <w:lang w:val="en-US" w:eastAsia="zh-CN" w:bidi="ar"/>
              </w:rPr>
              <w:t>，</w:t>
            </w:r>
            <w:r>
              <w:rPr>
                <w:rFonts w:hint="eastAsia" w:ascii="宋体" w:hAnsi="宋体" w:eastAsia="宋体" w:cs="宋体"/>
                <w:b w:val="0"/>
                <w:bCs/>
                <w:color w:val="auto"/>
                <w:sz w:val="21"/>
                <w:szCs w:val="21"/>
                <w:highlight w:val="none"/>
                <w:lang w:eastAsia="zh-CN"/>
              </w:rPr>
              <w:t>须</w:t>
            </w:r>
            <w:r>
              <w:rPr>
                <w:rFonts w:hint="eastAsia" w:ascii="宋体" w:hAnsi="宋体" w:eastAsia="宋体" w:cs="宋体"/>
                <w:b w:val="0"/>
                <w:bCs/>
                <w:color w:val="auto"/>
                <w:sz w:val="21"/>
                <w:szCs w:val="21"/>
                <w:highlight w:val="none"/>
              </w:rPr>
              <w:t>承诺中标后提供由</w:t>
            </w:r>
            <w:r>
              <w:rPr>
                <w:rFonts w:hint="eastAsia" w:ascii="宋体" w:hAnsi="宋体" w:eastAsia="宋体" w:cs="宋体"/>
                <w:b w:val="0"/>
                <w:bCs/>
                <w:color w:val="auto"/>
                <w:sz w:val="21"/>
                <w:szCs w:val="21"/>
                <w:highlight w:val="none"/>
                <w:lang w:eastAsia="zh-CN"/>
              </w:rPr>
              <w:t>第三方</w:t>
            </w:r>
            <w:r>
              <w:rPr>
                <w:rFonts w:hint="eastAsia" w:ascii="宋体" w:hAnsi="宋体" w:eastAsia="宋体" w:cs="宋体"/>
                <w:b w:val="0"/>
                <w:bCs/>
                <w:color w:val="auto"/>
                <w:sz w:val="21"/>
                <w:szCs w:val="21"/>
                <w:highlight w:val="none"/>
              </w:rPr>
              <w:t>检测机构出具的带有CMA或CNAS标识的检测报告</w:t>
            </w:r>
            <w:r>
              <w:rPr>
                <w:rFonts w:hint="eastAsia" w:ascii="宋体" w:hAnsi="宋体" w:eastAsia="宋体" w:cs="宋体"/>
                <w:b w:val="0"/>
                <w:bCs/>
                <w:color w:val="auto"/>
                <w:sz w:val="21"/>
                <w:szCs w:val="21"/>
                <w:highlight w:val="none"/>
                <w:lang w:eastAsia="zh-CN"/>
              </w:rPr>
              <w:t>。</w:t>
            </w:r>
          </w:p>
        </w:tc>
      </w:tr>
      <w:tr w14:paraId="1E6E6817">
        <w:tblPrEx>
          <w:tblCellMar>
            <w:top w:w="0" w:type="dxa"/>
            <w:left w:w="108" w:type="dxa"/>
            <w:bottom w:w="0" w:type="dxa"/>
            <w:right w:w="108" w:type="dxa"/>
          </w:tblCellMar>
        </w:tblPrEx>
        <w:trPr>
          <w:trHeight w:val="430" w:hRule="atLeast"/>
        </w:trPr>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6265B4">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25</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14:paraId="0095435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bidi="ar"/>
              </w:rPr>
              <w:t>足球换人牌</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1242600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0372D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0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CD74B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PVC、四位手动调节翻牌</w:t>
            </w:r>
          </w:p>
        </w:tc>
      </w:tr>
      <w:tr w14:paraId="771CEF7E">
        <w:tblPrEx>
          <w:tblCellMar>
            <w:top w:w="0" w:type="dxa"/>
            <w:left w:w="108" w:type="dxa"/>
            <w:bottom w:w="0" w:type="dxa"/>
            <w:right w:w="108" w:type="dxa"/>
          </w:tblCellMar>
        </w:tblPrEx>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BB65AC">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26</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14:paraId="709D606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bidi="ar"/>
              </w:rPr>
              <w:t>简易足球记分器</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105A7EBD">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46D7D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0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22416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auto"/>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雪覆板插牌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底部支脚微调</w:t>
            </w:r>
          </w:p>
        </w:tc>
      </w:tr>
      <w:tr w14:paraId="33B2D93B">
        <w:tblPrEx>
          <w:tblCellMar>
            <w:top w:w="0" w:type="dxa"/>
            <w:left w:w="108" w:type="dxa"/>
            <w:bottom w:w="0" w:type="dxa"/>
            <w:right w:w="108" w:type="dxa"/>
          </w:tblCellMar>
        </w:tblPrEx>
        <w:trPr>
          <w:trHeight w:val="481" w:hRule="atLeast"/>
        </w:trPr>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0110B3">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27</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14:paraId="0F52763D">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bidi="ar"/>
              </w:rPr>
              <w:t>角旗 (含旗杆)</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0BCF8F2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面</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0161E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8</w:t>
            </w:r>
          </w:p>
        </w:tc>
        <w:tc>
          <w:tcPr>
            <w:tcW w:w="10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69A43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highlight w:val="none"/>
              </w:rPr>
            </w:pPr>
          </w:p>
        </w:tc>
      </w:tr>
      <w:tr w14:paraId="7A5A8DBF">
        <w:tblPrEx>
          <w:tblCellMar>
            <w:top w:w="0" w:type="dxa"/>
            <w:left w:w="108" w:type="dxa"/>
            <w:bottom w:w="0" w:type="dxa"/>
            <w:right w:w="108" w:type="dxa"/>
          </w:tblCellMar>
        </w:tblPrEx>
        <w:trPr>
          <w:trHeight w:val="474" w:hRule="atLeast"/>
        </w:trPr>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CE8E25">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28</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14:paraId="50F53B68">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b/>
                <w:bCs/>
                <w:sz w:val="21"/>
                <w:szCs w:val="21"/>
                <w:lang w:val="en-US" w:eastAsia="zh-CN"/>
              </w:rPr>
              <w:t>手旗</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34DBCBB6">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套</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378278">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0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53F202">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 xml:space="preserve">2面/套，配袋 </w:t>
            </w:r>
          </w:p>
        </w:tc>
      </w:tr>
      <w:tr w14:paraId="6C622D63">
        <w:tblPrEx>
          <w:tblCellMar>
            <w:top w:w="0" w:type="dxa"/>
            <w:left w:w="108" w:type="dxa"/>
            <w:bottom w:w="0" w:type="dxa"/>
            <w:right w:w="108" w:type="dxa"/>
          </w:tblCellMar>
        </w:tblPrEx>
        <w:trPr>
          <w:trHeight w:val="430" w:hRule="atLeast"/>
        </w:trPr>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4910F9">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29</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14:paraId="1CAA610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bidi="ar"/>
              </w:rPr>
              <w:t>圆锥</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249435A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74731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70</w:t>
            </w:r>
          </w:p>
        </w:tc>
        <w:tc>
          <w:tcPr>
            <w:tcW w:w="10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0E159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高度0.2m，每个场地70个，塑料，颜色黄色或红色 </w:t>
            </w:r>
          </w:p>
        </w:tc>
      </w:tr>
      <w:tr w14:paraId="587E1519">
        <w:tblPrEx>
          <w:tblCellMar>
            <w:top w:w="0" w:type="dxa"/>
            <w:left w:w="108" w:type="dxa"/>
            <w:bottom w:w="0" w:type="dxa"/>
            <w:right w:w="108" w:type="dxa"/>
          </w:tblCellMar>
        </w:tblPrEx>
        <w:trPr>
          <w:trHeight w:val="447" w:hRule="atLeast"/>
        </w:trPr>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C2AE28">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30</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14:paraId="5311011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bidi="ar"/>
              </w:rPr>
              <w:t>单道划线车</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16B3DFD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18194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10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DC009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划线宽度可调：0.05-0.12m</w:t>
            </w:r>
          </w:p>
        </w:tc>
      </w:tr>
      <w:tr w14:paraId="5687D551">
        <w:tblPrEx>
          <w:tblCellMar>
            <w:top w:w="0" w:type="dxa"/>
            <w:left w:w="108" w:type="dxa"/>
            <w:bottom w:w="0" w:type="dxa"/>
            <w:right w:w="108" w:type="dxa"/>
          </w:tblCellMar>
        </w:tblPrEx>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715921">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31</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14:paraId="04327CED">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bidi="ar"/>
              </w:rPr>
              <w:t>画线模板</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4F88964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86A24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0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23021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直线模板一个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弧度模板三个</w:t>
            </w:r>
          </w:p>
        </w:tc>
      </w:tr>
      <w:tr w14:paraId="03313DD7">
        <w:tblPrEx>
          <w:tblCellMar>
            <w:top w:w="0" w:type="dxa"/>
            <w:left w:w="108" w:type="dxa"/>
            <w:bottom w:w="0" w:type="dxa"/>
            <w:right w:w="108" w:type="dxa"/>
          </w:tblCellMar>
        </w:tblPrEx>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7BCE32">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32</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14:paraId="5E97489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bidi="ar"/>
              </w:rPr>
              <w:t>发令台</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553D2C7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E5444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0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5D6E2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1.规格：1260mm（可调）×885mm×2595mm（可调）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2.重量：40kg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3.颜色：桃红色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4.材质：钢制主架、不锈钢伸臂、玻璃钢烟屏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5.性能：本产品可用于裁判员发令，结实耐用抗锈蚀。</w:t>
            </w:r>
          </w:p>
        </w:tc>
      </w:tr>
      <w:tr w14:paraId="52180FED">
        <w:tblPrEx>
          <w:tblCellMar>
            <w:top w:w="0" w:type="dxa"/>
            <w:left w:w="108" w:type="dxa"/>
            <w:bottom w:w="0" w:type="dxa"/>
            <w:right w:w="108" w:type="dxa"/>
          </w:tblCellMar>
        </w:tblPrEx>
        <w:trPr>
          <w:trHeight w:val="416" w:hRule="atLeast"/>
        </w:trPr>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C2E8C8">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33</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14:paraId="69E0501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bidi="ar"/>
              </w:rPr>
              <w:t>发令烟屏</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5DAB7B4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块</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D32F4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0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39B70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铁制，用发令台配合使用</w:t>
            </w:r>
          </w:p>
        </w:tc>
      </w:tr>
      <w:tr w14:paraId="7A99C885">
        <w:tblPrEx>
          <w:tblCellMar>
            <w:top w:w="0" w:type="dxa"/>
            <w:left w:w="108" w:type="dxa"/>
            <w:bottom w:w="0" w:type="dxa"/>
            <w:right w:w="108" w:type="dxa"/>
          </w:tblCellMar>
        </w:tblPrEx>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37E815">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34</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14:paraId="668CA110">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rPr>
            </w:pPr>
            <w:r>
              <w:rPr>
                <w:rFonts w:hint="eastAsia" w:ascii="宋体" w:hAnsi="宋体" w:eastAsia="宋体" w:cs="宋体"/>
                <w:b/>
                <w:bCs/>
                <w:i w:val="0"/>
                <w:iCs w:val="0"/>
                <w:color w:val="000000"/>
                <w:kern w:val="0"/>
                <w:sz w:val="21"/>
                <w:szCs w:val="21"/>
                <w:u w:val="none"/>
                <w:lang w:val="en-US" w:eastAsia="zh-CN" w:bidi="ar"/>
              </w:rPr>
              <w:t>终点裁判台</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51B0EC4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2CAD3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0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22768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1.规格：24座伸缩式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2.重量：300kg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3.颜色：白色、红色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4.材质：钢制主体，塑料座椅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5.性能：可伸缩，场地使用</w:t>
            </w:r>
          </w:p>
        </w:tc>
      </w:tr>
      <w:tr w14:paraId="420E4E1F">
        <w:tblPrEx>
          <w:tblCellMar>
            <w:top w:w="0" w:type="dxa"/>
            <w:left w:w="108" w:type="dxa"/>
            <w:bottom w:w="0" w:type="dxa"/>
            <w:right w:w="108" w:type="dxa"/>
          </w:tblCellMar>
        </w:tblPrEx>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335E81">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35</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14:paraId="468A268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bidi="ar"/>
              </w:rPr>
              <w:t>道次墩</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152D1F7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只</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A34EA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16</w:t>
            </w:r>
          </w:p>
        </w:tc>
        <w:tc>
          <w:tcPr>
            <w:tcW w:w="10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A8094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1.规格：400mm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2.重量：8kg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3.颜色：白色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4.材质：玻璃钢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5.性能：用于标枪、铁饼</w:t>
            </w:r>
          </w:p>
        </w:tc>
      </w:tr>
      <w:tr w14:paraId="2E579ACA">
        <w:tblPrEx>
          <w:tblCellMar>
            <w:top w:w="0" w:type="dxa"/>
            <w:left w:w="108" w:type="dxa"/>
            <w:bottom w:w="0" w:type="dxa"/>
            <w:right w:w="108" w:type="dxa"/>
          </w:tblCellMar>
        </w:tblPrEx>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F80AE7">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36</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14:paraId="0DAF0F4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bidi="ar"/>
              </w:rPr>
              <w:t>起跑器</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5970F64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副</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202D8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10</w:t>
            </w:r>
          </w:p>
        </w:tc>
        <w:tc>
          <w:tcPr>
            <w:tcW w:w="10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ECEB7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1.规格：928mm×78mm×6mm</w:t>
            </w:r>
          </w:p>
          <w:p w14:paraId="7279539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2.重量：约6.85kg</w:t>
            </w:r>
          </w:p>
          <w:p w14:paraId="6E8DB0E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3.颜色：银色</w:t>
            </w:r>
          </w:p>
          <w:p w14:paraId="5F7C21B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4.材质：铝合金</w:t>
            </w:r>
          </w:p>
          <w:p w14:paraId="58B1DEFD">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5.性能：用于比赛 </w:t>
            </w:r>
          </w:p>
        </w:tc>
      </w:tr>
      <w:tr w14:paraId="1FA9C516">
        <w:tblPrEx>
          <w:tblCellMar>
            <w:top w:w="0" w:type="dxa"/>
            <w:left w:w="108" w:type="dxa"/>
            <w:bottom w:w="0" w:type="dxa"/>
            <w:right w:w="108" w:type="dxa"/>
          </w:tblCellMar>
        </w:tblPrEx>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383881">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37</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14:paraId="7078EFC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bidi="ar"/>
              </w:rPr>
              <w:t>起跑器运送车</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2BACF9B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359A8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0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8F906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1.规格：1455mm×600mm×1538mm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2.重量：约38kg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3.颜色：桃红色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4.材质：优质焊接钢管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5.性能：用于起跑器的运输和存放</w:t>
            </w:r>
          </w:p>
        </w:tc>
      </w:tr>
      <w:tr w14:paraId="22568B21">
        <w:tblPrEx>
          <w:tblCellMar>
            <w:top w:w="0" w:type="dxa"/>
            <w:left w:w="108" w:type="dxa"/>
            <w:bottom w:w="0" w:type="dxa"/>
            <w:right w:w="108" w:type="dxa"/>
          </w:tblCellMar>
        </w:tblPrEx>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35CF67">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38</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14:paraId="77272D0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bidi="ar"/>
              </w:rPr>
              <w:t>跨栏板</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5740066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块</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22B2D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70</w:t>
            </w:r>
          </w:p>
        </w:tc>
        <w:tc>
          <w:tcPr>
            <w:tcW w:w="10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3E919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1.规格：1190mm×70mm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2.重量：0.5kg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3.颜色：白色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4.材质：塑料材质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5.性能：用于跨栏</w:t>
            </w:r>
          </w:p>
        </w:tc>
      </w:tr>
      <w:tr w14:paraId="67F3239A">
        <w:tblPrEx>
          <w:tblCellMar>
            <w:top w:w="0" w:type="dxa"/>
            <w:left w:w="108" w:type="dxa"/>
            <w:bottom w:w="0" w:type="dxa"/>
            <w:right w:w="108" w:type="dxa"/>
          </w:tblCellMar>
        </w:tblPrEx>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662FF9">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39</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14:paraId="12959EC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bidi="ar"/>
              </w:rPr>
              <w:t>高级比赛跨栏架</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1AE1A41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副</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106A0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70</w:t>
            </w:r>
          </w:p>
        </w:tc>
        <w:tc>
          <w:tcPr>
            <w:tcW w:w="10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37B19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1.规格：1067mm、991mm、914mm、838mm、762mm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2.重量：13.5kg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3.颜色：红白色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4.材质：方管和焊接立管为钢制，跨栏板为塑料材质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5.性能：本产品高度可自动调节，适用于国内国际比赛，室内外皆可使用器材</w:t>
            </w:r>
          </w:p>
          <w:p w14:paraId="36E4DE5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highlight w:val="none"/>
                <w:lang w:val="en-US" w:eastAsia="zh-CN"/>
              </w:rPr>
              <w:t>▲</w:t>
            </w:r>
            <w:r>
              <w:rPr>
                <w:rFonts w:hint="eastAsia" w:cs="宋体"/>
                <w:color w:val="000000"/>
                <w:kern w:val="0"/>
                <w:sz w:val="21"/>
                <w:szCs w:val="21"/>
                <w:highlight w:val="none"/>
                <w:lang w:val="en-US" w:eastAsia="zh-CN"/>
              </w:rPr>
              <w:t>产品通过国际田联（世界田径</w:t>
            </w:r>
            <w:r>
              <w:rPr>
                <w:rFonts w:hint="eastAsia"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认证</w:t>
            </w:r>
          </w:p>
        </w:tc>
      </w:tr>
      <w:tr w14:paraId="7E756F4C">
        <w:tblPrEx>
          <w:tblCellMar>
            <w:top w:w="0" w:type="dxa"/>
            <w:left w:w="108" w:type="dxa"/>
            <w:bottom w:w="0" w:type="dxa"/>
            <w:right w:w="108" w:type="dxa"/>
          </w:tblCellMar>
        </w:tblPrEx>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1732BD">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40</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14:paraId="748DD27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bidi="ar"/>
              </w:rPr>
              <w:t>栏高检验尺</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300C11E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根</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576B7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10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1FE0E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1.规格：1200mm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2.重量：0.6kg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3.颜色：银灰色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4.材质：不锈钢材质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5.性能：用于丈量</w:t>
            </w:r>
          </w:p>
        </w:tc>
      </w:tr>
      <w:tr w14:paraId="3F006374">
        <w:tblPrEx>
          <w:tblCellMar>
            <w:top w:w="0" w:type="dxa"/>
            <w:left w:w="108" w:type="dxa"/>
            <w:bottom w:w="0" w:type="dxa"/>
            <w:right w:w="108" w:type="dxa"/>
          </w:tblCellMar>
        </w:tblPrEx>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B65D2A">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41</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14:paraId="00B1686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bidi="ar"/>
              </w:rPr>
              <w:t>跨栏架搬运车</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538A8F8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C99B6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10</w:t>
            </w:r>
          </w:p>
        </w:tc>
        <w:tc>
          <w:tcPr>
            <w:tcW w:w="10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507DF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1.规格：1443mm×1060mm×967mm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2.重量：约48kg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3.颜色：桃红色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4.材质：优质焊接钢管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5.性能：本产品适用于国内国际赛事，运输跨栏省时省力。</w:t>
            </w:r>
          </w:p>
        </w:tc>
      </w:tr>
      <w:tr w14:paraId="6EDA53E4">
        <w:tblPrEx>
          <w:tblCellMar>
            <w:top w:w="0" w:type="dxa"/>
            <w:left w:w="108" w:type="dxa"/>
            <w:bottom w:w="0" w:type="dxa"/>
            <w:right w:w="108" w:type="dxa"/>
          </w:tblCellMar>
        </w:tblPrEx>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8E394E">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42</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14:paraId="50D1732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bidi="ar"/>
              </w:rPr>
              <w:t>接力棒</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657E908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AC4D0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10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9D68F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1.规格：长 280mm—300mm，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2.直径 40mm±2mm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3.重量：0.05kg/ 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4.颜色：红、黑、黄、蓝、白、紫、灰、绿8种颜色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5.材质：铝合金材质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6.性能：</w:t>
            </w:r>
            <w:r>
              <w:rPr>
                <w:rFonts w:hint="eastAsia" w:ascii="宋体" w:hAnsi="宋体" w:eastAsia="宋体" w:cs="宋体"/>
                <w:i w:val="0"/>
                <w:iCs w:val="0"/>
                <w:color w:val="000000"/>
                <w:kern w:val="0"/>
                <w:sz w:val="21"/>
                <w:szCs w:val="21"/>
                <w:highlight w:val="none"/>
                <w:u w:val="none"/>
                <w:lang w:val="en-US" w:eastAsia="zh-CN" w:bidi="ar"/>
              </w:rPr>
              <w:t>用于比赛</w:t>
            </w:r>
          </w:p>
        </w:tc>
      </w:tr>
      <w:tr w14:paraId="040F7A97">
        <w:tblPrEx>
          <w:tblCellMar>
            <w:top w:w="0" w:type="dxa"/>
            <w:left w:w="108" w:type="dxa"/>
            <w:bottom w:w="0" w:type="dxa"/>
            <w:right w:w="108" w:type="dxa"/>
          </w:tblCellMar>
        </w:tblPrEx>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028A34">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43</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14:paraId="1050F37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bidi="ar"/>
              </w:rPr>
              <w:t>记圈牌</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2AE0100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4ECB9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0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3841F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1.规格：1535mm×606mm×606mm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2.重量：约25kg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3.颜色：桃红色</w:t>
            </w:r>
            <w:r>
              <w:rPr>
                <w:rFonts w:hint="eastAsia"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4.材质：优质焊接钢管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5.性能：可挂铜钟，数字拨号0-99。</w:t>
            </w:r>
          </w:p>
        </w:tc>
      </w:tr>
      <w:tr w14:paraId="7C5743AA">
        <w:tblPrEx>
          <w:tblCellMar>
            <w:top w:w="0" w:type="dxa"/>
            <w:left w:w="108" w:type="dxa"/>
            <w:bottom w:w="0" w:type="dxa"/>
            <w:right w:w="108" w:type="dxa"/>
          </w:tblCellMar>
        </w:tblPrEx>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DE8216">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44</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14:paraId="6A46092D">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bidi="ar"/>
              </w:rPr>
              <w:t>终点柱</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261882C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6D89C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0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C09C1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1.规格：φ250mm×1400mm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2.重量：约7.6kg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3.颜色：白色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4.材质：优质焊接钢管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5.性能：本产品结实耐用，摆放方便，田径跑步项目固定红色丝带使用。</w:t>
            </w:r>
          </w:p>
        </w:tc>
      </w:tr>
      <w:tr w14:paraId="6B535ED7">
        <w:tblPrEx>
          <w:tblCellMar>
            <w:top w:w="0" w:type="dxa"/>
            <w:left w:w="108" w:type="dxa"/>
            <w:bottom w:w="0" w:type="dxa"/>
            <w:right w:w="108" w:type="dxa"/>
          </w:tblCellMar>
        </w:tblPrEx>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3D0DAF">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45</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14:paraId="60837CE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bidi="ar"/>
              </w:rPr>
              <w:t>移动式终点柱</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1144E21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8ECAB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0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C367D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1.规格：φ250mm×1400mm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2.重量：约7.6kg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3.颜色：白色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4.材质：优质焊接钢管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5.性能：本产品结实耐用，摆放方便，田径跑步项目固定红色丝带使用。</w:t>
            </w:r>
          </w:p>
        </w:tc>
      </w:tr>
      <w:tr w14:paraId="520E4F27">
        <w:tblPrEx>
          <w:tblCellMar>
            <w:top w:w="0" w:type="dxa"/>
            <w:left w:w="108" w:type="dxa"/>
            <w:bottom w:w="0" w:type="dxa"/>
            <w:right w:w="108" w:type="dxa"/>
          </w:tblCellMar>
        </w:tblPrEx>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59129A">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46</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14:paraId="5F35083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bidi="ar"/>
              </w:rPr>
              <w:t>终点铜钟</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189C6D0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B2E0B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0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2491A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1.规格：1535mm×606mm×606mm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2.重量：约25kg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3.颜色：桃红色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4.材质：优质焊接钢管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5.性能：可挂铜钟，数字拨号 0-99。</w:t>
            </w:r>
          </w:p>
        </w:tc>
      </w:tr>
      <w:tr w14:paraId="4356F054">
        <w:tblPrEx>
          <w:tblCellMar>
            <w:top w:w="0" w:type="dxa"/>
            <w:left w:w="108" w:type="dxa"/>
            <w:bottom w:w="0" w:type="dxa"/>
            <w:right w:w="108" w:type="dxa"/>
          </w:tblCellMar>
        </w:tblPrEx>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AADE82">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47</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14:paraId="4DB0C779">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bidi="ar"/>
              </w:rPr>
              <w:t>抢道标志</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2EE10B77">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只</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632DE8">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10</w:t>
            </w:r>
          </w:p>
        </w:tc>
        <w:tc>
          <w:tcPr>
            <w:tcW w:w="10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4C4035">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1.规格：50mm×50mm×130mm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2.重量：约0.5kg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3.颜色：黄色（与跑道颜色区别）</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4.性能：小巧，固定方便，提示运动员抢道。</w:t>
            </w:r>
          </w:p>
        </w:tc>
      </w:tr>
      <w:tr w14:paraId="17759211">
        <w:tblPrEx>
          <w:tblCellMar>
            <w:top w:w="0" w:type="dxa"/>
            <w:left w:w="108" w:type="dxa"/>
            <w:bottom w:w="0" w:type="dxa"/>
            <w:right w:w="108" w:type="dxa"/>
          </w:tblCellMar>
        </w:tblPrEx>
        <w:trPr>
          <w:trHeight w:val="358" w:hRule="atLeast"/>
        </w:trPr>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092A0E">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48</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14:paraId="743BAA07">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bidi="ar"/>
              </w:rPr>
              <w:t>步点标志 A</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3BBD73EA">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3D84D2">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10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EA2E36">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1.尺寸：80mm×80mm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2.重量：0.1kg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3.颜色：各种颜色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4.材质：亚克力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5.性能：用于标记</w:t>
            </w:r>
          </w:p>
        </w:tc>
      </w:tr>
      <w:tr w14:paraId="47A555D5">
        <w:tblPrEx>
          <w:tblCellMar>
            <w:top w:w="0" w:type="dxa"/>
            <w:left w:w="108" w:type="dxa"/>
            <w:bottom w:w="0" w:type="dxa"/>
            <w:right w:w="108" w:type="dxa"/>
          </w:tblCellMar>
        </w:tblPrEx>
        <w:trPr>
          <w:trHeight w:val="254" w:hRule="atLeast"/>
        </w:trPr>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1AB7DB">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49</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14:paraId="0B58623E">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bidi="ar"/>
              </w:rPr>
              <w:t>发令旗</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563A293C">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面</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C387B6">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12</w:t>
            </w:r>
          </w:p>
        </w:tc>
        <w:tc>
          <w:tcPr>
            <w:tcW w:w="10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8AEA82">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1.规格：旗面450mm×350mm，旗杆500mm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2.重量：0.4kg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3.颜色：黑色手柄，旗面为红色、黄色、绿色、白色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4.材质：塑料把手，旗杆 PPR 材质，绸布旗面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5.性能：裁判员用</w:t>
            </w:r>
          </w:p>
        </w:tc>
      </w:tr>
      <w:tr w14:paraId="5D9DD989">
        <w:tblPrEx>
          <w:tblCellMar>
            <w:top w:w="0" w:type="dxa"/>
            <w:left w:w="108" w:type="dxa"/>
            <w:bottom w:w="0" w:type="dxa"/>
            <w:right w:w="108" w:type="dxa"/>
          </w:tblCellMar>
        </w:tblPrEx>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BBC2AA">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50</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14:paraId="75284D5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bidi="ar"/>
              </w:rPr>
              <w:t>标志旗</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1DC9212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面</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30869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12</w:t>
            </w:r>
          </w:p>
        </w:tc>
        <w:tc>
          <w:tcPr>
            <w:tcW w:w="10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F189C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1.规格：φ240mm×700mm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2.重量：约3kg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3.颜色：桃红色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4.材质：优质焊接钢管，绸布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5.性能：随风飘动，标志明显，底座稳定可靠。</w:t>
            </w:r>
          </w:p>
        </w:tc>
      </w:tr>
      <w:tr w14:paraId="6841007F">
        <w:tblPrEx>
          <w:tblCellMar>
            <w:top w:w="0" w:type="dxa"/>
            <w:left w:w="108" w:type="dxa"/>
            <w:bottom w:w="0" w:type="dxa"/>
            <w:right w:w="108" w:type="dxa"/>
          </w:tblCellMar>
        </w:tblPrEx>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A1C412">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51</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14:paraId="35F174C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bidi="ar"/>
              </w:rPr>
              <w:t>弯道旗</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1A688D6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面</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366B2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10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683DA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1.规格：280mm×240mm×450mm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2.重量：约3kg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3.颜色：桃红色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4.材质：优质焊接钢管，绸布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5.性能：摆放弯道位置，提示将进入弯道。</w:t>
            </w:r>
          </w:p>
        </w:tc>
      </w:tr>
      <w:tr w14:paraId="3966F0E9">
        <w:tblPrEx>
          <w:tblCellMar>
            <w:top w:w="0" w:type="dxa"/>
            <w:left w:w="108" w:type="dxa"/>
            <w:bottom w:w="0" w:type="dxa"/>
            <w:right w:w="108" w:type="dxa"/>
          </w:tblCellMar>
        </w:tblPrEx>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1E9140">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52</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14:paraId="7EF80F3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bidi="ar"/>
              </w:rPr>
              <w:t>记录标志牌</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00F557C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面</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7E56E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10</w:t>
            </w:r>
          </w:p>
        </w:tc>
        <w:tc>
          <w:tcPr>
            <w:tcW w:w="10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3E125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1.规格：254mm×128mm×8mm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2.重量：约0.5kg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3.颜色：桃红色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4.材质：优质焊接钢管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5.性能：携带方便，可迅速标记。</w:t>
            </w:r>
          </w:p>
        </w:tc>
      </w:tr>
      <w:tr w14:paraId="5E5CB422">
        <w:tblPrEx>
          <w:tblCellMar>
            <w:top w:w="0" w:type="dxa"/>
            <w:left w:w="108" w:type="dxa"/>
            <w:bottom w:w="0" w:type="dxa"/>
            <w:right w:w="108" w:type="dxa"/>
          </w:tblCellMar>
        </w:tblPrEx>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A2DCBB">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53</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14:paraId="6C3FFB7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bidi="ar"/>
              </w:rPr>
              <w:t>红、黄、绿卡</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162CD72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0A9A7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0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6CF74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1.规格：105mm×145mm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2.重量：0.015kg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3.颜色：红黑色、黄黑色、黑色、红色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4.材质：PVC 材质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5.性能：裁判员用</w:t>
            </w:r>
          </w:p>
        </w:tc>
      </w:tr>
      <w:tr w14:paraId="48EDD068">
        <w:tblPrEx>
          <w:tblCellMar>
            <w:top w:w="0" w:type="dxa"/>
            <w:left w:w="108" w:type="dxa"/>
            <w:bottom w:w="0" w:type="dxa"/>
            <w:right w:w="108" w:type="dxa"/>
          </w:tblCellMar>
        </w:tblPrEx>
        <w:trPr>
          <w:trHeight w:val="416" w:hRule="atLeast"/>
        </w:trPr>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62E886">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54</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14:paraId="09B1207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bidi="ar"/>
              </w:rPr>
              <w:t>测量卷尺</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2B65740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把</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F0D51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10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D25CED">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50m钢尺</w:t>
            </w:r>
          </w:p>
        </w:tc>
      </w:tr>
      <w:tr w14:paraId="668C0984">
        <w:tblPrEx>
          <w:tblCellMar>
            <w:top w:w="0" w:type="dxa"/>
            <w:left w:w="108" w:type="dxa"/>
            <w:bottom w:w="0" w:type="dxa"/>
            <w:right w:w="108" w:type="dxa"/>
          </w:tblCellMar>
        </w:tblPrEx>
        <w:trPr>
          <w:trHeight w:val="386" w:hRule="atLeast"/>
        </w:trPr>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E5680A">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55</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14:paraId="3D79299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bidi="ar"/>
              </w:rPr>
              <w:t>测量卷尺</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7507898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把</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98A5A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10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D0860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30m钢尺</w:t>
            </w:r>
          </w:p>
        </w:tc>
      </w:tr>
      <w:tr w14:paraId="715DA56A">
        <w:tblPrEx>
          <w:tblCellMar>
            <w:top w:w="0" w:type="dxa"/>
            <w:left w:w="108" w:type="dxa"/>
            <w:bottom w:w="0" w:type="dxa"/>
            <w:right w:w="108" w:type="dxa"/>
          </w:tblCellMar>
        </w:tblPrEx>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4F515B">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56</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14:paraId="2DE4807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bidi="ar"/>
              </w:rPr>
              <w:t>风向标</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46010B0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9310B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10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3A1CE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1.规格：φ240mm×1500mm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2.重量：约5kg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3.颜色：桃红色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4.材质：优质焊接钢管，绸布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5.性能：摆放方便，随风而动，显示风向。</w:t>
            </w:r>
          </w:p>
        </w:tc>
      </w:tr>
      <w:tr w14:paraId="78EBBBC5">
        <w:tblPrEx>
          <w:tblCellMar>
            <w:top w:w="0" w:type="dxa"/>
            <w:left w:w="108" w:type="dxa"/>
            <w:bottom w:w="0" w:type="dxa"/>
            <w:right w:w="108" w:type="dxa"/>
          </w:tblCellMar>
        </w:tblPrEx>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D62BCA">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57</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14:paraId="2BE7D4C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bidi="ar"/>
              </w:rPr>
              <w:t>发奖台</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08E2BFF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DB25F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0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C4E59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1.规格：6000mm×600mm×（600mm、450mm、300mm）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2.重量：约105kg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3.颜色：桃红色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4.材质：钢架、木面板、上铺地毯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5.性能：三段阶梯式，用于颁奖、领奖，结实耐用。</w:t>
            </w:r>
          </w:p>
        </w:tc>
      </w:tr>
      <w:tr w14:paraId="67472FC9">
        <w:tblPrEx>
          <w:tblCellMar>
            <w:top w:w="0" w:type="dxa"/>
            <w:left w:w="108" w:type="dxa"/>
            <w:bottom w:w="0" w:type="dxa"/>
            <w:right w:w="108" w:type="dxa"/>
          </w:tblCellMar>
        </w:tblPrEx>
        <w:trPr>
          <w:trHeight w:val="430" w:hRule="atLeast"/>
        </w:trPr>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6F8EB2">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58</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14:paraId="7F9B052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bidi="ar"/>
              </w:rPr>
              <w:t>田径长凳</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5B755B3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条</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46552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20</w:t>
            </w:r>
          </w:p>
        </w:tc>
        <w:tc>
          <w:tcPr>
            <w:tcW w:w="10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C620E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钢木制，L=2m</w:t>
            </w:r>
          </w:p>
        </w:tc>
      </w:tr>
      <w:tr w14:paraId="31727198">
        <w:tblPrEx>
          <w:tblCellMar>
            <w:top w:w="0" w:type="dxa"/>
            <w:left w:w="108" w:type="dxa"/>
            <w:bottom w:w="0" w:type="dxa"/>
            <w:right w:w="108" w:type="dxa"/>
          </w:tblCellMar>
        </w:tblPrEx>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65E82C">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59</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14:paraId="56BF986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bidi="ar"/>
              </w:rPr>
              <w:t>场地小推车</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015E2B8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1B17BD">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10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2A11E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1.规格：2000mm×1000mm×1030mm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2.重量：约55kg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3.颜色：桃红色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4.材质：优质焊接钢管，铝合金板面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5.性能：用于田径场各轻型物件运输装卸。</w:t>
            </w:r>
          </w:p>
        </w:tc>
      </w:tr>
      <w:tr w14:paraId="217D28D8">
        <w:tblPrEx>
          <w:tblCellMar>
            <w:top w:w="0" w:type="dxa"/>
            <w:left w:w="108" w:type="dxa"/>
            <w:bottom w:w="0" w:type="dxa"/>
            <w:right w:w="108" w:type="dxa"/>
          </w:tblCellMar>
        </w:tblPrEx>
        <w:trPr>
          <w:trHeight w:val="1586" w:hRule="atLeast"/>
        </w:trPr>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3A71A8">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60</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14:paraId="118A93F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bidi="ar"/>
              </w:rPr>
              <w:t>海绵搬运车</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14674A8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C70976">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10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46EA1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1.规格：2000mm×1000mm×1030mm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2.重量：约55kg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3.颜色：桃红色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4.材质：优质焊接钢管，铝合金板面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5.性能：用于田径场各轻型物件运输装卸。</w:t>
            </w:r>
          </w:p>
        </w:tc>
      </w:tr>
      <w:tr w14:paraId="56603CBA">
        <w:tblPrEx>
          <w:tblCellMar>
            <w:top w:w="0" w:type="dxa"/>
            <w:left w:w="108" w:type="dxa"/>
            <w:bottom w:w="0" w:type="dxa"/>
            <w:right w:w="108" w:type="dxa"/>
          </w:tblCellMar>
        </w:tblPrEx>
        <w:trPr>
          <w:trHeight w:val="1258" w:hRule="atLeast"/>
        </w:trPr>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0B1A52">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61</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14:paraId="4D2FCAF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bidi="ar"/>
              </w:rPr>
              <w:t>标志带</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217C388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米</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957459">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500</w:t>
            </w:r>
          </w:p>
        </w:tc>
        <w:tc>
          <w:tcPr>
            <w:tcW w:w="10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80EB1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1.规格：宽50mm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2.颜色：白色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3.材质：尼龙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4.性能：加厚材质，防晒耐用。</w:t>
            </w:r>
          </w:p>
        </w:tc>
      </w:tr>
      <w:tr w14:paraId="62F8F6C5">
        <w:tblPrEx>
          <w:tblCellMar>
            <w:top w:w="0" w:type="dxa"/>
            <w:left w:w="108" w:type="dxa"/>
            <w:bottom w:w="0" w:type="dxa"/>
            <w:right w:w="108" w:type="dxa"/>
          </w:tblCellMar>
        </w:tblPrEx>
        <w:trPr>
          <w:trHeight w:val="1559" w:hRule="atLeast"/>
        </w:trPr>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2DE613">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62</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14:paraId="0C1004C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bidi="ar"/>
              </w:rPr>
              <w:t>标志带车</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68E1C69D">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02F92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10</w:t>
            </w:r>
          </w:p>
        </w:tc>
        <w:tc>
          <w:tcPr>
            <w:tcW w:w="10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9FD651">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1.规格：1435mm×554mm×895mm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2.重量：35kg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3.颜色：桃红色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4.材质：钢制主架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5.性能：本产品可用于铺设标志带。</w:t>
            </w:r>
          </w:p>
        </w:tc>
      </w:tr>
      <w:tr w14:paraId="5AE70891">
        <w:tblPrEx>
          <w:tblCellMar>
            <w:top w:w="0" w:type="dxa"/>
            <w:left w:w="108" w:type="dxa"/>
            <w:bottom w:w="0" w:type="dxa"/>
            <w:right w:w="108" w:type="dxa"/>
          </w:tblCellMar>
        </w:tblPrEx>
        <w:trPr>
          <w:trHeight w:val="1626" w:hRule="atLeast"/>
        </w:trPr>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25C5B1">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63</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14:paraId="092A040C">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bidi="ar"/>
              </w:rPr>
              <w:t>U 型钉</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5B35D494">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只</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8D3BD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100</w:t>
            </w:r>
          </w:p>
        </w:tc>
        <w:tc>
          <w:tcPr>
            <w:tcW w:w="10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E0227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1.规格：宽520mm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2.重量：0.005kg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3.颜色：银灰色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4.材质：铁质镀锌</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5.性能：用于比赛</w:t>
            </w:r>
          </w:p>
        </w:tc>
      </w:tr>
      <w:tr w14:paraId="17F42EE2">
        <w:tblPrEx>
          <w:tblCellMar>
            <w:top w:w="0" w:type="dxa"/>
            <w:left w:w="108" w:type="dxa"/>
            <w:bottom w:w="0" w:type="dxa"/>
            <w:right w:w="108" w:type="dxa"/>
          </w:tblCellMar>
        </w:tblPrEx>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671954">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64</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14:paraId="01BA18D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bidi="ar"/>
              </w:rPr>
              <w:t>标枪、铁饼、链球插牌</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3DDAE97A">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只</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0E97B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50</w:t>
            </w:r>
          </w:p>
        </w:tc>
        <w:tc>
          <w:tcPr>
            <w:tcW w:w="10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CB2B2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规格：高750mm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1.重量：约0.5kg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2.颜色：银灰色</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3.材质：优质焊接钢管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4.性能：携带方便，可迅速标记。</w:t>
            </w:r>
          </w:p>
        </w:tc>
      </w:tr>
      <w:tr w14:paraId="19937BCA">
        <w:tblPrEx>
          <w:tblCellMar>
            <w:top w:w="0" w:type="dxa"/>
            <w:left w:w="108" w:type="dxa"/>
            <w:bottom w:w="0" w:type="dxa"/>
            <w:right w:w="108" w:type="dxa"/>
          </w:tblCellMar>
        </w:tblPrEx>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F40147">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65</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14:paraId="529C13E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bidi="ar"/>
              </w:rPr>
              <w:t>室外镁粉盒</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212B042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3C71A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0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48E85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 xml:space="preserve">1.规格：900mm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2.重量：17kg</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 xml:space="preserve">3.颜色：白色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4.材质：喷漆铁底座，玻璃钢盒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5.性能：用于装置镁粉</w:t>
            </w:r>
          </w:p>
        </w:tc>
      </w:tr>
      <w:tr w14:paraId="1D7367D5">
        <w:tblPrEx>
          <w:tblCellMar>
            <w:top w:w="0" w:type="dxa"/>
            <w:left w:w="108" w:type="dxa"/>
            <w:bottom w:w="0" w:type="dxa"/>
            <w:right w:w="108" w:type="dxa"/>
          </w:tblCellMar>
        </w:tblPrEx>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55B17E">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66</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14:paraId="37F0CC6E">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rPr>
            </w:pPr>
            <w:r>
              <w:rPr>
                <w:rFonts w:hint="eastAsia" w:ascii="宋体" w:hAnsi="宋体" w:eastAsia="宋体" w:cs="宋体"/>
                <w:b/>
                <w:bCs/>
                <w:i w:val="0"/>
                <w:iCs w:val="0"/>
                <w:color w:val="000000"/>
                <w:kern w:val="0"/>
                <w:sz w:val="21"/>
                <w:szCs w:val="21"/>
                <w:u w:val="none"/>
                <w:lang w:val="en-US" w:eastAsia="zh-CN" w:bidi="ar"/>
              </w:rPr>
              <w:t>高级比赛跳高架</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419EA23D">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副</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6DC79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0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CDE090">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1.高级比赛跳高架由底座、微调支脚、固定立柱、导杆、横杆托架、构成。产品形式简洁，结构合理，可装拆，便于运输和包装。</w:t>
            </w:r>
          </w:p>
          <w:p w14:paraId="16C08FEE">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2.底座选用δ4铁板一次冲压成型，避免了焊接造成的接口腐蚀，底部设有PU滚轮，移动方便。</w:t>
            </w:r>
          </w:p>
          <w:p w14:paraId="66A1FA1E">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3.跳高架底座底部设有微调机构，通过调节微调机构可满足场地不平整引起的跳高架的稳定性和横杆的高度要求，且底座上平面置有水准泡，能清楚显示底座的平稳性。</w:t>
            </w:r>
          </w:p>
          <w:p w14:paraId="1B5BD724">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4.跳高架固定立柱、导杆均选用铝合金型材，固定立杆内置互成90度的斜齿轮，配梯形螺纹的螺杆升降机构，通过摇动升降手柄，使导杆上下移动，实现高度调节范围：500-2600mm。</w:t>
            </w:r>
          </w:p>
          <w:p w14:paraId="05753180">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5.跳高架横杆托架采用铝压铸件，具有防腐蚀性、安全、牢固等优点且上下移动方便。</w:t>
            </w:r>
          </w:p>
          <w:p w14:paraId="6A6A5FA5">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w:t>
            </w:r>
            <w:r>
              <w:rPr>
                <w:rFonts w:hint="eastAsia" w:cs="宋体"/>
                <w:color w:val="000000"/>
                <w:kern w:val="0"/>
                <w:sz w:val="21"/>
                <w:szCs w:val="21"/>
                <w:highlight w:val="none"/>
                <w:lang w:val="en-US" w:eastAsia="zh-CN"/>
              </w:rPr>
              <w:t>产品通过国际田联（世界田径</w:t>
            </w:r>
            <w:r>
              <w:rPr>
                <w:rFonts w:hint="eastAsia"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认证</w:t>
            </w:r>
          </w:p>
        </w:tc>
      </w:tr>
      <w:tr w14:paraId="0582CABC">
        <w:tblPrEx>
          <w:tblCellMar>
            <w:top w:w="0" w:type="dxa"/>
            <w:left w:w="108" w:type="dxa"/>
            <w:bottom w:w="0" w:type="dxa"/>
            <w:right w:w="108" w:type="dxa"/>
          </w:tblCellMar>
        </w:tblPrEx>
        <w:trPr>
          <w:trHeight w:val="90" w:hRule="atLeast"/>
        </w:trPr>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702BE8">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67</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14:paraId="375D190B">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bidi="ar"/>
              </w:rPr>
              <w:t>跳高横竿</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745529A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根</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D59C7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10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988BE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4m</w:t>
            </w:r>
          </w:p>
          <w:p w14:paraId="0AD91E6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碳素纤维</w:t>
            </w:r>
          </w:p>
        </w:tc>
      </w:tr>
      <w:tr w14:paraId="0086CF1A">
        <w:tblPrEx>
          <w:tblCellMar>
            <w:top w:w="0" w:type="dxa"/>
            <w:left w:w="108" w:type="dxa"/>
            <w:bottom w:w="0" w:type="dxa"/>
            <w:right w:w="108" w:type="dxa"/>
          </w:tblCellMar>
        </w:tblPrEx>
        <w:trPr>
          <w:trHeight w:val="362" w:hRule="atLeast"/>
        </w:trPr>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4C0913">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68</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14:paraId="538C4BE2">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bidi="ar"/>
              </w:rPr>
              <w:t>横竿运输车</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29A0774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辆</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BB0307">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0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85473E">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放10根</w:t>
            </w:r>
          </w:p>
        </w:tc>
      </w:tr>
      <w:tr w14:paraId="3D5E7EA0">
        <w:tblPrEx>
          <w:tblCellMar>
            <w:top w:w="0" w:type="dxa"/>
            <w:left w:w="108" w:type="dxa"/>
            <w:bottom w:w="0" w:type="dxa"/>
            <w:right w:w="108" w:type="dxa"/>
          </w:tblCellMar>
        </w:tblPrEx>
        <w:trPr>
          <w:trHeight w:val="375" w:hRule="atLeast"/>
        </w:trPr>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29D79C">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69</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14:paraId="32C134F2">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bidi="ar"/>
              </w:rPr>
              <w:t>跳高丈量尺</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02135CC5">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根</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C5574E">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0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0F1667">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铝合金、可伸缩</w:t>
            </w:r>
          </w:p>
        </w:tc>
      </w:tr>
      <w:tr w14:paraId="5B6249D3">
        <w:tblPrEx>
          <w:tblCellMar>
            <w:top w:w="0" w:type="dxa"/>
            <w:left w:w="108" w:type="dxa"/>
            <w:bottom w:w="0" w:type="dxa"/>
            <w:right w:w="108" w:type="dxa"/>
          </w:tblCellMar>
        </w:tblPrEx>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414BC5">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70</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14:paraId="24E1A236">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rPr>
            </w:pPr>
            <w:r>
              <w:rPr>
                <w:rFonts w:hint="eastAsia" w:ascii="宋体" w:hAnsi="宋体" w:eastAsia="宋体" w:cs="宋体"/>
                <w:b/>
                <w:bCs/>
                <w:i w:val="0"/>
                <w:iCs w:val="0"/>
                <w:color w:val="000000"/>
                <w:kern w:val="0"/>
                <w:sz w:val="21"/>
                <w:szCs w:val="21"/>
                <w:u w:val="none"/>
                <w:lang w:val="en-US" w:eastAsia="zh-CN" w:bidi="ar"/>
              </w:rPr>
              <w:t>跳高海绵垫</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5E524E33">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A17413">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0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ACD66C">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1.基本尺寸：长×宽×厚=6×4×0.7米。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2.海绵垫主要由海绵垫主体、覆盖层和防水罩组成。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3.海绵垫主体由三层重磅发泡海绵（20Kg/M3）组成，弹力均衡，柔软适中，海绵垫中层结构配以“井”字形框架组合，用以满足落地时人体对弹性及缓冲作用的要求。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4.海绵垫覆盖层厚80mm，用搭扣将其与拼装好的垫子连接，所有拉链不得外露，以免伤人。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5.海绵垫表面罩PVC防水套，套子侧面装有内藏式拉链及拉手攀，且四周设有排气孔。</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6×4×0.7 (m)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color w:val="000000"/>
                <w:kern w:val="0"/>
                <w:sz w:val="21"/>
                <w:szCs w:val="21"/>
                <w:highlight w:val="none"/>
                <w:lang w:val="en-US" w:eastAsia="zh-CN"/>
              </w:rPr>
              <w:t>▲</w:t>
            </w:r>
            <w:r>
              <w:rPr>
                <w:rFonts w:hint="eastAsia" w:cs="宋体"/>
                <w:color w:val="000000"/>
                <w:kern w:val="0"/>
                <w:sz w:val="21"/>
                <w:szCs w:val="21"/>
                <w:highlight w:val="none"/>
                <w:lang w:val="en-US" w:eastAsia="zh-CN"/>
              </w:rPr>
              <w:t>产品通过国际田联（世界田径</w:t>
            </w:r>
            <w:r>
              <w:rPr>
                <w:rFonts w:hint="eastAsia"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认证</w:t>
            </w:r>
          </w:p>
        </w:tc>
      </w:tr>
      <w:tr w14:paraId="10B5EC7B">
        <w:tblPrEx>
          <w:tblCellMar>
            <w:top w:w="0" w:type="dxa"/>
            <w:left w:w="108" w:type="dxa"/>
            <w:bottom w:w="0" w:type="dxa"/>
            <w:right w:w="108" w:type="dxa"/>
          </w:tblCellMar>
        </w:tblPrEx>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F8B153">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71</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14:paraId="001185BF">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rPr>
            </w:pPr>
            <w:r>
              <w:rPr>
                <w:rFonts w:hint="eastAsia" w:ascii="宋体" w:hAnsi="宋体" w:eastAsia="宋体" w:cs="宋体"/>
                <w:b/>
                <w:bCs/>
                <w:i w:val="0"/>
                <w:iCs w:val="0"/>
                <w:color w:val="000000"/>
                <w:kern w:val="0"/>
                <w:sz w:val="21"/>
                <w:szCs w:val="21"/>
                <w:u w:val="none"/>
                <w:lang w:val="en-US" w:eastAsia="zh-CN" w:bidi="ar"/>
              </w:rPr>
              <w:t>跳高海绵垫底架</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36E46FCC">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538783">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0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B3EB8E">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1.海绵垫底架基本尺寸：长×宽×高=5.8×3.8×0.1（m）；所配用海绵垫尺寸：长×宽=6×4（m）。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2.跳高海绵垫底架由9小块底架拼装组成，采用连接片连接，防锈蚀性强，每块底架主要采用</w:t>
            </w:r>
            <w:r>
              <w:rPr>
                <w:rFonts w:hint="eastAsia" w:ascii="宋体" w:hAnsi="宋体" w:eastAsia="宋体" w:cs="宋体"/>
                <w:i w:val="0"/>
                <w:iCs w:val="0"/>
                <w:color w:val="000000"/>
                <w:kern w:val="0"/>
                <w:sz w:val="21"/>
                <w:szCs w:val="21"/>
                <w:highlight w:val="none"/>
                <w:u w:val="none"/>
                <w:lang w:val="en-US" w:eastAsia="zh-CN" w:bidi="ar"/>
              </w:rPr>
              <w:t>30×20×1.5</w:t>
            </w:r>
            <w:r>
              <w:rPr>
                <w:rFonts w:hint="eastAsia" w:cs="宋体"/>
                <w:i w:val="0"/>
                <w:iCs w:val="0"/>
                <w:color w:val="000000"/>
                <w:kern w:val="0"/>
                <w:sz w:val="21"/>
                <w:szCs w:val="21"/>
                <w:highlight w:val="none"/>
                <w:u w:val="none"/>
                <w:lang w:val="en-US" w:eastAsia="zh-CN" w:bidi="ar"/>
              </w:rPr>
              <w:t>mm</w:t>
            </w:r>
            <w:r>
              <w:rPr>
                <w:rFonts w:hint="eastAsia" w:ascii="宋体" w:hAnsi="宋体" w:eastAsia="宋体" w:cs="宋体"/>
                <w:i w:val="0"/>
                <w:iCs w:val="0"/>
                <w:color w:val="000000"/>
                <w:kern w:val="0"/>
                <w:sz w:val="21"/>
                <w:szCs w:val="21"/>
                <w:highlight w:val="none"/>
                <w:u w:val="none"/>
                <w:lang w:val="en-US" w:eastAsia="zh-CN" w:bidi="ar"/>
              </w:rPr>
              <w:t>、20×20×1.5</w:t>
            </w:r>
            <w:r>
              <w:rPr>
                <w:rFonts w:hint="eastAsia" w:cs="宋体"/>
                <w:i w:val="0"/>
                <w:iCs w:val="0"/>
                <w:color w:val="000000"/>
                <w:kern w:val="0"/>
                <w:sz w:val="21"/>
                <w:szCs w:val="21"/>
                <w:highlight w:val="none"/>
                <w:u w:val="none"/>
                <w:lang w:val="en-US" w:eastAsia="zh-CN" w:bidi="ar"/>
              </w:rPr>
              <w:t>mm</w:t>
            </w:r>
            <w:r>
              <w:rPr>
                <w:rFonts w:hint="eastAsia" w:ascii="宋体" w:hAnsi="宋体" w:eastAsia="宋体" w:cs="宋体"/>
                <w:i w:val="0"/>
                <w:iCs w:val="0"/>
                <w:color w:val="000000"/>
                <w:kern w:val="0"/>
                <w:sz w:val="21"/>
                <w:szCs w:val="21"/>
                <w:u w:val="none"/>
                <w:lang w:val="en-US" w:eastAsia="zh-CN" w:bidi="ar"/>
              </w:rPr>
              <w:t>方管拼焊组成，焊接牢固，焊缝表面均匀光滑，无虚焊。</w:t>
            </w:r>
          </w:p>
        </w:tc>
      </w:tr>
      <w:tr w14:paraId="29CE581B">
        <w:tblPrEx>
          <w:tblCellMar>
            <w:top w:w="0" w:type="dxa"/>
            <w:left w:w="108" w:type="dxa"/>
            <w:bottom w:w="0" w:type="dxa"/>
            <w:right w:w="108" w:type="dxa"/>
          </w:tblCellMar>
        </w:tblPrEx>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7F7D98">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72</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14:paraId="3558B175">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bidi="ar"/>
              </w:rPr>
              <w:t>跳高海绵垫防护棚</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729FFC6F">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A4DF28">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0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B1D9A4">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1.基本规格尺寸：6.4×4.4×1.4（m）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2.跳高海绵防护棚主要由顶棚和框架组成，框架采用</w:t>
            </w:r>
            <w:r>
              <w:rPr>
                <w:rFonts w:hint="eastAsia" w:ascii="宋体" w:hAnsi="宋体" w:eastAsia="宋体" w:cs="宋体"/>
                <w:i w:val="0"/>
                <w:iCs w:val="0"/>
                <w:color w:val="000000"/>
                <w:kern w:val="0"/>
                <w:sz w:val="21"/>
                <w:szCs w:val="21"/>
                <w:highlight w:val="none"/>
                <w:u w:val="none"/>
                <w:lang w:val="en-US" w:eastAsia="zh-CN" w:bidi="ar"/>
              </w:rPr>
              <w:t>40×40</w:t>
            </w:r>
            <w:r>
              <w:rPr>
                <w:rFonts w:hint="eastAsia" w:cs="宋体"/>
                <w:i w:val="0"/>
                <w:iCs w:val="0"/>
                <w:color w:val="000000"/>
                <w:kern w:val="0"/>
                <w:sz w:val="21"/>
                <w:szCs w:val="21"/>
                <w:highlight w:val="none"/>
                <w:u w:val="none"/>
                <w:lang w:val="en-US" w:eastAsia="zh-CN" w:bidi="ar"/>
              </w:rPr>
              <w:t>mm</w:t>
            </w:r>
            <w:r>
              <w:rPr>
                <w:rFonts w:hint="eastAsia" w:ascii="宋体" w:hAnsi="宋体" w:eastAsia="宋体" w:cs="宋体"/>
                <w:i w:val="0"/>
                <w:iCs w:val="0"/>
                <w:color w:val="000000"/>
                <w:kern w:val="0"/>
                <w:sz w:val="21"/>
                <w:szCs w:val="21"/>
                <w:highlight w:val="none"/>
                <w:u w:val="none"/>
                <w:lang w:val="en-US" w:eastAsia="zh-CN" w:bidi="ar"/>
              </w:rPr>
              <w:t>和40×20</w:t>
            </w:r>
            <w:r>
              <w:rPr>
                <w:rFonts w:hint="eastAsia" w:cs="宋体"/>
                <w:i w:val="0"/>
                <w:iCs w:val="0"/>
                <w:color w:val="000000"/>
                <w:kern w:val="0"/>
                <w:sz w:val="21"/>
                <w:szCs w:val="21"/>
                <w:highlight w:val="none"/>
                <w:u w:val="none"/>
                <w:lang w:val="en-US" w:eastAsia="zh-CN" w:bidi="ar"/>
              </w:rPr>
              <w:t>mm</w:t>
            </w:r>
            <w:r>
              <w:rPr>
                <w:rFonts w:hint="eastAsia" w:ascii="宋体" w:hAnsi="宋体" w:eastAsia="宋体" w:cs="宋体"/>
                <w:i w:val="0"/>
                <w:iCs w:val="0"/>
                <w:color w:val="000000"/>
                <w:kern w:val="0"/>
                <w:sz w:val="21"/>
                <w:szCs w:val="21"/>
                <w:u w:val="none"/>
                <w:lang w:val="en-US" w:eastAsia="zh-CN" w:bidi="ar"/>
              </w:rPr>
              <w:t>方管拼装焊接而成，顶棚采用</w:t>
            </w:r>
            <w:r>
              <w:rPr>
                <w:rFonts w:hint="eastAsia" w:ascii="宋体" w:hAnsi="宋体" w:eastAsia="宋体" w:cs="宋体"/>
                <w:i w:val="0"/>
                <w:iCs w:val="0"/>
                <w:color w:val="000000"/>
                <w:kern w:val="0"/>
                <w:sz w:val="21"/>
                <w:szCs w:val="21"/>
                <w:highlight w:val="none"/>
                <w:u w:val="none"/>
                <w:lang w:val="en-US" w:eastAsia="zh-CN" w:bidi="ar"/>
              </w:rPr>
              <w:t>25×25</w:t>
            </w:r>
            <w:r>
              <w:rPr>
                <w:rFonts w:hint="eastAsia" w:cs="宋体"/>
                <w:i w:val="0"/>
                <w:iCs w:val="0"/>
                <w:color w:val="000000"/>
                <w:kern w:val="0"/>
                <w:sz w:val="21"/>
                <w:szCs w:val="21"/>
                <w:highlight w:val="none"/>
                <w:u w:val="none"/>
                <w:lang w:val="en-US" w:eastAsia="zh-CN" w:bidi="ar"/>
              </w:rPr>
              <w:t>mm</w:t>
            </w:r>
            <w:r>
              <w:rPr>
                <w:rFonts w:hint="eastAsia" w:ascii="宋体" w:hAnsi="宋体" w:eastAsia="宋体" w:cs="宋体"/>
                <w:i w:val="0"/>
                <w:iCs w:val="0"/>
                <w:color w:val="000000"/>
                <w:kern w:val="0"/>
                <w:sz w:val="21"/>
                <w:szCs w:val="21"/>
                <w:highlight w:val="none"/>
                <w:u w:val="none"/>
                <w:lang w:val="en-US" w:eastAsia="zh-CN" w:bidi="ar"/>
              </w:rPr>
              <w:t>和21×14</w:t>
            </w:r>
            <w:r>
              <w:rPr>
                <w:rFonts w:hint="eastAsia" w:cs="宋体"/>
                <w:i w:val="0"/>
                <w:iCs w:val="0"/>
                <w:color w:val="000000"/>
                <w:kern w:val="0"/>
                <w:sz w:val="21"/>
                <w:szCs w:val="21"/>
                <w:highlight w:val="none"/>
                <w:u w:val="none"/>
                <w:lang w:val="en-US" w:eastAsia="zh-CN" w:bidi="ar"/>
              </w:rPr>
              <w:t>mm</w:t>
            </w:r>
            <w:r>
              <w:rPr>
                <w:rFonts w:hint="eastAsia" w:ascii="宋体" w:hAnsi="宋体" w:eastAsia="宋体" w:cs="宋体"/>
                <w:i w:val="0"/>
                <w:iCs w:val="0"/>
                <w:color w:val="000000"/>
                <w:kern w:val="0"/>
                <w:sz w:val="21"/>
                <w:szCs w:val="21"/>
                <w:u w:val="none"/>
                <w:lang w:val="en-US" w:eastAsia="zh-CN" w:bidi="ar"/>
              </w:rPr>
              <w:t>方管拼焊而成。顶棚上面覆盖有彩钢瓦，设有漏雨槽，能防止漏雨。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3.防护棚底部设有滚轮，移动方便。</w:t>
            </w:r>
          </w:p>
        </w:tc>
      </w:tr>
      <w:tr w14:paraId="225F5D5F">
        <w:tblPrEx>
          <w:tblCellMar>
            <w:top w:w="0" w:type="dxa"/>
            <w:left w:w="108" w:type="dxa"/>
            <w:bottom w:w="0" w:type="dxa"/>
            <w:right w:w="108" w:type="dxa"/>
          </w:tblCellMar>
        </w:tblPrEx>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7736E4">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73</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14:paraId="261D7DED">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bidi="ar"/>
              </w:rPr>
              <w:t>手动撑竿跳高架</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05A608BF">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副</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BBED57">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0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F81022">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1.撑竿跳高架主要由底座、立柱和横杆托架三大部分组成。</w:t>
            </w:r>
          </w:p>
          <w:p w14:paraId="144521EC">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2.跳高架底座基本尺寸：长×宽=1700×600（㎜），底座由固定底座和滑动底座组成，固定底座采用槽钢和铁板拼焊而成，滑动底座采用角铁拼焊制作，上设滚轮和制动轮。</w:t>
            </w:r>
          </w:p>
          <w:p w14:paraId="6D0FECA3">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3.跳高架立柱分内立柱和外立柱，内立柱与底座连接，外立柱长6500㎜，采用铝合金管制作，内设高度标尺。</w:t>
            </w:r>
          </w:p>
          <w:p w14:paraId="52D2895B">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4.跳高架横杆托架采用不锈钢圆管制作。手动升降，升降范围：2500-6200mm。</w:t>
            </w:r>
          </w:p>
          <w:p w14:paraId="07C2F807">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w:t>
            </w:r>
            <w:r>
              <w:rPr>
                <w:rFonts w:hint="eastAsia" w:cs="宋体"/>
                <w:color w:val="000000"/>
                <w:kern w:val="0"/>
                <w:sz w:val="21"/>
                <w:szCs w:val="21"/>
                <w:highlight w:val="none"/>
                <w:lang w:val="en-US" w:eastAsia="zh-CN"/>
              </w:rPr>
              <w:t>产品通过国际田联（世界田径</w:t>
            </w:r>
            <w:r>
              <w:rPr>
                <w:rFonts w:hint="eastAsia"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认证</w:t>
            </w:r>
          </w:p>
        </w:tc>
      </w:tr>
      <w:tr w14:paraId="126FDBB0">
        <w:tblPrEx>
          <w:tblCellMar>
            <w:top w:w="0" w:type="dxa"/>
            <w:left w:w="108" w:type="dxa"/>
            <w:bottom w:w="0" w:type="dxa"/>
            <w:right w:w="108" w:type="dxa"/>
          </w:tblCellMar>
        </w:tblPrEx>
        <w:trPr>
          <w:trHeight w:val="372" w:hRule="atLeast"/>
        </w:trPr>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7B539F">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74</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14:paraId="7F82D47D">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bidi="ar"/>
              </w:rPr>
              <w:t>撑竿跳柱子运输车</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0C844E7B">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辆</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D7EA83">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0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8B8AFC">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3.48×0.86×1(m)</w:t>
            </w:r>
          </w:p>
        </w:tc>
      </w:tr>
      <w:tr w14:paraId="78FDECF9">
        <w:tblPrEx>
          <w:tblCellMar>
            <w:top w:w="0" w:type="dxa"/>
            <w:left w:w="108" w:type="dxa"/>
            <w:bottom w:w="0" w:type="dxa"/>
            <w:right w:w="108" w:type="dxa"/>
          </w:tblCellMar>
        </w:tblPrEx>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44B84C">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75</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14:paraId="6CF7CE1F">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bidi="ar"/>
              </w:rPr>
              <w:t>撑竿跳丈量尺</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29C52285">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根</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AB1DD3">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0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6C3774">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2.4~6.53</w:t>
            </w:r>
            <w:r>
              <w:rPr>
                <w:rFonts w:hint="eastAsia" w:cs="宋体"/>
                <w:i w:val="0"/>
                <w:iCs w:val="0"/>
                <w:color w:val="000000"/>
                <w:kern w:val="0"/>
                <w:sz w:val="21"/>
                <w:szCs w:val="21"/>
                <w:highlight w:val="none"/>
                <w:u w:val="none"/>
                <w:lang w:val="en-US" w:eastAsia="zh-CN" w:bidi="ar"/>
              </w:rPr>
              <w:t xml:space="preserve"> </w:t>
            </w:r>
            <w:r>
              <w:rPr>
                <w:rFonts w:hint="eastAsia" w:ascii="宋体" w:hAnsi="宋体" w:eastAsia="宋体" w:cs="宋体"/>
                <w:i w:val="0"/>
                <w:iCs w:val="0"/>
                <w:color w:val="000000"/>
                <w:kern w:val="0"/>
                <w:sz w:val="21"/>
                <w:szCs w:val="21"/>
                <w:highlight w:val="none"/>
                <w:u w:val="none"/>
                <w:lang w:val="en-US" w:eastAsia="zh-CN" w:bidi="ar"/>
              </w:rPr>
              <w:t>(m)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铝合金、可伸缩</w:t>
            </w:r>
          </w:p>
        </w:tc>
      </w:tr>
      <w:tr w14:paraId="1FE723DE">
        <w:tblPrEx>
          <w:tblCellMar>
            <w:top w:w="0" w:type="dxa"/>
            <w:left w:w="108" w:type="dxa"/>
            <w:bottom w:w="0" w:type="dxa"/>
            <w:right w:w="108" w:type="dxa"/>
          </w:tblCellMar>
        </w:tblPrEx>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9E7A72">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76</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14:paraId="11C9D809">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bidi="ar"/>
              </w:rPr>
              <w:t>撑竿跳高横竿</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352752EA">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根</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F3A649">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10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2A580F">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4.5 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碳素纤维</w:t>
            </w:r>
          </w:p>
        </w:tc>
      </w:tr>
      <w:tr w14:paraId="03C26322">
        <w:tblPrEx>
          <w:tblCellMar>
            <w:top w:w="0" w:type="dxa"/>
            <w:left w:w="108" w:type="dxa"/>
            <w:bottom w:w="0" w:type="dxa"/>
            <w:right w:w="108" w:type="dxa"/>
          </w:tblCellMar>
        </w:tblPrEx>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41CA5C">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77</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14:paraId="08653B83">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bidi="ar"/>
              </w:rPr>
              <w:t>送竿器</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2A59D4C0">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副</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F56BDF">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0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8AED15">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1.7~3.2 (m)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不锈钢、可伸缩</w:t>
            </w:r>
          </w:p>
        </w:tc>
      </w:tr>
      <w:tr w14:paraId="09ADEFEC">
        <w:tblPrEx>
          <w:tblCellMar>
            <w:top w:w="0" w:type="dxa"/>
            <w:left w:w="108" w:type="dxa"/>
            <w:bottom w:w="0" w:type="dxa"/>
            <w:right w:w="108" w:type="dxa"/>
          </w:tblCellMar>
        </w:tblPrEx>
        <w:trPr>
          <w:trHeight w:val="416" w:hRule="atLeast"/>
        </w:trPr>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F0A880">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78</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14:paraId="4290EC97">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bidi="ar"/>
              </w:rPr>
              <w:t>撑竿</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70F5E8D3">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根</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E35B3E">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10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488376">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highlight w:val="none"/>
                <w:u w:val="none"/>
                <w:lang w:val="en-US" w:eastAsia="zh-CN" w:bidi="ar"/>
              </w:rPr>
              <w:t>碳纤维</w:t>
            </w:r>
          </w:p>
        </w:tc>
      </w:tr>
      <w:tr w14:paraId="47C84959">
        <w:tblPrEx>
          <w:tblCellMar>
            <w:top w:w="0" w:type="dxa"/>
            <w:left w:w="108" w:type="dxa"/>
            <w:bottom w:w="0" w:type="dxa"/>
            <w:right w:w="108" w:type="dxa"/>
          </w:tblCellMar>
        </w:tblPrEx>
        <w:trPr>
          <w:trHeight w:val="490" w:hRule="atLeast"/>
        </w:trPr>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AB0233">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79</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14:paraId="7511F114">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bidi="ar"/>
              </w:rPr>
              <w:t>撑竿包套</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0269AD66">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只</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48BFB3">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10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4062F3">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可放置 5 根撑竿</w:t>
            </w:r>
          </w:p>
        </w:tc>
      </w:tr>
      <w:tr w14:paraId="5F1F9D50">
        <w:tblPrEx>
          <w:tblCellMar>
            <w:top w:w="0" w:type="dxa"/>
            <w:left w:w="108" w:type="dxa"/>
            <w:bottom w:w="0" w:type="dxa"/>
            <w:right w:w="108" w:type="dxa"/>
          </w:tblCellMar>
        </w:tblPrEx>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05D9E3">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80</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14:paraId="7051A41B">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bidi="ar"/>
              </w:rPr>
              <w:t>撑竿摆放架</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0FA09B77">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只</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AD23A4">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0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C70252">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1.基本尺寸：长×宽×高=400×500×1150（㎜）。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2.撑杆摆放架主要由底座、立柱和走轮组成。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3.撑杆摆放架底座主要采用</w:t>
            </w:r>
            <w:r>
              <w:rPr>
                <w:rFonts w:hint="eastAsia" w:ascii="宋体" w:hAnsi="宋体" w:eastAsia="宋体" w:cs="宋体"/>
                <w:i w:val="0"/>
                <w:iCs w:val="0"/>
                <w:color w:val="000000"/>
                <w:kern w:val="0"/>
                <w:sz w:val="21"/>
                <w:szCs w:val="21"/>
                <w:highlight w:val="none"/>
                <w:u w:val="none"/>
                <w:lang w:val="en-US" w:eastAsia="zh-CN" w:bidi="ar"/>
              </w:rPr>
              <w:t>50×40×2</w:t>
            </w:r>
            <w:r>
              <w:rPr>
                <w:rFonts w:hint="eastAsia" w:cs="宋体"/>
                <w:i w:val="0"/>
                <w:iCs w:val="0"/>
                <w:color w:val="000000"/>
                <w:kern w:val="0"/>
                <w:sz w:val="21"/>
                <w:szCs w:val="21"/>
                <w:highlight w:val="none"/>
                <w:u w:val="none"/>
                <w:lang w:val="en-US" w:eastAsia="zh-CN" w:bidi="ar"/>
              </w:rPr>
              <w:t>mm</w:t>
            </w:r>
            <w:r>
              <w:rPr>
                <w:rFonts w:hint="eastAsia" w:ascii="宋体" w:hAnsi="宋体" w:eastAsia="宋体" w:cs="宋体"/>
                <w:i w:val="0"/>
                <w:iCs w:val="0"/>
                <w:color w:val="000000"/>
                <w:kern w:val="0"/>
                <w:sz w:val="21"/>
                <w:szCs w:val="21"/>
                <w:u w:val="none"/>
                <w:lang w:val="en-US" w:eastAsia="zh-CN" w:bidi="ar"/>
              </w:rPr>
              <w:t>方管拼焊制作而成，立柱采用</w:t>
            </w:r>
            <w:r>
              <w:rPr>
                <w:rFonts w:hint="eastAsia" w:ascii="宋体" w:hAnsi="宋体" w:eastAsia="宋体" w:cs="宋体"/>
                <w:i w:val="0"/>
                <w:iCs w:val="0"/>
                <w:color w:val="000000"/>
                <w:kern w:val="0"/>
                <w:sz w:val="21"/>
                <w:szCs w:val="21"/>
                <w:highlight w:val="none"/>
                <w:u w:val="none"/>
                <w:lang w:val="en-US" w:eastAsia="zh-CN" w:bidi="ar"/>
              </w:rPr>
              <w:t>35×35×1.5</w:t>
            </w:r>
            <w:r>
              <w:rPr>
                <w:rFonts w:hint="eastAsia" w:cs="宋体"/>
                <w:i w:val="0"/>
                <w:iCs w:val="0"/>
                <w:color w:val="000000"/>
                <w:kern w:val="0"/>
                <w:sz w:val="21"/>
                <w:szCs w:val="21"/>
                <w:highlight w:val="none"/>
                <w:u w:val="none"/>
                <w:lang w:val="en-US" w:eastAsia="zh-CN" w:bidi="ar"/>
              </w:rPr>
              <w:t>mm</w:t>
            </w:r>
            <w:r>
              <w:rPr>
                <w:rFonts w:hint="eastAsia" w:ascii="宋体" w:hAnsi="宋体" w:eastAsia="宋体" w:cs="宋体"/>
                <w:i w:val="0"/>
                <w:iCs w:val="0"/>
                <w:color w:val="000000"/>
                <w:kern w:val="0"/>
                <w:sz w:val="21"/>
                <w:szCs w:val="21"/>
                <w:u w:val="none"/>
                <w:lang w:val="en-US" w:eastAsia="zh-CN" w:bidi="ar"/>
              </w:rPr>
              <w:t>方管和φ19×2圆管拼焊而成，立柱横档成150度角，便于放置横杆，便于裁判取用。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4.撑杆摆放架底座设有走轮，走轮架为冲件，小巧美观。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5.撑杆摆放架所有管端均采用橡塑内塞或外套封口，美观大方。</w:t>
            </w:r>
          </w:p>
        </w:tc>
      </w:tr>
      <w:tr w14:paraId="75108982">
        <w:tblPrEx>
          <w:tblCellMar>
            <w:top w:w="0" w:type="dxa"/>
            <w:left w:w="108" w:type="dxa"/>
            <w:bottom w:w="0" w:type="dxa"/>
            <w:right w:w="108" w:type="dxa"/>
          </w:tblCellMar>
        </w:tblPrEx>
        <w:trPr>
          <w:trHeight w:val="1232" w:hRule="atLeast"/>
        </w:trPr>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F623E3">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81</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14:paraId="75B41017">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bidi="ar"/>
              </w:rPr>
              <w:t>撑竿跳插斗</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62C50FC4">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只</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C85C87">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0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D292B1">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8㎜不锈钢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尺寸：符合竞赛规则要求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插斗埋入地下，上沿与地面齐平，插斗底部的宽度自后向前逐渐变窄，插斗底板与前壁构成的105度角，插斗的左右两壁向外倾斜，在与前壁衔接处形成的角度约为120度</w:t>
            </w:r>
          </w:p>
        </w:tc>
      </w:tr>
      <w:tr w14:paraId="4371FE3A">
        <w:tblPrEx>
          <w:tblCellMar>
            <w:top w:w="0" w:type="dxa"/>
            <w:left w:w="108" w:type="dxa"/>
            <w:bottom w:w="0" w:type="dxa"/>
            <w:right w:w="108" w:type="dxa"/>
          </w:tblCellMar>
        </w:tblPrEx>
        <w:trPr>
          <w:trHeight w:val="1516" w:hRule="atLeast"/>
        </w:trPr>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D510AD">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82</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14:paraId="631C921B">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bidi="ar"/>
              </w:rPr>
              <w:t>撑竿跳插斗盖板</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4CAD4447">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块</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F0B206">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0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289460">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尺寸：符合竞赛规则要求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不锈钢盖板底部配有加强筋、加强板，确保产品平整不变形且安全牢固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盖板上设有螺纹孔，配有T型扳手，方便取放盖板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盖板上可自行铺设与场地相匹配的塑胶层</w:t>
            </w:r>
          </w:p>
        </w:tc>
      </w:tr>
      <w:tr w14:paraId="496AB21B">
        <w:tblPrEx>
          <w:tblCellMar>
            <w:top w:w="0" w:type="dxa"/>
            <w:left w:w="108" w:type="dxa"/>
            <w:bottom w:w="0" w:type="dxa"/>
            <w:right w:w="108" w:type="dxa"/>
          </w:tblCellMar>
        </w:tblPrEx>
        <w:trPr>
          <w:trHeight w:val="1944" w:hRule="atLeast"/>
        </w:trPr>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F0CC92">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83</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14:paraId="21D51D78">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rPr>
            </w:pPr>
            <w:r>
              <w:rPr>
                <w:rFonts w:hint="eastAsia" w:ascii="宋体" w:hAnsi="宋体" w:eastAsia="宋体" w:cs="宋体"/>
                <w:b/>
                <w:bCs/>
                <w:i w:val="0"/>
                <w:iCs w:val="0"/>
                <w:color w:val="000000"/>
                <w:kern w:val="0"/>
                <w:sz w:val="21"/>
                <w:szCs w:val="21"/>
                <w:u w:val="none"/>
                <w:lang w:val="en-US" w:eastAsia="zh-CN" w:bidi="ar"/>
              </w:rPr>
              <w:t>撑竿跳海绵垫</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7C87478C">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76DEC9">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0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6E0BFB">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1.基本尺寸：长×宽×厚=6.6×9.1×0.8（米）。</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2.海绵垫主要由海绵垫主体、覆盖层和防水罩组成。</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3.海绵垫主体由三层重磅发泡海绵组成，弹力均衡，柔软适中，海绵垫中层结构配以“井”字形框架组合，用以满足落地时人体对弹性及缓冲作用的要求。</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4.海绵垫覆盖层厚80mm，用搭扣将其与拼装好的垫子连接，所有拉链不得外露，以免伤人。</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5.海绵垫表面罩PVC防水套，套子侧面装有内藏式拉链及拉手攀，且四周设有排气孔。</w:t>
            </w:r>
          </w:p>
          <w:p w14:paraId="400F1853">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w:t>
            </w:r>
            <w:r>
              <w:rPr>
                <w:rFonts w:hint="eastAsia" w:cs="宋体"/>
                <w:color w:val="000000"/>
                <w:kern w:val="0"/>
                <w:sz w:val="21"/>
                <w:szCs w:val="21"/>
                <w:highlight w:val="none"/>
                <w:lang w:val="en-US" w:eastAsia="zh-CN"/>
              </w:rPr>
              <w:t>产品通过国际田联（世界田径</w:t>
            </w:r>
            <w:r>
              <w:rPr>
                <w:rFonts w:hint="eastAsia"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认证</w:t>
            </w:r>
          </w:p>
        </w:tc>
      </w:tr>
      <w:tr w14:paraId="3A76AF7B">
        <w:tblPrEx>
          <w:tblCellMar>
            <w:top w:w="0" w:type="dxa"/>
            <w:left w:w="108" w:type="dxa"/>
            <w:bottom w:w="0" w:type="dxa"/>
            <w:right w:w="108" w:type="dxa"/>
          </w:tblCellMar>
        </w:tblPrEx>
        <w:trPr>
          <w:trHeight w:val="1712" w:hRule="atLeast"/>
        </w:trPr>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DB3C57">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84</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14:paraId="7E6C632B">
            <w:pPr>
              <w:keepNext w:val="0"/>
              <w:keepLines w:val="0"/>
              <w:pageBreakBefore w:val="0"/>
              <w:widowControl/>
              <w:suppressLineNumbers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rPr>
            </w:pPr>
            <w:r>
              <w:rPr>
                <w:rFonts w:hint="eastAsia" w:ascii="宋体" w:hAnsi="宋体" w:eastAsia="宋体" w:cs="宋体"/>
                <w:b/>
                <w:bCs/>
                <w:i w:val="0"/>
                <w:iCs w:val="0"/>
                <w:color w:val="000000"/>
                <w:kern w:val="0"/>
                <w:sz w:val="21"/>
                <w:szCs w:val="21"/>
                <w:u w:val="none"/>
                <w:lang w:val="en-US" w:eastAsia="zh-CN" w:bidi="ar"/>
              </w:rPr>
              <w:t>撑竿跳海绵垫底架</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370851F2">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F6737C">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0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68B822">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000000"/>
                <w:kern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1.此产品置于6.6×9.1米撑竿跳高海绵垫底部。</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2.基本尺寸：长×宽×高=6.4×8.9×0.1（m）；所配用海绵垫尺寸：长×宽=6.6×9.1（m）。</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3.支架由16小块底架拼装组成，块与块之间通过连接片联结，联结牢固，防锈蚀性强，每块底架主要采用30×20×1.5</w:t>
            </w:r>
            <w:r>
              <w:rPr>
                <w:rFonts w:hint="eastAsia" w:cs="宋体"/>
                <w:i w:val="0"/>
                <w:iCs w:val="0"/>
                <w:color w:val="000000"/>
                <w:kern w:val="0"/>
                <w:sz w:val="21"/>
                <w:szCs w:val="21"/>
                <w:highlight w:val="none"/>
                <w:u w:val="none"/>
                <w:lang w:val="en-US" w:eastAsia="zh-CN" w:bidi="ar"/>
              </w:rPr>
              <w:t>mm</w:t>
            </w:r>
            <w:r>
              <w:rPr>
                <w:rFonts w:hint="eastAsia" w:ascii="宋体" w:hAnsi="宋体" w:eastAsia="宋体" w:cs="宋体"/>
                <w:i w:val="0"/>
                <w:iCs w:val="0"/>
                <w:color w:val="000000"/>
                <w:kern w:val="0"/>
                <w:sz w:val="21"/>
                <w:szCs w:val="21"/>
                <w:highlight w:val="none"/>
                <w:u w:val="none"/>
                <w:lang w:val="en-US" w:eastAsia="zh-CN" w:bidi="ar"/>
              </w:rPr>
              <w:t>、20×20×1.5</w:t>
            </w:r>
            <w:r>
              <w:rPr>
                <w:rFonts w:hint="eastAsia" w:cs="宋体"/>
                <w:i w:val="0"/>
                <w:iCs w:val="0"/>
                <w:color w:val="000000"/>
                <w:kern w:val="0"/>
                <w:sz w:val="21"/>
                <w:szCs w:val="21"/>
                <w:highlight w:val="none"/>
                <w:u w:val="none"/>
                <w:lang w:val="en-US" w:eastAsia="zh-CN" w:bidi="ar"/>
              </w:rPr>
              <w:t>mm</w:t>
            </w:r>
            <w:r>
              <w:rPr>
                <w:rFonts w:hint="eastAsia" w:ascii="宋体" w:hAnsi="宋体" w:eastAsia="宋体" w:cs="宋体"/>
                <w:i w:val="0"/>
                <w:iCs w:val="0"/>
                <w:color w:val="000000"/>
                <w:kern w:val="0"/>
                <w:sz w:val="21"/>
                <w:szCs w:val="21"/>
                <w:highlight w:val="none"/>
                <w:u w:val="none"/>
                <w:lang w:val="en-US" w:eastAsia="zh-CN" w:bidi="ar"/>
              </w:rPr>
              <w:t>方管拼焊组成，焊接牢固，焊缝表面均匀光滑，无虚焊。底架上层管和下层管采用20×20×1.5</w:t>
            </w:r>
            <w:r>
              <w:rPr>
                <w:rFonts w:hint="eastAsia" w:cs="宋体"/>
                <w:i w:val="0"/>
                <w:iCs w:val="0"/>
                <w:color w:val="000000"/>
                <w:kern w:val="0"/>
                <w:sz w:val="21"/>
                <w:szCs w:val="21"/>
                <w:highlight w:val="none"/>
                <w:u w:val="none"/>
                <w:lang w:val="en-US" w:eastAsia="zh-CN" w:bidi="ar"/>
              </w:rPr>
              <w:t>mm</w:t>
            </w:r>
            <w:r>
              <w:rPr>
                <w:rFonts w:hint="eastAsia" w:ascii="宋体" w:hAnsi="宋体" w:eastAsia="宋体" w:cs="宋体"/>
                <w:i w:val="0"/>
                <w:iCs w:val="0"/>
                <w:color w:val="000000"/>
                <w:kern w:val="0"/>
                <w:sz w:val="21"/>
                <w:szCs w:val="21"/>
                <w:highlight w:val="none"/>
                <w:u w:val="none"/>
                <w:lang w:val="en-US" w:eastAsia="zh-CN" w:bidi="ar"/>
              </w:rPr>
              <w:t>方管连接，下层管上焊有垫片。</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4.底架四角与海绵垫相应呈圆弧，增强产品的使用安全性和美观性。四面边框采用木质制作。</w:t>
            </w:r>
          </w:p>
        </w:tc>
      </w:tr>
      <w:tr w14:paraId="15AD5C7D">
        <w:tblPrEx>
          <w:tblCellMar>
            <w:top w:w="0" w:type="dxa"/>
            <w:left w:w="108" w:type="dxa"/>
            <w:bottom w:w="0" w:type="dxa"/>
            <w:right w:w="108" w:type="dxa"/>
          </w:tblCellMar>
        </w:tblPrEx>
        <w:trPr>
          <w:trHeight w:val="1458" w:hRule="atLeast"/>
        </w:trPr>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B9BFC4">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85</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14:paraId="66ACB095">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撑竿跳海绵垫</w:t>
            </w:r>
          </w:p>
          <w:p w14:paraId="2A29B67E">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bidi="ar"/>
              </w:rPr>
              <w:t>防护棚</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6B3A6634">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C4F70C">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0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897D8B">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1.基本规格尺寸：长*宽*高=7.0*9.5*1.4（m）。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2.撑竿跳海绵防护棚主要由顶棚和框架组成，框架采用</w:t>
            </w:r>
            <w:r>
              <w:rPr>
                <w:rFonts w:hint="eastAsia" w:ascii="宋体" w:hAnsi="宋体" w:eastAsia="宋体" w:cs="宋体"/>
                <w:i w:val="0"/>
                <w:iCs w:val="0"/>
                <w:color w:val="000000"/>
                <w:kern w:val="0"/>
                <w:sz w:val="21"/>
                <w:szCs w:val="21"/>
                <w:highlight w:val="none"/>
                <w:u w:val="none"/>
                <w:lang w:val="en-US" w:eastAsia="zh-CN" w:bidi="ar"/>
              </w:rPr>
              <w:t>40*40*2</w:t>
            </w:r>
            <w:r>
              <w:rPr>
                <w:rFonts w:hint="eastAsia" w:cs="宋体"/>
                <w:i w:val="0"/>
                <w:iCs w:val="0"/>
                <w:color w:val="000000"/>
                <w:kern w:val="0"/>
                <w:sz w:val="21"/>
                <w:szCs w:val="21"/>
                <w:highlight w:val="none"/>
                <w:u w:val="none"/>
                <w:lang w:val="en-US" w:eastAsia="zh-CN" w:bidi="ar"/>
              </w:rPr>
              <w:t>mm</w:t>
            </w:r>
            <w:r>
              <w:rPr>
                <w:rFonts w:hint="eastAsia" w:ascii="宋体" w:hAnsi="宋体" w:eastAsia="宋体" w:cs="宋体"/>
                <w:i w:val="0"/>
                <w:iCs w:val="0"/>
                <w:color w:val="000000"/>
                <w:kern w:val="0"/>
                <w:sz w:val="21"/>
                <w:szCs w:val="21"/>
                <w:highlight w:val="none"/>
                <w:u w:val="none"/>
                <w:lang w:val="en-US" w:eastAsia="zh-CN" w:bidi="ar"/>
              </w:rPr>
              <w:t>和40*25*2</w:t>
            </w:r>
            <w:r>
              <w:rPr>
                <w:rFonts w:hint="eastAsia" w:cs="宋体"/>
                <w:i w:val="0"/>
                <w:iCs w:val="0"/>
                <w:color w:val="000000"/>
                <w:kern w:val="0"/>
                <w:sz w:val="21"/>
                <w:szCs w:val="21"/>
                <w:highlight w:val="none"/>
                <w:u w:val="none"/>
                <w:lang w:val="en-US" w:eastAsia="zh-CN" w:bidi="ar"/>
              </w:rPr>
              <w:t>mm</w:t>
            </w:r>
            <w:r>
              <w:rPr>
                <w:rFonts w:hint="eastAsia" w:ascii="宋体" w:hAnsi="宋体" w:eastAsia="宋体" w:cs="宋体"/>
                <w:i w:val="0"/>
                <w:iCs w:val="0"/>
                <w:color w:val="000000"/>
                <w:kern w:val="0"/>
                <w:sz w:val="21"/>
                <w:szCs w:val="21"/>
                <w:u w:val="none"/>
                <w:lang w:val="en-US" w:eastAsia="zh-CN" w:bidi="ar"/>
              </w:rPr>
              <w:t>方管拼装焊接而成，框架封板为0.8mm的冷轧板，对角折成加强筋。顶棚采用</w:t>
            </w:r>
            <w:r>
              <w:rPr>
                <w:rFonts w:hint="eastAsia" w:ascii="宋体" w:hAnsi="宋体" w:eastAsia="宋体" w:cs="宋体"/>
                <w:i w:val="0"/>
                <w:iCs w:val="0"/>
                <w:color w:val="000000"/>
                <w:kern w:val="0"/>
                <w:sz w:val="21"/>
                <w:szCs w:val="21"/>
                <w:highlight w:val="none"/>
                <w:u w:val="none"/>
                <w:lang w:val="en-US" w:eastAsia="zh-CN" w:bidi="ar"/>
              </w:rPr>
              <w:t>40*40*2</w:t>
            </w:r>
            <w:r>
              <w:rPr>
                <w:rFonts w:hint="eastAsia" w:cs="宋体"/>
                <w:i w:val="0"/>
                <w:iCs w:val="0"/>
                <w:color w:val="000000"/>
                <w:kern w:val="0"/>
                <w:sz w:val="21"/>
                <w:szCs w:val="21"/>
                <w:highlight w:val="none"/>
                <w:u w:val="none"/>
                <w:lang w:val="en-US" w:eastAsia="zh-CN" w:bidi="ar"/>
              </w:rPr>
              <w:t>mm</w:t>
            </w:r>
            <w:r>
              <w:rPr>
                <w:rFonts w:hint="eastAsia" w:ascii="宋体" w:hAnsi="宋体" w:eastAsia="宋体" w:cs="宋体"/>
                <w:i w:val="0"/>
                <w:iCs w:val="0"/>
                <w:color w:val="000000"/>
                <w:kern w:val="0"/>
                <w:sz w:val="21"/>
                <w:szCs w:val="21"/>
                <w:highlight w:val="none"/>
                <w:u w:val="none"/>
                <w:lang w:val="en-US" w:eastAsia="zh-CN" w:bidi="ar"/>
              </w:rPr>
              <w:t>、40*25*2</w:t>
            </w:r>
            <w:r>
              <w:rPr>
                <w:rFonts w:hint="eastAsia" w:cs="宋体"/>
                <w:i w:val="0"/>
                <w:iCs w:val="0"/>
                <w:color w:val="000000"/>
                <w:kern w:val="0"/>
                <w:sz w:val="21"/>
                <w:szCs w:val="21"/>
                <w:highlight w:val="none"/>
                <w:u w:val="none"/>
                <w:lang w:val="en-US" w:eastAsia="zh-CN" w:bidi="ar"/>
              </w:rPr>
              <w:t>mm</w:t>
            </w:r>
            <w:r>
              <w:rPr>
                <w:rFonts w:hint="eastAsia" w:ascii="宋体" w:hAnsi="宋体" w:eastAsia="宋体" w:cs="宋体"/>
                <w:i w:val="0"/>
                <w:iCs w:val="0"/>
                <w:color w:val="000000"/>
                <w:kern w:val="0"/>
                <w:sz w:val="21"/>
                <w:szCs w:val="21"/>
                <w:highlight w:val="none"/>
                <w:u w:val="none"/>
                <w:lang w:val="en-US" w:eastAsia="zh-CN" w:bidi="ar"/>
              </w:rPr>
              <w:t>和21*14*1.2</w:t>
            </w:r>
            <w:r>
              <w:rPr>
                <w:rFonts w:hint="eastAsia" w:cs="宋体"/>
                <w:i w:val="0"/>
                <w:iCs w:val="0"/>
                <w:color w:val="000000"/>
                <w:kern w:val="0"/>
                <w:sz w:val="21"/>
                <w:szCs w:val="21"/>
                <w:highlight w:val="none"/>
                <w:u w:val="none"/>
                <w:lang w:val="en-US" w:eastAsia="zh-CN" w:bidi="ar"/>
              </w:rPr>
              <w:t>mm</w:t>
            </w:r>
            <w:r>
              <w:rPr>
                <w:rFonts w:hint="eastAsia" w:ascii="宋体" w:hAnsi="宋体" w:eastAsia="宋体" w:cs="宋体"/>
                <w:i w:val="0"/>
                <w:iCs w:val="0"/>
                <w:color w:val="000000"/>
                <w:kern w:val="0"/>
                <w:sz w:val="21"/>
                <w:szCs w:val="21"/>
                <w:highlight w:val="none"/>
                <w:u w:val="none"/>
                <w:lang w:val="en-US" w:eastAsia="zh-CN" w:bidi="ar"/>
              </w:rPr>
              <w:t>方</w:t>
            </w:r>
            <w:r>
              <w:rPr>
                <w:rFonts w:hint="eastAsia" w:ascii="宋体" w:hAnsi="宋体" w:eastAsia="宋体" w:cs="宋体"/>
                <w:i w:val="0"/>
                <w:iCs w:val="0"/>
                <w:color w:val="000000"/>
                <w:kern w:val="0"/>
                <w:sz w:val="21"/>
                <w:szCs w:val="21"/>
                <w:u w:val="none"/>
                <w:lang w:val="en-US" w:eastAsia="zh-CN" w:bidi="ar"/>
              </w:rPr>
              <w:t>管拼焊而成。顶棚上面覆盖有厚0.6mm彩钢瓦，设有漏雨槽，漏雨槽采用1.5mm冷轧板，能防止漏雨。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3.防护棚底部设有滚轮，移动方便。</w:t>
            </w:r>
          </w:p>
        </w:tc>
      </w:tr>
      <w:tr w14:paraId="19D6EEC6">
        <w:tblPrEx>
          <w:tblCellMar>
            <w:top w:w="0" w:type="dxa"/>
            <w:left w:w="108" w:type="dxa"/>
            <w:bottom w:w="0" w:type="dxa"/>
            <w:right w:w="108" w:type="dxa"/>
          </w:tblCellMar>
        </w:tblPrEx>
        <w:trPr>
          <w:trHeight w:val="659" w:hRule="atLeast"/>
        </w:trPr>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99B2DE">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86</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14:paraId="7A9FB14E">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bidi="ar"/>
              </w:rPr>
              <w:t>组合起跳板</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719E4287">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块</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71C3B9">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0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AD3692">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1.22×0.30 (m)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铝合金、专利产品</w:t>
            </w:r>
          </w:p>
        </w:tc>
      </w:tr>
      <w:tr w14:paraId="1CDA44D4">
        <w:tblPrEx>
          <w:tblCellMar>
            <w:top w:w="0" w:type="dxa"/>
            <w:left w:w="108" w:type="dxa"/>
            <w:bottom w:w="0" w:type="dxa"/>
            <w:right w:w="108" w:type="dxa"/>
          </w:tblCellMar>
        </w:tblPrEx>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A3E749">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87</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14:paraId="2CD8242E">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bidi="ar"/>
              </w:rPr>
              <w:t>起跳板底座</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261B3519">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件</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A1D0D3">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0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0245B9">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1.22×0.3 (m)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4mm 不锈钢</w:t>
            </w:r>
          </w:p>
        </w:tc>
      </w:tr>
      <w:tr w14:paraId="0045A63A">
        <w:tblPrEx>
          <w:tblCellMar>
            <w:top w:w="0" w:type="dxa"/>
            <w:left w:w="108" w:type="dxa"/>
            <w:bottom w:w="0" w:type="dxa"/>
            <w:right w:w="108" w:type="dxa"/>
          </w:tblCellMar>
        </w:tblPrEx>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D7B596">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88</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14:paraId="5D2C7FAF">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bidi="ar"/>
              </w:rPr>
              <w:t>起跳板盖板</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35DDAC83">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块</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8F3172">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0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44AF66">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1.22×0.3 (m)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4mm 不锈钢</w:t>
            </w:r>
          </w:p>
        </w:tc>
      </w:tr>
      <w:tr w14:paraId="1650060F">
        <w:tblPrEx>
          <w:tblCellMar>
            <w:top w:w="0" w:type="dxa"/>
            <w:left w:w="108" w:type="dxa"/>
            <w:bottom w:w="0" w:type="dxa"/>
            <w:right w:w="108" w:type="dxa"/>
          </w:tblCellMar>
        </w:tblPrEx>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615FC9">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89</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14:paraId="6738F16C">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bidi="ar"/>
              </w:rPr>
              <w:t>铝合金平砂板</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736CF8A5">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副</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FF7447">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10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89D1FF">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1.铝合金平砂板主要由手柄、支撑杆与平砂板三部分拼装而成。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2.支撑杆与平砂板采用铝合金型材，表面氧化。手柄采用Φ30×2铝管，长度为1650mm。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3.手柄处装有巴套，手感舒适。</w:t>
            </w:r>
          </w:p>
        </w:tc>
      </w:tr>
      <w:tr w14:paraId="46C6139E">
        <w:tblPrEx>
          <w:tblCellMar>
            <w:top w:w="0" w:type="dxa"/>
            <w:left w:w="108" w:type="dxa"/>
            <w:bottom w:w="0" w:type="dxa"/>
            <w:right w:w="108" w:type="dxa"/>
          </w:tblCellMar>
        </w:tblPrEx>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476897">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90</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14:paraId="0725A8EB">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bidi="ar"/>
              </w:rPr>
              <w:t>跳板显示牌</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35216B63">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只</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8894F8">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10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4FAFEC">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1.跳板显示牌采用δ3mm玻璃钢材料制作,拉手采用圆钢制作，外表印有显示标志。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2.显示牌表面喷白色油漆，显示标志为蓝色，色彩鲜明。</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3.46×0.26×0.265 (m)</w:t>
            </w:r>
          </w:p>
        </w:tc>
      </w:tr>
      <w:tr w14:paraId="781F5C08">
        <w:tblPrEx>
          <w:tblCellMar>
            <w:top w:w="0" w:type="dxa"/>
            <w:left w:w="108" w:type="dxa"/>
            <w:bottom w:w="0" w:type="dxa"/>
            <w:right w:w="108" w:type="dxa"/>
          </w:tblCellMar>
        </w:tblPrEx>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BF2EE7">
            <w:pPr>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91</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14:paraId="074DB020">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i w:val="0"/>
                <w:iCs w:val="0"/>
                <w:color w:val="000000"/>
                <w:kern w:val="0"/>
                <w:sz w:val="21"/>
                <w:szCs w:val="21"/>
                <w:u w:val="none"/>
                <w:lang w:val="en-US" w:eastAsia="zh-CN" w:bidi="ar"/>
              </w:rPr>
              <w:t>跳远测量牌</w:t>
            </w:r>
          </w:p>
        </w:tc>
        <w:tc>
          <w:tcPr>
            <w:tcW w:w="682" w:type="dxa"/>
            <w:tcBorders>
              <w:top w:val="single" w:color="auto" w:sz="4" w:space="0"/>
              <w:left w:val="single" w:color="auto" w:sz="4" w:space="0"/>
              <w:bottom w:val="single" w:color="auto" w:sz="4" w:space="0"/>
              <w:right w:val="single" w:color="auto" w:sz="4" w:space="0"/>
            </w:tcBorders>
            <w:shd w:val="clear" w:color="auto" w:fill="auto"/>
            <w:vAlign w:val="center"/>
          </w:tcPr>
          <w:p w14:paraId="56739491">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EEA5A4">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09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FA8244">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跳远、三级跳远两用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1.基本尺寸：长×高=4000×540（㎜），可显示跳远、三级跳远比赛，适合国际标准田赛。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2.测量牌主要由底座、测量牌框架、号码牌和指示牌等组成。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3.底座主要采用δ3铁板经一次冲压成型，美观大方。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4.测量牌框架主要采用</w:t>
            </w:r>
            <w:r>
              <w:rPr>
                <w:rFonts w:hint="eastAsia" w:ascii="宋体" w:hAnsi="宋体" w:eastAsia="宋体" w:cs="宋体"/>
                <w:i w:val="0"/>
                <w:iCs w:val="0"/>
                <w:color w:val="000000"/>
                <w:kern w:val="0"/>
                <w:sz w:val="21"/>
                <w:szCs w:val="21"/>
                <w:highlight w:val="none"/>
                <w:u w:val="none"/>
                <w:lang w:val="en-US" w:eastAsia="zh-CN" w:bidi="ar"/>
              </w:rPr>
              <w:t>30×20×1.5</w:t>
            </w:r>
            <w:r>
              <w:rPr>
                <w:rFonts w:hint="eastAsia" w:cs="宋体"/>
                <w:i w:val="0"/>
                <w:iCs w:val="0"/>
                <w:color w:val="000000"/>
                <w:kern w:val="0"/>
                <w:sz w:val="21"/>
                <w:szCs w:val="21"/>
                <w:highlight w:val="none"/>
                <w:u w:val="none"/>
                <w:lang w:val="en-US" w:eastAsia="zh-CN" w:bidi="ar"/>
              </w:rPr>
              <w:t>mm</w:t>
            </w:r>
            <w:r>
              <w:rPr>
                <w:rFonts w:hint="eastAsia" w:ascii="宋体" w:hAnsi="宋体" w:eastAsia="宋体" w:cs="宋体"/>
                <w:i w:val="0"/>
                <w:iCs w:val="0"/>
                <w:color w:val="000000"/>
                <w:kern w:val="0"/>
                <w:sz w:val="21"/>
                <w:szCs w:val="21"/>
                <w:u w:val="none"/>
                <w:lang w:val="en-US" w:eastAsia="zh-CN" w:bidi="ar"/>
              </w:rPr>
              <w:t>方管和δ1封板经折边拼焊而成，测量牌设有刻度线，采用φ6圆钢与框架连接后分别涂以红色、蓝色表示。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5.号码牌采用PVC制作，共16块，号码为3-18。</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6.指示牌共6块，采用δ1铁板折边制作，分别喷黑、桔黄、蓝三种颜色。</w:t>
            </w:r>
          </w:p>
        </w:tc>
      </w:tr>
      <w:tr w14:paraId="55B3C5CB">
        <w:tblPrEx>
          <w:tblCellMar>
            <w:top w:w="0" w:type="dxa"/>
            <w:left w:w="108" w:type="dxa"/>
            <w:bottom w:w="0" w:type="dxa"/>
            <w:right w:w="108" w:type="dxa"/>
          </w:tblCellMar>
        </w:tblPrEx>
        <w:trPr>
          <w:trHeight w:val="530" w:hRule="atLeast"/>
        </w:trPr>
        <w:tc>
          <w:tcPr>
            <w:tcW w:w="15082"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707931F4">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firstLine="0" w:firstLineChars="0"/>
              <w:jc w:val="left"/>
              <w:textAlignment w:val="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color w:val="auto"/>
                <w:sz w:val="24"/>
                <w:szCs w:val="24"/>
              </w:rPr>
              <w:t>本</w:t>
            </w:r>
            <w:r>
              <w:rPr>
                <w:rFonts w:hint="eastAsia" w:ascii="宋体" w:hAnsi="宋体" w:eastAsia="宋体" w:cs="宋体"/>
                <w:b/>
                <w:bCs/>
                <w:color w:val="auto"/>
                <w:sz w:val="24"/>
                <w:szCs w:val="24"/>
                <w:lang w:eastAsia="zh-CN"/>
              </w:rPr>
              <w:t>标项</w:t>
            </w:r>
            <w:r>
              <w:rPr>
                <w:rFonts w:hint="eastAsia" w:ascii="宋体" w:hAnsi="宋体" w:eastAsia="宋体" w:cs="宋体"/>
                <w:b/>
                <w:bCs/>
                <w:color w:val="auto"/>
                <w:sz w:val="24"/>
                <w:szCs w:val="24"/>
              </w:rPr>
              <w:t>核心产品为：</w:t>
            </w:r>
            <w:r>
              <w:rPr>
                <w:rFonts w:hint="eastAsia" w:ascii="宋体" w:hAnsi="宋体" w:eastAsia="宋体" w:cs="宋体"/>
                <w:b/>
                <w:bCs/>
                <w:i w:val="0"/>
                <w:iCs w:val="0"/>
                <w:color w:val="000000"/>
                <w:kern w:val="0"/>
                <w:sz w:val="24"/>
                <w:szCs w:val="24"/>
                <w:u w:val="single"/>
                <w:lang w:val="en-US" w:eastAsia="zh-CN" w:bidi="ar"/>
              </w:rPr>
              <w:t>链球、铁饼护笼</w:t>
            </w:r>
            <w:r>
              <w:rPr>
                <w:rFonts w:hint="eastAsia" w:ascii="宋体" w:hAnsi="宋体" w:eastAsia="宋体" w:cs="宋体"/>
                <w:b/>
                <w:bCs/>
                <w:color w:val="auto"/>
                <w:sz w:val="24"/>
                <w:szCs w:val="24"/>
                <w:lang w:val="en-US" w:eastAsia="zh-CN"/>
              </w:rPr>
              <w:t>。</w:t>
            </w:r>
          </w:p>
        </w:tc>
      </w:tr>
    </w:tbl>
    <w:p w14:paraId="08FC5272">
      <w:pPr>
        <w:tabs>
          <w:tab w:val="left" w:pos="524"/>
        </w:tabs>
        <w:bidi w:val="0"/>
        <w:jc w:val="left"/>
        <w:rPr>
          <w:rFonts w:hint="eastAsia"/>
          <w:lang w:val="en-US" w:eastAsia="zh-CN"/>
        </w:rPr>
        <w:sectPr>
          <w:pgSz w:w="16838" w:h="11906" w:orient="landscape"/>
          <w:pgMar w:top="1134" w:right="1247" w:bottom="1134" w:left="1247" w:header="170" w:footer="567" w:gutter="0"/>
          <w:pgNumType w:fmt="decimal"/>
          <w:cols w:space="720" w:num="1"/>
          <w:docGrid w:linePitch="381" w:charSpace="0"/>
        </w:sectPr>
      </w:pPr>
    </w:p>
    <w:p w14:paraId="573500AA">
      <w:pPr>
        <w:pStyle w:val="6"/>
        <w:spacing w:line="240" w:lineRule="auto"/>
        <w:ind w:left="0" w:leftChars="0" w:firstLine="0" w:firstLineChars="0"/>
        <w:rPr>
          <w:rFonts w:hint="eastAsia"/>
          <w:lang w:val="en-US" w:eastAsia="zh-CN"/>
        </w:rPr>
      </w:pPr>
      <w:r>
        <w:rPr>
          <w:rFonts w:hint="eastAsia"/>
          <w:lang w:val="en-US" w:eastAsia="zh-CN"/>
        </w:rPr>
        <w:t>标项四：体测中心设备（预算金额：1068000元）</w:t>
      </w:r>
    </w:p>
    <w:tbl>
      <w:tblPr>
        <w:tblStyle w:val="45"/>
        <w:tblW w:w="15095" w:type="dxa"/>
        <w:tblInd w:w="-295" w:type="dxa"/>
        <w:tblLayout w:type="fixed"/>
        <w:tblCellMar>
          <w:top w:w="0" w:type="dxa"/>
          <w:left w:w="108" w:type="dxa"/>
          <w:bottom w:w="0" w:type="dxa"/>
          <w:right w:w="108" w:type="dxa"/>
        </w:tblCellMar>
      </w:tblPr>
      <w:tblGrid>
        <w:gridCol w:w="695"/>
        <w:gridCol w:w="1991"/>
        <w:gridCol w:w="696"/>
        <w:gridCol w:w="736"/>
        <w:gridCol w:w="10977"/>
      </w:tblGrid>
      <w:tr w14:paraId="5F57B073">
        <w:tblPrEx>
          <w:tblCellMar>
            <w:top w:w="0" w:type="dxa"/>
            <w:left w:w="108" w:type="dxa"/>
            <w:bottom w:w="0" w:type="dxa"/>
            <w:right w:w="108" w:type="dxa"/>
          </w:tblCellMar>
        </w:tblPrEx>
        <w:trPr>
          <w:trHeight w:val="427" w:hRule="atLeast"/>
          <w:tblHeader/>
        </w:trPr>
        <w:tc>
          <w:tcPr>
            <w:tcW w:w="695" w:type="dxa"/>
            <w:tcBorders>
              <w:top w:val="single" w:color="auto" w:sz="8" w:space="0"/>
              <w:left w:val="single" w:color="auto" w:sz="8" w:space="0"/>
              <w:bottom w:val="single" w:color="auto" w:sz="4" w:space="0"/>
              <w:right w:val="single" w:color="auto" w:sz="4" w:space="0"/>
            </w:tcBorders>
            <w:shd w:val="clear" w:color="auto" w:fill="auto"/>
            <w:noWrap/>
            <w:vAlign w:val="center"/>
          </w:tcPr>
          <w:p w14:paraId="5D49A5D7">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序号</w:t>
            </w:r>
          </w:p>
        </w:tc>
        <w:tc>
          <w:tcPr>
            <w:tcW w:w="1991" w:type="dxa"/>
            <w:tcBorders>
              <w:top w:val="single" w:color="auto" w:sz="8" w:space="0"/>
              <w:left w:val="nil"/>
              <w:bottom w:val="single" w:color="auto" w:sz="4" w:space="0"/>
              <w:right w:val="single" w:color="auto" w:sz="4" w:space="0"/>
            </w:tcBorders>
            <w:shd w:val="clear" w:color="auto" w:fill="auto"/>
            <w:noWrap/>
            <w:vAlign w:val="center"/>
          </w:tcPr>
          <w:p w14:paraId="2DA9CB7C">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设备名称</w:t>
            </w:r>
          </w:p>
        </w:tc>
        <w:tc>
          <w:tcPr>
            <w:tcW w:w="696" w:type="dxa"/>
            <w:tcBorders>
              <w:top w:val="single" w:color="auto" w:sz="8" w:space="0"/>
              <w:left w:val="nil"/>
              <w:bottom w:val="single" w:color="auto" w:sz="4" w:space="0"/>
              <w:right w:val="single" w:color="auto" w:sz="4" w:space="0"/>
            </w:tcBorders>
            <w:shd w:val="clear" w:color="auto" w:fill="auto"/>
            <w:noWrap/>
            <w:vAlign w:val="center"/>
          </w:tcPr>
          <w:p w14:paraId="0B77C59D">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单位</w:t>
            </w:r>
          </w:p>
        </w:tc>
        <w:tc>
          <w:tcPr>
            <w:tcW w:w="736" w:type="dxa"/>
            <w:tcBorders>
              <w:top w:val="single" w:color="auto" w:sz="8" w:space="0"/>
              <w:left w:val="nil"/>
              <w:bottom w:val="single" w:color="auto" w:sz="4" w:space="0"/>
              <w:right w:val="single" w:color="auto" w:sz="4" w:space="0"/>
            </w:tcBorders>
            <w:shd w:val="clear" w:color="auto" w:fill="auto"/>
            <w:noWrap/>
            <w:vAlign w:val="center"/>
          </w:tcPr>
          <w:p w14:paraId="097CBAF5">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数量</w:t>
            </w:r>
          </w:p>
        </w:tc>
        <w:tc>
          <w:tcPr>
            <w:tcW w:w="10977" w:type="dxa"/>
            <w:tcBorders>
              <w:top w:val="single" w:color="auto" w:sz="8" w:space="0"/>
              <w:left w:val="nil"/>
              <w:bottom w:val="single" w:color="auto" w:sz="4" w:space="0"/>
              <w:right w:val="single" w:color="auto" w:sz="8" w:space="0"/>
            </w:tcBorders>
            <w:shd w:val="clear" w:color="auto" w:fill="auto"/>
            <w:vAlign w:val="center"/>
          </w:tcPr>
          <w:p w14:paraId="5A0E56DD">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技术参数</w:t>
            </w:r>
          </w:p>
        </w:tc>
      </w:tr>
      <w:tr w14:paraId="6C6184C8">
        <w:tblPrEx>
          <w:tblCellMar>
            <w:top w:w="0" w:type="dxa"/>
            <w:left w:w="108" w:type="dxa"/>
            <w:bottom w:w="0" w:type="dxa"/>
            <w:right w:w="108" w:type="dxa"/>
          </w:tblCellMar>
        </w:tblPrEx>
        <w:trPr>
          <w:trHeight w:val="8572" w:hRule="atLeast"/>
        </w:trPr>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93149A">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w:t>
            </w: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14:paraId="5157F697">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color w:val="000000"/>
                <w:kern w:val="0"/>
                <w:sz w:val="21"/>
                <w:szCs w:val="21"/>
                <w:lang w:bidi="ar"/>
              </w:rPr>
              <w:t>身高体重测试仪</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14:paraId="2BF3350E">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color w:val="000000"/>
                <w:kern w:val="0"/>
                <w:sz w:val="21"/>
                <w:szCs w:val="21"/>
                <w:lang w:bidi="ar"/>
              </w:rPr>
              <w:t>台</w:t>
            </w:r>
          </w:p>
        </w:tc>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22AF07">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bidi="ar"/>
              </w:rPr>
              <w:t>2</w:t>
            </w:r>
          </w:p>
        </w:tc>
        <w:tc>
          <w:tcPr>
            <w:tcW w:w="109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7E03C8">
            <w:pPr>
              <w:pStyle w:val="165"/>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1.主机立柱采用防潮立式箱体结构，高度≥105cm；</w:t>
            </w:r>
          </w:p>
          <w:p w14:paraId="53FCDA9F">
            <w:pPr>
              <w:pStyle w:val="165"/>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2.主机为工业级工控机，金属外壳牢固耐用不怕摔，采用10寸以上彩色中文全视角液晶显示屏和电容触摸屏，分辨率800×1280，四核1.6Ghz处理器，运行2.0GB内存以上，主机使用Android或Windows操作系统。</w:t>
            </w:r>
          </w:p>
          <w:p w14:paraId="728EADEF">
            <w:pPr>
              <w:pStyle w:val="165"/>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3.主机内置存储16G容量以上，最少可储存100万条以上测试数据，可根据用户需求配置更大内存卡增加存储空间。</w:t>
            </w:r>
          </w:p>
          <w:p w14:paraId="2F9F3E34">
            <w:pPr>
              <w:pStyle w:val="165"/>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★4.主机可显示学生年级、班级、姓名、性别、编号、照片、测试时间和测试结果等。</w:t>
            </w:r>
          </w:p>
          <w:p w14:paraId="66A33A1F">
            <w:pPr>
              <w:pStyle w:val="165"/>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5</w:t>
            </w:r>
            <w:r>
              <w:rPr>
                <w:rFonts w:hint="eastAsia" w:ascii="宋体" w:hAnsi="宋体" w:cs="宋体"/>
                <w:kern w:val="0"/>
                <w:sz w:val="21"/>
                <w:szCs w:val="21"/>
                <w:lang w:val="en-US" w:eastAsia="zh-CN"/>
              </w:rPr>
              <w:t>.</w:t>
            </w:r>
            <w:r>
              <w:rPr>
                <w:rFonts w:hint="eastAsia" w:ascii="宋体" w:hAnsi="宋体" w:eastAsia="宋体" w:cs="宋体"/>
                <w:kern w:val="0"/>
                <w:sz w:val="21"/>
                <w:szCs w:val="21"/>
              </w:rPr>
              <w:t>主机可通过按键输入考生编号（准考证号、身份证号），支持提前批量导入学生信息，也可身份证读卡、及人脸识别等多种身份识别方式，同时学生编号具有自动递增功能；</w:t>
            </w:r>
          </w:p>
          <w:p w14:paraId="16DA1F02">
            <w:pPr>
              <w:pStyle w:val="165"/>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6.全程语音提示，且具有外接扩音装置功能；</w:t>
            </w:r>
          </w:p>
          <w:p w14:paraId="0CE10D66">
            <w:pPr>
              <w:pStyle w:val="165"/>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7.主机具有自评分和统计功能，APP能实时显示成绩</w:t>
            </w:r>
          </w:p>
          <w:p w14:paraId="2F8DD395">
            <w:pPr>
              <w:pStyle w:val="165"/>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8.主机可外接摄像头，对学生的整个测试过程进行录像及存储，测试开始启动录像、测试结束自动停止录像，节省大量主机存储空间，同时可以通过学号调用视频进行仲裁；</w:t>
            </w:r>
          </w:p>
          <w:p w14:paraId="21BD6D93">
            <w:pPr>
              <w:pStyle w:val="165"/>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9.主机可WiFi、4G或5G通讯连接网络将测试数据实时传输到云服务器或本地服务器。</w:t>
            </w:r>
          </w:p>
          <w:p w14:paraId="133EDCB0">
            <w:pPr>
              <w:pStyle w:val="165"/>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10.主机具有3个USB标准接口、1个MicroUSB、1个ETH、1个HDMI、1个TF卡座、1个SIM卡座等多个接口，以备设备扩展多用途使用，可通过USB接口直接导入考生名单或将考生名单直接下载至主机内，也可直接导出测试成绩至U盘自动生成Excel表格；</w:t>
            </w:r>
          </w:p>
          <w:p w14:paraId="3604EAB0">
            <w:pPr>
              <w:pStyle w:val="165"/>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11.当主机配有打印机时，可实时打印测试者成绩；</w:t>
            </w:r>
          </w:p>
          <w:p w14:paraId="39574617">
            <w:pPr>
              <w:pStyle w:val="165"/>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12.主机内置本项目所有测试项目，主机可互用；</w:t>
            </w:r>
          </w:p>
          <w:p w14:paraId="7DFC810B">
            <w:pPr>
              <w:pStyle w:val="165"/>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13.主机与外设采用无线连接；</w:t>
            </w:r>
          </w:p>
          <w:p w14:paraId="4BCCF171">
            <w:pPr>
              <w:pStyle w:val="165"/>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★14.外设采用超声波智能感应测量身高，可测量体重、身高、BMI，体重采用四点式高精度传感器测量体重；</w:t>
            </w:r>
          </w:p>
          <w:p w14:paraId="4E4BD63A">
            <w:pPr>
              <w:pStyle w:val="165"/>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15</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外设具有4寸以上的彩色液晶显示屏、能单独同步显示测试数据及语音播报功能，</w:t>
            </w:r>
            <w:r>
              <w:rPr>
                <w:rFonts w:hint="eastAsia" w:ascii="宋体" w:hAnsi="宋体" w:eastAsia="宋体" w:cs="宋体"/>
                <w:kern w:val="0"/>
                <w:sz w:val="21"/>
                <w:szCs w:val="21"/>
                <w:lang w:val="en-US" w:eastAsia="zh-CN"/>
              </w:rPr>
              <w:t>外设</w:t>
            </w:r>
            <w:r>
              <w:rPr>
                <w:rFonts w:hint="eastAsia" w:ascii="宋体" w:hAnsi="宋体" w:eastAsia="宋体" w:cs="宋体"/>
                <w:kern w:val="0"/>
                <w:sz w:val="21"/>
                <w:szCs w:val="21"/>
              </w:rPr>
              <w:t>并可独立使用，</w:t>
            </w:r>
            <w:r>
              <w:rPr>
                <w:rFonts w:hint="eastAsia" w:ascii="宋体" w:hAnsi="宋体" w:eastAsia="宋体" w:cs="宋体"/>
                <w:kern w:val="0"/>
                <w:sz w:val="21"/>
                <w:szCs w:val="21"/>
                <w:highlight w:val="none"/>
              </w:rPr>
              <w:t>也可配置独立</w:t>
            </w:r>
            <w:r>
              <w:rPr>
                <w:rFonts w:hint="eastAsia" w:ascii="宋体" w:hAnsi="宋体" w:eastAsia="宋体" w:cs="宋体"/>
                <w:kern w:val="0"/>
                <w:sz w:val="21"/>
                <w:szCs w:val="21"/>
                <w:highlight w:val="none"/>
                <w:lang w:val="en-US" w:eastAsia="zh-CN"/>
              </w:rPr>
              <w:t>打印机，打印</w:t>
            </w:r>
            <w:r>
              <w:rPr>
                <w:rFonts w:hint="eastAsia" w:ascii="宋体" w:hAnsi="宋体" w:eastAsia="宋体" w:cs="宋体"/>
                <w:kern w:val="0"/>
                <w:sz w:val="21"/>
                <w:szCs w:val="21"/>
                <w:highlight w:val="none"/>
              </w:rPr>
              <w:t>测试成绩；</w:t>
            </w:r>
          </w:p>
          <w:p w14:paraId="3205A696">
            <w:pPr>
              <w:pStyle w:val="165"/>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★16.身高               体重</w:t>
            </w:r>
          </w:p>
          <w:p w14:paraId="41D176DF">
            <w:pPr>
              <w:pStyle w:val="165"/>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量程：700mm-2100mm      量程：0kg-200kg</w:t>
            </w:r>
          </w:p>
          <w:p w14:paraId="25D14A93">
            <w:pPr>
              <w:pStyle w:val="165"/>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分度值：1mm             分度值：0.1kg</w:t>
            </w:r>
          </w:p>
          <w:p w14:paraId="5B84060C">
            <w:pPr>
              <w:pStyle w:val="165"/>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 xml:space="preserve">误差：±1mm           </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误差：±0.2kg</w:t>
            </w:r>
          </w:p>
          <w:p w14:paraId="6E92BD05">
            <w:pPr>
              <w:pStyle w:val="165"/>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highlight w:val="none"/>
                <w:lang w:bidi="ar"/>
              </w:rPr>
              <w:t>★</w:t>
            </w:r>
            <w:r>
              <w:rPr>
                <w:rFonts w:hint="eastAsia" w:ascii="宋体" w:hAnsi="宋体" w:eastAsia="宋体" w:cs="宋体"/>
                <w:b w:val="0"/>
                <w:bCs/>
                <w:color w:val="auto"/>
                <w:sz w:val="21"/>
                <w:szCs w:val="21"/>
                <w:highlight w:val="none"/>
                <w:lang w:eastAsia="zh-CN"/>
              </w:rPr>
              <w:t>须</w:t>
            </w:r>
            <w:r>
              <w:rPr>
                <w:rFonts w:hint="eastAsia" w:ascii="宋体" w:hAnsi="宋体" w:eastAsia="宋体" w:cs="宋体"/>
                <w:b w:val="0"/>
                <w:bCs/>
                <w:color w:val="auto"/>
                <w:sz w:val="21"/>
                <w:szCs w:val="21"/>
                <w:highlight w:val="none"/>
              </w:rPr>
              <w:t>承诺中标后提供由</w:t>
            </w:r>
            <w:r>
              <w:rPr>
                <w:rFonts w:hint="eastAsia" w:ascii="宋体" w:hAnsi="宋体" w:eastAsia="宋体" w:cs="宋体"/>
                <w:kern w:val="0"/>
                <w:sz w:val="21"/>
                <w:szCs w:val="21"/>
                <w:highlight w:val="none"/>
              </w:rPr>
              <w:t>国家体育用品质量监督检验中心</w:t>
            </w:r>
            <w:r>
              <w:rPr>
                <w:rFonts w:hint="eastAsia" w:cs="宋体"/>
                <w:kern w:val="0"/>
                <w:sz w:val="21"/>
                <w:szCs w:val="21"/>
                <w:highlight w:val="none"/>
                <w:lang w:eastAsia="zh-CN"/>
              </w:rPr>
              <w:t>出具的产品检测报告，</w:t>
            </w:r>
            <w:r>
              <w:rPr>
                <w:rFonts w:hint="eastAsia" w:ascii="宋体" w:hAnsi="宋体" w:eastAsia="宋体" w:cs="宋体"/>
                <w:b w:val="0"/>
                <w:bCs/>
                <w:color w:val="auto"/>
                <w:sz w:val="21"/>
                <w:szCs w:val="21"/>
                <w:highlight w:val="none"/>
              </w:rPr>
              <w:t>报告中的检测依据及各项检测指标应符合以上参数要求</w:t>
            </w:r>
            <w:r>
              <w:rPr>
                <w:rFonts w:hint="eastAsia" w:cs="宋体"/>
                <w:color w:val="000000"/>
                <w:kern w:val="0"/>
                <w:sz w:val="21"/>
                <w:szCs w:val="21"/>
                <w:highlight w:val="none"/>
                <w:lang w:eastAsia="zh-CN" w:bidi="ar"/>
              </w:rPr>
              <w:t>。</w:t>
            </w:r>
          </w:p>
        </w:tc>
      </w:tr>
      <w:tr w14:paraId="310B32AB">
        <w:tblPrEx>
          <w:tblCellMar>
            <w:top w:w="0" w:type="dxa"/>
            <w:left w:w="108" w:type="dxa"/>
            <w:bottom w:w="0" w:type="dxa"/>
            <w:right w:w="108" w:type="dxa"/>
          </w:tblCellMar>
        </w:tblPrEx>
        <w:trPr>
          <w:trHeight w:val="8494" w:hRule="atLeast"/>
        </w:trPr>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F867C0">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w:t>
            </w: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14:paraId="232EA042">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color w:val="000000"/>
                <w:kern w:val="0"/>
                <w:sz w:val="21"/>
                <w:szCs w:val="21"/>
                <w:lang w:bidi="ar"/>
              </w:rPr>
              <w:t>肺活量测试仪</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14:paraId="36417E8C">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color w:val="000000"/>
                <w:kern w:val="0"/>
                <w:sz w:val="21"/>
                <w:szCs w:val="21"/>
                <w:lang w:bidi="ar"/>
              </w:rPr>
              <w:t>台</w:t>
            </w:r>
          </w:p>
        </w:tc>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DA70F2">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bidi="ar"/>
              </w:rPr>
              <w:t>4</w:t>
            </w:r>
          </w:p>
        </w:tc>
        <w:tc>
          <w:tcPr>
            <w:tcW w:w="109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0E9E17">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1.主机立柱采用防潮立式箱体结构，高度≥105cm；</w:t>
            </w:r>
          </w:p>
          <w:p w14:paraId="1591B2F3">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2.主机为工业级工控机，金属外壳牢固耐用不怕摔，采用10寸以上彩色中文全视角液晶显示屏和电容触摸屏，分辨率800×1280，四核1.6Ghz处理器，运行2.0GB内存以上，主机使用Android或Windows操作系统。</w:t>
            </w:r>
          </w:p>
          <w:p w14:paraId="0CC3B536">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3.主机内置存储16G容量以上，最少可储存100万条以上测试数据，可根据用户需求配置更大内存卡增加存储空间。</w:t>
            </w:r>
          </w:p>
          <w:p w14:paraId="42836C26">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4.主机可显示学生年级、班级、姓名、性别、编号、照片、测试时间和测试结果等。</w:t>
            </w:r>
          </w:p>
          <w:p w14:paraId="6384F7BF">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5</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主机可通过按键输入考生编号（准考证号、身份证号），支持提前批量导入学生信息，也可身份证读卡、及人脸识别等多种身份识别方式，同时学生编号具有自动递增功能；</w:t>
            </w:r>
          </w:p>
          <w:p w14:paraId="7EAAB5EB">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6.全程语音提示，且具有外接扩音装置功能；</w:t>
            </w:r>
          </w:p>
          <w:p w14:paraId="211A5B7E">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7. 主机具有自评分和统计功能，APP能实时显示成绩</w:t>
            </w:r>
            <w:r>
              <w:rPr>
                <w:rFonts w:hint="eastAsia" w:ascii="宋体" w:hAnsi="宋体" w:eastAsia="宋体" w:cs="宋体"/>
                <w:kern w:val="0"/>
                <w:sz w:val="21"/>
                <w:szCs w:val="21"/>
                <w:lang w:eastAsia="zh-CN"/>
              </w:rPr>
              <w:t>。</w:t>
            </w:r>
          </w:p>
          <w:p w14:paraId="4E1DDB62">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8.主机可外接摄像头，对学生的整个测试过程进行录像及存储，测试开始启动录像、测试结束自动停止录像，节省大量主机存储空间，同时可以通过学号调用视频进行仲裁；</w:t>
            </w:r>
          </w:p>
          <w:p w14:paraId="1D108C00">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9.主机可WiFi、4G或5G通讯连接网络将测试数据实时传输到云服务器或本地服务器。</w:t>
            </w:r>
          </w:p>
          <w:p w14:paraId="4444A067">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10.主机具有3个USB标准接口、1个MicroUSB、1个ETH、1个HDMI、1个TF卡座、1个SIM卡座等多个接口，以备设备扩展多用途使用，可通过USB接口直接导入考生名单或将考生名单直接下载至主机内，也可直接导出测试成绩至U盘自动生成Excel表格；</w:t>
            </w:r>
          </w:p>
          <w:p w14:paraId="7C8CC892">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11.当主机配有打印机时，可实时打印测试者成绩；</w:t>
            </w:r>
          </w:p>
          <w:p w14:paraId="6E0C53D1">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12.主机内置本项目所有测试项目，主机可互用；</w:t>
            </w:r>
          </w:p>
          <w:p w14:paraId="56E4A3C1">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13.主机与外设采用无线连接；</w:t>
            </w:r>
          </w:p>
          <w:p w14:paraId="03FD6FD2">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14.外设采用手持式设计，外设自带液晶显示屏，可实时显示测试者成绩，可单独使用；外设传感器采用</w:t>
            </w:r>
            <w:r>
              <w:rPr>
                <w:rFonts w:hint="eastAsia" w:ascii="宋体" w:hAnsi="宋体" w:eastAsia="宋体" w:cs="宋体"/>
                <w:kern w:val="0"/>
                <w:sz w:val="21"/>
                <w:szCs w:val="21"/>
                <w:highlight w:val="none"/>
              </w:rPr>
              <w:t xml:space="preserve">进口freescale </w:t>
            </w:r>
            <w:r>
              <w:rPr>
                <w:rFonts w:hint="eastAsia" w:ascii="宋体" w:hAnsi="宋体" w:eastAsia="宋体" w:cs="宋体"/>
                <w:kern w:val="0"/>
                <w:sz w:val="21"/>
                <w:szCs w:val="21"/>
              </w:rPr>
              <w:t xml:space="preserve">压差传感器，具有温度补偿和湿度补偿功能，精度高；具有防换气和防积水功能； </w:t>
            </w:r>
          </w:p>
          <w:p w14:paraId="3ABA7060">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15.量程：0ml-9999ml 分度值：1ml 误差：±0.2%</w:t>
            </w:r>
          </w:p>
          <w:p w14:paraId="5361E8D2">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rPr>
              <w:t>★</w:t>
            </w:r>
            <w:r>
              <w:rPr>
                <w:rFonts w:hint="eastAsia" w:ascii="宋体" w:hAnsi="宋体" w:eastAsia="宋体" w:cs="宋体"/>
                <w:kern w:val="0"/>
                <w:sz w:val="21"/>
                <w:szCs w:val="21"/>
                <w:highlight w:val="none"/>
              </w:rPr>
              <w:t>产品</w:t>
            </w:r>
            <w:r>
              <w:rPr>
                <w:rFonts w:hint="eastAsia" w:cs="宋体"/>
                <w:kern w:val="0"/>
                <w:sz w:val="21"/>
                <w:szCs w:val="21"/>
                <w:highlight w:val="none"/>
                <w:lang w:eastAsia="zh-CN"/>
              </w:rPr>
              <w:t>已投保</w:t>
            </w:r>
            <w:r>
              <w:rPr>
                <w:rFonts w:hint="eastAsia" w:ascii="宋体" w:hAnsi="宋体" w:eastAsia="宋体" w:cs="宋体"/>
                <w:kern w:val="0"/>
                <w:sz w:val="21"/>
                <w:szCs w:val="21"/>
                <w:highlight w:val="none"/>
              </w:rPr>
              <w:t>产品责任险，提供保单复印件。</w:t>
            </w:r>
          </w:p>
          <w:p w14:paraId="5A7A2645">
            <w:pPr>
              <w:pStyle w:val="8"/>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rPr>
            </w:pPr>
            <w:r>
              <w:rPr>
                <w:rFonts w:hint="eastAsia" w:ascii="宋体" w:hAnsi="宋体" w:eastAsia="宋体" w:cs="宋体"/>
                <w:color w:val="000000"/>
                <w:kern w:val="0"/>
                <w:sz w:val="21"/>
                <w:szCs w:val="21"/>
                <w:highlight w:val="none"/>
                <w:lang w:bidi="ar"/>
              </w:rPr>
              <w:t>★</w:t>
            </w:r>
            <w:r>
              <w:rPr>
                <w:rFonts w:hint="eastAsia" w:ascii="宋体" w:hAnsi="宋体" w:eastAsia="宋体" w:cs="宋体"/>
                <w:b w:val="0"/>
                <w:bCs/>
                <w:color w:val="auto"/>
                <w:sz w:val="21"/>
                <w:szCs w:val="21"/>
                <w:highlight w:val="none"/>
                <w:lang w:eastAsia="zh-CN"/>
              </w:rPr>
              <w:t>须</w:t>
            </w:r>
            <w:r>
              <w:rPr>
                <w:rFonts w:hint="eastAsia" w:ascii="宋体" w:hAnsi="宋体" w:eastAsia="宋体" w:cs="宋体"/>
                <w:b w:val="0"/>
                <w:bCs/>
                <w:color w:val="auto"/>
                <w:sz w:val="21"/>
                <w:szCs w:val="21"/>
                <w:highlight w:val="none"/>
              </w:rPr>
              <w:t>承诺中标后提供由</w:t>
            </w:r>
            <w:r>
              <w:rPr>
                <w:rFonts w:hint="eastAsia" w:ascii="宋体" w:hAnsi="宋体" w:eastAsia="宋体" w:cs="宋体"/>
                <w:kern w:val="0"/>
                <w:sz w:val="21"/>
                <w:szCs w:val="21"/>
                <w:highlight w:val="none"/>
              </w:rPr>
              <w:t>国家体育用品质量监督检验中心</w:t>
            </w:r>
            <w:r>
              <w:rPr>
                <w:rFonts w:hint="eastAsia" w:cs="宋体"/>
                <w:kern w:val="0"/>
                <w:sz w:val="21"/>
                <w:szCs w:val="21"/>
                <w:highlight w:val="none"/>
                <w:lang w:eastAsia="zh-CN"/>
              </w:rPr>
              <w:t>出具的产品检测报告，</w:t>
            </w:r>
            <w:r>
              <w:rPr>
                <w:rFonts w:hint="eastAsia" w:ascii="宋体" w:hAnsi="宋体" w:eastAsia="宋体" w:cs="宋体"/>
                <w:b w:val="0"/>
                <w:bCs/>
                <w:color w:val="auto"/>
                <w:sz w:val="21"/>
                <w:szCs w:val="21"/>
                <w:highlight w:val="none"/>
              </w:rPr>
              <w:t>报告中的检测依据及各项检测指标应符合以上参数要求</w:t>
            </w:r>
            <w:r>
              <w:rPr>
                <w:rFonts w:hint="eastAsia" w:cs="宋体"/>
                <w:color w:val="000000"/>
                <w:kern w:val="0"/>
                <w:sz w:val="21"/>
                <w:szCs w:val="21"/>
                <w:highlight w:val="none"/>
                <w:lang w:eastAsia="zh-CN" w:bidi="ar"/>
              </w:rPr>
              <w:t>。</w:t>
            </w:r>
          </w:p>
        </w:tc>
      </w:tr>
      <w:tr w14:paraId="084117A3">
        <w:tblPrEx>
          <w:tblCellMar>
            <w:top w:w="0" w:type="dxa"/>
            <w:left w:w="108" w:type="dxa"/>
            <w:bottom w:w="0" w:type="dxa"/>
            <w:right w:w="108" w:type="dxa"/>
          </w:tblCellMar>
        </w:tblPrEx>
        <w:trPr>
          <w:trHeight w:val="8981" w:hRule="atLeast"/>
        </w:trPr>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103B16">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w:t>
            </w: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14:paraId="04CFCD71">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color w:val="000000"/>
                <w:kern w:val="0"/>
                <w:sz w:val="21"/>
                <w:szCs w:val="21"/>
                <w:lang w:bidi="ar"/>
              </w:rPr>
              <w:t>坐位体前屈测试仪</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14:paraId="6A2555E7">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color w:val="000000"/>
                <w:kern w:val="0"/>
                <w:sz w:val="21"/>
                <w:szCs w:val="21"/>
                <w:lang w:bidi="ar"/>
              </w:rPr>
              <w:t>台</w:t>
            </w:r>
          </w:p>
        </w:tc>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3A44F7">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bidi="ar"/>
              </w:rPr>
              <w:t>4</w:t>
            </w:r>
          </w:p>
        </w:tc>
        <w:tc>
          <w:tcPr>
            <w:tcW w:w="109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27C790">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1.主机立柱采用防潮立式箱体结构，高度≥105cm；</w:t>
            </w:r>
          </w:p>
          <w:p w14:paraId="4E4E1C1C">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2.主机为工业级工控机，金属外壳牢固耐用不怕摔，采用10寸以上彩色中文全视角液晶显示屏和电容触摸屏，分辨率800×1280，四核1.6Ghz处理器，运行2.0GB内存以上，主机使用Android或Windows操作系统。</w:t>
            </w:r>
          </w:p>
          <w:p w14:paraId="1C1922C1">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3.主机内置存储16G容量以上，最少可储存100万条以上测试数据，可根据用户需求配置更大内存卡增加存储空间。</w:t>
            </w:r>
          </w:p>
          <w:p w14:paraId="1D5232DF">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4.主机可显示学生年级、班级、姓名、性别、编号、照片、测试时间和测试结果等。</w:t>
            </w:r>
          </w:p>
          <w:p w14:paraId="03FFECDD">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主机可通过按键输入考生编号（准考证号、身份证号），支持提前批量导入学生信息，也可身份证读卡、及人脸识别等多种身份识别方式，同时学生编号具有自动递增功能；</w:t>
            </w:r>
          </w:p>
          <w:p w14:paraId="4FF4E695">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6.全程语音提示，且具有外接扩音装置功能；</w:t>
            </w:r>
          </w:p>
          <w:p w14:paraId="6EA86B06">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7.主机具有自评分和统计功能，APP能实时显示成绩</w:t>
            </w:r>
            <w:r>
              <w:rPr>
                <w:rFonts w:hint="eastAsia" w:ascii="宋体" w:hAnsi="宋体" w:eastAsia="宋体" w:cs="宋体"/>
                <w:color w:val="000000"/>
                <w:kern w:val="0"/>
                <w:sz w:val="21"/>
                <w:szCs w:val="21"/>
                <w:lang w:eastAsia="zh-CN"/>
              </w:rPr>
              <w:t>；</w:t>
            </w:r>
          </w:p>
          <w:p w14:paraId="58B2BB42">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8.主机可外接摄像头，对学生的整个测试过程进行录像及存储，测试开始启动录像、测试结束自动停止录像，节省大量主机存储空间，同时可以通过学号调用视频进行仲裁；</w:t>
            </w:r>
          </w:p>
          <w:p w14:paraId="25A741AC">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9.主机可WiFi、4G或5G通讯连接网络将测试数据实时传输到云服务器或本地服务器</w:t>
            </w:r>
            <w:r>
              <w:rPr>
                <w:rFonts w:hint="eastAsia" w:ascii="宋体" w:hAnsi="宋体" w:eastAsia="宋体" w:cs="宋体"/>
                <w:color w:val="000000"/>
                <w:kern w:val="0"/>
                <w:sz w:val="21"/>
                <w:szCs w:val="21"/>
                <w:lang w:eastAsia="zh-CN"/>
              </w:rPr>
              <w:t>；</w:t>
            </w:r>
          </w:p>
          <w:p w14:paraId="6BADA5B8">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主机具有3个USB标准接口、1个MicroUSB、1个ETH、1个HDMI、1个TF卡座、1个SIM卡座等多个接口，以备设备扩展多用途使用，可通过USB接口直接导入考生名单或将考生名单直接下载至主机内，也可直接导出测试成绩至U盘自动生成Excel表格；</w:t>
            </w:r>
          </w:p>
          <w:p w14:paraId="6AFCA022">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11.当主机配有打印机时，可实时打印测试者成绩；</w:t>
            </w:r>
          </w:p>
          <w:p w14:paraId="7D7E7C7A">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12.主机内置本项目所有测试项目，主机可互用；</w:t>
            </w:r>
          </w:p>
          <w:p w14:paraId="5F51665C">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13.主机与外设采用无线连接；</w:t>
            </w:r>
          </w:p>
          <w:p w14:paraId="57796B0B">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14. 外设采用激光测距技术精准测量肢体前屈距离，滑板可自动归零，并且可以智能判断单手触及滑板的犯规动作、使滑板无法前行；坐垫为全金属可折叠支架,方便耐用；</w:t>
            </w:r>
            <w:r>
              <w:rPr>
                <w:rFonts w:hint="eastAsia" w:ascii="宋体" w:hAnsi="宋体" w:eastAsia="宋体" w:cs="宋体"/>
                <w:color w:val="000000"/>
                <w:kern w:val="0"/>
                <w:sz w:val="21"/>
                <w:szCs w:val="21"/>
                <w:highlight w:val="none"/>
                <w:lang w:val="en-US" w:eastAsia="zh-CN"/>
              </w:rPr>
              <w:t>外设可单独使用。</w:t>
            </w:r>
          </w:p>
          <w:p w14:paraId="2DB051B9">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15. 量程：-20-40cm   分度值: 0.1cm   误差:±0.1cm</w:t>
            </w:r>
          </w:p>
          <w:p w14:paraId="7AB443BC">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rPr>
              <w:t>★</w:t>
            </w:r>
            <w:r>
              <w:rPr>
                <w:rFonts w:hint="eastAsia" w:ascii="宋体" w:hAnsi="宋体" w:eastAsia="宋体" w:cs="宋体"/>
                <w:kern w:val="0"/>
                <w:sz w:val="21"/>
                <w:szCs w:val="21"/>
                <w:highlight w:val="none"/>
              </w:rPr>
              <w:t>产品</w:t>
            </w:r>
            <w:r>
              <w:rPr>
                <w:rFonts w:hint="eastAsia" w:cs="宋体"/>
                <w:kern w:val="0"/>
                <w:sz w:val="21"/>
                <w:szCs w:val="21"/>
                <w:highlight w:val="none"/>
                <w:lang w:eastAsia="zh-CN"/>
              </w:rPr>
              <w:t>已投保</w:t>
            </w:r>
            <w:r>
              <w:rPr>
                <w:rFonts w:hint="eastAsia" w:ascii="宋体" w:hAnsi="宋体" w:eastAsia="宋体" w:cs="宋体"/>
                <w:kern w:val="0"/>
                <w:sz w:val="21"/>
                <w:szCs w:val="21"/>
                <w:highlight w:val="none"/>
              </w:rPr>
              <w:t>产品责任险，提供保单复印件。</w:t>
            </w:r>
          </w:p>
          <w:p w14:paraId="3E6AD1C3">
            <w:pPr>
              <w:pStyle w:val="8"/>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eastAsia"/>
              </w:rPr>
            </w:pPr>
            <w:r>
              <w:rPr>
                <w:rFonts w:hint="eastAsia" w:ascii="宋体" w:hAnsi="宋体" w:eastAsia="宋体" w:cs="宋体"/>
                <w:color w:val="000000"/>
                <w:kern w:val="0"/>
                <w:sz w:val="21"/>
                <w:szCs w:val="21"/>
                <w:highlight w:val="none"/>
                <w:lang w:bidi="ar"/>
              </w:rPr>
              <w:t>★</w:t>
            </w:r>
            <w:r>
              <w:rPr>
                <w:rFonts w:hint="eastAsia" w:ascii="宋体" w:hAnsi="宋体" w:eastAsia="宋体" w:cs="宋体"/>
                <w:b w:val="0"/>
                <w:bCs/>
                <w:color w:val="auto"/>
                <w:sz w:val="21"/>
                <w:szCs w:val="21"/>
                <w:highlight w:val="none"/>
                <w:lang w:eastAsia="zh-CN"/>
              </w:rPr>
              <w:t>须</w:t>
            </w:r>
            <w:r>
              <w:rPr>
                <w:rFonts w:hint="eastAsia" w:ascii="宋体" w:hAnsi="宋体" w:eastAsia="宋体" w:cs="宋体"/>
                <w:b w:val="0"/>
                <w:bCs/>
                <w:color w:val="auto"/>
                <w:sz w:val="21"/>
                <w:szCs w:val="21"/>
                <w:highlight w:val="none"/>
              </w:rPr>
              <w:t>承诺中标后提供由</w:t>
            </w:r>
            <w:r>
              <w:rPr>
                <w:rFonts w:hint="eastAsia" w:ascii="宋体" w:hAnsi="宋体" w:eastAsia="宋体" w:cs="宋体"/>
                <w:kern w:val="0"/>
                <w:sz w:val="21"/>
                <w:szCs w:val="21"/>
                <w:highlight w:val="none"/>
              </w:rPr>
              <w:t>国家体育用品质量监督检验中心</w:t>
            </w:r>
            <w:r>
              <w:rPr>
                <w:rFonts w:hint="eastAsia" w:cs="宋体"/>
                <w:kern w:val="0"/>
                <w:sz w:val="21"/>
                <w:szCs w:val="21"/>
                <w:highlight w:val="none"/>
                <w:lang w:eastAsia="zh-CN"/>
              </w:rPr>
              <w:t>出具的产品检测报告，</w:t>
            </w:r>
            <w:r>
              <w:rPr>
                <w:rFonts w:hint="eastAsia" w:ascii="宋体" w:hAnsi="宋体" w:eastAsia="宋体" w:cs="宋体"/>
                <w:b w:val="0"/>
                <w:bCs/>
                <w:color w:val="auto"/>
                <w:sz w:val="21"/>
                <w:szCs w:val="21"/>
                <w:highlight w:val="none"/>
              </w:rPr>
              <w:t>报告中的检测依据及各项检测指标应符合以上参数要求</w:t>
            </w:r>
            <w:r>
              <w:rPr>
                <w:rFonts w:hint="eastAsia" w:cs="宋体"/>
                <w:color w:val="000000"/>
                <w:kern w:val="0"/>
                <w:sz w:val="21"/>
                <w:szCs w:val="21"/>
                <w:highlight w:val="none"/>
                <w:lang w:eastAsia="zh-CN" w:bidi="ar"/>
              </w:rPr>
              <w:t>。</w:t>
            </w:r>
          </w:p>
        </w:tc>
      </w:tr>
      <w:tr w14:paraId="7B3022E5">
        <w:tblPrEx>
          <w:tblCellMar>
            <w:top w:w="0" w:type="dxa"/>
            <w:left w:w="108" w:type="dxa"/>
            <w:bottom w:w="0" w:type="dxa"/>
            <w:right w:w="108" w:type="dxa"/>
          </w:tblCellMar>
        </w:tblPrEx>
        <w:trPr>
          <w:trHeight w:val="9048" w:hRule="atLeast"/>
        </w:trPr>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185F45">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w:t>
            </w: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14:paraId="03B41D61">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color w:val="000000"/>
                <w:kern w:val="0"/>
                <w:sz w:val="21"/>
                <w:szCs w:val="21"/>
                <w:lang w:bidi="ar"/>
              </w:rPr>
              <w:t>仰卧起坐测试仪</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14:paraId="4A60FE44">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color w:val="000000"/>
                <w:kern w:val="0"/>
                <w:sz w:val="21"/>
                <w:szCs w:val="21"/>
                <w:lang w:bidi="ar"/>
              </w:rPr>
              <w:t>台</w:t>
            </w:r>
          </w:p>
        </w:tc>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0324D1">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bidi="ar"/>
              </w:rPr>
              <w:t>4</w:t>
            </w:r>
          </w:p>
        </w:tc>
        <w:tc>
          <w:tcPr>
            <w:tcW w:w="109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621570">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1.主机立柱采用防潮立式箱体结构，高度≥105cm；</w:t>
            </w:r>
          </w:p>
          <w:p w14:paraId="5F64C38E">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2.主机为工业级工控机，金属外壳牢固耐用不怕摔，采用10寸以上彩色中文全视角液晶显示屏和电容触摸屏，分辨率800×1280，四核1.6Ghz处理器，运行2.0GB内存以上，主机使用Android或Windows操作系统。</w:t>
            </w:r>
          </w:p>
          <w:p w14:paraId="7C438735">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3.主机内置存储16G容量以上，最少可储存100万条以上测试数据，可根据用户需求配置更大内存卡增加存储空间。</w:t>
            </w:r>
          </w:p>
          <w:p w14:paraId="510421D9">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4.主机可显示学生年级、班级、姓名、性别、编号、照片、测试时间和测试结果等。</w:t>
            </w:r>
          </w:p>
          <w:p w14:paraId="6043A04D">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主机可通过按键输入考生编号（准考证号、身份证号），支持提前批量导入学生信息，也可身份证读卡、及人脸识别等多种身份识别方式，同时学生编号具有自动递增功能；</w:t>
            </w:r>
          </w:p>
          <w:p w14:paraId="404AFAA4">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6.全程语音提示，且具有外接扩音装置功能；</w:t>
            </w:r>
          </w:p>
          <w:p w14:paraId="66BDFED1">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7.主机具有自评分和统计功能，APP能实时显示成绩</w:t>
            </w:r>
            <w:r>
              <w:rPr>
                <w:rFonts w:hint="eastAsia" w:ascii="宋体" w:hAnsi="宋体" w:eastAsia="宋体" w:cs="宋体"/>
                <w:color w:val="000000"/>
                <w:kern w:val="0"/>
                <w:sz w:val="21"/>
                <w:szCs w:val="21"/>
                <w:lang w:eastAsia="zh-CN"/>
              </w:rPr>
              <w:t>；</w:t>
            </w:r>
          </w:p>
          <w:p w14:paraId="3C1DFE10">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8.主机可外接摄像头，对学生的整个测试过程进行录像及存储，测试开始启动录像、测试结束自动停止录像，节省大量主机存储空间，同时可以通过学号调用视频进行仲裁；</w:t>
            </w:r>
          </w:p>
          <w:p w14:paraId="76A7BBD0">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9.主机可WiFi、4G或5G通讯连接网络将测试数据实时传输到云服务器或本地服务器</w:t>
            </w:r>
            <w:r>
              <w:rPr>
                <w:rFonts w:hint="eastAsia" w:ascii="宋体" w:hAnsi="宋体" w:eastAsia="宋体" w:cs="宋体"/>
                <w:color w:val="000000"/>
                <w:kern w:val="0"/>
                <w:sz w:val="21"/>
                <w:szCs w:val="21"/>
                <w:lang w:eastAsia="zh-CN"/>
              </w:rPr>
              <w:t>；</w:t>
            </w:r>
          </w:p>
          <w:p w14:paraId="1AEE6313">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主机具有3个USB标准接口、1个MicroUSB、1个ETH、1个HDMI、1个TF卡座、1个SIM卡座等多个接口，以备设备扩展多用途使用，可通过USB接口直接导入考生名单或将考生名单直接下载至主机内，也可直接导出测试成绩至U盘自动生成Excel表格；</w:t>
            </w:r>
          </w:p>
          <w:p w14:paraId="1661E8E8">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11.当主机配有打印机时，可实时打印测试者成绩；</w:t>
            </w:r>
          </w:p>
          <w:p w14:paraId="1A522DAE">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12.主机内置本项目所有测试项目，主机可互用；</w:t>
            </w:r>
          </w:p>
          <w:p w14:paraId="05CADFCD">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13.主机与外设采用无线连接；</w:t>
            </w:r>
          </w:p>
          <w:p w14:paraId="5B3EAC81">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采用对射红外线光电感应装置设计,准确测定每次动作的完整性并记录次数，测试者不需佩戴任何测试设备（如腰带等），通过人体的平躺和坐起的两个位置进行计数，躺下后肩部与床体平行，坐起后肘部碰到膝盖方为有效，测试数据无线传输到主机并播报成绩。光电感应装置可根据测试者不同身高前后调节；</w:t>
            </w:r>
          </w:p>
          <w:p w14:paraId="7C99BEA3">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15.量程：0-9999次  分度值: 1次  误差:±1次    计时：60s  计时误差：±0.1s</w:t>
            </w:r>
          </w:p>
          <w:p w14:paraId="0E0D75BF">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cs="宋体"/>
                <w:color w:val="000000"/>
                <w:kern w:val="0"/>
                <w:sz w:val="21"/>
                <w:szCs w:val="21"/>
                <w:lang w:val="en-US" w:eastAsia="zh-CN"/>
              </w:rPr>
              <w:t>16</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配套仰卧起坐床体</w:t>
            </w:r>
            <w:r>
              <w:rPr>
                <w:rFonts w:hint="eastAsia" w:ascii="宋体" w:hAnsi="宋体" w:eastAsia="宋体" w:cs="宋体"/>
                <w:color w:val="000000"/>
                <w:kern w:val="0"/>
                <w:sz w:val="21"/>
                <w:szCs w:val="21"/>
              </w:rPr>
              <w:t>。</w:t>
            </w:r>
          </w:p>
          <w:p w14:paraId="737F3234">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cs="宋体"/>
                <w:color w:val="000000"/>
                <w:kern w:val="0"/>
                <w:sz w:val="21"/>
                <w:szCs w:val="21"/>
                <w:highlight w:val="none"/>
                <w:lang w:val="en-US" w:eastAsia="zh-CN"/>
              </w:rPr>
              <w:t>17.</w:t>
            </w:r>
            <w:r>
              <w:rPr>
                <w:rFonts w:hint="eastAsia" w:ascii="宋体" w:hAnsi="宋体" w:eastAsia="宋体" w:cs="宋体"/>
                <w:color w:val="000000"/>
                <w:kern w:val="0"/>
                <w:sz w:val="21"/>
                <w:szCs w:val="21"/>
                <w:highlight w:val="none"/>
                <w:lang w:val="en-US" w:eastAsia="zh-CN"/>
              </w:rPr>
              <w:t>床体</w:t>
            </w:r>
            <w:r>
              <w:rPr>
                <w:rFonts w:hint="eastAsia" w:ascii="宋体" w:hAnsi="宋体" w:eastAsia="宋体" w:cs="宋体"/>
                <w:color w:val="000000"/>
                <w:kern w:val="0"/>
                <w:sz w:val="21"/>
                <w:szCs w:val="21"/>
                <w:highlight w:val="none"/>
              </w:rPr>
              <w:t>尺寸：（长</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color w:val="000000"/>
                <w:kern w:val="0"/>
                <w:sz w:val="21"/>
                <w:szCs w:val="21"/>
                <w:highlight w:val="none"/>
              </w:rPr>
              <w:t>宽）</w:t>
            </w:r>
            <w:r>
              <w:rPr>
                <w:rFonts w:hint="eastAsia" w:ascii="宋体" w:hAnsi="宋体" w:eastAsia="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rPr>
              <w:t>1</w:t>
            </w:r>
            <w:r>
              <w:rPr>
                <w:rFonts w:hint="eastAsia" w:ascii="宋体" w:hAnsi="宋体" w:eastAsia="宋体" w:cs="宋体"/>
                <w:color w:val="000000"/>
                <w:kern w:val="0"/>
                <w:sz w:val="21"/>
                <w:szCs w:val="21"/>
                <w:highlight w:val="none"/>
                <w:lang w:val="en-US" w:eastAsia="zh-CN"/>
              </w:rPr>
              <w:t>60</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color w:val="000000"/>
                <w:kern w:val="0"/>
                <w:sz w:val="21"/>
                <w:szCs w:val="21"/>
                <w:highlight w:val="none"/>
                <w:lang w:val="en-US" w:eastAsia="zh-CN"/>
              </w:rPr>
              <w:t>55</w:t>
            </w:r>
            <w:r>
              <w:rPr>
                <w:rFonts w:hint="eastAsia" w:ascii="宋体" w:hAnsi="宋体" w:eastAsia="宋体" w:cs="宋体"/>
                <w:color w:val="000000"/>
                <w:kern w:val="0"/>
                <w:sz w:val="21"/>
                <w:szCs w:val="21"/>
                <w:highlight w:val="none"/>
              </w:rPr>
              <w:t>cm</w:t>
            </w:r>
          </w:p>
          <w:p w14:paraId="708284B3">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rPr>
              <w:t>★</w:t>
            </w:r>
            <w:r>
              <w:rPr>
                <w:rFonts w:hint="eastAsia" w:ascii="宋体" w:hAnsi="宋体" w:eastAsia="宋体" w:cs="宋体"/>
                <w:kern w:val="0"/>
                <w:sz w:val="21"/>
                <w:szCs w:val="21"/>
                <w:highlight w:val="none"/>
              </w:rPr>
              <w:t>产品</w:t>
            </w:r>
            <w:r>
              <w:rPr>
                <w:rFonts w:hint="eastAsia" w:cs="宋体"/>
                <w:kern w:val="0"/>
                <w:sz w:val="21"/>
                <w:szCs w:val="21"/>
                <w:highlight w:val="none"/>
                <w:lang w:eastAsia="zh-CN"/>
              </w:rPr>
              <w:t>已投保</w:t>
            </w:r>
            <w:r>
              <w:rPr>
                <w:rFonts w:hint="eastAsia" w:ascii="宋体" w:hAnsi="宋体" w:eastAsia="宋体" w:cs="宋体"/>
                <w:kern w:val="0"/>
                <w:sz w:val="21"/>
                <w:szCs w:val="21"/>
                <w:highlight w:val="none"/>
              </w:rPr>
              <w:t>产品责任险，提供保单复印件。</w:t>
            </w:r>
          </w:p>
          <w:p w14:paraId="0BF7BDB9">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highlight w:val="none"/>
                <w:lang w:bidi="ar"/>
              </w:rPr>
              <w:t>★</w:t>
            </w:r>
            <w:r>
              <w:rPr>
                <w:rFonts w:hint="eastAsia" w:ascii="宋体" w:hAnsi="宋体" w:eastAsia="宋体" w:cs="宋体"/>
                <w:b w:val="0"/>
                <w:bCs/>
                <w:color w:val="auto"/>
                <w:sz w:val="21"/>
                <w:szCs w:val="21"/>
                <w:highlight w:val="none"/>
                <w:lang w:eastAsia="zh-CN"/>
              </w:rPr>
              <w:t>须</w:t>
            </w:r>
            <w:r>
              <w:rPr>
                <w:rFonts w:hint="eastAsia" w:ascii="宋体" w:hAnsi="宋体" w:eastAsia="宋体" w:cs="宋体"/>
                <w:b w:val="0"/>
                <w:bCs/>
                <w:color w:val="auto"/>
                <w:sz w:val="21"/>
                <w:szCs w:val="21"/>
                <w:highlight w:val="none"/>
              </w:rPr>
              <w:t>承诺中标后提供由</w:t>
            </w:r>
            <w:r>
              <w:rPr>
                <w:rFonts w:hint="eastAsia" w:ascii="宋体" w:hAnsi="宋体" w:eastAsia="宋体" w:cs="宋体"/>
                <w:kern w:val="0"/>
                <w:sz w:val="21"/>
                <w:szCs w:val="21"/>
                <w:highlight w:val="none"/>
              </w:rPr>
              <w:t>国家体育用品质量监督检验中心</w:t>
            </w:r>
            <w:r>
              <w:rPr>
                <w:rFonts w:hint="eastAsia" w:cs="宋体"/>
                <w:kern w:val="0"/>
                <w:sz w:val="21"/>
                <w:szCs w:val="21"/>
                <w:highlight w:val="none"/>
                <w:lang w:eastAsia="zh-CN"/>
              </w:rPr>
              <w:t>出具的产品检测报告，</w:t>
            </w:r>
            <w:r>
              <w:rPr>
                <w:rFonts w:hint="eastAsia" w:ascii="宋体" w:hAnsi="宋体" w:eastAsia="宋体" w:cs="宋体"/>
                <w:b w:val="0"/>
                <w:bCs/>
                <w:color w:val="auto"/>
                <w:sz w:val="21"/>
                <w:szCs w:val="21"/>
                <w:highlight w:val="none"/>
              </w:rPr>
              <w:t>报告中的检测依据及各项检测指标应符合以上参数要求</w:t>
            </w:r>
            <w:r>
              <w:rPr>
                <w:rFonts w:hint="eastAsia" w:cs="宋体"/>
                <w:color w:val="000000"/>
                <w:kern w:val="0"/>
                <w:sz w:val="21"/>
                <w:szCs w:val="21"/>
                <w:highlight w:val="none"/>
                <w:lang w:eastAsia="zh-CN" w:bidi="ar"/>
              </w:rPr>
              <w:t>。</w:t>
            </w:r>
          </w:p>
        </w:tc>
      </w:tr>
      <w:tr w14:paraId="7D91F8CD">
        <w:tblPrEx>
          <w:tblCellMar>
            <w:top w:w="0" w:type="dxa"/>
            <w:left w:w="108" w:type="dxa"/>
            <w:bottom w:w="0" w:type="dxa"/>
            <w:right w:w="108" w:type="dxa"/>
          </w:tblCellMar>
        </w:tblPrEx>
        <w:trPr>
          <w:trHeight w:val="8894" w:hRule="atLeast"/>
        </w:trPr>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EE7D5B">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w:t>
            </w: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14:paraId="0B23DB64">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rPr>
            </w:pPr>
            <w:r>
              <w:rPr>
                <w:rFonts w:hint="eastAsia" w:ascii="宋体" w:hAnsi="宋体" w:eastAsia="宋体" w:cs="宋体"/>
                <w:b/>
                <w:bCs/>
                <w:color w:val="000000"/>
                <w:kern w:val="0"/>
                <w:sz w:val="21"/>
                <w:szCs w:val="21"/>
                <w:lang w:bidi="ar"/>
              </w:rPr>
              <w:t>立定跳远测试仪</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14:paraId="6A41CA13">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color w:val="000000"/>
                <w:kern w:val="0"/>
                <w:sz w:val="21"/>
                <w:szCs w:val="21"/>
                <w:lang w:bidi="ar"/>
              </w:rPr>
              <w:t>台</w:t>
            </w:r>
          </w:p>
        </w:tc>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D8EA17">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bidi="ar"/>
              </w:rPr>
              <w:t>4</w:t>
            </w:r>
          </w:p>
        </w:tc>
        <w:tc>
          <w:tcPr>
            <w:tcW w:w="109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47EF32">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1.主机立柱采用防潮立式箱体结构，高度≥105cm；</w:t>
            </w:r>
          </w:p>
          <w:p w14:paraId="78BDE423">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2.主机为工业级工控机，金属外壳牢固耐用不怕摔，采用10寸以上彩色中文全视角液晶显示屏和电容触摸屏，分辨率800×1280，四核1.6Ghz处理器，运行2.0GB内存以上，主机使用Android或Windows操作系统。</w:t>
            </w:r>
          </w:p>
          <w:p w14:paraId="32225E58">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3.主机内置存储16G容量以上，最少可储存100万条以上测试数据，可根据用户需求配置更大内存卡增加存储空间。</w:t>
            </w:r>
          </w:p>
          <w:p w14:paraId="37BDCA6E">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4.主机可显示学生年级、班级、姓名、性别、编号、照片、测试时间和测试结果等。</w:t>
            </w:r>
          </w:p>
          <w:p w14:paraId="5B6191B4">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主机可通过按键输入考生编号（准考证号、身份证号），支持提前批量导入学生信息，也可身份证读卡、及人脸识别等多种身份识别方式，同时学生编号具有自动递增功能；</w:t>
            </w:r>
          </w:p>
          <w:p w14:paraId="7C72E9D9">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6.全程语音提示，且具有外接扩音装置功能；</w:t>
            </w:r>
          </w:p>
          <w:p w14:paraId="4D3AA71C">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7.主机具有自评分和统计功能，APP能实时显示成绩</w:t>
            </w:r>
            <w:r>
              <w:rPr>
                <w:rFonts w:hint="eastAsia" w:ascii="宋体" w:hAnsi="宋体" w:eastAsia="宋体" w:cs="宋体"/>
                <w:color w:val="000000"/>
                <w:kern w:val="0"/>
                <w:sz w:val="21"/>
                <w:szCs w:val="21"/>
                <w:lang w:eastAsia="zh-CN"/>
              </w:rPr>
              <w:t>；</w:t>
            </w:r>
          </w:p>
          <w:p w14:paraId="6F614334">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8.主机可外接摄像头，对学生的整个测试过程进行录像及存储，测试开始启动录像、测试结束自动停止录像，节省大量主机存储空间，同时可以通过学号调用视频进行仲裁；</w:t>
            </w:r>
          </w:p>
          <w:p w14:paraId="609D9809">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9.主机可WiFi、4G或5G通讯连接网络将测试数据实时传输到云服务器或本地服务器</w:t>
            </w:r>
            <w:r>
              <w:rPr>
                <w:rFonts w:hint="eastAsia" w:ascii="宋体" w:hAnsi="宋体" w:eastAsia="宋体" w:cs="宋体"/>
                <w:color w:val="000000"/>
                <w:kern w:val="0"/>
                <w:sz w:val="21"/>
                <w:szCs w:val="21"/>
                <w:lang w:eastAsia="zh-CN"/>
              </w:rPr>
              <w:t>；</w:t>
            </w:r>
          </w:p>
          <w:p w14:paraId="3D278BA9">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主机具有3个USB标准接口、1个MicroUSB、1个ETH、1个HDMI、1个TF卡座、1个SIM卡座等多个接口，以备设备扩展多用途使用，可通过USB接口直接导入考生名单或将考生名单直接下载至主机内，也可直接导出测试成绩至U盘自动生成Excel表格；</w:t>
            </w:r>
          </w:p>
          <w:p w14:paraId="372C1740">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11.当主机配有打印机时，可实时打印测试者成绩；</w:t>
            </w:r>
          </w:p>
          <w:p w14:paraId="2D7DDEAD">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12.主机内置本项目所有测试项目，主机可互用；</w:t>
            </w:r>
          </w:p>
          <w:p w14:paraId="1FB1F8DD">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13.主机与外设采用无线连接；</w:t>
            </w:r>
          </w:p>
          <w:p w14:paraId="0A2DE498">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★14.外设采用光电传感技术设计，精度高，单一起跳线真全量程测试（0-320cm），无测试盲区</w:t>
            </w:r>
            <w:r>
              <w:rPr>
                <w:rFonts w:hint="eastAsia" w:ascii="宋体" w:hAnsi="宋体" w:eastAsia="宋体" w:cs="宋体"/>
                <w:color w:val="000000"/>
                <w:kern w:val="0"/>
                <w:sz w:val="21"/>
                <w:szCs w:val="21"/>
                <w:highlight w:val="none"/>
              </w:rPr>
              <w:t>（投标文件中提供起跳端0-1m的上盖打开的电路板光电管实物照片佐证）</w:t>
            </w:r>
            <w:r>
              <w:rPr>
                <w:rFonts w:hint="eastAsia" w:ascii="宋体" w:hAnsi="宋体" w:eastAsia="宋体" w:cs="宋体"/>
                <w:color w:val="000000"/>
                <w:kern w:val="0"/>
                <w:sz w:val="21"/>
                <w:szCs w:val="21"/>
              </w:rPr>
              <w:t>，能智能判断最后落点；光电杆采用USB口插拔式设计，方便安装、拆卸和运输；</w:t>
            </w:r>
          </w:p>
          <w:p w14:paraId="6D5BFABF">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15.有踩线犯规语音提示及外接屏犯规状态显示；</w:t>
            </w:r>
          </w:p>
          <w:p w14:paraId="3AF7F65B">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16.可在强阳光下、强紫外线及室外38度以上高温、地面温度高达70度以上环境条件下可以正常进行测试。</w:t>
            </w:r>
          </w:p>
          <w:p w14:paraId="0D5B571E">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r>
              <w:rPr>
                <w:rFonts w:hint="eastAsia" w:ascii="宋体" w:hAnsi="宋体" w:eastAsia="宋体" w:cs="宋体"/>
                <w:color w:val="000000"/>
                <w:kern w:val="0"/>
                <w:sz w:val="21"/>
                <w:szCs w:val="21"/>
                <w:lang w:val="en-US" w:eastAsia="zh-CN"/>
              </w:rPr>
              <w:t>7</w:t>
            </w:r>
            <w:r>
              <w:rPr>
                <w:rFonts w:hint="eastAsia" w:ascii="宋体" w:hAnsi="宋体" w:eastAsia="宋体" w:cs="宋体"/>
                <w:color w:val="000000"/>
                <w:kern w:val="0"/>
                <w:sz w:val="21"/>
                <w:szCs w:val="21"/>
              </w:rPr>
              <w:t>.量程：0-320cm  分度值: 1cm  误差:±1cm</w:t>
            </w:r>
          </w:p>
          <w:p w14:paraId="2C7A500B">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highlight w:val="none"/>
              </w:rPr>
            </w:pPr>
            <w:r>
              <w:rPr>
                <w:rFonts w:hint="eastAsia" w:cs="宋体"/>
                <w:color w:val="000000"/>
                <w:kern w:val="0"/>
                <w:sz w:val="21"/>
                <w:szCs w:val="21"/>
                <w:lang w:val="en-US" w:eastAsia="zh-CN"/>
              </w:rPr>
              <w:t>18</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highlight w:val="none"/>
                <w:lang w:val="en-US" w:eastAsia="zh-CN"/>
              </w:rPr>
              <w:t>立定跳远地垫采用室内橡胶跑道材质</w:t>
            </w:r>
            <w:r>
              <w:rPr>
                <w:rFonts w:hint="eastAsia" w:ascii="宋体" w:hAnsi="宋体" w:eastAsia="宋体" w:cs="宋体"/>
                <w:color w:val="000000"/>
                <w:kern w:val="0"/>
                <w:sz w:val="21"/>
                <w:szCs w:val="21"/>
                <w:highlight w:val="none"/>
              </w:rPr>
              <w:t>。</w:t>
            </w:r>
          </w:p>
          <w:p w14:paraId="798A185E">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highlight w:val="none"/>
              </w:rPr>
            </w:pPr>
            <w:r>
              <w:rPr>
                <w:rFonts w:hint="eastAsia" w:cs="宋体"/>
                <w:color w:val="000000"/>
                <w:kern w:val="0"/>
                <w:sz w:val="21"/>
                <w:szCs w:val="21"/>
                <w:highlight w:val="none"/>
                <w:lang w:val="en-US" w:eastAsia="zh-CN"/>
              </w:rPr>
              <w:t>19.</w:t>
            </w:r>
            <w:r>
              <w:rPr>
                <w:rFonts w:hint="eastAsia" w:ascii="宋体" w:hAnsi="宋体" w:eastAsia="宋体" w:cs="宋体"/>
                <w:color w:val="000000"/>
                <w:kern w:val="0"/>
                <w:sz w:val="21"/>
                <w:szCs w:val="21"/>
                <w:highlight w:val="none"/>
              </w:rPr>
              <w:t>尺寸</w:t>
            </w:r>
            <w:r>
              <w:rPr>
                <w:rFonts w:hint="eastAsia" w:ascii="宋体" w:hAnsi="宋体" w:eastAsia="宋体" w:cs="宋体"/>
                <w:color w:val="000000"/>
                <w:kern w:val="0"/>
                <w:sz w:val="21"/>
                <w:szCs w:val="21"/>
                <w:highlight w:val="none"/>
                <w:lang w:val="en-US" w:eastAsia="zh-CN"/>
              </w:rPr>
              <w:t>(长</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color w:val="000000"/>
                <w:kern w:val="0"/>
                <w:sz w:val="21"/>
                <w:szCs w:val="21"/>
                <w:highlight w:val="none"/>
                <w:lang w:val="en-US" w:eastAsia="zh-CN"/>
              </w:rPr>
              <w:t>宽）</w:t>
            </w:r>
            <w:r>
              <w:rPr>
                <w:rFonts w:hint="eastAsia" w:ascii="宋体" w:hAnsi="宋体" w:eastAsia="宋体" w:cs="宋体"/>
                <w:color w:val="000000"/>
                <w:kern w:val="0"/>
                <w:sz w:val="21"/>
                <w:szCs w:val="21"/>
                <w:highlight w:val="none"/>
              </w:rPr>
              <w:t>：</w:t>
            </w:r>
            <w:r>
              <w:rPr>
                <w:rFonts w:hint="eastAsia" w:ascii="宋体" w:hAnsi="宋体" w:eastAsia="宋体" w:cs="宋体"/>
                <w:color w:val="000000"/>
                <w:kern w:val="0"/>
                <w:sz w:val="21"/>
                <w:szCs w:val="21"/>
                <w:highlight w:val="none"/>
                <w:lang w:val="en-US" w:eastAsia="zh-CN"/>
              </w:rPr>
              <w:t>≥</w:t>
            </w:r>
            <w:r>
              <w:rPr>
                <w:rFonts w:hint="eastAsia" w:ascii="宋体" w:hAnsi="宋体" w:eastAsia="宋体" w:cs="宋体"/>
                <w:color w:val="000000"/>
                <w:kern w:val="0"/>
                <w:sz w:val="21"/>
                <w:szCs w:val="21"/>
                <w:highlight w:val="none"/>
              </w:rPr>
              <w:t>3.</w:t>
            </w:r>
            <w:r>
              <w:rPr>
                <w:rFonts w:hint="eastAsia" w:ascii="宋体" w:hAnsi="宋体" w:eastAsia="宋体" w:cs="宋体"/>
                <w:color w:val="000000"/>
                <w:kern w:val="0"/>
                <w:sz w:val="21"/>
                <w:szCs w:val="21"/>
                <w:highlight w:val="none"/>
                <w:lang w:val="en-US" w:eastAsia="zh-CN"/>
              </w:rPr>
              <w:t>5</w:t>
            </w:r>
            <w:r>
              <w:rPr>
                <w:rFonts w:hint="eastAsia" w:ascii="宋体" w:hAnsi="宋体" w:eastAsia="宋体" w:cs="宋体"/>
                <w:color w:val="000000"/>
                <w:kern w:val="0"/>
                <w:sz w:val="21"/>
                <w:szCs w:val="21"/>
                <w:highlight w:val="none"/>
              </w:rPr>
              <w:t>m</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eastAsia="宋体" w:cs="宋体"/>
                <w:color w:val="000000"/>
                <w:kern w:val="0"/>
                <w:sz w:val="21"/>
                <w:szCs w:val="21"/>
                <w:highlight w:val="none"/>
                <w:lang w:val="en-US" w:eastAsia="zh-CN"/>
              </w:rPr>
              <w:t>1</w:t>
            </w:r>
            <w:r>
              <w:rPr>
                <w:rFonts w:hint="eastAsia" w:ascii="宋体" w:hAnsi="宋体" w:eastAsia="宋体" w:cs="宋体"/>
                <w:color w:val="000000"/>
                <w:kern w:val="0"/>
                <w:sz w:val="21"/>
                <w:szCs w:val="21"/>
                <w:highlight w:val="none"/>
              </w:rPr>
              <w:t>m</w:t>
            </w:r>
          </w:p>
          <w:p w14:paraId="41379A9C">
            <w:pPr>
              <w:pStyle w:val="8"/>
              <w:keepNext w:val="0"/>
              <w:keepLines w:val="0"/>
              <w:pageBreakBefore w:val="0"/>
              <w:kinsoku/>
              <w:wordWrap/>
              <w:overflowPunct/>
              <w:topLinePunct w:val="0"/>
              <w:autoSpaceDE/>
              <w:autoSpaceDN/>
              <w:bidi w:val="0"/>
              <w:adjustRightInd/>
              <w:snapToGrid/>
              <w:spacing w:line="300" w:lineRule="exact"/>
              <w:ind w:left="0" w:leftChars="0" w:firstLine="0" w:firstLineChars="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rPr>
              <w:t>★</w:t>
            </w:r>
            <w:r>
              <w:rPr>
                <w:rFonts w:hint="eastAsia" w:ascii="宋体" w:hAnsi="宋体" w:eastAsia="宋体" w:cs="宋体"/>
                <w:kern w:val="0"/>
                <w:sz w:val="21"/>
                <w:szCs w:val="21"/>
                <w:highlight w:val="none"/>
              </w:rPr>
              <w:t>产品</w:t>
            </w:r>
            <w:r>
              <w:rPr>
                <w:rFonts w:hint="eastAsia" w:cs="宋体"/>
                <w:kern w:val="0"/>
                <w:sz w:val="21"/>
                <w:szCs w:val="21"/>
                <w:highlight w:val="none"/>
                <w:lang w:eastAsia="zh-CN"/>
              </w:rPr>
              <w:t>已投保</w:t>
            </w:r>
            <w:r>
              <w:rPr>
                <w:rFonts w:hint="eastAsia" w:ascii="宋体" w:hAnsi="宋体" w:eastAsia="宋体" w:cs="宋体"/>
                <w:kern w:val="0"/>
                <w:sz w:val="21"/>
                <w:szCs w:val="21"/>
                <w:highlight w:val="none"/>
              </w:rPr>
              <w:t>产品责任险，提供保单复印件。</w:t>
            </w:r>
          </w:p>
          <w:p w14:paraId="0E7400D0">
            <w:pPr>
              <w:keepNext w:val="0"/>
              <w:keepLines w:val="0"/>
              <w:pageBreakBefore w:val="0"/>
              <w:kinsoku/>
              <w:wordWrap/>
              <w:overflowPunct/>
              <w:topLinePunct w:val="0"/>
              <w:autoSpaceDE/>
              <w:autoSpaceDN/>
              <w:bidi w:val="0"/>
              <w:adjustRightInd/>
              <w:snapToGrid/>
              <w:spacing w:line="300" w:lineRule="exact"/>
              <w:ind w:left="0" w:leftChars="0" w:firstLine="0" w:firstLineChars="0"/>
              <w:textAlignment w:val="auto"/>
              <w:rPr>
                <w:rFonts w:hint="eastAsia"/>
              </w:rPr>
            </w:pPr>
            <w:r>
              <w:rPr>
                <w:rFonts w:hint="eastAsia" w:ascii="宋体" w:hAnsi="宋体" w:eastAsia="宋体" w:cs="宋体"/>
                <w:color w:val="000000"/>
                <w:kern w:val="0"/>
                <w:sz w:val="21"/>
                <w:szCs w:val="21"/>
                <w:highlight w:val="none"/>
                <w:lang w:bidi="ar"/>
              </w:rPr>
              <w:t>★</w:t>
            </w:r>
            <w:r>
              <w:rPr>
                <w:rFonts w:hint="eastAsia" w:ascii="宋体" w:hAnsi="宋体" w:eastAsia="宋体" w:cs="宋体"/>
                <w:b w:val="0"/>
                <w:bCs/>
                <w:color w:val="auto"/>
                <w:sz w:val="21"/>
                <w:szCs w:val="21"/>
                <w:highlight w:val="none"/>
                <w:lang w:eastAsia="zh-CN"/>
              </w:rPr>
              <w:t>须</w:t>
            </w:r>
            <w:r>
              <w:rPr>
                <w:rFonts w:hint="eastAsia" w:ascii="宋体" w:hAnsi="宋体" w:eastAsia="宋体" w:cs="宋体"/>
                <w:b w:val="0"/>
                <w:bCs/>
                <w:color w:val="auto"/>
                <w:sz w:val="21"/>
                <w:szCs w:val="21"/>
                <w:highlight w:val="none"/>
              </w:rPr>
              <w:t>承诺中标后提供由</w:t>
            </w:r>
            <w:r>
              <w:rPr>
                <w:rFonts w:hint="eastAsia" w:ascii="宋体" w:hAnsi="宋体" w:eastAsia="宋体" w:cs="宋体"/>
                <w:kern w:val="0"/>
                <w:sz w:val="21"/>
                <w:szCs w:val="21"/>
                <w:highlight w:val="none"/>
              </w:rPr>
              <w:t>国家体育用品质量监督检验中心</w:t>
            </w:r>
            <w:r>
              <w:rPr>
                <w:rFonts w:hint="eastAsia" w:cs="宋体"/>
                <w:kern w:val="0"/>
                <w:sz w:val="21"/>
                <w:szCs w:val="21"/>
                <w:highlight w:val="none"/>
                <w:lang w:eastAsia="zh-CN"/>
              </w:rPr>
              <w:t>出具的产品检测报告，</w:t>
            </w:r>
            <w:r>
              <w:rPr>
                <w:rFonts w:hint="eastAsia" w:ascii="宋体" w:hAnsi="宋体" w:eastAsia="宋体" w:cs="宋体"/>
                <w:b w:val="0"/>
                <w:bCs/>
                <w:color w:val="auto"/>
                <w:sz w:val="21"/>
                <w:szCs w:val="21"/>
                <w:highlight w:val="none"/>
              </w:rPr>
              <w:t>报告中的检测依据及各项检测指标应符合以上参数要求</w:t>
            </w:r>
            <w:r>
              <w:rPr>
                <w:rFonts w:hint="eastAsia" w:cs="宋体"/>
                <w:color w:val="000000"/>
                <w:kern w:val="0"/>
                <w:sz w:val="21"/>
                <w:szCs w:val="21"/>
                <w:highlight w:val="none"/>
                <w:lang w:eastAsia="zh-CN" w:bidi="ar"/>
              </w:rPr>
              <w:t>。</w:t>
            </w:r>
          </w:p>
        </w:tc>
      </w:tr>
      <w:tr w14:paraId="3ECDFA83">
        <w:tblPrEx>
          <w:tblCellMar>
            <w:top w:w="0" w:type="dxa"/>
            <w:left w:w="108" w:type="dxa"/>
            <w:bottom w:w="0" w:type="dxa"/>
            <w:right w:w="108" w:type="dxa"/>
          </w:tblCellMar>
        </w:tblPrEx>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85BC06">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w:t>
            </w: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14:paraId="1C712A61">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rPr>
            </w:pPr>
            <w:r>
              <w:rPr>
                <w:rFonts w:hint="eastAsia" w:ascii="宋体" w:hAnsi="宋体" w:eastAsia="宋体" w:cs="宋体"/>
                <w:b/>
                <w:bCs/>
                <w:color w:val="000000"/>
                <w:kern w:val="0"/>
                <w:sz w:val="21"/>
                <w:szCs w:val="21"/>
                <w:lang w:bidi="ar"/>
              </w:rPr>
              <w:t>引体向上测试仪（人工智能）</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14:paraId="16EC67FF">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color w:val="000000"/>
                <w:kern w:val="0"/>
                <w:sz w:val="21"/>
                <w:szCs w:val="21"/>
                <w:lang w:bidi="ar"/>
              </w:rPr>
              <w:t>台</w:t>
            </w:r>
          </w:p>
        </w:tc>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83E2F3">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bidi="ar"/>
              </w:rPr>
              <w:t>4</w:t>
            </w:r>
          </w:p>
        </w:tc>
        <w:tc>
          <w:tcPr>
            <w:tcW w:w="109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7C8FA4">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1.主机立柱采用防潮立式箱体结构，高度≥105cm；</w:t>
            </w:r>
          </w:p>
          <w:p w14:paraId="5C35A572">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2.主机为工业级工控机，金属外壳牢固耐用不怕摔，采用10寸以上彩色中文全视角液晶显示屏和电容触摸屏，分辨率800×1280，四核1.6Ghz处理器，运行2.0GB内存以上，主机使用Android或Windows操作系统。</w:t>
            </w:r>
          </w:p>
          <w:p w14:paraId="03123F57">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3.主机内置存储16G容量以上，最少可储存100万条以上测试数据，可根据用户需求配置更大内存卡增加存储空间。</w:t>
            </w:r>
          </w:p>
          <w:p w14:paraId="38E62686">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4.主机可显示学生年级、班级、姓名、性别、编号、照片、测试时间和测试结果等。</w:t>
            </w:r>
          </w:p>
          <w:p w14:paraId="186B6730">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主机可通过按键输入考生编号（准考证号、身份证号），支持提前批量导入学生信息，也可身份证读卡、及人脸识别等多种身份识别方式，同时学生编号具有自动递增功能；</w:t>
            </w:r>
          </w:p>
          <w:p w14:paraId="0F7D1E2A">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6.全程语音提示，且具有外接扩音装置功能；</w:t>
            </w:r>
          </w:p>
          <w:p w14:paraId="6A272D09">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7.主机具有自评分和统计功能，APP能实时显示成绩</w:t>
            </w:r>
            <w:r>
              <w:rPr>
                <w:rFonts w:hint="eastAsia" w:ascii="宋体" w:hAnsi="宋体" w:eastAsia="宋体" w:cs="宋体"/>
                <w:color w:val="000000"/>
                <w:kern w:val="0"/>
                <w:sz w:val="21"/>
                <w:szCs w:val="21"/>
                <w:lang w:eastAsia="zh-CN"/>
              </w:rPr>
              <w:t>；</w:t>
            </w:r>
          </w:p>
          <w:p w14:paraId="14224161">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8.主机可外接摄像头，对学生的整个测试过程进行录像及存储，测试开始启动录像、测试结束自动停止录像，节省大量主机存储空间，同时可以通过学号调用视频进行仲裁；</w:t>
            </w:r>
          </w:p>
          <w:p w14:paraId="73CFDD2F">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9.主机可WiFi、4G或5G通讯连接网络将测试数据实时传输到云服务器或本地服务器</w:t>
            </w:r>
            <w:r>
              <w:rPr>
                <w:rFonts w:hint="eastAsia" w:ascii="宋体" w:hAnsi="宋体" w:eastAsia="宋体" w:cs="宋体"/>
                <w:color w:val="000000"/>
                <w:kern w:val="0"/>
                <w:sz w:val="21"/>
                <w:szCs w:val="21"/>
                <w:lang w:eastAsia="zh-CN"/>
              </w:rPr>
              <w:t>；</w:t>
            </w:r>
          </w:p>
          <w:p w14:paraId="7F3A50DB">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主机具有3个USB标准接口、1个MicroUSB、1个ETH、1个HDMI、1个TF卡座、1个SIM卡座等多个接口，以备设备扩展多用途使用，可通过USB接口直接导入考生名单或将考生名单直接下载至主机内，也可直接导出测试成绩至U盘自动生成Excel表格；</w:t>
            </w:r>
          </w:p>
          <w:p w14:paraId="0461C8B7">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11.当主机配有打印机时，可实时打印测试者成绩；</w:t>
            </w:r>
          </w:p>
          <w:p w14:paraId="3332A7EC">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12.主机内置本项目所有测试项目，主机可互用；</w:t>
            </w:r>
          </w:p>
          <w:p w14:paraId="0B963028">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13.主机与外设采用无线连接；</w:t>
            </w:r>
          </w:p>
          <w:p w14:paraId="079C6F2F">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外设采用人工智能3D成像技术设计，三维摄像头内置传感器获取运动图像，通过对学生骨骼关节点的提取和跟踪、识别运动姿态建立人体骨骼跟踪模型，从而准确判断下颌过杠、双臂伸直、双腿状态和脚下有无支撑物等，精准判断有效引体向上次数，自动提示无效动作；主控箱的屏幕可实时显示人体关节点和实时测试图像，并智能判断相邻2次间的10秒时限要求；</w:t>
            </w:r>
          </w:p>
          <w:p w14:paraId="58BEA16C">
            <w:pPr>
              <w:pStyle w:val="165"/>
              <w:keepNext w:val="0"/>
              <w:keepLines w:val="0"/>
              <w:pageBreakBefore w:val="0"/>
              <w:widowControl/>
              <w:kinsoku/>
              <w:wordWrap/>
              <w:overflowPunct/>
              <w:topLinePunct w:val="0"/>
              <w:autoSpaceDE/>
              <w:autoSpaceDN/>
              <w:bidi w:val="0"/>
              <w:adjustRightInd/>
              <w:snapToGrid/>
              <w:spacing w:line="300" w:lineRule="exact"/>
              <w:ind w:firstLine="0" w:firstLineChars="0"/>
              <w:jc w:val="left"/>
              <w:textAlignment w:val="auto"/>
              <w:rPr>
                <w:rFonts w:hint="eastAsia" w:ascii="宋体" w:hAnsi="宋体" w:eastAsia="宋体" w:cs="宋体"/>
                <w:kern w:val="0"/>
                <w:sz w:val="21"/>
                <w:szCs w:val="21"/>
              </w:rPr>
            </w:pPr>
            <w:r>
              <w:rPr>
                <w:rFonts w:hint="eastAsia" w:ascii="宋体" w:hAnsi="宋体" w:eastAsia="宋体" w:cs="宋体"/>
                <w:color w:val="000000"/>
                <w:kern w:val="0"/>
                <w:sz w:val="21"/>
                <w:szCs w:val="21"/>
              </w:rPr>
              <w:t>★15.采用可判断深度的三维摄像头（非普通监控摄像头）、真实感知三维环境，无需校准即可直接提供准确三维环境坐标及人物身体尺寸；投标文件中必须提供三维摄像头的照片，照片可显示彩色摄像头、左右两个摄像头和两个激光发射器照片并文字标注</w:t>
            </w:r>
            <w:r>
              <w:rPr>
                <w:rFonts w:hint="eastAsia" w:ascii="宋体" w:hAnsi="宋体" w:eastAsia="宋体" w:cs="宋体"/>
                <w:color w:val="auto"/>
                <w:kern w:val="0"/>
                <w:sz w:val="21"/>
                <w:szCs w:val="21"/>
              </w:rPr>
              <w:t>。</w:t>
            </w:r>
          </w:p>
          <w:p w14:paraId="18615658">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16.量程：0-999次</w:t>
            </w:r>
            <w:r>
              <w:rPr>
                <w:rFonts w:hint="eastAsia" w:cs="宋体"/>
                <w:color w:val="000000"/>
                <w:kern w:val="0"/>
                <w:sz w:val="21"/>
                <w:szCs w:val="21"/>
                <w:lang w:eastAsia="zh-CN"/>
              </w:rPr>
              <w:t>；</w:t>
            </w:r>
            <w:r>
              <w:rPr>
                <w:rFonts w:hint="eastAsia" w:ascii="宋体" w:hAnsi="宋体" w:eastAsia="宋体" w:cs="宋体"/>
                <w:color w:val="000000"/>
                <w:kern w:val="0"/>
                <w:sz w:val="21"/>
                <w:szCs w:val="21"/>
              </w:rPr>
              <w:t>分度值: 1次</w:t>
            </w:r>
            <w:r>
              <w:rPr>
                <w:rFonts w:hint="eastAsia" w:cs="宋体"/>
                <w:color w:val="000000"/>
                <w:kern w:val="0"/>
                <w:sz w:val="21"/>
                <w:szCs w:val="21"/>
                <w:lang w:eastAsia="zh-CN"/>
              </w:rPr>
              <w:t>；</w:t>
            </w:r>
            <w:r>
              <w:rPr>
                <w:rFonts w:hint="eastAsia" w:ascii="宋体" w:hAnsi="宋体" w:eastAsia="宋体" w:cs="宋体"/>
                <w:color w:val="000000"/>
                <w:kern w:val="0"/>
                <w:sz w:val="21"/>
                <w:szCs w:val="21"/>
              </w:rPr>
              <w:t>误差:±1次</w:t>
            </w:r>
          </w:p>
          <w:p w14:paraId="671FD250">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rPr>
              <w:t>★</w:t>
            </w:r>
            <w:r>
              <w:rPr>
                <w:rFonts w:hint="eastAsia" w:ascii="宋体" w:hAnsi="宋体" w:eastAsia="宋体" w:cs="宋体"/>
                <w:kern w:val="0"/>
                <w:sz w:val="21"/>
                <w:szCs w:val="21"/>
                <w:highlight w:val="none"/>
              </w:rPr>
              <w:t>产品</w:t>
            </w:r>
            <w:r>
              <w:rPr>
                <w:rFonts w:hint="eastAsia" w:cs="宋体"/>
                <w:kern w:val="0"/>
                <w:sz w:val="21"/>
                <w:szCs w:val="21"/>
                <w:highlight w:val="none"/>
                <w:lang w:eastAsia="zh-CN"/>
              </w:rPr>
              <w:t>已投保</w:t>
            </w:r>
            <w:r>
              <w:rPr>
                <w:rFonts w:hint="eastAsia" w:ascii="宋体" w:hAnsi="宋体" w:eastAsia="宋体" w:cs="宋体"/>
                <w:kern w:val="0"/>
                <w:sz w:val="21"/>
                <w:szCs w:val="21"/>
                <w:highlight w:val="none"/>
              </w:rPr>
              <w:t>产品责任险，提供保单复印件。</w:t>
            </w:r>
          </w:p>
          <w:p w14:paraId="3825BB4C">
            <w:pPr>
              <w:pStyle w:val="8"/>
              <w:keepNext w:val="0"/>
              <w:keepLines w:val="0"/>
              <w:pageBreakBefore w:val="0"/>
              <w:kinsoku/>
              <w:wordWrap/>
              <w:overflowPunct/>
              <w:topLinePunct w:val="0"/>
              <w:autoSpaceDE/>
              <w:autoSpaceDN/>
              <w:bidi w:val="0"/>
              <w:adjustRightInd/>
              <w:snapToGrid/>
              <w:spacing w:line="300" w:lineRule="exact"/>
              <w:ind w:left="0" w:leftChars="0" w:firstLine="0" w:firstLineChars="0"/>
              <w:textAlignment w:val="auto"/>
              <w:rPr>
                <w:rFonts w:hint="eastAsia"/>
              </w:rPr>
            </w:pPr>
            <w:r>
              <w:rPr>
                <w:rFonts w:hint="eastAsia" w:ascii="宋体" w:hAnsi="宋体" w:eastAsia="宋体" w:cs="宋体"/>
                <w:color w:val="000000"/>
                <w:kern w:val="0"/>
                <w:sz w:val="21"/>
                <w:szCs w:val="21"/>
                <w:highlight w:val="none"/>
                <w:lang w:bidi="ar"/>
              </w:rPr>
              <w:t>★</w:t>
            </w:r>
            <w:r>
              <w:rPr>
                <w:rFonts w:hint="eastAsia" w:ascii="宋体" w:hAnsi="宋体" w:eastAsia="宋体" w:cs="宋体"/>
                <w:b w:val="0"/>
                <w:bCs/>
                <w:color w:val="auto"/>
                <w:sz w:val="21"/>
                <w:szCs w:val="21"/>
                <w:highlight w:val="none"/>
                <w:lang w:eastAsia="zh-CN"/>
              </w:rPr>
              <w:t>须</w:t>
            </w:r>
            <w:r>
              <w:rPr>
                <w:rFonts w:hint="eastAsia" w:ascii="宋体" w:hAnsi="宋体" w:eastAsia="宋体" w:cs="宋体"/>
                <w:b w:val="0"/>
                <w:bCs/>
                <w:color w:val="auto"/>
                <w:sz w:val="21"/>
                <w:szCs w:val="21"/>
                <w:highlight w:val="none"/>
              </w:rPr>
              <w:t>承诺中标后提供由</w:t>
            </w:r>
            <w:r>
              <w:rPr>
                <w:rFonts w:hint="eastAsia" w:ascii="宋体" w:hAnsi="宋体" w:eastAsia="宋体" w:cs="宋体"/>
                <w:kern w:val="0"/>
                <w:sz w:val="21"/>
                <w:szCs w:val="21"/>
                <w:highlight w:val="none"/>
              </w:rPr>
              <w:t>国家体育用品质量监督检验中心</w:t>
            </w:r>
            <w:r>
              <w:rPr>
                <w:rFonts w:hint="eastAsia" w:cs="宋体"/>
                <w:kern w:val="0"/>
                <w:sz w:val="21"/>
                <w:szCs w:val="21"/>
                <w:highlight w:val="none"/>
                <w:lang w:eastAsia="zh-CN"/>
              </w:rPr>
              <w:t>出具的产品检测报告，</w:t>
            </w:r>
            <w:r>
              <w:rPr>
                <w:rFonts w:hint="eastAsia" w:ascii="宋体" w:hAnsi="宋体" w:eastAsia="宋体" w:cs="宋体"/>
                <w:b w:val="0"/>
                <w:bCs/>
                <w:color w:val="auto"/>
                <w:sz w:val="21"/>
                <w:szCs w:val="21"/>
                <w:highlight w:val="none"/>
              </w:rPr>
              <w:t>报告中的检测依据及各项检测指标应符合以上参数要求</w:t>
            </w:r>
            <w:r>
              <w:rPr>
                <w:rFonts w:hint="eastAsia" w:cs="宋体"/>
                <w:color w:val="000000"/>
                <w:kern w:val="0"/>
                <w:sz w:val="21"/>
                <w:szCs w:val="21"/>
                <w:highlight w:val="none"/>
                <w:lang w:eastAsia="zh-CN" w:bidi="ar"/>
              </w:rPr>
              <w:t>。</w:t>
            </w:r>
          </w:p>
        </w:tc>
      </w:tr>
      <w:tr w14:paraId="148D77B1">
        <w:tblPrEx>
          <w:tblCellMar>
            <w:top w:w="0" w:type="dxa"/>
            <w:left w:w="108" w:type="dxa"/>
            <w:bottom w:w="0" w:type="dxa"/>
            <w:right w:w="108" w:type="dxa"/>
          </w:tblCellMar>
        </w:tblPrEx>
        <w:trPr>
          <w:trHeight w:val="8865" w:hRule="atLeast"/>
        </w:trPr>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5A7C52">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7</w:t>
            </w: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14:paraId="4097BEBA">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50米跑测试仪</w:t>
            </w:r>
          </w:p>
          <w:p w14:paraId="4BFFB319">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bCs/>
                <w:kern w:val="0"/>
                <w:sz w:val="21"/>
                <w:szCs w:val="21"/>
              </w:rPr>
            </w:pPr>
            <w:r>
              <w:rPr>
                <w:rFonts w:hint="eastAsia" w:ascii="宋体" w:hAnsi="宋体" w:eastAsia="宋体" w:cs="宋体"/>
                <w:b/>
                <w:bCs/>
                <w:color w:val="000000"/>
                <w:kern w:val="0"/>
                <w:sz w:val="21"/>
                <w:szCs w:val="21"/>
                <w:lang w:bidi="ar"/>
              </w:rPr>
              <w:t>（6人同测)</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14:paraId="5ACABCE3">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color w:val="000000"/>
                <w:kern w:val="0"/>
                <w:sz w:val="21"/>
                <w:szCs w:val="21"/>
                <w:lang w:bidi="ar"/>
              </w:rPr>
              <w:t>台</w:t>
            </w:r>
          </w:p>
        </w:tc>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B4CD4C">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bidi="ar"/>
              </w:rPr>
              <w:t>1</w:t>
            </w:r>
          </w:p>
        </w:tc>
        <w:tc>
          <w:tcPr>
            <w:tcW w:w="109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8A7D00">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1.主机立柱采用防潮立式箱体结构，高度≥105cm；</w:t>
            </w:r>
          </w:p>
          <w:p w14:paraId="55483470">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2.主机为工业级工控机，金属外壳牢固耐用不怕摔，采用10寸以上彩色中文全视角液晶显示屏和电容触摸屏，分辨率800×1280，四核1.6Ghz处理器，运行2.0GB内存以上，主机使用Android操作系统。</w:t>
            </w:r>
          </w:p>
          <w:p w14:paraId="52B66E12">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3.主机内置存储16G容量以上，最少可储存100万条以上测试数据，可根据用户需求配置更大内存卡增加存储空间。</w:t>
            </w:r>
          </w:p>
          <w:p w14:paraId="2FC8DC55">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4.主机可显示学生年级、班级、姓名、性别、编号、照片、测试时间和测试结果等。</w:t>
            </w:r>
          </w:p>
          <w:p w14:paraId="5335A774">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主机可通过按键输入考生编号（准考证号、身份证号），支持提前批量导入学生信息，也可身份证读卡、及人脸识别等多种身份识别方式，同时学生编号具有自动递增功能；</w:t>
            </w:r>
          </w:p>
          <w:p w14:paraId="6D311D85">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6.全程语音提示，且具有外接扩音装置功能；</w:t>
            </w:r>
          </w:p>
          <w:p w14:paraId="57F18E1A">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7.主机具有自评分和统计功能，APP能实时显示成绩</w:t>
            </w:r>
            <w:r>
              <w:rPr>
                <w:rFonts w:hint="eastAsia" w:ascii="宋体" w:hAnsi="宋体" w:eastAsia="宋体" w:cs="宋体"/>
                <w:color w:val="000000"/>
                <w:kern w:val="0"/>
                <w:sz w:val="21"/>
                <w:szCs w:val="21"/>
                <w:lang w:eastAsia="zh-CN"/>
              </w:rPr>
              <w:t>；</w:t>
            </w:r>
          </w:p>
          <w:p w14:paraId="7FE8BE51">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8.主机可外接摄像头，对学生的整个测试过程进行录像及存储，测试开始启动录像、测试结束自动停止录像，节省大量主机存储空间，同时可以通过学号调用视频进行仲裁；</w:t>
            </w:r>
          </w:p>
          <w:p w14:paraId="0DE522E2">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9.主机可WiFi、4G或5G通讯连接网络将测试数据实时传输到云服务器或本地服务器</w:t>
            </w:r>
            <w:r>
              <w:rPr>
                <w:rFonts w:hint="eastAsia" w:ascii="宋体" w:hAnsi="宋体" w:eastAsia="宋体" w:cs="宋体"/>
                <w:color w:val="000000"/>
                <w:kern w:val="0"/>
                <w:sz w:val="21"/>
                <w:szCs w:val="21"/>
                <w:lang w:eastAsia="zh-CN"/>
              </w:rPr>
              <w:t>；</w:t>
            </w:r>
          </w:p>
          <w:p w14:paraId="11C5FA5F">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主机具有3个USB标准接口、1个MicroUSB、1个ETH、1个HDMI、1个TF卡座、1个SIM卡座等多个接口，以备设备扩展多用途使用，可通过USB接口直接导入考生名单或将考生名单直接下载至主机内，也可直接导出测试成绩至U盘自动生成Excel表格；</w:t>
            </w:r>
          </w:p>
          <w:p w14:paraId="389FA4AF">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11.当主机配有打印机时，可实时打印测试者成绩；</w:t>
            </w:r>
          </w:p>
          <w:p w14:paraId="148F1F01">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12.主机内置本项目所有测试项目，主机可互用；</w:t>
            </w:r>
          </w:p>
          <w:p w14:paraId="4A008B30">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13.主机与外设采用无线连接；</w:t>
            </w:r>
          </w:p>
          <w:p w14:paraId="3C68CE1B">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14.外设采用光电对射技术,反应快、精度高，对衣服颜色等材料不敏感；并在强阳光下、强紫外线及室外38度以上高温环境条件下可以正常进行测试；</w:t>
            </w:r>
          </w:p>
          <w:p w14:paraId="4D5A58B6">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15.测试50米跑，并可扩展进行100米/200米等短跑计时；</w:t>
            </w:r>
          </w:p>
          <w:p w14:paraId="430CF398">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16.量程：0~9999.9s  分辨率：0.1s  误差：±1%</w:t>
            </w:r>
          </w:p>
          <w:p w14:paraId="23CFB305">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rPr>
              <w:t>★</w:t>
            </w:r>
            <w:r>
              <w:rPr>
                <w:rFonts w:hint="eastAsia" w:ascii="宋体" w:hAnsi="宋体" w:eastAsia="宋体" w:cs="宋体"/>
                <w:kern w:val="0"/>
                <w:sz w:val="21"/>
                <w:szCs w:val="21"/>
                <w:highlight w:val="none"/>
              </w:rPr>
              <w:t>产品</w:t>
            </w:r>
            <w:r>
              <w:rPr>
                <w:rFonts w:hint="eastAsia" w:cs="宋体"/>
                <w:kern w:val="0"/>
                <w:sz w:val="21"/>
                <w:szCs w:val="21"/>
                <w:highlight w:val="none"/>
                <w:lang w:eastAsia="zh-CN"/>
              </w:rPr>
              <w:t>已投保</w:t>
            </w:r>
            <w:r>
              <w:rPr>
                <w:rFonts w:hint="eastAsia" w:ascii="宋体" w:hAnsi="宋体" w:eastAsia="宋体" w:cs="宋体"/>
                <w:kern w:val="0"/>
                <w:sz w:val="21"/>
                <w:szCs w:val="21"/>
                <w:highlight w:val="none"/>
              </w:rPr>
              <w:t>产品责任险，提供保单复印件。</w:t>
            </w:r>
          </w:p>
          <w:p w14:paraId="2EF21104">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highlight w:val="none"/>
                <w:lang w:bidi="ar"/>
              </w:rPr>
              <w:t>★</w:t>
            </w:r>
            <w:r>
              <w:rPr>
                <w:rFonts w:hint="eastAsia" w:ascii="宋体" w:hAnsi="宋体" w:eastAsia="宋体" w:cs="宋体"/>
                <w:b w:val="0"/>
                <w:bCs/>
                <w:color w:val="auto"/>
                <w:sz w:val="21"/>
                <w:szCs w:val="21"/>
                <w:highlight w:val="none"/>
                <w:lang w:eastAsia="zh-CN"/>
              </w:rPr>
              <w:t>须</w:t>
            </w:r>
            <w:r>
              <w:rPr>
                <w:rFonts w:hint="eastAsia" w:ascii="宋体" w:hAnsi="宋体" w:eastAsia="宋体" w:cs="宋体"/>
                <w:b w:val="0"/>
                <w:bCs/>
                <w:color w:val="auto"/>
                <w:sz w:val="21"/>
                <w:szCs w:val="21"/>
                <w:highlight w:val="none"/>
              </w:rPr>
              <w:t>承诺中标后提供由</w:t>
            </w:r>
            <w:r>
              <w:rPr>
                <w:rFonts w:hint="eastAsia" w:ascii="宋体" w:hAnsi="宋体" w:eastAsia="宋体" w:cs="宋体"/>
                <w:kern w:val="0"/>
                <w:sz w:val="21"/>
                <w:szCs w:val="21"/>
                <w:highlight w:val="none"/>
              </w:rPr>
              <w:t>国家体育用品质量监督检验中心</w:t>
            </w:r>
            <w:r>
              <w:rPr>
                <w:rFonts w:hint="eastAsia" w:cs="宋体"/>
                <w:kern w:val="0"/>
                <w:sz w:val="21"/>
                <w:szCs w:val="21"/>
                <w:highlight w:val="none"/>
                <w:lang w:eastAsia="zh-CN"/>
              </w:rPr>
              <w:t>出具的产品检测报告，</w:t>
            </w:r>
            <w:r>
              <w:rPr>
                <w:rFonts w:hint="eastAsia" w:ascii="宋体" w:hAnsi="宋体" w:eastAsia="宋体" w:cs="宋体"/>
                <w:b w:val="0"/>
                <w:bCs/>
                <w:color w:val="auto"/>
                <w:sz w:val="21"/>
                <w:szCs w:val="21"/>
                <w:highlight w:val="none"/>
              </w:rPr>
              <w:t>报告中的检测依据及各项检测指标应符合以上参数要求</w:t>
            </w:r>
            <w:r>
              <w:rPr>
                <w:rFonts w:hint="eastAsia" w:cs="宋体"/>
                <w:color w:val="000000"/>
                <w:kern w:val="0"/>
                <w:sz w:val="21"/>
                <w:szCs w:val="21"/>
                <w:highlight w:val="none"/>
                <w:lang w:eastAsia="zh-CN" w:bidi="ar"/>
              </w:rPr>
              <w:t>。</w:t>
            </w:r>
          </w:p>
        </w:tc>
      </w:tr>
      <w:tr w14:paraId="3AC8F3E4">
        <w:tblPrEx>
          <w:tblCellMar>
            <w:top w:w="0" w:type="dxa"/>
            <w:left w:w="108" w:type="dxa"/>
            <w:bottom w:w="0" w:type="dxa"/>
            <w:right w:w="108" w:type="dxa"/>
          </w:tblCellMar>
        </w:tblPrEx>
        <w:trPr>
          <w:trHeight w:val="8968" w:hRule="atLeast"/>
        </w:trPr>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C0F0C3">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8</w:t>
            </w: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14:paraId="0A939F04">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中长跑测试仪</w:t>
            </w:r>
          </w:p>
          <w:p w14:paraId="06E3B5D2">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center"/>
              <w:textAlignment w:val="auto"/>
              <w:rPr>
                <w:rFonts w:hint="eastAsia"/>
              </w:rPr>
            </w:pPr>
            <w:r>
              <w:rPr>
                <w:rFonts w:hint="eastAsia" w:ascii="宋体" w:hAnsi="宋体" w:eastAsia="宋体" w:cs="宋体"/>
                <w:b/>
                <w:bCs/>
                <w:color w:val="000000"/>
                <w:kern w:val="0"/>
                <w:sz w:val="21"/>
                <w:szCs w:val="21"/>
                <w:lang w:bidi="ar"/>
              </w:rPr>
              <w:t>（</w:t>
            </w:r>
            <w:r>
              <w:rPr>
                <w:rFonts w:hint="eastAsia" w:cs="宋体"/>
                <w:b/>
                <w:bCs/>
                <w:color w:val="000000"/>
                <w:kern w:val="0"/>
                <w:sz w:val="21"/>
                <w:szCs w:val="21"/>
                <w:lang w:val="en-US" w:eastAsia="zh-CN" w:bidi="ar"/>
              </w:rPr>
              <w:t>8</w:t>
            </w:r>
            <w:r>
              <w:rPr>
                <w:rFonts w:hint="eastAsia" w:ascii="宋体" w:hAnsi="宋体" w:eastAsia="宋体" w:cs="宋体"/>
                <w:b/>
                <w:bCs/>
                <w:color w:val="000000"/>
                <w:kern w:val="0"/>
                <w:sz w:val="21"/>
                <w:szCs w:val="21"/>
                <w:lang w:bidi="ar"/>
              </w:rPr>
              <w:t>0人同时测试)</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14:paraId="5D5022A8">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color w:val="000000"/>
                <w:kern w:val="0"/>
                <w:sz w:val="21"/>
                <w:szCs w:val="21"/>
                <w:lang w:bidi="ar"/>
              </w:rPr>
              <w:t>套</w:t>
            </w:r>
          </w:p>
        </w:tc>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C512E4">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bidi="ar"/>
              </w:rPr>
              <w:t>1</w:t>
            </w:r>
          </w:p>
        </w:tc>
        <w:tc>
          <w:tcPr>
            <w:tcW w:w="109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A1A13B">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1.主机立柱采用防潮立式箱体结构，高度≥105cm；</w:t>
            </w:r>
          </w:p>
          <w:p w14:paraId="670FC55F">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2.主机为工业级工控机，金属外壳牢固耐用不怕摔，采用10寸以上彩色中文全视角液晶显示屏和电容触摸屏，分辨率800×1280，四核1.6Ghz处理器，运行2.0GB内存以上，主机使用Android或Windows操作系统。</w:t>
            </w:r>
          </w:p>
          <w:p w14:paraId="568DBBD2">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3.主机内置存储16G容量以上，最少可储存100万条以上测试数据，可根据用户需求配置更大内存卡增加存储空间。</w:t>
            </w:r>
          </w:p>
          <w:p w14:paraId="4C29FFAC">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4.主机可显示学生年级、班级、姓名、性别、编号、照片、测试时间和测试结果等。</w:t>
            </w:r>
          </w:p>
          <w:p w14:paraId="751C983D">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主机可通过按键输入考生编号（准考证号、身份证号），支持提前批量导入学生信息，也可身份证读卡、及人脸识别等多种身份识别方式，同时学生编号具有自动递增功能；</w:t>
            </w:r>
          </w:p>
          <w:p w14:paraId="6DC99A8D">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6.全程语音提示，且具有外接扩音装置功能；</w:t>
            </w:r>
          </w:p>
          <w:p w14:paraId="6AADE1DE">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7.主机具有自评分和统计功能，APP能实时显示成绩</w:t>
            </w:r>
            <w:r>
              <w:rPr>
                <w:rFonts w:hint="eastAsia" w:ascii="宋体" w:hAnsi="宋体" w:eastAsia="宋体" w:cs="宋体"/>
                <w:color w:val="000000"/>
                <w:kern w:val="0"/>
                <w:sz w:val="21"/>
                <w:szCs w:val="21"/>
                <w:lang w:eastAsia="zh-CN"/>
              </w:rPr>
              <w:t>；</w:t>
            </w:r>
          </w:p>
          <w:p w14:paraId="5DCE80B1">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8.主机可外接摄像头，对学生的整个测试过程进行录像及存储，测试开始启动录像、测试结束自动停止录像，节省大量主机存储空间，同时可以通过学号调用视频进行仲裁；</w:t>
            </w:r>
          </w:p>
          <w:p w14:paraId="39EEAE94">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9.主机可WiFi、4G或5G通讯连接网络将测试数据实时传输到云服务器或本地服务器</w:t>
            </w:r>
            <w:r>
              <w:rPr>
                <w:rFonts w:hint="eastAsia" w:ascii="宋体" w:hAnsi="宋体" w:eastAsia="宋体" w:cs="宋体"/>
                <w:color w:val="000000"/>
                <w:kern w:val="0"/>
                <w:sz w:val="21"/>
                <w:szCs w:val="21"/>
                <w:lang w:eastAsia="zh-CN"/>
              </w:rPr>
              <w:t>；</w:t>
            </w:r>
          </w:p>
          <w:p w14:paraId="3CEF464E">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主机具有3个USB标准接口、1个MicroUSB、1个ETH、1个HDMI、1个TF卡座、1个SIM卡座等多个接口，以备设备扩展多用途使用，可通过USB接口直接导入考生名单或将考生名单直接下载至主机内，也可直接导出测试成绩至U盘自动生成Excel表格；</w:t>
            </w:r>
          </w:p>
          <w:p w14:paraId="08CEA6E0">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11.当主机配有打印机时，可实时打印测试者成绩；</w:t>
            </w:r>
          </w:p>
          <w:p w14:paraId="19FFE9E7">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12.主机内置本项目所有测试项目，主机可互用；</w:t>
            </w:r>
          </w:p>
          <w:p w14:paraId="2B747A8F">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13.主机与外设采用无线连接；</w:t>
            </w:r>
          </w:p>
          <w:p w14:paraId="31B0C8B1">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14.采用超高频地毯式感应方式，3-4块拼接一次压铸成型橡胶感应地毯天线（非丝圈塑料卷式地毯）置于终点处，能1秒内感应到750人同时冲线，避免考生同时冲线的漏刷现象；</w:t>
            </w:r>
          </w:p>
          <w:p w14:paraId="044E7EFF">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15.自动完成计圈、计时，能自动识别并显示测试者完成的圈数和时间，通过终点时最终感应测试的成绩，保留通过终点的时间；可测试800米、1000米、1500米等长跑系列；</w:t>
            </w:r>
          </w:p>
          <w:p w14:paraId="02B6C5DA">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★16.计时芯片为无源芯片，两个无源芯片分别置于背心和专业鞋扣上，不需要任何维护，可防水、防紫外线，重量轻；</w:t>
            </w:r>
          </w:p>
          <w:p w14:paraId="62DE9374">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为防止测试过程中主机与终点外设控制器无线连接断开，导致计时中断，出现测试者无成绩现象，终点外设控制器具有计时和存储并显示测试者圈数和实时成绩功能；同时如果主机与终点控制器断开、系统支持断网重连，再次连接时，终点控制器将数据重新发送到测试主机，避免测试者无成绩现象；</w:t>
            </w:r>
          </w:p>
          <w:p w14:paraId="38D8C0C0">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18.量程：0-9999.9s</w:t>
            </w:r>
            <w:r>
              <w:rPr>
                <w:rFonts w:hint="eastAsia" w:cs="宋体"/>
                <w:color w:val="000000"/>
                <w:kern w:val="0"/>
                <w:sz w:val="21"/>
                <w:szCs w:val="21"/>
                <w:lang w:eastAsia="zh-CN"/>
              </w:rPr>
              <w:t>；</w:t>
            </w:r>
            <w:r>
              <w:rPr>
                <w:rFonts w:hint="eastAsia" w:ascii="宋体" w:hAnsi="宋体" w:eastAsia="宋体" w:cs="宋体"/>
                <w:color w:val="000000"/>
                <w:kern w:val="0"/>
                <w:sz w:val="21"/>
                <w:szCs w:val="21"/>
              </w:rPr>
              <w:t xml:space="preserve"> 分度值：0.1s</w:t>
            </w:r>
            <w:r>
              <w:rPr>
                <w:rFonts w:hint="eastAsia" w:cs="宋体"/>
                <w:color w:val="000000"/>
                <w:kern w:val="0"/>
                <w:sz w:val="21"/>
                <w:szCs w:val="21"/>
                <w:lang w:eastAsia="zh-CN"/>
              </w:rPr>
              <w:t>；</w:t>
            </w:r>
            <w:r>
              <w:rPr>
                <w:rFonts w:hint="eastAsia" w:ascii="宋体" w:hAnsi="宋体" w:eastAsia="宋体" w:cs="宋体"/>
                <w:color w:val="000000"/>
                <w:kern w:val="0"/>
                <w:sz w:val="21"/>
                <w:szCs w:val="21"/>
              </w:rPr>
              <w:t xml:space="preserve"> 误差：±0.1%</w:t>
            </w:r>
          </w:p>
          <w:p w14:paraId="3AFFBEF8">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rPr>
              <w:t>★</w:t>
            </w:r>
            <w:r>
              <w:rPr>
                <w:rFonts w:hint="eastAsia" w:ascii="宋体" w:hAnsi="宋体" w:eastAsia="宋体" w:cs="宋体"/>
                <w:kern w:val="0"/>
                <w:sz w:val="21"/>
                <w:szCs w:val="21"/>
                <w:highlight w:val="none"/>
              </w:rPr>
              <w:t>产品</w:t>
            </w:r>
            <w:r>
              <w:rPr>
                <w:rFonts w:hint="eastAsia" w:cs="宋体"/>
                <w:kern w:val="0"/>
                <w:sz w:val="21"/>
                <w:szCs w:val="21"/>
                <w:highlight w:val="none"/>
                <w:lang w:eastAsia="zh-CN"/>
              </w:rPr>
              <w:t>已投保</w:t>
            </w:r>
            <w:r>
              <w:rPr>
                <w:rFonts w:hint="eastAsia" w:ascii="宋体" w:hAnsi="宋体" w:eastAsia="宋体" w:cs="宋体"/>
                <w:kern w:val="0"/>
                <w:sz w:val="21"/>
                <w:szCs w:val="21"/>
                <w:highlight w:val="none"/>
              </w:rPr>
              <w:t>产品责任险，提供保单复印件。</w:t>
            </w:r>
          </w:p>
          <w:p w14:paraId="608A437F">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highlight w:val="none"/>
                <w:lang w:bidi="ar"/>
              </w:rPr>
              <w:t>★</w:t>
            </w:r>
            <w:r>
              <w:rPr>
                <w:rFonts w:hint="eastAsia" w:ascii="宋体" w:hAnsi="宋体" w:eastAsia="宋体" w:cs="宋体"/>
                <w:b w:val="0"/>
                <w:bCs/>
                <w:color w:val="auto"/>
                <w:sz w:val="21"/>
                <w:szCs w:val="21"/>
                <w:highlight w:val="none"/>
                <w:lang w:eastAsia="zh-CN"/>
              </w:rPr>
              <w:t>须</w:t>
            </w:r>
            <w:r>
              <w:rPr>
                <w:rFonts w:hint="eastAsia" w:ascii="宋体" w:hAnsi="宋体" w:eastAsia="宋体" w:cs="宋体"/>
                <w:b w:val="0"/>
                <w:bCs/>
                <w:color w:val="auto"/>
                <w:sz w:val="21"/>
                <w:szCs w:val="21"/>
                <w:highlight w:val="none"/>
              </w:rPr>
              <w:t>承诺中标后提供由</w:t>
            </w:r>
            <w:r>
              <w:rPr>
                <w:rFonts w:hint="eastAsia" w:ascii="宋体" w:hAnsi="宋体" w:eastAsia="宋体" w:cs="宋体"/>
                <w:kern w:val="0"/>
                <w:sz w:val="21"/>
                <w:szCs w:val="21"/>
                <w:highlight w:val="none"/>
              </w:rPr>
              <w:t>国家体育用品质量监督检验中心</w:t>
            </w:r>
            <w:r>
              <w:rPr>
                <w:rFonts w:hint="eastAsia" w:cs="宋体"/>
                <w:kern w:val="0"/>
                <w:sz w:val="21"/>
                <w:szCs w:val="21"/>
                <w:highlight w:val="none"/>
                <w:lang w:eastAsia="zh-CN"/>
              </w:rPr>
              <w:t>出具的产品检测报告，</w:t>
            </w:r>
            <w:r>
              <w:rPr>
                <w:rFonts w:hint="eastAsia" w:ascii="宋体" w:hAnsi="宋体" w:eastAsia="宋体" w:cs="宋体"/>
                <w:b w:val="0"/>
                <w:bCs/>
                <w:color w:val="auto"/>
                <w:sz w:val="21"/>
                <w:szCs w:val="21"/>
                <w:highlight w:val="none"/>
              </w:rPr>
              <w:t>报告中的检测依据及各项检测指标应符合以上参数要求</w:t>
            </w:r>
            <w:r>
              <w:rPr>
                <w:rFonts w:hint="eastAsia" w:cs="宋体"/>
                <w:color w:val="000000"/>
                <w:kern w:val="0"/>
                <w:sz w:val="21"/>
                <w:szCs w:val="21"/>
                <w:highlight w:val="none"/>
                <w:lang w:eastAsia="zh-CN" w:bidi="ar"/>
              </w:rPr>
              <w:t>。</w:t>
            </w:r>
          </w:p>
        </w:tc>
      </w:tr>
      <w:tr w14:paraId="6E86D8DA">
        <w:tblPrEx>
          <w:tblCellMar>
            <w:top w:w="0" w:type="dxa"/>
            <w:left w:w="108" w:type="dxa"/>
            <w:bottom w:w="0" w:type="dxa"/>
            <w:right w:w="108" w:type="dxa"/>
          </w:tblCellMar>
        </w:tblPrEx>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83110A">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9</w:t>
            </w:r>
          </w:p>
        </w:tc>
        <w:tc>
          <w:tcPr>
            <w:tcW w:w="1991" w:type="dxa"/>
            <w:tcBorders>
              <w:top w:val="single" w:color="auto" w:sz="4" w:space="0"/>
              <w:left w:val="single" w:color="auto" w:sz="4" w:space="0"/>
              <w:bottom w:val="single" w:color="auto" w:sz="4" w:space="0"/>
              <w:right w:val="single" w:color="auto" w:sz="4" w:space="0"/>
            </w:tcBorders>
            <w:shd w:val="clear" w:color="auto" w:fill="auto"/>
            <w:vAlign w:val="center"/>
          </w:tcPr>
          <w:p w14:paraId="278FBD08">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大学生体质健康</w:t>
            </w:r>
          </w:p>
          <w:p w14:paraId="1A58FCDB">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监测管理平台</w:t>
            </w:r>
          </w:p>
          <w:p w14:paraId="24E8827E">
            <w:pPr>
              <w:pStyle w:val="2"/>
              <w:keepNext w:val="0"/>
              <w:keepLines w:val="0"/>
              <w:pageBreakBefore w:val="0"/>
              <w:widowControl/>
              <w:kinsoku/>
              <w:wordWrap/>
              <w:overflowPunct/>
              <w:topLinePunct w:val="0"/>
              <w:bidi w:val="0"/>
              <w:snapToGrid/>
              <w:spacing w:line="340" w:lineRule="exact"/>
              <w:ind w:left="0" w:leftChars="0" w:firstLine="0" w:firstLineChars="0"/>
              <w:jc w:val="center"/>
              <w:textAlignment w:val="auto"/>
              <w:rPr>
                <w:rFonts w:hint="eastAsia"/>
              </w:rPr>
            </w:pPr>
            <w:r>
              <w:rPr>
                <w:rFonts w:hint="eastAsia" w:ascii="宋体" w:hAnsi="宋体" w:eastAsia="宋体" w:cs="宋体"/>
                <w:b/>
                <w:bCs/>
                <w:i w:val="0"/>
                <w:iCs w:val="0"/>
                <w:color w:val="FF0000"/>
                <w:kern w:val="0"/>
                <w:sz w:val="21"/>
                <w:szCs w:val="21"/>
                <w:u w:val="none"/>
                <w:lang w:val="en-US" w:eastAsia="zh-CN" w:bidi="ar"/>
              </w:rPr>
              <w:t>（核心产品）</w:t>
            </w:r>
          </w:p>
        </w:tc>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14:paraId="093C12A6">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color w:val="000000"/>
                <w:kern w:val="0"/>
                <w:sz w:val="21"/>
                <w:szCs w:val="21"/>
                <w:lang w:bidi="ar"/>
              </w:rPr>
              <w:t>套</w:t>
            </w:r>
          </w:p>
        </w:tc>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45B40E">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bidi="ar"/>
              </w:rPr>
              <w:t>1</w:t>
            </w:r>
          </w:p>
        </w:tc>
        <w:tc>
          <w:tcPr>
            <w:tcW w:w="109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9446C6">
            <w:pPr>
              <w:pStyle w:val="165"/>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1.平台支持学生、教师、管理员等多种角色管理，可配置角色操作权限。 </w:t>
            </w:r>
          </w:p>
          <w:p w14:paraId="6F2569E2">
            <w:pPr>
              <w:pStyle w:val="165"/>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2.平台支持学校组织架构配置，支持教师、学生数据管理。</w:t>
            </w:r>
          </w:p>
          <w:p w14:paraId="7D904DA4">
            <w:pPr>
              <w:pStyle w:val="165"/>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3.平台支持测试数据实时采集上传。平台自动计算评分。管理员可通过平台直接导出所有学生测试成绩并生成测试成绩报表。</w:t>
            </w:r>
          </w:p>
          <w:p w14:paraId="696CD2EA">
            <w:pPr>
              <w:pStyle w:val="165"/>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4.平台支持已测人数、未测人数实时统计功能，可查看测试进度。</w:t>
            </w:r>
          </w:p>
          <w:p w14:paraId="2BA4E068">
            <w:pPr>
              <w:pStyle w:val="165"/>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5.平台支持免测名单管理。补测名单管理。</w:t>
            </w:r>
          </w:p>
          <w:p w14:paraId="37C053CF">
            <w:pPr>
              <w:pStyle w:val="165"/>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平台具备统计分析功能。可分项目和总分统计优秀、良好、及格、不及格各等级所占比例和人数，并以相应饼状图展示。可分项目和总分对比统计各年级、班级优秀、良好、及格、不及格各等级所占比例和人数，并以相应柱状图展示。可追踪个人不同年级测试成绩，并以相应折线图展示。</w:t>
            </w:r>
          </w:p>
          <w:p w14:paraId="1F7E595D">
            <w:pPr>
              <w:pStyle w:val="165"/>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7.平台具备年度报告功能。根据国家学生体质健康标准，生成年度报告，评分相关标准分、附加分。</w:t>
            </w:r>
          </w:p>
          <w:p w14:paraId="0AD832EB">
            <w:pPr>
              <w:pStyle w:val="165"/>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8.平台支持通知公告管理发布。学生可在手机端查看发布内容。</w:t>
            </w:r>
          </w:p>
          <w:p w14:paraId="7ECA873C">
            <w:pPr>
              <w:pStyle w:val="165"/>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9.平台支持设备信息管理。</w:t>
            </w:r>
          </w:p>
          <w:p w14:paraId="2C3B8B6A">
            <w:pPr>
              <w:pStyle w:val="165"/>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10.管理员可配置运动建议，学生可在手机端查看相应的运动建议。</w:t>
            </w:r>
          </w:p>
          <w:p w14:paraId="5308EF68">
            <w:pPr>
              <w:pStyle w:val="165"/>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11.平台支持心理量表测试。学生可自主测试，并查看当前和历史测试结果。</w:t>
            </w:r>
          </w:p>
          <w:p w14:paraId="441642E5">
            <w:pPr>
              <w:pStyle w:val="165"/>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12.平台支持师生互动和论坛模块。</w:t>
            </w:r>
          </w:p>
          <w:p w14:paraId="02279EC1">
            <w:pPr>
              <w:pStyle w:val="165"/>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13.平台支持老师值班管理模块，可导入值班信息。</w:t>
            </w:r>
          </w:p>
          <w:p w14:paraId="16678740">
            <w:pPr>
              <w:pStyle w:val="165"/>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14.支持学生自主预约测试或者教师集体预约。管理员可设置不同的预约时间段和各项目预约人数上限。预约过的学生可自主测试，未预约的学生提示未预约。</w:t>
            </w:r>
          </w:p>
          <w:p w14:paraId="5A137FA3">
            <w:pPr>
              <w:pStyle w:val="165"/>
              <w:keepNext w:val="0"/>
              <w:keepLines w:val="0"/>
              <w:pageBreakBefore w:val="0"/>
              <w:widowControl/>
              <w:kinsoku/>
              <w:wordWrap/>
              <w:overflowPunct/>
              <w:topLinePunct w:val="0"/>
              <w:autoSpaceDE/>
              <w:autoSpaceDN/>
              <w:bidi w:val="0"/>
              <w:adjustRightInd/>
              <w:snapToGrid/>
              <w:spacing w:line="32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15.学生可以通过手机端查询当次测试分项成绩与历史测试成绩。</w:t>
            </w:r>
          </w:p>
        </w:tc>
      </w:tr>
      <w:tr w14:paraId="514FE28E">
        <w:tblPrEx>
          <w:tblCellMar>
            <w:top w:w="0" w:type="dxa"/>
            <w:left w:w="108" w:type="dxa"/>
            <w:bottom w:w="0" w:type="dxa"/>
            <w:right w:w="108" w:type="dxa"/>
          </w:tblCellMar>
        </w:tblPrEx>
        <w:trPr>
          <w:trHeight w:val="569" w:hRule="atLeast"/>
        </w:trPr>
        <w:tc>
          <w:tcPr>
            <w:tcW w:w="1509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52C531A4">
            <w:pPr>
              <w:pStyle w:val="165"/>
              <w:keepNext w:val="0"/>
              <w:keepLines w:val="0"/>
              <w:pageBreakBefore w:val="0"/>
              <w:widowControl/>
              <w:kinsoku/>
              <w:wordWrap/>
              <w:overflowPunct/>
              <w:topLinePunct w:val="0"/>
              <w:autoSpaceDE/>
              <w:autoSpaceDN/>
              <w:bidi w:val="0"/>
              <w:adjustRightInd/>
              <w:snapToGrid/>
              <w:spacing w:line="380" w:lineRule="exact"/>
              <w:ind w:firstLine="0" w:firstLineChars="0"/>
              <w:jc w:val="left"/>
              <w:textAlignment w:val="auto"/>
              <w:rPr>
                <w:rFonts w:hint="eastAsia" w:ascii="宋体" w:hAnsi="宋体" w:eastAsia="宋体" w:cs="宋体"/>
                <w:color w:val="000000"/>
                <w:kern w:val="0"/>
                <w:sz w:val="21"/>
                <w:szCs w:val="21"/>
              </w:rPr>
            </w:pPr>
            <w:r>
              <w:rPr>
                <w:rFonts w:hint="eastAsia" w:ascii="宋体" w:hAnsi="宋体" w:eastAsia="宋体" w:cs="宋体"/>
                <w:b/>
                <w:bCs/>
                <w:color w:val="auto"/>
                <w:sz w:val="24"/>
                <w:szCs w:val="18"/>
              </w:rPr>
              <w:t>本</w:t>
            </w:r>
            <w:r>
              <w:rPr>
                <w:rFonts w:hint="eastAsia" w:ascii="宋体" w:hAnsi="宋体" w:eastAsia="宋体" w:cs="宋体"/>
                <w:b/>
                <w:bCs/>
                <w:color w:val="auto"/>
                <w:sz w:val="24"/>
                <w:szCs w:val="18"/>
                <w:lang w:eastAsia="zh-CN"/>
              </w:rPr>
              <w:t>标项</w:t>
            </w:r>
            <w:r>
              <w:rPr>
                <w:rFonts w:hint="eastAsia" w:ascii="宋体" w:hAnsi="宋体" w:eastAsia="宋体" w:cs="宋体"/>
                <w:b/>
                <w:bCs/>
                <w:color w:val="auto"/>
                <w:sz w:val="24"/>
                <w:szCs w:val="18"/>
              </w:rPr>
              <w:t>核心产品为：</w:t>
            </w:r>
            <w:r>
              <w:rPr>
                <w:rFonts w:hint="eastAsia" w:ascii="宋体" w:hAnsi="宋体" w:eastAsia="宋体" w:cs="宋体"/>
                <w:b/>
                <w:bCs/>
                <w:color w:val="auto"/>
                <w:sz w:val="24"/>
                <w:szCs w:val="18"/>
                <w:u w:val="single"/>
                <w:lang w:val="en-US" w:eastAsia="zh-CN"/>
              </w:rPr>
              <w:t>大学生体质健康监测管理平台</w:t>
            </w:r>
            <w:r>
              <w:rPr>
                <w:rFonts w:hint="eastAsia" w:ascii="宋体" w:hAnsi="宋体" w:eastAsia="宋体" w:cs="宋体"/>
                <w:b/>
                <w:bCs/>
                <w:color w:val="auto"/>
                <w:sz w:val="24"/>
                <w:szCs w:val="18"/>
                <w:lang w:val="en-US" w:eastAsia="zh-CN"/>
              </w:rPr>
              <w:t>。</w:t>
            </w:r>
          </w:p>
        </w:tc>
      </w:tr>
    </w:tbl>
    <w:p w14:paraId="1A0B9339">
      <w:pPr>
        <w:tabs>
          <w:tab w:val="left" w:pos="483"/>
        </w:tabs>
        <w:bidi w:val="0"/>
        <w:jc w:val="left"/>
        <w:rPr>
          <w:rFonts w:hint="eastAsia"/>
          <w:lang w:val="en-US" w:eastAsia="zh-CN"/>
        </w:rPr>
        <w:sectPr>
          <w:pgSz w:w="16838" w:h="11906" w:orient="landscape"/>
          <w:pgMar w:top="1134" w:right="1247" w:bottom="1134" w:left="1247" w:header="170" w:footer="567" w:gutter="0"/>
          <w:pgNumType w:fmt="decimal"/>
          <w:cols w:space="720" w:num="1"/>
          <w:docGrid w:linePitch="381" w:charSpace="0"/>
        </w:sectPr>
      </w:pPr>
    </w:p>
    <w:p w14:paraId="67F3D964">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b/>
          <w:bCs/>
          <w:lang w:eastAsia="zh-CN"/>
        </w:rPr>
      </w:pPr>
      <w:r>
        <w:rPr>
          <w:rFonts w:hint="eastAsia"/>
          <w:b/>
          <w:bCs/>
          <w:lang w:eastAsia="zh-CN"/>
        </w:rPr>
        <w:t>五、</w:t>
      </w:r>
      <w:r>
        <w:rPr>
          <w:rFonts w:hint="eastAsia" w:ascii="宋体" w:hAnsi="宋体" w:cs="宋体"/>
          <w:b/>
          <w:bCs/>
          <w:color w:val="auto"/>
        </w:rPr>
        <w:t>设备及服务要求</w:t>
      </w:r>
    </w:p>
    <w:p w14:paraId="112500BC">
      <w:pPr>
        <w:bidi w:val="0"/>
        <w:spacing w:line="360" w:lineRule="auto"/>
        <w:ind w:left="0" w:leftChars="0" w:firstLine="0" w:firstLineChars="0"/>
        <w:rPr>
          <w:rFonts w:cs="宋体"/>
          <w:color w:val="auto"/>
        </w:rPr>
      </w:pPr>
      <w:bookmarkStart w:id="15" w:name="_Toc5833"/>
      <w:r>
        <w:rPr>
          <w:rFonts w:hint="eastAsia"/>
          <w:b/>
          <w:bCs/>
        </w:rPr>
        <w:t>（一）设备要求</w:t>
      </w:r>
      <w:bookmarkEnd w:id="15"/>
    </w:p>
    <w:p w14:paraId="709CEBCB">
      <w:pPr>
        <w:adjustRightInd/>
        <w:spacing w:line="360" w:lineRule="auto"/>
        <w:ind w:left="0" w:leftChars="0" w:firstLine="480" w:firstLineChars="200"/>
        <w:jc w:val="left"/>
        <w:rPr>
          <w:rFonts w:cs="宋体"/>
          <w:color w:val="auto"/>
        </w:rPr>
      </w:pPr>
      <w:r>
        <w:rPr>
          <w:rFonts w:hint="eastAsia" w:cs="宋体"/>
          <w:color w:val="auto"/>
        </w:rPr>
        <w:t>1</w:t>
      </w:r>
      <w:r>
        <w:rPr>
          <w:rFonts w:hint="eastAsia" w:cs="宋体"/>
          <w:color w:val="auto"/>
          <w:lang w:eastAsia="zh-CN"/>
        </w:rPr>
        <w:t>.</w:t>
      </w:r>
      <w:r>
        <w:rPr>
          <w:rFonts w:hint="eastAsia" w:cs="宋体"/>
          <w:color w:val="auto"/>
        </w:rPr>
        <w:t>投标人提供的设备必须是</w:t>
      </w:r>
      <w:r>
        <w:rPr>
          <w:rFonts w:hint="eastAsia" w:cs="宋体"/>
          <w:color w:val="auto"/>
          <w:lang w:val="en-US" w:eastAsia="zh-CN"/>
        </w:rPr>
        <w:t>原厂生产且</w:t>
      </w:r>
      <w:r>
        <w:rPr>
          <w:rFonts w:hint="eastAsia" w:cs="宋体"/>
          <w:color w:val="auto"/>
        </w:rPr>
        <w:t>全新的优质产品，</w:t>
      </w:r>
      <w:r>
        <w:rPr>
          <w:rFonts w:hint="eastAsia" w:cs="宋体"/>
          <w:color w:val="auto"/>
          <w:lang w:val="en-US" w:eastAsia="zh-CN"/>
        </w:rPr>
        <w:t>拒绝</w:t>
      </w:r>
      <w:r>
        <w:rPr>
          <w:rFonts w:hint="default" w:cs="宋体"/>
          <w:color w:val="auto"/>
          <w:lang w:val="en-US" w:eastAsia="zh-CN"/>
        </w:rPr>
        <w:t>OEM</w:t>
      </w:r>
      <w:r>
        <w:rPr>
          <w:rFonts w:hint="eastAsia" w:cs="宋体"/>
          <w:color w:val="auto"/>
          <w:lang w:val="en-US" w:eastAsia="zh-CN"/>
        </w:rPr>
        <w:t>、</w:t>
      </w:r>
      <w:r>
        <w:rPr>
          <w:rFonts w:hint="default" w:cs="宋体"/>
          <w:color w:val="auto"/>
          <w:lang w:val="en-US" w:eastAsia="zh-CN"/>
        </w:rPr>
        <w:t>ODM</w:t>
      </w:r>
      <w:r>
        <w:rPr>
          <w:rFonts w:hint="eastAsia" w:cs="宋体"/>
          <w:color w:val="auto"/>
          <w:lang w:val="en-US" w:eastAsia="zh-CN"/>
        </w:rPr>
        <w:t>产品，须</w:t>
      </w:r>
      <w:r>
        <w:rPr>
          <w:rFonts w:hint="eastAsia" w:cs="宋体"/>
          <w:color w:val="auto"/>
        </w:rPr>
        <w:t>符合相应的国家标准的，并须提供相关产品的产品合格证、产品说明书和安装说明等资料，投标人所提供的产品在安装调试完成后，应构成一个完整的系统，能按照技术要求连续运行。</w:t>
      </w:r>
    </w:p>
    <w:p w14:paraId="6BB8FBDF">
      <w:pPr>
        <w:adjustRightInd/>
        <w:spacing w:line="360" w:lineRule="auto"/>
        <w:ind w:left="0" w:leftChars="0" w:firstLine="480" w:firstLineChars="200"/>
        <w:jc w:val="left"/>
        <w:rPr>
          <w:rFonts w:cs="宋体"/>
          <w:color w:val="auto"/>
        </w:rPr>
      </w:pPr>
      <w:r>
        <w:rPr>
          <w:rFonts w:hint="eastAsia" w:cs="宋体"/>
          <w:color w:val="auto"/>
        </w:rPr>
        <w:t>2</w:t>
      </w:r>
      <w:r>
        <w:rPr>
          <w:rFonts w:hint="eastAsia" w:cs="宋体"/>
          <w:color w:val="auto"/>
          <w:lang w:eastAsia="zh-CN"/>
        </w:rPr>
        <w:t>.</w:t>
      </w:r>
      <w:r>
        <w:rPr>
          <w:rFonts w:hint="eastAsia" w:cs="宋体"/>
          <w:color w:val="auto"/>
        </w:rPr>
        <w:t>投标人应列出详细的产品配置清单（包括各主要零部件的厂家或品牌、型号和规格、数量等），作为技术评价依据之一。</w:t>
      </w:r>
    </w:p>
    <w:p w14:paraId="2BE1D548">
      <w:pPr>
        <w:bidi w:val="0"/>
        <w:spacing w:line="360" w:lineRule="auto"/>
        <w:ind w:left="0" w:leftChars="0" w:firstLine="0" w:firstLineChars="0"/>
        <w:rPr>
          <w:rFonts w:cs="宋体"/>
          <w:color w:val="auto"/>
        </w:rPr>
      </w:pPr>
      <w:bookmarkStart w:id="16" w:name="_Toc16003"/>
      <w:r>
        <w:rPr>
          <w:rFonts w:hint="eastAsia"/>
          <w:b/>
          <w:bCs/>
        </w:rPr>
        <w:t>（二）质保期要求</w:t>
      </w:r>
      <w:bookmarkEnd w:id="16"/>
    </w:p>
    <w:p w14:paraId="07E9387F">
      <w:pPr>
        <w:autoSpaceDE w:val="0"/>
        <w:autoSpaceDN w:val="0"/>
        <w:spacing w:line="360" w:lineRule="auto"/>
        <w:ind w:left="0" w:leftChars="0" w:firstLine="480" w:firstLineChars="200"/>
        <w:jc w:val="left"/>
        <w:rPr>
          <w:rFonts w:hint="eastAsia" w:cs="宋体"/>
          <w:color w:val="auto"/>
          <w:kern w:val="0"/>
        </w:rPr>
      </w:pPr>
      <w:bookmarkStart w:id="17" w:name="_Toc6432"/>
      <w:r>
        <w:rPr>
          <w:rFonts w:hint="eastAsia" w:cs="宋体"/>
          <w:color w:val="auto"/>
          <w:kern w:val="0"/>
          <w:lang w:val="en-US" w:eastAsia="zh-CN"/>
        </w:rPr>
        <w:t>1.</w:t>
      </w:r>
      <w:r>
        <w:rPr>
          <w:rFonts w:hint="eastAsia" w:cs="宋体"/>
          <w:color w:val="auto"/>
          <w:kern w:val="0"/>
        </w:rPr>
        <w:t>质保期：本项目质保期</w:t>
      </w:r>
      <w:r>
        <w:rPr>
          <w:rFonts w:hint="eastAsia" w:cs="宋体"/>
          <w:color w:val="auto"/>
          <w:kern w:val="0"/>
          <w:lang w:val="en-US" w:eastAsia="zh-CN"/>
        </w:rPr>
        <w:t>不少于3</w:t>
      </w:r>
      <w:r>
        <w:rPr>
          <w:rFonts w:hint="eastAsia" w:cs="宋体"/>
          <w:color w:val="auto"/>
          <w:kern w:val="0"/>
        </w:rPr>
        <w:t>年（若设备原厂商提供更长质保期，则按</w:t>
      </w:r>
      <w:r>
        <w:rPr>
          <w:rFonts w:hint="eastAsia" w:cs="宋体"/>
          <w:color w:val="auto"/>
          <w:kern w:val="0"/>
          <w:lang w:eastAsia="zh-CN"/>
        </w:rPr>
        <w:t>承诺</w:t>
      </w:r>
      <w:r>
        <w:rPr>
          <w:rFonts w:hint="eastAsia" w:cs="宋体"/>
          <w:color w:val="auto"/>
          <w:kern w:val="0"/>
        </w:rPr>
        <w:t>的质保期执行）。质保期从验收合格</w:t>
      </w:r>
      <w:r>
        <w:rPr>
          <w:rFonts w:hint="eastAsia" w:cs="宋体"/>
          <w:color w:val="auto"/>
          <w:kern w:val="0"/>
          <w:lang w:eastAsia="zh-CN"/>
        </w:rPr>
        <w:t>之</w:t>
      </w:r>
      <w:r>
        <w:rPr>
          <w:rFonts w:hint="eastAsia" w:cs="宋体"/>
          <w:color w:val="auto"/>
          <w:kern w:val="0"/>
        </w:rPr>
        <w:t>日起算。在质保期间，除人为损坏的问题，均由中标人负责维修和更换，所有费用由中标人自行承担。</w:t>
      </w:r>
      <w:r>
        <w:rPr>
          <w:rFonts w:hint="eastAsia" w:cs="宋体"/>
          <w:color w:val="auto"/>
          <w:kern w:val="0"/>
          <w:lang w:val="en-US" w:eastAsia="zh-CN"/>
        </w:rPr>
        <w:t>所有包含软件的设备需免费终生使用并提供更新服务。</w:t>
      </w:r>
    </w:p>
    <w:p w14:paraId="624E63DE">
      <w:pPr>
        <w:autoSpaceDE w:val="0"/>
        <w:autoSpaceDN w:val="0"/>
        <w:spacing w:line="360" w:lineRule="auto"/>
        <w:ind w:left="0" w:leftChars="0" w:firstLine="480" w:firstLineChars="200"/>
        <w:jc w:val="left"/>
        <w:rPr>
          <w:rFonts w:hint="eastAsia" w:cs="宋体"/>
          <w:color w:val="auto"/>
          <w:kern w:val="0"/>
        </w:rPr>
      </w:pPr>
      <w:r>
        <w:rPr>
          <w:rFonts w:hint="eastAsia" w:cs="宋体"/>
          <w:color w:val="auto"/>
          <w:kern w:val="0"/>
          <w:lang w:val="en-US" w:eastAsia="zh-CN"/>
        </w:rPr>
        <w:t>2.</w:t>
      </w:r>
      <w:r>
        <w:rPr>
          <w:rFonts w:hint="eastAsia" w:cs="宋体"/>
          <w:color w:val="auto"/>
          <w:kern w:val="0"/>
        </w:rPr>
        <w:t>在质保期内，供应商应对货物出现的质量及安全问题负责处理解决并承担一切费用。中标人负责免费提供设备运行所需全部备件，并提供免费维修、保养服务。</w:t>
      </w:r>
    </w:p>
    <w:p w14:paraId="12162A4A">
      <w:pPr>
        <w:autoSpaceDE w:val="0"/>
        <w:autoSpaceDN w:val="0"/>
        <w:spacing w:line="360" w:lineRule="auto"/>
        <w:ind w:left="0" w:leftChars="0" w:firstLine="480" w:firstLineChars="200"/>
        <w:jc w:val="left"/>
        <w:rPr>
          <w:rFonts w:hint="eastAsia" w:cs="宋体"/>
          <w:color w:val="auto"/>
          <w:kern w:val="0"/>
        </w:rPr>
      </w:pPr>
      <w:r>
        <w:rPr>
          <w:rFonts w:hint="eastAsia" w:cs="宋体"/>
          <w:color w:val="auto"/>
          <w:kern w:val="0"/>
          <w:lang w:val="en-US" w:eastAsia="zh-CN"/>
        </w:rPr>
        <w:t>3.</w:t>
      </w:r>
      <w:r>
        <w:rPr>
          <w:rFonts w:hint="eastAsia" w:cs="宋体"/>
          <w:color w:val="auto"/>
          <w:kern w:val="0"/>
        </w:rPr>
        <w:t>质保期内，非因采购人人为原因而出现设备质量问题的，由中标人负责包修、包换或包退并承担修理、调换或退货而产生的实际费用。如因采购人使用不当造成故障的，中标人应负责修理、调换，费用另行协商。</w:t>
      </w:r>
    </w:p>
    <w:p w14:paraId="7B371143">
      <w:pPr>
        <w:autoSpaceDE w:val="0"/>
        <w:autoSpaceDN w:val="0"/>
        <w:spacing w:line="360" w:lineRule="auto"/>
        <w:ind w:left="0" w:leftChars="0" w:firstLine="480" w:firstLineChars="200"/>
        <w:jc w:val="left"/>
        <w:rPr>
          <w:rFonts w:hint="eastAsia" w:cs="宋体"/>
          <w:color w:val="auto"/>
          <w:kern w:val="0"/>
        </w:rPr>
      </w:pPr>
      <w:r>
        <w:rPr>
          <w:rFonts w:hint="eastAsia" w:cs="宋体"/>
          <w:color w:val="auto"/>
          <w:kern w:val="0"/>
          <w:lang w:val="en-US" w:eastAsia="zh-CN"/>
        </w:rPr>
        <w:t>4.</w:t>
      </w:r>
      <w:r>
        <w:rPr>
          <w:rFonts w:hint="eastAsia" w:cs="宋体"/>
          <w:color w:val="auto"/>
          <w:kern w:val="0"/>
        </w:rPr>
        <w:t>质保期内，如故障在中标人检修3个工作日后仍无法排除的，采购人有权要求中标人在采购人指定期限内免费提供不低于故障设备规格型号档次的备用设备供采购人使用，直至故障排除。</w:t>
      </w:r>
    </w:p>
    <w:p w14:paraId="795B644A">
      <w:pPr>
        <w:autoSpaceDE w:val="0"/>
        <w:autoSpaceDN w:val="0"/>
        <w:spacing w:line="360" w:lineRule="auto"/>
        <w:ind w:left="0" w:leftChars="0" w:firstLine="480" w:firstLineChars="200"/>
        <w:jc w:val="left"/>
        <w:rPr>
          <w:rFonts w:hint="eastAsia" w:cs="宋体"/>
          <w:color w:val="auto"/>
          <w:kern w:val="0"/>
        </w:rPr>
      </w:pPr>
      <w:r>
        <w:rPr>
          <w:rFonts w:hint="eastAsia" w:cs="宋体"/>
          <w:color w:val="auto"/>
          <w:kern w:val="0"/>
          <w:lang w:val="en-US" w:eastAsia="zh-CN"/>
        </w:rPr>
        <w:t>5</w:t>
      </w:r>
      <w:r>
        <w:rPr>
          <w:rFonts w:hint="eastAsia" w:cs="宋体"/>
          <w:color w:val="auto"/>
          <w:kern w:val="0"/>
        </w:rPr>
        <w:t>.质保期内，如中标人未按照约定履行义务的，采购人有权自行委托第三人维修，维修费用由中标人承担。如因此造成采购人损失的，中标人应当赔偿采购人的全部损失。</w:t>
      </w:r>
    </w:p>
    <w:p w14:paraId="03E7F918">
      <w:pPr>
        <w:autoSpaceDE w:val="0"/>
        <w:autoSpaceDN w:val="0"/>
        <w:spacing w:line="360" w:lineRule="auto"/>
        <w:ind w:left="0" w:leftChars="0" w:firstLine="480" w:firstLineChars="200"/>
        <w:jc w:val="left"/>
        <w:rPr>
          <w:rFonts w:hint="eastAsia" w:cs="宋体"/>
          <w:color w:val="auto"/>
          <w:kern w:val="0"/>
        </w:rPr>
      </w:pPr>
      <w:r>
        <w:rPr>
          <w:rFonts w:hint="eastAsia" w:cs="宋体"/>
          <w:color w:val="auto"/>
          <w:kern w:val="0"/>
          <w:lang w:val="en-US" w:eastAsia="zh-CN"/>
        </w:rPr>
        <w:t>6</w:t>
      </w:r>
      <w:r>
        <w:rPr>
          <w:rFonts w:hint="eastAsia" w:cs="宋体"/>
          <w:color w:val="auto"/>
          <w:kern w:val="0"/>
        </w:rPr>
        <w:t>.质保期内出现无法排除的故障，供应商需无条件更换同型号或高于技术要求参数的产品。质保期内因不能排除的故障而影响工作的情况每发生一次，其质保期相应延长60天。</w:t>
      </w:r>
    </w:p>
    <w:p w14:paraId="2490CF0C">
      <w:pPr>
        <w:autoSpaceDE w:val="0"/>
        <w:autoSpaceDN w:val="0"/>
        <w:spacing w:line="360" w:lineRule="auto"/>
        <w:ind w:left="0" w:leftChars="0" w:firstLine="480" w:firstLineChars="200"/>
        <w:jc w:val="left"/>
        <w:rPr>
          <w:rFonts w:hint="eastAsia" w:cs="宋体"/>
          <w:color w:val="auto"/>
          <w:kern w:val="0"/>
        </w:rPr>
      </w:pPr>
      <w:r>
        <w:rPr>
          <w:rFonts w:hint="eastAsia" w:cs="宋体"/>
          <w:color w:val="auto"/>
          <w:kern w:val="0"/>
          <w:lang w:val="en-US" w:eastAsia="zh-CN"/>
        </w:rPr>
        <w:t>7</w:t>
      </w:r>
      <w:r>
        <w:rPr>
          <w:rFonts w:hint="eastAsia" w:cs="宋体"/>
          <w:color w:val="auto"/>
          <w:kern w:val="0"/>
        </w:rPr>
        <w:t>.质保期满后，供应商继续为采购人服务，仅收取零配件成本费，所涉及软件终身免费升级。</w:t>
      </w:r>
    </w:p>
    <w:p w14:paraId="280CD1E4">
      <w:pPr>
        <w:bidi w:val="0"/>
        <w:spacing w:line="360" w:lineRule="auto"/>
        <w:ind w:left="0" w:leftChars="0" w:firstLine="0" w:firstLineChars="0"/>
        <w:rPr>
          <w:rFonts w:hint="eastAsia"/>
          <w:b/>
          <w:bCs/>
        </w:rPr>
      </w:pPr>
      <w:r>
        <w:rPr>
          <w:rFonts w:hint="eastAsia"/>
          <w:b/>
          <w:bCs/>
        </w:rPr>
        <w:t>（三）验收要求</w:t>
      </w:r>
      <w:bookmarkEnd w:id="17"/>
    </w:p>
    <w:p w14:paraId="685A083E">
      <w:pPr>
        <w:bidi w:val="0"/>
        <w:spacing w:line="360" w:lineRule="auto"/>
      </w:pPr>
      <w:r>
        <w:rPr>
          <w:rFonts w:hint="eastAsia"/>
        </w:rPr>
        <w:t>1</w:t>
      </w:r>
      <w:r>
        <w:rPr>
          <w:rFonts w:hint="eastAsia"/>
          <w:lang w:eastAsia="zh-CN"/>
        </w:rPr>
        <w:t>.</w:t>
      </w:r>
      <w:r>
        <w:rPr>
          <w:rFonts w:hint="eastAsia"/>
        </w:rPr>
        <w:t>验收时间：中标人在设备送达指定地点并安装调试完毕后，书面通知采购人验</w:t>
      </w:r>
      <w:r>
        <w:rPr>
          <w:rFonts w:hint="eastAsia"/>
          <w:lang w:eastAsia="zh-CN"/>
        </w:rPr>
        <w:t>收</w:t>
      </w:r>
      <w:r>
        <w:rPr>
          <w:rFonts w:hint="eastAsia"/>
        </w:rPr>
        <w:t>。</w:t>
      </w:r>
    </w:p>
    <w:p w14:paraId="495CDCE5">
      <w:pPr>
        <w:bidi w:val="0"/>
        <w:spacing w:line="360" w:lineRule="auto"/>
        <w:rPr>
          <w:rFonts w:cs="宋体"/>
          <w:color w:val="auto"/>
          <w:kern w:val="0"/>
        </w:rPr>
      </w:pPr>
      <w:r>
        <w:rPr>
          <w:rFonts w:hint="eastAsia"/>
        </w:rPr>
        <w:t>2</w:t>
      </w:r>
      <w:r>
        <w:rPr>
          <w:rFonts w:hint="eastAsia"/>
          <w:lang w:eastAsia="zh-CN"/>
        </w:rPr>
        <w:t>.</w:t>
      </w:r>
      <w:r>
        <w:rPr>
          <w:rFonts w:hint="eastAsia"/>
        </w:rPr>
        <w:t>验收：根据行业相关标准及招标文件、投标文件相应技术要求，由采购人组织验收。</w:t>
      </w:r>
    </w:p>
    <w:p w14:paraId="02049A06">
      <w:pPr>
        <w:bidi w:val="0"/>
        <w:spacing w:line="360" w:lineRule="auto"/>
        <w:ind w:left="0" w:leftChars="0" w:firstLine="0" w:firstLineChars="0"/>
        <w:rPr>
          <w:rFonts w:hint="eastAsia"/>
          <w:b/>
          <w:bCs/>
        </w:rPr>
      </w:pPr>
      <w:bookmarkStart w:id="18" w:name="_Toc1306"/>
      <w:r>
        <w:rPr>
          <w:rFonts w:hint="eastAsia"/>
          <w:b/>
          <w:bCs/>
        </w:rPr>
        <w:t>（四）</w:t>
      </w:r>
      <w:bookmarkEnd w:id="18"/>
      <w:bookmarkStart w:id="19" w:name="_Toc14890"/>
      <w:r>
        <w:rPr>
          <w:rFonts w:hint="eastAsia"/>
          <w:b/>
          <w:bCs/>
        </w:rPr>
        <w:t>送货调试安装</w:t>
      </w:r>
    </w:p>
    <w:p w14:paraId="06DCDBD0">
      <w:pPr>
        <w:bidi w:val="0"/>
        <w:spacing w:line="360" w:lineRule="auto"/>
        <w:ind w:left="0" w:leftChars="0" w:firstLine="480" w:firstLineChars="200"/>
        <w:rPr>
          <w:rFonts w:hint="eastAsia"/>
          <w:b w:val="0"/>
          <w:bCs w:val="0"/>
        </w:rPr>
      </w:pPr>
      <w:r>
        <w:rPr>
          <w:rFonts w:hint="eastAsia"/>
          <w:b w:val="0"/>
          <w:bCs w:val="0"/>
          <w:lang w:val="en-US" w:eastAsia="zh-CN"/>
        </w:rPr>
        <w:t>1.</w:t>
      </w:r>
      <w:r>
        <w:rPr>
          <w:rFonts w:hint="eastAsia"/>
          <w:b w:val="0"/>
          <w:bCs w:val="0"/>
        </w:rPr>
        <w:t>供应商应按招标文件规定的货物性能、技术要求、质量标准向采购人提供未经使用的全新产品，符合国家法律法规规定和技术规格、质量标准的出厂原装合格产品。供应商应派采购人认可的有经验和能力、具有相应资质的技术人员，负责系统设备安装工作，在设备安装期间应充分了解设备安装进度要求，解决安装中出现的技术问题。</w:t>
      </w:r>
    </w:p>
    <w:p w14:paraId="4266A9E7">
      <w:pPr>
        <w:bidi w:val="0"/>
        <w:spacing w:line="360" w:lineRule="auto"/>
        <w:ind w:left="0" w:leftChars="0" w:firstLine="480" w:firstLineChars="200"/>
        <w:rPr>
          <w:rFonts w:hint="eastAsia"/>
          <w:b w:val="0"/>
          <w:bCs w:val="0"/>
          <w:lang w:val="en-US" w:eastAsia="zh-CN"/>
        </w:rPr>
      </w:pPr>
      <w:r>
        <w:rPr>
          <w:rFonts w:hint="eastAsia"/>
          <w:b w:val="0"/>
          <w:bCs w:val="0"/>
          <w:lang w:val="en-US" w:eastAsia="zh-CN"/>
        </w:rPr>
        <w:t>2.调试所需专用工具设施物料由供应商自备、自费运到现场，完工后自费搬走。送货、调试过程中发生的费用由中标供应商负责。</w:t>
      </w:r>
    </w:p>
    <w:p w14:paraId="4D65673B">
      <w:pPr>
        <w:bidi w:val="0"/>
        <w:spacing w:line="360" w:lineRule="auto"/>
        <w:ind w:left="0" w:leftChars="0" w:firstLine="480" w:firstLineChars="200"/>
        <w:rPr>
          <w:rFonts w:hint="default"/>
          <w:b w:val="0"/>
          <w:bCs w:val="0"/>
          <w:lang w:val="en-US" w:eastAsia="zh-CN"/>
        </w:rPr>
      </w:pPr>
      <w:r>
        <w:rPr>
          <w:rFonts w:hint="eastAsia"/>
          <w:b w:val="0"/>
          <w:bCs w:val="0"/>
          <w:lang w:val="en-US" w:eastAsia="zh-CN"/>
        </w:rPr>
        <w:t>3.设备的拆箱、通电、调试等各项工作由供应商负责，但必须在采购人指定人员的参与下进行。在实际实施前必须先经采购人同意方可进行。调试的原始记录须经各方签字后作为验收的文件之一。</w:t>
      </w:r>
    </w:p>
    <w:bookmarkEnd w:id="19"/>
    <w:p w14:paraId="45FFDCA7">
      <w:pPr>
        <w:bidi w:val="0"/>
        <w:spacing w:line="360" w:lineRule="auto"/>
        <w:ind w:left="0" w:leftChars="0" w:firstLine="0" w:firstLineChars="0"/>
        <w:rPr>
          <w:rFonts w:cs="宋体"/>
          <w:color w:val="auto"/>
        </w:rPr>
      </w:pPr>
      <w:bookmarkStart w:id="20" w:name="_Toc10927"/>
      <w:r>
        <w:rPr>
          <w:rFonts w:hint="eastAsia"/>
          <w:b/>
          <w:bCs/>
        </w:rPr>
        <w:t>（</w:t>
      </w:r>
      <w:r>
        <w:rPr>
          <w:rFonts w:hint="eastAsia"/>
          <w:b/>
          <w:bCs/>
          <w:lang w:val="en-US" w:eastAsia="zh-CN"/>
        </w:rPr>
        <w:t>五</w:t>
      </w:r>
      <w:r>
        <w:rPr>
          <w:rFonts w:hint="eastAsia"/>
          <w:b/>
          <w:bCs/>
        </w:rPr>
        <w:t>）培训要求</w:t>
      </w:r>
      <w:bookmarkEnd w:id="20"/>
    </w:p>
    <w:p w14:paraId="2BEC2DB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b/>
          <w:bCs/>
          <w:lang w:eastAsia="zh-CN"/>
        </w:rPr>
      </w:pPr>
      <w:r>
        <w:rPr>
          <w:rFonts w:hint="eastAsia" w:cs="宋体"/>
          <w:color w:val="auto"/>
        </w:rPr>
        <w:t>中标人负责对中标产品的操作培训、应用等与产品使用、维护等相关的技术问题，对采购人的操作人员、维修人员进行用户现场培训，培训内容包括硬件和软件使用；培训地点用户指定，不限制人数，可根据需要延长培训时间。培训后要求采购人相关人员达到能熟练掌握产品操作与设置等的基本原理与应用技术。投标文件中提供详细培训方案。</w:t>
      </w:r>
    </w:p>
    <w:p w14:paraId="1E66A12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eastAsia="宋体"/>
          <w:b/>
          <w:bCs/>
          <w:lang w:val="en-US" w:eastAsia="zh-CN"/>
        </w:rPr>
      </w:pPr>
      <w:r>
        <w:rPr>
          <w:rFonts w:hint="eastAsia"/>
          <w:b/>
          <w:bCs/>
          <w:lang w:val="en-US" w:eastAsia="zh-CN"/>
        </w:rPr>
        <w:t>（六）售后服务要求</w:t>
      </w:r>
    </w:p>
    <w:p w14:paraId="368C3613">
      <w:pPr>
        <w:spacing w:line="360" w:lineRule="auto"/>
        <w:ind w:firstLine="480" w:firstLineChars="200"/>
        <w:rPr>
          <w:rFonts w:cs="宋体"/>
          <w:color w:val="auto"/>
        </w:rPr>
      </w:pPr>
      <w:r>
        <w:rPr>
          <w:rFonts w:hint="eastAsia" w:cs="宋体"/>
          <w:color w:val="auto"/>
        </w:rPr>
        <w:t>1.质保期内出现的质量问题，</w:t>
      </w:r>
      <w:r>
        <w:rPr>
          <w:rFonts w:hint="eastAsia" w:cs="宋体"/>
          <w:color w:val="auto"/>
          <w:lang w:eastAsia="zh-CN"/>
        </w:rPr>
        <w:t>中标人</w:t>
      </w:r>
      <w:r>
        <w:rPr>
          <w:rFonts w:hint="eastAsia" w:cs="宋体"/>
          <w:color w:val="auto"/>
        </w:rPr>
        <w:t>必须在接到</w:t>
      </w:r>
      <w:r>
        <w:rPr>
          <w:rFonts w:hint="eastAsia" w:cs="宋体"/>
          <w:color w:val="auto"/>
          <w:lang w:eastAsia="zh-CN"/>
        </w:rPr>
        <w:t>采购人</w:t>
      </w:r>
      <w:r>
        <w:rPr>
          <w:rFonts w:hint="eastAsia" w:cs="宋体"/>
          <w:color w:val="auto"/>
        </w:rPr>
        <w:t>通知后</w:t>
      </w:r>
      <w:r>
        <w:rPr>
          <w:rFonts w:hint="eastAsia" w:cs="宋体"/>
          <w:color w:val="auto"/>
          <w:lang w:val="en-US" w:eastAsia="zh-CN"/>
        </w:rPr>
        <w:t>3</w:t>
      </w:r>
      <w:r>
        <w:rPr>
          <w:rFonts w:hint="eastAsia" w:cs="宋体"/>
          <w:color w:val="auto"/>
        </w:rPr>
        <w:t>小时内</w:t>
      </w:r>
      <w:r>
        <w:rPr>
          <w:rFonts w:hint="eastAsia" w:cs="宋体"/>
          <w:color w:val="auto"/>
          <w:lang w:eastAsia="zh-CN"/>
        </w:rPr>
        <w:t>到达现场</w:t>
      </w:r>
      <w:r>
        <w:rPr>
          <w:rFonts w:hint="eastAsia" w:cs="宋体"/>
          <w:color w:val="auto"/>
        </w:rPr>
        <w:t>响应，24小时内解决问题；如在24小时之内仍不能排除故障的，</w:t>
      </w:r>
      <w:r>
        <w:rPr>
          <w:rFonts w:hint="eastAsia" w:cs="宋体"/>
          <w:color w:val="auto"/>
          <w:lang w:eastAsia="zh-CN"/>
        </w:rPr>
        <w:t>中标人</w:t>
      </w:r>
      <w:r>
        <w:rPr>
          <w:rFonts w:hint="eastAsia" w:cs="宋体"/>
          <w:color w:val="auto"/>
        </w:rPr>
        <w:t>应提供与原产品相同或不低于原产品档次的备用产品。故障排除后</w:t>
      </w:r>
      <w:r>
        <w:rPr>
          <w:rFonts w:hint="eastAsia" w:cs="宋体"/>
          <w:color w:val="auto"/>
          <w:lang w:eastAsia="zh-CN"/>
        </w:rPr>
        <w:t>中标人</w:t>
      </w:r>
      <w:r>
        <w:rPr>
          <w:rFonts w:hint="eastAsia" w:cs="宋体"/>
          <w:color w:val="auto"/>
        </w:rPr>
        <w:t>应出具书面故障诊断报告备案。</w:t>
      </w:r>
    </w:p>
    <w:p w14:paraId="6BDF7EE7">
      <w:pPr>
        <w:spacing w:line="360" w:lineRule="auto"/>
        <w:ind w:firstLine="480" w:firstLineChars="200"/>
        <w:rPr>
          <w:rFonts w:cs="宋体"/>
          <w:color w:val="auto"/>
        </w:rPr>
      </w:pPr>
      <w:r>
        <w:rPr>
          <w:rFonts w:hint="eastAsia" w:cs="宋体"/>
          <w:color w:val="auto"/>
        </w:rPr>
        <w:t>2.出现故障后，</w:t>
      </w:r>
      <w:r>
        <w:rPr>
          <w:rFonts w:hint="eastAsia" w:cs="宋体"/>
          <w:color w:val="auto"/>
          <w:lang w:eastAsia="zh-CN"/>
        </w:rPr>
        <w:t>中标人</w:t>
      </w:r>
      <w:r>
        <w:rPr>
          <w:rFonts w:hint="eastAsia" w:cs="宋体"/>
          <w:color w:val="auto"/>
        </w:rPr>
        <w:t>如未按上述要求进行响应，</w:t>
      </w:r>
      <w:r>
        <w:rPr>
          <w:rFonts w:hint="eastAsia" w:cs="宋体"/>
          <w:color w:val="auto"/>
          <w:lang w:eastAsia="zh-CN"/>
        </w:rPr>
        <w:t>采购人</w:t>
      </w:r>
      <w:r>
        <w:rPr>
          <w:rFonts w:hint="eastAsia" w:cs="宋体"/>
          <w:color w:val="auto"/>
        </w:rPr>
        <w:t>可以采取必要的补救措施，由此产生的风险和费用全部由</w:t>
      </w:r>
      <w:r>
        <w:rPr>
          <w:rFonts w:hint="eastAsia" w:cs="宋体"/>
          <w:color w:val="auto"/>
          <w:lang w:eastAsia="zh-CN"/>
        </w:rPr>
        <w:t>中标人</w:t>
      </w:r>
      <w:r>
        <w:rPr>
          <w:rFonts w:hint="eastAsia" w:cs="宋体"/>
          <w:color w:val="auto"/>
        </w:rPr>
        <w:t>承担。</w:t>
      </w:r>
    </w:p>
    <w:p w14:paraId="008ADDA4">
      <w:pPr>
        <w:spacing w:line="360" w:lineRule="auto"/>
        <w:ind w:firstLine="480" w:firstLineChars="200"/>
        <w:rPr>
          <w:rFonts w:hint="eastAsia" w:cs="宋体"/>
          <w:color w:val="auto"/>
        </w:rPr>
      </w:pPr>
      <w:r>
        <w:rPr>
          <w:rFonts w:hint="eastAsia" w:cs="宋体"/>
          <w:color w:val="auto"/>
        </w:rPr>
        <w:t>3.质保期内，除人为损坏和不可抗力外，期间所产生的任何维护或维修及更换配件的费用均由</w:t>
      </w:r>
      <w:r>
        <w:rPr>
          <w:rFonts w:hint="eastAsia" w:cs="宋体"/>
          <w:color w:val="auto"/>
          <w:lang w:eastAsia="zh-CN"/>
        </w:rPr>
        <w:t>中标人</w:t>
      </w:r>
      <w:r>
        <w:rPr>
          <w:rFonts w:hint="eastAsia" w:cs="宋体"/>
          <w:color w:val="auto"/>
        </w:rPr>
        <w:t>承担。</w:t>
      </w:r>
    </w:p>
    <w:p w14:paraId="65F2D10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lang w:val="en-US" w:eastAsia="zh-CN"/>
        </w:rPr>
      </w:pPr>
      <w:r>
        <w:rPr>
          <w:rFonts w:hint="eastAsia" w:cs="宋体"/>
          <w:color w:val="auto"/>
          <w:lang w:val="en-US" w:eastAsia="zh-CN"/>
        </w:rPr>
        <w:t>4.质保期外，中标人仍应提供不低于质保期内水平的质量保障，相关维护费用不得超过项目采购价的5%。</w:t>
      </w:r>
    </w:p>
    <w:p w14:paraId="49E05F72">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b/>
          <w:bCs/>
        </w:rPr>
      </w:pPr>
      <w:r>
        <w:rPr>
          <w:rFonts w:hint="eastAsia"/>
          <w:b/>
          <w:bCs/>
          <w:lang w:eastAsia="zh-CN"/>
        </w:rPr>
        <w:t>六</w:t>
      </w:r>
      <w:r>
        <w:rPr>
          <w:rFonts w:hint="eastAsia"/>
          <w:b/>
          <w:bCs/>
        </w:rPr>
        <w:t>、▲商务要求</w:t>
      </w:r>
    </w:p>
    <w:p w14:paraId="2C1F99D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b/>
          <w:bCs/>
        </w:rPr>
      </w:pPr>
      <w:r>
        <w:rPr>
          <w:rFonts w:hint="eastAsia"/>
          <w:b/>
          <w:bCs/>
          <w:lang w:eastAsia="zh-CN"/>
        </w:rPr>
        <w:t>（一）</w:t>
      </w:r>
      <w:bookmarkStart w:id="21" w:name="_Toc14375"/>
      <w:bookmarkStart w:id="22" w:name="_Toc3643"/>
      <w:r>
        <w:rPr>
          <w:rFonts w:hint="eastAsia"/>
          <w:b/>
          <w:bCs/>
          <w:lang w:eastAsia="zh-CN"/>
        </w:rPr>
        <w:t>供货期限、地点</w:t>
      </w:r>
    </w:p>
    <w:p w14:paraId="7804D92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lang w:val="en-US" w:eastAsia="zh-CN"/>
        </w:rPr>
      </w:pPr>
      <w:r>
        <w:rPr>
          <w:rFonts w:hint="eastAsia"/>
          <w:lang w:val="en-US" w:eastAsia="zh-CN"/>
        </w:rPr>
        <w:t>1.供货期限</w:t>
      </w:r>
      <w:r>
        <w:rPr>
          <w:rFonts w:hint="eastAsia"/>
        </w:rPr>
        <w:t>：</w:t>
      </w:r>
      <w:r>
        <w:rPr>
          <w:rFonts w:hint="eastAsia" w:cs="宋体"/>
          <w:lang w:eastAsia="zh-CN"/>
        </w:rPr>
        <w:t>四个标项均于</w:t>
      </w:r>
      <w:r>
        <w:rPr>
          <w:rFonts w:hint="eastAsia"/>
          <w:lang w:val="en-US" w:eastAsia="zh-CN"/>
        </w:rPr>
        <w:t>2025年5月30日之前完成供货、安装、调试</w:t>
      </w:r>
      <w:r>
        <w:rPr>
          <w:rFonts w:hint="eastAsia" w:ascii="宋体" w:hAnsi="宋体" w:eastAsia="宋体" w:cs="宋体"/>
          <w:lang w:val="en-US" w:eastAsia="zh-CN"/>
        </w:rPr>
        <w:t>。</w:t>
      </w:r>
    </w:p>
    <w:p w14:paraId="4C41E4F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lang w:eastAsia="zh-CN"/>
        </w:rPr>
      </w:pPr>
      <w:r>
        <w:rPr>
          <w:rFonts w:hint="eastAsia"/>
          <w:lang w:val="en-US" w:eastAsia="zh-CN"/>
        </w:rPr>
        <w:t>2.供货</w:t>
      </w:r>
      <w:r>
        <w:rPr>
          <w:rFonts w:hint="eastAsia"/>
        </w:rPr>
        <w:t>地点：</w:t>
      </w:r>
      <w:r>
        <w:rPr>
          <w:rFonts w:hint="eastAsia"/>
          <w:lang w:eastAsia="zh-CN"/>
        </w:rPr>
        <w:t>招标人指定地点。</w:t>
      </w:r>
    </w:p>
    <w:bookmarkEnd w:id="21"/>
    <w:bookmarkEnd w:id="22"/>
    <w:p w14:paraId="2FED2FDB">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b/>
          <w:bCs/>
          <w:color w:val="FF0000"/>
        </w:rPr>
      </w:pPr>
      <w:bookmarkStart w:id="23" w:name="_Toc30601"/>
      <w:bookmarkStart w:id="24" w:name="_Toc32145"/>
      <w:r>
        <w:rPr>
          <w:rFonts w:hint="eastAsia"/>
          <w:b/>
          <w:bCs/>
          <w:color w:val="auto"/>
          <w:lang w:eastAsia="zh-CN"/>
        </w:rPr>
        <w:t>（二）</w:t>
      </w:r>
      <w:r>
        <w:rPr>
          <w:rFonts w:hint="eastAsia"/>
          <w:b/>
          <w:bCs/>
          <w:color w:val="auto"/>
        </w:rPr>
        <w:t>付款方式</w:t>
      </w:r>
    </w:p>
    <w:p w14:paraId="2F11BE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▲根据《保障中小企业款项支付条例》、</w:t>
      </w:r>
      <w:r>
        <w:rPr>
          <w:rFonts w:hint="eastAsia" w:cs="宋体"/>
          <w:highlight w:val="none"/>
        </w:rPr>
        <w:t>省财政厅《浙江省财政厅关于进一步发挥政府采购政策功能全力推动经济稳进提质的通知》（浙财采监【2022】3号）要求</w:t>
      </w:r>
      <w:r>
        <w:rPr>
          <w:rFonts w:hint="eastAsia" w:ascii="宋体" w:hAnsi="宋体" w:eastAsia="宋体" w:cs="宋体"/>
          <w:sz w:val="24"/>
          <w:szCs w:val="24"/>
        </w:rPr>
        <w:t xml:space="preserve">，制定如下付款方式：        </w:t>
      </w:r>
    </w:p>
    <w:p w14:paraId="7F99A99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1.采购人自合同生效及具备实施条件后7个工作日内支付预付款，也即合同金额的40%；（注：若中标供应商明确表示无需预付款或者主动要求降低预付款比例的，采购人可不适用前述规定。）</w:t>
      </w:r>
    </w:p>
    <w:p w14:paraId="02EF4D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2.全部</w:t>
      </w:r>
      <w:r>
        <w:rPr>
          <w:rFonts w:hint="eastAsia" w:cs="宋体"/>
          <w:sz w:val="24"/>
          <w:szCs w:val="24"/>
          <w:lang w:eastAsia="zh-CN"/>
        </w:rPr>
        <w:t>产品</w:t>
      </w:r>
      <w:r>
        <w:rPr>
          <w:rFonts w:hint="eastAsia" w:ascii="宋体" w:hAnsi="宋体" w:eastAsia="宋体" w:cs="宋体"/>
          <w:sz w:val="24"/>
          <w:szCs w:val="24"/>
        </w:rPr>
        <w:t>完成</w:t>
      </w:r>
      <w:r>
        <w:rPr>
          <w:rFonts w:hint="eastAsia" w:cs="宋体"/>
          <w:sz w:val="24"/>
          <w:szCs w:val="24"/>
          <w:lang w:eastAsia="zh-CN"/>
        </w:rPr>
        <w:t>供货、安装、调试</w:t>
      </w:r>
      <w:r>
        <w:rPr>
          <w:rFonts w:hint="eastAsia" w:ascii="宋体" w:hAnsi="宋体" w:eastAsia="宋体" w:cs="宋体"/>
          <w:sz w:val="24"/>
          <w:szCs w:val="24"/>
        </w:rPr>
        <w:t>后进行初验，初验合格后支付</w:t>
      </w:r>
      <w:r>
        <w:rPr>
          <w:rFonts w:hint="eastAsia" w:cs="宋体"/>
          <w:sz w:val="24"/>
          <w:szCs w:val="24"/>
          <w:lang w:val="en-US" w:eastAsia="zh-CN"/>
        </w:rPr>
        <w:t>至</w:t>
      </w:r>
      <w:r>
        <w:rPr>
          <w:rFonts w:hint="eastAsia" w:ascii="宋体" w:hAnsi="宋体" w:eastAsia="宋体" w:cs="宋体"/>
          <w:sz w:val="24"/>
          <w:szCs w:val="24"/>
        </w:rPr>
        <w:t>合同金额的</w:t>
      </w:r>
      <w:r>
        <w:rPr>
          <w:rFonts w:hint="eastAsia" w:cs="宋体"/>
          <w:sz w:val="24"/>
          <w:szCs w:val="24"/>
          <w:lang w:val="en-US" w:eastAsia="zh-CN"/>
        </w:rPr>
        <w:t>9</w:t>
      </w:r>
      <w:r>
        <w:rPr>
          <w:rFonts w:hint="eastAsia" w:ascii="宋体" w:hAnsi="宋体" w:eastAsia="宋体" w:cs="宋体"/>
          <w:sz w:val="24"/>
          <w:szCs w:val="24"/>
        </w:rPr>
        <w:t>0%，终验合格后支付剩余款项10%。</w:t>
      </w:r>
    </w:p>
    <w:p w14:paraId="1AF13C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sz w:val="24"/>
          <w:szCs w:val="24"/>
          <w:lang w:eastAsia="zh-CN"/>
        </w:rPr>
      </w:pPr>
      <w:r>
        <w:rPr>
          <w:rFonts w:hint="eastAsia" w:ascii="宋体" w:hAnsi="宋体" w:eastAsia="宋体" w:cs="宋体"/>
          <w:sz w:val="24"/>
          <w:szCs w:val="24"/>
        </w:rPr>
        <w:t>如遇合同期内未完成验收，中标供应商必须出具与付款金额相对应的担保措施，担保措施可以是银行、保险公司等金融机构出具的预付款保函或其他担保措施。在出具保函证明后完成余款支付。采购人在收到货物</w:t>
      </w:r>
      <w:r>
        <w:rPr>
          <w:rFonts w:hint="eastAsia" w:cs="宋体"/>
          <w:sz w:val="24"/>
          <w:szCs w:val="24"/>
          <w:lang w:eastAsia="zh-CN"/>
        </w:rPr>
        <w:t>后</w:t>
      </w:r>
      <w:r>
        <w:rPr>
          <w:rFonts w:hint="eastAsia" w:ascii="宋体" w:hAnsi="宋体" w:eastAsia="宋体" w:cs="宋体"/>
          <w:sz w:val="24"/>
          <w:szCs w:val="24"/>
        </w:rPr>
        <w:t>验收完毕，并出具验收报告后，办理解除担保的相关材料。</w:t>
      </w:r>
    </w:p>
    <w:p w14:paraId="0C8E2FE1">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b/>
          <w:bCs/>
          <w:lang w:eastAsia="zh-CN"/>
        </w:rPr>
      </w:pPr>
      <w:r>
        <w:rPr>
          <w:rFonts w:hint="eastAsia"/>
          <w:b/>
          <w:bCs/>
          <w:lang w:eastAsia="zh-CN"/>
        </w:rPr>
        <w:t>（三）</w:t>
      </w:r>
      <w:r>
        <w:rPr>
          <w:rFonts w:hint="eastAsia"/>
          <w:b/>
          <w:bCs/>
        </w:rPr>
        <w:t>履约保证金</w:t>
      </w:r>
    </w:p>
    <w:p w14:paraId="3421DB3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s="宋体"/>
          <w:b/>
          <w:bCs/>
          <w:kern w:val="0"/>
          <w:sz w:val="24"/>
          <w:szCs w:val="24"/>
          <w:lang w:eastAsia="zh-CN"/>
        </w:rPr>
      </w:pPr>
      <w:r>
        <w:rPr>
          <w:rFonts w:hint="eastAsia" w:asciiTheme="minorEastAsia" w:hAnsiTheme="minorEastAsia" w:eastAsiaTheme="minorEastAsia" w:cstheme="minorEastAsia"/>
          <w:color w:val="auto"/>
          <w:kern w:val="2"/>
          <w:sz w:val="24"/>
          <w:szCs w:val="24"/>
          <w:highlight w:val="none"/>
          <w:lang w:val="en-US" w:eastAsia="zh-CN" w:bidi="ar-SA"/>
        </w:rPr>
        <w:t>履约保证金为合同金额的1%；履约保证金形式为：中标</w:t>
      </w:r>
      <w:r>
        <w:rPr>
          <w:rFonts w:hint="eastAsia" w:ascii="宋体" w:hAnsi="宋体" w:cs="宋体"/>
          <w:b w:val="0"/>
          <w:bCs/>
          <w:color w:val="auto"/>
          <w:sz w:val="24"/>
          <w:highlight w:val="none"/>
        </w:rPr>
        <w:t>人应当以支票、汇票、本票或者金融机构、担保机构出具的保函等非现金形式提交。鼓励和支持</w:t>
      </w:r>
      <w:r>
        <w:rPr>
          <w:rFonts w:hint="eastAsia" w:asciiTheme="minorEastAsia" w:hAnsiTheme="minorEastAsia" w:eastAsiaTheme="minorEastAsia" w:cstheme="minorEastAsia"/>
          <w:color w:val="auto"/>
          <w:kern w:val="2"/>
          <w:sz w:val="24"/>
          <w:szCs w:val="24"/>
          <w:highlight w:val="none"/>
          <w:lang w:val="en-US" w:eastAsia="zh-CN" w:bidi="ar-SA"/>
        </w:rPr>
        <w:t>中标</w:t>
      </w:r>
      <w:r>
        <w:rPr>
          <w:rFonts w:hint="eastAsia" w:ascii="宋体" w:hAnsi="宋体" w:cs="宋体"/>
          <w:b w:val="0"/>
          <w:bCs/>
          <w:color w:val="auto"/>
          <w:sz w:val="24"/>
          <w:highlight w:val="none"/>
        </w:rPr>
        <w:t>人以银行、保险公司出具的保函形式提供履约保证金</w:t>
      </w:r>
      <w:r>
        <w:rPr>
          <w:rFonts w:hint="eastAsia" w:asciiTheme="minorEastAsia" w:hAnsiTheme="minorEastAsia" w:eastAsiaTheme="minorEastAsia" w:cstheme="minorEastAsia"/>
          <w:color w:val="auto"/>
          <w:kern w:val="2"/>
          <w:sz w:val="24"/>
          <w:szCs w:val="24"/>
          <w:highlight w:val="none"/>
          <w:lang w:val="en-US" w:eastAsia="zh-CN" w:bidi="ar-SA"/>
        </w:rPr>
        <w:t>；中标人应根据采购人要求汇入采购人指定账号或提供保函。合同履约完毕，履约保证金无息退还。</w:t>
      </w:r>
    </w:p>
    <w:p w14:paraId="25753D13">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cs="宋体"/>
          <w:b/>
          <w:bCs/>
          <w:kern w:val="0"/>
          <w:sz w:val="24"/>
          <w:szCs w:val="24"/>
          <w:lang w:eastAsia="zh-CN"/>
        </w:rPr>
      </w:pPr>
      <w:r>
        <w:rPr>
          <w:rFonts w:hint="eastAsia" w:cs="宋体"/>
          <w:b/>
          <w:bCs/>
          <w:kern w:val="0"/>
          <w:sz w:val="24"/>
          <w:szCs w:val="24"/>
          <w:lang w:eastAsia="zh-CN"/>
        </w:rPr>
        <w:t>（四）品牌认定</w:t>
      </w:r>
    </w:p>
    <w:p w14:paraId="1536C54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cs="宋体"/>
          <w:b/>
          <w:bCs/>
          <w:kern w:val="0"/>
          <w:sz w:val="24"/>
          <w:szCs w:val="24"/>
          <w:lang w:eastAsia="zh-CN"/>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CC240E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cs="宋体"/>
          <w:b/>
          <w:bCs/>
          <w:kern w:val="0"/>
          <w:sz w:val="24"/>
          <w:szCs w:val="24"/>
          <w:lang w:eastAsia="zh-CN"/>
        </w:rPr>
      </w:pPr>
      <w:r>
        <w:rPr>
          <w:rFonts w:hint="eastAsia" w:cs="宋体"/>
          <w:b/>
          <w:bCs/>
          <w:kern w:val="0"/>
          <w:sz w:val="24"/>
          <w:szCs w:val="24"/>
          <w:lang w:eastAsia="zh-CN"/>
        </w:rPr>
        <w:t>（五）政策说明</w:t>
      </w:r>
    </w:p>
    <w:p w14:paraId="678BD7A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cs="宋体"/>
          <w:b/>
          <w:bCs/>
          <w:kern w:val="0"/>
          <w:sz w:val="24"/>
          <w:szCs w:val="24"/>
          <w:lang w:val="en-US" w:eastAsia="zh-CN"/>
        </w:rPr>
        <w:t>1.</w:t>
      </w:r>
      <w:r>
        <w:rPr>
          <w:rFonts w:hint="eastAsia" w:ascii="宋体" w:hAnsi="宋体" w:eastAsia="宋体" w:cs="宋体"/>
          <w:b/>
          <w:bCs/>
          <w:kern w:val="0"/>
          <w:sz w:val="24"/>
          <w:szCs w:val="24"/>
        </w:rPr>
        <w:t>本项目采购标的对应的中小企业划分标准所属行业为</w:t>
      </w:r>
      <w:r>
        <w:rPr>
          <w:rFonts w:hint="eastAsia" w:cs="宋体"/>
          <w:b/>
          <w:bCs/>
          <w:kern w:val="0"/>
          <w:sz w:val="24"/>
          <w:szCs w:val="24"/>
          <w:u w:val="single"/>
          <w:lang w:eastAsia="zh-CN"/>
        </w:rPr>
        <w:t>工</w:t>
      </w:r>
      <w:r>
        <w:rPr>
          <w:rFonts w:hint="eastAsia" w:ascii="宋体" w:hAnsi="宋体" w:cs="宋体"/>
          <w:b/>
          <w:bCs/>
          <w:kern w:val="0"/>
          <w:sz w:val="24"/>
          <w:u w:val="single"/>
        </w:rPr>
        <w:t>业</w:t>
      </w:r>
      <w:r>
        <w:rPr>
          <w:rFonts w:hint="eastAsia" w:ascii="宋体" w:hAnsi="宋体" w:eastAsia="宋体" w:cs="宋体"/>
          <w:b/>
          <w:bCs/>
          <w:sz w:val="24"/>
          <w:szCs w:val="24"/>
          <w:lang w:val="en-US" w:eastAsia="zh-CN"/>
        </w:rPr>
        <w:t>。</w:t>
      </w:r>
    </w:p>
    <w:p w14:paraId="0D05371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lang w:eastAsia="zh-CN"/>
        </w:rPr>
      </w:pPr>
      <w:r>
        <w:rPr>
          <w:rFonts w:hint="eastAsia" w:ascii="宋体" w:hAnsi="宋体" w:eastAsia="宋体" w:cs="宋体"/>
          <w:b w:val="0"/>
          <w:bCs w:val="0"/>
          <w:kern w:val="0"/>
          <w:sz w:val="24"/>
          <w:szCs w:val="24"/>
        </w:rPr>
        <w:t>2.依据《</w:t>
      </w:r>
      <w:r>
        <w:rPr>
          <w:rFonts w:hint="eastAsia" w:ascii="宋体" w:hAnsi="宋体" w:eastAsia="宋体" w:cs="宋体"/>
          <w:b w:val="0"/>
          <w:bCs w:val="0"/>
          <w:kern w:val="0"/>
          <w:sz w:val="24"/>
          <w:szCs w:val="24"/>
          <w:lang w:eastAsia="zh-Hans"/>
        </w:rPr>
        <w:t>政府采购促进中小企业发展管理办法》</w:t>
      </w:r>
      <w:r>
        <w:rPr>
          <w:rFonts w:hint="eastAsia" w:ascii="宋体" w:hAnsi="宋体" w:eastAsia="宋体" w:cs="宋体"/>
          <w:b w:val="0"/>
          <w:bCs w:val="0"/>
          <w:kern w:val="0"/>
          <w:sz w:val="24"/>
          <w:szCs w:val="24"/>
        </w:rPr>
        <w:t>（财库【2020】46号）规定享受扶持政策获得政府采购合同的，小微企业不得将合同分包给大中型企业，中型企业不得将合同分包给大型企业。</w:t>
      </w:r>
    </w:p>
    <w:bookmarkEnd w:id="14"/>
    <w:bookmarkEnd w:id="23"/>
    <w:bookmarkEnd w:id="24"/>
    <w:p w14:paraId="1C57B4D4">
      <w:pPr>
        <w:bidi w:val="0"/>
        <w:spacing w:line="360" w:lineRule="auto"/>
        <w:ind w:left="0" w:leftChars="0" w:firstLine="0" w:firstLineChars="0"/>
        <w:rPr>
          <w:rFonts w:hint="eastAsia"/>
          <w:b/>
          <w:bCs/>
          <w:lang w:eastAsia="zh-CN"/>
        </w:rPr>
      </w:pPr>
      <w:bookmarkStart w:id="25" w:name="_Toc17984"/>
      <w:r>
        <w:rPr>
          <w:rFonts w:hint="eastAsia"/>
          <w:b/>
          <w:bCs/>
          <w:lang w:eastAsia="zh-CN"/>
        </w:rPr>
        <w:t>（六）合同履行</w:t>
      </w:r>
    </w:p>
    <w:p w14:paraId="027E2567">
      <w:pPr>
        <w:tabs>
          <w:tab w:val="left" w:pos="421"/>
        </w:tabs>
        <w:bidi w:val="0"/>
        <w:spacing w:line="360" w:lineRule="auto"/>
        <w:ind w:left="0" w:leftChars="0" w:firstLine="480" w:firstLineChars="200"/>
        <w:jc w:val="left"/>
        <w:rPr>
          <w:rFonts w:hint="eastAsia"/>
          <w:lang w:val="en-US" w:eastAsia="zh-CN"/>
        </w:rPr>
        <w:sectPr>
          <w:pgSz w:w="11906" w:h="16838"/>
          <w:pgMar w:top="1247" w:right="1134" w:bottom="1247" w:left="1134" w:header="170" w:footer="567" w:gutter="0"/>
          <w:pgNumType w:fmt="decimal"/>
          <w:cols w:space="720" w:num="1"/>
          <w:docGrid w:linePitch="381" w:charSpace="0"/>
        </w:sectPr>
      </w:pPr>
      <w:r>
        <w:rPr>
          <w:rFonts w:hint="eastAsia"/>
        </w:rPr>
        <w:t>必须由投标主体履行合同。</w:t>
      </w:r>
    </w:p>
    <w:p w14:paraId="06795BC2">
      <w:pPr>
        <w:pStyle w:val="3"/>
        <w:rPr>
          <w:rFonts w:hint="eastAsia" w:ascii="宋体" w:hAnsi="宋体" w:eastAsia="宋体" w:cs="宋体"/>
          <w:sz w:val="36"/>
          <w:szCs w:val="36"/>
        </w:rPr>
      </w:pPr>
      <w:r>
        <w:rPr>
          <w:rFonts w:hint="eastAsia" w:ascii="宋体" w:hAnsi="宋体" w:eastAsia="宋体" w:cs="宋体"/>
          <w:sz w:val="36"/>
          <w:szCs w:val="36"/>
        </w:rPr>
        <w:t xml:space="preserve">第三章 </w:t>
      </w:r>
      <w:r>
        <w:rPr>
          <w:rFonts w:hint="eastAsia" w:cs="宋体"/>
          <w:sz w:val="36"/>
          <w:szCs w:val="36"/>
          <w:lang w:val="en-US" w:eastAsia="zh-CN"/>
        </w:rPr>
        <w:t xml:space="preserve"> </w:t>
      </w:r>
      <w:r>
        <w:rPr>
          <w:rFonts w:hint="eastAsia" w:ascii="宋体" w:hAnsi="宋体" w:eastAsia="宋体" w:cs="宋体"/>
          <w:sz w:val="36"/>
          <w:szCs w:val="36"/>
        </w:rPr>
        <w:t>投标人须知</w:t>
      </w:r>
      <w:bookmarkEnd w:id="25"/>
    </w:p>
    <w:p w14:paraId="5BCFC1F1">
      <w:pPr>
        <w:pStyle w:val="4"/>
        <w:spacing w:line="240" w:lineRule="auto"/>
        <w:jc w:val="center"/>
        <w:rPr>
          <w:rFonts w:hint="eastAsia" w:ascii="宋体" w:hAnsi="宋体" w:eastAsia="宋体" w:cs="宋体"/>
          <w:sz w:val="28"/>
          <w:szCs w:val="28"/>
        </w:rPr>
      </w:pPr>
      <w:bookmarkStart w:id="26" w:name="_Toc2290"/>
      <w:bookmarkStart w:id="27" w:name="_Toc21699"/>
      <w:bookmarkStart w:id="28" w:name="_Toc452457413"/>
      <w:r>
        <w:rPr>
          <w:rFonts w:hint="eastAsia" w:ascii="宋体" w:hAnsi="宋体" w:eastAsia="宋体" w:cs="宋体"/>
          <w:sz w:val="28"/>
          <w:szCs w:val="28"/>
        </w:rPr>
        <w:t>前 附 表</w:t>
      </w:r>
      <w:bookmarkEnd w:id="26"/>
      <w:bookmarkEnd w:id="27"/>
      <w:bookmarkEnd w:id="28"/>
    </w:p>
    <w:tbl>
      <w:tblPr>
        <w:tblStyle w:val="45"/>
        <w:tblW w:w="10112" w:type="dxa"/>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991"/>
        <w:gridCol w:w="7349"/>
      </w:tblGrid>
      <w:tr w14:paraId="323E9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72" w:type="dxa"/>
            <w:vAlign w:val="center"/>
          </w:tcPr>
          <w:p w14:paraId="0D508FE8">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bCs/>
                <w:sz w:val="24"/>
                <w:szCs w:val="24"/>
              </w:rPr>
            </w:pPr>
            <w:bookmarkStart w:id="29" w:name="_Toc247085689"/>
            <w:bookmarkStart w:id="30" w:name="_Toc246996918"/>
            <w:bookmarkStart w:id="31" w:name="_Toc144974497"/>
            <w:bookmarkStart w:id="32" w:name="_Toc246996175"/>
            <w:bookmarkStart w:id="33" w:name="_Toc152042305"/>
            <w:bookmarkStart w:id="34" w:name="_Toc452457414"/>
            <w:bookmarkStart w:id="35" w:name="_Toc296602420"/>
            <w:bookmarkStart w:id="36" w:name="_Toc152045529"/>
            <w:bookmarkStart w:id="37" w:name="_Toc179632546"/>
            <w:r>
              <w:rPr>
                <w:rFonts w:hint="eastAsia" w:ascii="宋体" w:hAnsi="宋体" w:eastAsia="宋体" w:cs="宋体"/>
                <w:b/>
                <w:bCs/>
                <w:sz w:val="24"/>
                <w:szCs w:val="24"/>
              </w:rPr>
              <w:t>序号</w:t>
            </w:r>
          </w:p>
        </w:tc>
        <w:tc>
          <w:tcPr>
            <w:tcW w:w="1991" w:type="dxa"/>
            <w:vAlign w:val="center"/>
          </w:tcPr>
          <w:p w14:paraId="2BF5C4C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事项</w:t>
            </w:r>
          </w:p>
        </w:tc>
        <w:tc>
          <w:tcPr>
            <w:tcW w:w="7349" w:type="dxa"/>
            <w:vAlign w:val="center"/>
          </w:tcPr>
          <w:p w14:paraId="1BE72C3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内容</w:t>
            </w:r>
          </w:p>
        </w:tc>
      </w:tr>
      <w:tr w14:paraId="18DBA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72" w:type="dxa"/>
            <w:vAlign w:val="center"/>
          </w:tcPr>
          <w:p w14:paraId="2A74FDAE">
            <w:pPr>
              <w:keepNext w:val="0"/>
              <w:keepLines w:val="0"/>
              <w:pageBreakBefore w:val="0"/>
              <w:widowControl w:val="0"/>
              <w:kinsoku/>
              <w:wordWrap/>
              <w:overflowPunct/>
              <w:topLinePunct w:val="0"/>
              <w:autoSpaceDE/>
              <w:autoSpaceDN/>
              <w:bidi w:val="0"/>
              <w:adjustRightInd/>
              <w:snapToGrid/>
              <w:spacing w:line="400" w:lineRule="exact"/>
              <w:ind w:left="0" w:leftChars="0" w:firstLine="240" w:firstLineChars="100"/>
              <w:jc w:val="both"/>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991" w:type="dxa"/>
            <w:vAlign w:val="center"/>
          </w:tcPr>
          <w:p w14:paraId="5C46D82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项目</w:t>
            </w:r>
            <w:r>
              <w:rPr>
                <w:rFonts w:hint="eastAsia" w:ascii="宋体" w:hAnsi="宋体" w:eastAsia="宋体" w:cs="宋体"/>
                <w:sz w:val="24"/>
                <w:szCs w:val="24"/>
                <w:lang w:eastAsia="zh-CN"/>
              </w:rPr>
              <w:t>概况</w:t>
            </w:r>
          </w:p>
        </w:tc>
        <w:tc>
          <w:tcPr>
            <w:tcW w:w="7349" w:type="dxa"/>
            <w:vAlign w:val="center"/>
          </w:tcPr>
          <w:p w14:paraId="5DD5AC8B">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sz w:val="24"/>
                <w:szCs w:val="24"/>
                <w:lang w:eastAsia="zh-CN"/>
              </w:rPr>
            </w:pPr>
            <w:r>
              <w:rPr>
                <w:rFonts w:hint="eastAsia" w:cs="宋体"/>
                <w:sz w:val="24"/>
                <w:szCs w:val="24"/>
                <w:lang w:eastAsia="zh-CN"/>
              </w:rPr>
              <w:t>采购人</w:t>
            </w:r>
            <w:r>
              <w:rPr>
                <w:rFonts w:hint="eastAsia" w:ascii="宋体" w:hAnsi="宋体" w:eastAsia="宋体" w:cs="宋体"/>
                <w:sz w:val="24"/>
                <w:szCs w:val="24"/>
                <w:lang w:eastAsia="zh-CN"/>
              </w:rPr>
              <w:t>：</w:t>
            </w:r>
            <w:r>
              <w:rPr>
                <w:rStyle w:val="48"/>
                <w:rFonts w:hint="eastAsia" w:cs="宋体"/>
                <w:b w:val="0"/>
                <w:bCs w:val="0"/>
                <w:szCs w:val="24"/>
                <w:lang w:eastAsia="zh-CN"/>
              </w:rPr>
              <w:t>湖州学院</w:t>
            </w:r>
          </w:p>
          <w:p w14:paraId="7EE710F5">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项目名称：</w:t>
            </w:r>
            <w:r>
              <w:rPr>
                <w:rFonts w:hint="eastAsia" w:ascii="宋体" w:hAnsi="宋体" w:eastAsia="宋体" w:cs="宋体"/>
                <w:b w:val="0"/>
                <w:bCs/>
                <w:color w:val="auto"/>
                <w:kern w:val="0"/>
                <w:sz w:val="24"/>
                <w:szCs w:val="24"/>
                <w:lang w:val="en-US" w:eastAsia="zh-CN" w:bidi="ar-SA"/>
              </w:rPr>
              <w:t>新建工程体育场馆设备设施（包括职工之家）项目</w:t>
            </w:r>
          </w:p>
          <w:p w14:paraId="523914CE">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项目编号：</w:t>
            </w:r>
            <w:r>
              <w:rPr>
                <w:rFonts w:hint="eastAsia" w:cs="宋体"/>
                <w:sz w:val="24"/>
                <w:szCs w:val="24"/>
                <w:lang w:val="en-US" w:eastAsia="zh-CN"/>
              </w:rPr>
              <w:t>ZJZX-HZXY-2024002</w:t>
            </w:r>
            <w:r>
              <w:rPr>
                <w:rFonts w:hint="eastAsia" w:ascii="宋体" w:hAnsi="宋体" w:eastAsia="宋体" w:cs="宋体"/>
                <w:sz w:val="24"/>
                <w:szCs w:val="24"/>
                <w:lang w:val="en-US" w:eastAsia="zh-CN"/>
              </w:rPr>
              <w:t xml:space="preserve">                      </w:t>
            </w:r>
          </w:p>
        </w:tc>
      </w:tr>
      <w:tr w14:paraId="40DE7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72" w:type="dxa"/>
            <w:vAlign w:val="center"/>
          </w:tcPr>
          <w:p w14:paraId="1BA58D8E">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991" w:type="dxa"/>
            <w:vAlign w:val="center"/>
          </w:tcPr>
          <w:p w14:paraId="2EFAF281">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采购内容</w:t>
            </w:r>
          </w:p>
        </w:tc>
        <w:tc>
          <w:tcPr>
            <w:tcW w:w="7349" w:type="dxa"/>
            <w:vAlign w:val="center"/>
          </w:tcPr>
          <w:p w14:paraId="55557CDF">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rPr>
              <w:t>详见</w:t>
            </w:r>
            <w:r>
              <w:rPr>
                <w:rFonts w:hint="eastAsia" w:cs="宋体"/>
                <w:sz w:val="24"/>
                <w:szCs w:val="24"/>
                <w:lang w:eastAsia="zh-CN"/>
              </w:rPr>
              <w:t>“</w:t>
            </w:r>
            <w:r>
              <w:rPr>
                <w:rFonts w:hint="eastAsia" w:ascii="宋体" w:hAnsi="宋体" w:eastAsia="宋体" w:cs="宋体"/>
                <w:sz w:val="24"/>
                <w:szCs w:val="24"/>
              </w:rPr>
              <w:t>第二章</w:t>
            </w:r>
            <w:r>
              <w:rPr>
                <w:rFonts w:hint="eastAsia" w:cs="宋体"/>
                <w:sz w:val="24"/>
                <w:szCs w:val="24"/>
                <w:lang w:val="en-US" w:eastAsia="zh-CN"/>
              </w:rPr>
              <w:t>-</w:t>
            </w:r>
            <w:r>
              <w:rPr>
                <w:rFonts w:hint="eastAsia" w:ascii="宋体" w:hAnsi="宋体" w:eastAsia="宋体" w:cs="宋体"/>
                <w:sz w:val="24"/>
                <w:szCs w:val="24"/>
                <w:lang w:eastAsia="zh-CN"/>
              </w:rPr>
              <w:t>采购</w:t>
            </w:r>
            <w:r>
              <w:rPr>
                <w:rFonts w:hint="eastAsia" w:ascii="宋体" w:hAnsi="宋体" w:eastAsia="宋体" w:cs="宋体"/>
                <w:sz w:val="24"/>
                <w:szCs w:val="24"/>
              </w:rPr>
              <w:t>需求</w:t>
            </w:r>
            <w:r>
              <w:rPr>
                <w:rFonts w:hint="eastAsia" w:cs="宋体"/>
                <w:sz w:val="24"/>
                <w:szCs w:val="24"/>
                <w:lang w:eastAsia="zh-CN"/>
              </w:rPr>
              <w:t>”</w:t>
            </w:r>
            <w:r>
              <w:rPr>
                <w:rFonts w:hint="eastAsia" w:ascii="宋体" w:hAnsi="宋体" w:eastAsia="宋体" w:cs="宋体"/>
                <w:sz w:val="24"/>
                <w:szCs w:val="24"/>
                <w:lang w:eastAsia="zh-CN"/>
              </w:rPr>
              <w:t>。</w:t>
            </w:r>
          </w:p>
        </w:tc>
      </w:tr>
      <w:tr w14:paraId="48CE8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72" w:type="dxa"/>
            <w:vAlign w:val="center"/>
          </w:tcPr>
          <w:p w14:paraId="1C2E2382">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991" w:type="dxa"/>
            <w:vAlign w:val="center"/>
          </w:tcPr>
          <w:p w14:paraId="19328E68">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color w:val="000000"/>
                <w:sz w:val="24"/>
                <w:szCs w:val="24"/>
                <w:highlight w:val="none"/>
              </w:rPr>
              <w:t>采购方式及</w:t>
            </w:r>
            <w:r>
              <w:rPr>
                <w:rFonts w:hint="eastAsia" w:ascii="宋体" w:hAnsi="宋体" w:eastAsia="宋体" w:cs="宋体"/>
                <w:color w:val="000000"/>
                <w:sz w:val="24"/>
                <w:szCs w:val="24"/>
                <w:highlight w:val="none"/>
                <w:lang w:eastAsia="zh-CN"/>
              </w:rPr>
              <w:t>评审办法</w:t>
            </w:r>
          </w:p>
        </w:tc>
        <w:tc>
          <w:tcPr>
            <w:tcW w:w="7349" w:type="dxa"/>
            <w:vAlign w:val="center"/>
          </w:tcPr>
          <w:p w14:paraId="25F8AA35">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rPr>
              <w:t>经批准或确认的本次采购方式：</w:t>
            </w:r>
            <w:r>
              <w:rPr>
                <w:rFonts w:hint="eastAsia" w:ascii="宋体" w:hAnsi="宋体" w:eastAsia="宋体" w:cs="宋体"/>
                <w:sz w:val="24"/>
                <w:szCs w:val="24"/>
                <w:lang w:eastAsia="zh-CN"/>
              </w:rPr>
              <w:t>公开招标</w:t>
            </w:r>
          </w:p>
          <w:p w14:paraId="2F8F5FDC">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评审办法：综合评分法</w:t>
            </w:r>
            <w:r>
              <w:rPr>
                <w:rFonts w:hint="eastAsia" w:ascii="宋体" w:hAnsi="宋体" w:eastAsia="宋体" w:cs="宋体"/>
                <w:sz w:val="24"/>
                <w:szCs w:val="24"/>
                <w:lang w:val="en-US" w:eastAsia="zh-CN"/>
              </w:rPr>
              <w:t xml:space="preserve">                                            </w:t>
            </w:r>
          </w:p>
        </w:tc>
      </w:tr>
      <w:tr w14:paraId="2AFF1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Align w:val="center"/>
          </w:tcPr>
          <w:p w14:paraId="1DE516D2">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991" w:type="dxa"/>
            <w:vAlign w:val="center"/>
          </w:tcPr>
          <w:p w14:paraId="03A9CCAD">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报价要求</w:t>
            </w:r>
          </w:p>
        </w:tc>
        <w:tc>
          <w:tcPr>
            <w:tcW w:w="7349" w:type="dxa"/>
            <w:vAlign w:val="center"/>
          </w:tcPr>
          <w:p w14:paraId="2A6E0674">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highlight w:val="none"/>
                <w:lang w:val="zh-CN"/>
              </w:rPr>
              <w:t>有关本项目实施所需的所有费用（含税费）均计入报价。</w:t>
            </w:r>
          </w:p>
          <w:p w14:paraId="76C46FD2">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（2）《开标一览表》</w:t>
            </w:r>
            <w:r>
              <w:rPr>
                <w:rFonts w:hint="eastAsia" w:cs="宋体"/>
                <w:sz w:val="24"/>
                <w:szCs w:val="24"/>
                <w:lang w:eastAsia="zh-CN"/>
              </w:rPr>
              <w:t>（报价表）</w:t>
            </w:r>
            <w:r>
              <w:rPr>
                <w:rFonts w:hint="eastAsia" w:ascii="宋体" w:hAnsi="宋体" w:eastAsia="宋体" w:cs="宋体"/>
                <w:sz w:val="24"/>
                <w:szCs w:val="24"/>
              </w:rPr>
              <w:t>是报价的唯一载体。投标文件中价格全部采用人民币报价。招标文件未列明，而投标人认为必需的费用也需列入报价。</w:t>
            </w:r>
          </w:p>
          <w:p w14:paraId="119E0062">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（3）投标报价出现下列情形的，投标无效：</w:t>
            </w:r>
          </w:p>
          <w:p w14:paraId="549D1670">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▲投标文件出现不是唯一的、有选择性投标报价的；</w:t>
            </w:r>
          </w:p>
          <w:p w14:paraId="1208F84F">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highlight w:val="none"/>
                <w:lang w:val="zh-CN"/>
              </w:rPr>
              <w:t>投标报价超过招标文件中规定的预算金额或者最高限价（</w:t>
            </w:r>
            <w:r>
              <w:rPr>
                <w:rFonts w:hint="eastAsia" w:ascii="宋体" w:hAnsi="宋体" w:cs="宋体"/>
                <w:sz w:val="24"/>
                <w:highlight w:val="none"/>
              </w:rPr>
              <w:t>含单价最高限价）</w:t>
            </w:r>
            <w:r>
              <w:rPr>
                <w:rFonts w:hint="eastAsia" w:ascii="宋体" w:hAnsi="宋体" w:cs="宋体"/>
                <w:sz w:val="24"/>
                <w:highlight w:val="none"/>
                <w:lang w:val="zh-CN"/>
              </w:rPr>
              <w:t>的</w:t>
            </w:r>
            <w:r>
              <w:rPr>
                <w:rFonts w:hint="eastAsia" w:ascii="宋体" w:hAnsi="宋体" w:eastAsia="宋体" w:cs="宋体"/>
                <w:sz w:val="24"/>
                <w:szCs w:val="24"/>
              </w:rPr>
              <w:t>；</w:t>
            </w:r>
          </w:p>
          <w:p w14:paraId="07D4DD6C">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▲报价明显低于其他通过符合性审查投标人的报价，有可能影响产品质量或者不能诚信履约的，未能按要求提供书面说明或者提交相关证明材料证明其报价合理性的；</w:t>
            </w:r>
          </w:p>
          <w:p w14:paraId="711E0BE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▲投标人对根据修正原则修正后的报价不确认的</w:t>
            </w:r>
            <w:r>
              <w:rPr>
                <w:rFonts w:hint="eastAsia" w:ascii="宋体" w:hAnsi="宋体" w:eastAsia="宋体" w:cs="宋体"/>
                <w:sz w:val="24"/>
                <w:szCs w:val="24"/>
                <w:lang w:eastAsia="zh-CN"/>
              </w:rPr>
              <w:t>。</w:t>
            </w:r>
          </w:p>
        </w:tc>
      </w:tr>
      <w:tr w14:paraId="533AD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72" w:type="dxa"/>
            <w:vAlign w:val="center"/>
          </w:tcPr>
          <w:p w14:paraId="2C278365">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991" w:type="dxa"/>
            <w:vAlign w:val="center"/>
          </w:tcPr>
          <w:p w14:paraId="2C9183DA">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4"/>
                <w:szCs w:val="24"/>
                <w:lang w:eastAsia="zh-CN"/>
              </w:rPr>
            </w:pPr>
            <w:r>
              <w:rPr>
                <w:rFonts w:hint="eastAsia" w:cs="宋体"/>
                <w:sz w:val="24"/>
                <w:szCs w:val="24"/>
                <w:lang w:eastAsia="zh-CN"/>
              </w:rPr>
              <w:t>预算金额</w:t>
            </w:r>
          </w:p>
        </w:tc>
        <w:tc>
          <w:tcPr>
            <w:tcW w:w="7349" w:type="dxa"/>
            <w:vAlign w:val="center"/>
          </w:tcPr>
          <w:p w14:paraId="3DEEE45B">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宋体" w:hAnsi="宋体" w:eastAsia="宋体" w:cs="宋体"/>
                <w:sz w:val="24"/>
                <w:szCs w:val="24"/>
                <w:lang w:val="en-US" w:eastAsia="zh-CN"/>
              </w:rPr>
            </w:pPr>
            <w:r>
              <w:rPr>
                <w:rFonts w:hint="eastAsia" w:cs="宋体"/>
                <w:lang w:val="en-US" w:eastAsia="zh-CN"/>
              </w:rPr>
              <w:t>标项一：1195853元；标项二：2722774元；标项三：1028263元；标项四：1068000元；</w:t>
            </w:r>
          </w:p>
        </w:tc>
      </w:tr>
      <w:tr w14:paraId="512DD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72" w:type="dxa"/>
            <w:vAlign w:val="center"/>
          </w:tcPr>
          <w:p w14:paraId="774FFA9A">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991" w:type="dxa"/>
            <w:vAlign w:val="center"/>
          </w:tcPr>
          <w:p w14:paraId="007CCA65">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
                <w:sz w:val="24"/>
                <w:szCs w:val="24"/>
              </w:rPr>
            </w:pPr>
            <w:r>
              <w:rPr>
                <w:rFonts w:hint="eastAsia" w:ascii="宋体" w:hAnsi="宋体" w:eastAsia="宋体" w:cs="宋体"/>
                <w:sz w:val="24"/>
                <w:szCs w:val="24"/>
                <w:highlight w:val="none"/>
              </w:rPr>
              <w:t>信息公告及评标结果公告媒体</w:t>
            </w:r>
          </w:p>
        </w:tc>
        <w:tc>
          <w:tcPr>
            <w:tcW w:w="7349" w:type="dxa"/>
            <w:vAlign w:val="center"/>
          </w:tcPr>
          <w:p w14:paraId="7975C7B2">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rPr>
            </w:pPr>
            <w:r>
              <w:rPr>
                <w:rFonts w:hint="eastAsia" w:ascii="宋体" w:hAnsi="宋体" w:eastAsia="宋体" w:cs="宋体"/>
                <w:sz w:val="24"/>
                <w:szCs w:val="24"/>
              </w:rPr>
              <w:t>浙江政府采购网</w:t>
            </w: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"http://zfcg.czt.zj.gov.cn/" </w:instrText>
            </w:r>
            <w:r>
              <w:rPr>
                <w:rFonts w:hint="eastAsia" w:ascii="宋体" w:hAnsi="宋体" w:eastAsia="宋体" w:cs="宋体"/>
                <w:sz w:val="24"/>
                <w:szCs w:val="24"/>
              </w:rPr>
              <w:fldChar w:fldCharType="separate"/>
            </w:r>
            <w:r>
              <w:rPr>
                <w:rStyle w:val="53"/>
                <w:rFonts w:hint="eastAsia" w:ascii="宋体" w:hAnsi="宋体" w:eastAsia="宋体" w:cs="宋体"/>
                <w:sz w:val="24"/>
                <w:szCs w:val="24"/>
              </w:rPr>
              <w:t>http://zfcg.czt.zj.gov.cn/</w:t>
            </w:r>
            <w:r>
              <w:rPr>
                <w:rFonts w:hint="eastAsia" w:ascii="宋体" w:hAnsi="宋体" w:eastAsia="宋体" w:cs="宋体"/>
                <w:sz w:val="24"/>
                <w:szCs w:val="24"/>
              </w:rPr>
              <w:fldChar w:fldCharType="end"/>
            </w:r>
          </w:p>
        </w:tc>
      </w:tr>
      <w:tr w14:paraId="03230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2" w:type="dxa"/>
            <w:vAlign w:val="center"/>
          </w:tcPr>
          <w:p w14:paraId="49BCACE4">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991" w:type="dxa"/>
            <w:vAlign w:val="center"/>
          </w:tcPr>
          <w:p w14:paraId="5331F654">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转包或分包</w:t>
            </w:r>
          </w:p>
        </w:tc>
        <w:tc>
          <w:tcPr>
            <w:tcW w:w="7349" w:type="dxa"/>
            <w:vAlign w:val="center"/>
          </w:tcPr>
          <w:p w14:paraId="65133F31">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本项目</w:t>
            </w:r>
            <w:r>
              <w:rPr>
                <w:rFonts w:hint="eastAsia" w:cs="宋体"/>
                <w:sz w:val="24"/>
                <w:szCs w:val="24"/>
                <w:highlight w:val="none"/>
                <w:lang w:eastAsia="zh-CN"/>
              </w:rPr>
              <w:t>不</w:t>
            </w:r>
            <w:r>
              <w:rPr>
                <w:rFonts w:hint="eastAsia" w:ascii="宋体" w:hAnsi="宋体" w:eastAsia="宋体" w:cs="宋体"/>
                <w:sz w:val="24"/>
                <w:szCs w:val="24"/>
                <w:highlight w:val="none"/>
                <w:lang w:eastAsia="zh-CN"/>
              </w:rPr>
              <w:t>允许转包</w:t>
            </w:r>
            <w:r>
              <w:rPr>
                <w:rFonts w:hint="eastAsia" w:ascii="宋体" w:hAnsi="宋体" w:eastAsia="宋体" w:cs="宋体"/>
                <w:sz w:val="24"/>
                <w:szCs w:val="24"/>
                <w:highlight w:val="none"/>
              </w:rPr>
              <w:t>。</w:t>
            </w:r>
          </w:p>
          <w:p w14:paraId="0F14FF14">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sz w:val="24"/>
                <w:szCs w:val="24"/>
                <w:highlight w:val="none"/>
              </w:rPr>
              <w:t>（2）本项目</w:t>
            </w:r>
            <w:r>
              <w:rPr>
                <w:rFonts w:hint="eastAsia" w:cs="宋体"/>
                <w:sz w:val="24"/>
                <w:szCs w:val="24"/>
                <w:highlight w:val="none"/>
                <w:lang w:eastAsia="zh-CN"/>
              </w:rPr>
              <w:t>不允许</w:t>
            </w:r>
            <w:r>
              <w:rPr>
                <w:rFonts w:hint="eastAsia" w:ascii="宋体" w:hAnsi="宋体" w:eastAsia="宋体" w:cs="宋体"/>
                <w:sz w:val="24"/>
                <w:szCs w:val="24"/>
                <w:highlight w:val="none"/>
                <w:lang w:eastAsia="zh-CN"/>
              </w:rPr>
              <w:t>分包</w:t>
            </w:r>
            <w:r>
              <w:rPr>
                <w:rFonts w:hint="eastAsia" w:ascii="宋体" w:hAnsi="宋体" w:eastAsia="宋体" w:cs="宋体"/>
                <w:kern w:val="2"/>
                <w:sz w:val="24"/>
                <w:szCs w:val="24"/>
                <w:highlight w:val="none"/>
                <w:lang w:val="en-US" w:eastAsia="zh-CN" w:bidi="ar-SA"/>
              </w:rPr>
              <w:t>。</w:t>
            </w:r>
          </w:p>
        </w:tc>
      </w:tr>
      <w:tr w14:paraId="02D94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772" w:type="dxa"/>
            <w:vAlign w:val="center"/>
          </w:tcPr>
          <w:p w14:paraId="315E3F64">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1991" w:type="dxa"/>
            <w:vAlign w:val="center"/>
          </w:tcPr>
          <w:p w14:paraId="100F9584">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sz w:val="24"/>
                <w:szCs w:val="24"/>
              </w:rPr>
              <w:t>投标人应当提</w:t>
            </w:r>
            <w:r>
              <w:rPr>
                <w:rFonts w:hint="eastAsia" w:cs="宋体"/>
                <w:sz w:val="24"/>
                <w:szCs w:val="24"/>
                <w:lang w:eastAsia="zh-CN"/>
              </w:rPr>
              <w:t>交</w:t>
            </w:r>
            <w:r>
              <w:rPr>
                <w:rFonts w:hint="eastAsia" w:ascii="宋体" w:hAnsi="宋体" w:eastAsia="宋体" w:cs="宋体"/>
                <w:sz w:val="24"/>
                <w:szCs w:val="24"/>
              </w:rPr>
              <w:t>的</w:t>
            </w:r>
            <w:r>
              <w:rPr>
                <w:rFonts w:hint="eastAsia" w:cs="宋体"/>
                <w:sz w:val="24"/>
                <w:szCs w:val="24"/>
                <w:lang w:eastAsia="zh-CN"/>
              </w:rPr>
              <w:t>投标</w:t>
            </w:r>
            <w:r>
              <w:rPr>
                <w:rFonts w:hint="eastAsia" w:ascii="宋体" w:hAnsi="宋体" w:eastAsia="宋体" w:cs="宋体"/>
                <w:sz w:val="24"/>
                <w:szCs w:val="24"/>
              </w:rPr>
              <w:t>文件</w:t>
            </w:r>
          </w:p>
        </w:tc>
        <w:tc>
          <w:tcPr>
            <w:tcW w:w="7349" w:type="dxa"/>
            <w:vAlign w:val="center"/>
          </w:tcPr>
          <w:p w14:paraId="1291D759">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宋体" w:hAnsi="宋体" w:eastAsia="宋体" w:cs="宋体"/>
                <w:sz w:val="24"/>
                <w:szCs w:val="24"/>
              </w:rPr>
            </w:pPr>
            <w:r>
              <w:rPr>
                <w:rFonts w:hint="eastAsia" w:cs="宋体"/>
                <w:sz w:val="24"/>
                <w:szCs w:val="24"/>
                <w:lang w:eastAsia="zh-CN"/>
              </w:rPr>
              <w:t>投标文件由《</w:t>
            </w:r>
            <w:r>
              <w:rPr>
                <w:rFonts w:hint="eastAsia" w:ascii="宋体" w:hAnsi="宋体" w:eastAsia="宋体" w:cs="宋体"/>
                <w:sz w:val="24"/>
                <w:szCs w:val="24"/>
              </w:rPr>
              <w:t>资格文件</w:t>
            </w:r>
            <w:r>
              <w:rPr>
                <w:rFonts w:hint="eastAsia" w:cs="宋体"/>
                <w:sz w:val="24"/>
                <w:szCs w:val="24"/>
                <w:lang w:eastAsia="zh-CN"/>
              </w:rPr>
              <w:t>》、《商务技术</w:t>
            </w:r>
            <w:r>
              <w:rPr>
                <w:rFonts w:hint="eastAsia" w:ascii="宋体" w:hAnsi="宋体" w:eastAsia="宋体" w:cs="宋体"/>
                <w:sz w:val="24"/>
                <w:szCs w:val="24"/>
              </w:rPr>
              <w:t>文件</w:t>
            </w:r>
            <w:r>
              <w:rPr>
                <w:rFonts w:hint="eastAsia" w:cs="宋体"/>
                <w:sz w:val="24"/>
                <w:szCs w:val="24"/>
                <w:lang w:eastAsia="zh-CN"/>
              </w:rPr>
              <w:t>》、《报价</w:t>
            </w:r>
            <w:r>
              <w:rPr>
                <w:rFonts w:hint="eastAsia" w:ascii="宋体" w:hAnsi="宋体" w:eastAsia="宋体" w:cs="宋体"/>
                <w:sz w:val="24"/>
                <w:szCs w:val="24"/>
              </w:rPr>
              <w:t>文件</w:t>
            </w:r>
            <w:r>
              <w:rPr>
                <w:rFonts w:hint="eastAsia" w:cs="宋体"/>
                <w:sz w:val="24"/>
                <w:szCs w:val="24"/>
                <w:lang w:eastAsia="zh-CN"/>
              </w:rPr>
              <w:t>》三部分组成</w:t>
            </w:r>
            <w:r>
              <w:rPr>
                <w:rFonts w:hint="eastAsia" w:ascii="宋体" w:hAnsi="宋体" w:eastAsia="宋体" w:cs="宋体"/>
                <w:sz w:val="24"/>
                <w:szCs w:val="24"/>
              </w:rPr>
              <w:t>：</w:t>
            </w:r>
            <w:r>
              <w:rPr>
                <w:rFonts w:hint="eastAsia" w:cs="宋体"/>
                <w:sz w:val="24"/>
                <w:szCs w:val="24"/>
                <w:lang w:eastAsia="zh-CN"/>
              </w:rPr>
              <w:t>详</w:t>
            </w:r>
            <w:r>
              <w:rPr>
                <w:rFonts w:hint="eastAsia" w:ascii="宋体" w:hAnsi="宋体" w:eastAsia="宋体" w:cs="宋体"/>
                <w:sz w:val="24"/>
                <w:szCs w:val="24"/>
              </w:rPr>
              <w:t>见本章</w:t>
            </w:r>
            <w:r>
              <w:rPr>
                <w:rFonts w:hint="eastAsia" w:cs="宋体"/>
                <w:sz w:val="24"/>
                <w:szCs w:val="24"/>
                <w:lang w:eastAsia="zh-CN"/>
              </w:rPr>
              <w:t>“</w:t>
            </w:r>
            <w:r>
              <w:rPr>
                <w:rFonts w:hint="eastAsia" w:ascii="宋体" w:hAnsi="宋体" w:eastAsia="宋体" w:cs="宋体"/>
                <w:sz w:val="24"/>
                <w:szCs w:val="24"/>
              </w:rPr>
              <w:t>第三节</w:t>
            </w:r>
            <w:r>
              <w:rPr>
                <w:rFonts w:hint="eastAsia" w:ascii="宋体" w:hAnsi="宋体" w:eastAsia="宋体" w:cs="宋体"/>
                <w:sz w:val="24"/>
                <w:szCs w:val="24"/>
                <w:lang w:val="en-US" w:eastAsia="zh-CN"/>
              </w:rPr>
              <w:t>-投标文件的编制</w:t>
            </w:r>
            <w:r>
              <w:rPr>
                <w:rFonts w:hint="eastAsia" w:cs="宋体"/>
                <w:sz w:val="24"/>
                <w:szCs w:val="24"/>
                <w:lang w:eastAsia="zh-CN"/>
              </w:rPr>
              <w:t>”</w:t>
            </w:r>
            <w:r>
              <w:rPr>
                <w:rFonts w:hint="eastAsia" w:ascii="宋体" w:hAnsi="宋体" w:eastAsia="宋体" w:cs="宋体"/>
                <w:sz w:val="24"/>
                <w:szCs w:val="24"/>
              </w:rPr>
              <w:t>。</w:t>
            </w:r>
          </w:p>
          <w:p w14:paraId="127F4B76">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sz w:val="24"/>
                <w:szCs w:val="24"/>
              </w:rPr>
              <w:t>▲投标人未提供有效的资格证明文件的，视为投标人不具备招标文件中规定的资格要求，投标无效。</w:t>
            </w:r>
          </w:p>
        </w:tc>
      </w:tr>
      <w:tr w14:paraId="27321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8" w:hRule="atLeast"/>
        </w:trPr>
        <w:tc>
          <w:tcPr>
            <w:tcW w:w="772" w:type="dxa"/>
            <w:vAlign w:val="center"/>
          </w:tcPr>
          <w:p w14:paraId="5B5A86F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宋体" w:hAnsi="宋体" w:eastAsia="宋体" w:cs="宋体"/>
                <w:sz w:val="24"/>
                <w:szCs w:val="24"/>
                <w:lang w:val="en-US" w:eastAsia="zh-CN"/>
              </w:rPr>
            </w:pPr>
            <w:r>
              <w:rPr>
                <w:rFonts w:hint="eastAsia" w:cs="宋体"/>
                <w:sz w:val="24"/>
                <w:szCs w:val="24"/>
                <w:lang w:val="en-US" w:eastAsia="zh-CN"/>
              </w:rPr>
              <w:t>9</w:t>
            </w:r>
          </w:p>
        </w:tc>
        <w:tc>
          <w:tcPr>
            <w:tcW w:w="1991" w:type="dxa"/>
            <w:vAlign w:val="center"/>
          </w:tcPr>
          <w:p w14:paraId="77243E2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eastAsia="zh-CN"/>
              </w:rPr>
            </w:pPr>
            <w:r>
              <w:rPr>
                <w:rFonts w:hint="eastAsia" w:cs="宋体"/>
                <w:sz w:val="24"/>
                <w:szCs w:val="24"/>
                <w:lang w:eastAsia="zh-CN"/>
              </w:rPr>
              <w:t>投标文件形式</w:t>
            </w:r>
          </w:p>
        </w:tc>
        <w:tc>
          <w:tcPr>
            <w:tcW w:w="7349" w:type="dxa"/>
            <w:vAlign w:val="center"/>
          </w:tcPr>
          <w:p w14:paraId="56D611CA">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Cs w:val="21"/>
                <w:highlight w:val="none"/>
              </w:rPr>
            </w:pPr>
            <w:r>
              <w:rPr>
                <w:rFonts w:hint="eastAsia" w:ascii="宋体" w:hAnsi="宋体" w:eastAsia="宋体" w:cs="宋体"/>
                <w:szCs w:val="21"/>
                <w:highlight w:val="none"/>
              </w:rPr>
              <w:t>本项目实行电子投标。</w:t>
            </w:r>
          </w:p>
          <w:p w14:paraId="2A6867C3">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Cs w:val="21"/>
                <w:highlight w:val="none"/>
              </w:rPr>
            </w:pPr>
            <w:r>
              <w:rPr>
                <w:rFonts w:hint="eastAsia" w:ascii="宋体" w:hAnsi="宋体" w:eastAsia="宋体" w:cs="宋体"/>
                <w:szCs w:val="21"/>
                <w:highlight w:val="none"/>
              </w:rPr>
              <w:t>供应商应准备两种形式的投标文件：电子加密投标文件、以介质存储的数据电文形式的备份投标文件。</w:t>
            </w:r>
          </w:p>
          <w:p w14:paraId="03DB3A80">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szCs w:val="21"/>
                <w:highlight w:val="none"/>
              </w:rPr>
            </w:pPr>
            <w:r>
              <w:rPr>
                <w:rFonts w:hint="eastAsia" w:ascii="宋体" w:hAnsi="宋体" w:eastAsia="宋体" w:cs="宋体"/>
                <w:szCs w:val="21"/>
                <w:highlight w:val="none"/>
              </w:rPr>
              <w:t>（1）“电子加密投标文件”是指通过“政采云电子交易客户端”完成投标文件编制后生成并加密的数据电文形式的投标文件（后缀格式为.jmbs）</w:t>
            </w:r>
          </w:p>
          <w:p w14:paraId="12FE49DD">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Cs w:val="21"/>
                <w:highlight w:val="none"/>
              </w:rPr>
            </w:pPr>
            <w:r>
              <w:rPr>
                <w:rFonts w:hint="eastAsia" w:ascii="宋体" w:hAnsi="宋体" w:eastAsia="宋体" w:cs="宋体"/>
                <w:szCs w:val="21"/>
                <w:highlight w:val="none"/>
              </w:rPr>
              <w:t>（2）“备份投标文件”是指与“电子加密投标文件”同时生成的数据电文形式的电子文件（备份投标文件，用于供应商电子加密投标文件解密异常时应急使用），其他方式编制的备份投标文件视为无效备份投标文件。备份投标文件（后缀格式为.bfbs）以U盘形式提供。</w:t>
            </w:r>
          </w:p>
          <w:p w14:paraId="7A43192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24"/>
                <w:szCs w:val="24"/>
              </w:rPr>
            </w:pPr>
            <w:r>
              <w:rPr>
                <w:rFonts w:hint="eastAsia" w:cs="宋体"/>
                <w:b/>
                <w:sz w:val="24"/>
                <w:szCs w:val="24"/>
                <w:lang w:eastAsia="zh-CN"/>
              </w:rPr>
              <w:t>招标人</w:t>
            </w:r>
            <w:r>
              <w:rPr>
                <w:rFonts w:hint="eastAsia" w:hAnsi="宋体" w:cs="宋体"/>
                <w:b/>
                <w:sz w:val="24"/>
                <w:szCs w:val="24"/>
              </w:rPr>
              <w:t>、</w:t>
            </w:r>
            <w:r>
              <w:rPr>
                <w:rFonts w:hint="eastAsia" w:cs="宋体"/>
                <w:b/>
                <w:sz w:val="24"/>
                <w:szCs w:val="24"/>
                <w:lang w:eastAsia="zh-CN"/>
              </w:rPr>
              <w:t>招标代理机构</w:t>
            </w:r>
            <w:r>
              <w:rPr>
                <w:rFonts w:hint="eastAsia" w:hAnsi="宋体" w:cs="宋体"/>
                <w:b/>
                <w:sz w:val="24"/>
                <w:szCs w:val="24"/>
              </w:rPr>
              <w:t>不强制或变相强制投标人提交备份投标文件。</w:t>
            </w:r>
          </w:p>
        </w:tc>
      </w:tr>
      <w:tr w14:paraId="59798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9" w:hRule="atLeast"/>
        </w:trPr>
        <w:tc>
          <w:tcPr>
            <w:tcW w:w="772" w:type="dxa"/>
            <w:vAlign w:val="center"/>
          </w:tcPr>
          <w:p w14:paraId="694E72BE">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cs="宋体"/>
                <w:sz w:val="24"/>
                <w:szCs w:val="24"/>
                <w:lang w:val="en-US" w:eastAsia="zh-CN"/>
              </w:rPr>
            </w:pPr>
            <w:r>
              <w:rPr>
                <w:rFonts w:hint="eastAsia" w:cs="宋体"/>
                <w:sz w:val="24"/>
                <w:szCs w:val="24"/>
                <w:lang w:val="en-US" w:eastAsia="zh-CN"/>
              </w:rPr>
              <w:t>10</w:t>
            </w:r>
          </w:p>
        </w:tc>
        <w:tc>
          <w:tcPr>
            <w:tcW w:w="1991" w:type="dxa"/>
            <w:vAlign w:val="center"/>
          </w:tcPr>
          <w:p w14:paraId="6C5E1AD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cs="宋体"/>
                <w:sz w:val="24"/>
                <w:szCs w:val="24"/>
                <w:lang w:eastAsia="zh-CN"/>
              </w:rPr>
            </w:pPr>
            <w:r>
              <w:rPr>
                <w:rFonts w:hint="eastAsia" w:ascii="宋体" w:hAnsi="宋体" w:eastAsia="宋体" w:cs="宋体"/>
                <w:szCs w:val="21"/>
                <w:highlight w:val="none"/>
              </w:rPr>
              <w:t>投标文件的上传和</w:t>
            </w:r>
            <w:r>
              <w:rPr>
                <w:rFonts w:hint="eastAsia" w:cs="宋体"/>
                <w:szCs w:val="21"/>
                <w:highlight w:val="none"/>
                <w:lang w:eastAsia="zh-CN"/>
              </w:rPr>
              <w:t>提</w:t>
            </w:r>
            <w:r>
              <w:rPr>
                <w:rFonts w:hint="eastAsia" w:ascii="宋体" w:hAnsi="宋体" w:eastAsia="宋体" w:cs="宋体"/>
                <w:szCs w:val="21"/>
                <w:highlight w:val="none"/>
              </w:rPr>
              <w:t>交</w:t>
            </w:r>
          </w:p>
        </w:tc>
        <w:tc>
          <w:tcPr>
            <w:tcW w:w="7349" w:type="dxa"/>
            <w:vAlign w:val="center"/>
          </w:tcPr>
          <w:p w14:paraId="1C6E7EA7">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rPr>
            </w:pPr>
            <w:r>
              <w:rPr>
                <w:rFonts w:hint="eastAsia"/>
              </w:rPr>
              <w:t>（1）电子加密投标文件：投标文件制作完成并生成加密文件，在投标截止时间前，供应商需将加密的投标文件上传至浙江政府采购网，到达开标时间后，进行解密。</w:t>
            </w:r>
          </w:p>
          <w:p w14:paraId="3F5AEE39">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rPr>
            </w:pPr>
            <w:r>
              <w:rPr>
                <w:rFonts w:hint="eastAsia"/>
              </w:rPr>
              <w:t>供应商未在投标截止时间前成功上传电子加密投标文件的投标无效。</w:t>
            </w:r>
          </w:p>
          <w:p w14:paraId="34AA6B25">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rPr>
            </w:pPr>
            <w:r>
              <w:rPr>
                <w:rFonts w:hint="eastAsia"/>
              </w:rPr>
              <w:t>（2）备份投标文件：投标截止时间前</w:t>
            </w:r>
            <w:r>
              <w:rPr>
                <w:rFonts w:hint="eastAsia"/>
                <w:lang w:val="en-US" w:eastAsia="zh-CN"/>
              </w:rPr>
              <w:t>1天，</w:t>
            </w:r>
            <w:r>
              <w:rPr>
                <w:rFonts w:hint="eastAsia"/>
              </w:rPr>
              <w:t>供应商应将备份投标文件递交至</w:t>
            </w:r>
            <w:r>
              <w:rPr>
                <w:rFonts w:hint="eastAsia"/>
                <w:lang w:eastAsia="zh-CN"/>
              </w:rPr>
              <w:t>代理机构</w:t>
            </w:r>
            <w:r>
              <w:rPr>
                <w:rFonts w:hint="eastAsia"/>
              </w:rPr>
              <w:t>，以便电子加密投标文件解密异常时应急使用。</w:t>
            </w:r>
          </w:p>
          <w:p w14:paraId="42681F2A">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rPr>
            </w:pPr>
            <w:r>
              <w:rPr>
                <w:rFonts w:hint="eastAsia"/>
              </w:rPr>
              <w:t>备份投标文件递交要求：供应商须将备份投标文件以U盘形式单独放在密封袋中，密封后并在密封袋上注明投标项目名称、投标单位名称并加盖公章。未密封包装或逾期送达的“备份投标文件”将不予接收。</w:t>
            </w:r>
          </w:p>
          <w:p w14:paraId="331C6773">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default" w:eastAsia="宋体"/>
                <w:lang w:val="en-US" w:eastAsia="zh-CN"/>
              </w:rPr>
            </w:pPr>
            <w:r>
              <w:rPr>
                <w:rFonts w:hint="eastAsia"/>
              </w:rPr>
              <w:t>地址：</w:t>
            </w:r>
            <w:r>
              <w:rPr>
                <w:rFonts w:hint="eastAsia"/>
                <w:lang w:eastAsia="zh-CN"/>
              </w:rPr>
              <w:t>湖州市康山街道嘉年华国际广场</w:t>
            </w:r>
            <w:r>
              <w:rPr>
                <w:rFonts w:hint="eastAsia"/>
                <w:lang w:val="en-US" w:eastAsia="zh-CN"/>
              </w:rPr>
              <w:t>C座C1805室</w:t>
            </w:r>
          </w:p>
          <w:p w14:paraId="611F1C7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default" w:eastAsia="宋体"/>
                <w:lang w:val="en-US" w:eastAsia="zh-CN"/>
              </w:rPr>
            </w:pPr>
            <w:r>
              <w:rPr>
                <w:rFonts w:hint="eastAsia"/>
              </w:rPr>
              <w:t>收件人：</w:t>
            </w:r>
            <w:r>
              <w:rPr>
                <w:rFonts w:hint="eastAsia"/>
                <w:lang w:eastAsia="zh-CN"/>
              </w:rPr>
              <w:t>徐工</w:t>
            </w:r>
            <w:r>
              <w:rPr>
                <w:rFonts w:hint="eastAsia"/>
                <w:lang w:val="en-US" w:eastAsia="zh-CN"/>
              </w:rPr>
              <w:t>/18767608890</w:t>
            </w:r>
          </w:p>
        </w:tc>
      </w:tr>
      <w:tr w14:paraId="22C5B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2" w:hRule="atLeast"/>
        </w:trPr>
        <w:tc>
          <w:tcPr>
            <w:tcW w:w="772" w:type="dxa"/>
            <w:vAlign w:val="center"/>
          </w:tcPr>
          <w:p w14:paraId="562BAB39">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cs="宋体"/>
                <w:sz w:val="24"/>
                <w:szCs w:val="24"/>
                <w:lang w:val="en-US" w:eastAsia="zh-CN"/>
              </w:rPr>
            </w:pPr>
            <w:r>
              <w:rPr>
                <w:rFonts w:hint="eastAsia" w:cs="宋体"/>
                <w:sz w:val="24"/>
                <w:szCs w:val="24"/>
                <w:lang w:val="en-US" w:eastAsia="zh-CN"/>
              </w:rPr>
              <w:t>11</w:t>
            </w:r>
          </w:p>
        </w:tc>
        <w:tc>
          <w:tcPr>
            <w:tcW w:w="1991" w:type="dxa"/>
            <w:vAlign w:val="center"/>
          </w:tcPr>
          <w:p w14:paraId="02D2B1C6">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Cs w:val="21"/>
                <w:highlight w:val="none"/>
              </w:rPr>
            </w:pPr>
            <w:r>
              <w:rPr>
                <w:rFonts w:hint="eastAsia" w:ascii="宋体" w:hAnsi="宋体" w:eastAsia="宋体" w:cs="宋体"/>
                <w:bCs/>
                <w:szCs w:val="21"/>
                <w:highlight w:val="none"/>
              </w:rPr>
              <w:t>电子加密投标文件的解密和异常情况处理</w:t>
            </w:r>
          </w:p>
        </w:tc>
        <w:tc>
          <w:tcPr>
            <w:tcW w:w="7349" w:type="dxa"/>
            <w:vAlign w:val="center"/>
          </w:tcPr>
          <w:p w14:paraId="00FFE965">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highlight w:val="none"/>
              </w:rPr>
            </w:pPr>
            <w:r>
              <w:rPr>
                <w:rFonts w:hint="eastAsia" w:ascii="宋体" w:hAnsi="宋体" w:eastAsia="宋体" w:cs="宋体"/>
                <w:highlight w:val="none"/>
              </w:rPr>
              <w:t>（1）开标后，采购组织机构将向各投标供应商发出“电子加密投标文件”的解密通知，各投标供应商代表应当在接到解密通知后30分钟内自行完成“电子加密投标文件”的在线解密。</w:t>
            </w:r>
          </w:p>
          <w:p w14:paraId="3641AEFE">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highlight w:val="none"/>
              </w:rPr>
            </w:pPr>
            <w:r>
              <w:rPr>
                <w:rFonts w:hint="eastAsia" w:ascii="宋体" w:hAnsi="宋体" w:eastAsia="宋体" w:cs="宋体"/>
                <w:highlight w:val="none"/>
              </w:rPr>
              <w:t>（2）通过“政采云平台”成功上传递交的“电子加密投标文件”无法按时解密，投标供应商如按规定递交了“备份投标文件”的，以“备份投标文件”为依据（由采购组织机构按“政采云平台”操作规范将“备份投标文件”上传至“政采云平台”，上传成功后，“电子加密投标文件”自动失效），否则视为投标</w:t>
            </w:r>
            <w:r>
              <w:rPr>
                <w:rFonts w:hint="eastAsia" w:cs="宋体"/>
                <w:highlight w:val="none"/>
                <w:lang w:eastAsia="zh-CN"/>
              </w:rPr>
              <w:t>无效</w:t>
            </w:r>
            <w:r>
              <w:rPr>
                <w:rFonts w:hint="eastAsia" w:ascii="宋体" w:hAnsi="宋体" w:eastAsia="宋体" w:cs="宋体"/>
                <w:highlight w:val="none"/>
              </w:rPr>
              <w:t>。</w:t>
            </w:r>
          </w:p>
          <w:p w14:paraId="1F962A7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highlight w:val="none"/>
              </w:rPr>
            </w:pPr>
            <w:r>
              <w:rPr>
                <w:rFonts w:hint="eastAsia" w:ascii="宋体" w:hAnsi="宋体" w:eastAsia="宋体" w:cs="宋体"/>
                <w:highlight w:val="none"/>
              </w:rPr>
              <w:t>（3）投标截止时间前，投标供应商仅递交了“备份投标文件”而未将电子加密投标文件上传至“政采云平台”的，投标无效。</w:t>
            </w:r>
          </w:p>
        </w:tc>
      </w:tr>
      <w:tr w14:paraId="6DF65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72" w:type="dxa"/>
            <w:vAlign w:val="center"/>
          </w:tcPr>
          <w:p w14:paraId="4E3F7E6B">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cs="宋体"/>
                <w:sz w:val="24"/>
                <w:szCs w:val="24"/>
                <w:lang w:val="en-US" w:eastAsia="zh-CN"/>
              </w:rPr>
              <w:t>2</w:t>
            </w:r>
          </w:p>
        </w:tc>
        <w:tc>
          <w:tcPr>
            <w:tcW w:w="1991" w:type="dxa"/>
            <w:vAlign w:val="center"/>
          </w:tcPr>
          <w:p w14:paraId="622A628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投标文件有效期</w:t>
            </w:r>
          </w:p>
        </w:tc>
        <w:tc>
          <w:tcPr>
            <w:tcW w:w="7349" w:type="dxa"/>
            <w:vAlign w:val="center"/>
          </w:tcPr>
          <w:p w14:paraId="5ABFE742">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eastAsia="zh-CN"/>
              </w:rPr>
              <w:t>自</w:t>
            </w:r>
            <w:r>
              <w:rPr>
                <w:rFonts w:hint="eastAsia" w:ascii="宋体" w:hAnsi="宋体" w:eastAsia="宋体" w:cs="宋体"/>
                <w:sz w:val="24"/>
                <w:szCs w:val="24"/>
              </w:rPr>
              <w:t>提交投标文件的截止之日起</w:t>
            </w:r>
            <w:r>
              <w:rPr>
                <w:rFonts w:hint="eastAsia" w:cs="宋体"/>
                <w:sz w:val="24"/>
                <w:szCs w:val="24"/>
                <w:lang w:val="en-US" w:eastAsia="zh-CN"/>
              </w:rPr>
              <w:t>90</w:t>
            </w:r>
            <w:r>
              <w:rPr>
                <w:rFonts w:hint="eastAsia" w:ascii="宋体" w:hAnsi="宋体" w:eastAsia="宋体" w:cs="宋体"/>
                <w:sz w:val="24"/>
                <w:szCs w:val="24"/>
              </w:rPr>
              <w:t>天。</w:t>
            </w:r>
          </w:p>
        </w:tc>
      </w:tr>
      <w:tr w14:paraId="25F63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72" w:type="dxa"/>
            <w:vAlign w:val="center"/>
          </w:tcPr>
          <w:p w14:paraId="41EF8693">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cs="宋体"/>
                <w:sz w:val="24"/>
                <w:szCs w:val="24"/>
                <w:lang w:val="en-US" w:eastAsia="zh-CN"/>
              </w:rPr>
              <w:t>3</w:t>
            </w:r>
          </w:p>
        </w:tc>
        <w:tc>
          <w:tcPr>
            <w:tcW w:w="1991" w:type="dxa"/>
            <w:vAlign w:val="center"/>
          </w:tcPr>
          <w:p w14:paraId="20961810">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sz w:val="24"/>
                <w:szCs w:val="24"/>
              </w:rPr>
            </w:pPr>
            <w:r>
              <w:rPr>
                <w:rFonts w:hint="eastAsia" w:ascii="宋体" w:hAnsi="宋体" w:eastAsia="宋体" w:cs="宋体"/>
                <w:color w:val="000000"/>
                <w:sz w:val="24"/>
                <w:szCs w:val="24"/>
                <w:highlight w:val="none"/>
              </w:rPr>
              <w:t>现场踏勘/样品/演示</w:t>
            </w:r>
          </w:p>
        </w:tc>
        <w:tc>
          <w:tcPr>
            <w:tcW w:w="7349" w:type="dxa"/>
            <w:vAlign w:val="center"/>
          </w:tcPr>
          <w:p w14:paraId="370001FC">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现场踏勘：□ 组织；</w:t>
            </w:r>
            <w:r>
              <w:rPr>
                <w:rFonts w:hint="eastAsia" w:cs="宋体"/>
                <w:color w:val="000000"/>
                <w:sz w:val="24"/>
                <w:szCs w:val="24"/>
                <w:highlight w:val="none"/>
                <w:lang w:eastAsia="zh-CN"/>
              </w:rPr>
              <w:t>☑</w:t>
            </w:r>
            <w:r>
              <w:rPr>
                <w:rFonts w:hint="eastAsia" w:ascii="宋体" w:hAnsi="宋体" w:eastAsia="宋体" w:cs="宋体"/>
                <w:color w:val="000000"/>
                <w:sz w:val="24"/>
                <w:szCs w:val="24"/>
                <w:highlight w:val="none"/>
              </w:rPr>
              <w:t xml:space="preserve"> 不组织</w:t>
            </w:r>
          </w:p>
          <w:p w14:paraId="3DD216D1">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样品：□ 提供；</w:t>
            </w:r>
            <w:r>
              <w:rPr>
                <w:rFonts w:hint="eastAsia" w:cs="宋体"/>
                <w:color w:val="000000"/>
                <w:sz w:val="24"/>
                <w:szCs w:val="24"/>
                <w:highlight w:val="none"/>
                <w:lang w:eastAsia="zh-CN"/>
              </w:rPr>
              <w:t>☑</w:t>
            </w:r>
            <w:r>
              <w:rPr>
                <w:rFonts w:hint="eastAsia" w:ascii="宋体" w:hAnsi="宋体" w:eastAsia="宋体" w:cs="宋体"/>
                <w:color w:val="000000"/>
                <w:sz w:val="24"/>
                <w:szCs w:val="24"/>
                <w:highlight w:val="none"/>
              </w:rPr>
              <w:t xml:space="preserve"> 不提供</w:t>
            </w:r>
          </w:p>
          <w:p w14:paraId="29752C77">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color w:val="000000"/>
                <w:sz w:val="24"/>
                <w:szCs w:val="24"/>
                <w:highlight w:val="none"/>
              </w:rPr>
              <w:t>演示：□ 提供；</w:t>
            </w:r>
            <w:r>
              <w:rPr>
                <w:rFonts w:hint="eastAsia" w:cs="宋体"/>
                <w:color w:val="000000"/>
                <w:sz w:val="24"/>
                <w:szCs w:val="24"/>
                <w:highlight w:val="none"/>
                <w:lang w:eastAsia="zh-CN"/>
              </w:rPr>
              <w:t>☑</w:t>
            </w:r>
            <w:r>
              <w:rPr>
                <w:rFonts w:hint="eastAsia" w:ascii="宋体" w:hAnsi="宋体" w:eastAsia="宋体" w:cs="宋体"/>
                <w:color w:val="000000"/>
                <w:sz w:val="24"/>
                <w:szCs w:val="24"/>
                <w:highlight w:val="none"/>
              </w:rPr>
              <w:t xml:space="preserve"> 不提供</w:t>
            </w:r>
          </w:p>
        </w:tc>
      </w:tr>
      <w:tr w14:paraId="52BE8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772" w:type="dxa"/>
            <w:vAlign w:val="center"/>
          </w:tcPr>
          <w:p w14:paraId="50E670CA">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宋体" w:hAnsi="宋体" w:eastAsia="宋体" w:cs="宋体"/>
                <w:sz w:val="24"/>
                <w:szCs w:val="24"/>
                <w:lang w:val="en-US" w:eastAsia="zh-CN"/>
              </w:rPr>
            </w:pPr>
            <w:r>
              <w:rPr>
                <w:rFonts w:hint="eastAsia" w:cs="宋体"/>
                <w:sz w:val="24"/>
                <w:szCs w:val="24"/>
                <w:lang w:val="en-US" w:eastAsia="zh-CN"/>
              </w:rPr>
              <w:t>14</w:t>
            </w:r>
          </w:p>
        </w:tc>
        <w:tc>
          <w:tcPr>
            <w:tcW w:w="1991" w:type="dxa"/>
            <w:vAlign w:val="center"/>
          </w:tcPr>
          <w:p w14:paraId="77DAAD53">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cs="宋体"/>
                <w:color w:val="000000"/>
                <w:sz w:val="24"/>
                <w:szCs w:val="24"/>
                <w:highlight w:val="none"/>
                <w:lang w:eastAsia="zh-CN"/>
              </w:rPr>
            </w:pPr>
            <w:r>
              <w:rPr>
                <w:rFonts w:hint="eastAsia" w:cs="宋体"/>
                <w:color w:val="000000"/>
                <w:sz w:val="24"/>
                <w:szCs w:val="24"/>
                <w:highlight w:val="none"/>
                <w:lang w:eastAsia="zh-CN"/>
              </w:rPr>
              <w:t>是否允许采购</w:t>
            </w:r>
          </w:p>
          <w:p w14:paraId="33881B9E">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宋体" w:hAnsi="宋体" w:eastAsia="宋体" w:cs="宋体"/>
                <w:color w:val="000000"/>
                <w:sz w:val="24"/>
                <w:szCs w:val="24"/>
                <w:highlight w:val="none"/>
              </w:rPr>
            </w:pPr>
            <w:r>
              <w:rPr>
                <w:rFonts w:hint="eastAsia" w:cs="宋体"/>
                <w:color w:val="000000"/>
                <w:sz w:val="24"/>
                <w:szCs w:val="24"/>
                <w:highlight w:val="none"/>
                <w:lang w:eastAsia="zh-CN"/>
              </w:rPr>
              <w:t>进口产品</w:t>
            </w:r>
          </w:p>
        </w:tc>
        <w:tc>
          <w:tcPr>
            <w:tcW w:w="7349" w:type="dxa"/>
            <w:vAlign w:val="center"/>
          </w:tcPr>
          <w:p w14:paraId="745CB449">
            <w:pPr>
              <w:keepNext w:val="0"/>
              <w:keepLines w:val="0"/>
              <w:pageBreakBefore w:val="0"/>
              <w:widowControl w:val="0"/>
              <w:kinsoku/>
              <w:wordWrap/>
              <w:overflowPunct/>
              <w:topLinePunct w:val="0"/>
              <w:autoSpaceDE/>
              <w:autoSpaceDN/>
              <w:bidi w:val="0"/>
              <w:spacing w:line="380" w:lineRule="exact"/>
              <w:ind w:left="0" w:leftChars="0" w:firstLine="0" w:firstLineChars="0"/>
              <w:textAlignment w:val="auto"/>
              <w:rPr>
                <w:rFonts w:hint="eastAsia" w:ascii="宋体" w:hAnsi="宋体" w:cs="宋体"/>
                <w:kern w:val="0"/>
                <w:sz w:val="24"/>
              </w:rPr>
            </w:pPr>
            <w:r>
              <w:rPr>
                <w:rFonts w:hint="eastAsia" w:cs="宋体"/>
                <w:color w:val="000000"/>
                <w:sz w:val="24"/>
                <w:szCs w:val="24"/>
                <w:highlight w:val="none"/>
                <w:lang w:eastAsia="zh-CN"/>
              </w:rPr>
              <w:t>☑本项目</w:t>
            </w:r>
            <w:r>
              <w:rPr>
                <w:rFonts w:hint="eastAsia" w:ascii="宋体" w:hAnsi="宋体" w:cs="宋体"/>
                <w:kern w:val="0"/>
                <w:sz w:val="24"/>
              </w:rPr>
              <w:t>不允许采购进口产品。</w:t>
            </w:r>
          </w:p>
          <w:p w14:paraId="7657A8B4">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宋体" w:hAnsi="宋体" w:eastAsia="宋体" w:cs="宋体"/>
                <w:color w:val="000000"/>
                <w:sz w:val="24"/>
                <w:szCs w:val="24"/>
                <w:highlight w:val="none"/>
              </w:rPr>
            </w:pPr>
            <w:r>
              <w:rPr>
                <w:rFonts w:hint="eastAsia" w:cs="宋体"/>
                <w:color w:val="000000"/>
                <w:sz w:val="24"/>
                <w:szCs w:val="24"/>
                <w:highlight w:val="none"/>
                <w:lang w:eastAsia="zh-CN"/>
              </w:rPr>
              <w:t>□允许</w:t>
            </w:r>
            <w:r>
              <w:rPr>
                <w:rFonts w:hint="eastAsia" w:ascii="宋体" w:hAnsi="宋体" w:cs="宋体"/>
                <w:kern w:val="0"/>
                <w:sz w:val="24"/>
              </w:rPr>
              <w:t>采购进口产品</w:t>
            </w:r>
            <w:r>
              <w:rPr>
                <w:rFonts w:hint="eastAsia" w:cs="宋体"/>
                <w:kern w:val="0"/>
                <w:sz w:val="24"/>
                <w:lang w:eastAsia="zh-CN"/>
              </w:rPr>
              <w:t>。</w:t>
            </w:r>
          </w:p>
        </w:tc>
      </w:tr>
      <w:tr w14:paraId="2144B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72" w:type="dxa"/>
            <w:vAlign w:val="center"/>
          </w:tcPr>
          <w:p w14:paraId="5D89989B">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cs="宋体"/>
                <w:sz w:val="24"/>
                <w:szCs w:val="24"/>
                <w:lang w:val="en-US" w:eastAsia="zh-CN"/>
              </w:rPr>
              <w:t>5</w:t>
            </w:r>
          </w:p>
        </w:tc>
        <w:tc>
          <w:tcPr>
            <w:tcW w:w="1991" w:type="dxa"/>
            <w:vAlign w:val="center"/>
          </w:tcPr>
          <w:p w14:paraId="36B7233C">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招标代理服务费</w:t>
            </w:r>
          </w:p>
        </w:tc>
        <w:tc>
          <w:tcPr>
            <w:tcW w:w="7349" w:type="dxa"/>
            <w:vAlign w:val="center"/>
          </w:tcPr>
          <w:p w14:paraId="6AA65A00">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lang w:val="en-US" w:eastAsia="zh-CN"/>
              </w:rPr>
              <w:t>（1）收费标准参照国家计委关于印发《招标代理服务收费管理暂行办法》的通知（计价格[2002]1980号），</w:t>
            </w:r>
            <w:r>
              <w:rPr>
                <w:rFonts w:hint="eastAsia" w:cs="宋体"/>
                <w:sz w:val="24"/>
                <w:szCs w:val="24"/>
                <w:lang w:val="en-US" w:eastAsia="zh-CN"/>
              </w:rPr>
              <w:t>在此基础上按69.4%折扣计取（不累进计算），</w:t>
            </w:r>
            <w:r>
              <w:rPr>
                <w:rFonts w:hint="eastAsia" w:ascii="宋体" w:hAnsi="宋体" w:eastAsia="宋体" w:cs="宋体"/>
                <w:sz w:val="24"/>
                <w:szCs w:val="24"/>
                <w:highlight w:val="none"/>
                <w:lang w:val="en-US" w:eastAsia="zh-CN"/>
              </w:rPr>
              <w:t>由中标供应商一次性向代理机构支付。</w:t>
            </w:r>
            <w:r>
              <w:rPr>
                <w:rFonts w:hint="eastAsia" w:cs="宋体"/>
                <w:sz w:val="24"/>
                <w:szCs w:val="24"/>
                <w:highlight w:val="none"/>
                <w:lang w:val="en-US" w:eastAsia="zh-CN"/>
              </w:rPr>
              <w:t>每个项目代理服务费收费上限不超过2.5万元。</w:t>
            </w:r>
          </w:p>
          <w:p w14:paraId="132EE273">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lang w:eastAsia="zh-CN"/>
              </w:rPr>
              <w:t>）</w:t>
            </w:r>
            <w:r>
              <w:rPr>
                <w:rFonts w:hint="eastAsia" w:cs="宋体"/>
                <w:color w:val="000000"/>
                <w:sz w:val="24"/>
                <w:szCs w:val="24"/>
                <w:highlight w:val="none"/>
                <w:lang w:eastAsia="zh-CN"/>
              </w:rPr>
              <w:t>本项目代理服务费按标项分别</w:t>
            </w:r>
            <w:r>
              <w:rPr>
                <w:rFonts w:hint="eastAsia" w:cs="宋体"/>
                <w:color w:val="000000"/>
                <w:sz w:val="24"/>
                <w:szCs w:val="24"/>
                <w:highlight w:val="none"/>
                <w:lang w:val="en-US" w:eastAsia="zh-CN"/>
              </w:rPr>
              <w:t>收取，</w:t>
            </w:r>
            <w:r>
              <w:rPr>
                <w:rFonts w:hint="eastAsia" w:ascii="宋体" w:hAnsi="宋体" w:eastAsia="宋体" w:cs="宋体"/>
                <w:color w:val="000000"/>
                <w:sz w:val="24"/>
                <w:szCs w:val="24"/>
                <w:highlight w:val="none"/>
              </w:rPr>
              <w:t>中标人在中</w:t>
            </w:r>
            <w:r>
              <w:rPr>
                <w:rFonts w:hint="eastAsia" w:ascii="宋体" w:hAnsi="宋体" w:eastAsia="宋体" w:cs="宋体"/>
                <w:color w:val="000000"/>
                <w:sz w:val="24"/>
                <w:szCs w:val="24"/>
              </w:rPr>
              <w:t>标通知书</w:t>
            </w:r>
            <w:r>
              <w:rPr>
                <w:rFonts w:hint="eastAsia" w:cs="宋体"/>
                <w:color w:val="000000"/>
                <w:sz w:val="24"/>
                <w:szCs w:val="24"/>
                <w:lang w:eastAsia="zh-CN"/>
              </w:rPr>
              <w:t>发出当日</w:t>
            </w:r>
            <w:r>
              <w:rPr>
                <w:rFonts w:hint="eastAsia" w:ascii="宋体" w:hAnsi="宋体" w:eastAsia="宋体" w:cs="宋体"/>
                <w:color w:val="000000"/>
                <w:sz w:val="24"/>
                <w:szCs w:val="24"/>
              </w:rPr>
              <w:t>，</w:t>
            </w:r>
            <w:r>
              <w:rPr>
                <w:rFonts w:hint="eastAsia" w:cs="宋体"/>
                <w:color w:val="000000"/>
                <w:sz w:val="24"/>
                <w:szCs w:val="24"/>
                <w:lang w:eastAsia="zh-CN"/>
              </w:rPr>
              <w:t>以电汇方式</w:t>
            </w:r>
            <w:r>
              <w:rPr>
                <w:rFonts w:hint="eastAsia" w:ascii="宋体" w:hAnsi="宋体" w:eastAsia="宋体" w:cs="宋体"/>
                <w:color w:val="000000"/>
                <w:sz w:val="24"/>
                <w:szCs w:val="24"/>
              </w:rPr>
              <w:t>向招标代理机构交纳代理服务费，如未按上述规定办理，招标代理机构有权对于代理服务费不足部分进行追索。</w:t>
            </w:r>
          </w:p>
          <w:p w14:paraId="4D3F4EF8">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cs="宋体"/>
                <w:color w:val="000000"/>
                <w:sz w:val="24"/>
                <w:szCs w:val="24"/>
                <w:lang w:val="en-US" w:eastAsia="zh-CN"/>
              </w:rPr>
              <w:t>3</w:t>
            </w:r>
            <w:r>
              <w:rPr>
                <w:rFonts w:hint="eastAsia" w:ascii="宋体" w:hAnsi="宋体" w:eastAsia="宋体" w:cs="宋体"/>
                <w:color w:val="000000"/>
                <w:sz w:val="24"/>
                <w:szCs w:val="24"/>
              </w:rPr>
              <w:t>）服务费缴纳账号：</w:t>
            </w:r>
          </w:p>
          <w:p w14:paraId="5BFFE345">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收款人：浙江致信招标代理有限公司湖州分公司</w:t>
            </w:r>
          </w:p>
          <w:p w14:paraId="579454CB">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开户银行：恒丰银行股份有限公司湖州分行</w:t>
            </w:r>
          </w:p>
          <w:p w14:paraId="46A7B1BC">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账号：33050106100100000031</w:t>
            </w:r>
          </w:p>
          <w:p w14:paraId="538F2005">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开票及相关问题联系人：</w:t>
            </w:r>
            <w:r>
              <w:rPr>
                <w:rFonts w:hint="eastAsia" w:cs="宋体"/>
                <w:sz w:val="24"/>
                <w:szCs w:val="24"/>
                <w:lang w:val="en-US" w:eastAsia="zh-CN"/>
              </w:rPr>
              <w:t>潘</w:t>
            </w:r>
            <w:r>
              <w:rPr>
                <w:rFonts w:hint="eastAsia" w:ascii="宋体" w:hAnsi="宋体" w:eastAsia="宋体" w:cs="宋体"/>
                <w:sz w:val="24"/>
                <w:szCs w:val="24"/>
              </w:rPr>
              <w:t>工</w:t>
            </w:r>
            <w:r>
              <w:rPr>
                <w:rFonts w:hint="eastAsia" w:cs="宋体"/>
                <w:sz w:val="24"/>
                <w:szCs w:val="24"/>
                <w:lang w:val="en-US" w:eastAsia="zh-CN"/>
              </w:rPr>
              <w:t>/</w:t>
            </w:r>
            <w:r>
              <w:rPr>
                <w:rFonts w:hint="eastAsia" w:ascii="宋体" w:hAnsi="宋体" w:eastAsia="宋体" w:cs="宋体"/>
                <w:sz w:val="24"/>
                <w:szCs w:val="24"/>
              </w:rPr>
              <w:t>0572-2038559</w:t>
            </w:r>
          </w:p>
        </w:tc>
      </w:tr>
      <w:tr w14:paraId="521D2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72" w:type="dxa"/>
            <w:vAlign w:val="center"/>
          </w:tcPr>
          <w:p w14:paraId="6321A07D">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cs="宋体"/>
                <w:sz w:val="24"/>
                <w:szCs w:val="24"/>
                <w:lang w:val="en-US" w:eastAsia="zh-CN"/>
              </w:rPr>
              <w:t>6</w:t>
            </w:r>
          </w:p>
        </w:tc>
        <w:tc>
          <w:tcPr>
            <w:tcW w:w="1991" w:type="dxa"/>
            <w:vAlign w:val="center"/>
          </w:tcPr>
          <w:p w14:paraId="7B2B98EB">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中标后注意事项</w:t>
            </w:r>
          </w:p>
        </w:tc>
        <w:tc>
          <w:tcPr>
            <w:tcW w:w="7349" w:type="dxa"/>
            <w:vAlign w:val="center"/>
          </w:tcPr>
          <w:p w14:paraId="74420B86">
            <w:pPr>
              <w:keepNext w:val="0"/>
              <w:keepLines w:val="0"/>
              <w:pageBreakBefore w:val="0"/>
              <w:widowControl w:val="0"/>
              <w:tabs>
                <w:tab w:val="left" w:pos="312"/>
              </w:tabs>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（1）中标人在中标之后领取通知书时，应向招标代理机构交纳招标代理服务费。</w:t>
            </w:r>
          </w:p>
          <w:p w14:paraId="638385D4">
            <w:pPr>
              <w:keepNext w:val="0"/>
              <w:keepLines w:val="0"/>
              <w:pageBreakBefore w:val="0"/>
              <w:widowControl w:val="0"/>
              <w:tabs>
                <w:tab w:val="left" w:pos="312"/>
              </w:tabs>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（2）若中标人未在约定时间内支付招标代理服务费，从逾期之日起按日利率千分之一承担违约金。</w:t>
            </w:r>
          </w:p>
          <w:p w14:paraId="45EB4A2C">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（3）若中标人未按上述规定办理，需承担招标代理机构为实现债权的所有费用（包括但不限于律师费、催讨车旅费、保全担保费等）</w:t>
            </w:r>
            <w:r>
              <w:rPr>
                <w:rFonts w:hint="eastAsia" w:ascii="宋体" w:hAnsi="宋体" w:eastAsia="宋体" w:cs="宋体"/>
                <w:sz w:val="24"/>
                <w:szCs w:val="24"/>
                <w:lang w:eastAsia="zh-CN"/>
              </w:rPr>
              <w:t>。</w:t>
            </w:r>
          </w:p>
        </w:tc>
      </w:tr>
      <w:tr w14:paraId="33A4B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2" w:type="dxa"/>
            <w:vAlign w:val="center"/>
          </w:tcPr>
          <w:p w14:paraId="27BACA8A">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default" w:ascii="宋体" w:hAnsi="宋体" w:eastAsia="宋体" w:cs="宋体"/>
                <w:sz w:val="24"/>
                <w:szCs w:val="24"/>
                <w:lang w:val="en-US" w:eastAsia="zh-CN"/>
              </w:rPr>
            </w:pPr>
            <w:r>
              <w:rPr>
                <w:rFonts w:hint="eastAsia" w:cs="宋体"/>
                <w:sz w:val="24"/>
                <w:szCs w:val="24"/>
                <w:lang w:val="en-US" w:eastAsia="zh-CN"/>
              </w:rPr>
              <w:t>17</w:t>
            </w:r>
          </w:p>
        </w:tc>
        <w:tc>
          <w:tcPr>
            <w:tcW w:w="1991" w:type="dxa"/>
            <w:vAlign w:val="center"/>
          </w:tcPr>
          <w:p w14:paraId="34C34DD4">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实质性条款</w:t>
            </w:r>
          </w:p>
        </w:tc>
        <w:tc>
          <w:tcPr>
            <w:tcW w:w="7349" w:type="dxa"/>
            <w:vAlign w:val="center"/>
          </w:tcPr>
          <w:p w14:paraId="62219AE9">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rPr>
            </w:pPr>
            <w:r>
              <w:rPr>
                <w:rFonts w:hint="eastAsia"/>
                <w:sz w:val="24"/>
                <w:szCs w:val="24"/>
                <w:lang w:val="zh-CN"/>
              </w:rPr>
              <w:t>带“</w:t>
            </w:r>
            <w:r>
              <w:rPr>
                <w:rFonts w:hint="eastAsia"/>
                <w:sz w:val="24"/>
                <w:szCs w:val="24"/>
              </w:rPr>
              <w:t>▲”的条款是实质性条款，投标文件须作出实质性响应，否则作无效投标处理。</w:t>
            </w:r>
          </w:p>
        </w:tc>
      </w:tr>
      <w:tr w14:paraId="2A295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772" w:type="dxa"/>
            <w:vAlign w:val="center"/>
          </w:tcPr>
          <w:p w14:paraId="43198767">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default" w:cs="宋体"/>
                <w:sz w:val="24"/>
                <w:szCs w:val="24"/>
                <w:lang w:val="en-US" w:eastAsia="zh-CN"/>
              </w:rPr>
            </w:pPr>
            <w:r>
              <w:rPr>
                <w:rFonts w:hint="eastAsia" w:cs="宋体"/>
                <w:sz w:val="24"/>
                <w:szCs w:val="24"/>
                <w:lang w:val="en-US" w:eastAsia="zh-CN"/>
              </w:rPr>
              <w:t>18</w:t>
            </w:r>
          </w:p>
        </w:tc>
        <w:tc>
          <w:tcPr>
            <w:tcW w:w="1991" w:type="dxa"/>
            <w:vAlign w:val="center"/>
          </w:tcPr>
          <w:p w14:paraId="5555D1C0">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cs="宋体"/>
                <w:sz w:val="24"/>
                <w:szCs w:val="24"/>
                <w:lang w:val="en-US" w:eastAsia="zh-CN"/>
              </w:rPr>
            </w:pPr>
            <w:r>
              <w:rPr>
                <w:rFonts w:hint="eastAsia" w:cs="宋体"/>
                <w:sz w:val="24"/>
                <w:szCs w:val="24"/>
                <w:lang w:val="en-US" w:eastAsia="zh-CN"/>
              </w:rPr>
              <w:t>中小企业扶持</w:t>
            </w:r>
          </w:p>
          <w:p w14:paraId="6AC5D4FB">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cs="宋体"/>
                <w:sz w:val="24"/>
                <w:szCs w:val="24"/>
                <w:lang w:val="en-US" w:eastAsia="zh-CN"/>
              </w:rPr>
              <w:t>政策</w:t>
            </w:r>
          </w:p>
        </w:tc>
        <w:tc>
          <w:tcPr>
            <w:tcW w:w="7349" w:type="dxa"/>
            <w:vAlign w:val="center"/>
          </w:tcPr>
          <w:p w14:paraId="3598A321">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val="zh-CN"/>
              </w:rPr>
              <w:t>）</w:t>
            </w:r>
            <w:r>
              <w:rPr>
                <w:rFonts w:hint="eastAsia" w:ascii="宋体" w:hAnsi="宋体" w:eastAsia="宋体" w:cs="宋体"/>
                <w:b/>
                <w:bCs/>
                <w:sz w:val="24"/>
                <w:szCs w:val="24"/>
                <w:lang w:val="zh-CN"/>
              </w:rPr>
              <w:t>本项目专门面向中小企业预留采购份额。</w:t>
            </w:r>
          </w:p>
          <w:p w14:paraId="3D0E91AF">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w:t>
            </w:r>
            <w:r>
              <w:rPr>
                <w:rFonts w:hint="eastAsia" w:ascii="宋体" w:hAnsi="宋体" w:eastAsia="宋体" w:cs="宋体"/>
                <w:color w:val="auto"/>
                <w:kern w:val="0"/>
                <w:sz w:val="24"/>
                <w:szCs w:val="24"/>
              </w:rPr>
              <w:t>2）本</w:t>
            </w:r>
            <w:r>
              <w:rPr>
                <w:rFonts w:hint="eastAsia" w:cs="宋体"/>
                <w:color w:val="auto"/>
                <w:kern w:val="0"/>
                <w:sz w:val="24"/>
                <w:szCs w:val="24"/>
                <w:lang w:eastAsia="zh-CN"/>
              </w:rPr>
              <w:t>招标文件</w:t>
            </w:r>
            <w:r>
              <w:rPr>
                <w:rFonts w:hint="eastAsia" w:ascii="宋体" w:hAnsi="宋体" w:eastAsia="宋体" w:cs="宋体"/>
                <w:color w:val="auto"/>
                <w:kern w:val="0"/>
                <w:sz w:val="24"/>
                <w:szCs w:val="24"/>
              </w:rPr>
              <w:t>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B000705">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b w:val="0"/>
                <w:bCs/>
                <w:color w:val="auto"/>
                <w:kern w:val="0"/>
                <w:sz w:val="24"/>
                <w:szCs w:val="24"/>
                <w:u w:val="none"/>
                <w:lang w:eastAsia="zh-CN"/>
              </w:rPr>
            </w:pPr>
            <w:r>
              <w:rPr>
                <w:rFonts w:hint="eastAsia" w:ascii="宋体" w:hAnsi="宋体" w:eastAsia="宋体" w:cs="宋体"/>
                <w:color w:val="auto"/>
                <w:sz w:val="24"/>
                <w:szCs w:val="24"/>
              </w:rPr>
              <w:t>（</w:t>
            </w:r>
            <w:r>
              <w:rPr>
                <w:rFonts w:hint="eastAsia" w:ascii="宋体" w:hAnsi="宋体" w:eastAsia="宋体" w:cs="宋体"/>
                <w:color w:val="auto"/>
                <w:kern w:val="0"/>
                <w:sz w:val="24"/>
                <w:szCs w:val="24"/>
              </w:rPr>
              <w:t>3）本次采购标的为</w:t>
            </w:r>
            <w:r>
              <w:rPr>
                <w:rFonts w:hint="eastAsia" w:cs="宋体"/>
                <w:b/>
                <w:bCs/>
                <w:color w:val="auto"/>
                <w:kern w:val="0"/>
                <w:sz w:val="24"/>
                <w:szCs w:val="24"/>
                <w:u w:val="single"/>
                <w:lang w:eastAsia="zh-CN"/>
              </w:rPr>
              <w:t>货物</w:t>
            </w:r>
            <w:r>
              <w:rPr>
                <w:rFonts w:hint="eastAsia" w:ascii="宋体" w:hAnsi="宋体" w:eastAsia="宋体" w:cs="宋体"/>
                <w:color w:val="auto"/>
                <w:kern w:val="0"/>
                <w:sz w:val="24"/>
                <w:szCs w:val="24"/>
              </w:rPr>
              <w:t>，对应的中小企业划分标准所属行业是：</w:t>
            </w:r>
            <w:r>
              <w:rPr>
                <w:rFonts w:hint="eastAsia" w:cs="宋体"/>
                <w:b/>
                <w:bCs/>
                <w:color w:val="auto"/>
                <w:kern w:val="0"/>
                <w:sz w:val="24"/>
                <w:szCs w:val="24"/>
                <w:u w:val="single"/>
                <w:lang w:eastAsia="zh-CN"/>
              </w:rPr>
              <w:t>工业</w:t>
            </w:r>
            <w:r>
              <w:rPr>
                <w:rFonts w:hint="eastAsia" w:ascii="宋体" w:hAnsi="宋体" w:eastAsia="宋体" w:cs="宋体"/>
                <w:b w:val="0"/>
                <w:bCs/>
                <w:color w:val="auto"/>
                <w:kern w:val="0"/>
                <w:sz w:val="24"/>
                <w:szCs w:val="24"/>
                <w:u w:val="none"/>
                <w:lang w:eastAsia="zh-CN"/>
              </w:rPr>
              <w:t>。</w:t>
            </w:r>
          </w:p>
          <w:p w14:paraId="44EDF4D9">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rPr>
              <w:t>（</w:t>
            </w:r>
            <w:r>
              <w:rPr>
                <w:rFonts w:hint="eastAsia" w:ascii="宋体" w:hAnsi="宋体" w:eastAsia="宋体" w:cs="宋体"/>
                <w:color w:val="auto"/>
                <w:kern w:val="0"/>
                <w:sz w:val="24"/>
                <w:szCs w:val="24"/>
              </w:rPr>
              <w:t>4）参加本次采购活动的供应商</w:t>
            </w:r>
            <w:r>
              <w:rPr>
                <w:rFonts w:hint="eastAsia" w:ascii="宋体" w:hAnsi="宋体" w:eastAsia="宋体" w:cs="宋体"/>
                <w:b/>
                <w:color w:val="auto"/>
                <w:kern w:val="0"/>
                <w:sz w:val="24"/>
                <w:szCs w:val="24"/>
                <w:u w:val="single"/>
              </w:rPr>
              <w:t>提供的</w:t>
            </w:r>
            <w:r>
              <w:rPr>
                <w:rFonts w:hint="eastAsia" w:cs="宋体"/>
                <w:b/>
                <w:color w:val="auto"/>
                <w:kern w:val="0"/>
                <w:sz w:val="24"/>
                <w:szCs w:val="24"/>
                <w:u w:val="single"/>
                <w:lang w:eastAsia="zh-CN"/>
              </w:rPr>
              <w:t>货物</w:t>
            </w:r>
            <w:r>
              <w:rPr>
                <w:rFonts w:hint="eastAsia" w:ascii="宋体" w:hAnsi="宋体" w:eastAsia="宋体" w:cs="宋体"/>
                <w:b/>
                <w:color w:val="auto"/>
                <w:kern w:val="0"/>
                <w:sz w:val="24"/>
                <w:szCs w:val="24"/>
                <w:u w:val="single"/>
              </w:rPr>
              <w:t>全部由</w:t>
            </w:r>
            <w:r>
              <w:rPr>
                <w:rFonts w:hint="eastAsia" w:cs="宋体"/>
                <w:b/>
                <w:color w:val="auto"/>
                <w:kern w:val="0"/>
                <w:sz w:val="24"/>
                <w:szCs w:val="24"/>
                <w:u w:val="single"/>
                <w:lang w:eastAsia="zh-CN"/>
              </w:rPr>
              <w:t>中</w:t>
            </w:r>
            <w:r>
              <w:rPr>
                <w:rFonts w:hint="eastAsia" w:cs="宋体"/>
                <w:b/>
                <w:color w:val="auto"/>
                <w:kern w:val="0"/>
                <w:sz w:val="24"/>
                <w:szCs w:val="24"/>
                <w:u w:val="single"/>
                <w:lang w:val="en-US" w:eastAsia="zh-CN"/>
              </w:rPr>
              <w:t>小</w:t>
            </w:r>
            <w:r>
              <w:rPr>
                <w:rFonts w:hint="eastAsia" w:ascii="宋体" w:hAnsi="宋体" w:eastAsia="宋体" w:cs="宋体"/>
                <w:b/>
                <w:color w:val="auto"/>
                <w:kern w:val="0"/>
                <w:sz w:val="24"/>
                <w:szCs w:val="24"/>
                <w:u w:val="single"/>
              </w:rPr>
              <w:t>企业</w:t>
            </w:r>
            <w:r>
              <w:rPr>
                <w:rFonts w:hint="eastAsia" w:cs="宋体"/>
                <w:b/>
                <w:color w:val="auto"/>
                <w:kern w:val="0"/>
                <w:sz w:val="24"/>
                <w:szCs w:val="24"/>
                <w:u w:val="single"/>
                <w:lang w:eastAsia="zh-CN"/>
              </w:rPr>
              <w:t>制造</w:t>
            </w:r>
            <w:r>
              <w:rPr>
                <w:rFonts w:hint="eastAsia" w:ascii="宋体" w:hAnsi="宋体" w:eastAsia="宋体" w:cs="宋体"/>
                <w:b/>
                <w:color w:val="auto"/>
                <w:kern w:val="0"/>
                <w:sz w:val="24"/>
                <w:szCs w:val="24"/>
                <w:u w:val="none"/>
                <w:lang w:eastAsia="zh-CN"/>
              </w:rPr>
              <w:t>，</w:t>
            </w:r>
            <w:r>
              <w:rPr>
                <w:rFonts w:hint="eastAsia" w:ascii="宋体" w:hAnsi="宋体" w:eastAsia="宋体" w:cs="宋体"/>
                <w:color w:val="auto"/>
                <w:kern w:val="0"/>
                <w:sz w:val="24"/>
                <w:szCs w:val="24"/>
                <w:highlight w:val="none"/>
              </w:rPr>
              <w:t>其报价给予</w:t>
            </w:r>
            <w:r>
              <w:rPr>
                <w:rFonts w:hint="eastAsia" w:ascii="宋体" w:hAnsi="宋体" w:eastAsia="宋体" w:cs="宋体"/>
                <w:b/>
                <w:bCs/>
                <w:color w:val="auto"/>
                <w:kern w:val="0"/>
                <w:sz w:val="24"/>
                <w:szCs w:val="24"/>
                <w:highlight w:val="none"/>
                <w:u w:val="single"/>
                <w:lang w:val="en-US" w:eastAsia="zh-CN"/>
              </w:rPr>
              <w:t>1</w:t>
            </w:r>
            <w:r>
              <w:rPr>
                <w:rFonts w:hint="eastAsia" w:ascii="宋体" w:hAnsi="宋体" w:eastAsia="宋体" w:cs="宋体"/>
                <w:b/>
                <w:color w:val="auto"/>
                <w:kern w:val="0"/>
                <w:sz w:val="24"/>
                <w:szCs w:val="24"/>
                <w:highlight w:val="none"/>
                <w:u w:val="single"/>
              </w:rPr>
              <w:t>0%</w:t>
            </w:r>
            <w:r>
              <w:rPr>
                <w:rFonts w:hint="eastAsia" w:ascii="宋体" w:hAnsi="宋体" w:eastAsia="宋体" w:cs="宋体"/>
                <w:color w:val="auto"/>
                <w:kern w:val="0"/>
                <w:sz w:val="24"/>
                <w:szCs w:val="24"/>
                <w:highlight w:val="none"/>
              </w:rPr>
              <w:t>的扣除，用扣除后的价格参加评审。</w:t>
            </w:r>
            <w:r>
              <w:rPr>
                <w:rFonts w:hint="eastAsia" w:cs="宋体"/>
                <w:b/>
                <w:bCs/>
                <w:color w:val="auto"/>
                <w:kern w:val="0"/>
                <w:sz w:val="24"/>
                <w:szCs w:val="24"/>
                <w:highlight w:val="none"/>
                <w:lang w:eastAsia="zh-CN"/>
              </w:rPr>
              <w:t>（本项目不适用）</w:t>
            </w:r>
          </w:p>
          <w:p w14:paraId="6627EFFB">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）符合小微企业划分标准的个体工商户，视同小微企业。</w:t>
            </w:r>
          </w:p>
          <w:p w14:paraId="355876D9">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）小微企业参加政府采购活动，应当出具《中小企业声明函》。</w:t>
            </w:r>
          </w:p>
          <w:p w14:paraId="7CB79561">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宋体" w:hAnsi="宋体" w:eastAsia="宋体" w:cs="宋体"/>
              </w:rPr>
            </w:pPr>
            <w:r>
              <w:rPr>
                <w:rFonts w:hint="eastAsia" w:ascii="宋体" w:hAnsi="宋体" w:eastAsia="宋体" w:cs="宋体"/>
                <w:lang w:eastAsia="zh-CN"/>
              </w:rPr>
              <w:t>（</w:t>
            </w:r>
            <w:r>
              <w:rPr>
                <w:rFonts w:hint="eastAsia" w:cs="宋体"/>
                <w:lang w:val="en-US" w:eastAsia="zh-CN"/>
              </w:rPr>
              <w:t>7</w:t>
            </w:r>
            <w:r>
              <w:rPr>
                <w:rFonts w:hint="eastAsia" w:ascii="宋体" w:hAnsi="宋体" w:eastAsia="宋体" w:cs="宋体"/>
                <w:lang w:eastAsia="zh-CN"/>
              </w:rPr>
              <w:t>）</w:t>
            </w:r>
            <w:r>
              <w:rPr>
                <w:rFonts w:hint="eastAsia" w:ascii="宋体" w:hAnsi="宋体" w:eastAsia="宋体" w:cs="宋体"/>
              </w:rPr>
              <w:t>监狱企业和残疾人福利性单位视同小型、微型企业，按《财政部司法部关于政府采购支持监狱企业发展有关问题的通知》(财库〔2014〕68号)、《财政部民政部中国残疾人联合会关于促进残疾人就业政府采购政策的通知》（财库〔2017〕141号）的规定执行。</w:t>
            </w:r>
          </w:p>
          <w:p w14:paraId="61A2953A">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eastAsia="宋体"/>
                <w:lang w:val="zh-CN" w:eastAsia="zh-CN"/>
              </w:rPr>
            </w:pPr>
            <w:r>
              <w:rPr>
                <w:rFonts w:hint="eastAsia"/>
                <w:lang w:eastAsia="zh-CN"/>
              </w:rPr>
              <w:t>（</w:t>
            </w:r>
            <w:r>
              <w:rPr>
                <w:rFonts w:hint="eastAsia"/>
                <w:lang w:val="en-US" w:eastAsia="zh-CN"/>
              </w:rPr>
              <w:t>8</w:t>
            </w:r>
            <w:r>
              <w:rPr>
                <w:rFonts w:hint="eastAsia"/>
                <w:lang w:eastAsia="zh-CN"/>
              </w:rPr>
              <w:t>）</w:t>
            </w:r>
            <w:r>
              <w:rPr>
                <w:rFonts w:hint="eastAsia"/>
              </w:rPr>
              <w:t>小微企业不得将合同分包给大中型企业，中型企业不得将合同分包给大型企业。</w:t>
            </w:r>
          </w:p>
        </w:tc>
      </w:tr>
    </w:tbl>
    <w:p w14:paraId="7BAFD263">
      <w:pPr>
        <w:pStyle w:val="4"/>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br w:type="page"/>
      </w:r>
      <w:bookmarkEnd w:id="29"/>
      <w:bookmarkEnd w:id="30"/>
      <w:bookmarkEnd w:id="31"/>
      <w:bookmarkEnd w:id="32"/>
      <w:bookmarkEnd w:id="33"/>
      <w:bookmarkEnd w:id="34"/>
      <w:bookmarkEnd w:id="35"/>
      <w:bookmarkEnd w:id="36"/>
      <w:bookmarkEnd w:id="37"/>
      <w:bookmarkStart w:id="38" w:name="_Toc2440"/>
      <w:bookmarkStart w:id="39" w:name="_Toc22147"/>
      <w:bookmarkStart w:id="40" w:name="_Toc144974498"/>
      <w:bookmarkStart w:id="41" w:name="_Toc246996176"/>
      <w:bookmarkStart w:id="42" w:name="_Toc152045530"/>
      <w:bookmarkStart w:id="43" w:name="_Toc152042306"/>
      <w:bookmarkStart w:id="44" w:name="_Toc179632547"/>
      <w:bookmarkStart w:id="45" w:name="_Toc296602421"/>
      <w:bookmarkStart w:id="46" w:name="_Toc247085690"/>
      <w:bookmarkStart w:id="47" w:name="_Toc246996919"/>
      <w:r>
        <w:rPr>
          <w:rFonts w:hint="eastAsia" w:ascii="宋体" w:hAnsi="宋体" w:eastAsia="宋体" w:cs="宋体"/>
          <w:sz w:val="24"/>
          <w:szCs w:val="24"/>
        </w:rPr>
        <w:t xml:space="preserve">第一节 </w:t>
      </w:r>
      <w:r>
        <w:rPr>
          <w:rFonts w:hint="eastAsia" w:ascii="宋体" w:hAnsi="宋体" w:cs="宋体"/>
          <w:sz w:val="24"/>
          <w:szCs w:val="24"/>
          <w:lang w:val="en-US" w:eastAsia="zh-CN"/>
        </w:rPr>
        <w:t xml:space="preserve"> </w:t>
      </w:r>
      <w:r>
        <w:rPr>
          <w:rFonts w:hint="eastAsia" w:ascii="宋体" w:hAnsi="宋体" w:eastAsia="宋体" w:cs="宋体"/>
          <w:sz w:val="24"/>
          <w:szCs w:val="24"/>
        </w:rPr>
        <w:t>总 则</w:t>
      </w:r>
      <w:bookmarkEnd w:id="38"/>
      <w:bookmarkEnd w:id="39"/>
    </w:p>
    <w:p w14:paraId="6DDE6F91">
      <w:pPr>
        <w:bidi w:val="0"/>
        <w:spacing w:line="360" w:lineRule="auto"/>
        <w:ind w:left="0" w:leftChars="0" w:firstLine="0" w:firstLineChars="0"/>
        <w:rPr>
          <w:rFonts w:hint="eastAsia" w:ascii="宋体" w:hAnsi="宋体" w:eastAsia="宋体" w:cs="宋体"/>
          <w:szCs w:val="24"/>
        </w:rPr>
      </w:pPr>
      <w:r>
        <w:rPr>
          <w:rFonts w:hint="eastAsia"/>
          <w:b/>
          <w:bCs/>
        </w:rPr>
        <w:t>一、适用范围</w:t>
      </w:r>
    </w:p>
    <w:p w14:paraId="2AD59E21">
      <w:pPr>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rPr>
      </w:pPr>
      <w:r>
        <w:rPr>
          <w:rFonts w:hint="eastAsia" w:ascii="宋体" w:hAnsi="宋体" w:eastAsia="宋体" w:cs="宋体"/>
        </w:rPr>
        <w:t>本招标文件适用于该项目的招标、投标、开标、资格审查及信用信息查询、评标、定标、合同、验收等行为（法律、法规另有规定的，从其规定）。</w:t>
      </w:r>
    </w:p>
    <w:p w14:paraId="4971217B">
      <w:pPr>
        <w:bidi w:val="0"/>
        <w:spacing w:line="360" w:lineRule="auto"/>
        <w:ind w:left="0" w:leftChars="0" w:firstLine="0" w:firstLineChars="0"/>
        <w:rPr>
          <w:rFonts w:hint="eastAsia" w:ascii="宋体" w:hAnsi="宋体" w:eastAsia="宋体" w:cs="宋体"/>
          <w:szCs w:val="24"/>
        </w:rPr>
      </w:pPr>
      <w:r>
        <w:rPr>
          <w:rFonts w:hint="eastAsia"/>
          <w:b/>
          <w:bCs/>
        </w:rPr>
        <w:t>二、定义</w:t>
      </w:r>
    </w:p>
    <w:p w14:paraId="0A1405AE">
      <w:pPr>
        <w:pageBreakBefore w:val="0"/>
        <w:widowControl w:val="0"/>
        <w:kinsoku/>
        <w:wordWrap/>
        <w:overflowPunct/>
        <w:topLinePunct w:val="0"/>
        <w:autoSpaceDE/>
        <w:autoSpaceDN/>
        <w:bidi w:val="0"/>
        <w:adjustRightInd/>
        <w:snapToGrid/>
        <w:spacing w:line="360" w:lineRule="auto"/>
        <w:ind w:firstLine="480"/>
        <w:textAlignment w:val="auto"/>
        <w:rPr>
          <w:rFonts w:hint="default" w:ascii="宋体" w:hAnsi="宋体" w:eastAsia="宋体" w:cs="宋体"/>
          <w:lang w:val="en-US" w:eastAsia="zh-CN"/>
        </w:rPr>
      </w:pPr>
      <w:r>
        <w:rPr>
          <w:rFonts w:hint="eastAsia" w:ascii="宋体" w:hAnsi="宋体" w:eastAsia="宋体" w:cs="宋体"/>
        </w:rPr>
        <w:t>1.“招标人”系指</w:t>
      </w:r>
      <w:r>
        <w:rPr>
          <w:rFonts w:hint="eastAsia" w:cs="宋体"/>
          <w:lang w:eastAsia="zh-CN"/>
        </w:rPr>
        <w:t>湖州学院</w:t>
      </w:r>
      <w:r>
        <w:rPr>
          <w:rFonts w:hint="eastAsia" w:cs="宋体"/>
          <w:lang w:val="en-US" w:eastAsia="zh-CN"/>
        </w:rPr>
        <w:t>。</w:t>
      </w:r>
    </w:p>
    <w:p w14:paraId="1FE14688">
      <w:pPr>
        <w:pageBreakBefore w:val="0"/>
        <w:kinsoku/>
        <w:wordWrap/>
        <w:overflowPunct/>
        <w:topLinePunct w:val="0"/>
        <w:bidi w:val="0"/>
        <w:adjustRightInd/>
        <w:snapToGrid/>
        <w:spacing w:line="360" w:lineRule="auto"/>
        <w:ind w:firstLine="480"/>
        <w:textAlignment w:val="auto"/>
        <w:rPr>
          <w:rFonts w:hint="default" w:ascii="宋体" w:hAnsi="宋体" w:eastAsia="宋体" w:cs="宋体"/>
          <w:lang w:val="en-US" w:eastAsia="zh-CN"/>
        </w:rPr>
      </w:pPr>
      <w:r>
        <w:rPr>
          <w:rFonts w:hint="eastAsia" w:ascii="宋体" w:hAnsi="宋体" w:eastAsia="宋体" w:cs="宋体"/>
        </w:rPr>
        <w:t>2.“招标代理机构”系</w:t>
      </w:r>
      <w:r>
        <w:rPr>
          <w:rFonts w:hint="eastAsia" w:cs="宋体"/>
          <w:lang w:eastAsia="zh-CN"/>
        </w:rPr>
        <w:t>指组织本次招标的浙江致信招标代理有限公司</w:t>
      </w:r>
      <w:r>
        <w:rPr>
          <w:rFonts w:hint="eastAsia" w:cs="宋体"/>
          <w:lang w:val="en-US" w:eastAsia="zh-CN"/>
        </w:rPr>
        <w:t>。</w:t>
      </w:r>
    </w:p>
    <w:p w14:paraId="3D159FE7">
      <w:pPr>
        <w:pageBreakBefore w:val="0"/>
        <w:kinsoku/>
        <w:wordWrap/>
        <w:overflowPunct/>
        <w:topLinePunct w:val="0"/>
        <w:bidi w:val="0"/>
        <w:adjustRightInd/>
        <w:snapToGrid/>
        <w:spacing w:line="360" w:lineRule="auto"/>
        <w:ind w:firstLine="480"/>
        <w:textAlignment w:val="auto"/>
        <w:rPr>
          <w:rFonts w:hint="eastAsia" w:ascii="宋体" w:hAnsi="宋体" w:eastAsia="宋体" w:cs="宋体"/>
        </w:rPr>
      </w:pPr>
      <w:r>
        <w:rPr>
          <w:rFonts w:hint="eastAsia" w:ascii="宋体" w:hAnsi="宋体" w:eastAsia="宋体" w:cs="宋体"/>
        </w:rPr>
        <w:t>3.“投标人”和“投标方”系指参加本次招标活动符合资格条件的</w:t>
      </w:r>
      <w:r>
        <w:rPr>
          <w:rFonts w:hint="eastAsia" w:cs="宋体"/>
          <w:lang w:eastAsia="zh-CN"/>
        </w:rPr>
        <w:t>供应商</w:t>
      </w:r>
      <w:r>
        <w:rPr>
          <w:rFonts w:hint="eastAsia" w:ascii="宋体" w:hAnsi="宋体" w:eastAsia="宋体" w:cs="宋体"/>
        </w:rPr>
        <w:t>。</w:t>
      </w:r>
    </w:p>
    <w:p w14:paraId="7606D79D">
      <w:pPr>
        <w:pageBreakBefore w:val="0"/>
        <w:kinsoku/>
        <w:wordWrap/>
        <w:overflowPunct/>
        <w:topLinePunct w:val="0"/>
        <w:bidi w:val="0"/>
        <w:adjustRightInd/>
        <w:snapToGrid/>
        <w:spacing w:line="360" w:lineRule="auto"/>
        <w:ind w:firstLine="480"/>
        <w:textAlignment w:val="auto"/>
        <w:rPr>
          <w:rFonts w:hint="eastAsia" w:ascii="宋体" w:hAnsi="宋体" w:eastAsia="宋体" w:cs="宋体"/>
        </w:rPr>
      </w:pPr>
      <w:r>
        <w:rPr>
          <w:rFonts w:hint="eastAsia" w:ascii="宋体" w:hAnsi="宋体" w:eastAsia="宋体" w:cs="宋体"/>
        </w:rPr>
        <w:t>4.“</w:t>
      </w:r>
      <w:r>
        <w:rPr>
          <w:rFonts w:hint="eastAsia" w:cs="宋体"/>
          <w:lang w:eastAsia="zh-CN"/>
        </w:rPr>
        <w:t>授</w:t>
      </w:r>
      <w:r>
        <w:rPr>
          <w:rFonts w:hint="eastAsia" w:ascii="宋体" w:hAnsi="宋体" w:eastAsia="宋体" w:cs="宋体"/>
        </w:rPr>
        <w:t>权代表”系指参加本次招标活动的</w:t>
      </w:r>
      <w:r>
        <w:rPr>
          <w:rFonts w:hint="eastAsia" w:cs="宋体"/>
          <w:lang w:eastAsia="zh-CN"/>
        </w:rPr>
        <w:t>授权代表</w:t>
      </w:r>
      <w:r>
        <w:rPr>
          <w:rFonts w:hint="eastAsia" w:ascii="宋体" w:hAnsi="宋体" w:eastAsia="宋体" w:cs="宋体"/>
        </w:rPr>
        <w:t>。</w:t>
      </w:r>
    </w:p>
    <w:p w14:paraId="01FFA812">
      <w:pPr>
        <w:pageBreakBefore w:val="0"/>
        <w:kinsoku/>
        <w:wordWrap/>
        <w:overflowPunct/>
        <w:topLinePunct w:val="0"/>
        <w:bidi w:val="0"/>
        <w:adjustRightInd/>
        <w:snapToGrid/>
        <w:spacing w:line="360" w:lineRule="auto"/>
        <w:textAlignment w:val="auto"/>
        <w:rPr>
          <w:rFonts w:hint="eastAsia" w:cs="宋体"/>
          <w:sz w:val="24"/>
          <w:szCs w:val="24"/>
          <w:lang w:eastAsia="zh-CN"/>
        </w:rPr>
      </w:pPr>
      <w:r>
        <w:rPr>
          <w:rFonts w:hint="eastAsia"/>
          <w:lang w:val="en-US" w:eastAsia="zh-CN"/>
        </w:rPr>
        <w:t>5.</w:t>
      </w:r>
      <w:r>
        <w:rPr>
          <w:rFonts w:hint="eastAsia" w:cs="宋体"/>
          <w:sz w:val="24"/>
          <w:szCs w:val="24"/>
        </w:rPr>
        <w:t>“书面形式”包括信函、传真、电子文档等</w:t>
      </w:r>
      <w:r>
        <w:rPr>
          <w:rFonts w:hint="eastAsia" w:cs="宋体"/>
          <w:sz w:val="24"/>
          <w:szCs w:val="24"/>
          <w:lang w:eastAsia="zh-CN"/>
        </w:rPr>
        <w:t>。</w:t>
      </w:r>
    </w:p>
    <w:p w14:paraId="1D2FF305">
      <w:pPr>
        <w:pStyle w:val="6"/>
        <w:pageBreakBefore w:val="0"/>
        <w:kinsoku/>
        <w:wordWrap/>
        <w:overflowPunct/>
        <w:topLinePunct w:val="0"/>
        <w:bidi w:val="0"/>
        <w:adjustRightInd/>
        <w:snapToGrid/>
        <w:spacing w:line="360" w:lineRule="auto"/>
        <w:textAlignment w:val="auto"/>
        <w:rPr>
          <w:rFonts w:hint="eastAsia" w:ascii="宋体" w:hAnsi="宋体" w:cs="宋体"/>
          <w:b w:val="0"/>
          <w:bCs w:val="0"/>
          <w:sz w:val="24"/>
          <w:lang w:eastAsia="zh-CN"/>
        </w:rPr>
      </w:pPr>
      <w:r>
        <w:rPr>
          <w:rFonts w:hint="eastAsia"/>
          <w:b w:val="0"/>
          <w:bCs w:val="0"/>
          <w:lang w:val="en-US" w:eastAsia="zh-CN"/>
        </w:rPr>
        <w:t>6.</w:t>
      </w:r>
      <w:r>
        <w:rPr>
          <w:rFonts w:hint="eastAsia" w:ascii="宋体" w:hAnsi="宋体" w:cs="宋体"/>
          <w:b w:val="0"/>
          <w:bCs w:val="0"/>
          <w:sz w:val="24"/>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w:t>
      </w:r>
      <w:r>
        <w:rPr>
          <w:rFonts w:hint="eastAsia" w:ascii="宋体" w:hAnsi="宋体" w:cs="宋体"/>
          <w:b w:val="0"/>
          <w:bCs w:val="0"/>
          <w:sz w:val="24"/>
          <w:lang w:eastAsia="zh-CN"/>
        </w:rPr>
        <w:t>。</w:t>
      </w:r>
    </w:p>
    <w:p w14:paraId="38C8B3BE">
      <w:pPr>
        <w:pageBreakBefore w:val="0"/>
        <w:kinsoku/>
        <w:wordWrap/>
        <w:overflowPunct/>
        <w:topLinePunct w:val="0"/>
        <w:bidi w:val="0"/>
        <w:adjustRightInd/>
        <w:snapToGrid/>
        <w:spacing w:line="360" w:lineRule="auto"/>
        <w:textAlignment w:val="auto"/>
        <w:rPr>
          <w:rFonts w:hint="default"/>
          <w:lang w:val="en-US" w:eastAsia="zh-CN"/>
        </w:rPr>
      </w:pPr>
      <w:r>
        <w:rPr>
          <w:rFonts w:hint="eastAsia" w:ascii="宋体" w:hAnsi="宋体" w:cs="宋体"/>
          <w:b w:val="0"/>
          <w:bCs w:val="0"/>
          <w:sz w:val="24"/>
          <w:lang w:val="en-US" w:eastAsia="zh-CN"/>
        </w:rPr>
        <w:t>7.</w:t>
      </w:r>
      <w:r>
        <w:rPr>
          <w:rFonts w:hint="eastAsia" w:ascii="宋体" w:hAnsi="宋体" w:cs="宋体"/>
          <w:sz w:val="24"/>
        </w:rPr>
        <w:t>“电子交易平台”是指本项目政府采购活动所依托的政府采购云平台（https://www.zcygov.cn/）。</w:t>
      </w:r>
    </w:p>
    <w:p w14:paraId="6F22868C">
      <w:pPr>
        <w:pageBreakBefore w:val="0"/>
        <w:kinsoku/>
        <w:wordWrap/>
        <w:overflowPunct/>
        <w:topLinePunct w:val="0"/>
        <w:bidi w:val="0"/>
        <w:adjustRightInd/>
        <w:snapToGrid/>
        <w:spacing w:line="360" w:lineRule="auto"/>
        <w:ind w:firstLine="480"/>
        <w:textAlignment w:val="auto"/>
        <w:rPr>
          <w:rFonts w:hint="eastAsia" w:ascii="宋体" w:hAnsi="宋体" w:eastAsia="宋体" w:cs="宋体"/>
          <w:lang w:eastAsia="zh-CN"/>
        </w:rPr>
      </w:pPr>
      <w:r>
        <w:rPr>
          <w:rFonts w:hint="eastAsia" w:cs="宋体"/>
          <w:lang w:val="en-US" w:eastAsia="zh-CN"/>
        </w:rPr>
        <w:t>8</w:t>
      </w:r>
      <w:r>
        <w:rPr>
          <w:rFonts w:hint="eastAsia" w:ascii="宋体" w:hAnsi="宋体" w:eastAsia="宋体" w:cs="宋体"/>
        </w:rPr>
        <w:t>.“▲”系指实质性要求条款，投标人应做出实质性响应；</w:t>
      </w:r>
      <w:r>
        <w:rPr>
          <w:rFonts w:hint="eastAsia" w:ascii="宋体" w:hAnsi="宋体" w:eastAsia="宋体" w:cs="宋体"/>
          <w:lang w:eastAsia="zh-CN"/>
        </w:rPr>
        <w:t>“★”</w:t>
      </w:r>
      <w:r>
        <w:rPr>
          <w:rFonts w:hint="eastAsia" w:ascii="宋体" w:hAnsi="宋体" w:eastAsia="宋体" w:cs="宋体"/>
        </w:rPr>
        <w:t>系指</w:t>
      </w:r>
      <w:r>
        <w:rPr>
          <w:rFonts w:hint="eastAsia" w:ascii="宋体" w:hAnsi="宋体" w:eastAsia="宋体" w:cs="宋体"/>
          <w:lang w:val="en-US" w:eastAsia="zh-CN"/>
        </w:rPr>
        <w:t>重要</w:t>
      </w:r>
      <w:r>
        <w:rPr>
          <w:rFonts w:hint="eastAsia" w:ascii="宋体" w:hAnsi="宋体" w:eastAsia="宋体" w:cs="宋体"/>
        </w:rPr>
        <w:t>要求条款</w:t>
      </w:r>
      <w:r>
        <w:rPr>
          <w:rFonts w:hint="eastAsia" w:ascii="宋体" w:hAnsi="宋体" w:eastAsia="宋体" w:cs="宋体"/>
          <w:lang w:eastAsia="zh-CN"/>
        </w:rPr>
        <w:t>。</w:t>
      </w:r>
    </w:p>
    <w:p w14:paraId="1EB42687">
      <w:pPr>
        <w:pageBreakBefore w:val="0"/>
        <w:kinsoku/>
        <w:wordWrap/>
        <w:overflowPunct/>
        <w:topLinePunct w:val="0"/>
        <w:bidi w:val="0"/>
        <w:adjustRightInd/>
        <w:snapToGrid/>
        <w:spacing w:line="360" w:lineRule="auto"/>
        <w:ind w:left="0" w:leftChars="0" w:firstLine="0" w:firstLineChars="0"/>
        <w:textAlignment w:val="auto"/>
        <w:rPr>
          <w:rFonts w:ascii="宋体" w:hAnsi="宋体" w:cs="宋体"/>
        </w:rPr>
      </w:pPr>
      <w:r>
        <w:rPr>
          <w:rFonts w:hint="eastAsia" w:cs="宋体"/>
          <w:lang w:eastAsia="zh-CN"/>
        </w:rPr>
        <w:t>“</w:t>
      </w:r>
      <w:r>
        <w:rPr>
          <w:rFonts w:hint="eastAsia" w:cs="宋体"/>
          <w:color w:val="000000"/>
          <w:sz w:val="24"/>
          <w:szCs w:val="24"/>
          <w:highlight w:val="none"/>
          <w:lang w:eastAsia="zh-CN"/>
        </w:rPr>
        <w:t>☑</w:t>
      </w:r>
      <w:r>
        <w:rPr>
          <w:rFonts w:hint="eastAsia" w:cs="宋体"/>
          <w:lang w:eastAsia="zh-CN"/>
        </w:rPr>
        <w:t>”</w:t>
      </w:r>
      <w:r>
        <w:rPr>
          <w:rFonts w:hint="eastAsia" w:ascii="宋体" w:hAnsi="宋体" w:cs="宋体"/>
        </w:rPr>
        <w:t>系指适用本项目的要求，“</w:t>
      </w:r>
      <w:sdt>
        <w:sdtPr>
          <w:rPr>
            <w:rFonts w:hint="eastAsia" w:ascii="宋体" w:hAnsi="宋体" w:cs="宋体"/>
            <w:kern w:val="0"/>
          </w:rPr>
          <w:id w:val="404888855"/>
          <w14:checkbox>
            <w14:checked w14:val="0"/>
            <w14:checkedState w14:val="00FE" w14:font="Wingdings"/>
            <w14:uncheckedState w14:val="2610" w14:font="MS Gothic"/>
          </w14:checkbox>
        </w:sdtPr>
        <w:sdtEndPr>
          <w:rPr>
            <w:rFonts w:hint="eastAsia" w:ascii="宋体" w:hAnsi="宋体" w:cs="宋体"/>
            <w:kern w:val="0"/>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rPr>
        <w:t>”系指不适用本项目的要求。</w:t>
      </w:r>
    </w:p>
    <w:p w14:paraId="10C02C3C">
      <w:pPr>
        <w:bidi w:val="0"/>
        <w:spacing w:line="360" w:lineRule="auto"/>
        <w:ind w:left="0" w:leftChars="0" w:firstLine="0" w:firstLineChars="0"/>
        <w:rPr>
          <w:rFonts w:hint="eastAsia" w:ascii="宋体" w:hAnsi="宋体" w:eastAsia="宋体" w:cs="宋体"/>
          <w:szCs w:val="24"/>
        </w:rPr>
      </w:pPr>
      <w:r>
        <w:rPr>
          <w:rFonts w:hint="eastAsia"/>
          <w:b/>
          <w:bCs/>
        </w:rPr>
        <w:t>三、合格的投标人</w:t>
      </w:r>
    </w:p>
    <w:p w14:paraId="326AB316">
      <w:pPr>
        <w:pageBreakBefore w:val="0"/>
        <w:kinsoku/>
        <w:wordWrap/>
        <w:overflowPunct/>
        <w:topLinePunct w:val="0"/>
        <w:bidi w:val="0"/>
        <w:adjustRightInd/>
        <w:snapToGrid/>
        <w:spacing w:line="360" w:lineRule="auto"/>
        <w:ind w:firstLine="480"/>
        <w:textAlignment w:val="auto"/>
        <w:rPr>
          <w:rFonts w:hint="eastAsia" w:ascii="宋体" w:hAnsi="宋体" w:eastAsia="宋体" w:cs="宋体"/>
        </w:rPr>
      </w:pPr>
      <w:r>
        <w:rPr>
          <w:rFonts w:hint="eastAsia" w:ascii="宋体" w:hAnsi="宋体" w:eastAsia="宋体" w:cs="宋体"/>
        </w:rPr>
        <w:t>详见</w:t>
      </w:r>
      <w:r>
        <w:rPr>
          <w:rFonts w:hint="eastAsia" w:cs="宋体"/>
          <w:lang w:eastAsia="zh-CN"/>
        </w:rPr>
        <w:t>“</w:t>
      </w:r>
      <w:r>
        <w:rPr>
          <w:rFonts w:hint="eastAsia" w:ascii="宋体" w:hAnsi="宋体" w:eastAsia="宋体" w:cs="宋体"/>
        </w:rPr>
        <w:t>招标公告</w:t>
      </w:r>
      <w:r>
        <w:rPr>
          <w:rFonts w:hint="eastAsia" w:cs="宋体"/>
          <w:lang w:val="en-US" w:eastAsia="zh-CN"/>
        </w:rPr>
        <w:t>-申请</w:t>
      </w:r>
      <w:r>
        <w:rPr>
          <w:rFonts w:hint="eastAsia" w:ascii="宋体" w:hAnsi="宋体" w:eastAsia="宋体" w:cs="宋体"/>
        </w:rPr>
        <w:t>人</w:t>
      </w:r>
      <w:r>
        <w:rPr>
          <w:rFonts w:hint="eastAsia" w:cs="宋体"/>
          <w:lang w:eastAsia="zh-CN"/>
        </w:rPr>
        <w:t>的</w:t>
      </w:r>
      <w:r>
        <w:rPr>
          <w:rFonts w:hint="eastAsia" w:ascii="宋体" w:hAnsi="宋体" w:eastAsia="宋体" w:cs="宋体"/>
        </w:rPr>
        <w:t>资格要求</w:t>
      </w:r>
      <w:r>
        <w:rPr>
          <w:rFonts w:hint="eastAsia" w:cs="宋体"/>
          <w:lang w:eastAsia="zh-CN"/>
        </w:rPr>
        <w:t>”</w:t>
      </w:r>
      <w:r>
        <w:rPr>
          <w:rFonts w:hint="eastAsia" w:ascii="宋体" w:hAnsi="宋体" w:eastAsia="宋体" w:cs="宋体"/>
        </w:rPr>
        <w:t>。</w:t>
      </w:r>
    </w:p>
    <w:p w14:paraId="41FC95B6">
      <w:pPr>
        <w:bidi w:val="0"/>
        <w:spacing w:line="360" w:lineRule="auto"/>
        <w:ind w:left="0" w:leftChars="0" w:firstLine="0" w:firstLineChars="0"/>
        <w:rPr>
          <w:rFonts w:hint="eastAsia" w:ascii="宋体" w:hAnsi="宋体" w:eastAsia="宋体" w:cs="宋体"/>
          <w:szCs w:val="24"/>
        </w:rPr>
      </w:pPr>
      <w:r>
        <w:rPr>
          <w:rFonts w:hint="eastAsia"/>
          <w:b/>
          <w:bCs/>
        </w:rPr>
        <w:t>四、投标费用</w:t>
      </w:r>
    </w:p>
    <w:p w14:paraId="072B73AA">
      <w:pPr>
        <w:pageBreakBefore w:val="0"/>
        <w:kinsoku/>
        <w:wordWrap/>
        <w:overflowPunct/>
        <w:topLinePunct w:val="0"/>
        <w:bidi w:val="0"/>
        <w:adjustRightInd/>
        <w:snapToGrid/>
        <w:spacing w:line="360" w:lineRule="auto"/>
        <w:ind w:firstLine="480"/>
        <w:textAlignment w:val="auto"/>
        <w:rPr>
          <w:rFonts w:hint="eastAsia" w:ascii="宋体" w:hAnsi="宋体" w:eastAsia="宋体" w:cs="宋体"/>
        </w:rPr>
      </w:pPr>
      <w:r>
        <w:rPr>
          <w:rFonts w:hint="eastAsia" w:ascii="宋体" w:hAnsi="宋体" w:eastAsia="宋体" w:cs="宋体"/>
        </w:rPr>
        <w:t>1.无论投标结果如何，投标人自行承担所有与参加投标有关的全部费用。</w:t>
      </w:r>
    </w:p>
    <w:p w14:paraId="2162CEF0">
      <w:pPr>
        <w:pageBreakBefore w:val="0"/>
        <w:kinsoku/>
        <w:wordWrap/>
        <w:overflowPunct/>
        <w:topLinePunct w:val="0"/>
        <w:bidi w:val="0"/>
        <w:adjustRightInd/>
        <w:snapToGrid/>
        <w:spacing w:line="360" w:lineRule="auto"/>
        <w:ind w:firstLine="480"/>
        <w:textAlignment w:val="auto"/>
        <w:rPr>
          <w:rFonts w:hint="eastAsia" w:ascii="宋体" w:hAnsi="宋体" w:eastAsia="宋体" w:cs="宋体"/>
        </w:rPr>
      </w:pPr>
      <w:r>
        <w:rPr>
          <w:rFonts w:hint="eastAsia" w:ascii="宋体" w:hAnsi="宋体" w:eastAsia="宋体" w:cs="宋体"/>
        </w:rPr>
        <w:t>2.中标人在中标通知书</w:t>
      </w:r>
      <w:r>
        <w:rPr>
          <w:rFonts w:hint="eastAsia" w:cs="宋体"/>
          <w:lang w:eastAsia="zh-CN"/>
        </w:rPr>
        <w:t>发出当日</w:t>
      </w:r>
      <w:r>
        <w:rPr>
          <w:rFonts w:hint="eastAsia" w:ascii="宋体" w:hAnsi="宋体" w:eastAsia="宋体" w:cs="宋体"/>
        </w:rPr>
        <w:t>，应向招标代理机构交纳代理服务费，收费标准见“第三章</w:t>
      </w:r>
      <w:r>
        <w:rPr>
          <w:rFonts w:hint="eastAsia" w:cs="宋体"/>
          <w:lang w:val="en-US" w:eastAsia="zh-CN"/>
        </w:rPr>
        <w:t>-</w:t>
      </w:r>
      <w:r>
        <w:rPr>
          <w:rFonts w:hint="eastAsia" w:ascii="宋体" w:hAnsi="宋体" w:eastAsia="宋体" w:cs="宋体"/>
        </w:rPr>
        <w:t>投标人须知</w:t>
      </w:r>
      <w:r>
        <w:rPr>
          <w:rFonts w:hint="eastAsia" w:cs="宋体"/>
          <w:lang w:val="en-US" w:eastAsia="zh-CN"/>
        </w:rPr>
        <w:t>-</w:t>
      </w:r>
      <w:r>
        <w:rPr>
          <w:rFonts w:hint="eastAsia" w:ascii="宋体" w:hAnsi="宋体" w:eastAsia="宋体" w:cs="宋体"/>
        </w:rPr>
        <w:t>前附表-</w:t>
      </w:r>
      <w:r>
        <w:rPr>
          <w:rFonts w:hint="eastAsia" w:cs="宋体"/>
          <w:lang w:eastAsia="zh-CN"/>
        </w:rPr>
        <w:t>第</w:t>
      </w:r>
      <w:r>
        <w:rPr>
          <w:rFonts w:hint="eastAsia" w:cs="宋体"/>
          <w:lang w:val="en-US" w:eastAsia="zh-CN"/>
        </w:rPr>
        <w:t>15项</w:t>
      </w:r>
      <w:r>
        <w:rPr>
          <w:rFonts w:hint="eastAsia" w:ascii="宋体" w:hAnsi="宋体" w:eastAsia="宋体" w:cs="宋体"/>
        </w:rPr>
        <w:t>”。</w:t>
      </w:r>
    </w:p>
    <w:p w14:paraId="337E3E7F">
      <w:pPr>
        <w:bidi w:val="0"/>
        <w:spacing w:line="360" w:lineRule="auto"/>
        <w:ind w:left="0" w:leftChars="0" w:firstLine="0" w:firstLineChars="0"/>
        <w:rPr>
          <w:rFonts w:hint="eastAsia"/>
          <w:b/>
          <w:bCs/>
        </w:rPr>
      </w:pPr>
      <w:r>
        <w:rPr>
          <w:rFonts w:hint="eastAsia"/>
          <w:b/>
          <w:bCs/>
          <w:lang w:eastAsia="zh-CN"/>
        </w:rPr>
        <w:t>五、</w:t>
      </w:r>
      <w:r>
        <w:rPr>
          <w:rFonts w:hint="eastAsia"/>
          <w:b/>
          <w:bCs/>
        </w:rPr>
        <w:t>采购项目需要落实的政府采购政策</w:t>
      </w:r>
    </w:p>
    <w:p w14:paraId="581FC0A4">
      <w:pPr>
        <w:pageBreakBefore w:val="0"/>
        <w:kinsoku/>
        <w:wordWrap/>
        <w:overflowPunct/>
        <w:topLinePunct w:val="0"/>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w:t>
      </w:r>
      <w:r>
        <w:rPr>
          <w:rFonts w:hint="eastAsia" w:ascii="宋体" w:hAnsi="宋体" w:cs="宋体"/>
          <w:sz w:val="24"/>
        </w:rPr>
        <w:t>本项目原则上采购本国生产的货物、工程和服务，不允许采购进口产品。除非</w:t>
      </w:r>
      <w:r>
        <w:rPr>
          <w:rFonts w:hint="eastAsia" w:cs="宋体"/>
          <w:sz w:val="24"/>
          <w:lang w:eastAsia="zh-CN"/>
        </w:rPr>
        <w:t>招标人</w:t>
      </w:r>
      <w:r>
        <w:rPr>
          <w:rFonts w:hint="eastAsia" w:ascii="宋体" w:hAnsi="宋体" w:cs="宋体"/>
          <w:sz w:val="24"/>
        </w:rPr>
        <w:t>采购进口产品，已经在采购活动开始前向财政部门提出申请并获得财政部门审核同意，且在采购需求中明确规定可以采购进口产品（但如果因信息不对称等原因，仍有满足需求的国内产品要求参与采购竞争的，</w:t>
      </w:r>
      <w:r>
        <w:rPr>
          <w:rFonts w:hint="eastAsia" w:cs="宋体"/>
          <w:sz w:val="24"/>
          <w:lang w:eastAsia="zh-CN"/>
        </w:rPr>
        <w:t>招标人</w:t>
      </w:r>
      <w:r>
        <w:rPr>
          <w:rFonts w:hint="eastAsia" w:ascii="宋体" w:hAnsi="宋体" w:cs="宋体"/>
          <w:sz w:val="24"/>
        </w:rPr>
        <w:t>、</w:t>
      </w:r>
      <w:r>
        <w:rPr>
          <w:rFonts w:hint="eastAsia" w:cs="宋体"/>
          <w:sz w:val="24"/>
          <w:lang w:eastAsia="zh-CN"/>
        </w:rPr>
        <w:t>招标代理机构</w:t>
      </w:r>
      <w:r>
        <w:rPr>
          <w:rFonts w:hint="eastAsia" w:ascii="宋体" w:hAnsi="宋体" w:cs="宋体"/>
          <w:sz w:val="24"/>
        </w:rPr>
        <w:t>不会对其加以限制，仍将按照公平竞争原则实施采购）。</w:t>
      </w:r>
    </w:p>
    <w:p w14:paraId="6E91153B">
      <w:pPr>
        <w:pageBreakBefore w:val="0"/>
        <w:kinsoku/>
        <w:wordWrap/>
        <w:overflowPunct/>
        <w:topLinePunct w:val="0"/>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w:t>
      </w:r>
      <w:r>
        <w:rPr>
          <w:rFonts w:hint="eastAsia" w:ascii="宋体" w:hAnsi="宋体" w:cs="宋体"/>
          <w:sz w:val="24"/>
        </w:rPr>
        <w:t>支持绿色发展</w:t>
      </w:r>
    </w:p>
    <w:p w14:paraId="7309B0C9">
      <w:pPr>
        <w:pageBreakBefore w:val="0"/>
        <w:kinsoku/>
        <w:wordWrap/>
        <w:overflowPunct/>
        <w:topLinePunct w:val="0"/>
        <w:bidi w:val="0"/>
        <w:adjustRightInd/>
        <w:snapToGrid/>
        <w:spacing w:line="360" w:lineRule="auto"/>
        <w:ind w:firstLine="480" w:firstLineChars="200"/>
        <w:textAlignment w:val="auto"/>
        <w:rPr>
          <w:rFonts w:hint="eastAsia" w:ascii="宋体" w:hAnsi="宋体" w:cs="宋体"/>
          <w:b/>
          <w:sz w:val="24"/>
        </w:rPr>
      </w:pPr>
      <w:r>
        <w:rPr>
          <w:rFonts w:hint="eastAsia" w:ascii="宋体" w:hAnsi="宋体" w:cs="宋体"/>
          <w:sz w:val="24"/>
        </w:rPr>
        <w:t>2.1</w:t>
      </w:r>
      <w:r>
        <w:rPr>
          <w:rFonts w:hint="eastAsia" w:cs="宋体"/>
          <w:sz w:val="24"/>
          <w:lang w:val="en-US" w:eastAsia="zh-CN"/>
        </w:rPr>
        <w:t xml:space="preserve"> </w:t>
      </w:r>
      <w:r>
        <w:rPr>
          <w:rFonts w:hint="eastAsia" w:cs="宋体"/>
          <w:sz w:val="24"/>
          <w:lang w:eastAsia="zh-CN"/>
        </w:rPr>
        <w:t>招标人</w:t>
      </w:r>
      <w:r>
        <w:rPr>
          <w:rFonts w:hint="eastAsia" w:ascii="宋体" w:hAnsi="宋体" w:cs="宋体"/>
          <w:sz w:val="24"/>
        </w:rPr>
        <w:t>拟采购的产品属于品目清单范围的，</w:t>
      </w:r>
      <w:r>
        <w:rPr>
          <w:rFonts w:hint="eastAsia" w:cs="宋体"/>
          <w:sz w:val="24"/>
          <w:lang w:eastAsia="zh-CN"/>
        </w:rPr>
        <w:t>招标人</w:t>
      </w:r>
      <w:r>
        <w:rPr>
          <w:rFonts w:hint="eastAsia" w:ascii="宋体" w:hAnsi="宋体" w:cs="宋体"/>
          <w:sz w:val="24"/>
        </w:rPr>
        <w:t>及其委托的</w:t>
      </w:r>
      <w:r>
        <w:rPr>
          <w:rFonts w:hint="eastAsia" w:cs="宋体"/>
          <w:sz w:val="24"/>
          <w:lang w:eastAsia="zh-CN"/>
        </w:rPr>
        <w:t>招标代理机构</w:t>
      </w:r>
      <w:r>
        <w:rPr>
          <w:rFonts w:hint="eastAsia" w:ascii="宋体" w:hAnsi="宋体" w:cs="宋体"/>
          <w:sz w:val="24"/>
        </w:rPr>
        <w:t>将依据国家确定的认证机构出具的、处于有效期之内的节能产品、环境标志产品认证证书，对获得证书的产品实施政府优先采购或强制采购。投标人须按招标文件要求提供相关产品认证证书。▲</w:t>
      </w:r>
      <w:r>
        <w:rPr>
          <w:rFonts w:hint="eastAsia" w:cs="宋体"/>
          <w:b/>
          <w:sz w:val="24"/>
          <w:lang w:eastAsia="zh-CN"/>
        </w:rPr>
        <w:t>招标人</w:t>
      </w:r>
      <w:r>
        <w:rPr>
          <w:rFonts w:hint="eastAsia" w:ascii="宋体" w:hAnsi="宋体" w:cs="宋体"/>
          <w:b/>
          <w:sz w:val="24"/>
        </w:rPr>
        <w:t>拟采购的产品属于政府强制采购的节能产品品目清单范围的，投标人未按招标文件要求提供国家确定的认证机构出具的、处于有效期之内的节能产品认证证书的，投标无效。</w:t>
      </w:r>
    </w:p>
    <w:p w14:paraId="48B7A15E">
      <w:pPr>
        <w:pageBreakBefore w:val="0"/>
        <w:kinsoku/>
        <w:wordWrap/>
        <w:overflowPunct/>
        <w:topLinePunct w:val="0"/>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2.2</w:t>
      </w:r>
      <w:r>
        <w:rPr>
          <w:rFonts w:hint="eastAsia" w:cs="宋体"/>
          <w:sz w:val="24"/>
          <w:lang w:val="en-US" w:eastAsia="zh-CN"/>
        </w:rPr>
        <w:t xml:space="preserve"> </w:t>
      </w:r>
      <w:r>
        <w:rPr>
          <w:rFonts w:hint="eastAsia" w:ascii="宋体" w:hAnsi="宋体" w:cs="宋体"/>
          <w:sz w:val="24"/>
        </w:rPr>
        <w:t>为助力打好污染防治攻坚战，推广使用绿色包装，政府采购货物、工程和服务项目中涉及商品包装和快递包装的，投标人提供产品及相关快递服务的具体包装要求要参考《商品包装政府采购需求标准（试行）》、《快递包装政府采购需求标准（试行）》。</w:t>
      </w:r>
    </w:p>
    <w:p w14:paraId="68D21F17">
      <w:pPr>
        <w:pageBreakBefore w:val="0"/>
        <w:kinsoku/>
        <w:wordWrap/>
        <w:overflowPunct/>
        <w:topLinePunct w:val="0"/>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3.支持中小企业发展</w:t>
      </w:r>
    </w:p>
    <w:p w14:paraId="01189B6A">
      <w:pPr>
        <w:pageBreakBefore w:val="0"/>
        <w:kinsoku/>
        <w:wordWrap/>
        <w:overflowPunct/>
        <w:topLinePunct w:val="0"/>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3.1</w:t>
      </w:r>
      <w:r>
        <w:rPr>
          <w:rFonts w:hint="eastAsia" w:cs="宋体"/>
          <w:sz w:val="24"/>
          <w:lang w:val="en-US" w:eastAsia="zh-CN"/>
        </w:rPr>
        <w:t xml:space="preserve"> </w:t>
      </w:r>
      <w:r>
        <w:rPr>
          <w:rFonts w:hint="eastAsia" w:ascii="宋体" w:hAnsi="宋体" w:cs="宋体"/>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024A4C89">
      <w:pPr>
        <w:pageBreakBefore w:val="0"/>
        <w:kinsoku/>
        <w:wordWrap/>
        <w:overflowPunct/>
        <w:topLinePunct w:val="0"/>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符合中小企业划分标准的个体工商户，在政府采购活动中视同中小企业。</w:t>
      </w:r>
    </w:p>
    <w:p w14:paraId="7CBDAFD8">
      <w:pPr>
        <w:pageBreakBefore w:val="0"/>
        <w:widowControl/>
        <w:kinsoku/>
        <w:wordWrap/>
        <w:overflowPunct/>
        <w:topLinePunct w:val="0"/>
        <w:bidi w:val="0"/>
        <w:adjustRightInd/>
        <w:snapToGrid/>
        <w:spacing w:line="360" w:lineRule="auto"/>
        <w:ind w:firstLine="480" w:firstLineChars="200"/>
        <w:jc w:val="left"/>
        <w:textAlignment w:val="auto"/>
        <w:rPr>
          <w:rFonts w:hint="eastAsia" w:ascii="宋体" w:hAnsi="宋体" w:cs="宋体"/>
          <w:kern w:val="0"/>
          <w:sz w:val="24"/>
        </w:rPr>
      </w:pPr>
      <w:r>
        <w:rPr>
          <w:rFonts w:hint="eastAsia" w:ascii="宋体" w:hAnsi="宋体" w:cs="宋体"/>
          <w:bCs/>
          <w:sz w:val="24"/>
        </w:rPr>
        <w:t>3.2</w:t>
      </w:r>
      <w:r>
        <w:rPr>
          <w:rFonts w:hint="eastAsia" w:cs="宋体"/>
          <w:bCs/>
          <w:sz w:val="24"/>
          <w:lang w:val="en-US" w:eastAsia="zh-CN"/>
        </w:rPr>
        <w:t xml:space="preserve"> </w:t>
      </w:r>
      <w:r>
        <w:rPr>
          <w:rFonts w:hint="eastAsia" w:ascii="宋体" w:hAnsi="宋体" w:cs="宋体"/>
          <w:kern w:val="0"/>
          <w:sz w:val="24"/>
        </w:rPr>
        <w:t>在政府采购活动中，投标人提供的货物、工程或者服务符合下列情形的，享受中小企业扶持政策：</w:t>
      </w:r>
    </w:p>
    <w:p w14:paraId="7C7F49D4">
      <w:pPr>
        <w:pageBreakBefore w:val="0"/>
        <w:widowControl/>
        <w:kinsoku/>
        <w:wordWrap/>
        <w:overflowPunct/>
        <w:topLinePunct w:val="0"/>
        <w:bidi w:val="0"/>
        <w:adjustRightInd/>
        <w:snapToGrid/>
        <w:spacing w:line="360" w:lineRule="auto"/>
        <w:ind w:firstLine="480" w:firstLineChars="200"/>
        <w:jc w:val="left"/>
        <w:textAlignment w:val="auto"/>
        <w:rPr>
          <w:rFonts w:hint="eastAsia" w:ascii="宋体" w:hAnsi="宋体" w:cs="宋体"/>
          <w:kern w:val="0"/>
          <w:sz w:val="24"/>
        </w:rPr>
      </w:pPr>
      <w:r>
        <w:rPr>
          <w:rFonts w:hint="eastAsia" w:ascii="宋体" w:hAnsi="宋体" w:cs="宋体"/>
          <w:kern w:val="0"/>
          <w:sz w:val="24"/>
        </w:rPr>
        <w:t>3.</w:t>
      </w:r>
      <w:r>
        <w:rPr>
          <w:rFonts w:hint="eastAsia" w:ascii="宋体" w:hAnsi="宋体" w:cs="宋体"/>
          <w:kern w:val="0"/>
          <w:sz w:val="24"/>
          <w:lang w:val="en-US" w:eastAsia="zh-CN"/>
        </w:rPr>
        <w:t>2.1</w:t>
      </w:r>
      <w:r>
        <w:rPr>
          <w:rFonts w:hint="eastAsia" w:cs="宋体"/>
          <w:kern w:val="0"/>
          <w:sz w:val="24"/>
          <w:lang w:val="en-US" w:eastAsia="zh-CN"/>
        </w:rPr>
        <w:t xml:space="preserve"> </w:t>
      </w:r>
      <w:r>
        <w:rPr>
          <w:rFonts w:hint="eastAsia" w:ascii="宋体" w:hAnsi="宋体" w:cs="宋体"/>
          <w:kern w:val="0"/>
          <w:sz w:val="24"/>
        </w:rPr>
        <w:t>在货物采购项目中，货物由中小企业制造，即货物由中小企业生产且使用该中小企业商号或者注册商标；</w:t>
      </w:r>
    </w:p>
    <w:p w14:paraId="090DF294">
      <w:pPr>
        <w:pageBreakBefore w:val="0"/>
        <w:widowControl/>
        <w:kinsoku/>
        <w:wordWrap/>
        <w:overflowPunct/>
        <w:topLinePunct w:val="0"/>
        <w:bidi w:val="0"/>
        <w:adjustRightInd/>
        <w:snapToGrid/>
        <w:spacing w:line="360" w:lineRule="auto"/>
        <w:ind w:firstLine="480" w:firstLineChars="200"/>
        <w:jc w:val="left"/>
        <w:textAlignment w:val="auto"/>
        <w:rPr>
          <w:rFonts w:hint="eastAsia" w:ascii="宋体" w:hAnsi="宋体" w:cs="宋体"/>
          <w:kern w:val="0"/>
          <w:sz w:val="24"/>
        </w:rPr>
      </w:pPr>
      <w:r>
        <w:rPr>
          <w:rFonts w:hint="eastAsia" w:ascii="宋体" w:hAnsi="宋体" w:cs="宋体"/>
          <w:kern w:val="0"/>
          <w:sz w:val="24"/>
        </w:rPr>
        <w:t>3.</w:t>
      </w:r>
      <w:r>
        <w:rPr>
          <w:rFonts w:hint="eastAsia" w:ascii="宋体" w:hAnsi="宋体" w:cs="宋体"/>
          <w:kern w:val="0"/>
          <w:sz w:val="24"/>
          <w:lang w:val="en-US" w:eastAsia="zh-CN"/>
        </w:rPr>
        <w:t>2.2</w:t>
      </w:r>
      <w:r>
        <w:rPr>
          <w:rFonts w:hint="eastAsia" w:cs="宋体"/>
          <w:kern w:val="0"/>
          <w:sz w:val="24"/>
          <w:lang w:val="en-US" w:eastAsia="zh-CN"/>
        </w:rPr>
        <w:t xml:space="preserve"> </w:t>
      </w:r>
      <w:r>
        <w:rPr>
          <w:rFonts w:hint="eastAsia" w:ascii="宋体" w:hAnsi="宋体" w:cs="宋体"/>
          <w:kern w:val="0"/>
          <w:sz w:val="24"/>
        </w:rPr>
        <w:t>在工程采购项目中，工程由中小企业承建，即工程施工单位为中小企业；</w:t>
      </w:r>
    </w:p>
    <w:p w14:paraId="6C4868FF">
      <w:pPr>
        <w:pageBreakBefore w:val="0"/>
        <w:widowControl/>
        <w:kinsoku/>
        <w:wordWrap/>
        <w:overflowPunct/>
        <w:topLinePunct w:val="0"/>
        <w:bidi w:val="0"/>
        <w:adjustRightInd/>
        <w:snapToGrid/>
        <w:spacing w:line="360" w:lineRule="auto"/>
        <w:ind w:firstLine="480" w:firstLineChars="200"/>
        <w:jc w:val="left"/>
        <w:textAlignment w:val="auto"/>
        <w:rPr>
          <w:rFonts w:hint="eastAsia" w:ascii="宋体" w:hAnsi="宋体" w:cs="宋体"/>
          <w:kern w:val="0"/>
          <w:sz w:val="24"/>
        </w:rPr>
      </w:pPr>
      <w:r>
        <w:rPr>
          <w:rFonts w:hint="eastAsia" w:ascii="宋体" w:hAnsi="宋体" w:cs="宋体"/>
          <w:kern w:val="0"/>
          <w:sz w:val="24"/>
        </w:rPr>
        <w:t>3.</w:t>
      </w:r>
      <w:r>
        <w:rPr>
          <w:rFonts w:hint="eastAsia" w:ascii="宋体" w:hAnsi="宋体" w:cs="宋体"/>
          <w:kern w:val="0"/>
          <w:sz w:val="24"/>
          <w:lang w:val="en-US" w:eastAsia="zh-CN"/>
        </w:rPr>
        <w:t>2.3</w:t>
      </w:r>
      <w:r>
        <w:rPr>
          <w:rFonts w:hint="eastAsia" w:cs="宋体"/>
          <w:kern w:val="0"/>
          <w:sz w:val="24"/>
          <w:lang w:val="en-US" w:eastAsia="zh-CN"/>
        </w:rPr>
        <w:t xml:space="preserve"> </w:t>
      </w:r>
      <w:r>
        <w:rPr>
          <w:rFonts w:hint="eastAsia" w:ascii="宋体" w:hAnsi="宋体" w:cs="宋体"/>
          <w:kern w:val="0"/>
          <w:sz w:val="24"/>
        </w:rPr>
        <w:t>在服务采购项目中，服务由中小企业承接，即提供服务的人员为中小企业依照《中华人民共和国劳动合同法》订立劳动合同的从业人员。</w:t>
      </w:r>
    </w:p>
    <w:p w14:paraId="78A692FB">
      <w:pPr>
        <w:pageBreakBefore w:val="0"/>
        <w:widowControl/>
        <w:kinsoku/>
        <w:wordWrap/>
        <w:overflowPunct/>
        <w:topLinePunct w:val="0"/>
        <w:bidi w:val="0"/>
        <w:adjustRightInd/>
        <w:snapToGrid/>
        <w:spacing w:line="360" w:lineRule="auto"/>
        <w:ind w:firstLine="480" w:firstLineChars="200"/>
        <w:jc w:val="left"/>
        <w:textAlignment w:val="auto"/>
        <w:rPr>
          <w:rFonts w:hint="eastAsia" w:ascii="宋体" w:hAnsi="宋体" w:cs="宋体"/>
          <w:kern w:val="0"/>
          <w:sz w:val="24"/>
        </w:rPr>
      </w:pPr>
      <w:r>
        <w:rPr>
          <w:rFonts w:hint="eastAsia" w:ascii="宋体" w:hAnsi="宋体" w:cs="宋体"/>
          <w:kern w:val="0"/>
          <w:sz w:val="24"/>
        </w:rPr>
        <w:t>在货物采购项目中，投标人提供的货物既有中小企业制造货物，也有大型企业制造货物的，不享受中小企业扶持政策。</w:t>
      </w:r>
    </w:p>
    <w:p w14:paraId="23999E54">
      <w:pPr>
        <w:pageBreakBefore w:val="0"/>
        <w:widowControl/>
        <w:kinsoku/>
        <w:wordWrap/>
        <w:overflowPunct/>
        <w:topLinePunct w:val="0"/>
        <w:bidi w:val="0"/>
        <w:adjustRightInd/>
        <w:snapToGrid/>
        <w:spacing w:line="360" w:lineRule="auto"/>
        <w:ind w:firstLine="480" w:firstLineChars="200"/>
        <w:jc w:val="left"/>
        <w:textAlignment w:val="auto"/>
        <w:rPr>
          <w:rFonts w:hint="eastAsia"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6C88042A">
      <w:pPr>
        <w:pageBreakBefore w:val="0"/>
        <w:kinsoku/>
        <w:wordWrap/>
        <w:overflowPunct/>
        <w:topLinePunct w:val="0"/>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3.3</w:t>
      </w:r>
      <w:r>
        <w:rPr>
          <w:rFonts w:hint="eastAsia" w:cs="宋体"/>
          <w:sz w:val="24"/>
          <w:lang w:val="en-US" w:eastAsia="zh-CN"/>
        </w:rPr>
        <w:t xml:space="preserve"> </w:t>
      </w:r>
      <w:r>
        <w:rPr>
          <w:rFonts w:hint="eastAsia" w:ascii="宋体" w:hAnsi="宋体" w:cs="宋体"/>
          <w:sz w:val="24"/>
        </w:rPr>
        <w:t>对于未预留份额专门面向中小企业的政府采购货物或服务项目，以及预留份额政府采购货物或服务项目中的非预留部分标项，对小型和微型企业的投标报价给予</w:t>
      </w:r>
      <w:r>
        <w:rPr>
          <w:rFonts w:hint="eastAsia" w:cs="宋体"/>
          <w:sz w:val="24"/>
          <w:lang w:val="en-US" w:eastAsia="zh-CN"/>
        </w:rPr>
        <w:t>1</w:t>
      </w:r>
      <w:r>
        <w:rPr>
          <w:rFonts w:hint="eastAsia" w:ascii="宋体" w:hAnsi="宋体" w:cs="宋体"/>
          <w:b w:val="0"/>
          <w:bCs w:val="0"/>
          <w:sz w:val="24"/>
        </w:rPr>
        <w:t>0%</w:t>
      </w:r>
      <w:r>
        <w:rPr>
          <w:rFonts w:hint="eastAsia" w:ascii="宋体" w:hAnsi="宋体" w:cs="宋体"/>
          <w:sz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cs="宋体"/>
          <w:sz w:val="24"/>
          <w:lang w:val="en-US" w:eastAsia="zh-CN"/>
        </w:rPr>
        <w:t>4%-</w:t>
      </w:r>
      <w:r>
        <w:rPr>
          <w:rFonts w:hint="eastAsia" w:ascii="宋体" w:hAnsi="宋体" w:cs="宋体"/>
          <w:sz w:val="24"/>
        </w:rPr>
        <w:t>6%的扣除，用扣除后的价格参加评审。组成联合体或者接受分包的小微企业与联合体内其他企业、分包企业之间存在直接控股、管理关系的，不享受价格扣除优惠政策。</w:t>
      </w:r>
    </w:p>
    <w:p w14:paraId="36AB75AE">
      <w:pPr>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lang w:eastAsia="zh-CN"/>
        </w:rPr>
      </w:pPr>
      <w:r>
        <w:rPr>
          <w:rFonts w:hint="eastAsia" w:ascii="宋体" w:hAnsi="宋体" w:cs="宋体"/>
          <w:sz w:val="24"/>
        </w:rPr>
        <w:t>3.</w:t>
      </w:r>
      <w:r>
        <w:rPr>
          <w:rFonts w:hint="eastAsia" w:ascii="宋体" w:hAnsi="宋体" w:cs="宋体"/>
          <w:sz w:val="24"/>
          <w:lang w:val="en-US" w:eastAsia="zh-CN"/>
        </w:rPr>
        <w:t>4</w:t>
      </w:r>
      <w:r>
        <w:rPr>
          <w:rFonts w:hint="eastAsia" w:cs="宋体"/>
          <w:sz w:val="24"/>
          <w:lang w:val="en-US" w:eastAsia="zh-CN"/>
        </w:rPr>
        <w:t xml:space="preserve"> </w:t>
      </w:r>
      <w:r>
        <w:rPr>
          <w:rFonts w:hint="eastAsia" w:ascii="宋体" w:hAnsi="宋体" w:cs="宋体"/>
          <w:sz w:val="24"/>
        </w:rPr>
        <w:t>符合《关于促进残疾人就业政府采购政策的通知》（财库〔2017〕141号）规定的条件并提供《残疾人福利性单位声明函》的残疾人福利性单位视同小型、微型企业</w:t>
      </w:r>
      <w:r>
        <w:rPr>
          <w:rFonts w:hint="eastAsia" w:ascii="宋体" w:hAnsi="宋体" w:cs="宋体"/>
          <w:sz w:val="24"/>
          <w:lang w:eastAsia="zh-CN"/>
        </w:rPr>
        <w:t>。</w:t>
      </w:r>
    </w:p>
    <w:p w14:paraId="22824F50">
      <w:pPr>
        <w:pageBreakBefore w:val="0"/>
        <w:kinsoku/>
        <w:wordWrap/>
        <w:overflowPunct/>
        <w:topLinePunct w:val="0"/>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3.5</w:t>
      </w:r>
      <w:r>
        <w:rPr>
          <w:rFonts w:hint="eastAsia" w:cs="宋体"/>
          <w:sz w:val="24"/>
          <w:lang w:val="en-US" w:eastAsia="zh-CN"/>
        </w:rPr>
        <w:t xml:space="preserve"> </w:t>
      </w:r>
      <w:r>
        <w:rPr>
          <w:rFonts w:hint="eastAsia" w:ascii="宋体" w:hAnsi="宋体" w:cs="宋体"/>
          <w:sz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41B4B3F1">
      <w:pPr>
        <w:pageBreakBefore w:val="0"/>
        <w:kinsoku/>
        <w:wordWrap/>
        <w:overflowPunct/>
        <w:topLinePunct w:val="0"/>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3.6</w:t>
      </w:r>
      <w:r>
        <w:rPr>
          <w:rFonts w:hint="eastAsia" w:cs="宋体"/>
          <w:sz w:val="24"/>
          <w:lang w:val="en-US" w:eastAsia="zh-CN"/>
        </w:rPr>
        <w:t xml:space="preserve"> </w:t>
      </w:r>
      <w:r>
        <w:rPr>
          <w:rFonts w:hint="eastAsia" w:ascii="宋体" w:hAnsi="宋体" w:cs="宋体"/>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0917AC1">
      <w:pPr>
        <w:pageBreakBefore w:val="0"/>
        <w:kinsoku/>
        <w:wordWrap/>
        <w:overflowPunct/>
        <w:topLinePunct w:val="0"/>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3.7</w:t>
      </w:r>
      <w:r>
        <w:rPr>
          <w:rFonts w:hint="eastAsia" w:cs="宋体"/>
          <w:sz w:val="24"/>
          <w:lang w:val="en-US" w:eastAsia="zh-CN"/>
        </w:rPr>
        <w:t xml:space="preserve"> </w:t>
      </w:r>
      <w:r>
        <w:rPr>
          <w:rFonts w:hint="eastAsia" w:ascii="宋体" w:hAnsi="宋体" w:cs="宋体"/>
          <w:sz w:val="24"/>
        </w:rPr>
        <w:t>中小企业享受扶持政策获得政府采购合同的，小微企业不得将合同分包给大中型企业，中型企业不得将合同分包给大型企业。</w:t>
      </w:r>
    </w:p>
    <w:p w14:paraId="2F2A5379">
      <w:pPr>
        <w:pageBreakBefore w:val="0"/>
        <w:kinsoku/>
        <w:wordWrap/>
        <w:overflowPunct/>
        <w:topLinePunct w:val="0"/>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4</w:t>
      </w:r>
      <w:r>
        <w:rPr>
          <w:rFonts w:hint="eastAsia" w:ascii="宋体" w:hAnsi="宋体" w:cs="宋体"/>
          <w:sz w:val="24"/>
          <w:lang w:val="en-US" w:eastAsia="zh-CN"/>
        </w:rPr>
        <w:t>.</w:t>
      </w:r>
      <w:r>
        <w:rPr>
          <w:rFonts w:hint="eastAsia" w:ascii="宋体" w:hAnsi="宋体" w:cs="宋体"/>
          <w:bCs/>
          <w:sz w:val="24"/>
        </w:rPr>
        <w:t>支持创新发展</w:t>
      </w:r>
    </w:p>
    <w:p w14:paraId="022CFBFA">
      <w:pPr>
        <w:pageBreakBefore w:val="0"/>
        <w:kinsoku/>
        <w:wordWrap/>
        <w:overflowPunct/>
        <w:topLinePunct w:val="0"/>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 xml:space="preserve">4.1 </w:t>
      </w:r>
      <w:r>
        <w:rPr>
          <w:rFonts w:hint="eastAsia" w:cs="宋体"/>
          <w:sz w:val="24"/>
          <w:lang w:eastAsia="zh-CN"/>
        </w:rPr>
        <w:t>招标人</w:t>
      </w:r>
      <w:r>
        <w:rPr>
          <w:rFonts w:hint="eastAsia" w:ascii="宋体" w:hAnsi="宋体" w:cs="宋体"/>
          <w:sz w:val="24"/>
        </w:rPr>
        <w:t>优先采购被认定为首台套产品和“制造精品”的自主创新产品。</w:t>
      </w:r>
    </w:p>
    <w:p w14:paraId="2CF23376">
      <w:pPr>
        <w:pageBreakBefore w:val="0"/>
        <w:kinsoku/>
        <w:wordWrap/>
        <w:overflowPunct/>
        <w:topLinePunct w:val="0"/>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4.2</w:t>
      </w:r>
      <w:r>
        <w:rPr>
          <w:rFonts w:hint="eastAsia" w:cs="宋体"/>
          <w:sz w:val="24"/>
          <w:lang w:val="en-US" w:eastAsia="zh-CN"/>
        </w:rPr>
        <w:t xml:space="preserve"> </w:t>
      </w:r>
      <w:r>
        <w:rPr>
          <w:rFonts w:hint="eastAsia" w:ascii="宋体" w:hAnsi="宋体" w:cs="宋体"/>
          <w:sz w:val="24"/>
        </w:rPr>
        <w:t>首台套产品被纳入《首台套产品推广应用指导目录》之日起3年内，以及产品核心技术高于国内领先水平，并具有明晰自主知识产权的“制造精品”产品，自认定之日起三年内视同已具备相应销售业绩，参加政府采购活动时业绩分值为满分。</w:t>
      </w:r>
    </w:p>
    <w:p w14:paraId="65B3647E">
      <w:pPr>
        <w:pStyle w:val="5"/>
        <w:pageBreakBefore w:val="0"/>
        <w:numPr>
          <w:ilvl w:val="0"/>
          <w:numId w:val="0"/>
        </w:numPr>
        <w:kinsoku/>
        <w:wordWrap/>
        <w:overflowPunct/>
        <w:topLinePunct w:val="0"/>
        <w:bidi w:val="0"/>
        <w:adjustRightInd/>
        <w:snapToGrid/>
        <w:spacing w:line="360" w:lineRule="auto"/>
        <w:ind w:leftChars="200"/>
        <w:textAlignment w:val="auto"/>
        <w:rPr>
          <w:rFonts w:hint="eastAsia" w:ascii="宋体" w:hAnsi="宋体" w:cs="宋体"/>
          <w:b w:val="0"/>
          <w:bCs w:val="0"/>
          <w:sz w:val="24"/>
        </w:rPr>
      </w:pPr>
      <w:r>
        <w:rPr>
          <w:rFonts w:hint="eastAsia" w:ascii="宋体" w:hAnsi="宋体" w:cs="宋体"/>
          <w:b w:val="0"/>
          <w:bCs w:val="0"/>
          <w:sz w:val="24"/>
          <w:lang w:val="en-US" w:eastAsia="zh-CN"/>
        </w:rPr>
        <w:t>5.</w:t>
      </w:r>
      <w:r>
        <w:rPr>
          <w:rFonts w:hint="eastAsia" w:ascii="宋体" w:hAnsi="宋体" w:cs="宋体"/>
          <w:b w:val="0"/>
          <w:bCs w:val="0"/>
          <w:sz w:val="24"/>
        </w:rPr>
        <w:t>中小企业信用融资</w:t>
      </w:r>
    </w:p>
    <w:p w14:paraId="3C552517">
      <w:pPr>
        <w:pStyle w:val="5"/>
        <w:pageBreakBefore w:val="0"/>
        <w:numPr>
          <w:ilvl w:val="0"/>
          <w:numId w:val="0"/>
        </w:numPr>
        <w:kinsoku/>
        <w:wordWrap/>
        <w:overflowPunct/>
        <w:topLinePunct w:val="0"/>
        <w:bidi w:val="0"/>
        <w:adjustRightInd/>
        <w:snapToGrid/>
        <w:spacing w:line="360" w:lineRule="auto"/>
        <w:ind w:left="0" w:leftChars="0" w:firstLine="480" w:firstLineChars="200"/>
        <w:textAlignment w:val="auto"/>
        <w:rPr>
          <w:rFonts w:hint="eastAsia" w:ascii="宋体" w:hAnsi="宋体" w:cs="宋体"/>
          <w:sz w:val="24"/>
        </w:rPr>
      </w:pPr>
      <w:r>
        <w:rPr>
          <w:rFonts w:hint="eastAsia" w:ascii="宋体" w:hAnsi="宋体" w:cs="宋体"/>
          <w:b w:val="0"/>
          <w:bCs w:val="0"/>
          <w:sz w:val="24"/>
        </w:rPr>
        <w:t>投标人若有融资意向，详见《政府采购支持中小企业信用融资相关事项通知》，或登录</w:t>
      </w:r>
      <w:r>
        <w:rPr>
          <w:rFonts w:hint="eastAsia" w:ascii="宋体" w:hAnsi="宋体" w:cs="宋体"/>
          <w:b w:val="0"/>
          <w:bCs w:val="0"/>
          <w:sz w:val="24"/>
          <w:lang w:eastAsia="zh-CN"/>
        </w:rPr>
        <w:t>浙江</w:t>
      </w:r>
      <w:r>
        <w:rPr>
          <w:rFonts w:hint="eastAsia" w:ascii="宋体" w:hAnsi="宋体" w:cs="宋体"/>
          <w:b w:val="0"/>
          <w:bCs w:val="0"/>
          <w:sz w:val="24"/>
        </w:rPr>
        <w:t>政府采购网“中小企业信用融资”模块，查看信用融资政策及相关银行服务方案。</w:t>
      </w:r>
    </w:p>
    <w:p w14:paraId="205194BE">
      <w:pPr>
        <w:bidi w:val="0"/>
        <w:spacing w:line="360" w:lineRule="auto"/>
        <w:ind w:left="0" w:leftChars="0" w:firstLine="0" w:firstLineChars="0"/>
        <w:rPr>
          <w:rFonts w:hint="eastAsia" w:ascii="宋体" w:hAnsi="宋体" w:eastAsia="宋体" w:cs="宋体"/>
          <w:szCs w:val="24"/>
        </w:rPr>
      </w:pPr>
      <w:r>
        <w:rPr>
          <w:rFonts w:hint="eastAsia"/>
          <w:b/>
          <w:bCs/>
          <w:lang w:eastAsia="zh-CN"/>
        </w:rPr>
        <w:t>六</w:t>
      </w:r>
      <w:r>
        <w:rPr>
          <w:rFonts w:hint="eastAsia"/>
          <w:b/>
          <w:bCs/>
        </w:rPr>
        <w:t>、询问、质疑、投诉</w:t>
      </w:r>
    </w:p>
    <w:p w14:paraId="46D58E74">
      <w:pPr>
        <w:pageBreakBefore w:val="0"/>
        <w:kinsoku/>
        <w:wordWrap/>
        <w:overflowPunct/>
        <w:topLinePunct w:val="0"/>
        <w:autoSpaceDE w:val="0"/>
        <w:autoSpaceDN w:val="0"/>
        <w:bidi w:val="0"/>
        <w:adjustRightInd/>
        <w:snapToGrid/>
        <w:spacing w:line="360" w:lineRule="auto"/>
        <w:ind w:firstLine="480"/>
        <w:jc w:val="left"/>
        <w:textAlignment w:val="auto"/>
        <w:rPr>
          <w:rFonts w:hint="eastAsia" w:ascii="宋体" w:hAnsi="宋体" w:eastAsia="宋体" w:cs="宋体"/>
          <w:kern w:val="0"/>
          <w:lang w:val="zh-CN"/>
        </w:rPr>
      </w:pPr>
      <w:r>
        <w:rPr>
          <w:rFonts w:hint="eastAsia" w:ascii="宋体" w:hAnsi="宋体" w:eastAsia="宋体" w:cs="宋体"/>
          <w:kern w:val="0"/>
          <w:lang w:val="zh-CN"/>
        </w:rPr>
        <w:t>1</w:t>
      </w:r>
      <w:r>
        <w:rPr>
          <w:rFonts w:hint="eastAsia" w:ascii="宋体" w:hAnsi="宋体" w:eastAsia="宋体" w:cs="宋体"/>
          <w:kern w:val="0"/>
        </w:rPr>
        <w:t>.</w:t>
      </w:r>
      <w:r>
        <w:rPr>
          <w:rFonts w:hint="eastAsia" w:ascii="宋体" w:hAnsi="宋体" w:eastAsia="宋体" w:cs="宋体"/>
          <w:kern w:val="0"/>
          <w:lang w:val="zh-CN"/>
        </w:rPr>
        <w:t>投标人询问</w:t>
      </w:r>
    </w:p>
    <w:p w14:paraId="3EB49B15">
      <w:pPr>
        <w:pageBreakBefore w:val="0"/>
        <w:kinsoku/>
        <w:wordWrap/>
        <w:overflowPunct/>
        <w:topLinePunct w:val="0"/>
        <w:autoSpaceDE w:val="0"/>
        <w:autoSpaceDN w:val="0"/>
        <w:bidi w:val="0"/>
        <w:adjustRightInd/>
        <w:snapToGrid/>
        <w:spacing w:line="360" w:lineRule="auto"/>
        <w:ind w:firstLine="480"/>
        <w:jc w:val="left"/>
        <w:textAlignment w:val="auto"/>
        <w:rPr>
          <w:rFonts w:hint="eastAsia" w:ascii="宋体" w:hAnsi="宋体" w:eastAsia="宋体" w:cs="宋体"/>
          <w:kern w:val="0"/>
          <w:lang w:val="zh-CN"/>
        </w:rPr>
      </w:pPr>
      <w:r>
        <w:rPr>
          <w:rFonts w:hint="eastAsia" w:ascii="宋体" w:hAnsi="宋体" w:eastAsia="宋体" w:cs="宋体"/>
          <w:kern w:val="0"/>
          <w:lang w:val="zh-CN"/>
        </w:rPr>
        <w:t>投标人对政府采购活动事项有疑问的，可以提出询问，招标人或者招标代理机构应当在3个工作日内对投标人依法提出的询问作出答复，但答复的内容不得涉及商业秘密。投标人提出的询问超出招标人对招标代理机构委托授权范围的，招标代理机构应当告知投标人向招标人提出。</w:t>
      </w:r>
    </w:p>
    <w:p w14:paraId="04644D87">
      <w:pPr>
        <w:pageBreakBefore w:val="0"/>
        <w:kinsoku/>
        <w:wordWrap/>
        <w:overflowPunct/>
        <w:topLinePunct w:val="0"/>
        <w:autoSpaceDE w:val="0"/>
        <w:autoSpaceDN w:val="0"/>
        <w:bidi w:val="0"/>
        <w:adjustRightInd/>
        <w:snapToGrid/>
        <w:spacing w:line="360" w:lineRule="auto"/>
        <w:ind w:firstLine="480"/>
        <w:jc w:val="left"/>
        <w:textAlignment w:val="auto"/>
        <w:rPr>
          <w:rFonts w:hint="eastAsia" w:ascii="宋体" w:hAnsi="宋体" w:eastAsia="宋体" w:cs="宋体"/>
          <w:kern w:val="0"/>
          <w:lang w:val="zh-CN"/>
        </w:rPr>
      </w:pPr>
      <w:r>
        <w:rPr>
          <w:rFonts w:hint="eastAsia" w:ascii="宋体" w:hAnsi="宋体" w:eastAsia="宋体" w:cs="宋体"/>
          <w:kern w:val="0"/>
          <w:lang w:val="zh-CN"/>
        </w:rPr>
        <w:t>2</w:t>
      </w:r>
      <w:r>
        <w:rPr>
          <w:rFonts w:hint="eastAsia" w:ascii="宋体" w:hAnsi="宋体" w:eastAsia="宋体" w:cs="宋体"/>
          <w:kern w:val="0"/>
        </w:rPr>
        <w:t>.</w:t>
      </w:r>
      <w:r>
        <w:rPr>
          <w:rFonts w:hint="eastAsia" w:ascii="宋体" w:hAnsi="宋体" w:eastAsia="宋体" w:cs="宋体"/>
          <w:kern w:val="0"/>
          <w:lang w:val="zh-CN"/>
        </w:rPr>
        <w:t>投标人质疑</w:t>
      </w:r>
    </w:p>
    <w:p w14:paraId="0CA511A2">
      <w:pPr>
        <w:pStyle w:val="2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（1）提出质疑的投标人应当是参与所质疑项目招标活动的投标人。潜在投标人已依法获取其可质疑的招标文件的，可以对该文件提出质疑。</w:t>
      </w:r>
    </w:p>
    <w:p w14:paraId="4E164A03">
      <w:pPr>
        <w:pStyle w:val="20"/>
        <w:pageBreakBefore w:val="0"/>
        <w:kinsoku/>
        <w:wordWrap/>
        <w:overflowPunct/>
        <w:topLinePunct w:val="0"/>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kern w:val="0"/>
          <w:sz w:val="24"/>
          <w:lang w:val="zh-CN"/>
        </w:rPr>
        <w:t>（</w:t>
      </w:r>
      <w:r>
        <w:rPr>
          <w:rFonts w:hint="eastAsia" w:ascii="宋体" w:hAnsi="宋体" w:eastAsia="宋体" w:cs="宋体"/>
          <w:sz w:val="24"/>
        </w:rPr>
        <w:t>2）投标人认为招标文件、招标过程和中标结果使自己的权益受到损害的，可以在知道或者应知其权益受到损害之日起七个工作日内，以书面形式向招标人或者招标机构提出质疑，否则，招标人或者招标机构不予受理：</w:t>
      </w:r>
    </w:p>
    <w:p w14:paraId="4C5974E9">
      <w:pPr>
        <w:pStyle w:val="8"/>
        <w:keepNext w:val="0"/>
        <w:keepLines w:val="0"/>
        <w:pageBreakBefore w:val="0"/>
        <w:widowControl w:val="0"/>
        <w:kinsoku/>
        <w:wordWrap/>
        <w:overflowPunct/>
        <w:topLinePunct w:val="0"/>
        <w:autoSpaceDE/>
        <w:autoSpaceDN/>
        <w:bidi w:val="0"/>
        <w:adjustRightInd/>
        <w:snapToGrid/>
        <w:spacing w:line="420" w:lineRule="exact"/>
        <w:ind w:firstLine="720" w:firstLineChars="300"/>
        <w:textAlignment w:val="auto"/>
        <w:rPr>
          <w:rFonts w:hint="eastAsia" w:ascii="宋体" w:hAnsi="宋体" w:eastAsia="宋体" w:cs="宋体"/>
          <w:sz w:val="24"/>
        </w:rPr>
      </w:pPr>
      <w:r>
        <w:rPr>
          <w:rFonts w:hint="eastAsia" w:ascii="宋体" w:hAnsi="宋体" w:eastAsia="宋体" w:cs="宋体"/>
          <w:sz w:val="24"/>
        </w:rPr>
        <w:t>1）对招标文件提出质疑的，质疑期限为投标人获得招标文件之日或者招标文件公告期限届满之日起计算。</w:t>
      </w:r>
    </w:p>
    <w:p w14:paraId="0C056DF1">
      <w:pPr>
        <w:pStyle w:val="20"/>
        <w:keepNext w:val="0"/>
        <w:keepLines w:val="0"/>
        <w:pageBreakBefore w:val="0"/>
        <w:widowControl w:val="0"/>
        <w:kinsoku/>
        <w:wordWrap/>
        <w:overflowPunct/>
        <w:topLinePunct w:val="0"/>
        <w:autoSpaceDE/>
        <w:autoSpaceDN/>
        <w:bidi w:val="0"/>
        <w:adjustRightInd/>
        <w:snapToGrid/>
        <w:spacing w:line="420" w:lineRule="exact"/>
        <w:ind w:firstLine="720" w:firstLineChars="300"/>
        <w:textAlignment w:val="auto"/>
        <w:rPr>
          <w:rFonts w:hint="eastAsia" w:ascii="宋体" w:hAnsi="宋体" w:eastAsia="宋体" w:cs="宋体"/>
          <w:sz w:val="24"/>
        </w:rPr>
      </w:pPr>
      <w:r>
        <w:rPr>
          <w:rFonts w:hint="eastAsia" w:ascii="宋体" w:hAnsi="宋体" w:eastAsia="宋体" w:cs="宋体"/>
          <w:sz w:val="24"/>
        </w:rPr>
        <w:t>2）对招标过程提出质疑的，质疑期限为各招标程序环节结束之日起计算。对同一招标程序环节的质疑，投标人须一次性提出。</w:t>
      </w:r>
    </w:p>
    <w:p w14:paraId="1A3E65FB">
      <w:pPr>
        <w:pStyle w:val="20"/>
        <w:keepNext w:val="0"/>
        <w:keepLines w:val="0"/>
        <w:pageBreakBefore w:val="0"/>
        <w:widowControl w:val="0"/>
        <w:kinsoku/>
        <w:wordWrap/>
        <w:overflowPunct/>
        <w:topLinePunct w:val="0"/>
        <w:autoSpaceDE/>
        <w:autoSpaceDN/>
        <w:bidi w:val="0"/>
        <w:adjustRightInd/>
        <w:snapToGrid/>
        <w:spacing w:line="420" w:lineRule="exact"/>
        <w:ind w:firstLine="720" w:firstLineChars="300"/>
        <w:textAlignment w:val="auto"/>
        <w:rPr>
          <w:rFonts w:hint="eastAsia" w:ascii="宋体" w:hAnsi="宋体" w:eastAsia="宋体" w:cs="宋体"/>
          <w:sz w:val="24"/>
        </w:rPr>
      </w:pPr>
      <w:r>
        <w:rPr>
          <w:rFonts w:hint="eastAsia" w:ascii="宋体" w:hAnsi="宋体" w:eastAsia="宋体" w:cs="宋体"/>
          <w:sz w:val="24"/>
        </w:rPr>
        <w:t>3）对招标结果提出质疑的，质疑期限自招标结果公告期限届满之日起计算。</w:t>
      </w:r>
    </w:p>
    <w:p w14:paraId="17914D06">
      <w:pPr>
        <w:pStyle w:val="20"/>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w:t>
      </w:r>
      <w:r>
        <w:rPr>
          <w:rFonts w:hint="eastAsia" w:ascii="宋体" w:hAnsi="宋体" w:eastAsia="宋体" w:cs="宋体"/>
          <w:kern w:val="0"/>
          <w:sz w:val="24"/>
        </w:rPr>
        <w:t>3）</w:t>
      </w:r>
      <w:r>
        <w:rPr>
          <w:rFonts w:hint="eastAsia" w:ascii="宋体" w:hAnsi="宋体" w:eastAsia="宋体" w:cs="宋体"/>
          <w:sz w:val="24"/>
        </w:rPr>
        <w:t>投标人提出质疑应当提交质疑函和必要的证明材料。质疑函应当包括下列内容：</w:t>
      </w:r>
    </w:p>
    <w:p w14:paraId="37561D10">
      <w:pPr>
        <w:pStyle w:val="20"/>
        <w:keepNext w:val="0"/>
        <w:keepLines w:val="0"/>
        <w:pageBreakBefore w:val="0"/>
        <w:widowControl w:val="0"/>
        <w:kinsoku/>
        <w:wordWrap/>
        <w:overflowPunct/>
        <w:topLinePunct w:val="0"/>
        <w:autoSpaceDE/>
        <w:autoSpaceDN/>
        <w:bidi w:val="0"/>
        <w:adjustRightInd/>
        <w:snapToGrid/>
        <w:spacing w:line="420" w:lineRule="exact"/>
        <w:ind w:firstLine="720" w:firstLineChars="300"/>
        <w:textAlignment w:val="auto"/>
        <w:rPr>
          <w:rFonts w:hint="eastAsia" w:ascii="宋体" w:hAnsi="宋体" w:eastAsia="宋体" w:cs="宋体"/>
          <w:kern w:val="0"/>
          <w:sz w:val="24"/>
          <w:lang w:val="zh-CN"/>
        </w:rPr>
      </w:pPr>
      <w:r>
        <w:rPr>
          <w:rFonts w:hint="eastAsia" w:ascii="宋体" w:hAnsi="宋体" w:eastAsia="宋体" w:cs="宋体"/>
          <w:sz w:val="24"/>
        </w:rPr>
        <w:t>1）</w:t>
      </w:r>
      <w:r>
        <w:rPr>
          <w:rFonts w:hint="eastAsia" w:ascii="宋体" w:hAnsi="宋体" w:eastAsia="宋体" w:cs="宋体"/>
          <w:kern w:val="0"/>
          <w:sz w:val="24"/>
          <w:lang w:val="zh-CN"/>
        </w:rPr>
        <w:t>投标人的姓名或者名称、地址、邮编、联系人及联系电话；</w:t>
      </w:r>
    </w:p>
    <w:p w14:paraId="569E33E7">
      <w:pPr>
        <w:pStyle w:val="20"/>
        <w:keepNext w:val="0"/>
        <w:keepLines w:val="0"/>
        <w:pageBreakBefore w:val="0"/>
        <w:widowControl w:val="0"/>
        <w:kinsoku/>
        <w:wordWrap/>
        <w:overflowPunct/>
        <w:topLinePunct w:val="0"/>
        <w:autoSpaceDE/>
        <w:autoSpaceDN/>
        <w:bidi w:val="0"/>
        <w:adjustRightInd/>
        <w:snapToGrid/>
        <w:spacing w:line="420" w:lineRule="exact"/>
        <w:ind w:firstLine="720" w:firstLineChars="300"/>
        <w:textAlignment w:val="auto"/>
        <w:rPr>
          <w:rFonts w:hint="eastAsia" w:ascii="宋体" w:hAnsi="宋体" w:eastAsia="宋体" w:cs="宋体"/>
          <w:kern w:val="0"/>
          <w:sz w:val="24"/>
          <w:lang w:val="zh-CN"/>
        </w:rPr>
      </w:pPr>
      <w:r>
        <w:rPr>
          <w:rFonts w:hint="eastAsia" w:ascii="宋体" w:hAnsi="宋体" w:eastAsia="宋体" w:cs="宋体"/>
          <w:sz w:val="24"/>
        </w:rPr>
        <w:t>2）</w:t>
      </w:r>
      <w:r>
        <w:rPr>
          <w:rFonts w:hint="eastAsia" w:ascii="宋体" w:hAnsi="宋体" w:eastAsia="宋体" w:cs="宋体"/>
          <w:kern w:val="0"/>
          <w:sz w:val="24"/>
          <w:lang w:val="zh-CN"/>
        </w:rPr>
        <w:t>质疑项目的名称、编号；</w:t>
      </w:r>
    </w:p>
    <w:p w14:paraId="51D8546B">
      <w:pPr>
        <w:pStyle w:val="20"/>
        <w:keepNext w:val="0"/>
        <w:keepLines w:val="0"/>
        <w:pageBreakBefore w:val="0"/>
        <w:widowControl w:val="0"/>
        <w:kinsoku/>
        <w:wordWrap/>
        <w:overflowPunct/>
        <w:topLinePunct w:val="0"/>
        <w:autoSpaceDE/>
        <w:autoSpaceDN/>
        <w:bidi w:val="0"/>
        <w:adjustRightInd/>
        <w:snapToGrid/>
        <w:spacing w:line="420" w:lineRule="exact"/>
        <w:ind w:firstLine="720" w:firstLineChars="300"/>
        <w:textAlignment w:val="auto"/>
        <w:rPr>
          <w:rFonts w:hint="eastAsia" w:ascii="宋体" w:hAnsi="宋体" w:eastAsia="宋体" w:cs="宋体"/>
          <w:kern w:val="0"/>
          <w:sz w:val="24"/>
          <w:lang w:val="zh-CN"/>
        </w:rPr>
      </w:pPr>
      <w:r>
        <w:rPr>
          <w:rFonts w:hint="eastAsia" w:ascii="宋体" w:hAnsi="宋体" w:eastAsia="宋体" w:cs="宋体"/>
          <w:sz w:val="24"/>
        </w:rPr>
        <w:t>3）</w:t>
      </w:r>
      <w:r>
        <w:rPr>
          <w:rFonts w:hint="eastAsia" w:ascii="宋体" w:hAnsi="宋体" w:eastAsia="宋体" w:cs="宋体"/>
          <w:kern w:val="0"/>
          <w:sz w:val="24"/>
          <w:lang w:val="zh-CN"/>
        </w:rPr>
        <w:t>具体、明确的质疑事项和与质疑事项相关的请求；</w:t>
      </w:r>
    </w:p>
    <w:p w14:paraId="3E1BB4AF">
      <w:pPr>
        <w:pStyle w:val="20"/>
        <w:keepNext w:val="0"/>
        <w:keepLines w:val="0"/>
        <w:pageBreakBefore w:val="0"/>
        <w:widowControl w:val="0"/>
        <w:kinsoku/>
        <w:wordWrap/>
        <w:overflowPunct/>
        <w:topLinePunct w:val="0"/>
        <w:autoSpaceDE/>
        <w:autoSpaceDN/>
        <w:bidi w:val="0"/>
        <w:adjustRightInd/>
        <w:snapToGrid/>
        <w:spacing w:line="420" w:lineRule="exact"/>
        <w:ind w:firstLine="720" w:firstLineChars="300"/>
        <w:textAlignment w:val="auto"/>
        <w:rPr>
          <w:rFonts w:hint="eastAsia" w:ascii="宋体" w:hAnsi="宋体" w:eastAsia="宋体" w:cs="宋体"/>
          <w:kern w:val="0"/>
          <w:sz w:val="24"/>
          <w:lang w:val="zh-CN"/>
        </w:rPr>
      </w:pPr>
      <w:r>
        <w:rPr>
          <w:rFonts w:hint="eastAsia" w:ascii="宋体" w:hAnsi="宋体" w:eastAsia="宋体" w:cs="宋体"/>
          <w:sz w:val="24"/>
        </w:rPr>
        <w:t>4）</w:t>
      </w:r>
      <w:r>
        <w:rPr>
          <w:rFonts w:hint="eastAsia" w:ascii="宋体" w:hAnsi="宋体" w:eastAsia="宋体" w:cs="宋体"/>
          <w:kern w:val="0"/>
          <w:sz w:val="24"/>
          <w:lang w:val="zh-CN"/>
        </w:rPr>
        <w:t>事实依据；</w:t>
      </w:r>
    </w:p>
    <w:p w14:paraId="73A75AC2">
      <w:pPr>
        <w:pStyle w:val="20"/>
        <w:keepNext w:val="0"/>
        <w:keepLines w:val="0"/>
        <w:pageBreakBefore w:val="0"/>
        <w:widowControl w:val="0"/>
        <w:kinsoku/>
        <w:wordWrap/>
        <w:overflowPunct/>
        <w:topLinePunct w:val="0"/>
        <w:autoSpaceDE/>
        <w:autoSpaceDN/>
        <w:bidi w:val="0"/>
        <w:adjustRightInd/>
        <w:snapToGrid/>
        <w:spacing w:line="420" w:lineRule="exact"/>
        <w:ind w:firstLine="720" w:firstLineChars="300"/>
        <w:textAlignment w:val="auto"/>
        <w:rPr>
          <w:rFonts w:hint="eastAsia" w:ascii="宋体" w:hAnsi="宋体" w:eastAsia="宋体" w:cs="宋体"/>
          <w:kern w:val="0"/>
          <w:sz w:val="24"/>
          <w:lang w:val="zh-CN"/>
        </w:rPr>
      </w:pPr>
      <w:r>
        <w:rPr>
          <w:rFonts w:hint="eastAsia" w:ascii="宋体" w:hAnsi="宋体" w:eastAsia="宋体" w:cs="宋体"/>
          <w:sz w:val="24"/>
        </w:rPr>
        <w:t>5）</w:t>
      </w:r>
      <w:r>
        <w:rPr>
          <w:rFonts w:hint="eastAsia" w:ascii="宋体" w:hAnsi="宋体" w:eastAsia="宋体" w:cs="宋体"/>
          <w:kern w:val="0"/>
          <w:sz w:val="24"/>
          <w:lang w:val="zh-CN"/>
        </w:rPr>
        <w:t>必要的法律依据；</w:t>
      </w:r>
    </w:p>
    <w:p w14:paraId="48A03F2C">
      <w:pPr>
        <w:pStyle w:val="20"/>
        <w:keepNext w:val="0"/>
        <w:keepLines w:val="0"/>
        <w:pageBreakBefore w:val="0"/>
        <w:widowControl w:val="0"/>
        <w:kinsoku/>
        <w:wordWrap/>
        <w:overflowPunct/>
        <w:topLinePunct w:val="0"/>
        <w:autoSpaceDE/>
        <w:autoSpaceDN/>
        <w:bidi w:val="0"/>
        <w:adjustRightInd/>
        <w:snapToGrid/>
        <w:spacing w:line="420" w:lineRule="exact"/>
        <w:ind w:firstLine="720" w:firstLineChars="300"/>
        <w:textAlignment w:val="auto"/>
        <w:rPr>
          <w:rFonts w:hint="eastAsia" w:ascii="宋体" w:hAnsi="宋体" w:eastAsia="宋体" w:cs="宋体"/>
          <w:kern w:val="0"/>
          <w:sz w:val="24"/>
          <w:lang w:val="zh-CN"/>
        </w:rPr>
      </w:pPr>
      <w:r>
        <w:rPr>
          <w:rFonts w:hint="eastAsia" w:ascii="宋体" w:hAnsi="宋体" w:eastAsia="宋体" w:cs="宋体"/>
          <w:sz w:val="24"/>
        </w:rPr>
        <w:t>6）</w:t>
      </w:r>
      <w:r>
        <w:rPr>
          <w:rFonts w:hint="eastAsia" w:ascii="宋体" w:hAnsi="宋体" w:eastAsia="宋体" w:cs="宋体"/>
          <w:kern w:val="0"/>
          <w:sz w:val="24"/>
          <w:lang w:val="zh-CN"/>
        </w:rPr>
        <w:t>提出质疑的日期。</w:t>
      </w:r>
    </w:p>
    <w:p w14:paraId="17432683">
      <w:pPr>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rPr>
      </w:pPr>
      <w:r>
        <w:rPr>
          <w:rFonts w:hint="eastAsia"/>
        </w:rPr>
        <w:t>投标人提交的质疑函需一式三份。投标人为自然人的，应当由本人签字；投标人为法人或者其他组织的，应当由法定代表人、主要负责人，或者其</w:t>
      </w:r>
      <w:r>
        <w:rPr>
          <w:rFonts w:hint="eastAsia"/>
          <w:lang w:eastAsia="zh-CN"/>
        </w:rPr>
        <w:t>授权代表</w:t>
      </w:r>
      <w:r>
        <w:rPr>
          <w:rFonts w:hint="eastAsia"/>
        </w:rPr>
        <w:t>签字或者盖章，并加盖公章。</w:t>
      </w:r>
    </w:p>
    <w:p w14:paraId="1F63A8FC">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lang w:val="zh-CN"/>
        </w:rPr>
        <w:t>（</w:t>
      </w:r>
      <w:r>
        <w:rPr>
          <w:rFonts w:hint="eastAsia"/>
        </w:rPr>
        <w:t>4）招标人或者招标机构应当在收到投标人的书面质疑后七个工作日内作出答复，并以书面形式通知质疑投标人和其他与质疑处理结果有利害关系的政府采购当事人，但答复的内容不得涉及商业秘密。招标人或者招标机构在质疑回复后5个工作日内，在浙江政府采购网的“其他公告”栏目公开质疑答复，答复内容应当完整。质疑函作为附件上传。</w:t>
      </w:r>
    </w:p>
    <w:p w14:paraId="1A74F3A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lang w:val="zh-CN"/>
        </w:rPr>
        <w:t>（</w:t>
      </w:r>
      <w:r>
        <w:rPr>
          <w:rFonts w:hint="eastAsia"/>
        </w:rPr>
        <w:t>5）询问或者质疑事项可能影响采购结果的，招标人应当暂停签订合同，已经签订合同的，应当中止履行合同。</w:t>
      </w:r>
    </w:p>
    <w:p w14:paraId="17BE3D5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lang w:val="zh-CN"/>
        </w:rPr>
      </w:pPr>
      <w:r>
        <w:rPr>
          <w:rFonts w:hint="eastAsia"/>
        </w:rPr>
        <w:t>3.</w:t>
      </w:r>
      <w:r>
        <w:rPr>
          <w:rFonts w:hint="eastAsia"/>
          <w:lang w:val="zh-CN"/>
        </w:rPr>
        <w:t>投标人投诉</w:t>
      </w:r>
    </w:p>
    <w:p w14:paraId="3F9634F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（1）质疑投标人对招标人、招标机构的答复不满意或者招标人、招标机构未在规定的时间内作出答复的，可以在答复期满后十五个工作日内向</w:t>
      </w:r>
      <w:r>
        <w:rPr>
          <w:rFonts w:hint="eastAsia"/>
          <w:lang w:eastAsia="zh-CN"/>
        </w:rPr>
        <w:t>同级政府采购</w:t>
      </w:r>
      <w:r>
        <w:rPr>
          <w:rFonts w:hint="eastAsia"/>
        </w:rPr>
        <w:t>监督管理部门提出投诉。</w:t>
      </w:r>
    </w:p>
    <w:p w14:paraId="43274424">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w:t>
      </w:r>
      <w:r>
        <w:rPr>
          <w:rFonts w:hint="eastAsia"/>
          <w:lang w:val="zh-CN"/>
        </w:rPr>
        <w:t>2）</w:t>
      </w:r>
      <w:r>
        <w:rPr>
          <w:rFonts w:hint="eastAsia"/>
        </w:rPr>
        <w:t>投标人投诉的事项不得超出已质疑事项的范围，基于质疑答复内容提出的投诉事项除外。</w:t>
      </w:r>
    </w:p>
    <w:p w14:paraId="060B6E1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rPr>
      </w:pPr>
      <w:r>
        <w:rPr>
          <w:rFonts w:hint="eastAsia"/>
        </w:rPr>
        <w:t>（3）投标人投诉应当有明确的请求和必要的证明材料。</w:t>
      </w:r>
    </w:p>
    <w:p w14:paraId="4A3CFF0E">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b/>
          <w:bCs/>
        </w:rPr>
      </w:pPr>
      <w:r>
        <w:rPr>
          <w:rFonts w:hint="eastAsia"/>
          <w:b/>
          <w:bCs/>
        </w:rPr>
        <w:t>七、特别说明</w:t>
      </w:r>
    </w:p>
    <w:p w14:paraId="17E9E0A3">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rPr>
        <w:sectPr>
          <w:pgSz w:w="11906" w:h="16838"/>
          <w:pgMar w:top="1247" w:right="1247" w:bottom="1247" w:left="1247" w:header="170" w:footer="567" w:gutter="0"/>
          <w:pgNumType w:fmt="decimal"/>
          <w:cols w:space="720" w:num="1"/>
          <w:docGrid w:linePitch="381" w:charSpace="0"/>
        </w:sectPr>
      </w:pPr>
      <w:r>
        <w:rPr>
          <w:rFonts w:hint="eastAsia" w:ascii="宋体" w:hAnsi="宋体" w:eastAsia="宋体" w:cs="宋体"/>
        </w:rPr>
        <w:t>投标人在投标活动中提供任何虚假材料</w:t>
      </w:r>
      <w:r>
        <w:rPr>
          <w:rFonts w:hint="eastAsia" w:cs="宋体"/>
          <w:lang w:eastAsia="zh-CN"/>
        </w:rPr>
        <w:t>，</w:t>
      </w:r>
      <w:r>
        <w:rPr>
          <w:rFonts w:hint="eastAsia" w:ascii="宋体" w:hAnsi="宋体" w:eastAsia="宋体" w:cs="宋体"/>
        </w:rPr>
        <w:t>其投标无效，并报相关监管部门查处；中标后发现的,处以招标金额千分之五以上千分之十以下的罚款，列入不良行为记录名单，在一至三年内禁止参加招标活动，有违法所得的，并处没收违法所得，情节严重的，由相关管理机关吊销营业执照；构成犯罪的，依法追究刑事责任。</w:t>
      </w:r>
    </w:p>
    <w:p w14:paraId="0ED17D4C">
      <w:pPr>
        <w:pStyle w:val="4"/>
        <w:spacing w:line="360" w:lineRule="auto"/>
        <w:jc w:val="center"/>
        <w:rPr>
          <w:rFonts w:hint="eastAsia" w:ascii="宋体" w:hAnsi="宋体" w:eastAsia="宋体" w:cs="宋体"/>
          <w:sz w:val="24"/>
          <w:szCs w:val="24"/>
        </w:rPr>
      </w:pPr>
      <w:bookmarkStart w:id="48" w:name="_Toc91899879"/>
      <w:bookmarkStart w:id="49" w:name="_Toc16985"/>
      <w:r>
        <w:rPr>
          <w:rFonts w:hint="eastAsia" w:ascii="宋体" w:hAnsi="宋体" w:eastAsia="宋体" w:cs="宋体"/>
          <w:sz w:val="24"/>
          <w:szCs w:val="24"/>
        </w:rPr>
        <w:t xml:space="preserve">第二节 </w:t>
      </w:r>
      <w:r>
        <w:rPr>
          <w:rFonts w:hint="eastAsia" w:ascii="宋体" w:hAnsi="宋体" w:cs="宋体"/>
          <w:sz w:val="24"/>
          <w:szCs w:val="24"/>
          <w:lang w:val="en-US" w:eastAsia="zh-CN"/>
        </w:rPr>
        <w:t xml:space="preserve"> </w:t>
      </w:r>
      <w:r>
        <w:rPr>
          <w:rFonts w:hint="eastAsia" w:ascii="宋体" w:hAnsi="宋体" w:eastAsia="宋体" w:cs="宋体"/>
          <w:sz w:val="24"/>
          <w:szCs w:val="24"/>
        </w:rPr>
        <w:t>招标文件</w:t>
      </w:r>
      <w:bookmarkEnd w:id="48"/>
      <w:r>
        <w:rPr>
          <w:rFonts w:hint="eastAsia" w:ascii="宋体" w:hAnsi="宋体" w:eastAsia="宋体" w:cs="宋体"/>
          <w:sz w:val="24"/>
          <w:szCs w:val="24"/>
        </w:rPr>
        <w:t>的构成、澄清、修改</w:t>
      </w:r>
      <w:bookmarkEnd w:id="49"/>
    </w:p>
    <w:p w14:paraId="324CA5D3">
      <w:pPr>
        <w:bidi w:val="0"/>
        <w:spacing w:line="360" w:lineRule="auto"/>
        <w:ind w:left="0" w:leftChars="0" w:firstLine="0" w:firstLineChars="0"/>
        <w:rPr>
          <w:rFonts w:hint="eastAsia"/>
          <w:b/>
          <w:bCs/>
        </w:rPr>
      </w:pPr>
      <w:bookmarkStart w:id="50" w:name="_Toc91899880"/>
      <w:bookmarkStart w:id="51" w:name="_Hlt74730307"/>
      <w:r>
        <w:rPr>
          <w:rFonts w:hint="eastAsia"/>
          <w:b/>
          <w:bCs/>
        </w:rPr>
        <w:t>一、招标文件的构成</w:t>
      </w:r>
      <w:bookmarkEnd w:id="50"/>
    </w:p>
    <w:bookmarkEnd w:id="51"/>
    <w:p w14:paraId="589634FD">
      <w:pPr>
        <w:pStyle w:val="2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1.招标文件包括下列文件及附件</w:t>
      </w:r>
      <w:r>
        <w:rPr>
          <w:rFonts w:hint="eastAsia" w:ascii="宋体" w:hAnsi="宋体" w:eastAsia="宋体" w:cs="宋体"/>
          <w:sz w:val="24"/>
          <w:szCs w:val="24"/>
          <w:lang w:eastAsia="zh-CN"/>
        </w:rPr>
        <w:t>：</w:t>
      </w:r>
    </w:p>
    <w:p w14:paraId="4950EDF2">
      <w:pPr>
        <w:pStyle w:val="20"/>
        <w:numPr>
          <w:ilvl w:val="0"/>
          <w:numId w:val="7"/>
        </w:numPr>
        <w:adjustRightInd w:val="0"/>
        <w:spacing w:line="360" w:lineRule="auto"/>
        <w:ind w:left="839" w:firstLine="120" w:firstLineChars="5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"_Toc32332" </w:instrText>
      </w:r>
      <w:r>
        <w:rPr>
          <w:rFonts w:hint="eastAsia" w:ascii="宋体" w:hAnsi="宋体" w:eastAsia="宋体" w:cs="宋体"/>
          <w:sz w:val="24"/>
          <w:szCs w:val="24"/>
        </w:rPr>
        <w:fldChar w:fldCharType="separate"/>
      </w:r>
      <w:r>
        <w:rPr>
          <w:rFonts w:hint="eastAsia" w:ascii="宋体" w:hAnsi="宋体" w:eastAsia="宋体" w:cs="宋体"/>
          <w:sz w:val="24"/>
          <w:szCs w:val="24"/>
        </w:rPr>
        <w:t>第一章 招标公告</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p>
    <w:p w14:paraId="0F140E18">
      <w:pPr>
        <w:pStyle w:val="20"/>
        <w:numPr>
          <w:ilvl w:val="0"/>
          <w:numId w:val="7"/>
        </w:numPr>
        <w:adjustRightInd w:val="0"/>
        <w:spacing w:line="360" w:lineRule="auto"/>
        <w:ind w:left="839" w:firstLine="120" w:firstLineChars="5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"_Toc24282"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第二章 </w:t>
      </w:r>
      <w:r>
        <w:rPr>
          <w:rFonts w:hint="eastAsia" w:hAnsi="宋体" w:cs="宋体"/>
          <w:sz w:val="24"/>
          <w:szCs w:val="24"/>
          <w:lang w:eastAsia="zh-CN"/>
        </w:rPr>
        <w:t>采购</w:t>
      </w:r>
      <w:r>
        <w:rPr>
          <w:rFonts w:hint="eastAsia" w:ascii="宋体" w:hAnsi="宋体" w:eastAsia="宋体" w:cs="宋体"/>
          <w:sz w:val="24"/>
          <w:szCs w:val="24"/>
        </w:rPr>
        <w:t>需求</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p>
    <w:p w14:paraId="45C7BBEC">
      <w:pPr>
        <w:pStyle w:val="20"/>
        <w:numPr>
          <w:ilvl w:val="0"/>
          <w:numId w:val="7"/>
        </w:numPr>
        <w:adjustRightInd w:val="0"/>
        <w:spacing w:line="360" w:lineRule="auto"/>
        <w:ind w:left="839" w:firstLine="120" w:firstLineChars="5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"_Toc7338" </w:instrText>
      </w:r>
      <w:r>
        <w:rPr>
          <w:rFonts w:hint="eastAsia" w:ascii="宋体" w:hAnsi="宋体" w:eastAsia="宋体" w:cs="宋体"/>
          <w:sz w:val="24"/>
          <w:szCs w:val="24"/>
        </w:rPr>
        <w:fldChar w:fldCharType="separate"/>
      </w:r>
      <w:r>
        <w:rPr>
          <w:rFonts w:hint="eastAsia" w:ascii="宋体" w:hAnsi="宋体" w:eastAsia="宋体" w:cs="宋体"/>
          <w:sz w:val="24"/>
          <w:szCs w:val="24"/>
        </w:rPr>
        <w:t>第三章 投标人须知</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p>
    <w:p w14:paraId="1E884E04">
      <w:pPr>
        <w:pStyle w:val="20"/>
        <w:numPr>
          <w:ilvl w:val="0"/>
          <w:numId w:val="7"/>
        </w:numPr>
        <w:adjustRightInd w:val="0"/>
        <w:spacing w:line="360" w:lineRule="auto"/>
        <w:ind w:left="839" w:firstLine="120" w:firstLineChars="5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"_Toc22869" </w:instrText>
      </w:r>
      <w:r>
        <w:rPr>
          <w:rFonts w:hint="eastAsia" w:ascii="宋体" w:hAnsi="宋体" w:eastAsia="宋体" w:cs="宋体"/>
          <w:sz w:val="24"/>
          <w:szCs w:val="24"/>
        </w:rPr>
        <w:fldChar w:fldCharType="separate"/>
      </w:r>
      <w:r>
        <w:rPr>
          <w:rFonts w:hint="eastAsia" w:ascii="宋体" w:hAnsi="宋体" w:eastAsia="宋体" w:cs="宋体"/>
          <w:sz w:val="24"/>
          <w:szCs w:val="24"/>
        </w:rPr>
        <w:t>第四章 评标办法及评分标准</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p>
    <w:p w14:paraId="21212F07">
      <w:pPr>
        <w:pStyle w:val="20"/>
        <w:numPr>
          <w:ilvl w:val="0"/>
          <w:numId w:val="7"/>
        </w:numPr>
        <w:adjustRightInd w:val="0"/>
        <w:spacing w:line="360" w:lineRule="auto"/>
        <w:ind w:left="839" w:firstLine="120" w:firstLineChars="5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"_Toc7087" </w:instrText>
      </w:r>
      <w:r>
        <w:rPr>
          <w:rFonts w:hint="eastAsia" w:ascii="宋体" w:hAnsi="宋体" w:eastAsia="宋体" w:cs="宋体"/>
          <w:sz w:val="24"/>
          <w:szCs w:val="24"/>
        </w:rPr>
        <w:fldChar w:fldCharType="separate"/>
      </w:r>
      <w:r>
        <w:rPr>
          <w:rFonts w:hint="eastAsia" w:ascii="宋体" w:hAnsi="宋体" w:eastAsia="宋体" w:cs="宋体"/>
          <w:sz w:val="24"/>
          <w:szCs w:val="24"/>
        </w:rPr>
        <w:t>第五章 合同</w:t>
      </w:r>
      <w:r>
        <w:rPr>
          <w:rFonts w:hint="eastAsia" w:hAnsi="宋体" w:cs="宋体"/>
          <w:sz w:val="24"/>
          <w:szCs w:val="24"/>
          <w:lang w:eastAsia="zh-CN"/>
        </w:rPr>
        <w:t>主要</w:t>
      </w:r>
      <w:r>
        <w:rPr>
          <w:rFonts w:hint="eastAsia" w:ascii="宋体" w:hAnsi="宋体" w:eastAsia="宋体" w:cs="宋体"/>
          <w:sz w:val="24"/>
          <w:szCs w:val="24"/>
        </w:rPr>
        <w:t>格式</w:t>
      </w:r>
      <w:r>
        <w:rPr>
          <w:rFonts w:hint="eastAsia" w:ascii="宋体" w:hAnsi="宋体" w:eastAsia="宋体" w:cs="宋体"/>
          <w:sz w:val="24"/>
          <w:szCs w:val="24"/>
        </w:rPr>
        <w:fldChar w:fldCharType="end"/>
      </w:r>
      <w:r>
        <w:rPr>
          <w:rFonts w:hint="eastAsia" w:hAnsi="宋体" w:cs="宋体"/>
          <w:sz w:val="24"/>
          <w:szCs w:val="24"/>
          <w:lang w:eastAsia="zh-CN"/>
        </w:rPr>
        <w:t>及条款</w:t>
      </w:r>
      <w:r>
        <w:rPr>
          <w:rFonts w:hint="eastAsia" w:ascii="宋体" w:hAnsi="宋体" w:eastAsia="宋体" w:cs="宋体"/>
          <w:sz w:val="24"/>
          <w:szCs w:val="24"/>
          <w:lang w:eastAsia="zh-CN"/>
        </w:rPr>
        <w:t>；</w:t>
      </w:r>
    </w:p>
    <w:p w14:paraId="1B2832C5">
      <w:pPr>
        <w:pStyle w:val="20"/>
        <w:numPr>
          <w:ilvl w:val="0"/>
          <w:numId w:val="7"/>
        </w:numPr>
        <w:adjustRightInd w:val="0"/>
        <w:spacing w:line="360" w:lineRule="auto"/>
        <w:ind w:left="839" w:firstLine="120" w:firstLineChars="5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"_Toc29638" </w:instrText>
      </w:r>
      <w:r>
        <w:rPr>
          <w:rFonts w:hint="eastAsia" w:ascii="宋体" w:hAnsi="宋体" w:eastAsia="宋体" w:cs="宋体"/>
          <w:sz w:val="24"/>
          <w:szCs w:val="24"/>
        </w:rPr>
        <w:fldChar w:fldCharType="separate"/>
      </w:r>
      <w:r>
        <w:rPr>
          <w:rFonts w:hint="eastAsia" w:ascii="宋体" w:hAnsi="宋体" w:eastAsia="宋体" w:cs="宋体"/>
          <w:sz w:val="24"/>
          <w:szCs w:val="24"/>
        </w:rPr>
        <w:t>第六章 投标文件格式/</w:t>
      </w:r>
      <w:r>
        <w:rPr>
          <w:rFonts w:hint="eastAsia" w:ascii="宋体" w:hAnsi="宋体" w:eastAsia="宋体" w:cs="宋体"/>
          <w:sz w:val="24"/>
          <w:szCs w:val="24"/>
        </w:rPr>
        <w:fldChar w:fldCharType="end"/>
      </w:r>
      <w:r>
        <w:rPr>
          <w:rFonts w:hint="eastAsia" w:ascii="宋体" w:hAnsi="宋体" w:eastAsia="宋体" w:cs="宋体"/>
          <w:sz w:val="24"/>
          <w:szCs w:val="24"/>
        </w:rPr>
        <w:t>应提交的有关格式范例</w:t>
      </w:r>
      <w:r>
        <w:rPr>
          <w:rFonts w:hint="eastAsia" w:ascii="宋体" w:hAnsi="宋体" w:eastAsia="宋体" w:cs="宋体"/>
          <w:sz w:val="24"/>
          <w:szCs w:val="24"/>
          <w:lang w:eastAsia="zh-CN"/>
        </w:rPr>
        <w:t>。</w:t>
      </w:r>
    </w:p>
    <w:p w14:paraId="6587C7C0">
      <w:pPr>
        <w:spacing w:line="360" w:lineRule="auto"/>
        <w:ind w:firstLine="480"/>
        <w:rPr>
          <w:rFonts w:hint="eastAsia" w:ascii="宋体" w:hAnsi="宋体" w:eastAsia="宋体" w:cs="宋体"/>
        </w:rPr>
      </w:pPr>
      <w:r>
        <w:rPr>
          <w:rFonts w:hint="eastAsia" w:ascii="宋体" w:hAnsi="宋体" w:eastAsia="宋体" w:cs="宋体"/>
        </w:rPr>
        <w:t>2.与本项目有关的</w:t>
      </w:r>
      <w:r>
        <w:rPr>
          <w:rFonts w:hint="eastAsia" w:ascii="宋体" w:hAnsi="宋体" w:eastAsia="宋体" w:cs="宋体"/>
          <w:bCs/>
        </w:rPr>
        <w:t>澄清或者修改的内容为招标文件的组成部分</w:t>
      </w:r>
      <w:r>
        <w:rPr>
          <w:rFonts w:hint="eastAsia" w:ascii="宋体" w:hAnsi="宋体" w:eastAsia="宋体" w:cs="宋体"/>
        </w:rPr>
        <w:t>。</w:t>
      </w:r>
    </w:p>
    <w:p w14:paraId="7F367B8D">
      <w:pPr>
        <w:bidi w:val="0"/>
        <w:spacing w:line="360" w:lineRule="auto"/>
        <w:ind w:left="0" w:leftChars="0" w:firstLine="0" w:firstLineChars="0"/>
        <w:rPr>
          <w:rFonts w:hint="eastAsia" w:ascii="宋体" w:hAnsi="宋体" w:eastAsia="宋体" w:cs="宋体"/>
          <w:b/>
          <w:szCs w:val="24"/>
        </w:rPr>
      </w:pPr>
      <w:r>
        <w:rPr>
          <w:rFonts w:hint="eastAsia"/>
          <w:b/>
          <w:bCs/>
        </w:rPr>
        <w:t>二、招标文件的澄清、修改</w:t>
      </w:r>
    </w:p>
    <w:p w14:paraId="7FDD7519">
      <w:pPr>
        <w:pStyle w:val="145"/>
        <w:snapToGrid w:val="0"/>
        <w:spacing w:before="0" w:line="360" w:lineRule="auto"/>
        <w:ind w:firstLine="480"/>
        <w:rPr>
          <w:rFonts w:hint="eastAsia" w:ascii="宋体" w:hAnsi="宋体" w:eastAsia="宋体" w:cs="宋体"/>
        </w:rPr>
      </w:pPr>
      <w:r>
        <w:rPr>
          <w:rFonts w:hint="eastAsia" w:ascii="宋体" w:hAnsi="宋体" w:eastAsia="宋体" w:cs="宋体"/>
        </w:rPr>
        <w:t>1.已获取招标文件的潜在投标人，若有问题需要澄清，应于投标截止时间前，以书面形式向招标代理机构提出，招标代理机构与招标人研究后，对认为有必要回答的问题，将以书面解答形式通知所有招标文件收受人。</w:t>
      </w:r>
    </w:p>
    <w:p w14:paraId="291A0178">
      <w:pPr>
        <w:pStyle w:val="145"/>
        <w:snapToGrid w:val="0"/>
        <w:spacing w:before="0" w:line="360" w:lineRule="auto"/>
        <w:ind w:firstLine="480"/>
        <w:rPr>
          <w:rFonts w:hint="eastAsia" w:ascii="宋体" w:hAnsi="宋体" w:eastAsia="宋体" w:cs="宋体"/>
        </w:rPr>
      </w:pPr>
      <w:r>
        <w:rPr>
          <w:rFonts w:hint="eastAsia" w:ascii="宋体" w:hAnsi="宋体" w:eastAsia="宋体" w:cs="宋体"/>
        </w:rPr>
        <w:t>2.招标人或者招标代理机构可以对已发出的招标文件进行必要的澄清或者修改，澄清或者修改</w:t>
      </w:r>
      <w:r>
        <w:rPr>
          <w:rFonts w:hint="eastAsia" w:ascii="宋体" w:hAnsi="宋体" w:cs="宋体"/>
          <w:lang w:eastAsia="zh-CN"/>
        </w:rPr>
        <w:t>应</w:t>
      </w:r>
      <w:r>
        <w:rPr>
          <w:rFonts w:hint="eastAsia" w:ascii="宋体" w:hAnsi="宋体" w:eastAsia="宋体" w:cs="宋体"/>
        </w:rPr>
        <w:t>在原公告发布媒体上发布澄清公告，澄清</w:t>
      </w:r>
      <w:r>
        <w:rPr>
          <w:rFonts w:hint="eastAsia" w:ascii="宋体" w:hAnsi="宋体" w:cs="宋体"/>
          <w:lang w:eastAsia="zh-CN"/>
        </w:rPr>
        <w:t>、</w:t>
      </w:r>
      <w:r>
        <w:rPr>
          <w:rFonts w:hint="eastAsia" w:ascii="宋体" w:hAnsi="宋体" w:eastAsia="宋体" w:cs="宋体"/>
        </w:rPr>
        <w:t>修改的内容为招标文件的组成部分。</w:t>
      </w:r>
    </w:p>
    <w:p w14:paraId="0FCF3992">
      <w:pPr>
        <w:pStyle w:val="145"/>
        <w:snapToGrid w:val="0"/>
        <w:spacing w:before="0" w:line="360" w:lineRule="auto"/>
        <w:ind w:firstLine="480"/>
        <w:rPr>
          <w:rFonts w:hint="eastAsia" w:ascii="宋体" w:hAnsi="宋体" w:eastAsia="宋体" w:cs="宋体"/>
        </w:rPr>
      </w:pPr>
      <w:r>
        <w:rPr>
          <w:rFonts w:hint="eastAsia" w:ascii="宋体" w:hAnsi="宋体" w:eastAsia="宋体" w:cs="宋体"/>
        </w:rPr>
        <w:t>澄清或者修改的内容可能影响投标文件编制的，招标人或者招标代理机构</w:t>
      </w:r>
      <w:r>
        <w:rPr>
          <w:rFonts w:hint="eastAsia" w:ascii="宋体" w:hAnsi="宋体" w:cs="宋体"/>
          <w:lang w:eastAsia="zh-CN"/>
        </w:rPr>
        <w:t>应</w:t>
      </w:r>
      <w:r>
        <w:rPr>
          <w:rFonts w:hint="eastAsia" w:ascii="宋体" w:hAnsi="宋体" w:eastAsia="宋体" w:cs="宋体"/>
        </w:rPr>
        <w:t>在投标截止时间至少15日前，以书面形式通知所有</w:t>
      </w:r>
      <w:r>
        <w:rPr>
          <w:rFonts w:hint="eastAsia" w:ascii="宋体" w:hAnsi="宋体" w:cs="宋体"/>
          <w:lang w:eastAsia="zh-CN"/>
        </w:rPr>
        <w:t>已</w:t>
      </w:r>
      <w:r>
        <w:rPr>
          <w:rFonts w:hint="eastAsia" w:ascii="宋体" w:hAnsi="宋体" w:eastAsia="宋体" w:cs="宋体"/>
        </w:rPr>
        <w:t>获取招标文件的潜在投标人；不足15日的，招标人或者招标代理机构</w:t>
      </w:r>
      <w:r>
        <w:rPr>
          <w:rFonts w:hint="eastAsia" w:ascii="宋体" w:hAnsi="宋体" w:cs="宋体"/>
          <w:lang w:eastAsia="zh-CN"/>
        </w:rPr>
        <w:t>应</w:t>
      </w:r>
      <w:r>
        <w:rPr>
          <w:rFonts w:hint="eastAsia" w:ascii="宋体" w:hAnsi="宋体" w:eastAsia="宋体" w:cs="宋体"/>
        </w:rPr>
        <w:t>顺延提交投标文件的截止时间。</w:t>
      </w:r>
    </w:p>
    <w:p w14:paraId="41C0B819">
      <w:pPr>
        <w:pStyle w:val="145"/>
        <w:snapToGrid w:val="0"/>
        <w:spacing w:before="0" w:line="360" w:lineRule="auto"/>
        <w:ind w:firstLine="480"/>
        <w:rPr>
          <w:rFonts w:hint="eastAsia" w:ascii="宋体" w:hAnsi="宋体" w:eastAsia="宋体" w:cs="宋体"/>
        </w:rPr>
      </w:pPr>
      <w:r>
        <w:rPr>
          <w:rFonts w:hint="eastAsia" w:ascii="宋体" w:hAnsi="宋体" w:eastAsia="宋体" w:cs="宋体"/>
        </w:rPr>
        <w:t>3.招标文件的修改将以书面形式通知所有购买招标文件的投标人，并对其具有约束力。投标人在收到上述通知后，应立即向招标代理机构回函确认。若无书面回函确认，视同投标人已收到招标文件修改的通知，并受其约束。</w:t>
      </w:r>
    </w:p>
    <w:p w14:paraId="347D7E44">
      <w:pPr>
        <w:spacing w:line="360" w:lineRule="auto"/>
        <w:ind w:firstLine="480"/>
        <w:rPr>
          <w:rFonts w:hint="eastAsia" w:ascii="宋体" w:hAnsi="宋体" w:eastAsia="宋体" w:cs="宋体"/>
          <w:b/>
        </w:rPr>
      </w:pPr>
      <w:r>
        <w:rPr>
          <w:rFonts w:hint="eastAsia" w:ascii="宋体" w:hAnsi="宋体" w:eastAsia="宋体" w:cs="宋体"/>
        </w:rPr>
        <w:t>▲</w:t>
      </w:r>
      <w:r>
        <w:rPr>
          <w:rFonts w:hint="eastAsia" w:ascii="宋体" w:hAnsi="宋体" w:eastAsia="宋体" w:cs="宋体"/>
          <w:b/>
        </w:rPr>
        <w:t>投标文件未按招标文件澄清、修改的内容编制，又不符合实质性要求的，投标无效。</w:t>
      </w:r>
    </w:p>
    <w:p w14:paraId="39D152C7">
      <w:pPr>
        <w:pStyle w:val="78"/>
        <w:rPr>
          <w:rFonts w:hint="eastAsia" w:ascii="宋体" w:hAnsi="宋体" w:eastAsia="宋体" w:cs="宋体"/>
          <w:color w:val="auto"/>
        </w:rPr>
      </w:pPr>
    </w:p>
    <w:p w14:paraId="5739BBD4">
      <w:pPr>
        <w:pStyle w:val="4"/>
        <w:spacing w:line="360" w:lineRule="auto"/>
        <w:jc w:val="center"/>
        <w:rPr>
          <w:rFonts w:hint="eastAsia" w:ascii="宋体" w:hAnsi="宋体" w:eastAsia="宋体" w:cs="宋体"/>
          <w:sz w:val="24"/>
          <w:szCs w:val="24"/>
          <w:lang w:eastAsia="zh-CN"/>
        </w:rPr>
      </w:pPr>
      <w:bookmarkStart w:id="52" w:name="_Toc82338241"/>
      <w:bookmarkStart w:id="53" w:name="_Toc1096"/>
      <w:bookmarkStart w:id="54" w:name="_Toc82873324"/>
      <w:bookmarkStart w:id="55" w:name="_Toc450840075"/>
      <w:bookmarkStart w:id="56" w:name="_Toc204"/>
      <w:r>
        <w:rPr>
          <w:rFonts w:hint="eastAsia" w:ascii="宋体" w:hAnsi="宋体" w:eastAsia="宋体" w:cs="宋体"/>
          <w:sz w:val="24"/>
          <w:szCs w:val="24"/>
        </w:rPr>
        <w:t xml:space="preserve">第三节 </w:t>
      </w:r>
      <w:r>
        <w:rPr>
          <w:rFonts w:hint="eastAsia" w:ascii="宋体" w:hAnsi="宋体" w:cs="宋体"/>
          <w:sz w:val="24"/>
          <w:szCs w:val="24"/>
          <w:lang w:val="en-US" w:eastAsia="zh-CN"/>
        </w:rPr>
        <w:t xml:space="preserve"> </w:t>
      </w:r>
      <w:r>
        <w:rPr>
          <w:rFonts w:hint="eastAsia" w:ascii="宋体" w:hAnsi="宋体" w:eastAsia="宋体" w:cs="宋体"/>
          <w:sz w:val="24"/>
          <w:szCs w:val="24"/>
        </w:rPr>
        <w:t>投标文件</w:t>
      </w:r>
      <w:bookmarkEnd w:id="52"/>
      <w:bookmarkEnd w:id="53"/>
      <w:bookmarkEnd w:id="54"/>
      <w:bookmarkEnd w:id="55"/>
      <w:bookmarkEnd w:id="56"/>
    </w:p>
    <w:p w14:paraId="176B9923">
      <w:pPr>
        <w:bidi w:val="0"/>
        <w:spacing w:line="360" w:lineRule="auto"/>
        <w:ind w:left="0" w:leftChars="0" w:firstLine="0" w:firstLineChars="0"/>
        <w:rPr>
          <w:rFonts w:hint="eastAsia" w:ascii="宋体" w:hAnsi="宋体" w:eastAsia="宋体" w:cs="宋体"/>
          <w:szCs w:val="24"/>
        </w:rPr>
      </w:pPr>
      <w:r>
        <w:rPr>
          <w:rFonts w:hint="eastAsia"/>
          <w:b/>
          <w:bCs/>
        </w:rPr>
        <w:t>一、投标文件语言和计量单位</w:t>
      </w:r>
    </w:p>
    <w:p w14:paraId="3D71BE50">
      <w:pPr>
        <w:spacing w:line="360" w:lineRule="auto"/>
        <w:ind w:firstLine="480" w:firstLineChars="200"/>
        <w:rPr>
          <w:rFonts w:hint="eastAsia" w:ascii="宋体" w:hAnsi="宋体" w:eastAsia="宋体" w:cs="宋体"/>
          <w:sz w:val="24"/>
          <w:szCs w:val="24"/>
        </w:rPr>
      </w:pPr>
      <w:r>
        <w:rPr>
          <w:rFonts w:hint="eastAsia" w:ascii="宋体" w:hAnsi="宋体" w:eastAsia="宋体" w:cs="宋体"/>
        </w:rPr>
        <w:t>1.</w:t>
      </w:r>
      <w:r>
        <w:rPr>
          <w:rFonts w:hint="eastAsia" w:cs="宋体"/>
          <w:sz w:val="24"/>
          <w:szCs w:val="24"/>
        </w:rPr>
        <w:t>投标文件以及供应商与</w:t>
      </w:r>
      <w:r>
        <w:rPr>
          <w:rFonts w:hint="eastAsia" w:cs="宋体"/>
          <w:sz w:val="24"/>
          <w:szCs w:val="24"/>
          <w:lang w:eastAsia="zh-CN"/>
        </w:rPr>
        <w:t>招标人</w:t>
      </w:r>
      <w:r>
        <w:rPr>
          <w:rFonts w:hint="eastAsia" w:cs="宋体"/>
          <w:sz w:val="24"/>
          <w:szCs w:val="24"/>
        </w:rPr>
        <w:t>就有关投标事宜的来往函电，均应以中文书写。</w:t>
      </w:r>
      <w:r>
        <w:rPr>
          <w:rFonts w:hint="eastAsia" w:ascii="宋体" w:hAnsi="宋体" w:eastAsia="宋体" w:cs="宋体"/>
          <w:sz w:val="24"/>
          <w:szCs w:val="24"/>
        </w:rPr>
        <w:t>投标文件中所附或所引用的原件不是中文时，应附中文译本。</w:t>
      </w:r>
    </w:p>
    <w:p w14:paraId="2A23E93F">
      <w:pPr>
        <w:spacing w:line="360" w:lineRule="auto"/>
        <w:ind w:firstLine="480"/>
        <w:rPr>
          <w:rFonts w:hint="eastAsia" w:ascii="宋体" w:hAnsi="宋体" w:eastAsia="宋体" w:cs="宋体"/>
        </w:rPr>
      </w:pPr>
      <w:r>
        <w:rPr>
          <w:rFonts w:hint="eastAsia" w:ascii="宋体" w:hAnsi="宋体" w:eastAsia="宋体" w:cs="宋体"/>
        </w:rPr>
        <w:t>2.投标文件中所使用的计量单位，除招标文件中有特殊要求外，</w:t>
      </w:r>
      <w:r>
        <w:rPr>
          <w:rFonts w:hint="eastAsia" w:cs="宋体"/>
          <w:lang w:eastAsia="zh-CN"/>
        </w:rPr>
        <w:t>均</w:t>
      </w:r>
      <w:r>
        <w:rPr>
          <w:rFonts w:hint="eastAsia" w:ascii="宋体" w:hAnsi="宋体" w:eastAsia="宋体" w:cs="宋体"/>
        </w:rPr>
        <w:t>应采用国家法定计量单位。</w:t>
      </w:r>
    </w:p>
    <w:p w14:paraId="4DA9F853">
      <w:pPr>
        <w:bidi w:val="0"/>
        <w:spacing w:line="360" w:lineRule="auto"/>
        <w:ind w:left="0" w:leftChars="0" w:firstLine="0" w:firstLineChars="0"/>
        <w:rPr>
          <w:rFonts w:hint="eastAsia" w:ascii="宋体" w:hAnsi="宋体" w:eastAsia="宋体" w:cs="宋体"/>
          <w:szCs w:val="24"/>
        </w:rPr>
      </w:pPr>
      <w:r>
        <w:rPr>
          <w:rFonts w:hint="eastAsia"/>
          <w:b/>
          <w:bCs/>
        </w:rPr>
        <w:t>二、投标文件的组成</w:t>
      </w:r>
    </w:p>
    <w:p w14:paraId="6C100DCF">
      <w:pPr>
        <w:spacing w:line="360" w:lineRule="auto"/>
        <w:ind w:left="0" w:leftChars="0" w:firstLine="480" w:firstLineChars="200"/>
        <w:rPr>
          <w:rFonts w:hint="eastAsia" w:cs="宋体"/>
          <w:sz w:val="24"/>
          <w:szCs w:val="24"/>
          <w:lang w:eastAsia="zh-CN"/>
        </w:rPr>
      </w:pPr>
      <w:r>
        <w:rPr>
          <w:rFonts w:hint="eastAsia" w:cs="宋体"/>
          <w:sz w:val="24"/>
          <w:szCs w:val="24"/>
        </w:rPr>
        <w:t>投标文件由《资格文件》、《</w:t>
      </w:r>
      <w:r>
        <w:rPr>
          <w:rFonts w:hint="eastAsia" w:cs="宋体"/>
          <w:sz w:val="24"/>
          <w:szCs w:val="24"/>
          <w:lang w:eastAsia="zh-CN"/>
        </w:rPr>
        <w:t>商务技术</w:t>
      </w:r>
      <w:r>
        <w:rPr>
          <w:rFonts w:hint="eastAsia" w:cs="宋体"/>
          <w:sz w:val="24"/>
          <w:szCs w:val="24"/>
        </w:rPr>
        <w:t>文件》和《报价文件》</w:t>
      </w:r>
      <w:r>
        <w:rPr>
          <w:rFonts w:hint="eastAsia" w:cs="宋体"/>
          <w:sz w:val="24"/>
          <w:szCs w:val="24"/>
          <w:lang w:eastAsia="zh-CN"/>
        </w:rPr>
        <w:t>三部分</w:t>
      </w:r>
      <w:r>
        <w:rPr>
          <w:rFonts w:hint="eastAsia" w:cs="宋体"/>
          <w:sz w:val="24"/>
          <w:szCs w:val="24"/>
        </w:rPr>
        <w:t>组成</w:t>
      </w:r>
      <w:r>
        <w:rPr>
          <w:rFonts w:hint="eastAsia" w:cs="宋体"/>
          <w:sz w:val="24"/>
          <w:szCs w:val="24"/>
          <w:lang w:eastAsia="zh-CN"/>
        </w:rPr>
        <w:t>。</w:t>
      </w:r>
    </w:p>
    <w:p w14:paraId="4669269D">
      <w:pPr>
        <w:bidi w:val="0"/>
        <w:spacing w:line="360" w:lineRule="auto"/>
        <w:rPr>
          <w:rFonts w:hint="eastAsia" w:eastAsia="宋体"/>
          <w:lang w:val="en-US" w:eastAsia="zh-CN"/>
        </w:rPr>
      </w:pPr>
      <w:r>
        <w:rPr>
          <w:rFonts w:hint="eastAsia"/>
          <w:b/>
          <w:bCs/>
        </w:rPr>
        <w:t>每个</w:t>
      </w:r>
      <w:r>
        <w:rPr>
          <w:rFonts w:hint="eastAsia"/>
          <w:b/>
          <w:bCs/>
          <w:lang w:eastAsia="zh-CN"/>
        </w:rPr>
        <w:t>部分</w:t>
      </w:r>
      <w:r>
        <w:rPr>
          <w:rFonts w:hint="eastAsia"/>
          <w:b/>
          <w:bCs/>
        </w:rPr>
        <w:t>的投标文件需要分别制作、上传、提交</w:t>
      </w:r>
      <w:r>
        <w:rPr>
          <w:rFonts w:hint="eastAsia"/>
          <w:b/>
          <w:bCs/>
          <w:lang w:eastAsia="zh-CN"/>
        </w:rPr>
        <w:t>。</w:t>
      </w:r>
    </w:p>
    <w:p w14:paraId="153EF3B5">
      <w:pPr>
        <w:spacing w:line="360" w:lineRule="auto"/>
        <w:ind w:firstLine="0" w:firstLineChars="0"/>
        <w:rPr>
          <w:rFonts w:hint="eastAsia" w:ascii="宋体" w:hAnsi="宋体" w:eastAsia="宋体" w:cs="宋体"/>
        </w:rPr>
      </w:pPr>
      <w:r>
        <w:rPr>
          <w:rFonts w:hint="eastAsia" w:ascii="宋体" w:hAnsi="宋体" w:eastAsia="宋体" w:cs="宋体"/>
          <w:b/>
          <w:bCs/>
        </w:rPr>
        <w:t>（一）</w:t>
      </w:r>
      <w:r>
        <w:rPr>
          <w:rFonts w:hint="eastAsia" w:cs="宋体"/>
          <w:b/>
          <w:bCs/>
          <w:lang w:eastAsia="zh-CN"/>
        </w:rPr>
        <w:t>《</w:t>
      </w:r>
      <w:r>
        <w:rPr>
          <w:rFonts w:hint="eastAsia" w:ascii="宋体" w:hAnsi="宋体" w:eastAsia="宋体" w:cs="宋体"/>
          <w:b/>
          <w:bCs/>
        </w:rPr>
        <w:t>资格</w:t>
      </w:r>
      <w:r>
        <w:rPr>
          <w:rFonts w:hint="eastAsia" w:cs="宋体"/>
          <w:b/>
          <w:bCs/>
          <w:lang w:eastAsia="zh-CN"/>
        </w:rPr>
        <w:t>文件》</w:t>
      </w:r>
      <w:r>
        <w:rPr>
          <w:rFonts w:hint="eastAsia" w:ascii="宋体" w:hAnsi="宋体" w:eastAsia="宋体" w:cs="宋体"/>
          <w:b/>
          <w:bCs/>
        </w:rPr>
        <w:t>：</w:t>
      </w:r>
    </w:p>
    <w:p w14:paraId="59769620">
      <w:pPr>
        <w:numPr>
          <w:ilvl w:val="0"/>
          <w:numId w:val="0"/>
        </w:numPr>
        <w:spacing w:line="360" w:lineRule="auto"/>
        <w:ind w:firstLine="480" w:firstLineChars="200"/>
        <w:rPr>
          <w:rFonts w:hint="default" w:cs="宋体"/>
          <w:lang w:val="en-US" w:eastAsia="zh-CN"/>
        </w:rPr>
      </w:pPr>
      <w:r>
        <w:rPr>
          <w:rFonts w:hint="eastAsia" w:cs="宋体"/>
          <w:lang w:val="en-US" w:eastAsia="zh-CN"/>
        </w:rPr>
        <w:t>1.投标声明书；（附件一）</w:t>
      </w:r>
    </w:p>
    <w:p w14:paraId="0A1928B9">
      <w:pPr>
        <w:numPr>
          <w:ilvl w:val="0"/>
          <w:numId w:val="0"/>
        </w:numPr>
        <w:spacing w:line="360" w:lineRule="auto"/>
        <w:ind w:firstLine="480" w:firstLineChars="200"/>
        <w:rPr>
          <w:rFonts w:hint="default" w:cs="宋体"/>
          <w:lang w:val="en-US" w:eastAsia="zh-CN"/>
        </w:rPr>
      </w:pPr>
      <w:r>
        <w:rPr>
          <w:rFonts w:hint="eastAsia" w:cs="宋体"/>
          <w:lang w:val="en-US" w:eastAsia="zh-CN"/>
        </w:rPr>
        <w:t>2.</w:t>
      </w:r>
      <w:r>
        <w:rPr>
          <w:rFonts w:hint="eastAsia" w:ascii="宋体" w:hAnsi="宋体" w:eastAsia="宋体" w:cs="宋体"/>
        </w:rPr>
        <w:t>有效的</w:t>
      </w:r>
      <w:r>
        <w:rPr>
          <w:rFonts w:hint="eastAsia" w:cs="宋体"/>
          <w:lang w:eastAsia="zh-CN"/>
        </w:rPr>
        <w:t>营业</w:t>
      </w:r>
      <w:r>
        <w:rPr>
          <w:rFonts w:hint="eastAsia" w:ascii="宋体" w:hAnsi="宋体" w:eastAsia="宋体" w:cs="宋体"/>
        </w:rPr>
        <w:t>执照</w:t>
      </w:r>
      <w:r>
        <w:rPr>
          <w:rFonts w:hint="eastAsia" w:ascii="宋体" w:hAnsi="宋体" w:eastAsia="宋体" w:cs="宋体"/>
          <w:lang w:eastAsia="zh-CN"/>
        </w:rPr>
        <w:t>副本；（扫描件一份）</w:t>
      </w:r>
    </w:p>
    <w:p w14:paraId="30D997E8">
      <w:pPr>
        <w:numPr>
          <w:ilvl w:val="0"/>
          <w:numId w:val="0"/>
        </w:numPr>
        <w:spacing w:line="360" w:lineRule="auto"/>
        <w:ind w:firstLine="480" w:firstLineChars="200"/>
        <w:rPr>
          <w:rFonts w:hint="eastAsia" w:eastAsia="宋体" w:cs="宋体"/>
          <w:lang w:val="en-US" w:eastAsia="zh-CN"/>
        </w:rPr>
      </w:pPr>
      <w:r>
        <w:rPr>
          <w:rFonts w:hint="eastAsia" w:cs="宋体"/>
          <w:lang w:val="en-US" w:eastAsia="zh-CN"/>
        </w:rPr>
        <w:t>3.</w:t>
      </w:r>
      <w:r>
        <w:rPr>
          <w:rFonts w:hint="eastAsia" w:ascii="宋体" w:hAnsi="宋体" w:eastAsia="宋体" w:cs="宋体"/>
        </w:rPr>
        <w:t>符合参加政府采购活动应当具备的一般条件的承诺函</w:t>
      </w:r>
      <w:r>
        <w:rPr>
          <w:rFonts w:hint="eastAsia" w:cs="宋体"/>
          <w:lang w:eastAsia="zh-CN"/>
        </w:rPr>
        <w:t>；（附件二）</w:t>
      </w:r>
    </w:p>
    <w:p w14:paraId="15227C95">
      <w:pPr>
        <w:numPr>
          <w:ilvl w:val="0"/>
          <w:numId w:val="0"/>
        </w:numPr>
        <w:spacing w:line="360" w:lineRule="auto"/>
        <w:ind w:firstLine="480" w:firstLineChars="200"/>
        <w:rPr>
          <w:rFonts w:hint="default" w:cs="宋体"/>
          <w:lang w:val="en-US" w:eastAsia="zh-CN"/>
        </w:rPr>
      </w:pPr>
      <w:r>
        <w:rPr>
          <w:rFonts w:hint="eastAsia" w:cs="宋体"/>
          <w:lang w:val="en-US" w:eastAsia="zh-CN"/>
        </w:rPr>
        <w:t>4.</w:t>
      </w:r>
      <w:r>
        <w:rPr>
          <w:rFonts w:hint="eastAsia" w:ascii="宋体" w:hAnsi="宋体"/>
          <w:sz w:val="24"/>
        </w:rPr>
        <w:t>投标人</w:t>
      </w:r>
      <w:r>
        <w:rPr>
          <w:rFonts w:hint="eastAsia" w:ascii="宋体" w:hAnsi="宋体"/>
          <w:sz w:val="24"/>
          <w:lang w:eastAsia="zh-CN"/>
        </w:rPr>
        <w:t>股权信息表；（附件三）</w:t>
      </w:r>
    </w:p>
    <w:p w14:paraId="7C9737E7">
      <w:pPr>
        <w:numPr>
          <w:ilvl w:val="0"/>
          <w:numId w:val="0"/>
        </w:numPr>
        <w:bidi w:val="0"/>
        <w:spacing w:line="360" w:lineRule="auto"/>
        <w:ind w:firstLine="480" w:firstLineChars="200"/>
        <w:rPr>
          <w:rFonts w:hint="eastAsia" w:eastAsia="宋体"/>
          <w:lang w:val="en-US" w:eastAsia="zh-CN"/>
        </w:rPr>
      </w:pPr>
      <w:r>
        <w:rPr>
          <w:rFonts w:hint="eastAsia"/>
          <w:lang w:val="en-US" w:eastAsia="zh-CN"/>
        </w:rPr>
        <w:t>5.</w:t>
      </w:r>
      <w:r>
        <w:rPr>
          <w:rFonts w:hint="eastAsia" w:cs="宋体"/>
          <w:b w:val="0"/>
          <w:bCs w:val="0"/>
          <w:sz w:val="24"/>
          <w:szCs w:val="24"/>
        </w:rPr>
        <w:t>法定代表人</w:t>
      </w:r>
      <w:r>
        <w:rPr>
          <w:rFonts w:hint="eastAsia" w:cs="宋体"/>
          <w:b w:val="0"/>
          <w:bCs w:val="0"/>
          <w:sz w:val="24"/>
          <w:szCs w:val="24"/>
          <w:lang w:eastAsia="zh-CN"/>
        </w:rPr>
        <w:t>有效身份</w:t>
      </w:r>
      <w:r>
        <w:rPr>
          <w:rFonts w:hint="eastAsia" w:cs="宋体"/>
          <w:b w:val="0"/>
          <w:bCs w:val="0"/>
          <w:sz w:val="24"/>
          <w:szCs w:val="24"/>
        </w:rPr>
        <w:t>证明书和法定代表人授权委托书（投标人的代表若为非法定代表人的，必须提交法定代表人授权</w:t>
      </w:r>
      <w:r>
        <w:rPr>
          <w:rFonts w:hint="eastAsia" w:cs="宋体"/>
          <w:b w:val="0"/>
          <w:bCs w:val="0"/>
          <w:sz w:val="24"/>
          <w:szCs w:val="24"/>
          <w:lang w:eastAsia="zh-CN"/>
        </w:rPr>
        <w:t>委托</w:t>
      </w:r>
      <w:r>
        <w:rPr>
          <w:rFonts w:hint="eastAsia" w:cs="宋体"/>
          <w:b w:val="0"/>
          <w:bCs w:val="0"/>
          <w:sz w:val="24"/>
          <w:szCs w:val="24"/>
        </w:rPr>
        <w:t>书</w:t>
      </w:r>
      <w:r>
        <w:rPr>
          <w:rFonts w:hint="eastAsia" w:cs="宋体"/>
          <w:b w:val="0"/>
          <w:bCs w:val="0"/>
          <w:sz w:val="24"/>
          <w:szCs w:val="24"/>
          <w:lang w:eastAsia="zh-CN"/>
        </w:rPr>
        <w:t>、授权代表</w:t>
      </w:r>
      <w:r>
        <w:rPr>
          <w:rFonts w:hint="eastAsia" w:cs="宋体"/>
          <w:b w:val="0"/>
          <w:bCs w:val="0"/>
          <w:sz w:val="24"/>
          <w:szCs w:val="24"/>
        </w:rPr>
        <w:t>身份证复印件、授权</w:t>
      </w:r>
      <w:r>
        <w:rPr>
          <w:rFonts w:hint="eastAsia" w:cs="宋体"/>
          <w:b w:val="0"/>
          <w:bCs w:val="0"/>
          <w:sz w:val="24"/>
          <w:szCs w:val="24"/>
          <w:lang w:eastAsia="zh-CN"/>
        </w:rPr>
        <w:t>代表</w:t>
      </w:r>
      <w:r>
        <w:rPr>
          <w:rFonts w:hint="eastAsia" w:cs="宋体"/>
          <w:b w:val="0"/>
          <w:bCs w:val="0"/>
          <w:sz w:val="24"/>
          <w:szCs w:val="24"/>
        </w:rPr>
        <w:t>社保证明（提供近</w:t>
      </w:r>
      <w:r>
        <w:rPr>
          <w:rFonts w:hint="eastAsia" w:cs="宋体"/>
          <w:b w:val="0"/>
          <w:bCs w:val="0"/>
          <w:sz w:val="24"/>
          <w:szCs w:val="24"/>
          <w:lang w:eastAsia="zh-CN"/>
        </w:rPr>
        <w:t>三个月</w:t>
      </w:r>
      <w:r>
        <w:rPr>
          <w:rFonts w:hint="eastAsia" w:cs="宋体"/>
          <w:b w:val="0"/>
          <w:bCs w:val="0"/>
          <w:sz w:val="24"/>
          <w:szCs w:val="24"/>
        </w:rPr>
        <w:t>任意一</w:t>
      </w:r>
      <w:r>
        <w:rPr>
          <w:rFonts w:hint="eastAsia" w:cs="宋体"/>
          <w:b w:val="0"/>
          <w:bCs w:val="0"/>
          <w:sz w:val="24"/>
          <w:szCs w:val="24"/>
          <w:lang w:eastAsia="zh-CN"/>
        </w:rPr>
        <w:t>个</w:t>
      </w:r>
      <w:r>
        <w:rPr>
          <w:rFonts w:hint="eastAsia" w:cs="宋体"/>
          <w:b w:val="0"/>
          <w:bCs w:val="0"/>
          <w:sz w:val="24"/>
          <w:szCs w:val="24"/>
        </w:rPr>
        <w:t>月的社保缴纳证明）</w:t>
      </w:r>
      <w:r>
        <w:rPr>
          <w:rFonts w:hint="eastAsia" w:cs="宋体"/>
          <w:b w:val="0"/>
          <w:bCs w:val="0"/>
          <w:sz w:val="24"/>
          <w:szCs w:val="24"/>
          <w:lang w:eastAsia="zh-CN"/>
        </w:rPr>
        <w:t>；（附件四）</w:t>
      </w:r>
    </w:p>
    <w:p w14:paraId="67E5B2CE">
      <w:pPr>
        <w:numPr>
          <w:ilvl w:val="0"/>
          <w:numId w:val="0"/>
        </w:numPr>
        <w:bidi w:val="0"/>
        <w:spacing w:line="360" w:lineRule="auto"/>
        <w:ind w:firstLine="480" w:firstLineChars="200"/>
        <w:rPr>
          <w:rFonts w:hint="default"/>
          <w:lang w:val="en-US" w:eastAsia="zh-CN"/>
        </w:rPr>
      </w:pPr>
      <w:r>
        <w:rPr>
          <w:rFonts w:hint="eastAsia"/>
          <w:lang w:val="en-US" w:eastAsia="zh-CN"/>
        </w:rPr>
        <w:t>6.廉政承诺书；（附件五）</w:t>
      </w:r>
    </w:p>
    <w:p w14:paraId="548453A8">
      <w:pPr>
        <w:numPr>
          <w:ilvl w:val="0"/>
          <w:numId w:val="0"/>
        </w:numPr>
        <w:bidi w:val="0"/>
        <w:spacing w:line="360" w:lineRule="auto"/>
        <w:ind w:firstLine="480" w:firstLineChars="200"/>
        <w:rPr>
          <w:rFonts w:hint="eastAsia" w:eastAsia="宋体"/>
          <w:lang w:val="en-US" w:eastAsia="zh-CN"/>
        </w:rPr>
      </w:pPr>
      <w:r>
        <w:rPr>
          <w:rFonts w:hint="eastAsia"/>
          <w:lang w:val="en-US" w:eastAsia="zh-CN"/>
        </w:rPr>
        <w:t>7.中小企业声明函或监狱企业、</w:t>
      </w:r>
      <w:r>
        <w:rPr>
          <w:rFonts w:hint="eastAsia" w:ascii="宋体" w:hAnsi="宋体" w:eastAsia="宋体" w:cs="宋体"/>
        </w:rPr>
        <w:t>残疾人福利性单位声明函</w:t>
      </w:r>
      <w:r>
        <w:rPr>
          <w:rFonts w:hint="eastAsia" w:cs="宋体"/>
          <w:lang w:eastAsia="zh-CN"/>
        </w:rPr>
        <w:t>。（附件六）</w:t>
      </w:r>
    </w:p>
    <w:p w14:paraId="4ADCA018">
      <w:pPr>
        <w:spacing w:line="360" w:lineRule="auto"/>
        <w:ind w:firstLine="0" w:firstLineChars="0"/>
        <w:rPr>
          <w:rFonts w:hint="eastAsia" w:ascii="宋体" w:hAnsi="宋体" w:eastAsia="宋体" w:cs="宋体"/>
          <w:b/>
          <w:bCs/>
        </w:rPr>
      </w:pPr>
      <w:r>
        <w:rPr>
          <w:rFonts w:hint="eastAsia" w:ascii="宋体" w:hAnsi="宋体" w:eastAsia="宋体" w:cs="宋体"/>
          <w:b/>
          <w:bCs/>
        </w:rPr>
        <w:t>（二）</w:t>
      </w:r>
      <w:r>
        <w:rPr>
          <w:rFonts w:hint="eastAsia" w:cs="宋体"/>
          <w:b/>
          <w:bCs/>
          <w:lang w:eastAsia="zh-CN"/>
        </w:rPr>
        <w:t>《商务</w:t>
      </w:r>
      <w:r>
        <w:rPr>
          <w:rFonts w:hint="eastAsia" w:ascii="宋体" w:hAnsi="宋体" w:eastAsia="宋体" w:cs="宋体"/>
          <w:b/>
          <w:bCs/>
        </w:rPr>
        <w:t>技术</w:t>
      </w:r>
      <w:r>
        <w:rPr>
          <w:rFonts w:hint="eastAsia" w:cs="宋体"/>
          <w:b/>
          <w:bCs/>
          <w:lang w:eastAsia="zh-CN"/>
        </w:rPr>
        <w:t>文件》</w:t>
      </w:r>
      <w:r>
        <w:rPr>
          <w:rFonts w:hint="eastAsia" w:ascii="宋体" w:hAnsi="宋体" w:eastAsia="宋体" w:cs="宋体"/>
          <w:b/>
          <w:bCs/>
        </w:rPr>
        <w:t>：</w:t>
      </w:r>
    </w:p>
    <w:p w14:paraId="74416416">
      <w:pPr>
        <w:numPr>
          <w:ilvl w:val="0"/>
          <w:numId w:val="0"/>
        </w:numPr>
        <w:spacing w:line="360" w:lineRule="auto"/>
        <w:ind w:firstLine="480" w:firstLineChars="200"/>
        <w:rPr>
          <w:rFonts w:hint="eastAsia" w:cs="宋体"/>
          <w:highlight w:val="none"/>
        </w:rPr>
      </w:pPr>
      <w:r>
        <w:rPr>
          <w:rFonts w:hint="eastAsia" w:cs="宋体"/>
          <w:highlight w:val="none"/>
          <w:lang w:val="en-US" w:eastAsia="zh-CN"/>
        </w:rPr>
        <w:t>1.</w:t>
      </w:r>
      <w:r>
        <w:rPr>
          <w:rFonts w:hint="eastAsia" w:cs="宋体"/>
          <w:highlight w:val="none"/>
          <w:lang w:eastAsia="zh-CN"/>
        </w:rPr>
        <w:t>评分索引表；（附件七）</w:t>
      </w:r>
    </w:p>
    <w:p w14:paraId="352111C1">
      <w:pPr>
        <w:numPr>
          <w:ilvl w:val="0"/>
          <w:numId w:val="0"/>
        </w:numPr>
        <w:spacing w:line="360" w:lineRule="auto"/>
        <w:ind w:firstLine="480" w:firstLineChars="200"/>
        <w:rPr>
          <w:rFonts w:hint="default" w:cs="宋体"/>
          <w:highlight w:val="none"/>
          <w:lang w:val="en-US" w:eastAsia="zh-CN"/>
        </w:rPr>
      </w:pPr>
      <w:r>
        <w:rPr>
          <w:rFonts w:hint="eastAsia" w:cs="宋体"/>
          <w:highlight w:val="none"/>
          <w:lang w:val="en-US" w:eastAsia="zh-CN"/>
        </w:rPr>
        <w:t>2.商务偏离表；（附件八）</w:t>
      </w:r>
    </w:p>
    <w:p w14:paraId="319F9B5D">
      <w:pPr>
        <w:numPr>
          <w:ilvl w:val="0"/>
          <w:numId w:val="0"/>
        </w:numPr>
        <w:spacing w:line="360" w:lineRule="auto"/>
        <w:ind w:firstLine="480" w:firstLineChars="200"/>
        <w:rPr>
          <w:rFonts w:hint="default" w:cs="宋体"/>
          <w:highlight w:val="none"/>
          <w:lang w:val="en-US" w:eastAsia="zh-CN"/>
        </w:rPr>
      </w:pPr>
      <w:r>
        <w:rPr>
          <w:rFonts w:hint="eastAsia" w:cs="宋体"/>
          <w:highlight w:val="none"/>
          <w:lang w:val="en-US" w:eastAsia="zh-CN"/>
        </w:rPr>
        <w:t>3.</w:t>
      </w:r>
      <w:r>
        <w:rPr>
          <w:rFonts w:hint="eastAsia" w:asciiTheme="minorEastAsia" w:hAnsiTheme="minorEastAsia" w:eastAsiaTheme="minorEastAsia" w:cstheme="minorEastAsia"/>
          <w:b w:val="0"/>
          <w:bCs w:val="0"/>
          <w:color w:val="auto"/>
          <w:kern w:val="0"/>
          <w:sz w:val="24"/>
          <w:szCs w:val="24"/>
          <w:highlight w:val="none"/>
        </w:rPr>
        <w:t>技术</w:t>
      </w:r>
      <w:r>
        <w:rPr>
          <w:rFonts w:hint="eastAsia" w:asciiTheme="minorEastAsia" w:hAnsiTheme="minorEastAsia" w:eastAsiaTheme="minorEastAsia" w:cstheme="minorEastAsia"/>
          <w:b w:val="0"/>
          <w:bCs w:val="0"/>
          <w:color w:val="auto"/>
          <w:kern w:val="0"/>
          <w:sz w:val="24"/>
          <w:szCs w:val="24"/>
          <w:highlight w:val="none"/>
          <w:lang w:eastAsia="zh-CN"/>
        </w:rPr>
        <w:t>指标响应程度（</w:t>
      </w:r>
      <w:r>
        <w:rPr>
          <w:rFonts w:hint="eastAsia" w:asciiTheme="minorEastAsia" w:hAnsiTheme="minorEastAsia" w:eastAsiaTheme="minorEastAsia" w:cstheme="minorEastAsia"/>
          <w:kern w:val="0"/>
        </w:rPr>
        <w:t>以技术规范偏离表</w:t>
      </w:r>
      <w:r>
        <w:rPr>
          <w:rFonts w:cs="宋体"/>
          <w:b w:val="0"/>
          <w:bCs/>
          <w:highlight w:val="none"/>
        </w:rPr>
        <w:t>和技术证明材料</w:t>
      </w:r>
      <w:r>
        <w:rPr>
          <w:rFonts w:hint="eastAsia" w:asciiTheme="minorEastAsia" w:hAnsiTheme="minorEastAsia" w:eastAsiaTheme="minorEastAsia" w:cstheme="minorEastAsia"/>
          <w:kern w:val="0"/>
        </w:rPr>
        <w:t>为评审依据</w:t>
      </w:r>
      <w:r>
        <w:rPr>
          <w:rFonts w:hint="eastAsia" w:asciiTheme="minorEastAsia" w:hAnsiTheme="minorEastAsia" w:eastAsiaTheme="minorEastAsia" w:cstheme="minorEastAsia"/>
          <w:b w:val="0"/>
          <w:bCs w:val="0"/>
          <w:color w:val="auto"/>
          <w:kern w:val="0"/>
          <w:sz w:val="24"/>
          <w:szCs w:val="24"/>
          <w:highlight w:val="none"/>
          <w:lang w:eastAsia="zh-CN"/>
        </w:rPr>
        <w:t>）；</w:t>
      </w:r>
      <w:r>
        <w:rPr>
          <w:rFonts w:hint="eastAsia" w:cs="宋体"/>
          <w:highlight w:val="none"/>
          <w:lang w:val="en-US" w:eastAsia="zh-CN"/>
        </w:rPr>
        <w:t>（附件九）</w:t>
      </w:r>
    </w:p>
    <w:p w14:paraId="39B97B20">
      <w:pPr>
        <w:numPr>
          <w:ilvl w:val="0"/>
          <w:numId w:val="0"/>
        </w:numPr>
        <w:spacing w:line="360" w:lineRule="auto"/>
        <w:ind w:firstLine="480" w:firstLineChars="200"/>
        <w:rPr>
          <w:rFonts w:hint="default" w:eastAsia="宋体" w:cs="宋体"/>
          <w:highlight w:val="none"/>
          <w:lang w:val="en-US" w:eastAsia="zh-CN"/>
        </w:rPr>
      </w:pPr>
      <w:r>
        <w:rPr>
          <w:rFonts w:hint="eastAsia" w:cs="宋体"/>
          <w:highlight w:val="none"/>
          <w:lang w:val="en-US" w:eastAsia="zh-CN"/>
        </w:rPr>
        <w:t>4.</w:t>
      </w:r>
      <w:r>
        <w:rPr>
          <w:rFonts w:hint="eastAsia" w:asciiTheme="minorEastAsia" w:hAnsiTheme="minorEastAsia" w:eastAsiaTheme="minorEastAsia" w:cstheme="minorEastAsia"/>
          <w:b w:val="0"/>
          <w:bCs w:val="0"/>
          <w:color w:val="auto"/>
          <w:kern w:val="2"/>
          <w:sz w:val="24"/>
          <w:szCs w:val="24"/>
          <w:highlight w:val="none"/>
          <w:lang w:val="en-US" w:eastAsia="zh-CN" w:bidi="ar-SA"/>
        </w:rPr>
        <w:t>项目实施方案</w:t>
      </w:r>
      <w:r>
        <w:rPr>
          <w:rFonts w:hint="eastAsia" w:cs="宋体"/>
          <w:highlight w:val="none"/>
          <w:lang w:val="en-US" w:eastAsia="zh-CN"/>
        </w:rPr>
        <w:t>；</w:t>
      </w:r>
    </w:p>
    <w:p w14:paraId="63631B06">
      <w:pPr>
        <w:numPr>
          <w:ilvl w:val="0"/>
          <w:numId w:val="0"/>
        </w:numPr>
        <w:spacing w:line="360" w:lineRule="auto"/>
        <w:ind w:leftChars="200"/>
        <w:rPr>
          <w:rFonts w:hint="default" w:cs="宋体"/>
          <w:highlight w:val="none"/>
          <w:lang w:val="en-US" w:eastAsia="zh-CN"/>
        </w:rPr>
      </w:pPr>
      <w:r>
        <w:rPr>
          <w:rFonts w:hint="eastAsia" w:cs="宋体"/>
          <w:highlight w:val="none"/>
          <w:lang w:val="en-US" w:eastAsia="zh-CN"/>
        </w:rPr>
        <w:t>5.人员技术力量；</w:t>
      </w:r>
    </w:p>
    <w:p w14:paraId="0B04E21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cs="宋体"/>
          <w:highlight w:val="none"/>
          <w:lang w:val="en-US" w:eastAsia="zh-CN"/>
        </w:rPr>
      </w:pPr>
      <w:r>
        <w:rPr>
          <w:rFonts w:hint="eastAsia" w:cs="宋体"/>
          <w:highlight w:val="none"/>
          <w:lang w:val="en-US" w:eastAsia="zh-CN"/>
        </w:rPr>
        <w:t>6.产品竞争力；</w:t>
      </w:r>
    </w:p>
    <w:p w14:paraId="388C9FD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cs="宋体"/>
          <w:highlight w:val="none"/>
          <w:lang w:val="en-US" w:eastAsia="zh-CN"/>
        </w:rPr>
      </w:pPr>
      <w:r>
        <w:rPr>
          <w:rFonts w:hint="eastAsia" w:cs="宋体"/>
          <w:highlight w:val="none"/>
          <w:lang w:val="en-US" w:eastAsia="zh-CN"/>
        </w:rPr>
        <w:t>7.优惠承诺；</w:t>
      </w:r>
    </w:p>
    <w:p w14:paraId="4F4E9D4B">
      <w:pPr>
        <w:numPr>
          <w:ilvl w:val="0"/>
          <w:numId w:val="0"/>
        </w:numPr>
        <w:spacing w:line="360" w:lineRule="auto"/>
        <w:ind w:leftChars="200"/>
        <w:rPr>
          <w:rFonts w:hint="default" w:cs="宋体"/>
          <w:highlight w:val="none"/>
          <w:lang w:val="en-US" w:eastAsia="zh-CN"/>
        </w:rPr>
      </w:pPr>
      <w:r>
        <w:rPr>
          <w:rFonts w:hint="eastAsia" w:cs="宋体"/>
          <w:highlight w:val="none"/>
          <w:lang w:val="en-US" w:eastAsia="zh-CN"/>
        </w:rPr>
        <w:t>8.类似业绩：同类项目实施情况一览表；（附件十）</w:t>
      </w:r>
    </w:p>
    <w:p w14:paraId="128BB2ED">
      <w:pPr>
        <w:numPr>
          <w:ilvl w:val="0"/>
          <w:numId w:val="0"/>
        </w:numPr>
        <w:spacing w:line="360" w:lineRule="auto"/>
        <w:ind w:firstLine="480" w:firstLineChars="200"/>
        <w:rPr>
          <w:rFonts w:hint="eastAsia" w:cs="宋体"/>
          <w:highlight w:val="none"/>
          <w:lang w:val="en-US" w:eastAsia="zh-CN"/>
        </w:rPr>
      </w:pPr>
      <w:r>
        <w:rPr>
          <w:rFonts w:hint="eastAsia" w:cs="宋体"/>
          <w:highlight w:val="none"/>
          <w:lang w:val="en-US" w:eastAsia="zh-CN"/>
        </w:rPr>
        <w:t>9.</w:t>
      </w:r>
      <w:r>
        <w:rPr>
          <w:rFonts w:hint="eastAsia" w:asciiTheme="minorEastAsia" w:hAnsiTheme="minorEastAsia" w:eastAsiaTheme="minorEastAsia" w:cstheme="minorEastAsia"/>
          <w:b w:val="0"/>
          <w:bCs w:val="0"/>
          <w:color w:val="auto"/>
          <w:sz w:val="24"/>
          <w:szCs w:val="24"/>
          <w:highlight w:val="none"/>
        </w:rPr>
        <w:t>企业认证</w:t>
      </w:r>
      <w:r>
        <w:rPr>
          <w:rFonts w:hint="eastAsia" w:cs="宋体"/>
          <w:highlight w:val="none"/>
          <w:lang w:val="en-US" w:eastAsia="zh-CN"/>
        </w:rPr>
        <w:t>；</w:t>
      </w:r>
    </w:p>
    <w:p w14:paraId="6162C23C">
      <w:pPr>
        <w:numPr>
          <w:ilvl w:val="0"/>
          <w:numId w:val="0"/>
        </w:numPr>
        <w:spacing w:line="360" w:lineRule="auto"/>
        <w:ind w:firstLine="480" w:firstLineChars="200"/>
        <w:rPr>
          <w:rFonts w:hint="default" w:cs="宋体"/>
          <w:highlight w:val="none"/>
          <w:lang w:val="en-US" w:eastAsia="zh-CN"/>
        </w:rPr>
      </w:pPr>
      <w:r>
        <w:rPr>
          <w:rFonts w:hint="eastAsia" w:cs="宋体"/>
          <w:highlight w:val="none"/>
          <w:lang w:val="en-US" w:eastAsia="zh-CN"/>
        </w:rPr>
        <w:t>10.售后服务方案；</w:t>
      </w:r>
    </w:p>
    <w:p w14:paraId="79FC74D0">
      <w:pPr>
        <w:numPr>
          <w:ilvl w:val="0"/>
          <w:numId w:val="0"/>
        </w:numPr>
        <w:spacing w:line="360" w:lineRule="auto"/>
        <w:ind w:leftChars="200"/>
        <w:rPr>
          <w:rFonts w:hint="eastAsia" w:cs="宋体"/>
          <w:highlight w:val="none"/>
          <w:lang w:val="en-US" w:eastAsia="zh-CN"/>
        </w:rPr>
      </w:pPr>
      <w:r>
        <w:rPr>
          <w:rFonts w:hint="eastAsia" w:cs="宋体"/>
          <w:highlight w:val="none"/>
          <w:lang w:val="en-US" w:eastAsia="zh-CN"/>
        </w:rPr>
        <w:t>11.质保期；</w:t>
      </w:r>
    </w:p>
    <w:p w14:paraId="6527124E">
      <w:pPr>
        <w:numPr>
          <w:ilvl w:val="0"/>
          <w:numId w:val="0"/>
        </w:numPr>
        <w:spacing w:line="360" w:lineRule="auto"/>
        <w:ind w:leftChars="200"/>
        <w:rPr>
          <w:rFonts w:hint="eastAsia" w:cs="宋体"/>
        </w:rPr>
      </w:pPr>
      <w:r>
        <w:rPr>
          <w:rFonts w:hint="eastAsia" w:cs="宋体"/>
          <w:highlight w:val="none"/>
          <w:lang w:val="en-US" w:eastAsia="zh-CN"/>
        </w:rPr>
        <w:t>12.</w:t>
      </w:r>
      <w:r>
        <w:rPr>
          <w:rFonts w:hint="eastAsia" w:cs="宋体"/>
          <w:highlight w:val="none"/>
        </w:rPr>
        <w:t>其它本招标文件评分表要求提供的材料或投标人认为需要</w:t>
      </w:r>
      <w:r>
        <w:rPr>
          <w:rFonts w:hint="eastAsia" w:cs="宋体"/>
          <w:highlight w:val="none"/>
          <w:lang w:eastAsia="zh-CN"/>
        </w:rPr>
        <w:t>补充</w:t>
      </w:r>
      <w:r>
        <w:rPr>
          <w:rFonts w:hint="eastAsia" w:cs="宋体"/>
          <w:highlight w:val="none"/>
        </w:rPr>
        <w:t>的其他资料或说明。</w:t>
      </w:r>
    </w:p>
    <w:p w14:paraId="3F844552">
      <w:pPr>
        <w:spacing w:line="360" w:lineRule="auto"/>
        <w:ind w:firstLine="0" w:firstLineChars="0"/>
        <w:rPr>
          <w:rFonts w:hint="eastAsia" w:ascii="宋体" w:hAnsi="宋体" w:eastAsia="宋体" w:cs="宋体"/>
        </w:rPr>
      </w:pPr>
      <w:r>
        <w:rPr>
          <w:rFonts w:hint="eastAsia" w:ascii="宋体" w:hAnsi="宋体" w:eastAsia="宋体" w:cs="宋体"/>
          <w:b/>
          <w:bCs/>
        </w:rPr>
        <w:t>（三）</w:t>
      </w:r>
      <w:r>
        <w:rPr>
          <w:rFonts w:hint="eastAsia" w:cs="宋体"/>
          <w:b/>
          <w:bCs/>
          <w:lang w:eastAsia="zh-CN"/>
        </w:rPr>
        <w:t>《</w:t>
      </w:r>
      <w:r>
        <w:rPr>
          <w:rFonts w:hint="eastAsia" w:ascii="宋体" w:hAnsi="宋体" w:eastAsia="宋体" w:cs="宋体"/>
          <w:b/>
          <w:bCs/>
        </w:rPr>
        <w:t>报价</w:t>
      </w:r>
      <w:r>
        <w:rPr>
          <w:rFonts w:hint="eastAsia" w:cs="宋体"/>
          <w:b/>
          <w:bCs/>
          <w:lang w:eastAsia="zh-CN"/>
        </w:rPr>
        <w:t>文件》</w:t>
      </w:r>
      <w:r>
        <w:rPr>
          <w:rFonts w:hint="eastAsia" w:ascii="宋体" w:hAnsi="宋体" w:eastAsia="宋体" w:cs="宋体"/>
          <w:b/>
          <w:bCs/>
        </w:rPr>
        <w:t>：</w:t>
      </w:r>
    </w:p>
    <w:p w14:paraId="34CB219C">
      <w:pPr>
        <w:numPr>
          <w:ilvl w:val="0"/>
          <w:numId w:val="0"/>
        </w:numPr>
        <w:spacing w:line="360" w:lineRule="auto"/>
        <w:ind w:firstLine="480" w:firstLineChars="200"/>
        <w:rPr>
          <w:rFonts w:hint="eastAsia" w:ascii="宋体" w:hAnsi="宋体" w:eastAsia="宋体" w:cs="宋体"/>
        </w:rPr>
      </w:pPr>
      <w:r>
        <w:rPr>
          <w:rFonts w:hint="eastAsia" w:cs="宋体"/>
          <w:lang w:val="en-US" w:eastAsia="zh-CN"/>
        </w:rPr>
        <w:t>1.</w:t>
      </w:r>
      <w:r>
        <w:rPr>
          <w:rFonts w:hint="eastAsia" w:ascii="宋体" w:hAnsi="宋体" w:eastAsia="宋体" w:cs="宋体"/>
        </w:rPr>
        <w:t>投标响应函；（附件</w:t>
      </w:r>
      <w:r>
        <w:rPr>
          <w:rFonts w:hint="eastAsia" w:cs="宋体"/>
          <w:lang w:eastAsia="zh-CN"/>
        </w:rPr>
        <w:t>十一</w:t>
      </w:r>
      <w:r>
        <w:rPr>
          <w:rFonts w:hint="eastAsia" w:ascii="宋体" w:hAnsi="宋体" w:eastAsia="宋体" w:cs="宋体"/>
        </w:rPr>
        <w:t>）</w:t>
      </w:r>
    </w:p>
    <w:p w14:paraId="3A78F1A0">
      <w:pPr>
        <w:numPr>
          <w:ilvl w:val="0"/>
          <w:numId w:val="0"/>
        </w:numPr>
        <w:spacing w:line="360" w:lineRule="auto"/>
        <w:ind w:firstLine="480" w:firstLineChars="200"/>
        <w:jc w:val="left"/>
        <w:rPr>
          <w:rFonts w:hint="eastAsia" w:ascii="宋体" w:hAnsi="宋体" w:eastAsia="宋体" w:cs="宋体"/>
        </w:rPr>
      </w:pPr>
      <w:r>
        <w:rPr>
          <w:rFonts w:hint="eastAsia" w:cs="宋体"/>
          <w:lang w:val="en-US" w:eastAsia="zh-CN"/>
        </w:rPr>
        <w:t>2.</w:t>
      </w:r>
      <w:r>
        <w:rPr>
          <w:rFonts w:hint="eastAsia" w:ascii="宋体" w:hAnsi="宋体" w:eastAsia="宋体" w:cs="宋体"/>
        </w:rPr>
        <w:t>开标一览表；（附件</w:t>
      </w:r>
      <w:r>
        <w:rPr>
          <w:rFonts w:hint="eastAsia" w:cs="宋体"/>
          <w:lang w:eastAsia="zh-CN"/>
        </w:rPr>
        <w:t>十二</w:t>
      </w:r>
      <w:r>
        <w:rPr>
          <w:rFonts w:hint="eastAsia" w:ascii="宋体" w:hAnsi="宋体" w:eastAsia="宋体" w:cs="宋体"/>
        </w:rPr>
        <w:t>）</w:t>
      </w:r>
    </w:p>
    <w:p w14:paraId="39A33875">
      <w:pPr>
        <w:bidi w:val="0"/>
        <w:spacing w:line="360" w:lineRule="auto"/>
        <w:rPr>
          <w:rFonts w:hint="default" w:cs="宋体"/>
          <w:b w:val="0"/>
          <w:bCs w:val="0"/>
          <w:sz w:val="24"/>
          <w:szCs w:val="24"/>
          <w:lang w:val="en-US" w:eastAsia="zh-CN"/>
        </w:rPr>
      </w:pPr>
      <w:r>
        <w:rPr>
          <w:rFonts w:hint="eastAsia" w:cs="宋体"/>
          <w:b w:val="0"/>
          <w:bCs w:val="0"/>
          <w:sz w:val="24"/>
          <w:szCs w:val="24"/>
          <w:lang w:val="en-US" w:eastAsia="zh-CN"/>
        </w:rPr>
        <w:t>3.报价明细表；（附件十三）</w:t>
      </w:r>
    </w:p>
    <w:p w14:paraId="58BC4B3D">
      <w:pPr>
        <w:bidi w:val="0"/>
        <w:spacing w:line="360" w:lineRule="auto"/>
        <w:rPr>
          <w:rFonts w:hint="eastAsia" w:eastAsia="宋体" w:cs="宋体"/>
          <w:b w:val="0"/>
          <w:bCs w:val="0"/>
          <w:sz w:val="24"/>
          <w:szCs w:val="24"/>
          <w:lang w:val="en-US" w:eastAsia="zh-CN"/>
        </w:rPr>
      </w:pPr>
      <w:r>
        <w:rPr>
          <w:rFonts w:hint="eastAsia" w:cs="宋体"/>
          <w:b w:val="0"/>
          <w:bCs w:val="0"/>
          <w:sz w:val="24"/>
          <w:szCs w:val="24"/>
          <w:lang w:val="en-US" w:eastAsia="zh-CN"/>
        </w:rPr>
        <w:t>4.</w:t>
      </w:r>
      <w:r>
        <w:rPr>
          <w:rFonts w:hint="eastAsia" w:ascii="宋体" w:hAnsi="宋体"/>
          <w:sz w:val="24"/>
          <w:lang w:val="en-US" w:eastAsia="zh-CN"/>
        </w:rPr>
        <w:t>缴纳</w:t>
      </w:r>
      <w:r>
        <w:rPr>
          <w:rFonts w:hint="eastAsia"/>
          <w:sz w:val="24"/>
          <w:lang w:val="en-US" w:eastAsia="zh-CN"/>
        </w:rPr>
        <w:t>采购</w:t>
      </w:r>
      <w:r>
        <w:rPr>
          <w:rFonts w:hint="eastAsia" w:ascii="宋体" w:hAnsi="宋体"/>
          <w:sz w:val="24"/>
        </w:rPr>
        <w:t>代理</w:t>
      </w:r>
      <w:r>
        <w:rPr>
          <w:rFonts w:hint="eastAsia" w:ascii="宋体" w:hAnsi="宋体"/>
          <w:sz w:val="24"/>
          <w:lang w:eastAsia="zh-CN"/>
        </w:rPr>
        <w:t>服务</w:t>
      </w:r>
      <w:r>
        <w:rPr>
          <w:rFonts w:hint="eastAsia" w:ascii="宋体" w:hAnsi="宋体"/>
          <w:sz w:val="24"/>
        </w:rPr>
        <w:t>费承诺函</w:t>
      </w:r>
      <w:r>
        <w:rPr>
          <w:rFonts w:hint="eastAsia" w:ascii="宋体" w:hAnsi="宋体"/>
          <w:sz w:val="24"/>
          <w:lang w:eastAsia="zh-CN"/>
        </w:rPr>
        <w:t>；（附件十</w:t>
      </w:r>
      <w:r>
        <w:rPr>
          <w:rFonts w:hint="eastAsia"/>
          <w:sz w:val="24"/>
          <w:lang w:eastAsia="zh-CN"/>
        </w:rPr>
        <w:t>四</w:t>
      </w:r>
      <w:r>
        <w:rPr>
          <w:rFonts w:hint="eastAsia" w:ascii="宋体" w:hAnsi="宋体"/>
          <w:sz w:val="24"/>
          <w:lang w:eastAsia="zh-CN"/>
        </w:rPr>
        <w:t>）</w:t>
      </w:r>
    </w:p>
    <w:p w14:paraId="2FD2606B">
      <w:pPr>
        <w:bidi w:val="0"/>
        <w:spacing w:line="360" w:lineRule="auto"/>
        <w:rPr>
          <w:rFonts w:hint="eastAsia" w:eastAsia="宋体" w:cs="宋体"/>
          <w:b w:val="0"/>
          <w:bCs w:val="0"/>
          <w:sz w:val="24"/>
          <w:szCs w:val="24"/>
          <w:lang w:val="en-US" w:eastAsia="zh-CN"/>
        </w:rPr>
      </w:pPr>
      <w:r>
        <w:rPr>
          <w:rFonts w:hint="eastAsia" w:cs="宋体"/>
          <w:b w:val="0"/>
          <w:bCs w:val="0"/>
          <w:sz w:val="24"/>
          <w:szCs w:val="24"/>
          <w:lang w:val="en-US" w:eastAsia="zh-CN"/>
        </w:rPr>
        <w:t>5.</w:t>
      </w:r>
      <w:r>
        <w:rPr>
          <w:rFonts w:hint="eastAsia" w:ascii="宋体" w:hAnsi="宋体" w:eastAsia="宋体" w:cs="宋体"/>
          <w:bCs/>
          <w:color w:val="auto"/>
          <w:highlight w:val="none"/>
          <w:lang w:eastAsia="zh-CN"/>
        </w:rPr>
        <w:t>投标人</w:t>
      </w:r>
      <w:r>
        <w:rPr>
          <w:rFonts w:hint="eastAsia" w:ascii="宋体" w:hAnsi="宋体" w:eastAsia="宋体" w:cs="宋体"/>
          <w:bCs/>
          <w:color w:val="auto"/>
          <w:highlight w:val="none"/>
        </w:rPr>
        <w:t>针对</w:t>
      </w:r>
      <w:r>
        <w:rPr>
          <w:rFonts w:hint="eastAsia" w:cs="宋体"/>
          <w:bCs/>
          <w:color w:val="auto"/>
          <w:highlight w:val="none"/>
          <w:lang w:eastAsia="zh-CN"/>
        </w:rPr>
        <w:t>投标</w:t>
      </w:r>
      <w:r>
        <w:rPr>
          <w:rFonts w:hint="eastAsia" w:ascii="宋体" w:hAnsi="宋体" w:eastAsia="宋体" w:cs="宋体"/>
          <w:bCs/>
          <w:color w:val="auto"/>
          <w:highlight w:val="none"/>
        </w:rPr>
        <w:t>报价需要</w:t>
      </w:r>
      <w:r>
        <w:rPr>
          <w:rFonts w:hint="eastAsia" w:cs="宋体"/>
          <w:bCs/>
          <w:color w:val="auto"/>
          <w:highlight w:val="none"/>
          <w:lang w:eastAsia="zh-CN"/>
        </w:rPr>
        <w:t>补充</w:t>
      </w:r>
      <w:r>
        <w:rPr>
          <w:rFonts w:hint="eastAsia" w:ascii="宋体" w:hAnsi="宋体" w:eastAsia="宋体" w:cs="宋体"/>
          <w:bCs/>
          <w:color w:val="auto"/>
          <w:highlight w:val="none"/>
        </w:rPr>
        <w:t>的其他文件和说明</w:t>
      </w:r>
      <w:r>
        <w:rPr>
          <w:rFonts w:hint="eastAsia" w:ascii="宋体" w:hAnsi="宋体"/>
          <w:sz w:val="24"/>
          <w:lang w:eastAsia="zh-CN"/>
        </w:rPr>
        <w:t>。</w:t>
      </w:r>
    </w:p>
    <w:p w14:paraId="697580C5">
      <w:pPr>
        <w:bidi w:val="0"/>
        <w:spacing w:line="360" w:lineRule="auto"/>
        <w:rPr>
          <w:rFonts w:hint="eastAsia" w:cs="宋体"/>
          <w:b/>
          <w:bCs/>
          <w:sz w:val="24"/>
          <w:szCs w:val="24"/>
        </w:rPr>
      </w:pPr>
      <w:r>
        <w:rPr>
          <w:rFonts w:hint="eastAsia" w:cs="宋体"/>
          <w:b/>
          <w:bCs/>
          <w:sz w:val="24"/>
          <w:szCs w:val="24"/>
        </w:rPr>
        <w:t>▲注：法定代表人授权委托书、投标声明书、投标</w:t>
      </w:r>
      <w:r>
        <w:rPr>
          <w:rFonts w:hint="eastAsia" w:cs="宋体"/>
          <w:b/>
          <w:bCs/>
          <w:sz w:val="24"/>
          <w:szCs w:val="24"/>
          <w:lang w:eastAsia="zh-CN"/>
        </w:rPr>
        <w:t>响应</w:t>
      </w:r>
      <w:r>
        <w:rPr>
          <w:rFonts w:hint="eastAsia" w:cs="宋体"/>
          <w:b/>
          <w:bCs/>
          <w:sz w:val="24"/>
          <w:szCs w:val="24"/>
        </w:rPr>
        <w:t>函必须由法定代表人或其授权代</w:t>
      </w:r>
      <w:r>
        <w:rPr>
          <w:rFonts w:hint="eastAsia" w:cs="宋体"/>
          <w:b/>
          <w:bCs/>
          <w:sz w:val="24"/>
          <w:szCs w:val="24"/>
          <w:lang w:eastAsia="zh-CN"/>
        </w:rPr>
        <w:t>表</w:t>
      </w:r>
      <w:r>
        <w:rPr>
          <w:rFonts w:hint="eastAsia" w:cs="宋体"/>
          <w:b/>
          <w:bCs/>
          <w:sz w:val="24"/>
          <w:szCs w:val="24"/>
        </w:rPr>
        <w:t>签名并加盖单位公章</w:t>
      </w:r>
      <w:r>
        <w:rPr>
          <w:rFonts w:hint="eastAsia" w:ascii="宋体" w:hAnsi="宋体" w:cs="宋体"/>
          <w:b/>
          <w:bCs/>
          <w:sz w:val="24"/>
        </w:rPr>
        <w:t>（或CA电子签章）</w:t>
      </w:r>
      <w:r>
        <w:rPr>
          <w:rFonts w:hint="eastAsia" w:cs="宋体"/>
          <w:b/>
          <w:bCs/>
          <w:sz w:val="24"/>
          <w:szCs w:val="24"/>
        </w:rPr>
        <w:t>。</w:t>
      </w:r>
    </w:p>
    <w:p w14:paraId="745B4EC5">
      <w:pPr>
        <w:bidi w:val="0"/>
        <w:spacing w:line="360" w:lineRule="auto"/>
        <w:ind w:left="0" w:leftChars="0" w:firstLine="0" w:firstLineChars="0"/>
        <w:rPr>
          <w:rFonts w:hint="eastAsia" w:cs="宋体"/>
          <w:b/>
          <w:bCs/>
          <w:szCs w:val="24"/>
          <w:lang w:eastAsia="zh-CN"/>
        </w:rPr>
      </w:pPr>
      <w:r>
        <w:rPr>
          <w:rFonts w:hint="eastAsia"/>
          <w:b/>
          <w:bCs/>
          <w:lang w:eastAsia="zh-CN"/>
        </w:rPr>
        <w:t>三、投标文件的编制</w:t>
      </w:r>
    </w:p>
    <w:p w14:paraId="0E2ACE55">
      <w:pPr>
        <w:numPr>
          <w:ilvl w:val="0"/>
          <w:numId w:val="0"/>
        </w:numPr>
        <w:spacing w:line="360" w:lineRule="auto"/>
        <w:ind w:leftChars="0" w:firstLine="480" w:firstLineChars="200"/>
        <w:rPr>
          <w:rFonts w:hint="eastAsia"/>
          <w:lang w:val="en-US" w:eastAsia="zh-CN"/>
        </w:rPr>
      </w:pPr>
      <w:r>
        <w:rPr>
          <w:rFonts w:hint="eastAsia"/>
          <w:lang w:val="en-US" w:eastAsia="zh-CN"/>
        </w:rPr>
        <w:t>本项目实行网上投标。</w:t>
      </w:r>
    </w:p>
    <w:p w14:paraId="135C8C5A">
      <w:pPr>
        <w:spacing w:line="360" w:lineRule="auto"/>
        <w:ind w:firstLine="480" w:firstLineChars="200"/>
        <w:rPr>
          <w:rFonts w:hint="eastAsia" w:ascii="宋体" w:hAnsi="宋体" w:cs="宋体"/>
          <w:b/>
          <w:sz w:val="24"/>
        </w:rPr>
      </w:pPr>
      <w:r>
        <w:rPr>
          <w:rFonts w:hint="eastAsia" w:ascii="宋体" w:hAnsi="宋体" w:cs="宋体"/>
          <w:kern w:val="0"/>
          <w:sz w:val="24"/>
          <w:lang w:val="zh-CN"/>
        </w:rPr>
        <w:t>1.投标文件分为</w:t>
      </w:r>
      <w:r>
        <w:rPr>
          <w:rFonts w:hint="eastAsia" w:cs="宋体"/>
          <w:kern w:val="0"/>
          <w:sz w:val="24"/>
          <w:lang w:val="zh-CN"/>
        </w:rPr>
        <w:t>《资格文件》</w:t>
      </w:r>
      <w:r>
        <w:rPr>
          <w:rFonts w:hint="eastAsia" w:ascii="宋体" w:hAnsi="宋体" w:cs="宋体"/>
          <w:kern w:val="0"/>
          <w:sz w:val="24"/>
          <w:lang w:val="zh-CN"/>
        </w:rPr>
        <w:t>、</w:t>
      </w:r>
      <w:r>
        <w:rPr>
          <w:rFonts w:hint="eastAsia" w:cs="宋体"/>
          <w:kern w:val="0"/>
          <w:sz w:val="24"/>
          <w:lang w:val="zh-CN"/>
        </w:rPr>
        <w:t>《</w:t>
      </w:r>
      <w:r>
        <w:rPr>
          <w:rFonts w:hint="eastAsia" w:ascii="宋体" w:hAnsi="宋体" w:cs="宋体"/>
          <w:kern w:val="0"/>
          <w:sz w:val="24"/>
          <w:lang w:val="zh-CN"/>
        </w:rPr>
        <w:t>商务技术文件</w:t>
      </w:r>
      <w:r>
        <w:rPr>
          <w:rFonts w:hint="eastAsia" w:cs="宋体"/>
          <w:kern w:val="0"/>
          <w:sz w:val="24"/>
          <w:lang w:val="zh-CN"/>
        </w:rPr>
        <w:t>》</w:t>
      </w:r>
      <w:r>
        <w:rPr>
          <w:rFonts w:hint="eastAsia" w:ascii="宋体" w:hAnsi="宋体" w:cs="宋体"/>
          <w:kern w:val="0"/>
          <w:sz w:val="24"/>
          <w:lang w:val="zh-CN"/>
        </w:rPr>
        <w:t>、</w:t>
      </w:r>
      <w:r>
        <w:rPr>
          <w:rFonts w:hint="eastAsia" w:cs="宋体"/>
          <w:kern w:val="0"/>
          <w:sz w:val="24"/>
          <w:lang w:val="zh-CN"/>
        </w:rPr>
        <w:t>《</w:t>
      </w:r>
      <w:r>
        <w:rPr>
          <w:rFonts w:hint="eastAsia" w:ascii="宋体" w:hAnsi="宋体" w:cs="宋体"/>
          <w:kern w:val="0"/>
          <w:sz w:val="24"/>
          <w:lang w:val="zh-CN"/>
        </w:rPr>
        <w:t>报价文件</w:t>
      </w:r>
      <w:r>
        <w:rPr>
          <w:rFonts w:hint="eastAsia" w:cs="宋体"/>
          <w:kern w:val="0"/>
          <w:sz w:val="24"/>
          <w:lang w:val="zh-CN"/>
        </w:rPr>
        <w:t>》</w:t>
      </w:r>
      <w:r>
        <w:rPr>
          <w:rFonts w:hint="eastAsia" w:ascii="宋体" w:hAnsi="宋体" w:cs="宋体"/>
          <w:kern w:val="0"/>
          <w:sz w:val="24"/>
          <w:lang w:val="zh-CN"/>
        </w:rPr>
        <w:t>三部分。各投标人请按照</w:t>
      </w:r>
      <w:r>
        <w:rPr>
          <w:rFonts w:hint="eastAsia" w:cs="宋体"/>
          <w:kern w:val="0"/>
          <w:sz w:val="24"/>
          <w:lang w:val="zh-CN"/>
        </w:rPr>
        <w:t>“</w:t>
      </w:r>
      <w:r>
        <w:rPr>
          <w:rFonts w:hint="eastAsia" w:ascii="宋体" w:hAnsi="宋体" w:cs="宋体"/>
          <w:kern w:val="0"/>
          <w:sz w:val="24"/>
          <w:lang w:val="zh-CN"/>
        </w:rPr>
        <w:t>招标文件</w:t>
      </w:r>
      <w:r>
        <w:rPr>
          <w:rFonts w:hint="eastAsia" w:cs="宋体"/>
          <w:kern w:val="0"/>
          <w:sz w:val="24"/>
          <w:lang w:val="en-US" w:eastAsia="zh-CN"/>
        </w:rPr>
        <w:t>-</w:t>
      </w:r>
      <w:r>
        <w:rPr>
          <w:rFonts w:hint="eastAsia" w:ascii="宋体" w:hAnsi="宋体" w:cs="宋体"/>
          <w:kern w:val="0"/>
          <w:sz w:val="24"/>
          <w:lang w:val="zh-CN"/>
        </w:rPr>
        <w:t>第六</w:t>
      </w:r>
      <w:r>
        <w:rPr>
          <w:rFonts w:hint="eastAsia" w:cs="宋体"/>
          <w:kern w:val="0"/>
          <w:sz w:val="24"/>
          <w:lang w:val="zh-CN"/>
        </w:rPr>
        <w:t>章”</w:t>
      </w:r>
      <w:r>
        <w:rPr>
          <w:rFonts w:hint="eastAsia" w:ascii="宋体" w:hAnsi="宋体" w:cs="宋体"/>
          <w:kern w:val="0"/>
          <w:sz w:val="24"/>
          <w:lang w:val="zh-CN"/>
        </w:rPr>
        <w:t>规定的格式进行</w:t>
      </w:r>
      <w:r>
        <w:rPr>
          <w:rFonts w:hint="eastAsia" w:cs="宋体"/>
          <w:kern w:val="0"/>
          <w:sz w:val="24"/>
          <w:lang w:val="zh-CN"/>
        </w:rPr>
        <w:t>投标文件的编制</w:t>
      </w:r>
      <w:r>
        <w:rPr>
          <w:rFonts w:hint="eastAsia" w:ascii="宋体" w:hAnsi="宋体" w:cs="宋体"/>
          <w:kern w:val="0"/>
          <w:sz w:val="24"/>
          <w:lang w:val="zh-CN"/>
        </w:rPr>
        <w:t>，混乱的编排导致投标文件被误读或评标委员会查找不到有效文件是投标人的风险。</w:t>
      </w:r>
    </w:p>
    <w:p w14:paraId="4D161B5B">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2.投标人进行电子投标应安装客户端软件—“政采云电子交易客户端”，并按照招标文件和电子交易平台的要求编制并加密投标文件。投标人未按规定加密的投标文件，电子交易平台将拒收并提示。</w:t>
      </w:r>
    </w:p>
    <w:p w14:paraId="14DF44D4">
      <w:pPr>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en-US" w:eastAsia="zh-CN"/>
        </w:rPr>
        <w:t>3</w:t>
      </w:r>
      <w:r>
        <w:rPr>
          <w:rFonts w:hint="eastAsia" w:ascii="宋体" w:hAnsi="宋体" w:cs="宋体"/>
          <w:kern w:val="0"/>
          <w:sz w:val="24"/>
          <w:lang w:val="zh-CN"/>
        </w:rPr>
        <w:t>.使用“政采云电子交易客户端”需要提前申领CA数字证书，申领流程请自行前往“浙江政府采购网-下载专区-电子交易客户端-CA驱动和申领流程”进行查阅。</w:t>
      </w:r>
    </w:p>
    <w:p w14:paraId="5B2E7693">
      <w:pPr>
        <w:bidi w:val="0"/>
        <w:spacing w:line="360" w:lineRule="auto"/>
        <w:ind w:left="0" w:leftChars="0" w:firstLine="0" w:firstLineChars="0"/>
        <w:rPr>
          <w:rFonts w:hint="eastAsia" w:ascii="宋体" w:hAnsi="宋体" w:eastAsia="宋体" w:cs="宋体"/>
          <w:szCs w:val="24"/>
        </w:rPr>
      </w:pPr>
      <w:r>
        <w:rPr>
          <w:rFonts w:hint="eastAsia"/>
          <w:b/>
          <w:bCs/>
          <w:lang w:eastAsia="zh-CN"/>
        </w:rPr>
        <w:t>四</w:t>
      </w:r>
      <w:r>
        <w:rPr>
          <w:rFonts w:hint="eastAsia"/>
          <w:b/>
          <w:bCs/>
        </w:rPr>
        <w:t>、投标报价</w:t>
      </w:r>
    </w:p>
    <w:p w14:paraId="2D50F63B">
      <w:pPr>
        <w:spacing w:line="360" w:lineRule="auto"/>
        <w:ind w:left="480" w:leftChars="200" w:firstLine="0" w:firstLineChars="0"/>
        <w:rPr>
          <w:rFonts w:hint="eastAsia" w:ascii="宋体" w:hAnsi="宋体" w:eastAsia="宋体" w:cs="宋体"/>
        </w:rPr>
      </w:pPr>
      <w:r>
        <w:rPr>
          <w:rFonts w:hint="eastAsia" w:ascii="宋体" w:hAnsi="宋体" w:eastAsia="宋体" w:cs="宋体"/>
        </w:rPr>
        <w:t>1.投标报价是指一次性报出不得更改的价格。本项目以</w:t>
      </w:r>
      <w:r>
        <w:rPr>
          <w:rFonts w:hint="eastAsia" w:cs="宋体"/>
          <w:lang w:eastAsia="zh-CN"/>
        </w:rPr>
        <w:t>人民币进行报价</w:t>
      </w:r>
      <w:r>
        <w:rPr>
          <w:rFonts w:hint="eastAsia" w:ascii="宋体" w:hAnsi="宋体" w:eastAsia="宋体" w:cs="宋体"/>
        </w:rPr>
        <w:t>。</w:t>
      </w:r>
    </w:p>
    <w:p w14:paraId="0BDE435C">
      <w:pPr>
        <w:spacing w:line="360" w:lineRule="auto"/>
        <w:ind w:firstLine="480"/>
        <w:rPr>
          <w:rFonts w:hint="eastAsia" w:ascii="宋体" w:hAnsi="宋体" w:eastAsia="宋体" w:cs="宋体"/>
        </w:rPr>
      </w:pPr>
      <w:r>
        <w:rPr>
          <w:rFonts w:hint="eastAsia" w:ascii="宋体" w:hAnsi="宋体" w:eastAsia="宋体" w:cs="宋体"/>
        </w:rPr>
        <w:t>2.投标报价是履行合同的最终价格，包含</w:t>
      </w:r>
      <w:r>
        <w:rPr>
          <w:rFonts w:hint="eastAsia" w:cs="宋体"/>
          <w:lang w:eastAsia="zh-CN"/>
        </w:rPr>
        <w:t>产品或服务的</w:t>
      </w:r>
      <w:r>
        <w:rPr>
          <w:rFonts w:hint="eastAsia" w:ascii="宋体" w:hAnsi="宋体" w:eastAsia="宋体" w:cs="宋体"/>
          <w:lang w:eastAsia="zh-Hans"/>
        </w:rPr>
        <w:t>测试、调试、上线、试运行、其它必要操作（含供货、安装）、培训、维保</w:t>
      </w:r>
      <w:r>
        <w:rPr>
          <w:rFonts w:hint="eastAsia" w:ascii="宋体" w:hAnsi="宋体" w:eastAsia="宋体" w:cs="宋体"/>
        </w:rPr>
        <w:t>、保险费、利润、关税（若有）、税金以及达到使用要求及质量标准、质保期服务所需的全部费用及招标代理服务费等一切直至通过验收的费用，不需要招标人额外支付其他费用。投标人的报价应按招标文件要求的格式、顺序编制。</w:t>
      </w:r>
    </w:p>
    <w:p w14:paraId="00EFE567">
      <w:pPr>
        <w:spacing w:line="360" w:lineRule="auto"/>
        <w:ind w:firstLine="480"/>
        <w:rPr>
          <w:rFonts w:hint="eastAsia" w:ascii="宋体" w:hAnsi="宋体" w:eastAsia="宋体" w:cs="宋体"/>
        </w:rPr>
      </w:pPr>
      <w:r>
        <w:rPr>
          <w:rFonts w:hint="eastAsia" w:ascii="宋体" w:hAnsi="宋体" w:eastAsia="宋体" w:cs="宋体"/>
        </w:rPr>
        <w:t>《开标一览表》是报价的唯一载体。投标文件中价格全部采用人民币报价。招标文件未列明，而投标人认为必需的费用也需列入报价。</w:t>
      </w:r>
    </w:p>
    <w:p w14:paraId="0DFED1BB">
      <w:pPr>
        <w:spacing w:line="360" w:lineRule="auto"/>
        <w:ind w:firstLine="480" w:firstLineChars="0"/>
        <w:rPr>
          <w:rFonts w:hint="eastAsia" w:ascii="宋体" w:hAnsi="宋体" w:eastAsia="宋体" w:cs="宋体"/>
        </w:rPr>
      </w:pPr>
      <w:r>
        <w:rPr>
          <w:rFonts w:hint="eastAsia" w:ascii="宋体" w:hAnsi="宋体" w:eastAsia="宋体" w:cs="宋体"/>
        </w:rPr>
        <w:t>3.投标报价出现下列情形的，投标无效：</w:t>
      </w:r>
    </w:p>
    <w:p w14:paraId="073A9092">
      <w:pPr>
        <w:spacing w:line="360" w:lineRule="auto"/>
        <w:ind w:firstLine="480"/>
        <w:rPr>
          <w:rFonts w:hint="eastAsia" w:ascii="宋体" w:hAnsi="宋体" w:eastAsia="宋体" w:cs="宋体"/>
        </w:rPr>
      </w:pPr>
      <w:r>
        <w:rPr>
          <w:rFonts w:hint="eastAsia" w:ascii="宋体" w:hAnsi="宋体" w:eastAsia="宋体" w:cs="宋体"/>
        </w:rPr>
        <w:t>▲投标文件出现不是唯一的、有选择性投标报价的；</w:t>
      </w:r>
    </w:p>
    <w:p w14:paraId="39E873CC">
      <w:pPr>
        <w:spacing w:line="360" w:lineRule="auto"/>
        <w:ind w:firstLine="480"/>
        <w:rPr>
          <w:rFonts w:hint="eastAsia" w:ascii="宋体" w:hAnsi="宋体" w:eastAsia="宋体" w:cs="宋体"/>
        </w:rPr>
      </w:pPr>
      <w:r>
        <w:rPr>
          <w:rFonts w:hint="eastAsia" w:ascii="宋体" w:hAnsi="宋体" w:eastAsia="宋体" w:cs="宋体"/>
        </w:rPr>
        <w:t>▲投标报价高于本项目招标预算或者最高限价的；</w:t>
      </w:r>
    </w:p>
    <w:p w14:paraId="76828502">
      <w:pPr>
        <w:spacing w:line="360" w:lineRule="auto"/>
        <w:ind w:firstLine="480"/>
        <w:rPr>
          <w:rFonts w:hint="eastAsia" w:ascii="宋体" w:hAnsi="宋体" w:eastAsia="宋体" w:cs="宋体"/>
        </w:rPr>
      </w:pPr>
      <w:r>
        <w:rPr>
          <w:rFonts w:hint="eastAsia" w:ascii="宋体" w:hAnsi="宋体" w:eastAsia="宋体" w:cs="宋体"/>
        </w:rPr>
        <w:t>▲报价明显低于其他通过符合性审查投标人的报价，有可能影响产品质量或者不能诚信履约的，未能按要求提供书面说明或者提交相关证明材料，不能证明其报价合理性的；</w:t>
      </w:r>
    </w:p>
    <w:p w14:paraId="5A605AC2">
      <w:pPr>
        <w:spacing w:line="360" w:lineRule="auto"/>
        <w:ind w:firstLine="480"/>
        <w:rPr>
          <w:rFonts w:hint="eastAsia" w:ascii="宋体" w:hAnsi="宋体" w:eastAsia="宋体" w:cs="宋体"/>
        </w:rPr>
      </w:pPr>
      <w:r>
        <w:rPr>
          <w:rFonts w:hint="eastAsia" w:ascii="宋体" w:hAnsi="宋体" w:eastAsia="宋体" w:cs="宋体"/>
        </w:rPr>
        <w:t>▲《开标一览表》填写不完整或字迹不能辨认或有漏项的；</w:t>
      </w:r>
    </w:p>
    <w:p w14:paraId="6FCD6295">
      <w:pPr>
        <w:spacing w:line="360" w:lineRule="auto"/>
        <w:ind w:firstLine="480"/>
        <w:rPr>
          <w:rFonts w:hint="eastAsia" w:ascii="宋体" w:hAnsi="宋体" w:eastAsia="宋体" w:cs="宋体"/>
          <w:lang w:eastAsia="zh-CN"/>
        </w:rPr>
      </w:pPr>
      <w:r>
        <w:rPr>
          <w:rFonts w:hint="eastAsia" w:ascii="宋体" w:hAnsi="宋体" w:eastAsia="宋体" w:cs="宋体"/>
        </w:rPr>
        <w:t>▲投标人对根据修正原则修正后的报价不确认的</w:t>
      </w:r>
      <w:r>
        <w:rPr>
          <w:rFonts w:hint="eastAsia" w:ascii="宋体" w:hAnsi="宋体" w:eastAsia="宋体" w:cs="宋体"/>
          <w:lang w:eastAsia="zh-CN"/>
        </w:rPr>
        <w:t>。</w:t>
      </w:r>
    </w:p>
    <w:p w14:paraId="38CB1DE8">
      <w:pPr>
        <w:bidi w:val="0"/>
        <w:spacing w:line="360" w:lineRule="auto"/>
        <w:ind w:left="0" w:leftChars="0" w:firstLine="0" w:firstLineChars="0"/>
        <w:rPr>
          <w:rFonts w:hint="eastAsia" w:ascii="宋体" w:hAnsi="宋体" w:eastAsia="宋体" w:cs="宋体"/>
          <w:szCs w:val="24"/>
        </w:rPr>
      </w:pPr>
      <w:r>
        <w:rPr>
          <w:rFonts w:hint="eastAsia"/>
          <w:b/>
          <w:bCs/>
          <w:lang w:eastAsia="zh-CN"/>
        </w:rPr>
        <w:t>五</w:t>
      </w:r>
      <w:r>
        <w:rPr>
          <w:rFonts w:hint="eastAsia"/>
          <w:b/>
          <w:bCs/>
        </w:rPr>
        <w:t>、投标文件的签署及规定</w:t>
      </w:r>
    </w:p>
    <w:p w14:paraId="6BB11FFD">
      <w:pPr>
        <w:bidi w:val="0"/>
        <w:spacing w:line="360" w:lineRule="auto"/>
        <w:rPr>
          <w:rFonts w:hint="eastAsia"/>
        </w:rPr>
      </w:pPr>
      <w:bookmarkStart w:id="57" w:name="_Toc12521"/>
      <w:bookmarkStart w:id="58" w:name="_Toc1"/>
      <w:r>
        <w:rPr>
          <w:rFonts w:hint="eastAsia"/>
        </w:rPr>
        <w:t>1.投标文件按照</w:t>
      </w:r>
      <w:r>
        <w:rPr>
          <w:rFonts w:hint="eastAsia"/>
          <w:lang w:eastAsia="zh-CN"/>
        </w:rPr>
        <w:t>“</w:t>
      </w:r>
      <w:r>
        <w:rPr>
          <w:rFonts w:hint="eastAsia"/>
        </w:rPr>
        <w:t>招标文件</w:t>
      </w:r>
      <w:r>
        <w:rPr>
          <w:rFonts w:hint="eastAsia"/>
          <w:lang w:val="en-US" w:eastAsia="zh-CN"/>
        </w:rPr>
        <w:t>-</w:t>
      </w:r>
      <w:r>
        <w:rPr>
          <w:rFonts w:hint="eastAsia"/>
        </w:rPr>
        <w:t>第六</w:t>
      </w:r>
      <w:r>
        <w:rPr>
          <w:rFonts w:hint="eastAsia"/>
          <w:lang w:eastAsia="zh-CN"/>
        </w:rPr>
        <w:t>章”</w:t>
      </w:r>
      <w:r>
        <w:rPr>
          <w:rFonts w:hint="eastAsia"/>
        </w:rPr>
        <w:t>格式要求进行签署、盖章。</w:t>
      </w:r>
      <w:r>
        <w:rPr>
          <w:rFonts w:hint="eastAsia"/>
          <w:b/>
          <w:bCs/>
        </w:rPr>
        <w:t>▲投标人的投标文件未按照招标文件要求签署、盖章的，其投标无效。</w:t>
      </w:r>
    </w:p>
    <w:p w14:paraId="21C9D0C4">
      <w:pPr>
        <w:bidi w:val="0"/>
        <w:spacing w:line="360" w:lineRule="auto"/>
        <w:rPr>
          <w:rFonts w:hint="eastAsia"/>
        </w:rPr>
      </w:pPr>
      <w:r>
        <w:rPr>
          <w:rFonts w:hint="eastAsia"/>
          <w:lang w:val="en-US" w:eastAsia="zh-CN"/>
        </w:rPr>
        <w:t>2</w:t>
      </w:r>
      <w:r>
        <w:rPr>
          <w:rFonts w:hint="eastAsia"/>
        </w:rPr>
        <w:t>.为确保网上操作合法、有效和安全，投标人应当在投标截止时间前完成在“政府采购云平台”的身份认证，确保在电子投标过程中能够对相关数据电文进行加密和使用电子签名。</w:t>
      </w:r>
    </w:p>
    <w:p w14:paraId="5DE616C4">
      <w:pPr>
        <w:bidi w:val="0"/>
        <w:spacing w:line="360" w:lineRule="auto"/>
        <w:rPr>
          <w:rFonts w:hint="eastAsia" w:ascii="宋体" w:hAnsi="宋体" w:cs="宋体"/>
        </w:rPr>
      </w:pPr>
      <w:r>
        <w:rPr>
          <w:rFonts w:hint="eastAsia"/>
        </w:rPr>
        <w:t>3.招标文件对投标文件签署、盖章的要求适用于电子签名。</w:t>
      </w:r>
    </w:p>
    <w:p w14:paraId="3FB95C4E">
      <w:pPr>
        <w:bidi w:val="0"/>
        <w:spacing w:line="360" w:lineRule="auto"/>
        <w:ind w:left="0" w:leftChars="0" w:firstLine="0" w:firstLineChars="0"/>
        <w:rPr>
          <w:rFonts w:hint="eastAsia" w:hAnsi="宋体" w:cs="宋体"/>
          <w:b/>
          <w:szCs w:val="24"/>
        </w:rPr>
      </w:pPr>
      <w:r>
        <w:rPr>
          <w:rFonts w:hint="eastAsia"/>
          <w:b/>
          <w:bCs/>
          <w:lang w:eastAsia="zh-CN"/>
        </w:rPr>
        <w:t>六、</w:t>
      </w:r>
      <w:r>
        <w:rPr>
          <w:rFonts w:hint="eastAsia"/>
          <w:b/>
          <w:bCs/>
        </w:rPr>
        <w:t>备份投标文件</w:t>
      </w:r>
    </w:p>
    <w:p w14:paraId="574A30DA">
      <w:pPr>
        <w:pStyle w:val="20"/>
        <w:spacing w:line="360" w:lineRule="auto"/>
        <w:ind w:firstLine="360" w:firstLineChars="150"/>
        <w:rPr>
          <w:rFonts w:hint="eastAsia" w:hAnsi="宋体" w:cs="宋体"/>
          <w:b/>
          <w:sz w:val="24"/>
          <w:szCs w:val="24"/>
        </w:rPr>
      </w:pPr>
      <w:r>
        <w:rPr>
          <w:rFonts w:hint="eastAsia" w:hAnsi="宋体" w:cs="宋体"/>
          <w:sz w:val="24"/>
          <w:szCs w:val="24"/>
        </w:rPr>
        <w:t xml:space="preserve"> 1.投标人在电子交易平台传输递交投标文件后，还可以在投标截止时间前直接提交或者以邮政快递方式递交备份投标文件1份，</w:t>
      </w:r>
      <w:r>
        <w:rPr>
          <w:rFonts w:hint="eastAsia" w:hAnsi="宋体" w:cs="宋体"/>
          <w:b/>
          <w:sz w:val="24"/>
          <w:szCs w:val="24"/>
        </w:rPr>
        <w:t>但</w:t>
      </w:r>
      <w:r>
        <w:rPr>
          <w:rFonts w:hint="eastAsia" w:hAnsi="宋体" w:cs="宋体"/>
          <w:b/>
          <w:sz w:val="24"/>
          <w:szCs w:val="24"/>
          <w:lang w:eastAsia="zh-CN"/>
        </w:rPr>
        <w:t>招标人</w:t>
      </w:r>
      <w:r>
        <w:rPr>
          <w:rFonts w:hint="eastAsia" w:hAnsi="宋体" w:cs="宋体"/>
          <w:b/>
          <w:sz w:val="24"/>
          <w:szCs w:val="24"/>
        </w:rPr>
        <w:t>、</w:t>
      </w:r>
      <w:r>
        <w:rPr>
          <w:rFonts w:hint="eastAsia" w:hAnsi="宋体" w:cs="宋体"/>
          <w:b/>
          <w:sz w:val="24"/>
          <w:szCs w:val="24"/>
          <w:lang w:eastAsia="zh-CN"/>
        </w:rPr>
        <w:t>招标代理机构</w:t>
      </w:r>
      <w:r>
        <w:rPr>
          <w:rFonts w:hint="eastAsia" w:hAnsi="宋体" w:cs="宋体"/>
          <w:b/>
          <w:sz w:val="24"/>
          <w:szCs w:val="24"/>
        </w:rPr>
        <w:t>不强制或变相强制投标人提交备份投标文件。</w:t>
      </w:r>
    </w:p>
    <w:p w14:paraId="5266D35B">
      <w:pPr>
        <w:pStyle w:val="20"/>
        <w:spacing w:line="360" w:lineRule="auto"/>
        <w:ind w:firstLine="480" w:firstLineChars="200"/>
        <w:rPr>
          <w:rFonts w:hint="eastAsia" w:hAnsi="宋体" w:cs="宋体"/>
          <w:b/>
          <w:sz w:val="24"/>
          <w:szCs w:val="24"/>
        </w:rPr>
      </w:pPr>
      <w:r>
        <w:rPr>
          <w:rFonts w:hint="eastAsia" w:hAnsi="宋体" w:cs="宋体"/>
          <w:sz w:val="24"/>
          <w:szCs w:val="24"/>
          <w:lang w:val="en-US" w:eastAsia="zh-CN"/>
        </w:rPr>
        <w:t>2</w:t>
      </w:r>
      <w:r>
        <w:rPr>
          <w:rFonts w:hint="eastAsia" w:hAnsi="宋体" w:cs="宋体"/>
          <w:sz w:val="24"/>
          <w:szCs w:val="24"/>
        </w:rPr>
        <w:t>.备份投标文件须在“政采云投标客户端”制作生成，并储存在</w:t>
      </w:r>
      <w:r>
        <w:rPr>
          <w:rFonts w:hint="eastAsia" w:hAnsi="宋体" w:cs="宋体"/>
          <w:sz w:val="24"/>
        </w:rPr>
        <w:t>U盘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11E2BD5B">
      <w:pPr>
        <w:pStyle w:val="20"/>
        <w:spacing w:line="360" w:lineRule="auto"/>
        <w:ind w:firstLine="480" w:firstLineChars="200"/>
        <w:rPr>
          <w:rFonts w:hint="eastAsia" w:hAnsi="宋体" w:cs="宋体"/>
          <w:sz w:val="24"/>
          <w:szCs w:val="24"/>
        </w:rPr>
      </w:pPr>
      <w:r>
        <w:rPr>
          <w:rFonts w:hint="eastAsia" w:hAnsi="宋体" w:cs="宋体"/>
          <w:sz w:val="24"/>
          <w:szCs w:val="24"/>
          <w:lang w:val="en-US" w:eastAsia="zh-CN"/>
        </w:rPr>
        <w:t>3</w:t>
      </w:r>
      <w:r>
        <w:rPr>
          <w:rFonts w:hint="eastAsia" w:hAnsi="宋体" w:cs="宋体"/>
          <w:sz w:val="24"/>
          <w:szCs w:val="24"/>
        </w:rPr>
        <w:t>.直接提交备份投标文件的，投标人应于投标截止时间前在招标公告中载明的开标地点将备份投标文件提交给</w:t>
      </w:r>
      <w:r>
        <w:rPr>
          <w:rFonts w:hint="eastAsia" w:hAnsi="宋体" w:cs="宋体"/>
          <w:sz w:val="24"/>
          <w:szCs w:val="24"/>
          <w:lang w:eastAsia="zh-CN"/>
        </w:rPr>
        <w:t>招标代理机构</w:t>
      </w:r>
      <w:r>
        <w:rPr>
          <w:rFonts w:hint="eastAsia" w:hAnsi="宋体" w:cs="宋体"/>
          <w:sz w:val="24"/>
          <w:szCs w:val="24"/>
        </w:rPr>
        <w:t>，</w:t>
      </w:r>
      <w:r>
        <w:rPr>
          <w:rFonts w:hint="eastAsia" w:hAnsi="宋体" w:cs="宋体"/>
          <w:sz w:val="24"/>
          <w:szCs w:val="24"/>
          <w:lang w:eastAsia="zh-CN"/>
        </w:rPr>
        <w:t>招标代理机构</w:t>
      </w:r>
      <w:r>
        <w:rPr>
          <w:rFonts w:hint="eastAsia" w:hAnsi="宋体" w:cs="宋体"/>
          <w:sz w:val="24"/>
          <w:szCs w:val="24"/>
        </w:rPr>
        <w:t>拒绝接受逾期送达的备份投标文件。</w:t>
      </w:r>
    </w:p>
    <w:p w14:paraId="663094BF">
      <w:pPr>
        <w:pStyle w:val="20"/>
        <w:spacing w:line="360" w:lineRule="auto"/>
        <w:ind w:firstLine="480" w:firstLineChars="200"/>
        <w:rPr>
          <w:rFonts w:hint="eastAsia" w:hAnsi="宋体" w:cs="宋体"/>
          <w:sz w:val="24"/>
          <w:szCs w:val="24"/>
        </w:rPr>
      </w:pPr>
      <w:r>
        <w:rPr>
          <w:rFonts w:hint="eastAsia" w:hAnsi="宋体" w:cs="宋体"/>
          <w:sz w:val="24"/>
          <w:szCs w:val="24"/>
          <w:lang w:val="en-US" w:eastAsia="zh-CN"/>
        </w:rPr>
        <w:t>4</w:t>
      </w:r>
      <w:r>
        <w:rPr>
          <w:rFonts w:hint="eastAsia" w:hAnsi="宋体" w:cs="宋体"/>
          <w:sz w:val="24"/>
          <w:szCs w:val="24"/>
        </w:rPr>
        <w:t>.以邮政快递方式递交备份投标文件的，投标人应先将备份投标文件按要求密封和标记，再进行邮政快递包装后邮寄。备份投标文件须在投标截止时间之前</w:t>
      </w:r>
      <w:r>
        <w:rPr>
          <w:rFonts w:hint="eastAsia" w:hAnsi="宋体" w:cs="宋体"/>
          <w:sz w:val="24"/>
          <w:szCs w:val="24"/>
          <w:lang w:val="en-US" w:eastAsia="zh-CN"/>
        </w:rPr>
        <w:t>1天</w:t>
      </w:r>
      <w:r>
        <w:rPr>
          <w:rFonts w:hint="eastAsia" w:hAnsi="宋体" w:cs="宋体"/>
          <w:sz w:val="24"/>
          <w:szCs w:val="24"/>
        </w:rPr>
        <w:t>送达</w:t>
      </w:r>
      <w:r>
        <w:rPr>
          <w:rFonts w:hint="eastAsia" w:hAnsi="宋体" w:cs="宋体"/>
          <w:snapToGrid/>
          <w:sz w:val="24"/>
          <w:szCs w:val="24"/>
        </w:rPr>
        <w:t>招标文件</w:t>
      </w:r>
      <w:r>
        <w:rPr>
          <w:rFonts w:hint="eastAsia" w:hAnsi="宋体" w:cs="宋体"/>
          <w:snapToGrid/>
          <w:sz w:val="24"/>
          <w:szCs w:val="24"/>
          <w:lang w:eastAsia="zh-CN"/>
        </w:rPr>
        <w:t>“</w:t>
      </w:r>
      <w:r>
        <w:rPr>
          <w:rFonts w:hint="eastAsia" w:hAnsi="宋体" w:cs="宋体"/>
          <w:snapToGrid/>
          <w:sz w:val="24"/>
          <w:szCs w:val="24"/>
        </w:rPr>
        <w:t>第</w:t>
      </w:r>
      <w:r>
        <w:rPr>
          <w:rFonts w:hint="eastAsia" w:hAnsi="宋体" w:cs="宋体"/>
          <w:snapToGrid/>
          <w:sz w:val="24"/>
          <w:szCs w:val="24"/>
          <w:lang w:eastAsia="zh-CN"/>
        </w:rPr>
        <w:t>三章</w:t>
      </w:r>
      <w:r>
        <w:rPr>
          <w:rFonts w:hint="eastAsia" w:hAnsi="宋体" w:cs="宋体"/>
          <w:snapToGrid/>
          <w:sz w:val="24"/>
          <w:szCs w:val="24"/>
          <w:lang w:val="en-US" w:eastAsia="zh-CN"/>
        </w:rPr>
        <w:t>-</w:t>
      </w:r>
      <w:r>
        <w:rPr>
          <w:rFonts w:hint="eastAsia" w:hAnsi="宋体" w:cs="宋体"/>
          <w:snapToGrid/>
          <w:sz w:val="24"/>
          <w:szCs w:val="24"/>
        </w:rPr>
        <w:t>投标人须知</w:t>
      </w:r>
      <w:r>
        <w:rPr>
          <w:rFonts w:hint="eastAsia" w:hAnsi="宋体" w:cs="宋体"/>
          <w:snapToGrid/>
          <w:sz w:val="24"/>
          <w:szCs w:val="24"/>
          <w:lang w:val="en-US" w:eastAsia="zh-CN"/>
        </w:rPr>
        <w:t>-</w:t>
      </w:r>
      <w:r>
        <w:rPr>
          <w:rFonts w:hint="eastAsia" w:hAnsi="宋体" w:cs="宋体"/>
          <w:snapToGrid/>
          <w:sz w:val="24"/>
          <w:szCs w:val="24"/>
        </w:rPr>
        <w:t>前附表</w:t>
      </w:r>
      <w:r>
        <w:rPr>
          <w:rFonts w:hint="eastAsia" w:hAnsi="宋体" w:cs="宋体"/>
          <w:snapToGrid/>
          <w:sz w:val="24"/>
          <w:szCs w:val="24"/>
          <w:lang w:eastAsia="zh-CN"/>
        </w:rPr>
        <w:t>”</w:t>
      </w:r>
      <w:r>
        <w:rPr>
          <w:rFonts w:hint="eastAsia" w:hAnsi="宋体" w:cs="宋体"/>
          <w:snapToGrid/>
          <w:sz w:val="24"/>
          <w:szCs w:val="24"/>
        </w:rPr>
        <w:t>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招标代理机构</w:t>
      </w:r>
      <w:r>
        <w:rPr>
          <w:rFonts w:hint="eastAsia" w:hAnsi="宋体" w:cs="宋体"/>
          <w:sz w:val="24"/>
          <w:szCs w:val="24"/>
        </w:rPr>
        <w:t>将拒绝接受逾期送达的备份投标文件。邮寄过程中，电子备份投标文件发生泄露、遗失、损坏或延期送达等情况的，由投标人自行负责。</w:t>
      </w:r>
    </w:p>
    <w:p w14:paraId="3758EFB0">
      <w:pPr>
        <w:bidi w:val="0"/>
        <w:spacing w:line="360" w:lineRule="auto"/>
        <w:ind w:left="0" w:leftChars="0" w:firstLine="0" w:firstLineChars="0"/>
        <w:rPr>
          <w:rFonts w:hint="eastAsia" w:ascii="宋体" w:hAnsi="宋体" w:eastAsia="宋体" w:cs="宋体"/>
          <w:szCs w:val="24"/>
          <w:highlight w:val="none"/>
        </w:rPr>
      </w:pPr>
      <w:r>
        <w:rPr>
          <w:rFonts w:hint="eastAsia"/>
          <w:b/>
          <w:bCs/>
          <w:lang w:eastAsia="zh-CN"/>
        </w:rPr>
        <w:t>七、</w:t>
      </w:r>
      <w:r>
        <w:rPr>
          <w:rFonts w:hint="eastAsia"/>
          <w:b/>
          <w:bCs/>
        </w:rPr>
        <w:t>投标文件的有效期</w:t>
      </w:r>
    </w:p>
    <w:p w14:paraId="7F7C9663">
      <w:pPr>
        <w:spacing w:line="360" w:lineRule="auto"/>
        <w:ind w:firstLine="480"/>
        <w:rPr>
          <w:rFonts w:hint="eastAsia" w:ascii="宋体" w:hAnsi="宋体" w:eastAsia="宋体" w:cs="宋体"/>
          <w:highlight w:val="none"/>
        </w:rPr>
      </w:pPr>
      <w:r>
        <w:rPr>
          <w:rFonts w:hint="eastAsia" w:ascii="宋体" w:hAnsi="宋体" w:eastAsia="宋体" w:cs="宋体"/>
          <w:highlight w:val="none"/>
        </w:rPr>
        <w:t>1</w:t>
      </w:r>
      <w:r>
        <w:rPr>
          <w:rFonts w:hint="eastAsia" w:cs="宋体"/>
          <w:highlight w:val="none"/>
          <w:lang w:eastAsia="zh-CN"/>
        </w:rPr>
        <w:t>.</w:t>
      </w:r>
      <w:r>
        <w:rPr>
          <w:rFonts w:hint="eastAsia" w:ascii="宋体" w:hAnsi="宋体" w:eastAsia="宋体" w:cs="宋体"/>
          <w:highlight w:val="none"/>
        </w:rPr>
        <w:t>投标文件有效期按“</w:t>
      </w:r>
      <w:r>
        <w:rPr>
          <w:rFonts w:hint="eastAsia" w:cs="宋体"/>
          <w:highlight w:val="none"/>
          <w:lang w:eastAsia="zh-CN"/>
        </w:rPr>
        <w:t>投标人</w:t>
      </w:r>
      <w:r>
        <w:rPr>
          <w:rFonts w:hint="eastAsia" w:ascii="宋体" w:hAnsi="宋体" w:eastAsia="宋体" w:cs="宋体"/>
          <w:highlight w:val="none"/>
        </w:rPr>
        <w:t>须知</w:t>
      </w:r>
      <w:r>
        <w:rPr>
          <w:rFonts w:hint="eastAsia" w:cs="宋体"/>
          <w:highlight w:val="none"/>
          <w:lang w:val="en-US" w:eastAsia="zh-CN"/>
        </w:rPr>
        <w:t>-</w:t>
      </w:r>
      <w:r>
        <w:rPr>
          <w:rFonts w:hint="eastAsia" w:ascii="宋体" w:hAnsi="宋体" w:eastAsia="宋体" w:cs="宋体"/>
          <w:highlight w:val="none"/>
        </w:rPr>
        <w:t>前附表</w:t>
      </w:r>
      <w:r>
        <w:rPr>
          <w:rFonts w:hint="eastAsia" w:cs="宋体"/>
          <w:highlight w:val="none"/>
          <w:lang w:val="en-US" w:eastAsia="zh-CN"/>
        </w:rPr>
        <w:t>-第12项</w:t>
      </w:r>
      <w:r>
        <w:rPr>
          <w:rFonts w:hint="eastAsia" w:ascii="宋体" w:hAnsi="宋体" w:eastAsia="宋体" w:cs="宋体"/>
          <w:highlight w:val="none"/>
        </w:rPr>
        <w:t>”规定，投标文件应在该有效期内保持有效。合同签订后，投标文件作为合同附件，投标文件有效期同合同有效期。</w:t>
      </w:r>
    </w:p>
    <w:p w14:paraId="5C132D34">
      <w:pPr>
        <w:spacing w:line="360" w:lineRule="auto"/>
        <w:ind w:firstLine="480"/>
        <w:rPr>
          <w:rFonts w:hint="eastAsia" w:ascii="宋体" w:hAnsi="宋体" w:eastAsia="宋体" w:cs="宋体"/>
          <w:highlight w:val="none"/>
        </w:rPr>
      </w:pPr>
      <w:r>
        <w:rPr>
          <w:rFonts w:hint="eastAsia" w:ascii="宋体" w:hAnsi="宋体" w:eastAsia="宋体" w:cs="宋体"/>
          <w:highlight w:val="none"/>
        </w:rPr>
        <w:t>2</w:t>
      </w:r>
      <w:r>
        <w:rPr>
          <w:rFonts w:hint="eastAsia" w:cs="宋体"/>
          <w:highlight w:val="none"/>
          <w:lang w:eastAsia="zh-CN"/>
        </w:rPr>
        <w:t>.</w:t>
      </w:r>
      <w:r>
        <w:rPr>
          <w:rFonts w:hint="eastAsia" w:ascii="宋体" w:hAnsi="宋体" w:eastAsia="宋体" w:cs="宋体"/>
          <w:highlight w:val="none"/>
        </w:rPr>
        <w:t>在特殊情况下，</w:t>
      </w:r>
      <w:r>
        <w:rPr>
          <w:rFonts w:hint="eastAsia" w:cs="宋体"/>
          <w:highlight w:val="none"/>
          <w:lang w:eastAsia="zh-CN"/>
        </w:rPr>
        <w:t>招标人</w:t>
      </w:r>
      <w:r>
        <w:rPr>
          <w:rFonts w:hint="eastAsia" w:ascii="宋体" w:hAnsi="宋体" w:eastAsia="宋体" w:cs="宋体"/>
          <w:highlight w:val="none"/>
        </w:rPr>
        <w:t>可与供应商协商延长投标文件有效期，这种要求和答复均应以书面形式进行。</w:t>
      </w:r>
    </w:p>
    <w:p w14:paraId="3A72B795">
      <w:pPr>
        <w:spacing w:line="360" w:lineRule="auto"/>
        <w:ind w:firstLine="480"/>
        <w:rPr>
          <w:rFonts w:hint="eastAsia" w:ascii="宋体" w:hAnsi="宋体" w:eastAsia="宋体" w:cs="宋体"/>
          <w:highlight w:val="none"/>
        </w:rPr>
      </w:pPr>
      <w:r>
        <w:rPr>
          <w:rFonts w:hint="eastAsia" w:ascii="宋体" w:hAnsi="宋体" w:eastAsia="宋体" w:cs="宋体"/>
          <w:highlight w:val="none"/>
        </w:rPr>
        <w:t>3</w:t>
      </w:r>
      <w:r>
        <w:rPr>
          <w:rFonts w:hint="eastAsia" w:cs="宋体"/>
          <w:highlight w:val="none"/>
          <w:lang w:eastAsia="zh-CN"/>
        </w:rPr>
        <w:t>.</w:t>
      </w:r>
      <w:r>
        <w:rPr>
          <w:rFonts w:hint="eastAsia" w:ascii="宋体" w:hAnsi="宋体" w:eastAsia="宋体" w:cs="宋体"/>
          <w:highlight w:val="none"/>
        </w:rPr>
        <w:t>同意延长有效期的供应商不能修改投标文件。</w:t>
      </w:r>
    </w:p>
    <w:p w14:paraId="7270DD83">
      <w:pPr>
        <w:bidi w:val="0"/>
        <w:rPr>
          <w:rFonts w:hint="eastAsia"/>
        </w:rPr>
      </w:pPr>
    </w:p>
    <w:p w14:paraId="186B8C17">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 xml:space="preserve">第四节 </w:t>
      </w:r>
      <w:r>
        <w:rPr>
          <w:rFonts w:hint="eastAsia" w:ascii="宋体" w:hAnsi="宋体" w:cs="宋体"/>
          <w:sz w:val="24"/>
          <w:szCs w:val="24"/>
          <w:lang w:val="en-US" w:eastAsia="zh-CN"/>
        </w:rPr>
        <w:t xml:space="preserve"> </w:t>
      </w:r>
      <w:r>
        <w:rPr>
          <w:rFonts w:hint="eastAsia" w:ascii="宋体" w:hAnsi="宋体" w:eastAsia="宋体" w:cs="宋体"/>
          <w:sz w:val="24"/>
          <w:szCs w:val="24"/>
        </w:rPr>
        <w:t>投标文件的</w:t>
      </w:r>
      <w:r>
        <w:rPr>
          <w:rFonts w:hint="eastAsia" w:ascii="宋体" w:hAnsi="宋体" w:cs="宋体"/>
          <w:sz w:val="24"/>
          <w:szCs w:val="24"/>
          <w:lang w:eastAsia="zh-CN"/>
        </w:rPr>
        <w:t>提</w:t>
      </w:r>
      <w:r>
        <w:rPr>
          <w:rFonts w:hint="eastAsia" w:ascii="宋体" w:hAnsi="宋体" w:eastAsia="宋体" w:cs="宋体"/>
          <w:sz w:val="24"/>
          <w:szCs w:val="24"/>
        </w:rPr>
        <w:t>交</w:t>
      </w:r>
      <w:bookmarkEnd w:id="57"/>
      <w:bookmarkEnd w:id="58"/>
    </w:p>
    <w:p w14:paraId="2645693B">
      <w:pPr>
        <w:bidi w:val="0"/>
        <w:spacing w:line="360" w:lineRule="auto"/>
        <w:ind w:left="0" w:leftChars="0" w:firstLine="0" w:firstLineChars="0"/>
        <w:rPr>
          <w:rFonts w:hint="eastAsia" w:cs="宋体"/>
          <w:szCs w:val="24"/>
          <w:lang w:eastAsia="zh-CN"/>
        </w:rPr>
      </w:pPr>
      <w:r>
        <w:rPr>
          <w:rFonts w:hint="eastAsia"/>
          <w:b/>
          <w:bCs/>
        </w:rPr>
        <w:t>一、投标文件的</w:t>
      </w:r>
      <w:r>
        <w:rPr>
          <w:rFonts w:hint="eastAsia"/>
          <w:b/>
          <w:bCs/>
          <w:lang w:eastAsia="zh-CN"/>
        </w:rPr>
        <w:t>上传和提交</w:t>
      </w:r>
    </w:p>
    <w:p w14:paraId="4723DD64">
      <w:pPr>
        <w:spacing w:line="360" w:lineRule="auto"/>
        <w:ind w:firstLine="480"/>
        <w:rPr>
          <w:rFonts w:hint="eastAsia" w:ascii="宋体" w:hAnsi="宋体" w:eastAsia="宋体" w:cs="宋体"/>
          <w:highlight w:val="none"/>
        </w:rPr>
      </w:pPr>
      <w:r>
        <w:rPr>
          <w:rFonts w:hint="eastAsia" w:cs="宋体"/>
          <w:highlight w:val="none"/>
          <w:lang w:eastAsia="zh-CN"/>
        </w:rPr>
        <w:t>详</w:t>
      </w:r>
      <w:r>
        <w:rPr>
          <w:rFonts w:hint="eastAsia" w:ascii="宋体" w:hAnsi="宋体" w:eastAsia="宋体" w:cs="宋体"/>
          <w:highlight w:val="none"/>
        </w:rPr>
        <w:t>见</w:t>
      </w:r>
      <w:r>
        <w:rPr>
          <w:rFonts w:hint="eastAsia" w:cs="宋体"/>
          <w:highlight w:val="none"/>
          <w:lang w:eastAsia="zh-CN"/>
        </w:rPr>
        <w:t>“投标人</w:t>
      </w:r>
      <w:r>
        <w:rPr>
          <w:rFonts w:hint="eastAsia" w:ascii="宋体" w:hAnsi="宋体" w:eastAsia="宋体" w:cs="宋体"/>
          <w:highlight w:val="none"/>
        </w:rPr>
        <w:t>须知</w:t>
      </w:r>
      <w:r>
        <w:rPr>
          <w:rFonts w:hint="eastAsia" w:cs="宋体"/>
          <w:highlight w:val="none"/>
          <w:lang w:val="en-US" w:eastAsia="zh-CN"/>
        </w:rPr>
        <w:t>-</w:t>
      </w:r>
      <w:r>
        <w:rPr>
          <w:rFonts w:hint="eastAsia" w:ascii="宋体" w:hAnsi="宋体" w:eastAsia="宋体" w:cs="宋体"/>
          <w:highlight w:val="none"/>
        </w:rPr>
        <w:t>前附表</w:t>
      </w:r>
      <w:r>
        <w:rPr>
          <w:rFonts w:hint="eastAsia" w:cs="宋体"/>
          <w:highlight w:val="none"/>
          <w:lang w:val="en-US" w:eastAsia="zh-CN"/>
        </w:rPr>
        <w:t>-第10项</w:t>
      </w:r>
      <w:r>
        <w:rPr>
          <w:rFonts w:hint="eastAsia" w:cs="宋体"/>
          <w:highlight w:val="none"/>
          <w:lang w:eastAsia="zh-CN"/>
        </w:rPr>
        <w:t>”</w:t>
      </w:r>
      <w:r>
        <w:rPr>
          <w:rFonts w:hint="eastAsia" w:ascii="宋体" w:hAnsi="宋体" w:eastAsia="宋体" w:cs="宋体"/>
          <w:highlight w:val="none"/>
        </w:rPr>
        <w:t>。</w:t>
      </w:r>
    </w:p>
    <w:p w14:paraId="339EA1B6">
      <w:pPr>
        <w:bidi w:val="0"/>
        <w:spacing w:line="360" w:lineRule="auto"/>
        <w:ind w:left="0" w:leftChars="0" w:firstLine="0" w:firstLineChars="0"/>
        <w:rPr>
          <w:rFonts w:hint="eastAsia" w:ascii="宋体" w:hAnsi="宋体" w:eastAsia="宋体" w:cs="宋体"/>
          <w:szCs w:val="24"/>
        </w:rPr>
      </w:pPr>
      <w:r>
        <w:rPr>
          <w:rFonts w:hint="eastAsia"/>
          <w:b/>
          <w:bCs/>
        </w:rPr>
        <w:t>二、投标文件的补充、修改</w:t>
      </w:r>
      <w:r>
        <w:rPr>
          <w:rFonts w:hint="eastAsia"/>
          <w:b/>
          <w:bCs/>
          <w:lang w:eastAsia="zh-CN"/>
        </w:rPr>
        <w:t>、</w:t>
      </w:r>
      <w:r>
        <w:rPr>
          <w:rFonts w:hint="eastAsia"/>
          <w:b/>
          <w:bCs/>
        </w:rPr>
        <w:t>撤回</w:t>
      </w:r>
    </w:p>
    <w:p w14:paraId="06A2610C">
      <w:pPr>
        <w:bidi w:val="0"/>
        <w:spacing w:line="360" w:lineRule="auto"/>
        <w:rPr>
          <w:rFonts w:hint="eastAsia"/>
        </w:rPr>
      </w:pPr>
      <w:bookmarkStart w:id="59" w:name="_Toc20835"/>
      <w:bookmarkStart w:id="60" w:name="_Toc27893"/>
      <w:r>
        <w:rPr>
          <w:rFonts w:hint="eastAsia"/>
        </w:rPr>
        <w:t>1.投标人应当在投标截止时间前完成投标文件的</w:t>
      </w:r>
      <w:r>
        <w:rPr>
          <w:rFonts w:hint="eastAsia"/>
          <w:lang w:eastAsia="zh-CN"/>
        </w:rPr>
        <w:t>上传提</w:t>
      </w:r>
      <w:r>
        <w:rPr>
          <w:rFonts w:hint="eastAsia"/>
        </w:rPr>
        <w:t>交，并可以补充、修改或者撤回投标文件。补充或者修改投标文件的，应当先行撤回原文件，补充、修改后重新</w:t>
      </w:r>
      <w:r>
        <w:rPr>
          <w:rFonts w:hint="eastAsia"/>
          <w:lang w:eastAsia="zh-CN"/>
        </w:rPr>
        <w:t>上传提</w:t>
      </w:r>
      <w:r>
        <w:rPr>
          <w:rFonts w:hint="eastAsia"/>
        </w:rPr>
        <w:t>交。投标截止时间后</w:t>
      </w:r>
      <w:r>
        <w:rPr>
          <w:rFonts w:hint="eastAsia"/>
          <w:lang w:eastAsia="zh-CN"/>
        </w:rPr>
        <w:t>提</w:t>
      </w:r>
      <w:r>
        <w:rPr>
          <w:rFonts w:hint="eastAsia"/>
        </w:rPr>
        <w:t>交的投标文件，电子交易平台将拒收。</w:t>
      </w:r>
    </w:p>
    <w:p w14:paraId="6B22F804">
      <w:pPr>
        <w:bidi w:val="0"/>
        <w:spacing w:line="360" w:lineRule="auto"/>
        <w:rPr>
          <w:rFonts w:hint="eastAsia"/>
        </w:rPr>
      </w:pPr>
      <w:r>
        <w:rPr>
          <w:rFonts w:hint="eastAsia"/>
          <w:lang w:val="en-US" w:eastAsia="zh-CN"/>
        </w:rPr>
        <w:t>2</w:t>
      </w:r>
      <w:r>
        <w:rPr>
          <w:rFonts w:hint="eastAsia"/>
        </w:rPr>
        <w:t>.电子交易平台收到投标文件，将妥善保存并即时向投标人发出确认回执通知。在投标截止时间前，除投标人补充、修改或者撤回投标文件外，任何单位和个人不得解密或提取投标文件。</w:t>
      </w:r>
    </w:p>
    <w:p w14:paraId="5C9B2B1D">
      <w:pPr>
        <w:bidi w:val="0"/>
        <w:spacing w:line="360" w:lineRule="auto"/>
        <w:rPr>
          <w:rFonts w:hint="eastAsia"/>
        </w:rPr>
      </w:pPr>
      <w:r>
        <w:rPr>
          <w:rFonts w:hint="eastAsia"/>
          <w:lang w:val="en-US" w:eastAsia="zh-CN"/>
        </w:rPr>
        <w:t>3</w:t>
      </w:r>
      <w:r>
        <w:rPr>
          <w:rFonts w:hint="eastAsia"/>
        </w:rPr>
        <w:t>.</w:t>
      </w:r>
      <w:r>
        <w:rPr>
          <w:rFonts w:hint="eastAsia"/>
          <w:lang w:eastAsia="zh-CN"/>
        </w:rPr>
        <w:t>招标人</w:t>
      </w:r>
      <w:r>
        <w:rPr>
          <w:rFonts w:hint="eastAsia"/>
        </w:rPr>
        <w:t>、</w:t>
      </w:r>
      <w:r>
        <w:rPr>
          <w:rFonts w:hint="eastAsia"/>
          <w:lang w:eastAsia="zh-CN"/>
        </w:rPr>
        <w:t>招标代理机构</w:t>
      </w:r>
      <w:r>
        <w:rPr>
          <w:rFonts w:hint="eastAsia"/>
        </w:rPr>
        <w:t>可以视情况延长投标文件提交的截止时间。在上述情况下，</w:t>
      </w:r>
      <w:r>
        <w:rPr>
          <w:rFonts w:hint="eastAsia"/>
          <w:lang w:eastAsia="zh-CN"/>
        </w:rPr>
        <w:t>招标代理机构</w:t>
      </w:r>
      <w:r>
        <w:rPr>
          <w:rFonts w:hint="eastAsia"/>
        </w:rPr>
        <w:t>与投标人以前在投标截止期方面的全部权利、责任和义务，将适用于延长至新的投标截止期。</w:t>
      </w:r>
    </w:p>
    <w:p w14:paraId="00F084B2">
      <w:pPr>
        <w:ind w:firstLine="480"/>
        <w:rPr>
          <w:rFonts w:hint="eastAsia" w:ascii="宋体" w:hAnsi="宋体" w:eastAsia="宋体" w:cs="宋体"/>
        </w:rPr>
      </w:pPr>
    </w:p>
    <w:p w14:paraId="49B32CC5">
      <w:pPr>
        <w:pStyle w:val="4"/>
        <w:spacing w:line="360" w:lineRule="auto"/>
        <w:jc w:val="center"/>
        <w:rPr>
          <w:rFonts w:hint="eastAsia" w:ascii="宋体" w:hAnsi="宋体" w:eastAsia="宋体" w:cs="宋体"/>
          <w:sz w:val="24"/>
          <w:szCs w:val="24"/>
        </w:rPr>
      </w:pPr>
      <w:r>
        <w:rPr>
          <w:rFonts w:hint="eastAsia" w:ascii="宋体" w:hAnsi="宋体" w:eastAsia="宋体" w:cs="宋体"/>
          <w:sz w:val="24"/>
          <w:szCs w:val="24"/>
        </w:rPr>
        <w:t xml:space="preserve">第五节 </w:t>
      </w:r>
      <w:r>
        <w:rPr>
          <w:rFonts w:hint="eastAsia" w:ascii="宋体" w:hAnsi="宋体" w:cs="宋体"/>
          <w:sz w:val="24"/>
          <w:szCs w:val="24"/>
          <w:lang w:val="en-US" w:eastAsia="zh-CN"/>
        </w:rPr>
        <w:t xml:space="preserve"> </w:t>
      </w:r>
      <w:r>
        <w:rPr>
          <w:rFonts w:hint="eastAsia" w:ascii="宋体" w:hAnsi="宋体" w:eastAsia="宋体" w:cs="宋体"/>
          <w:sz w:val="24"/>
          <w:szCs w:val="24"/>
        </w:rPr>
        <w:t>开</w:t>
      </w:r>
      <w:r>
        <w:rPr>
          <w:rFonts w:hint="eastAsia" w:ascii="宋体" w:hAnsi="宋体" w:cs="宋体"/>
          <w:sz w:val="24"/>
          <w:szCs w:val="24"/>
          <w:lang w:val="en-US" w:eastAsia="zh-CN"/>
        </w:rPr>
        <w:t xml:space="preserve"> </w:t>
      </w:r>
      <w:r>
        <w:rPr>
          <w:rFonts w:hint="eastAsia" w:ascii="宋体" w:hAnsi="宋体" w:eastAsia="宋体" w:cs="宋体"/>
          <w:sz w:val="24"/>
          <w:szCs w:val="24"/>
        </w:rPr>
        <w:t>标</w:t>
      </w:r>
      <w:bookmarkEnd w:id="59"/>
      <w:bookmarkEnd w:id="60"/>
    </w:p>
    <w:p w14:paraId="27BA0D39">
      <w:pPr>
        <w:bidi w:val="0"/>
        <w:spacing w:line="360" w:lineRule="auto"/>
        <w:ind w:left="0" w:leftChars="0" w:firstLine="0" w:firstLineChars="0"/>
        <w:rPr>
          <w:rFonts w:hint="eastAsia" w:ascii="宋体" w:hAnsi="宋体" w:eastAsia="宋体" w:cs="宋体"/>
          <w:szCs w:val="24"/>
        </w:rPr>
      </w:pPr>
      <w:r>
        <w:rPr>
          <w:rFonts w:hint="eastAsia"/>
          <w:b/>
          <w:bCs/>
        </w:rPr>
        <w:t>一、开标流程</w:t>
      </w:r>
    </w:p>
    <w:p w14:paraId="211E3363">
      <w:pPr>
        <w:spacing w:line="360" w:lineRule="auto"/>
        <w:rPr>
          <w:rFonts w:hint="eastAsia" w:cs="宋体"/>
          <w:b/>
          <w:bCs/>
          <w:szCs w:val="24"/>
          <w:lang w:val="en-US" w:eastAsia="zh-CN"/>
        </w:rPr>
      </w:pPr>
      <w:r>
        <w:rPr>
          <w:rFonts w:hint="eastAsia" w:cs="宋体"/>
          <w:b/>
          <w:bCs/>
          <w:szCs w:val="24"/>
          <w:lang w:val="en-US" w:eastAsia="zh-CN"/>
        </w:rPr>
        <w:t>1.开标准备</w:t>
      </w:r>
    </w:p>
    <w:p w14:paraId="14D2EC4A">
      <w:pPr>
        <w:pStyle w:val="6"/>
        <w:spacing w:line="360" w:lineRule="auto"/>
        <w:rPr>
          <w:rFonts w:hint="eastAsia" w:ascii="宋体" w:hAnsi="宋体" w:eastAsia="宋体" w:cs="宋体"/>
          <w:b w:val="0"/>
          <w:bCs w:val="0"/>
          <w:highlight w:val="none"/>
        </w:rPr>
      </w:pPr>
      <w:r>
        <w:rPr>
          <w:rFonts w:hint="eastAsia" w:cs="宋体"/>
          <w:b w:val="0"/>
          <w:bCs w:val="0"/>
          <w:highlight w:val="none"/>
          <w:lang w:eastAsia="zh-CN"/>
        </w:rPr>
        <w:t>招标代理机构</w:t>
      </w:r>
      <w:r>
        <w:rPr>
          <w:rFonts w:hint="eastAsia" w:ascii="宋体" w:hAnsi="宋体" w:eastAsia="宋体" w:cs="宋体"/>
          <w:b w:val="0"/>
          <w:bCs w:val="0"/>
          <w:highlight w:val="none"/>
        </w:rPr>
        <w:t>将按照</w:t>
      </w:r>
      <w:r>
        <w:rPr>
          <w:rFonts w:hint="eastAsia" w:cs="宋体"/>
          <w:b w:val="0"/>
          <w:bCs w:val="0"/>
          <w:highlight w:val="none"/>
          <w:lang w:eastAsia="zh-CN"/>
        </w:rPr>
        <w:t>招标文件</w:t>
      </w:r>
      <w:r>
        <w:rPr>
          <w:rFonts w:hint="eastAsia" w:ascii="宋体" w:hAnsi="宋体" w:eastAsia="宋体" w:cs="宋体"/>
          <w:b w:val="0"/>
          <w:bCs w:val="0"/>
          <w:highlight w:val="none"/>
        </w:rPr>
        <w:t>规定的时间通过浙江政府采购网组织开标、开启电子加密投标文件，所有供应商均应当准时在线参加。供应商如不参加开标大会的，视同认可开标结果，事后不得对采购相关人员、开标过程和开标结果提出异议，同时供应商因未在线参加开标而导致电子加密投标文件无法按时解密等一切后果由供应商自己承担。</w:t>
      </w:r>
    </w:p>
    <w:p w14:paraId="35DB55E9">
      <w:pPr>
        <w:numPr>
          <w:ilvl w:val="0"/>
          <w:numId w:val="0"/>
        </w:numPr>
        <w:spacing w:line="360" w:lineRule="auto"/>
        <w:ind w:firstLine="482" w:firstLineChars="200"/>
        <w:rPr>
          <w:rFonts w:hint="eastAsia" w:cs="宋体"/>
          <w:b/>
          <w:bCs/>
          <w:highlight w:val="none"/>
          <w:lang w:val="en-US" w:eastAsia="zh-CN"/>
        </w:rPr>
      </w:pPr>
      <w:r>
        <w:rPr>
          <w:rFonts w:hint="eastAsia" w:cs="宋体"/>
          <w:b/>
          <w:bCs/>
          <w:highlight w:val="none"/>
          <w:lang w:val="en-US" w:eastAsia="zh-CN"/>
        </w:rPr>
        <w:t>2.开标流程（两阶段）</w:t>
      </w:r>
    </w:p>
    <w:p w14:paraId="1EA1D750">
      <w:pPr>
        <w:spacing w:line="360" w:lineRule="auto"/>
        <w:ind w:firstLine="480"/>
        <w:rPr>
          <w:rFonts w:hint="eastAsia" w:ascii="宋体" w:hAnsi="宋体" w:eastAsia="宋体" w:cs="宋体"/>
          <w:highlight w:val="none"/>
        </w:rPr>
      </w:pPr>
      <w:r>
        <w:rPr>
          <w:rFonts w:hint="eastAsia" w:ascii="宋体" w:hAnsi="宋体" w:eastAsia="宋体" w:cs="宋体"/>
          <w:highlight w:val="none"/>
        </w:rPr>
        <w:t>2.1 开标第一阶段</w:t>
      </w:r>
    </w:p>
    <w:p w14:paraId="440B6AF6">
      <w:pPr>
        <w:spacing w:line="360" w:lineRule="auto"/>
        <w:ind w:left="0" w:leftChars="0" w:firstLine="480" w:firstLineChars="200"/>
        <w:rPr>
          <w:rFonts w:hint="eastAsia" w:ascii="宋体" w:hAnsi="宋体" w:eastAsia="宋体" w:cs="宋体"/>
          <w:highlight w:val="none"/>
        </w:rPr>
      </w:pPr>
      <w:r>
        <w:rPr>
          <w:rFonts w:hint="eastAsia" w:cs="宋体"/>
          <w:highlight w:val="none"/>
          <w:lang w:val="en-US" w:eastAsia="zh-CN"/>
        </w:rPr>
        <w:t xml:space="preserve">2.1.1 </w:t>
      </w:r>
      <w:r>
        <w:rPr>
          <w:rFonts w:hint="eastAsia" w:cs="宋体"/>
          <w:highlight w:val="none"/>
          <w:lang w:eastAsia="zh-CN"/>
        </w:rPr>
        <w:t>招标代理机构</w:t>
      </w:r>
      <w:r>
        <w:rPr>
          <w:rFonts w:hint="eastAsia" w:ascii="宋体" w:hAnsi="宋体" w:eastAsia="宋体" w:cs="宋体"/>
          <w:highlight w:val="none"/>
        </w:rPr>
        <w:t>开始解密，供应商在规定的时间内进行电子加密投标文件解密。</w:t>
      </w:r>
    </w:p>
    <w:p w14:paraId="0035A120">
      <w:pPr>
        <w:spacing w:line="360" w:lineRule="auto"/>
        <w:rPr>
          <w:rFonts w:hint="eastAsia" w:ascii="宋体" w:hAnsi="宋体" w:eastAsia="宋体" w:cs="宋体"/>
          <w:highlight w:val="none"/>
        </w:rPr>
      </w:pPr>
      <w:r>
        <w:rPr>
          <w:rFonts w:hint="eastAsia" w:cs="宋体"/>
          <w:highlight w:val="none"/>
          <w:lang w:val="en-US" w:eastAsia="zh-CN"/>
        </w:rPr>
        <w:t xml:space="preserve">2.1.2 </w:t>
      </w:r>
      <w:r>
        <w:rPr>
          <w:rFonts w:hint="eastAsia" w:ascii="宋体" w:hAnsi="宋体" w:eastAsia="宋体" w:cs="宋体"/>
          <w:highlight w:val="none"/>
        </w:rPr>
        <w:t>解密时间为开标后30分钟内。</w:t>
      </w:r>
    </w:p>
    <w:p w14:paraId="0D709283">
      <w:pPr>
        <w:spacing w:line="360" w:lineRule="auto"/>
        <w:rPr>
          <w:rFonts w:hint="eastAsia" w:ascii="宋体" w:hAnsi="宋体" w:eastAsia="宋体" w:cs="宋体"/>
          <w:highlight w:val="none"/>
        </w:rPr>
      </w:pPr>
      <w:r>
        <w:rPr>
          <w:rFonts w:hint="eastAsia" w:cs="宋体"/>
          <w:highlight w:val="none"/>
          <w:lang w:val="en-US" w:eastAsia="zh-CN"/>
        </w:rPr>
        <w:t xml:space="preserve">2.1.3 </w:t>
      </w:r>
      <w:r>
        <w:rPr>
          <w:rFonts w:hint="eastAsia" w:ascii="宋体" w:hAnsi="宋体" w:eastAsia="宋体" w:cs="宋体"/>
          <w:highlight w:val="none"/>
        </w:rPr>
        <w:t>解密失败的异常处理：供应商在规定的时间内无法完成已递交的电子加密投标文件解密的，如已按规定递交了备份投标文件的，将由</w:t>
      </w:r>
      <w:r>
        <w:rPr>
          <w:rFonts w:hint="eastAsia" w:cs="宋体"/>
          <w:highlight w:val="none"/>
          <w:lang w:eastAsia="zh-CN"/>
        </w:rPr>
        <w:t>招标代理机构</w:t>
      </w:r>
      <w:r>
        <w:rPr>
          <w:rFonts w:hint="eastAsia" w:ascii="宋体" w:hAnsi="宋体" w:eastAsia="宋体" w:cs="宋体"/>
          <w:highlight w:val="none"/>
        </w:rPr>
        <w:t>将备份投标文件上传至浙江政府采购网，上传成功后，原电子加密投标文件自动失效。</w:t>
      </w:r>
    </w:p>
    <w:p w14:paraId="21BA6F1A">
      <w:pPr>
        <w:spacing w:line="360" w:lineRule="auto"/>
        <w:rPr>
          <w:rFonts w:hint="eastAsia" w:ascii="宋体" w:hAnsi="宋体" w:eastAsia="宋体" w:cs="宋体"/>
          <w:highlight w:val="none"/>
        </w:rPr>
      </w:pPr>
      <w:r>
        <w:rPr>
          <w:rFonts w:hint="eastAsia" w:cs="宋体"/>
          <w:highlight w:val="none"/>
          <w:lang w:val="en-US" w:eastAsia="zh-CN"/>
        </w:rPr>
        <w:t xml:space="preserve">2.1.4 </w:t>
      </w:r>
      <w:r>
        <w:rPr>
          <w:rFonts w:hint="eastAsia" w:ascii="宋体" w:hAnsi="宋体" w:eastAsia="宋体" w:cs="宋体"/>
          <w:highlight w:val="none"/>
        </w:rPr>
        <w:t>第一阶段开标结束。</w:t>
      </w:r>
    </w:p>
    <w:p w14:paraId="7ADF93CA">
      <w:pPr>
        <w:spacing w:line="360" w:lineRule="auto"/>
        <w:rPr>
          <w:rFonts w:hint="eastAsia" w:ascii="宋体" w:hAnsi="宋体" w:eastAsia="宋体" w:cs="宋体"/>
          <w:highlight w:val="none"/>
        </w:rPr>
      </w:pPr>
      <w:r>
        <w:rPr>
          <w:rFonts w:hint="eastAsia" w:cs="宋体"/>
          <w:highlight w:val="none"/>
          <w:lang w:val="en-US" w:eastAsia="zh-CN"/>
        </w:rPr>
        <w:t xml:space="preserve">2.1.5 </w:t>
      </w:r>
      <w:r>
        <w:rPr>
          <w:rFonts w:hint="eastAsia" w:ascii="宋体" w:hAnsi="宋体" w:eastAsia="宋体" w:cs="宋体"/>
          <w:highlight w:val="none"/>
        </w:rPr>
        <w:t>转入</w:t>
      </w:r>
      <w:r>
        <w:rPr>
          <w:rFonts w:hint="eastAsia" w:cs="宋体"/>
          <w:highlight w:val="none"/>
          <w:lang w:eastAsia="zh-CN"/>
        </w:rPr>
        <w:t>资格文件</w:t>
      </w:r>
      <w:r>
        <w:rPr>
          <w:rFonts w:hint="eastAsia" w:ascii="宋体" w:hAnsi="宋体" w:eastAsia="宋体" w:cs="宋体"/>
          <w:highlight w:val="none"/>
        </w:rPr>
        <w:t>和商务技术文件评审。</w:t>
      </w:r>
    </w:p>
    <w:p w14:paraId="532D6B2D">
      <w:pPr>
        <w:spacing w:line="360" w:lineRule="auto"/>
        <w:rPr>
          <w:rFonts w:hint="eastAsia" w:ascii="宋体" w:hAnsi="宋体" w:eastAsia="宋体" w:cs="宋体"/>
          <w:highlight w:val="none"/>
        </w:rPr>
      </w:pPr>
      <w:r>
        <w:rPr>
          <w:rFonts w:hint="eastAsia" w:ascii="宋体" w:hAnsi="宋体" w:eastAsia="宋体" w:cs="宋体"/>
          <w:highlight w:val="none"/>
        </w:rPr>
        <w:t>2.2 开标第二阶段</w:t>
      </w:r>
    </w:p>
    <w:p w14:paraId="1E6696E8">
      <w:pPr>
        <w:spacing w:line="360" w:lineRule="auto"/>
        <w:rPr>
          <w:rFonts w:hint="eastAsia" w:ascii="宋体" w:hAnsi="宋体" w:eastAsia="宋体" w:cs="宋体"/>
          <w:highlight w:val="none"/>
        </w:rPr>
      </w:pPr>
      <w:r>
        <w:rPr>
          <w:rFonts w:hint="eastAsia" w:cs="宋体"/>
          <w:highlight w:val="none"/>
          <w:lang w:val="en-US" w:eastAsia="zh-CN"/>
        </w:rPr>
        <w:t xml:space="preserve">2.2.1 </w:t>
      </w:r>
      <w:r>
        <w:rPr>
          <w:rFonts w:hint="eastAsia" w:cs="宋体"/>
          <w:highlight w:val="none"/>
          <w:lang w:eastAsia="zh-CN"/>
        </w:rPr>
        <w:t>资格文件</w:t>
      </w:r>
      <w:r>
        <w:rPr>
          <w:rFonts w:hint="eastAsia" w:ascii="宋体" w:hAnsi="宋体" w:eastAsia="宋体" w:cs="宋体"/>
          <w:highlight w:val="none"/>
        </w:rPr>
        <w:t>和商务技术文件评审结束后，进入开标大会第二阶段。公布无效供应商名称及理由，同时公布有效供应商的商务技术部分得分情况。</w:t>
      </w:r>
    </w:p>
    <w:p w14:paraId="4FD227D6">
      <w:pPr>
        <w:spacing w:line="360" w:lineRule="auto"/>
        <w:rPr>
          <w:rFonts w:hint="eastAsia" w:ascii="宋体" w:hAnsi="宋体" w:eastAsia="宋体" w:cs="宋体"/>
          <w:highlight w:val="none"/>
        </w:rPr>
      </w:pPr>
      <w:r>
        <w:rPr>
          <w:rFonts w:hint="eastAsia" w:cs="宋体"/>
          <w:highlight w:val="none"/>
          <w:lang w:val="en-US" w:eastAsia="zh-CN"/>
        </w:rPr>
        <w:t xml:space="preserve">2.2.2 </w:t>
      </w:r>
      <w:r>
        <w:rPr>
          <w:rFonts w:hint="eastAsia" w:ascii="宋体" w:hAnsi="宋体" w:eastAsia="宋体" w:cs="宋体"/>
          <w:highlight w:val="none"/>
        </w:rPr>
        <w:t>开启有效供应商的报价文件，公布开标一览表有关内容。开标结束后，由评标委员会对报价的合理性、准确性等进行审查核实。</w:t>
      </w:r>
    </w:p>
    <w:p w14:paraId="2D40D6A4">
      <w:pPr>
        <w:bidi w:val="0"/>
        <w:spacing w:line="360" w:lineRule="auto"/>
        <w:rPr>
          <w:rFonts w:hint="eastAsia"/>
          <w:b/>
          <w:bCs/>
          <w:lang w:val="en-US" w:eastAsia="zh-CN"/>
        </w:rPr>
      </w:pPr>
    </w:p>
    <w:p w14:paraId="391E0E2B">
      <w:pPr>
        <w:bidi w:val="0"/>
        <w:spacing w:line="360" w:lineRule="auto"/>
        <w:rPr>
          <w:rFonts w:hint="eastAsia"/>
          <w:lang w:val="en-US" w:eastAsia="zh-CN"/>
        </w:rPr>
      </w:pPr>
      <w:r>
        <w:rPr>
          <w:rFonts w:hint="eastAsia"/>
          <w:b/>
          <w:bCs/>
          <w:lang w:val="en-US" w:eastAsia="zh-CN"/>
        </w:rPr>
        <w:t>3.投标文件初步评审</w:t>
      </w:r>
    </w:p>
    <w:p w14:paraId="27EC5BCB">
      <w:pPr>
        <w:spacing w:line="360" w:lineRule="auto"/>
        <w:rPr>
          <w:rFonts w:hint="eastAsia" w:ascii="宋体" w:hAnsi="宋体" w:eastAsia="宋体" w:cs="宋体"/>
          <w:highlight w:val="none"/>
        </w:rPr>
      </w:pPr>
      <w:r>
        <w:rPr>
          <w:rFonts w:hint="eastAsia" w:ascii="宋体" w:hAnsi="宋体" w:eastAsia="宋体" w:cs="宋体"/>
          <w:highlight w:val="none"/>
        </w:rPr>
        <w:t>3.1</w:t>
      </w:r>
      <w:r>
        <w:rPr>
          <w:rFonts w:hint="eastAsia" w:cs="宋体"/>
          <w:highlight w:val="none"/>
          <w:lang w:val="en-US" w:eastAsia="zh-CN"/>
        </w:rPr>
        <w:t xml:space="preserve"> </w:t>
      </w:r>
      <w:r>
        <w:rPr>
          <w:rFonts w:hint="eastAsia" w:cs="宋体"/>
          <w:highlight w:val="none"/>
          <w:lang w:eastAsia="zh-CN"/>
        </w:rPr>
        <w:t>招标代理机构</w:t>
      </w:r>
      <w:r>
        <w:rPr>
          <w:rFonts w:hint="eastAsia" w:ascii="宋体" w:hAnsi="宋体" w:eastAsia="宋体" w:cs="宋体"/>
          <w:highlight w:val="none"/>
        </w:rPr>
        <w:t>或评审专家首先审查各供应商的资格条件是否满足</w:t>
      </w:r>
      <w:r>
        <w:rPr>
          <w:rFonts w:hint="eastAsia" w:cs="宋体"/>
          <w:highlight w:val="none"/>
          <w:lang w:eastAsia="zh-CN"/>
        </w:rPr>
        <w:t>招标文件</w:t>
      </w:r>
      <w:r>
        <w:rPr>
          <w:rFonts w:hint="eastAsia" w:ascii="宋体" w:hAnsi="宋体" w:eastAsia="宋体" w:cs="宋体"/>
          <w:highlight w:val="none"/>
        </w:rPr>
        <w:t>要求。</w:t>
      </w:r>
    </w:p>
    <w:p w14:paraId="1739036B">
      <w:pPr>
        <w:spacing w:line="360" w:lineRule="auto"/>
        <w:rPr>
          <w:rFonts w:hint="eastAsia" w:ascii="宋体" w:hAnsi="宋体" w:eastAsia="宋体" w:cs="宋体"/>
          <w:highlight w:val="none"/>
        </w:rPr>
      </w:pPr>
      <w:r>
        <w:rPr>
          <w:rFonts w:hint="eastAsia" w:ascii="宋体" w:hAnsi="宋体" w:eastAsia="宋体" w:cs="宋体"/>
          <w:highlight w:val="none"/>
        </w:rPr>
        <w:t>3.2</w:t>
      </w:r>
      <w:r>
        <w:rPr>
          <w:rFonts w:hint="eastAsia" w:cs="宋体"/>
          <w:highlight w:val="none"/>
          <w:lang w:val="en-US" w:eastAsia="zh-CN"/>
        </w:rPr>
        <w:t xml:space="preserve"> </w:t>
      </w:r>
      <w:r>
        <w:rPr>
          <w:rFonts w:hint="eastAsia" w:ascii="宋体" w:hAnsi="宋体" w:eastAsia="宋体" w:cs="宋体"/>
          <w:highlight w:val="none"/>
        </w:rPr>
        <w:t>评标委员会将首先审查每份投标文件是否实质上响应了</w:t>
      </w:r>
      <w:r>
        <w:rPr>
          <w:rFonts w:hint="eastAsia" w:cs="宋体"/>
          <w:highlight w:val="none"/>
          <w:lang w:eastAsia="zh-CN"/>
        </w:rPr>
        <w:t>招标文件</w:t>
      </w:r>
      <w:r>
        <w:rPr>
          <w:rFonts w:hint="eastAsia" w:ascii="宋体" w:hAnsi="宋体" w:eastAsia="宋体" w:cs="宋体"/>
          <w:highlight w:val="none"/>
        </w:rPr>
        <w:t>的要求，实质性响应的投标文件是指投标文件符合</w:t>
      </w:r>
      <w:r>
        <w:rPr>
          <w:rFonts w:hint="eastAsia" w:cs="宋体"/>
          <w:highlight w:val="none"/>
          <w:lang w:eastAsia="zh-CN"/>
        </w:rPr>
        <w:t>招标文件</w:t>
      </w:r>
      <w:r>
        <w:rPr>
          <w:rFonts w:hint="eastAsia" w:ascii="宋体" w:hAnsi="宋体" w:eastAsia="宋体" w:cs="宋体"/>
          <w:highlight w:val="none"/>
        </w:rPr>
        <w:t>规定的实质性内容、条件和规定。</w:t>
      </w:r>
    </w:p>
    <w:p w14:paraId="6A47693C">
      <w:pPr>
        <w:spacing w:line="360" w:lineRule="auto"/>
        <w:rPr>
          <w:rFonts w:hint="eastAsia" w:ascii="宋体" w:hAnsi="宋体" w:eastAsia="宋体" w:cs="宋体"/>
          <w:highlight w:val="none"/>
        </w:rPr>
      </w:pPr>
      <w:r>
        <w:rPr>
          <w:rFonts w:hint="eastAsia" w:ascii="宋体" w:hAnsi="宋体" w:eastAsia="宋体" w:cs="宋体"/>
          <w:highlight w:val="none"/>
        </w:rPr>
        <w:t>3.3</w:t>
      </w:r>
      <w:r>
        <w:rPr>
          <w:rFonts w:hint="eastAsia" w:cs="宋体"/>
          <w:highlight w:val="none"/>
          <w:lang w:val="en-US" w:eastAsia="zh-CN"/>
        </w:rPr>
        <w:t xml:space="preserve"> </w:t>
      </w:r>
      <w:r>
        <w:rPr>
          <w:rFonts w:hint="eastAsia" w:ascii="宋体" w:hAnsi="宋体" w:eastAsia="宋体" w:cs="宋体"/>
          <w:highlight w:val="none"/>
        </w:rPr>
        <w:t>重大偏离或保留是指将会影响到</w:t>
      </w:r>
      <w:r>
        <w:rPr>
          <w:rFonts w:hint="eastAsia" w:cs="宋体"/>
          <w:highlight w:val="none"/>
          <w:lang w:eastAsia="zh-CN"/>
        </w:rPr>
        <w:t>招标文件</w:t>
      </w:r>
      <w:r>
        <w:rPr>
          <w:rFonts w:hint="eastAsia" w:ascii="宋体" w:hAnsi="宋体" w:eastAsia="宋体" w:cs="宋体"/>
          <w:highlight w:val="none"/>
        </w:rPr>
        <w:t>规定的服务范围、质量标准，或会给合同中规定的</w:t>
      </w:r>
      <w:r>
        <w:rPr>
          <w:rFonts w:hint="eastAsia" w:cs="宋体"/>
          <w:highlight w:val="none"/>
          <w:lang w:eastAsia="zh-CN"/>
        </w:rPr>
        <w:t>招标人</w:t>
      </w:r>
      <w:r>
        <w:rPr>
          <w:rFonts w:hint="eastAsia" w:ascii="宋体" w:hAnsi="宋体" w:eastAsia="宋体" w:cs="宋体"/>
          <w:highlight w:val="none"/>
        </w:rPr>
        <w:t>的权利和供应商的责任造成实质性限制，而纠正这些偏离或保留将对其他提交了实质性响应的投标文件的供应商产生不公平影响的。</w:t>
      </w:r>
    </w:p>
    <w:p w14:paraId="1D4649A3">
      <w:pPr>
        <w:spacing w:line="360" w:lineRule="auto"/>
        <w:rPr>
          <w:rFonts w:hint="eastAsia" w:ascii="宋体" w:hAnsi="宋体" w:eastAsia="宋体" w:cs="宋体"/>
          <w:highlight w:val="none"/>
        </w:rPr>
      </w:pPr>
      <w:r>
        <w:rPr>
          <w:rFonts w:hint="eastAsia" w:ascii="宋体" w:hAnsi="宋体" w:eastAsia="宋体" w:cs="宋体"/>
          <w:highlight w:val="none"/>
        </w:rPr>
        <w:t>3.4</w:t>
      </w:r>
      <w:r>
        <w:rPr>
          <w:rFonts w:hint="eastAsia" w:cs="宋体"/>
          <w:highlight w:val="none"/>
          <w:lang w:val="en-US" w:eastAsia="zh-CN"/>
        </w:rPr>
        <w:t xml:space="preserve"> </w:t>
      </w:r>
      <w:r>
        <w:rPr>
          <w:rFonts w:hint="eastAsia" w:ascii="宋体" w:hAnsi="宋体" w:eastAsia="宋体" w:cs="宋体"/>
          <w:highlight w:val="none"/>
        </w:rPr>
        <w:t>细微偏离是指投标文件对</w:t>
      </w:r>
      <w:r>
        <w:rPr>
          <w:rFonts w:hint="eastAsia" w:cs="宋体"/>
          <w:highlight w:val="none"/>
          <w:lang w:eastAsia="zh-CN"/>
        </w:rPr>
        <w:t>招标文件</w:t>
      </w:r>
      <w:r>
        <w:rPr>
          <w:rFonts w:hint="eastAsia" w:ascii="宋体" w:hAnsi="宋体" w:eastAsia="宋体" w:cs="宋体"/>
          <w:highlight w:val="none"/>
        </w:rPr>
        <w:t>的非实质性内容存在不完全响应或不响应。</w:t>
      </w:r>
    </w:p>
    <w:p w14:paraId="55CF1B14">
      <w:pPr>
        <w:spacing w:line="360" w:lineRule="auto"/>
        <w:rPr>
          <w:rFonts w:hint="eastAsia" w:ascii="宋体" w:hAnsi="宋体" w:eastAsia="宋体" w:cs="宋体"/>
          <w:highlight w:val="none"/>
        </w:rPr>
      </w:pPr>
      <w:r>
        <w:rPr>
          <w:rFonts w:hint="eastAsia" w:ascii="宋体" w:hAnsi="宋体" w:eastAsia="宋体" w:cs="宋体"/>
          <w:highlight w:val="none"/>
        </w:rPr>
        <w:t>3.5</w:t>
      </w:r>
      <w:r>
        <w:rPr>
          <w:rFonts w:hint="eastAsia" w:cs="宋体"/>
          <w:highlight w:val="none"/>
          <w:lang w:val="en-US" w:eastAsia="zh-CN"/>
        </w:rPr>
        <w:t xml:space="preserve"> </w:t>
      </w:r>
      <w:r>
        <w:rPr>
          <w:rFonts w:hint="eastAsia" w:ascii="宋体" w:hAnsi="宋体" w:eastAsia="宋体" w:cs="宋体"/>
          <w:highlight w:val="none"/>
        </w:rPr>
        <w:t>重大偏离和保留、细微偏离由评标委员会界定。初步评审时如发现投标文件与</w:t>
      </w:r>
      <w:r>
        <w:rPr>
          <w:rFonts w:hint="eastAsia" w:cs="宋体"/>
          <w:highlight w:val="none"/>
          <w:lang w:eastAsia="zh-CN"/>
        </w:rPr>
        <w:t>招标文件</w:t>
      </w:r>
      <w:r>
        <w:rPr>
          <w:rFonts w:hint="eastAsia" w:ascii="宋体" w:hAnsi="宋体" w:eastAsia="宋体" w:cs="宋体"/>
          <w:highlight w:val="none"/>
        </w:rPr>
        <w:t>要求有重大偏离和保留，其投标文件将被作无效标处理。供应商不得通过修正或撤消不符合</w:t>
      </w:r>
      <w:r>
        <w:rPr>
          <w:rFonts w:hint="eastAsia" w:cs="宋体"/>
          <w:highlight w:val="none"/>
          <w:lang w:eastAsia="zh-CN"/>
        </w:rPr>
        <w:t>招标文件</w:t>
      </w:r>
      <w:r>
        <w:rPr>
          <w:rFonts w:hint="eastAsia" w:ascii="宋体" w:hAnsi="宋体" w:eastAsia="宋体" w:cs="宋体"/>
          <w:highlight w:val="none"/>
        </w:rPr>
        <w:t>要求的重大偏离和保留从而使其投标文件实质性响应</w:t>
      </w:r>
      <w:r>
        <w:rPr>
          <w:rFonts w:hint="eastAsia" w:cs="宋体"/>
          <w:highlight w:val="none"/>
          <w:lang w:eastAsia="zh-CN"/>
        </w:rPr>
        <w:t>招标文件</w:t>
      </w:r>
      <w:r>
        <w:rPr>
          <w:rFonts w:hint="eastAsia" w:ascii="宋体" w:hAnsi="宋体" w:eastAsia="宋体" w:cs="宋体"/>
          <w:highlight w:val="none"/>
        </w:rPr>
        <w:t>要求。但允许投标文件在实质性满足</w:t>
      </w:r>
      <w:r>
        <w:rPr>
          <w:rFonts w:hint="eastAsia" w:cs="宋体"/>
          <w:highlight w:val="none"/>
          <w:lang w:eastAsia="zh-CN"/>
        </w:rPr>
        <w:t>招标文件</w:t>
      </w:r>
      <w:r>
        <w:rPr>
          <w:rFonts w:hint="eastAsia" w:ascii="宋体" w:hAnsi="宋体" w:eastAsia="宋体" w:cs="宋体"/>
          <w:highlight w:val="none"/>
        </w:rPr>
        <w:t>要求的前提下出现的细微偏差，在详细评审时可按评标办法对细微偏差做出不利于该供应商的评审。</w:t>
      </w:r>
    </w:p>
    <w:p w14:paraId="7C5C683E">
      <w:pPr>
        <w:spacing w:line="360" w:lineRule="auto"/>
        <w:rPr>
          <w:rFonts w:hint="eastAsia" w:ascii="宋体" w:hAnsi="宋体" w:eastAsia="宋体" w:cs="宋体"/>
          <w:highlight w:val="none"/>
        </w:rPr>
      </w:pPr>
      <w:r>
        <w:rPr>
          <w:rFonts w:hint="eastAsia" w:ascii="宋体" w:hAnsi="宋体" w:eastAsia="宋体" w:cs="宋体"/>
          <w:highlight w:val="none"/>
        </w:rPr>
        <w:t>3.6</w:t>
      </w:r>
      <w:r>
        <w:rPr>
          <w:rFonts w:hint="eastAsia" w:cs="宋体"/>
          <w:highlight w:val="none"/>
          <w:lang w:val="en-US" w:eastAsia="zh-CN"/>
        </w:rPr>
        <w:t xml:space="preserve"> </w:t>
      </w:r>
      <w:r>
        <w:rPr>
          <w:rFonts w:hint="eastAsia" w:ascii="宋体" w:hAnsi="宋体" w:eastAsia="宋体" w:cs="宋体"/>
          <w:highlight w:val="none"/>
        </w:rPr>
        <w:t>初步评审工作内容</w:t>
      </w:r>
    </w:p>
    <w:p w14:paraId="1FF77850">
      <w:pPr>
        <w:spacing w:line="360" w:lineRule="auto"/>
        <w:ind w:firstLine="480"/>
        <w:rPr>
          <w:rFonts w:hint="eastAsia" w:ascii="宋体" w:hAnsi="宋体" w:eastAsia="宋体" w:cs="宋体"/>
          <w:highlight w:val="none"/>
        </w:rPr>
      </w:pPr>
      <w:r>
        <w:rPr>
          <w:rFonts w:hint="eastAsia" w:cs="宋体"/>
          <w:highlight w:val="none"/>
          <w:lang w:val="en-US" w:eastAsia="zh-CN"/>
        </w:rPr>
        <w:t xml:space="preserve">3.6.1 </w:t>
      </w:r>
      <w:r>
        <w:rPr>
          <w:rFonts w:hint="eastAsia" w:ascii="宋体" w:hAnsi="宋体" w:eastAsia="宋体" w:cs="宋体"/>
          <w:highlight w:val="none"/>
        </w:rPr>
        <w:t>资格性检查</w:t>
      </w:r>
    </w:p>
    <w:p w14:paraId="072106E4">
      <w:pPr>
        <w:spacing w:line="360" w:lineRule="auto"/>
        <w:ind w:firstLine="480"/>
        <w:rPr>
          <w:rFonts w:hint="eastAsia" w:ascii="宋体" w:hAnsi="宋体" w:eastAsia="宋体" w:cs="宋体"/>
          <w:highlight w:val="none"/>
        </w:rPr>
      </w:pPr>
      <w:r>
        <w:rPr>
          <w:rFonts w:hint="eastAsia" w:ascii="宋体" w:hAnsi="宋体" w:eastAsia="宋体" w:cs="宋体"/>
          <w:highlight w:val="none"/>
        </w:rPr>
        <w:t>依据法律法规及</w:t>
      </w:r>
      <w:r>
        <w:rPr>
          <w:rFonts w:hint="eastAsia" w:cs="宋体"/>
          <w:highlight w:val="none"/>
          <w:lang w:eastAsia="zh-CN"/>
        </w:rPr>
        <w:t>招标文件</w:t>
      </w:r>
      <w:r>
        <w:rPr>
          <w:rFonts w:hint="eastAsia" w:ascii="宋体" w:hAnsi="宋体" w:eastAsia="宋体" w:cs="宋体"/>
          <w:highlight w:val="none"/>
        </w:rPr>
        <w:t>的规定，对投标文件中的提供的资格证明材料进行审查，以确定供应商是否具备投标资格。</w:t>
      </w:r>
    </w:p>
    <w:p w14:paraId="7A1EAF3E">
      <w:pPr>
        <w:spacing w:line="360" w:lineRule="auto"/>
        <w:ind w:firstLine="480"/>
        <w:rPr>
          <w:rFonts w:hint="eastAsia" w:ascii="宋体" w:hAnsi="宋体" w:eastAsia="宋体" w:cs="宋体"/>
          <w:highlight w:val="none"/>
        </w:rPr>
      </w:pPr>
      <w:r>
        <w:rPr>
          <w:rFonts w:hint="eastAsia" w:cs="宋体"/>
          <w:highlight w:val="none"/>
          <w:lang w:val="en-US" w:eastAsia="zh-CN"/>
        </w:rPr>
        <w:t xml:space="preserve">3.6.2 </w:t>
      </w:r>
      <w:r>
        <w:rPr>
          <w:rFonts w:hint="eastAsia" w:ascii="宋体" w:hAnsi="宋体" w:eastAsia="宋体" w:cs="宋体"/>
          <w:highlight w:val="none"/>
        </w:rPr>
        <w:t>符合性检查</w:t>
      </w:r>
    </w:p>
    <w:p w14:paraId="39A2A84D">
      <w:pPr>
        <w:spacing w:line="360" w:lineRule="auto"/>
        <w:ind w:firstLine="480"/>
        <w:rPr>
          <w:rFonts w:hint="eastAsia" w:ascii="宋体" w:hAnsi="宋体" w:eastAsia="宋体" w:cs="宋体"/>
          <w:highlight w:val="none"/>
        </w:rPr>
      </w:pPr>
      <w:r>
        <w:rPr>
          <w:rFonts w:hint="eastAsia" w:ascii="宋体" w:hAnsi="宋体" w:eastAsia="宋体" w:cs="宋体"/>
          <w:highlight w:val="none"/>
        </w:rPr>
        <w:t>依据</w:t>
      </w:r>
      <w:r>
        <w:rPr>
          <w:rFonts w:hint="eastAsia" w:cs="宋体"/>
          <w:highlight w:val="none"/>
          <w:lang w:eastAsia="zh-CN"/>
        </w:rPr>
        <w:t>招标文件</w:t>
      </w:r>
      <w:r>
        <w:rPr>
          <w:rFonts w:hint="eastAsia" w:ascii="宋体" w:hAnsi="宋体" w:eastAsia="宋体" w:cs="宋体"/>
          <w:highlight w:val="none"/>
        </w:rPr>
        <w:t>的规定，从投标文件的有效性、完整性和对</w:t>
      </w:r>
      <w:r>
        <w:rPr>
          <w:rFonts w:hint="eastAsia" w:cs="宋体"/>
          <w:highlight w:val="none"/>
          <w:lang w:eastAsia="zh-CN"/>
        </w:rPr>
        <w:t>招标文件</w:t>
      </w:r>
      <w:r>
        <w:rPr>
          <w:rFonts w:hint="eastAsia" w:ascii="宋体" w:hAnsi="宋体" w:eastAsia="宋体" w:cs="宋体"/>
          <w:highlight w:val="none"/>
        </w:rPr>
        <w:t>的响应程度进行审查，以确定是否对</w:t>
      </w:r>
      <w:r>
        <w:rPr>
          <w:rFonts w:hint="eastAsia" w:cs="宋体"/>
          <w:highlight w:val="none"/>
          <w:lang w:eastAsia="zh-CN"/>
        </w:rPr>
        <w:t>招标文件</w:t>
      </w:r>
      <w:r>
        <w:rPr>
          <w:rFonts w:hint="eastAsia" w:ascii="宋体" w:hAnsi="宋体" w:eastAsia="宋体" w:cs="宋体"/>
          <w:highlight w:val="none"/>
        </w:rPr>
        <w:t>的实质性要求作出响应。</w:t>
      </w:r>
    </w:p>
    <w:p w14:paraId="18D5E350">
      <w:pPr>
        <w:spacing w:line="360" w:lineRule="auto"/>
        <w:rPr>
          <w:rFonts w:hint="default"/>
          <w:lang w:val="en-US" w:eastAsia="zh-CN"/>
        </w:rPr>
      </w:pPr>
      <w:r>
        <w:rPr>
          <w:rFonts w:hint="eastAsia" w:ascii="宋体" w:hAnsi="宋体" w:eastAsia="宋体" w:cs="宋体"/>
          <w:highlight w:val="none"/>
        </w:rPr>
        <w:t>3.7</w:t>
      </w:r>
      <w:r>
        <w:rPr>
          <w:rFonts w:hint="eastAsia" w:cs="宋体"/>
          <w:highlight w:val="none"/>
          <w:lang w:val="en-US" w:eastAsia="zh-CN"/>
        </w:rPr>
        <w:t xml:space="preserve"> </w:t>
      </w:r>
      <w:r>
        <w:rPr>
          <w:rFonts w:hint="eastAsia" w:ascii="宋体" w:hAnsi="宋体" w:eastAsia="宋体" w:cs="宋体"/>
          <w:highlight w:val="none"/>
        </w:rPr>
        <w:t>评标委员会对投标文件的判定，只依据投标文件内容本身和按</w:t>
      </w:r>
      <w:r>
        <w:rPr>
          <w:rFonts w:hint="eastAsia" w:cs="宋体"/>
          <w:highlight w:val="none"/>
          <w:lang w:eastAsia="zh-CN"/>
        </w:rPr>
        <w:t>招标文件</w:t>
      </w:r>
      <w:r>
        <w:rPr>
          <w:rFonts w:hint="eastAsia" w:ascii="宋体" w:hAnsi="宋体" w:eastAsia="宋体" w:cs="宋体"/>
          <w:highlight w:val="none"/>
        </w:rPr>
        <w:t>规定提交资料，不依靠开标后的任何外来证明。如供应商提交的资质证明或其他内容不齐全，由此造成的后果由供应商自己负责。</w:t>
      </w:r>
    </w:p>
    <w:p w14:paraId="72DC96BC">
      <w:pPr>
        <w:bidi w:val="0"/>
        <w:spacing w:line="360" w:lineRule="auto"/>
        <w:ind w:left="0" w:leftChars="0" w:firstLine="0" w:firstLineChars="0"/>
        <w:rPr>
          <w:rFonts w:hint="eastAsia" w:ascii="宋体" w:hAnsi="宋体" w:eastAsia="宋体" w:cs="宋体"/>
          <w:szCs w:val="24"/>
        </w:rPr>
      </w:pPr>
      <w:r>
        <w:rPr>
          <w:rFonts w:hint="eastAsia"/>
          <w:b/>
          <w:bCs/>
        </w:rPr>
        <w:t>二、投标文件鉴定</w:t>
      </w:r>
    </w:p>
    <w:p w14:paraId="7FF5EF6D">
      <w:pPr>
        <w:spacing w:line="360" w:lineRule="auto"/>
        <w:ind w:firstLine="480"/>
        <w:rPr>
          <w:rFonts w:hint="eastAsia" w:ascii="宋体" w:hAnsi="宋体" w:eastAsia="宋体" w:cs="宋体"/>
        </w:rPr>
      </w:pPr>
      <w:bookmarkStart w:id="61" w:name="_Toc13357"/>
      <w:bookmarkStart w:id="62" w:name="_Toc13687"/>
      <w:r>
        <w:rPr>
          <w:rFonts w:hint="eastAsia" w:ascii="宋体" w:hAnsi="宋体" w:eastAsia="宋体" w:cs="宋体"/>
        </w:rPr>
        <w:t>1.开标时，招标代理机构将对投标文件进行初步审查，检查投标</w:t>
      </w:r>
      <w:r>
        <w:rPr>
          <w:rFonts w:hint="eastAsia" w:cs="宋体"/>
          <w:lang w:eastAsia="zh-CN"/>
        </w:rPr>
        <w:t>文件</w:t>
      </w:r>
      <w:r>
        <w:rPr>
          <w:rFonts w:hint="eastAsia" w:ascii="宋体" w:hAnsi="宋体" w:eastAsia="宋体" w:cs="宋体"/>
        </w:rPr>
        <w:t>内容是否完整、编排是否有序、文件签署是否规范以及投标人资格是否符合要求等。如投标文件被确认为无效，招标代理机构将及时通知该投标人。</w:t>
      </w:r>
    </w:p>
    <w:p w14:paraId="7FE23C13">
      <w:pPr>
        <w:spacing w:line="360" w:lineRule="auto"/>
        <w:ind w:firstLine="480"/>
        <w:rPr>
          <w:rFonts w:hint="eastAsia" w:ascii="宋体" w:hAnsi="宋体" w:eastAsia="宋体" w:cs="宋体"/>
        </w:rPr>
      </w:pPr>
      <w:r>
        <w:rPr>
          <w:rFonts w:hint="eastAsia" w:ascii="宋体" w:hAnsi="宋体" w:eastAsia="宋体" w:cs="宋体"/>
        </w:rPr>
        <w:t>2.如果投标文件实质上不响应招标文件的要求，招标代理机构及评标委员会将予以拒绝，并且不允许通过修正或撤消不符合要求的差异或保留，使之成为具有响应性的投标。</w:t>
      </w:r>
    </w:p>
    <w:p w14:paraId="67E29B88">
      <w:pPr>
        <w:spacing w:line="360" w:lineRule="auto"/>
        <w:ind w:firstLine="480"/>
        <w:rPr>
          <w:rFonts w:hint="eastAsia" w:ascii="宋体" w:hAnsi="宋体" w:eastAsia="宋体" w:cs="宋体"/>
        </w:rPr>
      </w:pPr>
      <w:r>
        <w:rPr>
          <w:rFonts w:hint="eastAsia" w:ascii="宋体" w:hAnsi="宋体" w:eastAsia="宋体" w:cs="宋体"/>
        </w:rPr>
        <w:t>3.经开标后递交至评标委员会的投标文件，仍需接受相关符合性的检查，并有可能在评标过程中被判断为无效。</w:t>
      </w:r>
    </w:p>
    <w:p w14:paraId="08B97E05">
      <w:pPr>
        <w:pStyle w:val="4"/>
        <w:jc w:val="center"/>
        <w:rPr>
          <w:rFonts w:hint="eastAsia" w:ascii="宋体" w:hAnsi="宋体" w:eastAsia="宋体" w:cs="宋体"/>
          <w:sz w:val="24"/>
          <w:szCs w:val="24"/>
        </w:rPr>
        <w:sectPr>
          <w:pgSz w:w="11906" w:h="16838"/>
          <w:pgMar w:top="1247" w:right="1247" w:bottom="1247" w:left="1247" w:header="170" w:footer="567" w:gutter="0"/>
          <w:pgNumType w:fmt="decimal"/>
          <w:cols w:space="720" w:num="1"/>
          <w:docGrid w:linePitch="381" w:charSpace="0"/>
        </w:sectPr>
      </w:pPr>
    </w:p>
    <w:p w14:paraId="73FD9974">
      <w:pPr>
        <w:pStyle w:val="4"/>
        <w:jc w:val="center"/>
        <w:rPr>
          <w:rFonts w:hint="eastAsia" w:ascii="宋体" w:hAnsi="宋体" w:eastAsia="宋体" w:cs="宋体"/>
          <w:sz w:val="24"/>
          <w:szCs w:val="24"/>
        </w:rPr>
      </w:pPr>
      <w:r>
        <w:rPr>
          <w:rFonts w:hint="eastAsia" w:ascii="宋体" w:hAnsi="宋体" w:eastAsia="宋体" w:cs="宋体"/>
          <w:sz w:val="24"/>
          <w:szCs w:val="24"/>
        </w:rPr>
        <w:t xml:space="preserve">第六节 </w:t>
      </w:r>
      <w:r>
        <w:rPr>
          <w:rFonts w:hint="eastAsia" w:ascii="宋体" w:hAnsi="宋体" w:cs="宋体"/>
          <w:sz w:val="24"/>
          <w:szCs w:val="24"/>
          <w:lang w:val="en-US" w:eastAsia="zh-CN"/>
        </w:rPr>
        <w:t xml:space="preserve"> </w:t>
      </w:r>
      <w:r>
        <w:rPr>
          <w:rFonts w:hint="eastAsia" w:ascii="宋体" w:hAnsi="宋体" w:eastAsia="宋体" w:cs="宋体"/>
          <w:sz w:val="24"/>
          <w:szCs w:val="24"/>
        </w:rPr>
        <w:t>评</w:t>
      </w:r>
      <w:r>
        <w:rPr>
          <w:rFonts w:hint="eastAsia" w:ascii="宋体" w:hAnsi="宋体" w:cs="宋体"/>
          <w:sz w:val="24"/>
          <w:szCs w:val="24"/>
          <w:lang w:val="en-US" w:eastAsia="zh-CN"/>
        </w:rPr>
        <w:t xml:space="preserve"> </w:t>
      </w:r>
      <w:r>
        <w:rPr>
          <w:rFonts w:hint="eastAsia" w:ascii="宋体" w:hAnsi="宋体" w:eastAsia="宋体" w:cs="宋体"/>
          <w:sz w:val="24"/>
          <w:szCs w:val="24"/>
        </w:rPr>
        <w:t>标</w:t>
      </w:r>
      <w:bookmarkEnd w:id="61"/>
      <w:bookmarkEnd w:id="62"/>
    </w:p>
    <w:p w14:paraId="537D6A08">
      <w:pPr>
        <w:bidi w:val="0"/>
        <w:spacing w:line="360" w:lineRule="auto"/>
        <w:ind w:left="0" w:leftChars="0" w:firstLine="0" w:firstLineChars="0"/>
        <w:rPr>
          <w:rFonts w:hint="eastAsia" w:ascii="宋体" w:hAnsi="宋体" w:eastAsia="宋体" w:cs="宋体"/>
          <w:szCs w:val="24"/>
        </w:rPr>
      </w:pPr>
      <w:r>
        <w:rPr>
          <w:rFonts w:hint="eastAsia"/>
          <w:b/>
          <w:bCs/>
        </w:rPr>
        <w:t>一、组建评标委员会</w:t>
      </w:r>
    </w:p>
    <w:p w14:paraId="05270FB3">
      <w:pPr>
        <w:spacing w:line="360" w:lineRule="auto"/>
        <w:ind w:firstLine="480"/>
        <w:rPr>
          <w:rFonts w:hint="eastAsia" w:ascii="宋体" w:hAnsi="宋体" w:eastAsia="宋体" w:cs="宋体"/>
        </w:rPr>
      </w:pPr>
      <w:r>
        <w:rPr>
          <w:rFonts w:hAnsi="宋体"/>
        </w:rPr>
        <w:t>本项目评标委员会由</w:t>
      </w:r>
      <w:r>
        <w:rPr>
          <w:rFonts w:hint="eastAsia" w:hAnsi="宋体"/>
          <w:lang w:eastAsia="zh-CN"/>
        </w:rPr>
        <w:t>招标</w:t>
      </w:r>
      <w:r>
        <w:rPr>
          <w:rFonts w:hint="eastAsia" w:hAnsi="宋体"/>
        </w:rPr>
        <w:t>人代表</w:t>
      </w:r>
      <w:r>
        <w:rPr>
          <w:rFonts w:hint="eastAsia" w:hAnsi="宋体"/>
          <w:lang w:eastAsia="zh-CN"/>
        </w:rPr>
        <w:t>和有关技术、经济等方面的专家组成，成员人数为</w:t>
      </w:r>
      <w:r>
        <w:rPr>
          <w:rFonts w:hint="eastAsia" w:hAnsi="宋体"/>
          <w:lang w:val="en-US" w:eastAsia="zh-CN"/>
        </w:rPr>
        <w:t>5人及以上单数，其中技术、经济等方面的专家不少于成员总数的三分之二。</w:t>
      </w:r>
      <w:r>
        <w:rPr>
          <w:rFonts w:hint="eastAsia" w:ascii="宋体" w:hAnsi="宋体" w:eastAsia="宋体" w:cs="宋体"/>
        </w:rPr>
        <w:t>评标委员会成员名单在招标结果确定之前依法保密。</w:t>
      </w:r>
    </w:p>
    <w:p w14:paraId="1102646F">
      <w:pPr>
        <w:bidi w:val="0"/>
        <w:spacing w:line="360" w:lineRule="auto"/>
        <w:ind w:left="0" w:leftChars="0" w:firstLine="0" w:firstLineChars="0"/>
        <w:rPr>
          <w:rFonts w:hint="eastAsia" w:ascii="宋体" w:hAnsi="宋体" w:eastAsia="宋体" w:cs="宋体"/>
          <w:szCs w:val="24"/>
        </w:rPr>
      </w:pPr>
      <w:r>
        <w:rPr>
          <w:rFonts w:hint="eastAsia"/>
          <w:b/>
          <w:bCs/>
        </w:rPr>
        <w:t>二、评标的方式</w:t>
      </w:r>
    </w:p>
    <w:p w14:paraId="6AE4EA10">
      <w:pPr>
        <w:spacing w:line="360" w:lineRule="auto"/>
        <w:ind w:firstLine="480"/>
        <w:rPr>
          <w:rFonts w:hint="eastAsia" w:ascii="宋体" w:hAnsi="宋体" w:eastAsia="宋体" w:cs="宋体"/>
        </w:rPr>
      </w:pPr>
      <w:r>
        <w:rPr>
          <w:rFonts w:hint="eastAsia" w:ascii="宋体" w:hAnsi="宋体" w:eastAsia="宋体" w:cs="宋体"/>
        </w:rPr>
        <w:t>本项目采用不公开方式评标，评标的依据为招标文件和投标文件。不考虑投标人在开标后提交的任何补充声明、修正方案。</w:t>
      </w:r>
    </w:p>
    <w:p w14:paraId="4526C4F3">
      <w:pPr>
        <w:bidi w:val="0"/>
        <w:spacing w:line="360" w:lineRule="auto"/>
        <w:ind w:left="0" w:leftChars="0" w:firstLine="0" w:firstLineChars="0"/>
        <w:rPr>
          <w:rFonts w:hint="eastAsia" w:ascii="宋体" w:hAnsi="宋体" w:eastAsia="宋体" w:cs="宋体"/>
          <w:szCs w:val="24"/>
        </w:rPr>
      </w:pPr>
      <w:r>
        <w:rPr>
          <w:rFonts w:hint="eastAsia"/>
          <w:b/>
          <w:bCs/>
        </w:rPr>
        <w:t>三、评标原则</w:t>
      </w:r>
    </w:p>
    <w:p w14:paraId="7EDF874A">
      <w:pPr>
        <w:spacing w:line="360" w:lineRule="auto"/>
        <w:ind w:firstLine="480"/>
        <w:rPr>
          <w:rFonts w:hint="eastAsia" w:ascii="宋体" w:hAnsi="宋体" w:eastAsia="宋体" w:cs="宋体"/>
          <w:lang w:eastAsia="zh-CN"/>
        </w:rPr>
      </w:pPr>
      <w:r>
        <w:rPr>
          <w:rFonts w:hint="eastAsia" w:ascii="宋体" w:hAnsi="宋体" w:eastAsia="宋体" w:cs="宋体"/>
        </w:rPr>
        <w:t>评标严格按照招标文件的要求和条件，只依据投标内容本身，不依靠开标后的任何外来证明。以公</w:t>
      </w:r>
      <w:r>
        <w:rPr>
          <w:rFonts w:hint="eastAsia" w:cs="宋体"/>
          <w:lang w:eastAsia="zh-CN"/>
        </w:rPr>
        <w:t>平</w:t>
      </w:r>
      <w:r>
        <w:rPr>
          <w:rFonts w:hint="eastAsia" w:ascii="宋体" w:hAnsi="宋体" w:eastAsia="宋体" w:cs="宋体"/>
        </w:rPr>
        <w:t>、公</w:t>
      </w:r>
      <w:r>
        <w:rPr>
          <w:rFonts w:hint="eastAsia" w:cs="宋体"/>
          <w:lang w:eastAsia="zh-CN"/>
        </w:rPr>
        <w:t>正</w:t>
      </w:r>
      <w:r>
        <w:rPr>
          <w:rFonts w:hint="eastAsia" w:ascii="宋体" w:hAnsi="宋体" w:eastAsia="宋体" w:cs="宋体"/>
        </w:rPr>
        <w:t>、</w:t>
      </w:r>
      <w:r>
        <w:rPr>
          <w:rFonts w:hint="eastAsia" w:cs="宋体"/>
          <w:lang w:eastAsia="zh-CN"/>
        </w:rPr>
        <w:t>科学</w:t>
      </w:r>
      <w:r>
        <w:rPr>
          <w:rFonts w:hint="eastAsia" w:ascii="宋体" w:hAnsi="宋体" w:eastAsia="宋体" w:cs="宋体"/>
        </w:rPr>
        <w:t>、</w:t>
      </w:r>
      <w:r>
        <w:rPr>
          <w:rFonts w:hint="eastAsia" w:cs="宋体"/>
          <w:lang w:eastAsia="zh-CN"/>
        </w:rPr>
        <w:t>择优</w:t>
      </w:r>
      <w:r>
        <w:rPr>
          <w:rFonts w:hint="eastAsia" w:ascii="宋体" w:hAnsi="宋体" w:eastAsia="宋体" w:cs="宋体"/>
        </w:rPr>
        <w:t>的原则进行；比较报价，同时考虑以下因素</w:t>
      </w:r>
      <w:r>
        <w:rPr>
          <w:rFonts w:hint="eastAsia" w:ascii="宋体" w:hAnsi="宋体" w:eastAsia="宋体" w:cs="宋体"/>
          <w:lang w:eastAsia="zh-CN"/>
        </w:rPr>
        <w:t>：</w:t>
      </w:r>
    </w:p>
    <w:p w14:paraId="1D15FB87">
      <w:pPr>
        <w:spacing w:line="360" w:lineRule="auto"/>
        <w:ind w:firstLine="480"/>
        <w:rPr>
          <w:rFonts w:hint="eastAsia" w:ascii="宋体" w:hAnsi="宋体" w:eastAsia="宋体" w:cs="宋体"/>
          <w:lang w:eastAsia="zh-CN"/>
        </w:rPr>
      </w:pPr>
      <w:r>
        <w:rPr>
          <w:rFonts w:hint="eastAsia" w:ascii="宋体" w:hAnsi="宋体" w:eastAsia="宋体" w:cs="宋体"/>
        </w:rPr>
        <w:t>1.价格合理，方案、产品先进、可靠</w:t>
      </w:r>
      <w:r>
        <w:rPr>
          <w:rFonts w:hint="eastAsia" w:ascii="宋体" w:hAnsi="宋体" w:eastAsia="宋体" w:cs="宋体"/>
          <w:lang w:eastAsia="zh-CN"/>
        </w:rPr>
        <w:t>；</w:t>
      </w:r>
    </w:p>
    <w:p w14:paraId="792BA1D7">
      <w:pPr>
        <w:spacing w:line="360" w:lineRule="auto"/>
        <w:ind w:firstLine="480"/>
        <w:rPr>
          <w:rFonts w:hint="eastAsia" w:ascii="宋体" w:hAnsi="宋体" w:eastAsia="宋体" w:cs="宋体"/>
          <w:lang w:eastAsia="zh-CN"/>
        </w:rPr>
      </w:pPr>
      <w:r>
        <w:rPr>
          <w:rFonts w:hint="eastAsia" w:ascii="宋体" w:hAnsi="宋体" w:eastAsia="宋体" w:cs="宋体"/>
        </w:rPr>
        <w:t>2.经营信誉</w:t>
      </w:r>
      <w:r>
        <w:rPr>
          <w:rFonts w:hint="eastAsia" w:ascii="宋体" w:hAnsi="宋体" w:eastAsia="宋体" w:cs="宋体"/>
          <w:lang w:eastAsia="zh-CN"/>
        </w:rPr>
        <w:t>；</w:t>
      </w:r>
    </w:p>
    <w:p w14:paraId="7F2F29BB">
      <w:pPr>
        <w:spacing w:line="360" w:lineRule="auto"/>
        <w:ind w:firstLine="480"/>
        <w:rPr>
          <w:rFonts w:hint="eastAsia" w:ascii="宋体" w:hAnsi="宋体" w:eastAsia="宋体" w:cs="宋体"/>
        </w:rPr>
      </w:pPr>
      <w:r>
        <w:rPr>
          <w:rFonts w:hint="eastAsia" w:ascii="宋体" w:hAnsi="宋体" w:eastAsia="宋体" w:cs="宋体"/>
        </w:rPr>
        <w:t>3.反对不正当竞争。</w:t>
      </w:r>
    </w:p>
    <w:p w14:paraId="52641993">
      <w:pPr>
        <w:bidi w:val="0"/>
        <w:spacing w:line="360" w:lineRule="auto"/>
        <w:ind w:left="0" w:leftChars="0" w:firstLine="0" w:firstLineChars="0"/>
        <w:rPr>
          <w:rFonts w:hint="eastAsia" w:ascii="宋体" w:hAnsi="宋体" w:eastAsia="宋体" w:cs="宋体"/>
          <w:szCs w:val="24"/>
        </w:rPr>
      </w:pPr>
      <w:r>
        <w:rPr>
          <w:rFonts w:hint="eastAsia"/>
          <w:b/>
          <w:bCs/>
        </w:rPr>
        <w:t>四、评标程序</w:t>
      </w:r>
    </w:p>
    <w:p w14:paraId="5971AB57">
      <w:pPr>
        <w:spacing w:line="360" w:lineRule="auto"/>
        <w:ind w:firstLine="480"/>
        <w:rPr>
          <w:rFonts w:hint="eastAsia" w:ascii="宋体" w:hAnsi="宋体" w:eastAsia="宋体" w:cs="宋体"/>
        </w:rPr>
      </w:pPr>
      <w:r>
        <w:rPr>
          <w:rFonts w:hint="eastAsia" w:ascii="宋体" w:hAnsi="宋体" w:eastAsia="宋体" w:cs="宋体"/>
        </w:rPr>
        <w:t>1.招标代理机构按照招标文件规定的时间、地点及程序组织评审。评审活动一般应按以下程序组织开展：</w:t>
      </w:r>
    </w:p>
    <w:p w14:paraId="632A140F">
      <w:pPr>
        <w:spacing w:line="360" w:lineRule="auto"/>
        <w:ind w:firstLine="480"/>
        <w:rPr>
          <w:rFonts w:hint="eastAsia" w:ascii="宋体" w:hAnsi="宋体" w:eastAsia="宋体" w:cs="宋体"/>
          <w:lang w:eastAsia="zh-CN"/>
        </w:rPr>
      </w:pPr>
      <w:r>
        <w:rPr>
          <w:rFonts w:hint="eastAsia" w:ascii="宋体" w:hAnsi="宋体" w:eastAsia="宋体" w:cs="宋体"/>
        </w:rPr>
        <w:t>（1）开启评审场地的录音录像采集设备，并确保其正常运行</w:t>
      </w:r>
      <w:r>
        <w:rPr>
          <w:rFonts w:hint="eastAsia" w:ascii="宋体" w:hAnsi="宋体" w:eastAsia="宋体" w:cs="宋体"/>
          <w:lang w:eastAsia="zh-CN"/>
        </w:rPr>
        <w:t>；</w:t>
      </w:r>
    </w:p>
    <w:p w14:paraId="27CA5EBA">
      <w:pPr>
        <w:spacing w:line="360" w:lineRule="auto"/>
        <w:ind w:firstLine="480"/>
        <w:rPr>
          <w:rFonts w:hint="eastAsia" w:ascii="宋体" w:hAnsi="宋体" w:eastAsia="宋体" w:cs="宋体"/>
          <w:lang w:eastAsia="zh-CN"/>
        </w:rPr>
      </w:pPr>
      <w:r>
        <w:rPr>
          <w:rFonts w:hint="eastAsia" w:ascii="宋体" w:hAnsi="宋体" w:eastAsia="宋体" w:cs="宋体"/>
        </w:rPr>
        <w:t>（2）核验出席评审活动现场的评标委员会各成员身份，并要求其分别登记、签到，按规定统一收缴、保存其通讯工具，无关人员一律拒绝其进入评审现场</w:t>
      </w:r>
      <w:r>
        <w:rPr>
          <w:rFonts w:hint="eastAsia" w:ascii="宋体" w:hAnsi="宋体" w:eastAsia="宋体" w:cs="宋体"/>
          <w:lang w:eastAsia="zh-CN"/>
        </w:rPr>
        <w:t>；</w:t>
      </w:r>
    </w:p>
    <w:p w14:paraId="3646492B">
      <w:pPr>
        <w:spacing w:line="360" w:lineRule="auto"/>
        <w:ind w:firstLine="480"/>
        <w:rPr>
          <w:rFonts w:hint="eastAsia" w:ascii="宋体" w:hAnsi="宋体" w:eastAsia="宋体" w:cs="宋体"/>
          <w:lang w:eastAsia="zh-CN"/>
        </w:rPr>
      </w:pPr>
      <w:r>
        <w:rPr>
          <w:rFonts w:hint="eastAsia" w:ascii="宋体" w:hAnsi="宋体" w:eastAsia="宋体" w:cs="宋体"/>
        </w:rPr>
        <w:t>（3）介绍评审现场的人员情况，宣布评审工作纪律，告知评标委员会应当回避情形；组织推选评标委员会组长</w:t>
      </w:r>
      <w:r>
        <w:rPr>
          <w:rFonts w:hint="eastAsia" w:ascii="宋体" w:hAnsi="宋体" w:eastAsia="宋体" w:cs="宋体"/>
          <w:lang w:eastAsia="zh-CN"/>
        </w:rPr>
        <w:t>；</w:t>
      </w:r>
    </w:p>
    <w:p w14:paraId="65A79D42">
      <w:pPr>
        <w:spacing w:line="360" w:lineRule="auto"/>
        <w:ind w:firstLine="480"/>
        <w:rPr>
          <w:rFonts w:hint="eastAsia" w:ascii="宋体" w:hAnsi="宋体" w:eastAsia="宋体" w:cs="宋体"/>
          <w:lang w:eastAsia="zh-CN"/>
        </w:rPr>
      </w:pPr>
      <w:r>
        <w:rPr>
          <w:rFonts w:hint="eastAsia" w:ascii="宋体" w:hAnsi="宋体" w:eastAsia="宋体" w:cs="宋体"/>
        </w:rPr>
        <w:t>（4）通报报名参加本项目的投标人名单及资格预审情况（如有），宣读最终提交投标文件且通过资格审查的投标人名单，组织评标委员会各位成员签订《招标评审人员廉洁自律承诺书》</w:t>
      </w:r>
      <w:r>
        <w:rPr>
          <w:rFonts w:hint="eastAsia" w:ascii="宋体" w:hAnsi="宋体" w:eastAsia="宋体" w:cs="宋体"/>
          <w:lang w:eastAsia="zh-CN"/>
        </w:rPr>
        <w:t>；</w:t>
      </w:r>
    </w:p>
    <w:p w14:paraId="3FA40A2A">
      <w:pPr>
        <w:spacing w:line="360" w:lineRule="auto"/>
        <w:ind w:firstLine="480"/>
        <w:rPr>
          <w:rFonts w:hint="eastAsia" w:ascii="宋体" w:hAnsi="宋体" w:eastAsia="宋体" w:cs="宋体"/>
          <w:lang w:eastAsia="zh-CN"/>
        </w:rPr>
      </w:pPr>
      <w:r>
        <w:rPr>
          <w:rFonts w:hint="eastAsia" w:ascii="宋体" w:hAnsi="宋体" w:eastAsia="宋体" w:cs="宋体"/>
        </w:rPr>
        <w:t>（5）根据需要简要介绍招标文件（含补充文件）制定及质疑答复情况、按书面陈述项目基本情况及评审工作需注意事项等，让评审专家尽快知悉和了解所评审项目的招标需求、评审依据、评审标准、工作程序等；提醒评标委员会对客观评审项目应统一评审依据和评审标准，对主观评审项目应确定大致的评审要求和评审尺度；对评标委员会提出的有关招标文件、投标文件的问题进行必要的说明、解释或讨论</w:t>
      </w:r>
      <w:r>
        <w:rPr>
          <w:rFonts w:hint="eastAsia" w:ascii="宋体" w:hAnsi="宋体" w:eastAsia="宋体" w:cs="宋体"/>
          <w:lang w:eastAsia="zh-CN"/>
        </w:rPr>
        <w:t>；</w:t>
      </w:r>
    </w:p>
    <w:p w14:paraId="5487BB88">
      <w:pPr>
        <w:spacing w:line="360" w:lineRule="auto"/>
        <w:ind w:firstLine="480"/>
        <w:rPr>
          <w:rFonts w:hint="eastAsia" w:ascii="宋体" w:hAnsi="宋体" w:eastAsia="宋体" w:cs="宋体"/>
          <w:lang w:eastAsia="zh-CN"/>
        </w:rPr>
      </w:pPr>
      <w:r>
        <w:rPr>
          <w:rFonts w:hint="eastAsia" w:ascii="宋体" w:hAnsi="宋体" w:eastAsia="宋体" w:cs="宋体"/>
        </w:rPr>
        <w:t>（6）评标委员会组长组织评标委员会独立评审。评标委员会依据招标文件的规定，从投标文件的有效性、完整性和对招标文件的响应程度进行审查，以确定是否对招标文件的实质性要求作出响应。评标委员会对拟认定为投标文件无效的，应组织相关投标人代表进行陈述、澄清或申辩；招标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r>
        <w:rPr>
          <w:rFonts w:hint="eastAsia" w:ascii="宋体" w:hAnsi="宋体" w:eastAsia="宋体" w:cs="宋体"/>
          <w:lang w:eastAsia="zh-CN"/>
        </w:rPr>
        <w:t>；</w:t>
      </w:r>
    </w:p>
    <w:p w14:paraId="19CA59F0">
      <w:pPr>
        <w:spacing w:line="360" w:lineRule="auto"/>
        <w:ind w:firstLine="480"/>
        <w:rPr>
          <w:rFonts w:hint="eastAsia" w:ascii="宋体" w:hAnsi="宋体" w:eastAsia="宋体" w:cs="宋体"/>
          <w:lang w:eastAsia="zh-CN"/>
        </w:rPr>
      </w:pPr>
      <w:r>
        <w:rPr>
          <w:rFonts w:hint="eastAsia" w:ascii="宋体" w:hAnsi="宋体" w:eastAsia="宋体" w:cs="宋体"/>
        </w:rPr>
        <w:t>（7）做好评审现场相关记录，协助评标委员会组长做好评审报告起草、有关内容电脑文字录入等工作，并要求评标委员会各成员签字确认</w:t>
      </w:r>
      <w:r>
        <w:rPr>
          <w:rFonts w:hint="eastAsia" w:ascii="宋体" w:hAnsi="宋体" w:eastAsia="宋体" w:cs="宋体"/>
          <w:lang w:eastAsia="zh-CN"/>
        </w:rPr>
        <w:t>；</w:t>
      </w:r>
    </w:p>
    <w:p w14:paraId="2AA6B5A0">
      <w:pPr>
        <w:spacing w:line="360" w:lineRule="auto"/>
        <w:ind w:firstLine="480"/>
        <w:rPr>
          <w:rFonts w:hint="eastAsia" w:ascii="宋体" w:hAnsi="宋体" w:eastAsia="宋体" w:cs="宋体"/>
        </w:rPr>
      </w:pPr>
      <w:r>
        <w:rPr>
          <w:rFonts w:hint="eastAsia" w:ascii="宋体" w:hAnsi="宋体" w:eastAsia="宋体" w:cs="宋体"/>
        </w:rPr>
        <w:t>（8）评审结束后，招标代理机构交还评审人员及其他现场相关人员的通讯工具。</w:t>
      </w:r>
    </w:p>
    <w:p w14:paraId="428BF177">
      <w:pPr>
        <w:bidi w:val="0"/>
        <w:spacing w:line="360" w:lineRule="auto"/>
        <w:ind w:left="0" w:leftChars="0" w:firstLine="0" w:firstLineChars="0"/>
        <w:rPr>
          <w:rFonts w:hint="eastAsia" w:ascii="宋体" w:hAnsi="宋体" w:eastAsia="宋体" w:cs="宋体"/>
          <w:szCs w:val="24"/>
        </w:rPr>
      </w:pPr>
      <w:r>
        <w:rPr>
          <w:rFonts w:hint="eastAsia"/>
          <w:b/>
          <w:bCs/>
        </w:rPr>
        <w:t>五、修正原则</w:t>
      </w:r>
    </w:p>
    <w:p w14:paraId="2AADAD6F">
      <w:pPr>
        <w:spacing w:line="360" w:lineRule="auto"/>
        <w:ind w:firstLine="480"/>
        <w:rPr>
          <w:rFonts w:hint="eastAsia" w:ascii="宋体" w:hAnsi="宋体" w:eastAsia="宋体" w:cs="宋体"/>
        </w:rPr>
      </w:pPr>
      <w:r>
        <w:rPr>
          <w:rFonts w:hint="eastAsia" w:ascii="宋体" w:hAnsi="宋体" w:eastAsia="宋体" w:cs="宋体"/>
        </w:rPr>
        <w:t>评标委员会对投标文件的报价文件进行审核，对发现计算、书写等错误的，按以下原则进行修正：</w:t>
      </w:r>
    </w:p>
    <w:p w14:paraId="2D74DE7A">
      <w:pPr>
        <w:pStyle w:val="145"/>
        <w:spacing w:before="0" w:line="360" w:lineRule="auto"/>
        <w:ind w:firstLine="480"/>
        <w:rPr>
          <w:rFonts w:hint="eastAsia" w:ascii="宋体" w:hAnsi="宋体" w:eastAsia="宋体" w:cs="宋体"/>
          <w:kern w:val="0"/>
          <w:lang w:eastAsia="zh-CN"/>
        </w:rPr>
      </w:pPr>
      <w:r>
        <w:rPr>
          <w:rFonts w:hint="eastAsia" w:ascii="宋体" w:hAnsi="宋体" w:eastAsia="宋体" w:cs="宋体"/>
          <w:kern w:val="0"/>
        </w:rPr>
        <w:t>1.投标文件中开标一览表(报价表)内容与投标文件中相应内容不一致的，以开标一览表(报价表)为准</w:t>
      </w:r>
      <w:r>
        <w:rPr>
          <w:rFonts w:hint="eastAsia" w:ascii="宋体" w:hAnsi="宋体" w:eastAsia="宋体" w:cs="宋体"/>
          <w:kern w:val="0"/>
          <w:lang w:eastAsia="zh-CN"/>
        </w:rPr>
        <w:t>；</w:t>
      </w:r>
    </w:p>
    <w:p w14:paraId="35254AB7">
      <w:pPr>
        <w:pStyle w:val="145"/>
        <w:spacing w:before="0" w:line="360" w:lineRule="auto"/>
        <w:ind w:firstLine="480"/>
        <w:rPr>
          <w:rFonts w:hint="eastAsia" w:ascii="宋体" w:hAnsi="宋体" w:eastAsia="宋体" w:cs="宋体"/>
          <w:kern w:val="0"/>
          <w:lang w:eastAsia="zh-CN"/>
        </w:rPr>
      </w:pPr>
      <w:r>
        <w:rPr>
          <w:rFonts w:hint="eastAsia" w:ascii="宋体" w:hAnsi="宋体" w:eastAsia="宋体" w:cs="宋体"/>
          <w:kern w:val="0"/>
        </w:rPr>
        <w:t>2.大写金额和小写金额不一致的，以大写金额为准</w:t>
      </w:r>
      <w:r>
        <w:rPr>
          <w:rFonts w:hint="eastAsia" w:ascii="宋体" w:hAnsi="宋体" w:eastAsia="宋体" w:cs="宋体"/>
          <w:kern w:val="0"/>
          <w:lang w:eastAsia="zh-CN"/>
        </w:rPr>
        <w:t>；</w:t>
      </w:r>
    </w:p>
    <w:p w14:paraId="5EA0F027">
      <w:pPr>
        <w:pStyle w:val="145"/>
        <w:spacing w:before="0" w:line="360" w:lineRule="auto"/>
        <w:ind w:firstLine="480"/>
        <w:rPr>
          <w:rFonts w:hint="eastAsia" w:ascii="宋体" w:hAnsi="宋体" w:eastAsia="宋体" w:cs="宋体"/>
          <w:kern w:val="0"/>
          <w:lang w:eastAsia="zh-CN"/>
        </w:rPr>
      </w:pPr>
      <w:r>
        <w:rPr>
          <w:rFonts w:hint="eastAsia" w:ascii="宋体" w:hAnsi="宋体" w:eastAsia="宋体" w:cs="宋体"/>
          <w:kern w:val="0"/>
        </w:rPr>
        <w:t>3.单价金额小数点或者百分比有明显错位的，以开标一览表的总价为准，并修改单价</w:t>
      </w:r>
      <w:r>
        <w:rPr>
          <w:rFonts w:hint="eastAsia" w:ascii="宋体" w:hAnsi="宋体" w:eastAsia="宋体" w:cs="宋体"/>
          <w:kern w:val="0"/>
          <w:lang w:eastAsia="zh-CN"/>
        </w:rPr>
        <w:t>；</w:t>
      </w:r>
    </w:p>
    <w:p w14:paraId="5B7F45CE">
      <w:pPr>
        <w:pStyle w:val="145"/>
        <w:spacing w:before="0" w:line="360" w:lineRule="auto"/>
        <w:ind w:firstLine="480"/>
        <w:rPr>
          <w:rFonts w:hint="eastAsia" w:ascii="宋体" w:hAnsi="宋体" w:eastAsia="宋体" w:cs="宋体"/>
          <w:kern w:val="0"/>
          <w:lang w:eastAsia="zh-CN"/>
        </w:rPr>
      </w:pPr>
      <w:r>
        <w:rPr>
          <w:rFonts w:hint="eastAsia" w:ascii="宋体" w:hAnsi="宋体" w:eastAsia="宋体" w:cs="宋体"/>
          <w:kern w:val="0"/>
        </w:rPr>
        <w:t>4.总价金额与按单价汇总金额不一致的，以单价金额计算结果为准</w:t>
      </w:r>
      <w:r>
        <w:rPr>
          <w:rFonts w:hint="eastAsia" w:ascii="宋体" w:hAnsi="宋体" w:eastAsia="宋体" w:cs="宋体"/>
          <w:kern w:val="0"/>
          <w:lang w:eastAsia="zh-CN"/>
        </w:rPr>
        <w:t>；</w:t>
      </w:r>
    </w:p>
    <w:p w14:paraId="220386F9">
      <w:pPr>
        <w:pStyle w:val="145"/>
        <w:spacing w:before="0" w:line="360" w:lineRule="auto"/>
        <w:ind w:firstLine="480"/>
        <w:rPr>
          <w:rFonts w:hint="eastAsia" w:ascii="宋体" w:hAnsi="宋体" w:eastAsia="宋体" w:cs="宋体"/>
          <w:kern w:val="0"/>
        </w:rPr>
      </w:pPr>
      <w:r>
        <w:rPr>
          <w:rFonts w:hint="eastAsia" w:ascii="宋体" w:hAnsi="宋体" w:eastAsia="宋体" w:cs="宋体"/>
          <w:kern w:val="0"/>
        </w:rPr>
        <w:t>5.同时出现两种以上不一致的，按照以上规定的顺序修正。修正后的报价按照第87号令《政府采购货物和服务招标投标管理办法》第五十一条第二款的规定经投标人确认后产生约束力。</w:t>
      </w:r>
    </w:p>
    <w:p w14:paraId="26C119D7">
      <w:pPr>
        <w:bidi w:val="0"/>
        <w:spacing w:line="360" w:lineRule="auto"/>
        <w:ind w:left="0" w:leftChars="0" w:firstLine="0" w:firstLineChars="0"/>
        <w:rPr>
          <w:rFonts w:hint="eastAsia" w:ascii="宋体" w:hAnsi="宋体" w:eastAsia="宋体" w:cs="宋体"/>
          <w:szCs w:val="24"/>
        </w:rPr>
      </w:pPr>
      <w:r>
        <w:rPr>
          <w:rFonts w:hint="eastAsia"/>
          <w:b/>
          <w:bCs/>
        </w:rPr>
        <w:t>六、投标无效的情形</w:t>
      </w:r>
    </w:p>
    <w:p w14:paraId="20C1D222">
      <w:pPr>
        <w:spacing w:line="360" w:lineRule="auto"/>
        <w:ind w:firstLine="480"/>
        <w:rPr>
          <w:rFonts w:hint="eastAsia" w:ascii="宋体" w:hAnsi="宋体" w:eastAsia="宋体" w:cs="宋体"/>
        </w:rPr>
      </w:pPr>
      <w:r>
        <w:rPr>
          <w:rFonts w:hint="eastAsia" w:ascii="宋体" w:hAnsi="宋体" w:eastAsia="宋体" w:cs="宋体"/>
        </w:rPr>
        <w:t>1.在符合性审查、</w:t>
      </w:r>
      <w:r>
        <w:rPr>
          <w:rFonts w:hint="eastAsia" w:cs="宋体"/>
          <w:lang w:eastAsia="zh-CN"/>
        </w:rPr>
        <w:t>商务</w:t>
      </w:r>
      <w:r>
        <w:rPr>
          <w:rFonts w:hint="eastAsia" w:ascii="宋体" w:hAnsi="宋体" w:eastAsia="宋体" w:cs="宋体"/>
        </w:rPr>
        <w:t>技术评审时，如发现下列情形之一的，投标文件将被视为无效：</w:t>
      </w:r>
    </w:p>
    <w:p w14:paraId="0C40E374">
      <w:pPr>
        <w:spacing w:line="360" w:lineRule="auto"/>
        <w:ind w:firstLine="480"/>
        <w:rPr>
          <w:rFonts w:hint="eastAsia" w:ascii="宋体" w:hAnsi="宋体" w:eastAsia="宋体" w:cs="宋体"/>
          <w:kern w:val="0"/>
        </w:rPr>
      </w:pPr>
      <w:r>
        <w:rPr>
          <w:rFonts w:hint="eastAsia" w:ascii="宋体" w:hAnsi="宋体" w:eastAsia="宋体" w:cs="宋体"/>
          <w:kern w:val="0"/>
        </w:rPr>
        <w:t>（1）投标人不具备招标文件中规定的资格要求的（投标人未提供有效的资格证明文件的，视为投标人不具备招标文件中规定的资格要求）；</w:t>
      </w:r>
    </w:p>
    <w:p w14:paraId="0FD895FD">
      <w:pPr>
        <w:spacing w:line="360" w:lineRule="auto"/>
        <w:ind w:firstLine="480"/>
        <w:rPr>
          <w:rFonts w:hint="eastAsia" w:ascii="宋体" w:hAnsi="宋体" w:eastAsia="宋体" w:cs="宋体"/>
          <w:kern w:val="0"/>
        </w:rPr>
      </w:pPr>
      <w:r>
        <w:rPr>
          <w:rFonts w:hint="eastAsia" w:ascii="宋体" w:hAnsi="宋体" w:eastAsia="宋体" w:cs="宋体"/>
          <w:kern w:val="0"/>
        </w:rPr>
        <w:t>（2）投标文件未按照招标文件要求签署、盖章的；</w:t>
      </w:r>
    </w:p>
    <w:p w14:paraId="7EEC523B">
      <w:pPr>
        <w:spacing w:line="360" w:lineRule="auto"/>
        <w:ind w:firstLine="480"/>
        <w:rPr>
          <w:rFonts w:hint="eastAsia" w:ascii="宋体" w:hAnsi="宋体" w:eastAsia="宋体" w:cs="宋体"/>
          <w:kern w:val="0"/>
        </w:rPr>
      </w:pPr>
      <w:r>
        <w:rPr>
          <w:rFonts w:hint="eastAsia" w:ascii="宋体" w:hAnsi="宋体" w:eastAsia="宋体" w:cs="宋体"/>
          <w:kern w:val="0"/>
        </w:rPr>
        <w:t>（3）招标人拟采购的产品属于政府强制采购的节能产品品目清单范围的，投标人未按招标文件要求提供国家确定的认证机构出具的、处于有效期之内的节能产品认证证书的；</w:t>
      </w:r>
    </w:p>
    <w:p w14:paraId="4E528D60">
      <w:pPr>
        <w:spacing w:line="360" w:lineRule="auto"/>
        <w:ind w:firstLine="480"/>
        <w:rPr>
          <w:rFonts w:hint="eastAsia" w:ascii="宋体" w:hAnsi="宋体" w:eastAsia="宋体" w:cs="宋体"/>
          <w:kern w:val="0"/>
        </w:rPr>
      </w:pPr>
      <w:r>
        <w:rPr>
          <w:rFonts w:hint="eastAsia" w:ascii="宋体" w:hAnsi="宋体" w:eastAsia="宋体" w:cs="宋体"/>
          <w:kern w:val="0"/>
        </w:rPr>
        <w:t>（4）投标文件含有招标人不能接受的附加条件的；</w:t>
      </w:r>
    </w:p>
    <w:p w14:paraId="63F6AAEE">
      <w:pPr>
        <w:spacing w:line="360" w:lineRule="auto"/>
        <w:ind w:firstLine="480"/>
        <w:rPr>
          <w:rFonts w:hint="eastAsia" w:ascii="宋体" w:hAnsi="宋体" w:eastAsia="宋体" w:cs="宋体"/>
          <w:kern w:val="0"/>
        </w:rPr>
      </w:pPr>
      <w:r>
        <w:rPr>
          <w:rFonts w:hint="eastAsia" w:ascii="宋体" w:hAnsi="宋体" w:eastAsia="宋体" w:cs="宋体"/>
          <w:kern w:val="0"/>
        </w:rPr>
        <w:t>（5）投标文件中承诺的投标有效期少于招标文件中载明的投标有效期的；</w:t>
      </w:r>
    </w:p>
    <w:p w14:paraId="74831F8E">
      <w:pPr>
        <w:pStyle w:val="4"/>
        <w:tabs>
          <w:tab w:val="left" w:pos="432"/>
        </w:tabs>
        <w:spacing w:line="360" w:lineRule="auto"/>
        <w:ind w:left="492" w:leftChars="205"/>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（6）投标文件不满足招标文件的其它实质性要求的；</w:t>
      </w:r>
    </w:p>
    <w:p w14:paraId="630F644D">
      <w:pPr>
        <w:spacing w:line="360" w:lineRule="auto"/>
        <w:ind w:firstLine="480"/>
        <w:rPr>
          <w:rFonts w:hint="eastAsia" w:ascii="宋体" w:hAnsi="宋体" w:eastAsia="宋体" w:cs="宋体"/>
          <w:kern w:val="0"/>
        </w:rPr>
      </w:pPr>
      <w:r>
        <w:rPr>
          <w:rFonts w:hint="eastAsia" w:ascii="宋体" w:hAnsi="宋体" w:eastAsia="宋体" w:cs="宋体"/>
          <w:kern w:val="0"/>
        </w:rPr>
        <w:t>（7）法律、法规、规章（适用本市的）及省级以上规范性文件（适用本市的）规定的其他无效情形。</w:t>
      </w:r>
    </w:p>
    <w:p w14:paraId="299FBC1C">
      <w:pPr>
        <w:spacing w:line="360" w:lineRule="auto"/>
        <w:ind w:firstLine="480"/>
        <w:rPr>
          <w:rFonts w:hint="eastAsia" w:ascii="宋体" w:hAnsi="宋体" w:eastAsia="宋体" w:cs="宋体"/>
        </w:rPr>
      </w:pPr>
      <w:r>
        <w:rPr>
          <w:rFonts w:hint="eastAsia" w:ascii="宋体" w:hAnsi="宋体" w:eastAsia="宋体" w:cs="宋体"/>
        </w:rPr>
        <w:t>2.在报价评审时，如发现下列情形之一的，投标文件将被视为无效：</w:t>
      </w:r>
    </w:p>
    <w:p w14:paraId="5B5394AB">
      <w:pPr>
        <w:spacing w:line="360" w:lineRule="auto"/>
        <w:ind w:firstLine="480"/>
        <w:rPr>
          <w:rFonts w:hint="eastAsia" w:ascii="宋体" w:hAnsi="宋体" w:eastAsia="宋体" w:cs="宋体"/>
        </w:rPr>
      </w:pPr>
      <w:r>
        <w:rPr>
          <w:rFonts w:hint="eastAsia" w:ascii="宋体" w:hAnsi="宋体" w:eastAsia="宋体" w:cs="宋体"/>
        </w:rPr>
        <w:t>（1）报价文件未按要求签署、盖章的；</w:t>
      </w:r>
    </w:p>
    <w:p w14:paraId="481E3BD9">
      <w:pPr>
        <w:spacing w:line="360" w:lineRule="auto"/>
        <w:ind w:firstLine="480"/>
        <w:rPr>
          <w:rFonts w:hint="eastAsia" w:ascii="宋体" w:hAnsi="宋体" w:eastAsia="宋体" w:cs="宋体"/>
        </w:rPr>
      </w:pPr>
      <w:r>
        <w:rPr>
          <w:rFonts w:hint="eastAsia" w:ascii="宋体" w:hAnsi="宋体" w:eastAsia="宋体" w:cs="宋体"/>
        </w:rPr>
        <w:t>（2）未按照招标文件标明的币种报价的；</w:t>
      </w:r>
    </w:p>
    <w:p w14:paraId="6643BBFC">
      <w:pPr>
        <w:spacing w:line="360" w:lineRule="auto"/>
        <w:ind w:firstLine="480"/>
        <w:rPr>
          <w:rFonts w:hint="eastAsia" w:ascii="宋体" w:hAnsi="宋体" w:eastAsia="宋体" w:cs="宋体"/>
        </w:rPr>
      </w:pPr>
      <w:r>
        <w:rPr>
          <w:rFonts w:hint="eastAsia" w:ascii="宋体" w:hAnsi="宋体" w:eastAsia="宋体" w:cs="宋体"/>
        </w:rPr>
        <w:t>（3）报价明细有缺漏项，或者与招标文件要求不一致的；</w:t>
      </w:r>
    </w:p>
    <w:p w14:paraId="450B3147">
      <w:pPr>
        <w:spacing w:line="360" w:lineRule="auto"/>
        <w:ind w:firstLine="480"/>
        <w:rPr>
          <w:rFonts w:hint="eastAsia" w:ascii="宋体" w:hAnsi="宋体" w:eastAsia="宋体" w:cs="宋体"/>
        </w:rPr>
      </w:pPr>
      <w:r>
        <w:rPr>
          <w:rFonts w:hint="eastAsia" w:ascii="宋体" w:hAnsi="宋体" w:eastAsia="宋体" w:cs="宋体"/>
        </w:rPr>
        <w:t>（4）报价超过招标文件中规定的预算金额或者最高限价</w:t>
      </w:r>
      <w:r>
        <w:rPr>
          <w:rFonts w:hint="eastAsia" w:ascii="宋体" w:hAnsi="宋体" w:eastAsia="宋体" w:cs="宋体"/>
          <w:kern w:val="0"/>
        </w:rPr>
        <w:t>（含单价最高限价）</w:t>
      </w:r>
      <w:r>
        <w:rPr>
          <w:rFonts w:hint="eastAsia" w:ascii="宋体" w:hAnsi="宋体" w:eastAsia="宋体" w:cs="宋体"/>
        </w:rPr>
        <w:t>的；</w:t>
      </w:r>
    </w:p>
    <w:p w14:paraId="633BA67D">
      <w:pPr>
        <w:spacing w:line="360" w:lineRule="auto"/>
        <w:ind w:firstLine="480"/>
        <w:rPr>
          <w:rFonts w:hint="eastAsia" w:ascii="宋体" w:hAnsi="宋体" w:eastAsia="宋体" w:cs="宋体"/>
        </w:rPr>
      </w:pPr>
      <w:r>
        <w:rPr>
          <w:rFonts w:hint="eastAsia" w:ascii="宋体" w:hAnsi="宋体" w:eastAsia="宋体" w:cs="宋体"/>
        </w:rPr>
        <w:t>（5）报价</w:t>
      </w:r>
      <w:r>
        <w:rPr>
          <w:rFonts w:hint="eastAsia" w:ascii="宋体" w:hAnsi="宋体" w:eastAsia="宋体" w:cs="宋体"/>
          <w:kern w:val="0"/>
        </w:rPr>
        <w:t>不是唯一的、</w:t>
      </w:r>
      <w:r>
        <w:rPr>
          <w:rFonts w:hint="eastAsia" w:ascii="宋体" w:hAnsi="宋体" w:eastAsia="宋体" w:cs="宋体"/>
        </w:rPr>
        <w:t>具有选择性，或者开标价格与投标文件承诺的优惠（折扣）价格不一致的；</w:t>
      </w:r>
    </w:p>
    <w:p w14:paraId="577679F5">
      <w:pPr>
        <w:spacing w:line="360" w:lineRule="auto"/>
        <w:ind w:firstLine="480"/>
        <w:rPr>
          <w:rFonts w:hint="eastAsia" w:ascii="宋体" w:hAnsi="宋体" w:eastAsia="宋体" w:cs="宋体"/>
        </w:rPr>
      </w:pPr>
      <w:r>
        <w:rPr>
          <w:rFonts w:hint="eastAsia" w:ascii="宋体" w:hAnsi="宋体" w:eastAsia="宋体" w:cs="宋体"/>
        </w:rPr>
        <w:t>（6）报价明显低于其他通过符合性审查投标人的报价（有可能影响产品质量或者不能诚信履约的），投标人在评标现场合理的时间内无法提供书面说明（必要时提交相关证明材料）证明其报价合理性的。</w:t>
      </w:r>
    </w:p>
    <w:p w14:paraId="7C1FC932">
      <w:pPr>
        <w:spacing w:line="360" w:lineRule="auto"/>
        <w:ind w:firstLine="480"/>
        <w:rPr>
          <w:rFonts w:hint="eastAsia" w:ascii="宋体" w:hAnsi="宋体" w:eastAsia="宋体" w:cs="宋体"/>
        </w:rPr>
      </w:pPr>
      <w:r>
        <w:rPr>
          <w:rFonts w:hint="eastAsia" w:ascii="宋体" w:hAnsi="宋体" w:eastAsia="宋体" w:cs="宋体"/>
        </w:rPr>
        <w:t>3.有下列情形之一的，视为投标人串通投标，其投标无效，由招标人或招标代理机构上报招标监督管理部门，视情列入不良行为记录名单，在一至三年内禁止参加招标活动：</w:t>
      </w:r>
    </w:p>
    <w:p w14:paraId="1F051CC7">
      <w:pPr>
        <w:spacing w:line="360" w:lineRule="auto"/>
        <w:ind w:firstLine="480"/>
        <w:rPr>
          <w:rFonts w:hint="eastAsia" w:ascii="宋体" w:hAnsi="宋体" w:eastAsia="宋体" w:cs="宋体"/>
        </w:rPr>
      </w:pPr>
      <w:r>
        <w:rPr>
          <w:rFonts w:hint="eastAsia" w:ascii="宋体" w:hAnsi="宋体" w:eastAsia="宋体" w:cs="宋体"/>
        </w:rPr>
        <w:t>（1）不同投标人的投标文件由同一单位或者个人编制；</w:t>
      </w:r>
    </w:p>
    <w:p w14:paraId="69308E1B">
      <w:pPr>
        <w:spacing w:line="360" w:lineRule="auto"/>
        <w:ind w:firstLine="480"/>
        <w:rPr>
          <w:rFonts w:hint="eastAsia" w:ascii="宋体" w:hAnsi="宋体" w:eastAsia="宋体" w:cs="宋体"/>
        </w:rPr>
      </w:pPr>
      <w:r>
        <w:rPr>
          <w:rFonts w:hint="eastAsia" w:ascii="宋体" w:hAnsi="宋体" w:eastAsia="宋体" w:cs="宋体"/>
        </w:rPr>
        <w:t>（2）不同投标人委托同一单位或者个人办理投标事宜；</w:t>
      </w:r>
    </w:p>
    <w:p w14:paraId="2480C56E">
      <w:pPr>
        <w:spacing w:line="360" w:lineRule="auto"/>
        <w:ind w:firstLine="480"/>
        <w:rPr>
          <w:rFonts w:hint="eastAsia" w:ascii="宋体" w:hAnsi="宋体" w:eastAsia="宋体" w:cs="宋体"/>
        </w:rPr>
      </w:pPr>
      <w:r>
        <w:rPr>
          <w:rFonts w:hint="eastAsia" w:ascii="宋体" w:hAnsi="宋体" w:eastAsia="宋体" w:cs="宋体"/>
        </w:rPr>
        <w:t>（3）不同投标人的投标文件载明的项目管理成员或者联系人员为同一人；</w:t>
      </w:r>
    </w:p>
    <w:p w14:paraId="1299C66E">
      <w:pPr>
        <w:spacing w:line="360" w:lineRule="auto"/>
        <w:ind w:firstLine="480"/>
        <w:rPr>
          <w:rFonts w:hint="eastAsia" w:ascii="宋体" w:hAnsi="宋体" w:eastAsia="宋体" w:cs="宋体"/>
        </w:rPr>
      </w:pPr>
      <w:r>
        <w:rPr>
          <w:rFonts w:hint="eastAsia" w:ascii="宋体" w:hAnsi="宋体" w:eastAsia="宋体" w:cs="宋体"/>
        </w:rPr>
        <w:t>（4）不同投标人的投标文件异常一致或者投标报价呈规律性差异；</w:t>
      </w:r>
    </w:p>
    <w:p w14:paraId="3D609079">
      <w:pPr>
        <w:spacing w:line="360" w:lineRule="auto"/>
        <w:ind w:firstLine="480"/>
        <w:rPr>
          <w:rFonts w:hint="eastAsia" w:ascii="宋体" w:hAnsi="宋体" w:eastAsia="宋体" w:cs="宋体"/>
          <w:lang w:eastAsia="zh-CN"/>
        </w:rPr>
      </w:pPr>
      <w:r>
        <w:rPr>
          <w:rFonts w:hint="eastAsia" w:ascii="宋体" w:hAnsi="宋体" w:eastAsia="宋体" w:cs="宋体"/>
        </w:rPr>
        <w:t>（5）不同投标人的投标文件相互混装</w:t>
      </w:r>
      <w:r>
        <w:rPr>
          <w:rFonts w:hint="eastAsia" w:ascii="宋体" w:hAnsi="宋体" w:eastAsia="宋体" w:cs="宋体"/>
          <w:lang w:eastAsia="zh-CN"/>
        </w:rPr>
        <w:t>。</w:t>
      </w:r>
    </w:p>
    <w:p w14:paraId="4E0ABBAB">
      <w:pPr>
        <w:bidi w:val="0"/>
        <w:spacing w:line="360" w:lineRule="auto"/>
        <w:ind w:left="0" w:leftChars="0" w:firstLine="0" w:firstLineChars="0"/>
        <w:rPr>
          <w:rFonts w:hint="eastAsia" w:ascii="宋体" w:hAnsi="宋体" w:eastAsia="宋体" w:cs="宋体"/>
          <w:szCs w:val="24"/>
        </w:rPr>
      </w:pPr>
      <w:r>
        <w:rPr>
          <w:rFonts w:hint="eastAsia"/>
          <w:b/>
          <w:bCs/>
        </w:rPr>
        <w:t>七、投标的澄清</w:t>
      </w:r>
    </w:p>
    <w:p w14:paraId="3A48D277">
      <w:pPr>
        <w:spacing w:line="360" w:lineRule="auto"/>
        <w:ind w:firstLine="480"/>
        <w:rPr>
          <w:rFonts w:hint="eastAsia" w:ascii="宋体" w:hAnsi="宋体" w:eastAsia="宋体" w:cs="宋体"/>
        </w:rPr>
      </w:pPr>
      <w:r>
        <w:rPr>
          <w:rFonts w:hint="eastAsia" w:ascii="宋体" w:hAnsi="宋体" w:eastAsia="宋体" w:cs="宋体"/>
        </w:rPr>
        <w:t>1.对投标文件审查中发现的投标文件表达含义不明确、同类问题表述不一致或者有明显文字与计算错误的内容，评标委员会可通过询标，要求投标人做出澄清。投标人必须按照招标代理机构通知的时间、地点派技术和商务人员进行答疑和澄清。</w:t>
      </w:r>
    </w:p>
    <w:p w14:paraId="144F1BE9">
      <w:pPr>
        <w:spacing w:line="360" w:lineRule="auto"/>
        <w:ind w:firstLine="480"/>
        <w:rPr>
          <w:rFonts w:hint="eastAsia" w:ascii="宋体" w:hAnsi="宋体" w:eastAsia="宋体" w:cs="宋体"/>
        </w:rPr>
      </w:pPr>
      <w:r>
        <w:rPr>
          <w:rFonts w:hint="eastAsia" w:ascii="宋体" w:hAnsi="宋体" w:eastAsia="宋体" w:cs="宋体"/>
        </w:rPr>
        <w:t>2.投标人应对需要澄清的问题作书面回答，该书面回答应有投标人</w:t>
      </w:r>
      <w:r>
        <w:rPr>
          <w:rFonts w:hint="eastAsia" w:cs="宋体"/>
          <w:lang w:eastAsia="zh-CN"/>
        </w:rPr>
        <w:t>授权代表</w:t>
      </w:r>
      <w:r>
        <w:rPr>
          <w:rFonts w:hint="eastAsia" w:ascii="宋体" w:hAnsi="宋体" w:eastAsia="宋体" w:cs="宋体"/>
        </w:rPr>
        <w:t>（或法定代表人）的签字（或盖章），书面澄清将作为投标内容的一部分。</w:t>
      </w:r>
    </w:p>
    <w:p w14:paraId="1DBE8914">
      <w:pPr>
        <w:spacing w:line="360" w:lineRule="auto"/>
        <w:ind w:firstLine="480"/>
        <w:rPr>
          <w:rFonts w:hint="eastAsia" w:ascii="宋体" w:hAnsi="宋体" w:eastAsia="宋体" w:cs="宋体"/>
        </w:rPr>
      </w:pPr>
      <w:r>
        <w:rPr>
          <w:rFonts w:hint="eastAsia" w:ascii="宋体" w:hAnsi="宋体" w:eastAsia="宋体" w:cs="宋体"/>
        </w:rPr>
        <w:t>3.投标人对投标文件的澄清不得超出投标文件的范围或改变投标价格等投标文件的实质性内容。否则，不予接受。</w:t>
      </w:r>
    </w:p>
    <w:p w14:paraId="2EC1C96A">
      <w:pPr>
        <w:bidi w:val="0"/>
        <w:spacing w:line="360" w:lineRule="auto"/>
        <w:ind w:left="0" w:leftChars="0" w:firstLine="0" w:firstLineChars="0"/>
        <w:rPr>
          <w:rFonts w:hint="eastAsia" w:ascii="宋体" w:hAnsi="宋体" w:eastAsia="宋体" w:cs="宋体"/>
          <w:szCs w:val="24"/>
        </w:rPr>
      </w:pPr>
      <w:r>
        <w:rPr>
          <w:rFonts w:hint="eastAsia"/>
          <w:b/>
          <w:bCs/>
        </w:rPr>
        <w:t>八、评标办法</w:t>
      </w:r>
    </w:p>
    <w:p w14:paraId="06A185F9">
      <w:pPr>
        <w:spacing w:line="360" w:lineRule="auto"/>
        <w:ind w:left="0" w:leftChars="0" w:firstLine="480" w:firstLineChars="200"/>
        <w:rPr>
          <w:rFonts w:hint="eastAsia" w:ascii="宋体" w:hAnsi="宋体" w:eastAsia="宋体" w:cs="宋体"/>
          <w:b w:val="0"/>
          <w:bCs w:val="0"/>
          <w:kern w:val="2"/>
          <w:sz w:val="24"/>
          <w:szCs w:val="24"/>
        </w:rPr>
      </w:pPr>
      <w:r>
        <w:rPr>
          <w:rFonts w:hint="eastAsia" w:ascii="宋体" w:hAnsi="宋体" w:eastAsia="宋体" w:cs="宋体"/>
          <w:b w:val="0"/>
          <w:bCs w:val="0"/>
          <w:kern w:val="2"/>
          <w:sz w:val="24"/>
          <w:szCs w:val="24"/>
        </w:rPr>
        <w:t>本项目评标办法</w:t>
      </w:r>
      <w:r>
        <w:rPr>
          <w:rFonts w:hint="eastAsia" w:cs="宋体"/>
          <w:b w:val="0"/>
          <w:bCs w:val="0"/>
          <w:kern w:val="2"/>
          <w:sz w:val="24"/>
          <w:szCs w:val="24"/>
          <w:lang w:eastAsia="zh-CN"/>
        </w:rPr>
        <w:t>采用</w:t>
      </w:r>
      <w:r>
        <w:rPr>
          <w:rFonts w:hint="eastAsia" w:ascii="宋体" w:hAnsi="宋体" w:eastAsia="宋体" w:cs="宋体"/>
          <w:b w:val="0"/>
          <w:bCs w:val="0"/>
          <w:kern w:val="2"/>
          <w:sz w:val="24"/>
          <w:szCs w:val="24"/>
        </w:rPr>
        <w:t>综合评分法，具体评标内容及评分标准等详见</w:t>
      </w:r>
      <w:r>
        <w:rPr>
          <w:rFonts w:hint="eastAsia" w:cs="宋体"/>
          <w:b w:val="0"/>
          <w:bCs w:val="0"/>
          <w:kern w:val="2"/>
          <w:sz w:val="24"/>
          <w:szCs w:val="24"/>
          <w:lang w:eastAsia="zh-CN"/>
        </w:rPr>
        <w:t>《</w:t>
      </w:r>
      <w:r>
        <w:rPr>
          <w:rFonts w:hint="eastAsia" w:ascii="宋体" w:hAnsi="宋体" w:eastAsia="宋体" w:cs="宋体"/>
          <w:b w:val="0"/>
          <w:bCs w:val="0"/>
          <w:kern w:val="2"/>
          <w:sz w:val="24"/>
          <w:szCs w:val="24"/>
        </w:rPr>
        <w:t>第四章</w:t>
      </w:r>
      <w:r>
        <w:rPr>
          <w:rFonts w:hint="eastAsia" w:cs="宋体"/>
          <w:b w:val="0"/>
          <w:bCs w:val="0"/>
          <w:kern w:val="2"/>
          <w:sz w:val="24"/>
          <w:szCs w:val="24"/>
          <w:lang w:val="en-US" w:eastAsia="zh-CN"/>
        </w:rPr>
        <w:t>-</w:t>
      </w:r>
      <w:r>
        <w:rPr>
          <w:rFonts w:hint="eastAsia" w:ascii="宋体" w:hAnsi="宋体" w:eastAsia="宋体" w:cs="宋体"/>
          <w:b w:val="0"/>
          <w:bCs w:val="0"/>
          <w:kern w:val="2"/>
          <w:sz w:val="24"/>
          <w:szCs w:val="24"/>
        </w:rPr>
        <w:t>评标办法及评分标准</w:t>
      </w:r>
      <w:r>
        <w:rPr>
          <w:rFonts w:hint="eastAsia" w:cs="宋体"/>
          <w:b w:val="0"/>
          <w:bCs w:val="0"/>
          <w:kern w:val="2"/>
          <w:sz w:val="24"/>
          <w:szCs w:val="24"/>
          <w:lang w:eastAsia="zh-CN"/>
        </w:rPr>
        <w:t>》</w:t>
      </w:r>
      <w:r>
        <w:rPr>
          <w:rFonts w:hint="eastAsia" w:ascii="宋体" w:hAnsi="宋体" w:eastAsia="宋体" w:cs="宋体"/>
          <w:b w:val="0"/>
          <w:bCs w:val="0"/>
          <w:kern w:val="2"/>
          <w:sz w:val="24"/>
          <w:szCs w:val="24"/>
        </w:rPr>
        <w:t>。</w:t>
      </w:r>
    </w:p>
    <w:p w14:paraId="658EF6AC">
      <w:pPr>
        <w:pStyle w:val="4"/>
        <w:numPr>
          <w:ilvl w:val="0"/>
          <w:numId w:val="0"/>
        </w:numPr>
        <w:spacing w:line="360" w:lineRule="auto"/>
        <w:jc w:val="center"/>
        <w:rPr>
          <w:rFonts w:hint="eastAsia" w:ascii="宋体" w:hAnsi="宋体" w:cs="宋体"/>
          <w:sz w:val="24"/>
          <w:szCs w:val="24"/>
          <w:lang w:val="en-US" w:eastAsia="zh-CN"/>
        </w:rPr>
        <w:sectPr>
          <w:pgSz w:w="11906" w:h="16838"/>
          <w:pgMar w:top="1247" w:right="1247" w:bottom="1247" w:left="1247" w:header="170" w:footer="567" w:gutter="0"/>
          <w:pgNumType w:fmt="decimal"/>
          <w:cols w:space="720" w:num="1"/>
          <w:docGrid w:linePitch="381" w:charSpace="0"/>
        </w:sectPr>
      </w:pPr>
      <w:bookmarkStart w:id="63" w:name="_Toc31535"/>
      <w:bookmarkStart w:id="64" w:name="_Toc24239"/>
    </w:p>
    <w:p w14:paraId="7C12D6C4">
      <w:pPr>
        <w:pStyle w:val="4"/>
        <w:numPr>
          <w:ilvl w:val="0"/>
          <w:numId w:val="0"/>
        </w:num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第七节  定 标</w:t>
      </w:r>
    </w:p>
    <w:p w14:paraId="55DC0EF1">
      <w:pPr>
        <w:pageBreakBefore w:val="0"/>
        <w:widowControl w:val="0"/>
        <w:kinsoku/>
        <w:wordWrap/>
        <w:overflowPunct/>
        <w:topLinePunct w:val="0"/>
        <w:autoSpaceDE/>
        <w:autoSpaceDN/>
        <w:bidi w:val="0"/>
        <w:adjustRightInd/>
        <w:snapToGrid/>
        <w:spacing w:line="360" w:lineRule="auto"/>
        <w:textAlignment w:val="auto"/>
        <w:rPr>
          <w:rFonts w:hint="eastAsia" w:cs="宋体"/>
          <w:sz w:val="24"/>
          <w:szCs w:val="24"/>
        </w:rPr>
      </w:pPr>
      <w:r>
        <w:rPr>
          <w:rFonts w:hint="eastAsia" w:cs="宋体"/>
          <w:sz w:val="24"/>
          <w:szCs w:val="24"/>
        </w:rPr>
        <w:t>1</w:t>
      </w:r>
      <w:r>
        <w:rPr>
          <w:rFonts w:hint="eastAsia" w:cs="宋体"/>
          <w:sz w:val="24"/>
          <w:szCs w:val="24"/>
          <w:lang w:eastAsia="zh-CN"/>
        </w:rPr>
        <w:t>.</w:t>
      </w:r>
      <w:r>
        <w:rPr>
          <w:rFonts w:hint="eastAsia" w:cs="宋体"/>
          <w:sz w:val="24"/>
          <w:szCs w:val="24"/>
        </w:rPr>
        <w:t>确定中标供应商。本项目由</w:t>
      </w:r>
      <w:r>
        <w:rPr>
          <w:rFonts w:hint="eastAsia" w:cs="宋体"/>
          <w:sz w:val="24"/>
          <w:szCs w:val="24"/>
          <w:lang w:eastAsia="zh-CN"/>
        </w:rPr>
        <w:t>招标人</w:t>
      </w:r>
      <w:r>
        <w:rPr>
          <w:rFonts w:hint="eastAsia" w:cs="宋体"/>
          <w:sz w:val="24"/>
          <w:szCs w:val="24"/>
        </w:rPr>
        <w:t>确定中标供应商。</w:t>
      </w:r>
    </w:p>
    <w:p w14:paraId="25563FCD">
      <w:pPr>
        <w:pageBreakBefore w:val="0"/>
        <w:widowControl w:val="0"/>
        <w:kinsoku/>
        <w:wordWrap/>
        <w:overflowPunct/>
        <w:topLinePunct w:val="0"/>
        <w:autoSpaceDE/>
        <w:autoSpaceDN/>
        <w:bidi w:val="0"/>
        <w:adjustRightInd/>
        <w:snapToGrid/>
        <w:spacing w:line="360" w:lineRule="auto"/>
        <w:textAlignment w:val="auto"/>
        <w:rPr>
          <w:rFonts w:hint="eastAsia" w:cs="宋体"/>
          <w:sz w:val="24"/>
          <w:szCs w:val="24"/>
        </w:rPr>
      </w:pPr>
      <w:r>
        <w:rPr>
          <w:rFonts w:hint="eastAsia" w:cs="宋体"/>
          <w:sz w:val="24"/>
          <w:szCs w:val="24"/>
        </w:rPr>
        <w:t>2</w:t>
      </w:r>
      <w:r>
        <w:rPr>
          <w:rFonts w:hint="eastAsia" w:cs="宋体"/>
          <w:sz w:val="24"/>
          <w:szCs w:val="24"/>
          <w:lang w:eastAsia="zh-CN"/>
        </w:rPr>
        <w:t>.招标代理机构</w:t>
      </w:r>
      <w:r>
        <w:rPr>
          <w:rFonts w:hint="eastAsia" w:cs="宋体"/>
          <w:sz w:val="24"/>
          <w:szCs w:val="24"/>
        </w:rPr>
        <w:t>在评标结束后2个工作日内将评标报告交</w:t>
      </w:r>
      <w:r>
        <w:rPr>
          <w:rFonts w:hint="eastAsia" w:cs="宋体"/>
          <w:sz w:val="24"/>
          <w:szCs w:val="24"/>
          <w:lang w:eastAsia="zh-CN"/>
        </w:rPr>
        <w:t>招标人</w:t>
      </w:r>
      <w:r>
        <w:rPr>
          <w:rFonts w:hint="eastAsia" w:cs="宋体"/>
          <w:sz w:val="24"/>
          <w:szCs w:val="24"/>
        </w:rPr>
        <w:t>确认。</w:t>
      </w:r>
    </w:p>
    <w:p w14:paraId="3B5B0063">
      <w:pPr>
        <w:pageBreakBefore w:val="0"/>
        <w:widowControl w:val="0"/>
        <w:kinsoku/>
        <w:wordWrap/>
        <w:overflowPunct/>
        <w:topLinePunct w:val="0"/>
        <w:autoSpaceDE/>
        <w:autoSpaceDN/>
        <w:bidi w:val="0"/>
        <w:adjustRightInd/>
        <w:snapToGrid/>
        <w:spacing w:line="360" w:lineRule="auto"/>
        <w:textAlignment w:val="auto"/>
        <w:rPr>
          <w:rFonts w:hint="eastAsia" w:cs="宋体"/>
          <w:sz w:val="24"/>
          <w:szCs w:val="24"/>
        </w:rPr>
      </w:pPr>
      <w:r>
        <w:rPr>
          <w:rFonts w:hint="eastAsia" w:cs="宋体"/>
          <w:sz w:val="24"/>
          <w:szCs w:val="24"/>
        </w:rPr>
        <w:t>3</w:t>
      </w:r>
      <w:r>
        <w:rPr>
          <w:rFonts w:hint="eastAsia" w:cs="宋体"/>
          <w:sz w:val="24"/>
          <w:szCs w:val="24"/>
          <w:lang w:eastAsia="zh-CN"/>
        </w:rPr>
        <w:t>.</w:t>
      </w:r>
      <w:r>
        <w:rPr>
          <w:rFonts w:hint="eastAsia" w:cs="宋体"/>
          <w:szCs w:val="24"/>
          <w:lang w:eastAsia="zh-CN"/>
        </w:rPr>
        <w:t>招标人</w:t>
      </w:r>
      <w:r>
        <w:rPr>
          <w:rFonts w:hint="eastAsia" w:ascii="宋体" w:hAnsi="宋体" w:cs="宋体"/>
          <w:szCs w:val="24"/>
        </w:rPr>
        <w:t>自收到评审报告之日起5个工作日内通过电子交易平台在评审报告推荐的中标候选人中按顺序确定中标人</w:t>
      </w:r>
      <w:r>
        <w:rPr>
          <w:rFonts w:hint="eastAsia" w:cs="宋体"/>
          <w:sz w:val="24"/>
          <w:szCs w:val="24"/>
        </w:rPr>
        <w:t>。中标候选人并列的，由</w:t>
      </w:r>
      <w:r>
        <w:rPr>
          <w:rFonts w:hint="eastAsia" w:cs="宋体"/>
          <w:sz w:val="24"/>
          <w:szCs w:val="24"/>
          <w:lang w:eastAsia="zh-CN"/>
        </w:rPr>
        <w:t>招标人</w:t>
      </w:r>
      <w:r>
        <w:rPr>
          <w:rFonts w:hint="eastAsia" w:cs="宋体"/>
          <w:sz w:val="24"/>
          <w:szCs w:val="24"/>
        </w:rPr>
        <w:t>或者</w:t>
      </w:r>
      <w:r>
        <w:rPr>
          <w:rFonts w:hint="eastAsia" w:cs="宋体"/>
          <w:sz w:val="24"/>
          <w:szCs w:val="24"/>
          <w:lang w:eastAsia="zh-CN"/>
        </w:rPr>
        <w:t>招标人</w:t>
      </w:r>
      <w:r>
        <w:rPr>
          <w:rFonts w:hint="eastAsia" w:cs="宋体"/>
          <w:sz w:val="24"/>
          <w:szCs w:val="24"/>
        </w:rPr>
        <w:t>委托评标委员会按照招标文件规定的方式确定中标供应商；招标文件未规定的，采取随机抽取的方式确定。</w:t>
      </w:r>
    </w:p>
    <w:p w14:paraId="0F2B4583">
      <w:pPr>
        <w:pageBreakBefore w:val="0"/>
        <w:widowControl w:val="0"/>
        <w:kinsoku/>
        <w:wordWrap/>
        <w:overflowPunct/>
        <w:topLinePunct w:val="0"/>
        <w:autoSpaceDE/>
        <w:autoSpaceDN/>
        <w:bidi w:val="0"/>
        <w:adjustRightInd/>
        <w:snapToGrid/>
        <w:spacing w:line="360" w:lineRule="auto"/>
        <w:textAlignment w:val="auto"/>
        <w:rPr>
          <w:rFonts w:hint="eastAsia" w:cs="宋体"/>
          <w:sz w:val="24"/>
          <w:szCs w:val="24"/>
        </w:rPr>
      </w:pPr>
      <w:r>
        <w:rPr>
          <w:rFonts w:hint="eastAsia" w:cs="宋体"/>
          <w:sz w:val="24"/>
          <w:szCs w:val="24"/>
        </w:rPr>
        <w:t>4</w:t>
      </w:r>
      <w:r>
        <w:rPr>
          <w:rFonts w:hint="eastAsia" w:cs="宋体"/>
          <w:sz w:val="24"/>
          <w:szCs w:val="24"/>
          <w:lang w:eastAsia="zh-CN"/>
        </w:rPr>
        <w:t>.招标人</w:t>
      </w:r>
      <w:r>
        <w:rPr>
          <w:rFonts w:hint="eastAsia" w:cs="宋体"/>
          <w:sz w:val="24"/>
          <w:szCs w:val="24"/>
        </w:rPr>
        <w:t>在收到评标报告5个工作日内未按评标报告推荐的中标候选人顺序确定中标供应商，又不能说明合法理由的，视同按评标报告推荐的顺序确定排名第一的中标候选人为中标供应商。</w:t>
      </w:r>
    </w:p>
    <w:p w14:paraId="2C4020B3">
      <w:pPr>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cs="宋体"/>
          <w:sz w:val="24"/>
          <w:szCs w:val="24"/>
        </w:rPr>
      </w:pPr>
      <w:r>
        <w:rPr>
          <w:rFonts w:hint="eastAsia" w:cs="宋体"/>
          <w:sz w:val="24"/>
          <w:szCs w:val="24"/>
        </w:rPr>
        <w:t>5</w:t>
      </w:r>
      <w:r>
        <w:rPr>
          <w:rFonts w:hint="eastAsia" w:cs="宋体"/>
          <w:sz w:val="24"/>
          <w:szCs w:val="24"/>
          <w:lang w:eastAsia="zh-CN"/>
        </w:rPr>
        <w:t>.招标人</w:t>
      </w:r>
      <w:r>
        <w:rPr>
          <w:rFonts w:hint="eastAsia" w:cs="宋体"/>
          <w:sz w:val="24"/>
          <w:szCs w:val="24"/>
        </w:rPr>
        <w:t>依法确定中标供应商后2个工作日内，</w:t>
      </w:r>
      <w:r>
        <w:rPr>
          <w:rFonts w:hint="eastAsia" w:cs="宋体"/>
          <w:sz w:val="24"/>
          <w:szCs w:val="24"/>
          <w:lang w:eastAsia="zh-CN"/>
        </w:rPr>
        <w:t>招标代理机构</w:t>
      </w:r>
      <w:r>
        <w:rPr>
          <w:rFonts w:hint="eastAsia" w:cs="宋体"/>
          <w:sz w:val="24"/>
          <w:szCs w:val="24"/>
        </w:rPr>
        <w:t>以书面形式发出《中标通知书》，并同时在相关网站上发布中标结果公告。</w:t>
      </w:r>
    </w:p>
    <w:p w14:paraId="2F2D7ECF">
      <w:pPr>
        <w:bidi w:val="0"/>
        <w:rPr>
          <w:rFonts w:hint="default"/>
          <w:sz w:val="18"/>
          <w:szCs w:val="18"/>
          <w:lang w:val="en-US" w:eastAsia="zh-CN"/>
        </w:rPr>
      </w:pPr>
    </w:p>
    <w:p w14:paraId="529C6AEE">
      <w:pPr>
        <w:pStyle w:val="4"/>
        <w:spacing w:line="360" w:lineRule="auto"/>
        <w:jc w:val="center"/>
        <w:rPr>
          <w:rFonts w:hint="eastAsia" w:ascii="宋体" w:hAnsi="宋体" w:eastAsia="宋体" w:cs="宋体"/>
          <w:sz w:val="24"/>
          <w:szCs w:val="24"/>
        </w:rPr>
      </w:pPr>
      <w:r>
        <w:rPr>
          <w:rFonts w:hint="eastAsia" w:ascii="宋体" w:hAnsi="宋体" w:cs="宋体"/>
          <w:sz w:val="24"/>
          <w:szCs w:val="24"/>
          <w:lang w:val="en-US" w:eastAsia="zh-CN"/>
        </w:rPr>
        <w:t xml:space="preserve"> </w:t>
      </w:r>
      <w:r>
        <w:rPr>
          <w:rFonts w:hint="eastAsia" w:ascii="宋体" w:hAnsi="宋体" w:eastAsia="宋体" w:cs="宋体"/>
          <w:sz w:val="24"/>
          <w:szCs w:val="24"/>
        </w:rPr>
        <w:t>第</w:t>
      </w:r>
      <w:r>
        <w:rPr>
          <w:rFonts w:hint="eastAsia" w:ascii="宋体" w:hAnsi="宋体" w:cs="宋体"/>
          <w:sz w:val="24"/>
          <w:szCs w:val="24"/>
          <w:lang w:eastAsia="zh-CN"/>
        </w:rPr>
        <w:t>八</w:t>
      </w:r>
      <w:r>
        <w:rPr>
          <w:rFonts w:hint="eastAsia" w:ascii="宋体" w:hAnsi="宋体" w:eastAsia="宋体" w:cs="宋体"/>
          <w:sz w:val="24"/>
          <w:szCs w:val="24"/>
        </w:rPr>
        <w:t xml:space="preserve">节 </w:t>
      </w:r>
      <w:r>
        <w:rPr>
          <w:rFonts w:hint="eastAsia" w:ascii="宋体" w:hAnsi="宋体" w:cs="宋体"/>
          <w:sz w:val="24"/>
          <w:szCs w:val="24"/>
          <w:lang w:val="en-US" w:eastAsia="zh-CN"/>
        </w:rPr>
        <w:t xml:space="preserve"> </w:t>
      </w:r>
      <w:r>
        <w:rPr>
          <w:rFonts w:hint="eastAsia" w:ascii="宋体" w:hAnsi="宋体" w:eastAsia="宋体" w:cs="宋体"/>
          <w:sz w:val="24"/>
          <w:szCs w:val="24"/>
        </w:rPr>
        <w:t>授予合同</w:t>
      </w:r>
      <w:bookmarkEnd w:id="63"/>
      <w:bookmarkEnd w:id="64"/>
    </w:p>
    <w:p w14:paraId="1CEAD924">
      <w:pPr>
        <w:bidi w:val="0"/>
        <w:spacing w:line="360" w:lineRule="auto"/>
        <w:ind w:left="0" w:leftChars="0" w:firstLine="0" w:firstLineChars="0"/>
        <w:rPr>
          <w:rFonts w:hint="eastAsia" w:cs="宋体"/>
          <w:szCs w:val="24"/>
          <w:lang w:eastAsia="zh-CN"/>
        </w:rPr>
      </w:pPr>
      <w:r>
        <w:rPr>
          <w:rFonts w:hint="eastAsia"/>
          <w:b/>
          <w:bCs/>
          <w:lang w:eastAsia="zh-CN"/>
        </w:rPr>
        <w:t>一、中标通知书</w:t>
      </w:r>
    </w:p>
    <w:p w14:paraId="379DA2CF">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sz w:val="24"/>
          <w:szCs w:val="24"/>
        </w:rPr>
      </w:pPr>
      <w:r>
        <w:rPr>
          <w:rFonts w:hint="eastAsia" w:cs="宋体"/>
          <w:sz w:val="24"/>
          <w:szCs w:val="24"/>
          <w:lang w:val="en-US" w:eastAsia="zh-CN"/>
        </w:rPr>
        <w:t>1</w:t>
      </w:r>
      <w:r>
        <w:rPr>
          <w:rFonts w:hint="eastAsia" w:cs="宋体"/>
          <w:sz w:val="24"/>
          <w:szCs w:val="24"/>
        </w:rPr>
        <w:t>.确定中标供应商后，</w:t>
      </w:r>
      <w:r>
        <w:rPr>
          <w:rFonts w:hint="eastAsia" w:cs="宋体"/>
          <w:sz w:val="24"/>
          <w:szCs w:val="24"/>
          <w:lang w:eastAsia="zh-CN"/>
        </w:rPr>
        <w:t>招标代理机构</w:t>
      </w:r>
      <w:r>
        <w:rPr>
          <w:rFonts w:hint="eastAsia" w:cs="宋体"/>
          <w:sz w:val="24"/>
          <w:szCs w:val="24"/>
        </w:rPr>
        <w:t>将以书面形式发出中标通知书，通知中标的供应商其投标被接受；</w:t>
      </w:r>
    </w:p>
    <w:p w14:paraId="1E04F34F">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sz w:val="24"/>
          <w:szCs w:val="24"/>
        </w:rPr>
      </w:pPr>
      <w:r>
        <w:rPr>
          <w:rFonts w:hint="eastAsia" w:cs="宋体"/>
          <w:sz w:val="24"/>
          <w:szCs w:val="24"/>
        </w:rPr>
        <w:t>2.中标通知书为双方签订合同的依据；</w:t>
      </w:r>
    </w:p>
    <w:p w14:paraId="34BC7027">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sz w:val="24"/>
          <w:szCs w:val="24"/>
        </w:rPr>
      </w:pPr>
      <w:r>
        <w:rPr>
          <w:rFonts w:hint="eastAsia" w:cs="宋体"/>
          <w:sz w:val="24"/>
          <w:szCs w:val="24"/>
          <w:lang w:val="en-US" w:eastAsia="zh-CN"/>
        </w:rPr>
        <w:t>3</w:t>
      </w:r>
      <w:r>
        <w:rPr>
          <w:rFonts w:hint="eastAsia" w:cs="宋体"/>
          <w:sz w:val="24"/>
          <w:szCs w:val="24"/>
        </w:rPr>
        <w:t>.中标供应商应根据中标通知书中规定的时间内，由法定代表人或其授权代理人与</w:t>
      </w:r>
      <w:r>
        <w:rPr>
          <w:rFonts w:hint="eastAsia" w:cs="宋体"/>
          <w:sz w:val="24"/>
          <w:szCs w:val="24"/>
          <w:lang w:eastAsia="zh-CN"/>
        </w:rPr>
        <w:t>招标人</w:t>
      </w:r>
      <w:r>
        <w:rPr>
          <w:rFonts w:hint="eastAsia" w:cs="宋体"/>
          <w:sz w:val="24"/>
          <w:szCs w:val="24"/>
        </w:rPr>
        <w:t>签订合同。</w:t>
      </w:r>
    </w:p>
    <w:p w14:paraId="5DAD3623">
      <w:pPr>
        <w:bidi w:val="0"/>
        <w:spacing w:line="360" w:lineRule="auto"/>
        <w:ind w:left="0" w:leftChars="0" w:firstLine="0" w:firstLineChars="0"/>
        <w:rPr>
          <w:rFonts w:hint="eastAsia" w:ascii="宋体" w:hAnsi="宋体" w:eastAsia="宋体" w:cs="宋体"/>
          <w:szCs w:val="24"/>
        </w:rPr>
      </w:pPr>
      <w:r>
        <w:rPr>
          <w:rFonts w:hint="eastAsia"/>
          <w:b/>
          <w:bCs/>
          <w:lang w:eastAsia="zh-CN"/>
        </w:rPr>
        <w:t>二</w:t>
      </w:r>
      <w:r>
        <w:rPr>
          <w:rFonts w:hint="eastAsia"/>
          <w:b/>
          <w:bCs/>
        </w:rPr>
        <w:t>、签订合同</w:t>
      </w:r>
    </w:p>
    <w:p w14:paraId="2B69F06B">
      <w:pPr>
        <w:widowControl/>
        <w:spacing w:line="360" w:lineRule="auto"/>
        <w:ind w:firstLine="480"/>
        <w:jc w:val="left"/>
        <w:rPr>
          <w:rFonts w:hint="eastAsia" w:ascii="宋体" w:hAnsi="宋体" w:eastAsia="宋体" w:cs="宋体"/>
        </w:rPr>
      </w:pPr>
      <w:r>
        <w:rPr>
          <w:rFonts w:hint="eastAsia" w:ascii="宋体" w:hAnsi="宋体" w:eastAsia="宋体" w:cs="宋体"/>
          <w:color w:val="000000"/>
          <w:kern w:val="0"/>
          <w:lang w:bidi="ar"/>
        </w:rPr>
        <w:t>1.招标人与中标人应当在《中标通知书》发出之日起</w:t>
      </w:r>
      <w:r>
        <w:rPr>
          <w:rFonts w:hint="eastAsia" w:cs="宋体"/>
          <w:color w:val="000000"/>
          <w:kern w:val="0"/>
          <w:highlight w:val="none"/>
          <w:lang w:val="en-US" w:eastAsia="zh-CN" w:bidi="ar"/>
        </w:rPr>
        <w:t>30</w:t>
      </w:r>
      <w:r>
        <w:rPr>
          <w:rFonts w:hint="eastAsia" w:ascii="宋体" w:hAnsi="宋体" w:eastAsia="宋体" w:cs="宋体"/>
          <w:color w:val="000000"/>
          <w:kern w:val="0"/>
          <w:highlight w:val="none"/>
          <w:lang w:bidi="ar"/>
        </w:rPr>
        <w:t>日</w:t>
      </w:r>
      <w:r>
        <w:rPr>
          <w:rFonts w:hint="eastAsia" w:cs="宋体"/>
          <w:color w:val="000000"/>
          <w:kern w:val="0"/>
          <w:highlight w:val="none"/>
          <w:lang w:eastAsia="zh-CN" w:bidi="ar"/>
        </w:rPr>
        <w:t>内</w:t>
      </w:r>
      <w:r>
        <w:rPr>
          <w:rFonts w:hint="eastAsia" w:ascii="宋体" w:hAnsi="宋体" w:eastAsia="宋体" w:cs="宋体"/>
          <w:color w:val="000000"/>
          <w:kern w:val="0"/>
          <w:lang w:bidi="ar"/>
        </w:rPr>
        <w:t xml:space="preserve">签订正式合同，明确双方权利、义务和违约责任。 </w:t>
      </w:r>
    </w:p>
    <w:p w14:paraId="5FC13E01">
      <w:pPr>
        <w:widowControl/>
        <w:spacing w:line="360" w:lineRule="auto"/>
        <w:ind w:firstLine="480"/>
        <w:jc w:val="left"/>
        <w:rPr>
          <w:rFonts w:hint="eastAsia" w:ascii="宋体" w:hAnsi="宋体" w:eastAsia="宋体" w:cs="宋体"/>
        </w:rPr>
      </w:pPr>
      <w:r>
        <w:rPr>
          <w:rFonts w:hint="eastAsia" w:ascii="宋体" w:hAnsi="宋体" w:eastAsia="宋体" w:cs="宋体"/>
          <w:color w:val="000000"/>
          <w:kern w:val="0"/>
          <w:lang w:bidi="ar"/>
        </w:rPr>
        <w:t xml:space="preserve">2.中标人接到中标通知书后，在规定时间内借故否认已经承诺的条件而拒签合同的， 以违约处理，其中标资格将被取消。 </w:t>
      </w:r>
    </w:p>
    <w:p w14:paraId="3F2F82BB">
      <w:pPr>
        <w:widowControl/>
        <w:spacing w:line="360" w:lineRule="auto"/>
        <w:ind w:firstLine="480"/>
        <w:jc w:val="left"/>
        <w:rPr>
          <w:rFonts w:hint="eastAsia" w:ascii="宋体" w:hAnsi="宋体" w:eastAsia="宋体" w:cs="宋体"/>
        </w:rPr>
      </w:pPr>
      <w:r>
        <w:rPr>
          <w:rFonts w:hint="eastAsia" w:ascii="宋体" w:hAnsi="宋体" w:eastAsia="宋体" w:cs="宋体"/>
          <w:color w:val="000000"/>
          <w:kern w:val="0"/>
          <w:lang w:bidi="ar"/>
        </w:rPr>
        <w:t xml:space="preserve">3.中标候选人放弃中标；因不可抗力提出不能履行合同；或者招标文件规定应当提交 </w:t>
      </w:r>
    </w:p>
    <w:p w14:paraId="0DE96E9D">
      <w:pPr>
        <w:widowControl/>
        <w:spacing w:line="360" w:lineRule="auto"/>
        <w:ind w:firstLine="0" w:firstLineChars="0"/>
        <w:jc w:val="left"/>
        <w:rPr>
          <w:rFonts w:hint="eastAsia" w:ascii="宋体" w:hAnsi="宋体" w:eastAsia="宋体" w:cs="宋体"/>
        </w:rPr>
      </w:pPr>
      <w:r>
        <w:rPr>
          <w:rFonts w:hint="eastAsia" w:ascii="宋体" w:hAnsi="宋体" w:eastAsia="宋体" w:cs="宋体"/>
          <w:color w:val="000000"/>
          <w:kern w:val="0"/>
          <w:lang w:bidi="ar"/>
        </w:rPr>
        <w:t>履约保证金、承诺要求等而在规定的期限内未能提交的；或未能在规定时间内与招标人签订合同的；或者经质疑，招标人审查后，确因中标候选人在本次</w:t>
      </w:r>
      <w:r>
        <w:rPr>
          <w:rFonts w:hint="eastAsia" w:ascii="宋体" w:hAnsi="宋体" w:eastAsia="宋体" w:cs="宋体"/>
        </w:rPr>
        <w:t>招标</w:t>
      </w:r>
      <w:r>
        <w:rPr>
          <w:rFonts w:hint="eastAsia" w:ascii="宋体" w:hAnsi="宋体" w:eastAsia="宋体" w:cs="宋体"/>
          <w:color w:val="000000"/>
          <w:kern w:val="0"/>
          <w:lang w:bidi="ar"/>
        </w:rPr>
        <w:t>活动中存在违法违规行为或其他原因使质疑成立的，招标人可视情况确定是否由第二有效中标候选人替补，</w:t>
      </w:r>
      <w:r>
        <w:rPr>
          <w:rFonts w:hint="eastAsia" w:ascii="宋体" w:hAnsi="宋体" w:eastAsia="宋体" w:cs="宋体"/>
        </w:rPr>
        <w:t>也可以重新开展招标活动。</w:t>
      </w:r>
    </w:p>
    <w:p w14:paraId="73354C8B">
      <w:pPr>
        <w:widowControl/>
        <w:spacing w:line="360" w:lineRule="auto"/>
        <w:ind w:firstLine="480"/>
        <w:jc w:val="left"/>
        <w:rPr>
          <w:rFonts w:hint="eastAsia" w:ascii="宋体" w:hAnsi="宋体" w:eastAsia="宋体" w:cs="宋体"/>
        </w:rPr>
      </w:pPr>
      <w:r>
        <w:rPr>
          <w:rFonts w:hint="eastAsia" w:ascii="宋体" w:hAnsi="宋体" w:eastAsia="宋体" w:cs="宋体"/>
          <w:color w:val="000000"/>
          <w:kern w:val="0"/>
          <w:lang w:bidi="ar"/>
        </w:rPr>
        <w:t xml:space="preserve">4.招标文件、中标人的投标文件、投标修改文件、评标过程中有关澄清文件及经投标 </w:t>
      </w:r>
    </w:p>
    <w:p w14:paraId="706309C7">
      <w:pPr>
        <w:widowControl/>
        <w:spacing w:line="360" w:lineRule="auto"/>
        <w:ind w:firstLine="0" w:firstLineChars="0"/>
        <w:jc w:val="left"/>
        <w:rPr>
          <w:rFonts w:hint="eastAsia" w:ascii="宋体" w:hAnsi="宋体" w:eastAsia="宋体" w:cs="宋体"/>
          <w:color w:val="000000"/>
          <w:kern w:val="0"/>
          <w:lang w:bidi="ar"/>
        </w:rPr>
      </w:pPr>
      <w:r>
        <w:rPr>
          <w:rFonts w:hint="eastAsia" w:ascii="宋体" w:hAnsi="宋体" w:eastAsia="宋体" w:cs="宋体"/>
          <w:color w:val="000000"/>
          <w:kern w:val="0"/>
          <w:lang w:bidi="ar"/>
        </w:rPr>
        <w:t>人和评委双方签字的询标记录和中标通知书均作为签订合同依据。</w:t>
      </w:r>
    </w:p>
    <w:p w14:paraId="64952A83">
      <w:pPr>
        <w:pStyle w:val="4"/>
        <w:spacing w:line="360" w:lineRule="auto"/>
        <w:jc w:val="center"/>
        <w:rPr>
          <w:rFonts w:hint="eastAsia" w:ascii="宋体" w:hAnsi="宋体" w:eastAsia="宋体" w:cs="宋体"/>
          <w:sz w:val="24"/>
          <w:szCs w:val="24"/>
        </w:rPr>
      </w:pPr>
      <w:bookmarkStart w:id="65" w:name="_Toc15220"/>
      <w:bookmarkStart w:id="66" w:name="_Toc12481"/>
      <w:r>
        <w:rPr>
          <w:rFonts w:hint="eastAsia" w:ascii="宋体" w:hAnsi="宋体" w:eastAsia="宋体" w:cs="宋体"/>
          <w:sz w:val="24"/>
          <w:szCs w:val="24"/>
        </w:rPr>
        <w:t>第</w:t>
      </w:r>
      <w:r>
        <w:rPr>
          <w:rFonts w:hint="eastAsia" w:ascii="宋体" w:hAnsi="宋体" w:cs="宋体"/>
          <w:sz w:val="24"/>
          <w:szCs w:val="24"/>
          <w:lang w:eastAsia="zh-CN"/>
        </w:rPr>
        <w:t>九</w:t>
      </w:r>
      <w:r>
        <w:rPr>
          <w:rFonts w:hint="eastAsia" w:ascii="宋体" w:hAnsi="宋体" w:eastAsia="宋体" w:cs="宋体"/>
          <w:sz w:val="24"/>
          <w:szCs w:val="24"/>
        </w:rPr>
        <w:t xml:space="preserve">节 </w:t>
      </w:r>
      <w:bookmarkEnd w:id="65"/>
      <w:bookmarkEnd w:id="66"/>
      <w:r>
        <w:rPr>
          <w:rFonts w:hint="eastAsia" w:ascii="宋体" w:hAnsi="宋体" w:cs="宋体"/>
          <w:sz w:val="24"/>
          <w:szCs w:val="24"/>
          <w:lang w:val="en-US" w:eastAsia="zh-CN"/>
        </w:rPr>
        <w:t xml:space="preserve"> </w:t>
      </w:r>
      <w:r>
        <w:rPr>
          <w:rFonts w:hint="eastAsia" w:cs="宋体"/>
          <w:sz w:val="24"/>
          <w:szCs w:val="24"/>
          <w:lang w:val="en-US" w:eastAsia="zh-CN"/>
        </w:rPr>
        <w:t>电子交易活动的中止</w:t>
      </w:r>
    </w:p>
    <w:p w14:paraId="06A71159">
      <w:pPr>
        <w:spacing w:line="360" w:lineRule="auto"/>
        <w:ind w:left="0" w:leftChars="0" w:firstLine="0" w:firstLineChars="0"/>
        <w:rPr>
          <w:rFonts w:hint="eastAsia" w:cs="宋体"/>
          <w:b/>
          <w:bCs/>
          <w:lang w:eastAsia="zh-CN"/>
        </w:rPr>
      </w:pPr>
      <w:r>
        <w:rPr>
          <w:rFonts w:hint="eastAsia" w:cs="宋体"/>
          <w:b/>
          <w:bCs/>
          <w:lang w:eastAsia="zh-CN"/>
        </w:rPr>
        <w:t>一、例外处理</w:t>
      </w:r>
    </w:p>
    <w:p w14:paraId="50CA4B31">
      <w:pPr>
        <w:spacing w:line="360" w:lineRule="auto"/>
        <w:ind w:left="0" w:leftChars="0" w:firstLine="480" w:firstLineChars="200"/>
        <w:rPr>
          <w:rFonts w:hint="eastAsia" w:ascii="宋体" w:hAnsi="宋体" w:eastAsia="宋体" w:cs="宋体"/>
        </w:rPr>
      </w:pPr>
      <w:r>
        <w:rPr>
          <w:rFonts w:hint="eastAsia" w:ascii="宋体" w:hAnsi="宋体" w:eastAsia="宋体" w:cs="宋体"/>
        </w:rPr>
        <w:t>投标截止时间结束后或评审过程中参加标项投标的</w:t>
      </w:r>
      <w:r>
        <w:rPr>
          <w:rFonts w:hint="eastAsia" w:cs="宋体"/>
          <w:lang w:eastAsia="zh-CN"/>
        </w:rPr>
        <w:t>投</w:t>
      </w:r>
      <w:r>
        <w:rPr>
          <w:rFonts w:hint="eastAsia" w:ascii="宋体" w:hAnsi="宋体" w:eastAsia="宋体" w:cs="宋体"/>
        </w:rPr>
        <w:t>标人不足三家的，除招标任务取消情形外，招标人可选择以下方式之一处理：</w:t>
      </w:r>
    </w:p>
    <w:p w14:paraId="6BD6CF34">
      <w:pPr>
        <w:spacing w:line="360" w:lineRule="auto"/>
        <w:ind w:firstLine="480"/>
        <w:rPr>
          <w:rFonts w:hint="eastAsia" w:ascii="宋体" w:hAnsi="宋体" w:eastAsia="宋体" w:cs="宋体"/>
        </w:rPr>
      </w:pPr>
      <w:r>
        <w:rPr>
          <w:rFonts w:hint="eastAsia" w:ascii="宋体" w:hAnsi="宋体" w:eastAsia="宋体" w:cs="宋体"/>
        </w:rPr>
        <w:t>1.可将本标项作废标处理，重新组织招标；</w:t>
      </w:r>
    </w:p>
    <w:p w14:paraId="5509028C">
      <w:pPr>
        <w:spacing w:line="360" w:lineRule="auto"/>
        <w:ind w:firstLine="480"/>
        <w:rPr>
          <w:rFonts w:hint="eastAsia" w:ascii="宋体" w:hAnsi="宋体" w:eastAsia="宋体" w:cs="宋体"/>
        </w:rPr>
      </w:pPr>
      <w:r>
        <w:rPr>
          <w:rFonts w:hint="eastAsia" w:ascii="宋体" w:hAnsi="宋体" w:eastAsia="宋体" w:cs="宋体"/>
        </w:rPr>
        <w:t>2.可按相关监督部门审批意见采用其他</w:t>
      </w:r>
      <w:r>
        <w:rPr>
          <w:rFonts w:hint="eastAsia" w:cs="宋体"/>
          <w:lang w:eastAsia="zh-CN"/>
        </w:rPr>
        <w:t>采购方</w:t>
      </w:r>
      <w:r>
        <w:rPr>
          <w:rFonts w:hint="eastAsia" w:ascii="宋体" w:hAnsi="宋体" w:eastAsia="宋体" w:cs="宋体"/>
        </w:rPr>
        <w:t>式组织</w:t>
      </w:r>
      <w:r>
        <w:rPr>
          <w:rFonts w:hint="eastAsia" w:cs="宋体"/>
          <w:lang w:eastAsia="zh-CN"/>
        </w:rPr>
        <w:t>采购</w:t>
      </w:r>
      <w:r>
        <w:rPr>
          <w:rFonts w:hint="eastAsia" w:ascii="宋体" w:hAnsi="宋体" w:eastAsia="宋体" w:cs="宋体"/>
        </w:rPr>
        <w:t>。</w:t>
      </w:r>
    </w:p>
    <w:p w14:paraId="3CF35F35">
      <w:pPr>
        <w:bidi w:val="0"/>
        <w:spacing w:line="360" w:lineRule="auto"/>
        <w:ind w:left="0" w:leftChars="0" w:firstLine="0" w:firstLineChars="0"/>
        <w:rPr>
          <w:rFonts w:hint="eastAsia" w:cs="宋体"/>
          <w:lang w:val="en-US" w:eastAsia="zh-CN"/>
        </w:rPr>
      </w:pPr>
      <w:r>
        <w:rPr>
          <w:rFonts w:hint="eastAsia"/>
          <w:b/>
          <w:bCs/>
          <w:lang w:val="en-US" w:eastAsia="zh-CN"/>
        </w:rPr>
        <w:t>二、电子交易活动的中止</w:t>
      </w:r>
    </w:p>
    <w:p w14:paraId="230804ED">
      <w:pPr>
        <w:pStyle w:val="145"/>
        <w:snapToGrid w:val="0"/>
        <w:spacing w:before="0" w:line="360" w:lineRule="auto"/>
        <w:rPr>
          <w:rFonts w:hint="eastAsia" w:ascii="宋体" w:hAnsi="宋体" w:cs="宋体"/>
        </w:rPr>
      </w:pP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招标代理机构</w:t>
      </w:r>
      <w:r>
        <w:rPr>
          <w:rFonts w:hint="eastAsia" w:ascii="宋体" w:hAnsi="宋体" w:cs="宋体"/>
        </w:rPr>
        <w:t>可中止电子交易活动：</w:t>
      </w:r>
    </w:p>
    <w:p w14:paraId="34B3FE93">
      <w:pPr>
        <w:pStyle w:val="145"/>
        <w:snapToGrid w:val="0"/>
        <w:spacing w:before="0" w:line="360" w:lineRule="auto"/>
        <w:ind w:firstLine="480"/>
        <w:rPr>
          <w:rFonts w:hint="eastAsia" w:ascii="宋体" w:hAnsi="宋体" w:cs="宋体"/>
        </w:rPr>
      </w:pPr>
      <w:r>
        <w:rPr>
          <w:rFonts w:hint="eastAsia" w:ascii="宋体" w:hAnsi="宋体" w:cs="宋体"/>
          <w:lang w:val="en-US" w:eastAsia="zh-CN"/>
        </w:rPr>
        <w:t>1</w:t>
      </w:r>
      <w:r>
        <w:rPr>
          <w:rFonts w:hint="eastAsia" w:ascii="宋体" w:hAnsi="宋体" w:cs="宋体"/>
        </w:rPr>
        <w:t xml:space="preserve">.电子交易平台发生故障而无法登录访问的； </w:t>
      </w:r>
    </w:p>
    <w:p w14:paraId="0DADBE98">
      <w:pPr>
        <w:pStyle w:val="145"/>
        <w:snapToGrid w:val="0"/>
        <w:spacing w:before="0" w:line="360" w:lineRule="auto"/>
        <w:ind w:firstLine="480"/>
        <w:rPr>
          <w:rFonts w:hint="eastAsia" w:ascii="宋体" w:hAnsi="宋体" w:cs="宋体"/>
        </w:rPr>
      </w:pPr>
      <w:r>
        <w:rPr>
          <w:rFonts w:hint="eastAsia" w:ascii="宋体" w:hAnsi="宋体" w:cs="宋体"/>
          <w:lang w:val="en-US" w:eastAsia="zh-CN"/>
        </w:rPr>
        <w:t>2</w:t>
      </w:r>
      <w:r>
        <w:rPr>
          <w:rFonts w:hint="eastAsia" w:ascii="宋体" w:hAnsi="宋体" w:cs="宋体"/>
        </w:rPr>
        <w:t>.电子交易平台应用或数据库出现错误，不能进行正常操作的；</w:t>
      </w:r>
    </w:p>
    <w:p w14:paraId="6FD0149C">
      <w:pPr>
        <w:pStyle w:val="145"/>
        <w:snapToGrid w:val="0"/>
        <w:spacing w:before="0" w:line="360" w:lineRule="auto"/>
        <w:ind w:firstLine="480"/>
        <w:rPr>
          <w:rFonts w:hint="eastAsia" w:ascii="宋体" w:hAnsi="宋体" w:cs="宋体"/>
        </w:rPr>
      </w:pPr>
      <w:r>
        <w:rPr>
          <w:rFonts w:hint="eastAsia" w:ascii="宋体" w:hAnsi="宋体" w:cs="宋体"/>
          <w:lang w:val="en-US" w:eastAsia="zh-CN"/>
        </w:rPr>
        <w:t>3</w:t>
      </w:r>
      <w:r>
        <w:rPr>
          <w:rFonts w:hint="eastAsia" w:ascii="宋体" w:hAnsi="宋体" w:cs="宋体"/>
        </w:rPr>
        <w:t>.电子交易平台发现严重安全漏洞，有潜在泄密危险的；</w:t>
      </w:r>
    </w:p>
    <w:p w14:paraId="28AE61ED">
      <w:pPr>
        <w:pStyle w:val="145"/>
        <w:snapToGrid w:val="0"/>
        <w:spacing w:before="0" w:line="360" w:lineRule="auto"/>
        <w:ind w:firstLine="480"/>
        <w:rPr>
          <w:rFonts w:hint="eastAsia" w:ascii="宋体" w:hAnsi="宋体" w:cs="宋体"/>
        </w:rPr>
      </w:pPr>
      <w:r>
        <w:rPr>
          <w:rFonts w:hint="eastAsia" w:ascii="宋体" w:hAnsi="宋体" w:cs="宋体"/>
          <w:lang w:val="en-US" w:eastAsia="zh-CN"/>
        </w:rPr>
        <w:t>4</w:t>
      </w:r>
      <w:r>
        <w:rPr>
          <w:rFonts w:hint="eastAsia" w:ascii="宋体" w:hAnsi="宋体" w:cs="宋体"/>
        </w:rPr>
        <w:t xml:space="preserve">.病毒发作导致不能进行正常操作的； </w:t>
      </w:r>
    </w:p>
    <w:p w14:paraId="47F18530">
      <w:pPr>
        <w:pStyle w:val="145"/>
        <w:snapToGrid w:val="0"/>
        <w:spacing w:before="0" w:line="360" w:lineRule="auto"/>
        <w:ind w:firstLine="480"/>
        <w:rPr>
          <w:rFonts w:hint="eastAsia" w:ascii="宋体" w:hAnsi="宋体" w:cs="宋体"/>
        </w:rPr>
      </w:pPr>
      <w:r>
        <w:rPr>
          <w:rFonts w:hint="eastAsia" w:ascii="宋体" w:hAnsi="宋体" w:cs="宋体"/>
          <w:lang w:val="en-US" w:eastAsia="zh-CN"/>
        </w:rPr>
        <w:t>5</w:t>
      </w:r>
      <w:r>
        <w:rPr>
          <w:rFonts w:hint="eastAsia" w:ascii="宋体" w:hAnsi="宋体" w:cs="宋体"/>
        </w:rPr>
        <w:t>.其他无法保证电子交易的公平、公正和安全的情况。</w:t>
      </w:r>
    </w:p>
    <w:p w14:paraId="6E3C8098">
      <w:pPr>
        <w:pStyle w:val="145"/>
        <w:snapToGrid w:val="0"/>
        <w:spacing w:before="0" w:line="360" w:lineRule="auto"/>
        <w:ind w:firstLine="0" w:firstLineChars="0"/>
        <w:rPr>
          <w:rFonts w:hint="eastAsia" w:ascii="宋体" w:hAnsi="宋体" w:cs="宋体"/>
        </w:rPr>
      </w:pPr>
      <w:r>
        <w:rPr>
          <w:rFonts w:hint="eastAsia" w:ascii="宋体" w:hAnsi="宋体" w:cs="宋体"/>
        </w:rPr>
        <w:t xml:space="preserve"> </w:t>
      </w:r>
      <w:r>
        <w:rPr>
          <w:rFonts w:hint="eastAsia" w:ascii="宋体" w:hAnsi="宋体" w:cs="宋体"/>
          <w:lang w:val="en-US" w:eastAsia="zh-CN"/>
        </w:rPr>
        <w:t xml:space="preserve">   6</w:t>
      </w: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.出现以上情形，不影响采购公平、公正性的，采购组织机构可以待上述情形消除后继续组织电子交易活动，也可以决定某些环节以纸质形式进行；影响或可能影响采购公平、公正性的，应当重新</w:t>
      </w:r>
      <w:r>
        <w:rPr>
          <w:rFonts w:hint="eastAsia" w:ascii="宋体" w:hAnsi="宋体" w:cs="宋体"/>
          <w:lang w:eastAsia="zh-CN"/>
        </w:rPr>
        <w:t>组织</w:t>
      </w:r>
      <w:r>
        <w:rPr>
          <w:rFonts w:hint="eastAsia" w:ascii="宋体" w:hAnsi="宋体" w:cs="宋体"/>
        </w:rPr>
        <w:t>采购。</w:t>
      </w:r>
    </w:p>
    <w:p w14:paraId="76F8C8D1">
      <w:pPr>
        <w:numPr>
          <w:ilvl w:val="0"/>
          <w:numId w:val="8"/>
        </w:numPr>
        <w:rPr>
          <w:rFonts w:hint="default"/>
          <w:lang w:val="en-US" w:eastAsia="zh-CN"/>
        </w:rPr>
        <w:sectPr>
          <w:pgSz w:w="11906" w:h="16838"/>
          <w:pgMar w:top="1247" w:right="1247" w:bottom="1247" w:left="1247" w:header="170" w:footer="567" w:gutter="0"/>
          <w:pgNumType w:fmt="decimal"/>
          <w:cols w:space="720" w:num="1"/>
          <w:docGrid w:linePitch="381" w:charSpace="0"/>
        </w:sectPr>
      </w:pPr>
    </w:p>
    <w:p w14:paraId="630C3B78">
      <w:pPr>
        <w:pStyle w:val="3"/>
        <w:jc w:val="center"/>
        <w:rPr>
          <w:rFonts w:hint="eastAsia" w:ascii="宋体" w:hAnsi="宋体" w:eastAsia="宋体" w:cs="宋体"/>
          <w:szCs w:val="32"/>
        </w:rPr>
      </w:pPr>
      <w:bookmarkStart w:id="67" w:name="_Toc450840079"/>
      <w:bookmarkStart w:id="68" w:name="_Toc82338233"/>
      <w:bookmarkStart w:id="69" w:name="_Toc82873316"/>
      <w:bookmarkStart w:id="70" w:name="_Toc20600"/>
      <w:r>
        <w:rPr>
          <w:rFonts w:hint="eastAsia" w:ascii="宋体" w:hAnsi="宋体" w:eastAsia="宋体" w:cs="宋体"/>
          <w:sz w:val="36"/>
          <w:szCs w:val="36"/>
        </w:rPr>
        <w:t xml:space="preserve">第四章 </w:t>
      </w:r>
      <w:bookmarkEnd w:id="67"/>
      <w:bookmarkEnd w:id="68"/>
      <w:bookmarkEnd w:id="69"/>
      <w:r>
        <w:rPr>
          <w:rFonts w:hint="eastAsia" w:cs="宋体"/>
          <w:sz w:val="36"/>
          <w:szCs w:val="36"/>
          <w:lang w:val="en-US" w:eastAsia="zh-CN"/>
        </w:rPr>
        <w:t xml:space="preserve"> </w:t>
      </w:r>
      <w:r>
        <w:rPr>
          <w:rFonts w:hint="eastAsia" w:ascii="宋体" w:hAnsi="宋体" w:eastAsia="宋体" w:cs="宋体"/>
          <w:sz w:val="36"/>
          <w:szCs w:val="36"/>
        </w:rPr>
        <w:t>评标办法及评分标准</w:t>
      </w:r>
      <w:bookmarkEnd w:id="70"/>
    </w:p>
    <w:p w14:paraId="5DE5C23A">
      <w:pPr>
        <w:pageBreakBefore w:val="0"/>
        <w:kinsoku/>
        <w:wordWrap/>
        <w:overflowPunct/>
        <w:topLinePunct w:val="0"/>
        <w:bidi w:val="0"/>
        <w:snapToGrid/>
        <w:spacing w:line="440" w:lineRule="exact"/>
        <w:ind w:left="0" w:leftChars="0" w:firstLine="0" w:firstLineChars="0"/>
        <w:textAlignment w:val="auto"/>
        <w:rPr>
          <w:rFonts w:hint="eastAsia" w:ascii="宋体" w:hAnsi="宋体" w:eastAsia="宋体" w:cs="宋体"/>
          <w:szCs w:val="24"/>
        </w:rPr>
      </w:pPr>
      <w:bookmarkStart w:id="71" w:name="_Toc11391"/>
      <w:bookmarkStart w:id="72" w:name="OLE_LINK3"/>
      <w:bookmarkStart w:id="73" w:name="_Toc3811"/>
      <w:bookmarkStart w:id="74" w:name="_Toc3110"/>
      <w:r>
        <w:rPr>
          <w:rFonts w:hint="eastAsia"/>
          <w:b/>
          <w:bCs/>
        </w:rPr>
        <w:t>一、评分总则</w:t>
      </w:r>
    </w:p>
    <w:p w14:paraId="21991EE8">
      <w:pPr>
        <w:pageBreakBefore w:val="0"/>
        <w:kinsoku/>
        <w:wordWrap/>
        <w:overflowPunct/>
        <w:topLinePunct w:val="0"/>
        <w:bidi w:val="0"/>
        <w:snapToGrid/>
        <w:spacing w:line="440" w:lineRule="exact"/>
        <w:ind w:firstLine="480"/>
        <w:textAlignment w:val="auto"/>
        <w:rPr>
          <w:rFonts w:hint="eastAsia" w:ascii="宋体" w:hAnsi="宋体" w:eastAsia="宋体" w:cs="宋体"/>
        </w:rPr>
      </w:pPr>
      <w:r>
        <w:rPr>
          <w:rFonts w:hint="eastAsia" w:ascii="宋体" w:hAnsi="宋体" w:eastAsia="宋体" w:cs="宋体"/>
        </w:rPr>
        <w:t>以招标文件要求为基础，考虑各项相关因素的影响，将相关因素以定量计算的办法转换成分数表示形式，以最高“评标分数”确定评标结果顺序。</w:t>
      </w:r>
    </w:p>
    <w:p w14:paraId="793E6073">
      <w:pPr>
        <w:pageBreakBefore w:val="0"/>
        <w:kinsoku/>
        <w:wordWrap/>
        <w:overflowPunct/>
        <w:topLinePunct w:val="0"/>
        <w:bidi w:val="0"/>
        <w:snapToGrid/>
        <w:spacing w:line="440" w:lineRule="exact"/>
        <w:ind w:firstLine="480"/>
        <w:textAlignment w:val="auto"/>
        <w:rPr>
          <w:rFonts w:hint="eastAsia" w:ascii="宋体" w:hAnsi="宋体" w:eastAsia="宋体" w:cs="宋体"/>
        </w:rPr>
      </w:pPr>
      <w:r>
        <w:rPr>
          <w:rFonts w:hint="eastAsia" w:ascii="宋体" w:hAnsi="宋体" w:eastAsia="宋体" w:cs="宋体"/>
        </w:rPr>
        <w:t>本次招标的评标采用</w:t>
      </w:r>
      <w:r>
        <w:rPr>
          <w:rFonts w:hint="eastAsia" w:ascii="宋体" w:hAnsi="宋体" w:eastAsia="宋体" w:cs="宋体"/>
          <w:b/>
        </w:rPr>
        <w:t>综合评分法</w:t>
      </w:r>
      <w:r>
        <w:rPr>
          <w:rFonts w:hint="eastAsia" w:ascii="宋体" w:hAnsi="宋体" w:eastAsia="宋体" w:cs="宋体"/>
        </w:rPr>
        <w:t>。</w:t>
      </w:r>
    </w:p>
    <w:bookmarkEnd w:id="71"/>
    <w:bookmarkEnd w:id="72"/>
    <w:bookmarkEnd w:id="73"/>
    <w:bookmarkEnd w:id="74"/>
    <w:p w14:paraId="0734F83E">
      <w:pPr>
        <w:pageBreakBefore w:val="0"/>
        <w:kinsoku/>
        <w:wordWrap/>
        <w:overflowPunct/>
        <w:topLinePunct w:val="0"/>
        <w:bidi w:val="0"/>
        <w:snapToGrid/>
        <w:spacing w:line="440" w:lineRule="exact"/>
        <w:ind w:firstLine="480"/>
        <w:textAlignment w:val="auto"/>
        <w:rPr>
          <w:rFonts w:hint="eastAsia" w:ascii="宋体" w:hAnsi="宋体" w:eastAsia="宋体" w:cs="宋体"/>
        </w:rPr>
      </w:pPr>
      <w:bookmarkStart w:id="75" w:name="_Toc82873317"/>
      <w:bookmarkStart w:id="76" w:name="_Toc450840083"/>
      <w:bookmarkStart w:id="77" w:name="_Toc82338234"/>
      <w:r>
        <w:rPr>
          <w:rFonts w:hint="eastAsia" w:ascii="宋体" w:hAnsi="宋体" w:eastAsia="宋体" w:cs="宋体"/>
        </w:rPr>
        <w:t>评标总分为100分，合格投标人的评标得分为各项目汇总得分，中标候选资格按评标得分由高到低顺序排列，得分相同的，按投标报价由低到高顺序排列。得分且投标报价相同，按技术分由</w:t>
      </w:r>
      <w:r>
        <w:rPr>
          <w:rFonts w:hint="eastAsia" w:cs="宋体"/>
          <w:lang w:eastAsia="zh-CN"/>
        </w:rPr>
        <w:t>高</w:t>
      </w:r>
      <w:r>
        <w:rPr>
          <w:rFonts w:hint="eastAsia" w:ascii="宋体" w:hAnsi="宋体" w:eastAsia="宋体" w:cs="宋体"/>
        </w:rPr>
        <w:t>到</w:t>
      </w:r>
      <w:r>
        <w:rPr>
          <w:rFonts w:hint="eastAsia" w:cs="宋体"/>
          <w:lang w:eastAsia="zh-CN"/>
        </w:rPr>
        <w:t>低</w:t>
      </w:r>
      <w:r>
        <w:rPr>
          <w:rFonts w:hint="eastAsia" w:ascii="宋体" w:hAnsi="宋体" w:eastAsia="宋体" w:cs="宋体"/>
        </w:rPr>
        <w:t>顺序排列。报价、技术分以及总得分相同的，按现场随机抽取的形式确定第一中标候选人，投标文件满足招标文件全部实质性要求，</w:t>
      </w:r>
      <w:r>
        <w:rPr>
          <w:rFonts w:hint="eastAsia" w:ascii="宋体" w:hAnsi="宋体" w:eastAsia="宋体" w:cs="宋体"/>
          <w:highlight w:val="none"/>
        </w:rPr>
        <w:t>且按照评审因素的量化指标评审得分最高</w:t>
      </w:r>
      <w:r>
        <w:rPr>
          <w:rFonts w:hint="eastAsia" w:cs="宋体"/>
          <w:highlight w:val="none"/>
          <w:lang w:eastAsia="zh-CN"/>
        </w:rPr>
        <w:t>（即排名第一）</w:t>
      </w:r>
      <w:r>
        <w:rPr>
          <w:rFonts w:hint="eastAsia" w:ascii="宋体" w:hAnsi="宋体" w:eastAsia="宋体" w:cs="宋体"/>
          <w:highlight w:val="none"/>
        </w:rPr>
        <w:t>的投标人为中标候选人</w:t>
      </w:r>
      <w:r>
        <w:rPr>
          <w:rFonts w:hint="eastAsia" w:cs="宋体"/>
          <w:lang w:eastAsia="zh-CN"/>
        </w:rPr>
        <w:t>。</w:t>
      </w:r>
      <w:r>
        <w:rPr>
          <w:rFonts w:hint="eastAsia" w:cs="宋体"/>
          <w:b w:val="0"/>
          <w:bCs w:val="0"/>
          <w:sz w:val="24"/>
          <w:highlight w:val="none"/>
          <w:lang w:eastAsia="zh-CN"/>
        </w:rPr>
        <w:t>本</w:t>
      </w:r>
      <w:r>
        <w:rPr>
          <w:rFonts w:hint="eastAsia" w:cs="宋体"/>
          <w:b w:val="0"/>
          <w:bCs w:val="0"/>
          <w:sz w:val="24"/>
          <w:highlight w:val="none"/>
          <w:lang w:val="en-US" w:eastAsia="zh-CN"/>
        </w:rPr>
        <w:t>项目</w:t>
      </w:r>
      <w:r>
        <w:rPr>
          <w:rFonts w:hint="eastAsia" w:cs="宋体"/>
          <w:b w:val="0"/>
          <w:bCs w:val="0"/>
          <w:sz w:val="24"/>
          <w:highlight w:val="none"/>
          <w:lang w:eastAsia="zh-CN"/>
        </w:rPr>
        <w:t>招标共四个标项，供应商可以自行选择参与的标项（投标人可投其中任一标项，也可各标项均投），但每个中标人只允许中标一个标项。本项目评审顺序为标项一、二、三、四，已中标的供应商仍然进入下一标项评审，但不再被推荐为中标人。</w:t>
      </w:r>
    </w:p>
    <w:p w14:paraId="6DC116B3">
      <w:pPr>
        <w:pageBreakBefore w:val="0"/>
        <w:kinsoku/>
        <w:wordWrap/>
        <w:overflowPunct/>
        <w:topLinePunct w:val="0"/>
        <w:bidi w:val="0"/>
        <w:snapToGrid/>
        <w:spacing w:line="440" w:lineRule="exact"/>
        <w:ind w:firstLine="480"/>
        <w:textAlignment w:val="auto"/>
        <w:rPr>
          <w:rFonts w:hint="eastAsia" w:ascii="宋体" w:hAnsi="宋体" w:eastAsia="宋体" w:cs="宋体"/>
        </w:rPr>
      </w:pPr>
      <w:r>
        <w:rPr>
          <w:rFonts w:hint="eastAsia" w:ascii="宋体" w:hAnsi="宋体" w:eastAsia="宋体" w:cs="宋体"/>
        </w:rPr>
        <w:t>评分过程中采用四舍五入法，并保留小数2位</w:t>
      </w:r>
    </w:p>
    <w:p w14:paraId="1C2C86C2">
      <w:pPr>
        <w:pageBreakBefore w:val="0"/>
        <w:kinsoku/>
        <w:wordWrap/>
        <w:overflowPunct/>
        <w:topLinePunct w:val="0"/>
        <w:bidi w:val="0"/>
        <w:snapToGrid/>
        <w:spacing w:line="440" w:lineRule="exact"/>
        <w:ind w:firstLine="480"/>
        <w:textAlignment w:val="auto"/>
        <w:rPr>
          <w:rFonts w:hint="eastAsia" w:ascii="宋体" w:hAnsi="宋体" w:eastAsia="宋体" w:cs="宋体"/>
        </w:rPr>
      </w:pPr>
      <w:r>
        <w:rPr>
          <w:rFonts w:hint="eastAsia" w:ascii="宋体" w:hAnsi="宋体" w:eastAsia="宋体" w:cs="宋体"/>
        </w:rPr>
        <w:t>投标人评标综合得分=</w:t>
      </w:r>
      <w:r>
        <w:rPr>
          <w:rFonts w:hint="eastAsia" w:cs="宋体"/>
          <w:lang w:eastAsia="zh-CN"/>
        </w:rPr>
        <w:t>商务、</w:t>
      </w:r>
      <w:r>
        <w:rPr>
          <w:rFonts w:hint="eastAsia" w:ascii="宋体" w:hAnsi="宋体" w:eastAsia="宋体" w:cs="宋体"/>
        </w:rPr>
        <w:t>技术</w:t>
      </w:r>
      <w:r>
        <w:rPr>
          <w:rFonts w:hint="eastAsia" w:cs="宋体"/>
          <w:lang w:eastAsia="zh-CN"/>
        </w:rPr>
        <w:t>及资信</w:t>
      </w:r>
      <w:r>
        <w:rPr>
          <w:rFonts w:hint="eastAsia" w:ascii="宋体" w:hAnsi="宋体" w:eastAsia="宋体" w:cs="宋体"/>
        </w:rPr>
        <w:t>分+价</w:t>
      </w:r>
      <w:r>
        <w:rPr>
          <w:rFonts w:hint="eastAsia" w:cs="宋体"/>
          <w:lang w:eastAsia="zh-CN"/>
        </w:rPr>
        <w:t>格</w:t>
      </w:r>
      <w:r>
        <w:rPr>
          <w:rFonts w:hint="eastAsia" w:ascii="宋体" w:hAnsi="宋体" w:eastAsia="宋体" w:cs="宋体"/>
        </w:rPr>
        <w:t>分</w:t>
      </w:r>
    </w:p>
    <w:p w14:paraId="00D4D300">
      <w:pPr>
        <w:pageBreakBefore w:val="0"/>
        <w:kinsoku/>
        <w:wordWrap/>
        <w:overflowPunct/>
        <w:topLinePunct w:val="0"/>
        <w:bidi w:val="0"/>
        <w:snapToGrid/>
        <w:spacing w:line="440" w:lineRule="exact"/>
        <w:ind w:firstLine="480"/>
        <w:textAlignment w:val="auto"/>
        <w:rPr>
          <w:rFonts w:hint="eastAsia" w:ascii="宋体" w:hAnsi="宋体" w:eastAsia="宋体" w:cs="宋体"/>
        </w:rPr>
      </w:pPr>
      <w:r>
        <w:rPr>
          <w:rFonts w:hint="eastAsia" w:cs="宋体"/>
          <w:lang w:eastAsia="zh-CN"/>
        </w:rPr>
        <w:t>商务、</w:t>
      </w:r>
      <w:r>
        <w:rPr>
          <w:rFonts w:hint="eastAsia" w:ascii="宋体" w:hAnsi="宋体" w:eastAsia="宋体" w:cs="宋体"/>
        </w:rPr>
        <w:t>技术</w:t>
      </w:r>
      <w:r>
        <w:rPr>
          <w:rFonts w:hint="eastAsia" w:cs="宋体"/>
          <w:lang w:eastAsia="zh-CN"/>
        </w:rPr>
        <w:t>及资信</w:t>
      </w:r>
      <w:r>
        <w:rPr>
          <w:rFonts w:hint="eastAsia" w:ascii="宋体" w:hAnsi="宋体" w:eastAsia="宋体" w:cs="宋体"/>
        </w:rPr>
        <w:t>分按照评标委员会成员的独立评分结果的算术平均分计算，计算公式为：</w:t>
      </w:r>
    </w:p>
    <w:p w14:paraId="155437DE">
      <w:pPr>
        <w:pageBreakBefore w:val="0"/>
        <w:kinsoku/>
        <w:wordWrap/>
        <w:overflowPunct/>
        <w:topLinePunct w:val="0"/>
        <w:bidi w:val="0"/>
        <w:snapToGrid/>
        <w:spacing w:line="440" w:lineRule="exact"/>
        <w:ind w:firstLine="480"/>
        <w:textAlignment w:val="auto"/>
        <w:rPr>
          <w:rFonts w:hint="eastAsia" w:ascii="宋体" w:hAnsi="宋体" w:eastAsia="宋体" w:cs="宋体"/>
        </w:rPr>
      </w:pPr>
      <w:r>
        <w:rPr>
          <w:rFonts w:hint="eastAsia" w:cs="宋体"/>
          <w:lang w:eastAsia="zh-CN"/>
        </w:rPr>
        <w:t>商务、</w:t>
      </w:r>
      <w:r>
        <w:rPr>
          <w:rFonts w:hint="eastAsia" w:ascii="宋体" w:hAnsi="宋体" w:eastAsia="宋体" w:cs="宋体"/>
        </w:rPr>
        <w:t>技术</w:t>
      </w:r>
      <w:r>
        <w:rPr>
          <w:rFonts w:hint="eastAsia" w:cs="宋体"/>
          <w:lang w:eastAsia="zh-CN"/>
        </w:rPr>
        <w:t>及资信</w:t>
      </w:r>
      <w:r>
        <w:rPr>
          <w:rFonts w:hint="eastAsia" w:ascii="宋体" w:hAnsi="宋体" w:eastAsia="宋体" w:cs="宋体"/>
        </w:rPr>
        <w:t>分=（评标委员会所有成员评分合计数）/（评标委员会组成人员数）</w:t>
      </w:r>
    </w:p>
    <w:p w14:paraId="059554E3">
      <w:pPr>
        <w:pageBreakBefore w:val="0"/>
        <w:kinsoku/>
        <w:wordWrap/>
        <w:overflowPunct/>
        <w:topLinePunct w:val="0"/>
        <w:bidi w:val="0"/>
        <w:snapToGrid/>
        <w:spacing w:line="440" w:lineRule="exact"/>
        <w:ind w:left="0" w:leftChars="0" w:firstLine="0" w:firstLineChars="0"/>
        <w:textAlignment w:val="auto"/>
        <w:rPr>
          <w:rFonts w:hint="eastAsia" w:ascii="宋体" w:hAnsi="宋体" w:eastAsia="宋体" w:cs="宋体"/>
          <w:szCs w:val="24"/>
        </w:rPr>
      </w:pPr>
      <w:bookmarkStart w:id="78" w:name="_Toc7789"/>
      <w:r>
        <w:rPr>
          <w:rFonts w:hint="eastAsia"/>
          <w:b/>
          <w:bCs/>
        </w:rPr>
        <w:t>二、评分内容及标准</w:t>
      </w:r>
      <w:bookmarkEnd w:id="78"/>
    </w:p>
    <w:p w14:paraId="014ADC0E">
      <w:pPr>
        <w:pageBreakBefore w:val="0"/>
        <w:kinsoku/>
        <w:wordWrap/>
        <w:overflowPunct/>
        <w:topLinePunct w:val="0"/>
        <w:bidi w:val="0"/>
        <w:snapToGrid/>
        <w:spacing w:line="440" w:lineRule="exact"/>
        <w:ind w:firstLine="480"/>
        <w:textAlignment w:val="auto"/>
        <w:rPr>
          <w:rFonts w:hint="eastAsia" w:ascii="宋体" w:hAnsi="宋体" w:eastAsia="宋体" w:cs="宋体"/>
        </w:rPr>
      </w:pPr>
      <w:r>
        <w:rPr>
          <w:rFonts w:hint="eastAsia" w:ascii="宋体" w:hAnsi="宋体" w:eastAsia="宋体" w:cs="宋体"/>
        </w:rPr>
        <w:t>本评标标准是对“投标人须知”中“</w:t>
      </w:r>
      <w:r>
        <w:rPr>
          <w:rFonts w:hint="eastAsia" w:ascii="宋体" w:hAnsi="宋体" w:eastAsia="宋体" w:cs="宋体"/>
          <w:b/>
        </w:rPr>
        <w:t>第五节</w:t>
      </w:r>
      <w:r>
        <w:rPr>
          <w:rFonts w:hint="eastAsia" w:cs="宋体"/>
          <w:b/>
          <w:lang w:val="en-US" w:eastAsia="zh-CN"/>
        </w:rPr>
        <w:t>-</w:t>
      </w:r>
      <w:r>
        <w:rPr>
          <w:rFonts w:hint="eastAsia" w:ascii="宋体" w:hAnsi="宋体" w:eastAsia="宋体" w:cs="宋体"/>
          <w:b/>
        </w:rPr>
        <w:t>开标</w:t>
      </w:r>
      <w:r>
        <w:rPr>
          <w:rFonts w:hint="eastAsia" w:ascii="宋体" w:hAnsi="宋体" w:eastAsia="宋体" w:cs="宋体"/>
        </w:rPr>
        <w:t>”、“</w:t>
      </w:r>
      <w:r>
        <w:rPr>
          <w:rFonts w:hint="eastAsia" w:ascii="宋体" w:hAnsi="宋体" w:eastAsia="宋体" w:cs="宋体"/>
          <w:b/>
        </w:rPr>
        <w:t>第六节</w:t>
      </w:r>
      <w:r>
        <w:rPr>
          <w:rFonts w:hint="eastAsia" w:cs="宋体"/>
          <w:b/>
          <w:lang w:val="en-US" w:eastAsia="zh-CN"/>
        </w:rPr>
        <w:t>-</w:t>
      </w:r>
      <w:r>
        <w:rPr>
          <w:rFonts w:hint="eastAsia" w:ascii="宋体" w:hAnsi="宋体" w:eastAsia="宋体" w:cs="宋体"/>
          <w:b/>
        </w:rPr>
        <w:t>评标</w:t>
      </w:r>
      <w:r>
        <w:rPr>
          <w:rFonts w:hint="eastAsia" w:ascii="宋体" w:hAnsi="宋体" w:eastAsia="宋体" w:cs="宋体"/>
        </w:rPr>
        <w:t>”以及其他相关条款的具体补充，如有矛盾，以本评标标准为</w:t>
      </w:r>
      <w:r>
        <w:rPr>
          <w:rFonts w:hint="eastAsia" w:cs="宋体"/>
          <w:lang w:eastAsia="zh-CN"/>
        </w:rPr>
        <w:t>准</w:t>
      </w:r>
      <w:r>
        <w:rPr>
          <w:rFonts w:hint="eastAsia" w:ascii="宋体" w:hAnsi="宋体" w:eastAsia="宋体" w:cs="宋体"/>
        </w:rPr>
        <w:t>：</w:t>
      </w:r>
    </w:p>
    <w:p w14:paraId="40082EEA">
      <w:pPr>
        <w:pageBreakBefore w:val="0"/>
        <w:kinsoku/>
        <w:wordWrap/>
        <w:overflowPunct/>
        <w:topLinePunct w:val="0"/>
        <w:autoSpaceDE w:val="0"/>
        <w:autoSpaceDN w:val="0"/>
        <w:bidi w:val="0"/>
        <w:adjustRightInd w:val="0"/>
        <w:snapToGrid/>
        <w:spacing w:line="440" w:lineRule="exact"/>
        <w:ind w:left="0" w:leftChars="0" w:firstLine="0" w:firstLineChars="0"/>
        <w:textAlignment w:val="auto"/>
        <w:rPr>
          <w:rFonts w:hint="eastAsia" w:ascii="宋体" w:hAnsi="宋体" w:eastAsia="宋体" w:cs="宋体"/>
          <w:b/>
        </w:rPr>
      </w:pPr>
      <w:r>
        <w:rPr>
          <w:rFonts w:hint="eastAsia" w:ascii="宋体" w:hAnsi="宋体" w:eastAsia="宋体" w:cs="宋体"/>
          <w:b/>
        </w:rPr>
        <w:t>（一）价</w:t>
      </w:r>
      <w:r>
        <w:rPr>
          <w:rFonts w:hint="eastAsia" w:cs="宋体"/>
          <w:b/>
          <w:lang w:eastAsia="zh-CN"/>
        </w:rPr>
        <w:t>格</w:t>
      </w:r>
      <w:r>
        <w:rPr>
          <w:rFonts w:hint="eastAsia" w:ascii="宋体" w:hAnsi="宋体" w:eastAsia="宋体" w:cs="宋体"/>
          <w:b/>
        </w:rPr>
        <w:t>分（</w:t>
      </w:r>
      <w:r>
        <w:rPr>
          <w:rFonts w:hint="eastAsia" w:cs="宋体"/>
          <w:b/>
          <w:lang w:val="en-US" w:eastAsia="zh-CN"/>
        </w:rPr>
        <w:t>30</w:t>
      </w:r>
      <w:r>
        <w:rPr>
          <w:rFonts w:hint="eastAsia" w:ascii="宋体" w:hAnsi="宋体" w:eastAsia="宋体" w:cs="宋体"/>
          <w:b/>
        </w:rPr>
        <w:t>分）</w:t>
      </w:r>
    </w:p>
    <w:p w14:paraId="3FA4D52E">
      <w:pPr>
        <w:pageBreakBefore w:val="0"/>
        <w:kinsoku/>
        <w:wordWrap/>
        <w:overflowPunct/>
        <w:topLinePunct w:val="0"/>
        <w:autoSpaceDE w:val="0"/>
        <w:autoSpaceDN w:val="0"/>
        <w:bidi w:val="0"/>
        <w:adjustRightInd w:val="0"/>
        <w:snapToGrid/>
        <w:spacing w:line="440" w:lineRule="exact"/>
        <w:ind w:firstLine="482"/>
        <w:textAlignment w:val="auto"/>
        <w:rPr>
          <w:rFonts w:hint="eastAsia" w:ascii="宋体" w:hAnsi="宋体" w:eastAsia="宋体" w:cs="宋体"/>
          <w:lang w:val="zh-CN"/>
        </w:rPr>
      </w:pPr>
      <w:r>
        <w:rPr>
          <w:rFonts w:hint="eastAsia" w:ascii="宋体" w:hAnsi="宋体" w:eastAsia="宋体" w:cs="宋体"/>
          <w:b/>
        </w:rPr>
        <w:t>投标价格的合理性</w:t>
      </w:r>
      <w:r>
        <w:rPr>
          <w:rFonts w:hint="eastAsia" w:ascii="宋体" w:hAnsi="宋体" w:eastAsia="宋体" w:cs="宋体"/>
        </w:rPr>
        <w:t>：</w:t>
      </w:r>
      <w:r>
        <w:rPr>
          <w:rFonts w:hint="eastAsia" w:ascii="宋体" w:hAnsi="宋体" w:eastAsia="宋体" w:cs="宋体"/>
          <w:lang w:val="zh-CN"/>
        </w:rPr>
        <w:t>分析总报价及各个分项报价是否合理，报价范围是否完整，有否重大错漏项</w:t>
      </w:r>
      <w:r>
        <w:rPr>
          <w:rFonts w:hint="eastAsia" w:cs="宋体"/>
          <w:lang w:val="zh-CN"/>
        </w:rPr>
        <w:t>。</w:t>
      </w:r>
      <w:r>
        <w:rPr>
          <w:rFonts w:hint="eastAsia" w:cs="宋体"/>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56E850E">
      <w:pPr>
        <w:pageBreakBefore w:val="0"/>
        <w:widowControl/>
        <w:kinsoku/>
        <w:wordWrap/>
        <w:overflowPunct/>
        <w:topLinePunct w:val="0"/>
        <w:bidi w:val="0"/>
        <w:snapToGrid/>
        <w:spacing w:line="440" w:lineRule="exact"/>
        <w:ind w:firstLine="480"/>
        <w:jc w:val="left"/>
        <w:textAlignment w:val="auto"/>
        <w:rPr>
          <w:rFonts w:hint="eastAsia" w:ascii="宋体" w:hAnsi="宋体" w:eastAsia="宋体" w:cs="宋体"/>
          <w:kern w:val="0"/>
        </w:rPr>
      </w:pPr>
      <w:r>
        <w:rPr>
          <w:rFonts w:hint="eastAsia" w:ascii="宋体" w:hAnsi="宋体" w:eastAsia="宋体" w:cs="宋体"/>
          <w:b/>
          <w:bCs/>
          <w:lang w:val="zh-CN"/>
        </w:rPr>
        <w:t>价</w:t>
      </w:r>
      <w:r>
        <w:rPr>
          <w:rFonts w:hint="eastAsia" w:cs="宋体"/>
          <w:b/>
          <w:bCs/>
          <w:lang w:val="zh-CN"/>
        </w:rPr>
        <w:t>格</w:t>
      </w:r>
      <w:r>
        <w:rPr>
          <w:rFonts w:hint="eastAsia" w:ascii="宋体" w:hAnsi="宋体" w:eastAsia="宋体" w:cs="宋体"/>
          <w:b/>
          <w:bCs/>
          <w:lang w:val="zh-CN"/>
        </w:rPr>
        <w:t>分计算方法：</w:t>
      </w:r>
      <w:r>
        <w:rPr>
          <w:rFonts w:hint="eastAsia" w:ascii="宋体" w:hAnsi="宋体" w:eastAsia="宋体" w:cs="宋体"/>
          <w:kern w:val="0"/>
        </w:rPr>
        <w:t>有效投标报价的最低价作为评标基准价，其最低报价为满分；</w:t>
      </w:r>
      <w:r>
        <w:rPr>
          <w:rFonts w:hint="eastAsia" w:cs="宋体"/>
          <w:kern w:val="0"/>
          <w:lang w:eastAsia="zh-CN"/>
        </w:rPr>
        <w:t>其他投标人的价格分</w:t>
      </w:r>
      <w:r>
        <w:rPr>
          <w:rFonts w:hint="eastAsia" w:ascii="宋体" w:hAnsi="宋体" w:eastAsia="宋体" w:cs="宋体"/>
          <w:kern w:val="0"/>
        </w:rPr>
        <w:t>按［投标报价得分=（评标基准价/投标报价）*</w:t>
      </w:r>
      <w:r>
        <w:rPr>
          <w:rFonts w:hint="eastAsia" w:cs="宋体"/>
          <w:kern w:val="0"/>
          <w:lang w:val="en-US" w:eastAsia="zh-CN"/>
        </w:rPr>
        <w:t>30%*100</w:t>
      </w:r>
      <w:r>
        <w:rPr>
          <w:rFonts w:hint="eastAsia" w:ascii="宋体" w:hAnsi="宋体" w:eastAsia="宋体" w:cs="宋体"/>
          <w:kern w:val="0"/>
        </w:rPr>
        <w:t>］的计算公式计算。</w:t>
      </w:r>
    </w:p>
    <w:p w14:paraId="4A8EF7EC">
      <w:pPr>
        <w:pageBreakBefore w:val="0"/>
        <w:widowControl/>
        <w:kinsoku/>
        <w:wordWrap/>
        <w:overflowPunct/>
        <w:topLinePunct w:val="0"/>
        <w:bidi w:val="0"/>
        <w:snapToGrid/>
        <w:spacing w:line="440" w:lineRule="exact"/>
        <w:ind w:firstLine="480"/>
        <w:jc w:val="left"/>
        <w:textAlignment w:val="auto"/>
        <w:rPr>
          <w:rFonts w:hint="eastAsia" w:ascii="宋体" w:hAnsi="宋体" w:eastAsia="宋体" w:cs="宋体"/>
          <w:kern w:val="0"/>
        </w:rPr>
      </w:pPr>
      <w:r>
        <w:rPr>
          <w:rFonts w:hint="eastAsia" w:ascii="宋体" w:hAnsi="宋体" w:eastAsia="宋体" w:cs="宋体"/>
          <w:kern w:val="0"/>
        </w:rPr>
        <w:t>评标过程中，不得去掉报价中的最高报价和最低报价。</w:t>
      </w:r>
    </w:p>
    <w:p w14:paraId="06A1C9DA">
      <w:pPr>
        <w:pStyle w:val="6"/>
        <w:pageBreakBefore w:val="0"/>
        <w:kinsoku/>
        <w:wordWrap/>
        <w:overflowPunct/>
        <w:topLinePunct w:val="0"/>
        <w:bidi w:val="0"/>
        <w:snapToGrid/>
        <w:spacing w:line="440" w:lineRule="exact"/>
        <w:textAlignment w:val="auto"/>
        <w:rPr>
          <w:rFonts w:hint="eastAsia"/>
          <w:b w:val="0"/>
          <w:bCs w:val="0"/>
        </w:rPr>
      </w:pPr>
      <w:r>
        <w:rPr>
          <w:rFonts w:hint="eastAsia" w:cs="宋体"/>
          <w:b w:val="0"/>
          <w:bCs w:val="0"/>
          <w:lang w:val="en-US" w:eastAsia="zh-CN"/>
        </w:rPr>
        <w:t>投标</w:t>
      </w:r>
      <w:r>
        <w:rPr>
          <w:rFonts w:hint="eastAsia" w:ascii="宋体" w:hAnsi="宋体" w:eastAsia="宋体" w:cs="宋体"/>
          <w:b w:val="0"/>
          <w:bCs w:val="0"/>
          <w:lang w:val="en-US" w:eastAsia="zh-CN"/>
        </w:rPr>
        <w:t>报价超过预算金额或最高限价（不含本数）的为无效报价</w:t>
      </w:r>
      <w:r>
        <w:rPr>
          <w:rFonts w:hint="eastAsia" w:cs="宋体"/>
          <w:b w:val="0"/>
          <w:bCs w:val="0"/>
          <w:lang w:val="en-US" w:eastAsia="zh-CN"/>
        </w:rPr>
        <w:t>。</w:t>
      </w:r>
    </w:p>
    <w:p w14:paraId="75BC3F44">
      <w:pPr>
        <w:adjustRightInd w:val="0"/>
        <w:snapToGrid w:val="0"/>
        <w:ind w:firstLine="480"/>
        <w:rPr>
          <w:rFonts w:hint="eastAsia" w:ascii="宋体" w:hAnsi="宋体" w:eastAsia="宋体" w:cs="宋体"/>
          <w:u w:val="single"/>
          <w:lang w:eastAsia="zh-CN"/>
        </w:rPr>
      </w:pPr>
    </w:p>
    <w:p w14:paraId="3870D4AE">
      <w:pPr>
        <w:widowControl/>
        <w:snapToGrid w:val="0"/>
        <w:spacing w:line="360" w:lineRule="auto"/>
        <w:ind w:left="0" w:leftChars="0" w:firstLine="0" w:firstLineChars="0"/>
        <w:jc w:val="left"/>
        <w:rPr>
          <w:rFonts w:hint="eastAsia" w:ascii="宋体" w:hAnsi="宋体" w:eastAsia="宋体" w:cs="宋体"/>
        </w:rPr>
      </w:pPr>
      <w:r>
        <w:rPr>
          <w:rFonts w:hint="eastAsia" w:ascii="宋体" w:hAnsi="宋体" w:eastAsia="宋体" w:cs="宋体"/>
          <w:b/>
          <w:position w:val="-30"/>
        </w:rPr>
        <w:t>（二）</w:t>
      </w:r>
      <w:r>
        <w:rPr>
          <w:rFonts w:hint="eastAsia" w:cs="宋体"/>
          <w:b/>
          <w:position w:val="-30"/>
          <w:lang w:eastAsia="zh-CN"/>
        </w:rPr>
        <w:t>商务、</w:t>
      </w:r>
      <w:r>
        <w:rPr>
          <w:rFonts w:hint="eastAsia" w:ascii="宋体" w:hAnsi="宋体" w:eastAsia="宋体" w:cs="宋体"/>
          <w:b/>
          <w:position w:val="-30"/>
        </w:rPr>
        <w:t>技术</w:t>
      </w:r>
      <w:r>
        <w:rPr>
          <w:rFonts w:hint="eastAsia" w:cs="宋体"/>
          <w:b/>
          <w:position w:val="-30"/>
          <w:lang w:eastAsia="zh-CN"/>
        </w:rPr>
        <w:t>及资信</w:t>
      </w:r>
      <w:r>
        <w:rPr>
          <w:rFonts w:hint="eastAsia" w:ascii="宋体" w:hAnsi="宋体" w:eastAsia="宋体" w:cs="宋体"/>
          <w:b/>
          <w:position w:val="-30"/>
        </w:rPr>
        <w:t>分（</w:t>
      </w:r>
      <w:r>
        <w:rPr>
          <w:rFonts w:hint="eastAsia" w:cs="宋体"/>
          <w:b/>
          <w:position w:val="-30"/>
          <w:lang w:val="en-US" w:eastAsia="zh-CN"/>
        </w:rPr>
        <w:t>70</w:t>
      </w:r>
      <w:r>
        <w:rPr>
          <w:rFonts w:hint="eastAsia" w:ascii="宋体" w:hAnsi="宋体" w:eastAsia="宋体" w:cs="宋体"/>
          <w:b/>
          <w:position w:val="-30"/>
        </w:rPr>
        <w:t>分）</w:t>
      </w:r>
    </w:p>
    <w:p w14:paraId="26B3AA10">
      <w:pPr>
        <w:bidi w:val="0"/>
        <w:spacing w:line="240" w:lineRule="auto"/>
        <w:ind w:left="0" w:leftChars="0" w:firstLine="0" w:firstLineChars="0"/>
        <w:jc w:val="center"/>
        <w:rPr>
          <w:rFonts w:hint="eastAsia"/>
        </w:rPr>
      </w:pPr>
      <w:r>
        <w:rPr>
          <w:rFonts w:hint="eastAsia"/>
          <w:b/>
          <w:bCs/>
          <w:highlight w:val="none"/>
          <w:lang w:val="en-US" w:eastAsia="zh-CN"/>
        </w:rPr>
        <w:t>（适用于标项一、二、三、四）</w:t>
      </w:r>
    </w:p>
    <w:tbl>
      <w:tblPr>
        <w:tblStyle w:val="45"/>
        <w:tblW w:w="10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649"/>
        <w:gridCol w:w="7392"/>
        <w:gridCol w:w="761"/>
      </w:tblGrid>
      <w:tr w14:paraId="03E42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64" w:type="dxa"/>
            <w:noWrap/>
            <w:vAlign w:val="center"/>
          </w:tcPr>
          <w:p w14:paraId="330A81E3">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序号</w:t>
            </w:r>
          </w:p>
        </w:tc>
        <w:tc>
          <w:tcPr>
            <w:tcW w:w="1649" w:type="dxa"/>
            <w:noWrap/>
            <w:vAlign w:val="center"/>
          </w:tcPr>
          <w:p w14:paraId="7F1C7DA4">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评</w:t>
            </w:r>
            <w:r>
              <w:rPr>
                <w:rFonts w:hint="eastAsia" w:asciiTheme="minorEastAsia" w:hAnsiTheme="minorEastAsia" w:eastAsiaTheme="minorEastAsia" w:cstheme="minorEastAsia"/>
                <w:b/>
                <w:bCs/>
                <w:color w:val="auto"/>
                <w:kern w:val="0"/>
                <w:sz w:val="24"/>
                <w:szCs w:val="24"/>
                <w:highlight w:val="none"/>
                <w:lang w:eastAsia="zh-CN"/>
              </w:rPr>
              <w:t>审</w:t>
            </w:r>
            <w:r>
              <w:rPr>
                <w:rFonts w:hint="eastAsia" w:asciiTheme="minorEastAsia" w:hAnsiTheme="minorEastAsia" w:eastAsiaTheme="minorEastAsia" w:cstheme="minorEastAsia"/>
                <w:b/>
                <w:bCs/>
                <w:color w:val="auto"/>
                <w:kern w:val="0"/>
                <w:sz w:val="24"/>
                <w:szCs w:val="24"/>
                <w:highlight w:val="none"/>
              </w:rPr>
              <w:t>因素</w:t>
            </w:r>
          </w:p>
        </w:tc>
        <w:tc>
          <w:tcPr>
            <w:tcW w:w="7392" w:type="dxa"/>
            <w:noWrap/>
            <w:vAlign w:val="center"/>
          </w:tcPr>
          <w:p w14:paraId="0F33D93E">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评分标准</w:t>
            </w:r>
          </w:p>
        </w:tc>
        <w:tc>
          <w:tcPr>
            <w:tcW w:w="761" w:type="dxa"/>
            <w:noWrap/>
            <w:vAlign w:val="center"/>
          </w:tcPr>
          <w:p w14:paraId="3770B673">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分值</w:t>
            </w:r>
          </w:p>
        </w:tc>
      </w:tr>
      <w:tr w14:paraId="54EB9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566" w:type="dxa"/>
            <w:gridSpan w:val="4"/>
            <w:noWrap/>
            <w:vAlign w:val="center"/>
          </w:tcPr>
          <w:p w14:paraId="6A5525A1">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Theme="minorEastAsia" w:hAnsiTheme="minorEastAsia" w:eastAsiaTheme="minorEastAsia" w:cstheme="minorEastAsia"/>
                <w:b/>
                <w:bCs/>
                <w:color w:val="auto"/>
                <w:kern w:val="0"/>
                <w:sz w:val="24"/>
                <w:szCs w:val="24"/>
                <w:highlight w:val="none"/>
                <w:lang w:eastAsia="zh-CN"/>
              </w:rPr>
            </w:pPr>
            <w:r>
              <w:rPr>
                <w:rFonts w:hint="eastAsia" w:asciiTheme="minorEastAsia" w:hAnsiTheme="minorEastAsia" w:eastAsiaTheme="minorEastAsia" w:cstheme="minorEastAsia"/>
                <w:b/>
                <w:bCs/>
                <w:color w:val="auto"/>
                <w:kern w:val="0"/>
                <w:sz w:val="24"/>
                <w:szCs w:val="24"/>
                <w:highlight w:val="none"/>
                <w:lang w:eastAsia="zh-CN"/>
              </w:rPr>
              <w:t>技术分（</w:t>
            </w:r>
            <w:r>
              <w:rPr>
                <w:rFonts w:hint="eastAsia" w:asciiTheme="minorEastAsia" w:hAnsiTheme="minorEastAsia" w:eastAsiaTheme="minorEastAsia" w:cstheme="minorEastAsia"/>
                <w:b/>
                <w:bCs/>
                <w:color w:val="auto"/>
                <w:kern w:val="0"/>
                <w:sz w:val="24"/>
                <w:szCs w:val="24"/>
                <w:highlight w:val="none"/>
                <w:lang w:val="en-US" w:eastAsia="zh-CN"/>
              </w:rPr>
              <w:t>53分</w:t>
            </w:r>
            <w:r>
              <w:rPr>
                <w:rFonts w:hint="eastAsia" w:asciiTheme="minorEastAsia" w:hAnsiTheme="minorEastAsia" w:eastAsiaTheme="minorEastAsia" w:cstheme="minorEastAsia"/>
                <w:b/>
                <w:bCs/>
                <w:color w:val="auto"/>
                <w:kern w:val="0"/>
                <w:sz w:val="24"/>
                <w:szCs w:val="24"/>
                <w:highlight w:val="none"/>
                <w:lang w:eastAsia="zh-CN"/>
              </w:rPr>
              <w:t>）</w:t>
            </w:r>
          </w:p>
        </w:tc>
      </w:tr>
      <w:tr w14:paraId="44666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1" w:hRule="atLeast"/>
          <w:jc w:val="center"/>
        </w:trPr>
        <w:tc>
          <w:tcPr>
            <w:tcW w:w="764" w:type="dxa"/>
            <w:noWrap/>
            <w:vAlign w:val="center"/>
          </w:tcPr>
          <w:p w14:paraId="4A4275B9">
            <w:pPr>
              <w:keepNext w:val="0"/>
              <w:keepLines w:val="0"/>
              <w:pageBreakBefore w:val="0"/>
              <w:widowControl/>
              <w:kinsoku/>
              <w:wordWrap/>
              <w:overflowPunct/>
              <w:topLinePunct w:val="0"/>
              <w:autoSpaceDE/>
              <w:autoSpaceDN/>
              <w:bidi w:val="0"/>
              <w:adjustRightInd/>
              <w:snapToGrid/>
              <w:spacing w:line="380" w:lineRule="exact"/>
              <w:ind w:left="0" w:leftChars="0" w:firstLine="0" w:firstLineChars="0"/>
              <w:jc w:val="center"/>
              <w:textAlignment w:val="auto"/>
              <w:rPr>
                <w:rFonts w:hint="default" w:ascii="宋体" w:hAnsi="宋体" w:eastAsia="宋体" w:cs="宋体"/>
                <w:b w:val="0"/>
                <w:bCs w:val="0"/>
                <w:color w:val="auto"/>
                <w:kern w:val="0"/>
                <w:sz w:val="24"/>
                <w:szCs w:val="24"/>
                <w:highlight w:val="none"/>
                <w:lang w:val="en-US" w:eastAsia="zh-CN"/>
              </w:rPr>
            </w:pPr>
            <w:r>
              <w:rPr>
                <w:rFonts w:hint="eastAsia" w:cs="宋体"/>
                <w:b w:val="0"/>
                <w:bCs w:val="0"/>
                <w:color w:val="auto"/>
                <w:kern w:val="0"/>
                <w:sz w:val="24"/>
                <w:szCs w:val="24"/>
                <w:highlight w:val="none"/>
                <w:lang w:val="en-US" w:eastAsia="zh-CN"/>
              </w:rPr>
              <w:t>1</w:t>
            </w:r>
          </w:p>
        </w:tc>
        <w:tc>
          <w:tcPr>
            <w:tcW w:w="1649" w:type="dxa"/>
            <w:noWrap/>
            <w:vAlign w:val="center"/>
          </w:tcPr>
          <w:p w14:paraId="53D8FE4A">
            <w:pPr>
              <w:keepNext w:val="0"/>
              <w:keepLines w:val="0"/>
              <w:pageBreakBefore w:val="0"/>
              <w:widowControl/>
              <w:kinsoku/>
              <w:wordWrap/>
              <w:overflowPunct/>
              <w:topLinePunct w:val="0"/>
              <w:autoSpaceDE/>
              <w:autoSpaceDN/>
              <w:bidi w:val="0"/>
              <w:adjustRightInd/>
              <w:snapToGrid/>
              <w:spacing w:line="380" w:lineRule="exact"/>
              <w:ind w:left="0" w:leftChars="0" w:firstLine="0" w:firstLineChars="0"/>
              <w:jc w:val="center"/>
              <w:textAlignment w:val="auto"/>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rPr>
              <w:t>技术</w:t>
            </w:r>
            <w:r>
              <w:rPr>
                <w:rFonts w:hint="eastAsia" w:ascii="宋体" w:hAnsi="宋体" w:eastAsia="宋体" w:cs="宋体"/>
                <w:b w:val="0"/>
                <w:bCs w:val="0"/>
                <w:color w:val="auto"/>
                <w:kern w:val="0"/>
                <w:sz w:val="24"/>
                <w:szCs w:val="24"/>
                <w:highlight w:val="none"/>
                <w:lang w:eastAsia="zh-CN"/>
              </w:rPr>
              <w:t>指标</w:t>
            </w:r>
          </w:p>
          <w:p w14:paraId="25C4C759">
            <w:pPr>
              <w:keepNext w:val="0"/>
              <w:keepLines w:val="0"/>
              <w:pageBreakBefore w:val="0"/>
              <w:widowControl/>
              <w:kinsoku/>
              <w:wordWrap/>
              <w:overflowPunct/>
              <w:topLinePunct w:val="0"/>
              <w:autoSpaceDE/>
              <w:autoSpaceDN/>
              <w:bidi w:val="0"/>
              <w:adjustRightInd/>
              <w:snapToGrid/>
              <w:spacing w:line="380" w:lineRule="exact"/>
              <w:ind w:left="0" w:leftChars="0" w:firstLine="0" w:firstLineChars="0"/>
              <w:jc w:val="center"/>
              <w:textAlignment w:val="auto"/>
              <w:rPr>
                <w:rFonts w:hint="eastAsia" w:ascii="宋体" w:hAnsi="宋体" w:eastAsia="宋体" w:cs="宋体"/>
                <w:b w:val="0"/>
                <w:bCs w:val="0"/>
                <w:color w:val="auto"/>
                <w:kern w:val="0"/>
                <w:sz w:val="24"/>
                <w:szCs w:val="24"/>
                <w:highlight w:val="none"/>
                <w:lang w:eastAsia="zh-CN"/>
              </w:rPr>
            </w:pPr>
            <w:r>
              <w:rPr>
                <w:rFonts w:hint="eastAsia" w:ascii="宋体" w:hAnsi="宋体" w:eastAsia="宋体" w:cs="宋体"/>
                <w:b w:val="0"/>
                <w:bCs w:val="0"/>
                <w:color w:val="auto"/>
                <w:kern w:val="0"/>
                <w:sz w:val="24"/>
                <w:szCs w:val="24"/>
                <w:highlight w:val="none"/>
                <w:lang w:eastAsia="zh-CN"/>
              </w:rPr>
              <w:t>响应程度</w:t>
            </w:r>
          </w:p>
        </w:tc>
        <w:tc>
          <w:tcPr>
            <w:tcW w:w="7392" w:type="dxa"/>
            <w:noWrap/>
            <w:vAlign w:val="center"/>
          </w:tcPr>
          <w:p w14:paraId="309D1E54">
            <w:pPr>
              <w:keepNext w:val="0"/>
              <w:keepLines w:val="0"/>
              <w:pageBreakBefore w:val="0"/>
              <w:widowControl w:val="0"/>
              <w:kinsoku/>
              <w:wordWrap/>
              <w:overflowPunct/>
              <w:topLinePunct w:val="0"/>
              <w:autoSpaceDE/>
              <w:autoSpaceDN/>
              <w:bidi w:val="0"/>
              <w:adjustRightInd w:val="0"/>
              <w:snapToGrid w:val="0"/>
              <w:spacing w:line="380" w:lineRule="exact"/>
              <w:ind w:firstLine="0" w:firstLineChars="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根据</w:t>
            </w:r>
            <w:r>
              <w:rPr>
                <w:rFonts w:hint="eastAsia" w:ascii="宋体" w:hAnsi="宋体" w:eastAsia="宋体" w:cs="宋体"/>
                <w:bCs/>
                <w:color w:val="auto"/>
                <w:sz w:val="24"/>
                <w:szCs w:val="24"/>
                <w:lang w:eastAsia="zh-CN"/>
              </w:rPr>
              <w:t>投标</w:t>
            </w:r>
            <w:r>
              <w:rPr>
                <w:rFonts w:hint="eastAsia" w:ascii="宋体" w:hAnsi="宋体" w:eastAsia="宋体" w:cs="宋体"/>
                <w:bCs/>
                <w:color w:val="auto"/>
                <w:sz w:val="24"/>
                <w:szCs w:val="24"/>
              </w:rPr>
              <w:t>产品的性能、</w:t>
            </w:r>
            <w:r>
              <w:rPr>
                <w:rFonts w:hint="eastAsia" w:ascii="宋体" w:hAnsi="宋体" w:eastAsia="宋体" w:cs="宋体"/>
                <w:bCs/>
                <w:color w:val="auto"/>
                <w:sz w:val="24"/>
                <w:szCs w:val="24"/>
                <w:lang w:eastAsia="zh-CN"/>
              </w:rPr>
              <w:t>规格</w:t>
            </w:r>
            <w:r>
              <w:rPr>
                <w:rFonts w:hint="eastAsia" w:ascii="宋体" w:hAnsi="宋体" w:eastAsia="宋体" w:cs="宋体"/>
                <w:bCs/>
                <w:color w:val="auto"/>
                <w:sz w:val="24"/>
                <w:szCs w:val="24"/>
              </w:rPr>
              <w:t>、技术参数</w:t>
            </w:r>
            <w:r>
              <w:rPr>
                <w:rFonts w:hint="eastAsia" w:ascii="宋体" w:hAnsi="宋体" w:eastAsia="宋体" w:cs="宋体"/>
                <w:bCs/>
                <w:color w:val="auto"/>
                <w:sz w:val="24"/>
                <w:szCs w:val="24"/>
                <w:lang w:eastAsia="zh-CN"/>
              </w:rPr>
              <w:t>等指标是否满足招标文件的</w:t>
            </w:r>
            <w:r>
              <w:rPr>
                <w:rFonts w:hint="eastAsia" w:ascii="宋体" w:hAnsi="宋体" w:eastAsia="宋体" w:cs="宋体"/>
                <w:bCs/>
                <w:color w:val="auto"/>
                <w:sz w:val="24"/>
                <w:szCs w:val="24"/>
              </w:rPr>
              <w:t>要求进行打分（</w:t>
            </w:r>
            <w:r>
              <w:rPr>
                <w:rFonts w:hint="eastAsia" w:ascii="宋体" w:hAnsi="宋体" w:eastAsia="宋体" w:cs="宋体"/>
                <w:kern w:val="0"/>
                <w:sz w:val="24"/>
              </w:rPr>
              <w:t>全部满足或明显优于招标文件要求</w:t>
            </w:r>
            <w:r>
              <w:rPr>
                <w:rFonts w:hint="eastAsia" w:ascii="宋体" w:hAnsi="宋体" w:eastAsia="宋体" w:cs="宋体"/>
                <w:kern w:val="0"/>
                <w:sz w:val="24"/>
                <w:lang w:eastAsia="zh-CN"/>
              </w:rPr>
              <w:t>的</w:t>
            </w:r>
            <w:r>
              <w:rPr>
                <w:rFonts w:hint="eastAsia" w:ascii="宋体" w:hAnsi="宋体" w:eastAsia="宋体" w:cs="宋体"/>
                <w:kern w:val="0"/>
                <w:sz w:val="24"/>
              </w:rPr>
              <w:t>得</w:t>
            </w:r>
            <w:r>
              <w:rPr>
                <w:rFonts w:hint="eastAsia" w:ascii="宋体" w:hAnsi="宋体" w:eastAsia="宋体" w:cs="宋体"/>
                <w:kern w:val="0"/>
                <w:sz w:val="24"/>
                <w:lang w:eastAsia="zh-CN"/>
              </w:rPr>
              <w:t>满分</w:t>
            </w:r>
            <w:r>
              <w:rPr>
                <w:rFonts w:hint="eastAsia" w:cs="宋体"/>
                <w:kern w:val="0"/>
                <w:sz w:val="24"/>
                <w:lang w:val="en-US" w:eastAsia="zh-CN"/>
              </w:rPr>
              <w:t>25</w:t>
            </w:r>
            <w:r>
              <w:rPr>
                <w:rFonts w:hint="eastAsia" w:ascii="宋体" w:hAnsi="宋体" w:eastAsia="宋体" w:cs="宋体"/>
                <w:kern w:val="0"/>
                <w:sz w:val="24"/>
              </w:rPr>
              <w:t>分</w:t>
            </w:r>
            <w:r>
              <w:rPr>
                <w:rFonts w:hint="eastAsia" w:ascii="宋体" w:hAnsi="宋体" w:eastAsia="宋体" w:cs="宋体"/>
                <w:bCs/>
                <w:color w:val="auto"/>
                <w:sz w:val="24"/>
                <w:szCs w:val="24"/>
              </w:rPr>
              <w:t>）：</w:t>
            </w:r>
          </w:p>
          <w:p w14:paraId="3B7B8E28">
            <w:pPr>
              <w:keepNext w:val="0"/>
              <w:keepLines w:val="0"/>
              <w:pageBreakBefore w:val="0"/>
              <w:widowControl w:val="0"/>
              <w:kinsoku/>
              <w:wordWrap/>
              <w:overflowPunct/>
              <w:topLinePunct w:val="0"/>
              <w:autoSpaceDE/>
              <w:autoSpaceDN/>
              <w:bidi w:val="0"/>
              <w:adjustRightInd w:val="0"/>
              <w:snapToGrid w:val="0"/>
              <w:spacing w:line="380" w:lineRule="exact"/>
              <w:ind w:firstLine="0" w:firstLineChars="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①标注“</w:t>
            </w:r>
            <w:r>
              <w:rPr>
                <w:rFonts w:hint="eastAsia" w:ascii="宋体" w:hAnsi="宋体" w:eastAsia="宋体" w:cs="宋体"/>
                <w:sz w:val="24"/>
                <w:szCs w:val="24"/>
              </w:rPr>
              <w:t>▲</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eastAsia="zh-CN"/>
              </w:rPr>
              <w:t>项</w:t>
            </w:r>
            <w:r>
              <w:rPr>
                <w:rFonts w:hint="eastAsia" w:ascii="宋体" w:hAnsi="宋体" w:eastAsia="宋体" w:cs="宋体"/>
                <w:bCs/>
                <w:color w:val="auto"/>
                <w:sz w:val="24"/>
                <w:szCs w:val="24"/>
              </w:rPr>
              <w:t>为</w:t>
            </w:r>
            <w:r>
              <w:rPr>
                <w:rFonts w:hint="eastAsia" w:ascii="宋体" w:hAnsi="宋体" w:eastAsia="宋体" w:cs="宋体"/>
                <w:bCs/>
                <w:color w:val="auto"/>
                <w:sz w:val="24"/>
                <w:szCs w:val="24"/>
                <w:lang w:eastAsia="zh-CN"/>
              </w:rPr>
              <w:t>实质性条款</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eastAsia="zh-CN"/>
              </w:rPr>
              <w:t>不允许负偏离，否则投标无效</w:t>
            </w:r>
            <w:r>
              <w:rPr>
                <w:rFonts w:hint="eastAsia" w:ascii="宋体" w:hAnsi="宋体" w:eastAsia="宋体" w:cs="宋体"/>
                <w:bCs/>
                <w:color w:val="auto"/>
                <w:sz w:val="24"/>
                <w:szCs w:val="24"/>
              </w:rPr>
              <w:t>；</w:t>
            </w:r>
          </w:p>
          <w:p w14:paraId="3E8E9DC2">
            <w:pPr>
              <w:keepNext w:val="0"/>
              <w:keepLines w:val="0"/>
              <w:pageBreakBefore w:val="0"/>
              <w:widowControl w:val="0"/>
              <w:kinsoku/>
              <w:wordWrap/>
              <w:overflowPunct/>
              <w:topLinePunct w:val="0"/>
              <w:autoSpaceDE/>
              <w:autoSpaceDN/>
              <w:bidi w:val="0"/>
              <w:adjustRightInd w:val="0"/>
              <w:snapToGrid w:val="0"/>
              <w:spacing w:line="380" w:lineRule="exact"/>
              <w:ind w:firstLine="0" w:firstLineChars="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②</w:t>
            </w:r>
            <w:r>
              <w:rPr>
                <w:rFonts w:hint="eastAsia" w:ascii="宋体" w:hAnsi="宋体" w:eastAsia="宋体" w:cs="宋体"/>
                <w:bCs/>
                <w:color w:val="auto"/>
                <w:sz w:val="24"/>
                <w:szCs w:val="24"/>
                <w:lang w:eastAsia="zh-CN"/>
              </w:rPr>
              <w:t>带“</w:t>
            </w:r>
            <w:r>
              <w:rPr>
                <w:rFonts w:hint="eastAsia" w:ascii="宋体" w:hAnsi="宋体" w:eastAsia="宋体" w:cs="宋体"/>
                <w:color w:val="000000"/>
                <w:kern w:val="0"/>
                <w:sz w:val="24"/>
                <w:szCs w:val="24"/>
              </w:rPr>
              <w:t>★</w:t>
            </w:r>
            <w:r>
              <w:rPr>
                <w:rFonts w:hint="eastAsia" w:ascii="宋体" w:hAnsi="宋体" w:eastAsia="宋体" w:cs="宋体"/>
                <w:bCs/>
                <w:color w:val="auto"/>
                <w:sz w:val="24"/>
                <w:szCs w:val="24"/>
                <w:lang w:eastAsia="zh-CN"/>
              </w:rPr>
              <w:t>”项为重要技术条款，每负偏离或缺漏</w:t>
            </w:r>
            <w:r>
              <w:rPr>
                <w:rFonts w:hint="eastAsia" w:ascii="宋体" w:hAnsi="宋体" w:eastAsia="宋体" w:cs="宋体"/>
                <w:bCs/>
                <w:color w:val="auto"/>
                <w:sz w:val="24"/>
                <w:szCs w:val="24"/>
                <w:lang w:val="en-US" w:eastAsia="zh-CN"/>
              </w:rPr>
              <w:t>1项的扣1分，扣完本项得分为止；</w:t>
            </w:r>
          </w:p>
          <w:p w14:paraId="1E2DE40C">
            <w:pPr>
              <w:keepNext w:val="0"/>
              <w:keepLines w:val="0"/>
              <w:pageBreakBefore w:val="0"/>
              <w:widowControl w:val="0"/>
              <w:kinsoku/>
              <w:wordWrap/>
              <w:overflowPunct/>
              <w:topLinePunct w:val="0"/>
              <w:autoSpaceDE/>
              <w:autoSpaceDN/>
              <w:bidi w:val="0"/>
              <w:adjustRightInd w:val="0"/>
              <w:snapToGrid w:val="0"/>
              <w:spacing w:line="380" w:lineRule="exact"/>
              <w:ind w:firstLine="0" w:firstLineChars="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eastAsia="zh-CN"/>
              </w:rPr>
              <w:t>③一般技术条款每负偏离或缺漏</w:t>
            </w:r>
            <w:r>
              <w:rPr>
                <w:rFonts w:hint="eastAsia" w:ascii="宋体" w:hAnsi="宋体" w:eastAsia="宋体" w:cs="宋体"/>
                <w:bCs/>
                <w:color w:val="auto"/>
                <w:sz w:val="24"/>
                <w:szCs w:val="24"/>
                <w:lang w:val="en-US" w:eastAsia="zh-CN"/>
              </w:rPr>
              <w:t>1项的扣0.5分，扣完本项得分为止。</w:t>
            </w:r>
          </w:p>
          <w:p w14:paraId="710CC7F9">
            <w:pPr>
              <w:pStyle w:val="8"/>
              <w:keepNext w:val="0"/>
              <w:keepLines w:val="0"/>
              <w:pageBreakBefore w:val="0"/>
              <w:kinsoku/>
              <w:wordWrap/>
              <w:overflowPunct/>
              <w:topLinePunct w:val="0"/>
              <w:autoSpaceDE/>
              <w:autoSpaceDN/>
              <w:bidi w:val="0"/>
              <w:adjustRightInd/>
              <w:snapToGrid/>
              <w:spacing w:line="380" w:lineRule="exact"/>
              <w:ind w:firstLine="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b/>
                <w:bCs w:val="0"/>
                <w:color w:val="auto"/>
                <w:sz w:val="24"/>
                <w:szCs w:val="24"/>
              </w:rPr>
              <w:t>（根据</w:t>
            </w:r>
            <w:r>
              <w:rPr>
                <w:rFonts w:hint="eastAsia" w:ascii="宋体" w:hAnsi="宋体" w:eastAsia="宋体" w:cs="宋体"/>
                <w:b/>
                <w:bCs w:val="0"/>
                <w:color w:val="auto"/>
                <w:sz w:val="24"/>
                <w:szCs w:val="24"/>
                <w:lang w:eastAsia="zh-CN"/>
              </w:rPr>
              <w:t>投标人</w:t>
            </w:r>
            <w:r>
              <w:rPr>
                <w:rFonts w:hint="eastAsia" w:ascii="宋体" w:hAnsi="宋体" w:eastAsia="宋体" w:cs="宋体"/>
                <w:b/>
                <w:bCs w:val="0"/>
                <w:color w:val="auto"/>
                <w:sz w:val="24"/>
                <w:szCs w:val="24"/>
              </w:rPr>
              <w:t>的技术</w:t>
            </w:r>
            <w:r>
              <w:rPr>
                <w:rFonts w:hint="eastAsia" w:ascii="宋体" w:hAnsi="宋体" w:eastAsia="宋体" w:cs="宋体"/>
                <w:b/>
                <w:bCs w:val="0"/>
                <w:color w:val="auto"/>
                <w:sz w:val="24"/>
                <w:szCs w:val="24"/>
                <w:lang w:eastAsia="zh-CN"/>
              </w:rPr>
              <w:t>规范</w:t>
            </w:r>
            <w:r>
              <w:rPr>
                <w:rFonts w:hint="eastAsia" w:ascii="宋体" w:hAnsi="宋体" w:eastAsia="宋体" w:cs="宋体"/>
                <w:b/>
                <w:bCs w:val="0"/>
                <w:color w:val="auto"/>
                <w:sz w:val="24"/>
                <w:szCs w:val="24"/>
              </w:rPr>
              <w:t>偏离表和技术支持</w:t>
            </w:r>
            <w:r>
              <w:rPr>
                <w:rFonts w:hint="eastAsia" w:ascii="宋体" w:hAnsi="宋体" w:eastAsia="宋体" w:cs="宋体"/>
                <w:b/>
                <w:bCs w:val="0"/>
                <w:color w:val="auto"/>
                <w:sz w:val="24"/>
                <w:szCs w:val="24"/>
                <w:lang w:eastAsia="zh-CN"/>
              </w:rPr>
              <w:t>证明材料等</w:t>
            </w:r>
            <w:r>
              <w:rPr>
                <w:rFonts w:hint="eastAsia" w:ascii="宋体" w:hAnsi="宋体" w:eastAsia="宋体" w:cs="宋体"/>
                <w:b/>
                <w:bCs w:val="0"/>
                <w:color w:val="auto"/>
                <w:sz w:val="24"/>
                <w:szCs w:val="24"/>
              </w:rPr>
              <w:t>进行打分）</w:t>
            </w:r>
          </w:p>
        </w:tc>
        <w:tc>
          <w:tcPr>
            <w:tcW w:w="761" w:type="dxa"/>
            <w:noWrap/>
            <w:vAlign w:val="center"/>
          </w:tcPr>
          <w:p w14:paraId="3DF245F8">
            <w:pPr>
              <w:pStyle w:val="205"/>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eastAsia" w:ascii="宋体" w:hAnsi="宋体" w:eastAsia="宋体" w:cs="宋体"/>
                <w:color w:val="auto"/>
                <w:sz w:val="24"/>
                <w:szCs w:val="24"/>
                <w:highlight w:val="none"/>
              </w:rPr>
            </w:pPr>
            <w:r>
              <w:rPr>
                <w:rFonts w:hint="eastAsia" w:cs="宋体"/>
                <w:color w:val="auto"/>
                <w:sz w:val="24"/>
                <w:szCs w:val="24"/>
                <w:highlight w:val="none"/>
                <w:lang w:val="en-US" w:eastAsia="zh-CN"/>
              </w:rPr>
              <w:t>25</w:t>
            </w:r>
            <w:r>
              <w:rPr>
                <w:rFonts w:hint="eastAsia" w:ascii="宋体" w:hAnsi="宋体" w:eastAsia="宋体" w:cs="宋体"/>
                <w:color w:val="auto"/>
                <w:sz w:val="24"/>
                <w:szCs w:val="24"/>
                <w:highlight w:val="none"/>
              </w:rPr>
              <w:t>分</w:t>
            </w:r>
          </w:p>
        </w:tc>
      </w:tr>
      <w:tr w14:paraId="3B63E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64" w:type="dxa"/>
            <w:vMerge w:val="restart"/>
            <w:noWrap/>
            <w:vAlign w:val="center"/>
          </w:tcPr>
          <w:p w14:paraId="6D2B6457">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rPr>
                <w:rFonts w:hint="default" w:asciiTheme="minorEastAsia" w:hAnsiTheme="minorEastAsia" w:eastAsiaTheme="minorEastAsia" w:cstheme="minorEastAsia"/>
                <w:b w:val="0"/>
                <w:bCs w:val="0"/>
                <w:color w:val="auto"/>
                <w:kern w:val="2"/>
                <w:sz w:val="24"/>
                <w:szCs w:val="24"/>
                <w:highlight w:val="none"/>
                <w:lang w:val="en-US" w:eastAsia="zh-CN"/>
              </w:rPr>
            </w:pPr>
            <w:r>
              <w:rPr>
                <w:rFonts w:hint="eastAsia" w:asciiTheme="minorEastAsia" w:hAnsiTheme="minorEastAsia" w:eastAsiaTheme="minorEastAsia" w:cstheme="minorEastAsia"/>
                <w:b w:val="0"/>
                <w:bCs w:val="0"/>
                <w:color w:val="auto"/>
                <w:kern w:val="2"/>
                <w:sz w:val="24"/>
                <w:szCs w:val="24"/>
                <w:highlight w:val="none"/>
                <w:lang w:val="en-US" w:eastAsia="zh-CN"/>
              </w:rPr>
              <w:t>2</w:t>
            </w:r>
          </w:p>
        </w:tc>
        <w:tc>
          <w:tcPr>
            <w:tcW w:w="1649" w:type="dxa"/>
            <w:vMerge w:val="restart"/>
            <w:noWrap/>
            <w:vAlign w:val="center"/>
          </w:tcPr>
          <w:p w14:paraId="6254ADF1">
            <w:pPr>
              <w:pStyle w:val="8"/>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项目实施</w:t>
            </w:r>
          </w:p>
          <w:p w14:paraId="2FCC0F9B">
            <w:pPr>
              <w:pStyle w:val="8"/>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方案</w:t>
            </w:r>
          </w:p>
        </w:tc>
        <w:tc>
          <w:tcPr>
            <w:tcW w:w="7392" w:type="dxa"/>
            <w:noWrap/>
            <w:vAlign w:val="center"/>
          </w:tcPr>
          <w:p w14:paraId="5D192B4C">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eastAsia" w:eastAsia="宋体" w:asciiTheme="minorEastAsia" w:hAnsiTheme="minorEastAsia" w:cstheme="minorEastAsia"/>
                <w:color w:val="auto"/>
                <w:kern w:val="2"/>
                <w:sz w:val="24"/>
                <w:szCs w:val="24"/>
                <w:highlight w:val="none"/>
                <w:lang w:val="en-US" w:eastAsia="zh-CN" w:bidi="ar-SA"/>
              </w:rPr>
            </w:pPr>
            <w:r>
              <w:rPr>
                <w:rFonts w:hint="eastAsia" w:ascii="宋体" w:hAnsi="宋体" w:eastAsia="宋体" w:cs="宋体"/>
                <w:color w:val="auto"/>
                <w:sz w:val="24"/>
                <w:highlight w:val="none"/>
              </w:rPr>
              <w:t>产品技术方案</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包括产品的图文资料及说明，针对采购需求及实际特点、有利于采购标的实现及合同履约</w:t>
            </w:r>
            <w:r>
              <w:rPr>
                <w:rFonts w:hint="eastAsia" w:ascii="宋体" w:hAnsi="宋体" w:eastAsia="宋体" w:cs="宋体"/>
                <w:color w:val="auto"/>
                <w:sz w:val="24"/>
                <w:highlight w:val="none"/>
                <w:lang w:eastAsia="zh-CN"/>
              </w:rPr>
              <w:t>。</w:t>
            </w:r>
            <w:r>
              <w:rPr>
                <w:rFonts w:hint="eastAsia"/>
                <w:lang w:val="en-US" w:eastAsia="zh-CN"/>
              </w:rPr>
              <w:t>（</w:t>
            </w:r>
            <w:r>
              <w:rPr>
                <w:rFonts w:hint="eastAsia" w:cs="宋体"/>
                <w:sz w:val="24"/>
                <w:szCs w:val="24"/>
                <w:lang w:val="en-US" w:eastAsia="zh-CN"/>
              </w:rPr>
              <w:t>评分范围：0，1，2，3</w:t>
            </w:r>
            <w:r>
              <w:rPr>
                <w:rFonts w:hint="eastAsia"/>
                <w:lang w:val="en-US" w:eastAsia="zh-CN"/>
              </w:rPr>
              <w:t>）</w:t>
            </w:r>
          </w:p>
        </w:tc>
        <w:tc>
          <w:tcPr>
            <w:tcW w:w="761" w:type="dxa"/>
            <w:vMerge w:val="restart"/>
            <w:noWrap/>
            <w:vAlign w:val="center"/>
          </w:tcPr>
          <w:p w14:paraId="21C9D9C6">
            <w:pPr>
              <w:keepNext w:val="0"/>
              <w:keepLines w:val="0"/>
              <w:pageBreakBefore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16</w:t>
            </w:r>
            <w:r>
              <w:rPr>
                <w:rFonts w:hint="eastAsia" w:asciiTheme="minorEastAsia" w:hAnsiTheme="minorEastAsia" w:eastAsiaTheme="minorEastAsia" w:cstheme="minorEastAsia"/>
                <w:color w:val="auto"/>
                <w:sz w:val="24"/>
                <w:szCs w:val="24"/>
                <w:highlight w:val="none"/>
              </w:rPr>
              <w:t>分</w:t>
            </w:r>
          </w:p>
        </w:tc>
      </w:tr>
      <w:tr w14:paraId="55B43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764" w:type="dxa"/>
            <w:vMerge w:val="continue"/>
            <w:noWrap/>
            <w:vAlign w:val="center"/>
          </w:tcPr>
          <w:p w14:paraId="26591794">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pPr>
          </w:p>
        </w:tc>
        <w:tc>
          <w:tcPr>
            <w:tcW w:w="1649" w:type="dxa"/>
            <w:vMerge w:val="continue"/>
            <w:noWrap/>
            <w:vAlign w:val="center"/>
          </w:tcPr>
          <w:p w14:paraId="44AB3B6A">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pPr>
          </w:p>
        </w:tc>
        <w:tc>
          <w:tcPr>
            <w:tcW w:w="7392" w:type="dxa"/>
            <w:noWrap/>
            <w:vAlign w:val="center"/>
          </w:tcPr>
          <w:p w14:paraId="79C0B50B">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eastAsia" w:ascii="宋体" w:hAnsi="宋体" w:eastAsia="宋体" w:cs="宋体"/>
                <w:color w:val="auto"/>
                <w:sz w:val="24"/>
                <w:highlight w:val="none"/>
                <w:lang w:eastAsia="zh-CN"/>
              </w:rPr>
            </w:pPr>
            <w:r>
              <w:rPr>
                <w:rFonts w:hint="eastAsia" w:cs="宋体"/>
                <w:sz w:val="24"/>
                <w:szCs w:val="24"/>
                <w:lang w:val="en-US" w:eastAsia="zh-CN"/>
              </w:rPr>
              <w:t>质量保证措施：投标人有明确的质量目标，质量保证措施完善、严密、有效，能切实保证所投标产品的质量，</w:t>
            </w:r>
            <w:r>
              <w:rPr>
                <w:rFonts w:hint="eastAsia" w:ascii="宋体" w:hAnsi="宋体" w:eastAsia="宋体" w:cs="宋体"/>
                <w:color w:val="auto"/>
                <w:sz w:val="24"/>
                <w:highlight w:val="none"/>
              </w:rPr>
              <w:t>有利于采购标的实现</w:t>
            </w:r>
            <w:r>
              <w:rPr>
                <w:rFonts w:hint="eastAsia" w:ascii="宋体" w:hAnsi="宋体" w:eastAsia="宋体" w:cs="宋体"/>
                <w:color w:val="auto"/>
                <w:sz w:val="24"/>
                <w:highlight w:val="none"/>
                <w:lang w:eastAsia="zh-CN"/>
              </w:rPr>
              <w:t>。</w:t>
            </w:r>
          </w:p>
          <w:p w14:paraId="4BD30917">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eastAsia" w:cs="宋体"/>
                <w:sz w:val="24"/>
                <w:szCs w:val="24"/>
                <w:lang w:val="en-US" w:eastAsia="zh-CN"/>
              </w:rPr>
            </w:pPr>
            <w:r>
              <w:rPr>
                <w:rFonts w:hint="eastAsia"/>
                <w:lang w:val="en-US" w:eastAsia="zh-CN"/>
              </w:rPr>
              <w:t>（</w:t>
            </w:r>
            <w:r>
              <w:rPr>
                <w:rFonts w:hint="eastAsia" w:cs="宋体"/>
                <w:sz w:val="24"/>
                <w:szCs w:val="24"/>
                <w:lang w:val="en-US" w:eastAsia="zh-CN"/>
              </w:rPr>
              <w:t>评分范围：0，1，2，3，4</w:t>
            </w:r>
            <w:r>
              <w:rPr>
                <w:rFonts w:hint="eastAsia"/>
                <w:lang w:val="en-US" w:eastAsia="zh-CN"/>
              </w:rPr>
              <w:t>）</w:t>
            </w:r>
          </w:p>
        </w:tc>
        <w:tc>
          <w:tcPr>
            <w:tcW w:w="761" w:type="dxa"/>
            <w:vMerge w:val="continue"/>
            <w:noWrap/>
            <w:vAlign w:val="center"/>
          </w:tcPr>
          <w:p w14:paraId="063F8218">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eastAsia" w:cs="宋体"/>
                <w:sz w:val="24"/>
                <w:szCs w:val="24"/>
                <w:lang w:val="en-US" w:eastAsia="zh-CN"/>
              </w:rPr>
            </w:pPr>
          </w:p>
        </w:tc>
      </w:tr>
      <w:tr w14:paraId="67949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64" w:type="dxa"/>
            <w:vMerge w:val="continue"/>
            <w:noWrap/>
            <w:vAlign w:val="center"/>
          </w:tcPr>
          <w:p w14:paraId="5BA59BB5">
            <w:pPr>
              <w:pStyle w:val="8"/>
              <w:keepNext w:val="0"/>
              <w:keepLines w:val="0"/>
              <w:pageBreakBefore w:val="0"/>
              <w:kinsoku/>
              <w:wordWrap/>
              <w:overflowPunct/>
              <w:topLinePunct w:val="0"/>
              <w:autoSpaceDE/>
              <w:autoSpaceDN/>
              <w:bidi w:val="0"/>
              <w:adjustRightInd/>
              <w:snapToGrid/>
              <w:spacing w:line="360" w:lineRule="exact"/>
              <w:ind w:firstLine="0" w:firstLineChars="0"/>
              <w:textAlignment w:val="auto"/>
            </w:pPr>
          </w:p>
        </w:tc>
        <w:tc>
          <w:tcPr>
            <w:tcW w:w="1649" w:type="dxa"/>
            <w:vMerge w:val="continue"/>
            <w:noWrap/>
            <w:vAlign w:val="center"/>
          </w:tcPr>
          <w:p w14:paraId="30967AFF">
            <w:pPr>
              <w:pStyle w:val="8"/>
              <w:keepNext w:val="0"/>
              <w:keepLines w:val="0"/>
              <w:pageBreakBefore w:val="0"/>
              <w:kinsoku/>
              <w:wordWrap/>
              <w:overflowPunct/>
              <w:topLinePunct w:val="0"/>
              <w:autoSpaceDE/>
              <w:autoSpaceDN/>
              <w:bidi w:val="0"/>
              <w:adjustRightInd/>
              <w:snapToGrid/>
              <w:spacing w:line="360" w:lineRule="exact"/>
              <w:ind w:firstLine="0" w:firstLineChars="0"/>
              <w:textAlignment w:val="auto"/>
            </w:pPr>
          </w:p>
        </w:tc>
        <w:tc>
          <w:tcPr>
            <w:tcW w:w="7392" w:type="dxa"/>
            <w:noWrap/>
            <w:vAlign w:val="center"/>
          </w:tcPr>
          <w:p w14:paraId="7D6515E6">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cs="宋体"/>
                <w:sz w:val="24"/>
                <w:szCs w:val="24"/>
                <w:lang w:val="en-US" w:eastAsia="zh-CN"/>
              </w:rPr>
              <w:t>供货及配送方案：供货及配送方案完善、各环节衔接严密，能满足本项目的供货及配送要求，确保项目交货期。</w:t>
            </w:r>
            <w:r>
              <w:rPr>
                <w:rFonts w:hint="eastAsia"/>
                <w:lang w:val="en-US" w:eastAsia="zh-CN"/>
              </w:rPr>
              <w:t>（</w:t>
            </w:r>
            <w:r>
              <w:rPr>
                <w:rFonts w:hint="eastAsia" w:cs="宋体"/>
                <w:sz w:val="24"/>
                <w:szCs w:val="24"/>
                <w:lang w:val="en-US" w:eastAsia="zh-CN"/>
              </w:rPr>
              <w:t>评分范围：0，1，2，3</w:t>
            </w:r>
            <w:r>
              <w:rPr>
                <w:rFonts w:hint="eastAsia"/>
                <w:lang w:val="en-US" w:eastAsia="zh-CN"/>
              </w:rPr>
              <w:t>）</w:t>
            </w:r>
          </w:p>
        </w:tc>
        <w:tc>
          <w:tcPr>
            <w:tcW w:w="761" w:type="dxa"/>
            <w:vMerge w:val="continue"/>
            <w:noWrap/>
            <w:vAlign w:val="center"/>
          </w:tcPr>
          <w:p w14:paraId="1B413525">
            <w:pPr>
              <w:pStyle w:val="8"/>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color w:val="auto"/>
                <w:kern w:val="2"/>
                <w:sz w:val="24"/>
                <w:szCs w:val="24"/>
                <w:highlight w:val="none"/>
                <w:lang w:val="en-US" w:eastAsia="zh-CN" w:bidi="ar-SA"/>
              </w:rPr>
            </w:pPr>
          </w:p>
        </w:tc>
      </w:tr>
      <w:tr w14:paraId="3EFD5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64" w:type="dxa"/>
            <w:vMerge w:val="continue"/>
            <w:noWrap/>
            <w:vAlign w:val="center"/>
          </w:tcPr>
          <w:p w14:paraId="1CFD5D04">
            <w:pPr>
              <w:pStyle w:val="8"/>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color w:val="auto"/>
                <w:kern w:val="2"/>
                <w:sz w:val="24"/>
                <w:szCs w:val="24"/>
                <w:highlight w:val="none"/>
                <w:lang w:val="en-US" w:eastAsia="zh-CN" w:bidi="ar-SA"/>
              </w:rPr>
            </w:pPr>
          </w:p>
        </w:tc>
        <w:tc>
          <w:tcPr>
            <w:tcW w:w="1649" w:type="dxa"/>
            <w:vMerge w:val="continue"/>
            <w:noWrap/>
            <w:vAlign w:val="center"/>
          </w:tcPr>
          <w:p w14:paraId="1C4342C2">
            <w:pPr>
              <w:pStyle w:val="8"/>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color w:val="auto"/>
                <w:kern w:val="2"/>
                <w:sz w:val="24"/>
                <w:szCs w:val="24"/>
                <w:highlight w:val="none"/>
                <w:lang w:val="en-US" w:eastAsia="zh-CN" w:bidi="ar-SA"/>
              </w:rPr>
            </w:pPr>
          </w:p>
        </w:tc>
        <w:tc>
          <w:tcPr>
            <w:tcW w:w="7392" w:type="dxa"/>
            <w:noWrap/>
            <w:vAlign w:val="center"/>
          </w:tcPr>
          <w:p w14:paraId="2D4EF2D9">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cs="宋体"/>
                <w:sz w:val="24"/>
                <w:szCs w:val="24"/>
                <w:lang w:val="en-US" w:eastAsia="zh-CN"/>
              </w:rPr>
              <w:t>安装调试计划：提供安装调试计划及进度表，计划合理、进度表规范，</w:t>
            </w:r>
            <w:r>
              <w:rPr>
                <w:rFonts w:hint="eastAsia" w:ascii="宋体" w:hAnsi="宋体" w:eastAsia="宋体" w:cs="宋体"/>
                <w:color w:val="auto"/>
                <w:sz w:val="24"/>
                <w:highlight w:val="none"/>
              </w:rPr>
              <w:t>有利于采购标的实现及合同履约</w:t>
            </w:r>
            <w:r>
              <w:rPr>
                <w:rFonts w:hint="eastAsia" w:cs="宋体"/>
                <w:sz w:val="24"/>
                <w:szCs w:val="24"/>
                <w:lang w:val="en-US" w:eastAsia="zh-CN"/>
              </w:rPr>
              <w:t>。</w:t>
            </w:r>
            <w:r>
              <w:rPr>
                <w:rFonts w:hint="eastAsia"/>
                <w:lang w:val="en-US" w:eastAsia="zh-CN"/>
              </w:rPr>
              <w:t>（</w:t>
            </w:r>
            <w:r>
              <w:rPr>
                <w:rFonts w:hint="eastAsia" w:cs="宋体"/>
                <w:sz w:val="24"/>
                <w:szCs w:val="24"/>
                <w:lang w:val="en-US" w:eastAsia="zh-CN"/>
              </w:rPr>
              <w:t>评分范围：0，1，2，3</w:t>
            </w:r>
            <w:r>
              <w:rPr>
                <w:rFonts w:hint="eastAsia"/>
                <w:lang w:val="en-US" w:eastAsia="zh-CN"/>
              </w:rPr>
              <w:t>）</w:t>
            </w:r>
          </w:p>
        </w:tc>
        <w:tc>
          <w:tcPr>
            <w:tcW w:w="761" w:type="dxa"/>
            <w:vMerge w:val="continue"/>
            <w:noWrap/>
            <w:vAlign w:val="center"/>
          </w:tcPr>
          <w:p w14:paraId="3EAFDF9C">
            <w:pPr>
              <w:pStyle w:val="8"/>
              <w:keepNext w:val="0"/>
              <w:keepLines w:val="0"/>
              <w:pageBreakBefore w:val="0"/>
              <w:kinsoku/>
              <w:wordWrap/>
              <w:overflowPunct/>
              <w:topLinePunct w:val="0"/>
              <w:autoSpaceDE/>
              <w:autoSpaceDN/>
              <w:bidi w:val="0"/>
              <w:adjustRightInd/>
              <w:snapToGrid/>
              <w:spacing w:line="360" w:lineRule="exact"/>
              <w:ind w:firstLine="0" w:firstLineChars="0"/>
              <w:textAlignment w:val="auto"/>
              <w:rPr>
                <w:rFonts w:hint="eastAsia" w:asciiTheme="minorEastAsia" w:hAnsiTheme="minorEastAsia" w:eastAsiaTheme="minorEastAsia" w:cstheme="minorEastAsia"/>
                <w:color w:val="auto"/>
                <w:kern w:val="2"/>
                <w:sz w:val="24"/>
                <w:szCs w:val="24"/>
                <w:highlight w:val="none"/>
                <w:lang w:val="en-US" w:eastAsia="zh-CN" w:bidi="ar-SA"/>
              </w:rPr>
            </w:pPr>
          </w:p>
        </w:tc>
      </w:tr>
      <w:tr w14:paraId="53833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764" w:type="dxa"/>
            <w:vMerge w:val="continue"/>
            <w:noWrap/>
            <w:vAlign w:val="center"/>
          </w:tcPr>
          <w:p w14:paraId="1F6B920A">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val="0"/>
                <w:bCs w:val="0"/>
                <w:color w:val="auto"/>
                <w:kern w:val="2"/>
                <w:sz w:val="24"/>
                <w:szCs w:val="24"/>
                <w:highlight w:val="none"/>
                <w:lang w:val="en-US" w:eastAsia="zh-CN"/>
              </w:rPr>
            </w:pPr>
          </w:p>
        </w:tc>
        <w:tc>
          <w:tcPr>
            <w:tcW w:w="1649" w:type="dxa"/>
            <w:vMerge w:val="continue"/>
            <w:noWrap/>
            <w:vAlign w:val="center"/>
          </w:tcPr>
          <w:p w14:paraId="4E489DB5">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jc w:val="center"/>
              <w:textAlignment w:val="auto"/>
              <w:rPr>
                <w:rFonts w:hint="eastAsia" w:ascii="宋体" w:hAnsi="宋体" w:eastAsia="宋体" w:cs="宋体"/>
                <w:b w:val="0"/>
                <w:bCs w:val="0"/>
                <w:color w:val="auto"/>
                <w:kern w:val="0"/>
                <w:sz w:val="24"/>
                <w:szCs w:val="24"/>
                <w:highlight w:val="none"/>
              </w:rPr>
            </w:pPr>
          </w:p>
        </w:tc>
        <w:tc>
          <w:tcPr>
            <w:tcW w:w="7392" w:type="dxa"/>
            <w:noWrap/>
            <w:vAlign w:val="center"/>
          </w:tcPr>
          <w:p w14:paraId="4E79B7BD">
            <w:pPr>
              <w:pStyle w:val="8"/>
              <w:keepNext w:val="0"/>
              <w:keepLines w:val="0"/>
              <w:pageBreakBefore w:val="0"/>
              <w:kinsoku/>
              <w:wordWrap/>
              <w:overflowPunct/>
              <w:topLinePunct w:val="0"/>
              <w:autoSpaceDE/>
              <w:autoSpaceDN/>
              <w:bidi w:val="0"/>
              <w:adjustRightInd/>
              <w:snapToGrid/>
              <w:spacing w:line="360" w:lineRule="exact"/>
              <w:ind w:firstLine="0"/>
              <w:textAlignment w:val="auto"/>
              <w:rPr>
                <w:rFonts w:hint="eastAsia" w:ascii="宋体" w:hAnsi="宋体" w:eastAsia="宋体" w:cs="宋体"/>
                <w:color w:val="auto"/>
                <w:kern w:val="2"/>
                <w:sz w:val="24"/>
                <w:szCs w:val="24"/>
                <w:highlight w:val="none"/>
                <w:lang w:val="en-US" w:eastAsia="zh-CN"/>
              </w:rPr>
            </w:pPr>
            <w:r>
              <w:rPr>
                <w:rFonts w:hint="eastAsia" w:ascii="宋体" w:hAnsi="宋体" w:eastAsia="宋体" w:cs="宋体"/>
                <w:b w:val="0"/>
                <w:bCs w:val="0"/>
                <w:color w:val="auto"/>
                <w:kern w:val="2"/>
                <w:sz w:val="24"/>
                <w:szCs w:val="24"/>
                <w:highlight w:val="none"/>
              </w:rPr>
              <w:t>操作培训</w:t>
            </w:r>
            <w:r>
              <w:rPr>
                <w:rFonts w:hint="eastAsia" w:ascii="宋体" w:hAnsi="宋体" w:eastAsia="宋体" w:cs="宋体"/>
                <w:b w:val="0"/>
                <w:bCs w:val="0"/>
                <w:color w:val="auto"/>
                <w:kern w:val="2"/>
                <w:sz w:val="24"/>
                <w:szCs w:val="24"/>
                <w:highlight w:val="none"/>
                <w:lang w:val="en-US" w:eastAsia="zh-CN"/>
              </w:rPr>
              <w:t>方案：</w:t>
            </w:r>
            <w:r>
              <w:rPr>
                <w:rFonts w:hint="eastAsia" w:ascii="宋体" w:hAnsi="宋体" w:eastAsia="宋体" w:cs="宋体"/>
                <w:color w:val="auto"/>
                <w:kern w:val="2"/>
                <w:sz w:val="24"/>
                <w:szCs w:val="24"/>
                <w:highlight w:val="none"/>
                <w:lang w:eastAsia="zh-CN"/>
              </w:rPr>
              <w:t>投标人</w:t>
            </w:r>
            <w:r>
              <w:rPr>
                <w:rFonts w:hint="eastAsia" w:ascii="宋体" w:hAnsi="宋体" w:eastAsia="宋体" w:cs="宋体"/>
                <w:color w:val="auto"/>
                <w:kern w:val="2"/>
                <w:sz w:val="24"/>
                <w:szCs w:val="24"/>
                <w:highlight w:val="none"/>
              </w:rPr>
              <w:t>针对</w:t>
            </w:r>
            <w:r>
              <w:rPr>
                <w:rFonts w:hint="eastAsia" w:ascii="宋体" w:hAnsi="宋体" w:eastAsia="宋体" w:cs="宋体"/>
                <w:color w:val="auto"/>
                <w:kern w:val="2"/>
                <w:sz w:val="24"/>
                <w:szCs w:val="24"/>
                <w:highlight w:val="none"/>
                <w:lang w:eastAsia="zh-CN"/>
              </w:rPr>
              <w:t>本项目特点提供</w:t>
            </w:r>
            <w:r>
              <w:rPr>
                <w:rFonts w:hint="eastAsia" w:ascii="宋体" w:hAnsi="宋体" w:eastAsia="宋体" w:cs="宋体"/>
                <w:color w:val="auto"/>
                <w:kern w:val="2"/>
                <w:sz w:val="24"/>
                <w:szCs w:val="24"/>
                <w:highlight w:val="none"/>
              </w:rPr>
              <w:t>详细完善的</w:t>
            </w:r>
            <w:r>
              <w:rPr>
                <w:rFonts w:hint="eastAsia" w:ascii="宋体" w:hAnsi="宋体" w:eastAsia="宋体" w:cs="宋体"/>
                <w:color w:val="auto"/>
                <w:kern w:val="2"/>
                <w:sz w:val="24"/>
                <w:szCs w:val="24"/>
                <w:highlight w:val="none"/>
                <w:lang w:eastAsia="zh-CN"/>
              </w:rPr>
              <w:t>操作</w:t>
            </w:r>
            <w:r>
              <w:rPr>
                <w:rFonts w:hint="eastAsia" w:ascii="宋体" w:hAnsi="宋体" w:eastAsia="宋体" w:cs="宋体"/>
                <w:color w:val="auto"/>
                <w:kern w:val="2"/>
                <w:sz w:val="24"/>
                <w:szCs w:val="24"/>
                <w:highlight w:val="none"/>
              </w:rPr>
              <w:t>培训方案</w:t>
            </w:r>
            <w:r>
              <w:rPr>
                <w:rFonts w:hint="eastAsia" w:ascii="宋体" w:hAnsi="宋体" w:eastAsia="宋体" w:cs="宋体"/>
                <w:color w:val="auto"/>
                <w:kern w:val="2"/>
                <w:sz w:val="24"/>
                <w:szCs w:val="24"/>
                <w:highlight w:val="none"/>
                <w:lang w:eastAsia="zh-CN"/>
              </w:rPr>
              <w:t>，</w:t>
            </w:r>
            <w:r>
              <w:rPr>
                <w:rFonts w:hint="eastAsia" w:ascii="宋体" w:hAnsi="宋体" w:eastAsia="宋体" w:cs="宋体"/>
                <w:sz w:val="24"/>
                <w:szCs w:val="24"/>
                <w:lang w:val="en-US" w:eastAsia="zh-CN"/>
              </w:rPr>
              <w:t>包括但不限于培训人员、培训时间、培训次数、培训内容等。方案全面、科学，能切实达到培训效果。（评分范围：0，1，2，3）</w:t>
            </w:r>
          </w:p>
        </w:tc>
        <w:tc>
          <w:tcPr>
            <w:tcW w:w="761" w:type="dxa"/>
            <w:vMerge w:val="continue"/>
            <w:noWrap/>
            <w:vAlign w:val="center"/>
          </w:tcPr>
          <w:p w14:paraId="3FCD3D91">
            <w:pPr>
              <w:pStyle w:val="205"/>
              <w:keepNext w:val="0"/>
              <w:keepLines w:val="0"/>
              <w:pageBreakBefore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color w:val="auto"/>
                <w:sz w:val="24"/>
                <w:szCs w:val="24"/>
                <w:highlight w:val="none"/>
                <w:lang w:val="en-US" w:eastAsia="zh-CN"/>
              </w:rPr>
            </w:pPr>
          </w:p>
        </w:tc>
      </w:tr>
      <w:tr w14:paraId="5736F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jc w:val="center"/>
        </w:trPr>
        <w:tc>
          <w:tcPr>
            <w:tcW w:w="764" w:type="dxa"/>
            <w:noWrap/>
            <w:vAlign w:val="center"/>
          </w:tcPr>
          <w:p w14:paraId="7D65EE8C">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default" w:ascii="宋体" w:hAnsi="宋体" w:eastAsia="宋体" w:cs="宋体"/>
                <w:sz w:val="24"/>
                <w:szCs w:val="24"/>
                <w:lang w:val="en-US" w:eastAsia="zh-CN"/>
              </w:rPr>
            </w:pPr>
            <w:r>
              <w:rPr>
                <w:rFonts w:hint="eastAsia" w:cs="宋体"/>
                <w:sz w:val="24"/>
                <w:szCs w:val="24"/>
                <w:lang w:val="en-US" w:eastAsia="zh-CN"/>
              </w:rPr>
              <w:t>3</w:t>
            </w:r>
          </w:p>
        </w:tc>
        <w:tc>
          <w:tcPr>
            <w:tcW w:w="1649" w:type="dxa"/>
            <w:noWrap/>
            <w:vAlign w:val="center"/>
          </w:tcPr>
          <w:p w14:paraId="34A2ECD6">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人员技术</w:t>
            </w:r>
          </w:p>
          <w:p w14:paraId="34288D26">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力量</w:t>
            </w:r>
          </w:p>
        </w:tc>
        <w:tc>
          <w:tcPr>
            <w:tcW w:w="7392" w:type="dxa"/>
            <w:noWrap/>
            <w:vAlign w:val="center"/>
          </w:tcPr>
          <w:p w14:paraId="37E20452">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项目负责人及其他技术人员配备：包括</w:t>
            </w:r>
            <w:r>
              <w:rPr>
                <w:rFonts w:hint="eastAsia" w:ascii="宋体" w:hAnsi="宋体" w:eastAsia="宋体" w:cs="宋体"/>
                <w:sz w:val="24"/>
                <w:szCs w:val="24"/>
              </w:rPr>
              <w:t>人员</w:t>
            </w:r>
            <w:r>
              <w:rPr>
                <w:rFonts w:hint="eastAsia" w:ascii="宋体" w:hAnsi="宋体" w:eastAsia="宋体" w:cs="宋体"/>
                <w:sz w:val="24"/>
                <w:szCs w:val="24"/>
                <w:lang w:eastAsia="zh-CN"/>
              </w:rPr>
              <w:t>数量</w:t>
            </w:r>
            <w:r>
              <w:rPr>
                <w:rFonts w:hint="eastAsia" w:ascii="宋体" w:hAnsi="宋体" w:eastAsia="宋体" w:cs="宋体"/>
                <w:sz w:val="24"/>
                <w:szCs w:val="24"/>
              </w:rPr>
              <w:t>、</w:t>
            </w:r>
            <w:r>
              <w:rPr>
                <w:rFonts w:hint="eastAsia" w:ascii="宋体" w:hAnsi="宋体" w:eastAsia="宋体" w:cs="宋体"/>
                <w:sz w:val="24"/>
                <w:szCs w:val="24"/>
                <w:lang w:eastAsia="zh-CN"/>
              </w:rPr>
              <w:t>配置合理性、技术</w:t>
            </w:r>
            <w:r>
              <w:rPr>
                <w:rFonts w:hint="eastAsia" w:ascii="宋体" w:hAnsi="宋体" w:eastAsia="宋体" w:cs="宋体"/>
                <w:sz w:val="24"/>
                <w:szCs w:val="24"/>
              </w:rPr>
              <w:t>工种</w:t>
            </w:r>
            <w:r>
              <w:rPr>
                <w:rFonts w:hint="eastAsia" w:ascii="宋体" w:hAnsi="宋体" w:eastAsia="宋体" w:cs="宋体"/>
                <w:sz w:val="24"/>
                <w:szCs w:val="24"/>
                <w:lang w:eastAsia="zh-CN"/>
              </w:rPr>
              <w:t>、分工及岗位设置</w:t>
            </w:r>
            <w:r>
              <w:rPr>
                <w:rFonts w:hint="eastAsia" w:ascii="宋体" w:hAnsi="宋体" w:eastAsia="宋体" w:cs="宋体"/>
                <w:sz w:val="24"/>
                <w:szCs w:val="24"/>
              </w:rPr>
              <w:t>、</w:t>
            </w:r>
            <w:r>
              <w:rPr>
                <w:rFonts w:hint="eastAsia" w:ascii="宋体" w:hAnsi="宋体" w:eastAsia="宋体" w:cs="宋体"/>
                <w:sz w:val="24"/>
                <w:szCs w:val="24"/>
                <w:lang w:eastAsia="zh-CN"/>
              </w:rPr>
              <w:t>工作</w:t>
            </w:r>
            <w:r>
              <w:rPr>
                <w:rFonts w:hint="eastAsia" w:ascii="宋体" w:hAnsi="宋体" w:eastAsia="宋体" w:cs="宋体"/>
                <w:sz w:val="24"/>
                <w:szCs w:val="24"/>
              </w:rPr>
              <w:t>经验</w:t>
            </w:r>
            <w:r>
              <w:rPr>
                <w:rFonts w:hint="eastAsia" w:ascii="宋体" w:hAnsi="宋体" w:eastAsia="宋体" w:cs="宋体"/>
                <w:sz w:val="24"/>
                <w:szCs w:val="24"/>
                <w:lang w:eastAsia="zh-CN"/>
              </w:rPr>
              <w:t>等内容。</w:t>
            </w:r>
          </w:p>
          <w:p w14:paraId="5D5B6852">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（评分范围：0，1，2，3，4，5</w:t>
            </w:r>
            <w:r>
              <w:rPr>
                <w:rFonts w:hint="eastAsia" w:cs="宋体"/>
                <w:sz w:val="24"/>
                <w:szCs w:val="24"/>
                <w:lang w:val="en-US" w:eastAsia="zh-CN"/>
              </w:rPr>
              <w:t>，6</w:t>
            </w:r>
            <w:r>
              <w:rPr>
                <w:rFonts w:hint="eastAsia" w:ascii="宋体" w:hAnsi="宋体" w:eastAsia="宋体" w:cs="宋体"/>
                <w:sz w:val="24"/>
                <w:szCs w:val="24"/>
                <w:lang w:val="en-US" w:eastAsia="zh-CN"/>
              </w:rPr>
              <w:t>）</w:t>
            </w:r>
          </w:p>
          <w:p w14:paraId="2D3A90E0">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u w:val="single"/>
                <w:lang w:eastAsia="zh-CN"/>
              </w:rPr>
              <w:t>注：</w:t>
            </w:r>
            <w:r>
              <w:rPr>
                <w:rFonts w:hint="eastAsia" w:ascii="宋体" w:hAnsi="宋体" w:eastAsia="宋体" w:cs="宋体"/>
                <w:b/>
                <w:bCs/>
                <w:sz w:val="24"/>
                <w:szCs w:val="24"/>
                <w:u w:val="single"/>
              </w:rPr>
              <w:t>提供</w:t>
            </w:r>
            <w:r>
              <w:rPr>
                <w:rFonts w:hint="eastAsia" w:ascii="宋体" w:hAnsi="宋体" w:eastAsia="宋体" w:cs="宋体"/>
                <w:b/>
                <w:bCs/>
                <w:sz w:val="24"/>
                <w:szCs w:val="24"/>
                <w:u w:val="single"/>
                <w:lang w:eastAsia="zh-CN"/>
              </w:rPr>
              <w:t>拟</w:t>
            </w:r>
            <w:r>
              <w:rPr>
                <w:rFonts w:hint="eastAsia" w:ascii="宋体" w:hAnsi="宋体" w:eastAsia="宋体" w:cs="宋体"/>
                <w:b/>
                <w:bCs/>
                <w:sz w:val="24"/>
                <w:szCs w:val="24"/>
                <w:u w:val="single"/>
              </w:rPr>
              <w:t>投入本项目</w:t>
            </w:r>
            <w:r>
              <w:rPr>
                <w:rFonts w:hint="eastAsia" w:ascii="宋体" w:hAnsi="宋体" w:eastAsia="宋体" w:cs="宋体"/>
                <w:b/>
                <w:bCs/>
                <w:sz w:val="24"/>
                <w:szCs w:val="24"/>
                <w:u w:val="single"/>
                <w:lang w:eastAsia="zh-CN"/>
              </w:rPr>
              <w:t>团队</w:t>
            </w:r>
            <w:r>
              <w:rPr>
                <w:rFonts w:hint="eastAsia" w:ascii="宋体" w:hAnsi="宋体" w:eastAsia="宋体" w:cs="宋体"/>
                <w:b/>
                <w:bCs/>
                <w:sz w:val="24"/>
                <w:szCs w:val="24"/>
                <w:u w:val="single"/>
              </w:rPr>
              <w:t>人员名单、相关证</w:t>
            </w:r>
            <w:r>
              <w:rPr>
                <w:rFonts w:hint="eastAsia" w:ascii="宋体" w:hAnsi="宋体" w:eastAsia="宋体" w:cs="宋体"/>
                <w:b/>
                <w:bCs/>
                <w:sz w:val="24"/>
                <w:szCs w:val="24"/>
                <w:u w:val="single"/>
                <w:lang w:eastAsia="zh-CN"/>
              </w:rPr>
              <w:t>明材料</w:t>
            </w:r>
            <w:r>
              <w:rPr>
                <w:rFonts w:hint="eastAsia" w:ascii="宋体" w:hAnsi="宋体" w:eastAsia="宋体" w:cs="宋体"/>
                <w:b/>
                <w:bCs/>
                <w:sz w:val="24"/>
                <w:szCs w:val="24"/>
                <w:u w:val="single"/>
              </w:rPr>
              <w:t>及近三个月内任意一个月</w:t>
            </w:r>
            <w:r>
              <w:rPr>
                <w:rFonts w:hint="eastAsia" w:ascii="宋体" w:hAnsi="宋体" w:eastAsia="宋体" w:cs="宋体"/>
                <w:b/>
                <w:bCs/>
                <w:sz w:val="24"/>
                <w:szCs w:val="24"/>
                <w:u w:val="single"/>
                <w:lang w:eastAsia="zh-CN"/>
              </w:rPr>
              <w:t>由投标单位</w:t>
            </w:r>
            <w:r>
              <w:rPr>
                <w:rFonts w:hint="eastAsia" w:ascii="宋体" w:hAnsi="宋体" w:eastAsia="宋体" w:cs="宋体"/>
                <w:b/>
                <w:bCs/>
                <w:sz w:val="24"/>
                <w:szCs w:val="24"/>
                <w:u w:val="single"/>
              </w:rPr>
              <w:t>缴纳</w:t>
            </w:r>
            <w:r>
              <w:rPr>
                <w:rFonts w:hint="eastAsia" w:ascii="宋体" w:hAnsi="宋体" w:eastAsia="宋体" w:cs="宋体"/>
                <w:b/>
                <w:bCs/>
                <w:sz w:val="24"/>
                <w:szCs w:val="24"/>
                <w:u w:val="single"/>
                <w:lang w:eastAsia="zh-CN"/>
              </w:rPr>
              <w:t>的社保</w:t>
            </w:r>
            <w:r>
              <w:rPr>
                <w:rFonts w:hint="eastAsia" w:ascii="宋体" w:hAnsi="宋体" w:eastAsia="宋体" w:cs="宋体"/>
                <w:b/>
                <w:bCs/>
                <w:sz w:val="24"/>
                <w:szCs w:val="24"/>
                <w:u w:val="single"/>
              </w:rPr>
              <w:t>证明。</w:t>
            </w:r>
          </w:p>
        </w:tc>
        <w:tc>
          <w:tcPr>
            <w:tcW w:w="761" w:type="dxa"/>
            <w:noWrap/>
            <w:vAlign w:val="center"/>
          </w:tcPr>
          <w:p w14:paraId="19EB88DE">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cs="宋体"/>
                <w:sz w:val="24"/>
                <w:szCs w:val="24"/>
                <w:lang w:val="en-US" w:eastAsia="zh-CN"/>
              </w:rPr>
              <w:t>6</w:t>
            </w:r>
            <w:r>
              <w:rPr>
                <w:rFonts w:hint="eastAsia" w:ascii="宋体" w:hAnsi="宋体" w:eastAsia="宋体" w:cs="宋体"/>
                <w:sz w:val="24"/>
                <w:szCs w:val="24"/>
                <w:lang w:val="en-US" w:eastAsia="zh-CN"/>
              </w:rPr>
              <w:t>分</w:t>
            </w:r>
          </w:p>
        </w:tc>
      </w:tr>
      <w:tr w14:paraId="2E6AC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64" w:type="dxa"/>
            <w:noWrap/>
            <w:vAlign w:val="center"/>
          </w:tcPr>
          <w:p w14:paraId="109F58D5">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649" w:type="dxa"/>
            <w:noWrap/>
            <w:vAlign w:val="center"/>
          </w:tcPr>
          <w:p w14:paraId="04800C07">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产品竞争力</w:t>
            </w:r>
          </w:p>
        </w:tc>
        <w:tc>
          <w:tcPr>
            <w:tcW w:w="7392" w:type="dxa"/>
            <w:noWrap/>
            <w:vAlign w:val="center"/>
          </w:tcPr>
          <w:p w14:paraId="45FBEC3F">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textAlignment w:val="auto"/>
              <w:rPr>
                <w:rFonts w:hint="eastAsia" w:ascii="宋体" w:hAnsi="宋体" w:eastAsia="宋体" w:cs="宋体"/>
                <w:b/>
                <w:bCs/>
                <w:sz w:val="24"/>
                <w:szCs w:val="24"/>
                <w:u w:val="single"/>
                <w:lang w:eastAsia="zh-CN"/>
              </w:rPr>
            </w:pPr>
            <w:r>
              <w:rPr>
                <w:rFonts w:hint="eastAsia" w:ascii="宋体" w:hAnsi="宋体" w:eastAsia="宋体" w:cs="宋体"/>
                <w:sz w:val="24"/>
                <w:lang w:eastAsia="zh-CN"/>
              </w:rPr>
              <w:t>对</w:t>
            </w:r>
            <w:r>
              <w:rPr>
                <w:rFonts w:hint="eastAsia" w:ascii="宋体" w:hAnsi="宋体" w:eastAsia="宋体" w:cs="宋体"/>
                <w:sz w:val="24"/>
              </w:rPr>
              <w:t>投</w:t>
            </w:r>
            <w:r>
              <w:rPr>
                <w:rFonts w:hint="eastAsia" w:ascii="宋体" w:hAnsi="宋体" w:eastAsia="宋体" w:cs="宋体"/>
                <w:sz w:val="24"/>
                <w:lang w:eastAsia="zh-CN"/>
              </w:rPr>
              <w:t>标</w:t>
            </w:r>
            <w:r>
              <w:rPr>
                <w:rFonts w:hint="eastAsia" w:ascii="宋体" w:hAnsi="宋体" w:eastAsia="宋体" w:cs="宋体"/>
                <w:sz w:val="24"/>
              </w:rPr>
              <w:t>产品</w:t>
            </w:r>
            <w:r>
              <w:rPr>
                <w:rFonts w:hint="eastAsia" w:ascii="宋体" w:hAnsi="宋体" w:eastAsia="宋体" w:cs="宋体"/>
                <w:sz w:val="24"/>
                <w:lang w:eastAsia="zh-CN"/>
              </w:rPr>
              <w:t>的综合</w:t>
            </w:r>
            <w:r>
              <w:rPr>
                <w:rFonts w:hint="eastAsia" w:ascii="宋体" w:hAnsi="宋体" w:eastAsia="宋体" w:cs="宋体"/>
                <w:sz w:val="24"/>
              </w:rPr>
              <w:t>竞争力进行评分</w:t>
            </w:r>
            <w:r>
              <w:rPr>
                <w:rFonts w:hint="eastAsia" w:ascii="宋体" w:hAnsi="宋体" w:eastAsia="宋体" w:cs="宋体"/>
                <w:sz w:val="24"/>
                <w:lang w:eastAsia="zh-CN"/>
              </w:rPr>
              <w:t>：包括</w:t>
            </w:r>
            <w:r>
              <w:rPr>
                <w:rFonts w:hint="eastAsia" w:ascii="宋体" w:hAnsi="宋体" w:eastAsia="宋体" w:cs="宋体"/>
                <w:color w:val="000000"/>
                <w:sz w:val="24"/>
              </w:rPr>
              <w:t>产品</w:t>
            </w:r>
            <w:r>
              <w:rPr>
                <w:rFonts w:hint="eastAsia" w:ascii="宋体" w:hAnsi="宋体" w:eastAsia="宋体" w:cs="宋体"/>
                <w:color w:val="000000"/>
                <w:sz w:val="24"/>
                <w:lang w:eastAsia="zh-CN"/>
              </w:rPr>
              <w:t>的</w:t>
            </w:r>
            <w:r>
              <w:rPr>
                <w:rFonts w:hint="eastAsia" w:ascii="宋体" w:hAnsi="宋体" w:eastAsia="宋体" w:cs="宋体"/>
                <w:color w:val="000000"/>
                <w:sz w:val="24"/>
              </w:rPr>
              <w:t>科学性、先进性、环保性、知名度、质量等方面</w:t>
            </w:r>
            <w:r>
              <w:rPr>
                <w:rFonts w:hint="eastAsia" w:ascii="宋体" w:hAnsi="宋体" w:eastAsia="宋体" w:cs="宋体"/>
                <w:color w:val="000000"/>
                <w:sz w:val="24"/>
                <w:lang w:eastAsia="zh-CN"/>
              </w:rPr>
              <w:t>。</w:t>
            </w:r>
            <w:r>
              <w:rPr>
                <w:rFonts w:hint="eastAsia" w:ascii="宋体" w:hAnsi="宋体" w:eastAsia="宋体" w:cs="宋体"/>
                <w:sz w:val="24"/>
                <w:szCs w:val="24"/>
                <w:lang w:val="en-US" w:eastAsia="zh-CN"/>
              </w:rPr>
              <w:t>（评分范围：0，1，2，3，4）</w:t>
            </w:r>
          </w:p>
        </w:tc>
        <w:tc>
          <w:tcPr>
            <w:tcW w:w="761" w:type="dxa"/>
            <w:noWrap/>
            <w:vAlign w:val="center"/>
          </w:tcPr>
          <w:p w14:paraId="3CF82AF6">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4分</w:t>
            </w:r>
          </w:p>
        </w:tc>
      </w:tr>
      <w:tr w14:paraId="12BED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764" w:type="dxa"/>
            <w:noWrap/>
            <w:vAlign w:val="center"/>
          </w:tcPr>
          <w:p w14:paraId="412CDCFE">
            <w:pPr>
              <w:keepNext w:val="0"/>
              <w:keepLines w:val="0"/>
              <w:pageBreakBefore w:val="0"/>
              <w:widowControl/>
              <w:kinsoku/>
              <w:wordWrap/>
              <w:overflowPunct/>
              <w:topLinePunct w:val="0"/>
              <w:autoSpaceDE/>
              <w:autoSpaceDN/>
              <w:bidi w:val="0"/>
              <w:adjustRightInd/>
              <w:snapToGrid/>
              <w:spacing w:line="380" w:lineRule="exact"/>
              <w:ind w:left="0" w:leftChars="0" w:firstLine="0" w:firstLineChars="0"/>
              <w:jc w:val="center"/>
              <w:textAlignment w:val="auto"/>
              <w:rPr>
                <w:rFonts w:hint="default" w:ascii="宋体" w:hAnsi="宋体" w:eastAsia="宋体"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5</w:t>
            </w:r>
          </w:p>
        </w:tc>
        <w:tc>
          <w:tcPr>
            <w:tcW w:w="1649" w:type="dxa"/>
            <w:noWrap/>
            <w:vAlign w:val="center"/>
          </w:tcPr>
          <w:p w14:paraId="1668C6D3">
            <w:pPr>
              <w:keepNext w:val="0"/>
              <w:keepLines w:val="0"/>
              <w:pageBreakBefore w:val="0"/>
              <w:widowControl/>
              <w:kinsoku/>
              <w:wordWrap/>
              <w:overflowPunct/>
              <w:topLinePunct w:val="0"/>
              <w:autoSpaceDE/>
              <w:autoSpaceDN/>
              <w:bidi w:val="0"/>
              <w:adjustRightInd/>
              <w:snapToGrid/>
              <w:spacing w:line="380" w:lineRule="exact"/>
              <w:ind w:left="0" w:leftChars="0" w:firstLine="0" w:firstLineChars="0"/>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优惠承诺</w:t>
            </w:r>
          </w:p>
        </w:tc>
        <w:tc>
          <w:tcPr>
            <w:tcW w:w="7392" w:type="dxa"/>
            <w:noWrap/>
            <w:vAlign w:val="center"/>
          </w:tcPr>
          <w:p w14:paraId="3C552EA8">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投标人</w:t>
            </w:r>
            <w:r>
              <w:rPr>
                <w:rFonts w:hint="eastAsia" w:cs="宋体"/>
                <w:sz w:val="24"/>
                <w:szCs w:val="24"/>
                <w:lang w:eastAsia="zh-CN"/>
              </w:rPr>
              <w:t>在满足采购文件服务要求的基础上，提供额外的实质性优惠承诺，每提供一项有效的实质性优惠承诺得</w:t>
            </w:r>
            <w:r>
              <w:rPr>
                <w:rFonts w:hint="eastAsia" w:cs="宋体"/>
                <w:sz w:val="24"/>
                <w:szCs w:val="24"/>
                <w:lang w:val="en-US" w:eastAsia="zh-CN"/>
              </w:rPr>
              <w:t>1分，最多得2分</w:t>
            </w:r>
            <w:r>
              <w:rPr>
                <w:rFonts w:hint="eastAsia" w:ascii="宋体" w:hAnsi="宋体" w:eastAsia="宋体" w:cs="宋体"/>
                <w:sz w:val="24"/>
                <w:szCs w:val="24"/>
                <w:lang w:val="en-US" w:eastAsia="zh-CN"/>
              </w:rPr>
              <w:t>。</w:t>
            </w:r>
          </w:p>
          <w:p w14:paraId="73996DF4">
            <w:pPr>
              <w:keepNext w:val="0"/>
              <w:keepLines w:val="0"/>
              <w:pageBreakBefore w:val="0"/>
              <w:kinsoku/>
              <w:wordWrap/>
              <w:overflowPunct/>
              <w:topLinePunct w:val="0"/>
              <w:autoSpaceDE/>
              <w:autoSpaceDN/>
              <w:bidi w:val="0"/>
              <w:adjustRightInd/>
              <w:snapToGrid/>
              <w:spacing w:line="380" w:lineRule="exact"/>
              <w:ind w:left="0" w:leftChars="0" w:firstLine="0" w:firstLineChars="0"/>
              <w:textAlignment w:val="auto"/>
              <w:rPr>
                <w:rFonts w:hint="eastAsia" w:ascii="宋体" w:hAnsi="宋体" w:eastAsia="宋体" w:cs="宋体"/>
                <w:color w:val="auto"/>
                <w:szCs w:val="24"/>
                <w:lang w:val="en-US" w:eastAsia="zh-CN"/>
              </w:rPr>
            </w:pPr>
            <w:r>
              <w:rPr>
                <w:rFonts w:hint="eastAsia"/>
                <w:b/>
                <w:bCs/>
                <w:u w:val="single"/>
                <w:lang w:val="en-US" w:eastAsia="zh-CN"/>
              </w:rPr>
              <w:t>注：优惠承诺须经评标委员会成员一致认可方为有效。</w:t>
            </w:r>
          </w:p>
        </w:tc>
        <w:tc>
          <w:tcPr>
            <w:tcW w:w="761" w:type="dxa"/>
            <w:noWrap/>
            <w:vAlign w:val="center"/>
          </w:tcPr>
          <w:p w14:paraId="6F14192C">
            <w:pPr>
              <w:pStyle w:val="205"/>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2分</w:t>
            </w:r>
          </w:p>
        </w:tc>
      </w:tr>
      <w:tr w14:paraId="1567C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566" w:type="dxa"/>
            <w:gridSpan w:val="4"/>
            <w:noWrap/>
            <w:vAlign w:val="center"/>
          </w:tcPr>
          <w:p w14:paraId="360FAB4E">
            <w:pPr>
              <w:pStyle w:val="205"/>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cs="宋体"/>
                <w:b/>
                <w:bCs/>
                <w:color w:val="auto"/>
                <w:sz w:val="24"/>
                <w:szCs w:val="24"/>
                <w:highlight w:val="none"/>
                <w:lang w:val="en-US" w:eastAsia="zh-CN"/>
              </w:rPr>
              <w:t>商务及资信分（17分）</w:t>
            </w:r>
          </w:p>
        </w:tc>
      </w:tr>
      <w:tr w14:paraId="35A42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764" w:type="dxa"/>
            <w:noWrap/>
            <w:vAlign w:val="center"/>
          </w:tcPr>
          <w:p w14:paraId="4640A249">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default" w:ascii="宋体" w:hAnsi="宋体" w:eastAsia="宋体"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6</w:t>
            </w:r>
          </w:p>
        </w:tc>
        <w:tc>
          <w:tcPr>
            <w:tcW w:w="1649" w:type="dxa"/>
            <w:noWrap/>
            <w:vAlign w:val="center"/>
          </w:tcPr>
          <w:p w14:paraId="31652D25">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宋体" w:hAnsi="宋体" w:eastAsia="宋体" w:cs="宋体"/>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类似</w:t>
            </w:r>
            <w:r>
              <w:rPr>
                <w:rFonts w:hint="eastAsia" w:asciiTheme="minorEastAsia" w:hAnsiTheme="minorEastAsia" w:eastAsiaTheme="minorEastAsia" w:cstheme="minorEastAsia"/>
                <w:b w:val="0"/>
                <w:bCs w:val="0"/>
                <w:color w:val="auto"/>
                <w:sz w:val="24"/>
                <w:szCs w:val="24"/>
                <w:highlight w:val="none"/>
              </w:rPr>
              <w:t>业绩</w:t>
            </w:r>
          </w:p>
        </w:tc>
        <w:tc>
          <w:tcPr>
            <w:tcW w:w="7392" w:type="dxa"/>
            <w:noWrap/>
            <w:vAlign w:val="center"/>
          </w:tcPr>
          <w:p w14:paraId="612FF4FE">
            <w:pPr>
              <w:pStyle w:val="8"/>
              <w:keepNext w:val="0"/>
              <w:keepLines w:val="0"/>
              <w:pageBreakBefore w:val="0"/>
              <w:widowControl w:val="0"/>
              <w:kinsoku/>
              <w:wordWrap/>
              <w:overflowPunct/>
              <w:topLinePunct w:val="0"/>
              <w:autoSpaceDE/>
              <w:autoSpaceDN/>
              <w:bidi w:val="0"/>
              <w:adjustRightInd/>
              <w:snapToGrid/>
              <w:spacing w:line="380" w:lineRule="exact"/>
              <w:ind w:firstLine="0"/>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lang w:eastAsia="zh-CN"/>
              </w:rPr>
              <w:t>投标人</w:t>
            </w:r>
            <w:r>
              <w:rPr>
                <w:rFonts w:hint="eastAsia" w:asciiTheme="minorEastAsia" w:hAnsiTheme="minorEastAsia" w:eastAsiaTheme="minorEastAsia" w:cstheme="minorEastAsia"/>
                <w:color w:val="auto"/>
                <w:kern w:val="2"/>
                <w:sz w:val="24"/>
                <w:szCs w:val="24"/>
                <w:highlight w:val="none"/>
              </w:rPr>
              <w:t>自20</w:t>
            </w:r>
            <w:r>
              <w:rPr>
                <w:rFonts w:hint="eastAsia" w:asciiTheme="minorEastAsia" w:hAnsiTheme="minorEastAsia" w:eastAsiaTheme="minorEastAsia" w:cstheme="minorEastAsia"/>
                <w:color w:val="auto"/>
                <w:kern w:val="2"/>
                <w:sz w:val="24"/>
                <w:szCs w:val="24"/>
                <w:highlight w:val="none"/>
                <w:lang w:val="en-US"/>
              </w:rPr>
              <w:t>2</w:t>
            </w:r>
            <w:r>
              <w:rPr>
                <w:rFonts w:hint="eastAsia" w:asciiTheme="minorEastAsia" w:hAnsiTheme="minorEastAsia" w:eastAsiaTheme="minorEastAsia" w:cstheme="minorEastAsia"/>
                <w:color w:val="auto"/>
                <w:kern w:val="2"/>
                <w:sz w:val="24"/>
                <w:szCs w:val="24"/>
                <w:highlight w:val="none"/>
                <w:lang w:val="en-US" w:eastAsia="zh-CN"/>
              </w:rPr>
              <w:t>2</w:t>
            </w:r>
            <w:r>
              <w:rPr>
                <w:rFonts w:hint="eastAsia" w:asciiTheme="minorEastAsia" w:hAnsiTheme="minorEastAsia" w:eastAsiaTheme="minorEastAsia" w:cstheme="minorEastAsia"/>
                <w:color w:val="auto"/>
                <w:kern w:val="2"/>
                <w:sz w:val="24"/>
                <w:szCs w:val="24"/>
                <w:highlight w:val="none"/>
              </w:rPr>
              <w:t>年1月1日以来（以合同签订时间为准）</w:t>
            </w:r>
            <w:r>
              <w:rPr>
                <w:rFonts w:hint="eastAsia" w:asciiTheme="minorEastAsia" w:hAnsiTheme="minorEastAsia" w:eastAsiaTheme="minorEastAsia" w:cstheme="minorEastAsia"/>
                <w:color w:val="auto"/>
                <w:kern w:val="2"/>
                <w:sz w:val="24"/>
                <w:szCs w:val="24"/>
                <w:highlight w:val="none"/>
                <w:lang w:val="en-US" w:eastAsia="zh-CN"/>
              </w:rPr>
              <w:t>承接过</w:t>
            </w:r>
            <w:r>
              <w:rPr>
                <w:rFonts w:hint="eastAsia" w:asciiTheme="minorEastAsia" w:hAnsiTheme="minorEastAsia" w:eastAsiaTheme="minorEastAsia" w:cstheme="minorEastAsia"/>
                <w:color w:val="auto"/>
                <w:kern w:val="2"/>
                <w:sz w:val="24"/>
                <w:szCs w:val="24"/>
                <w:highlight w:val="none"/>
              </w:rPr>
              <w:t>的</w:t>
            </w:r>
            <w:r>
              <w:rPr>
                <w:rFonts w:hint="eastAsia" w:asciiTheme="minorEastAsia" w:hAnsiTheme="minorEastAsia" w:eastAsiaTheme="minorEastAsia" w:cstheme="minorEastAsia"/>
                <w:color w:val="auto"/>
                <w:kern w:val="2"/>
                <w:sz w:val="24"/>
                <w:szCs w:val="24"/>
                <w:highlight w:val="none"/>
                <w:lang w:val="en-US" w:eastAsia="zh-CN"/>
              </w:rPr>
              <w:t>类似项目业绩（体育器材类）</w:t>
            </w:r>
            <w:r>
              <w:rPr>
                <w:rFonts w:hint="eastAsia" w:asciiTheme="minorEastAsia" w:hAnsiTheme="minorEastAsia" w:eastAsiaTheme="minorEastAsia" w:cstheme="minorEastAsia"/>
                <w:color w:val="auto"/>
                <w:kern w:val="2"/>
                <w:sz w:val="24"/>
                <w:szCs w:val="24"/>
                <w:highlight w:val="none"/>
              </w:rPr>
              <w:t>，每提供一个</w:t>
            </w:r>
            <w:r>
              <w:rPr>
                <w:rFonts w:hint="eastAsia" w:asciiTheme="minorEastAsia" w:hAnsiTheme="minorEastAsia" w:eastAsiaTheme="minorEastAsia" w:cstheme="minorEastAsia"/>
                <w:color w:val="auto"/>
                <w:kern w:val="2"/>
                <w:sz w:val="24"/>
                <w:szCs w:val="24"/>
                <w:highlight w:val="none"/>
                <w:lang w:eastAsia="zh-CN"/>
              </w:rPr>
              <w:t>业绩</w:t>
            </w:r>
            <w:r>
              <w:rPr>
                <w:rFonts w:hint="eastAsia" w:asciiTheme="minorEastAsia" w:hAnsiTheme="minorEastAsia" w:eastAsiaTheme="minorEastAsia" w:cstheme="minorEastAsia"/>
                <w:color w:val="auto"/>
                <w:kern w:val="2"/>
                <w:sz w:val="24"/>
                <w:szCs w:val="24"/>
                <w:highlight w:val="none"/>
              </w:rPr>
              <w:t>得1分，最高得</w:t>
            </w:r>
            <w:r>
              <w:rPr>
                <w:rFonts w:hint="eastAsia" w:asciiTheme="minorEastAsia" w:hAnsiTheme="minorEastAsia" w:eastAsiaTheme="minorEastAsia" w:cstheme="minorEastAsia"/>
                <w:color w:val="auto"/>
                <w:kern w:val="2"/>
                <w:sz w:val="24"/>
                <w:szCs w:val="24"/>
                <w:highlight w:val="none"/>
                <w:lang w:val="en-US" w:eastAsia="zh-CN"/>
              </w:rPr>
              <w:t>3</w:t>
            </w:r>
            <w:r>
              <w:rPr>
                <w:rFonts w:hint="eastAsia" w:asciiTheme="minorEastAsia" w:hAnsiTheme="minorEastAsia" w:eastAsiaTheme="minorEastAsia" w:cstheme="minorEastAsia"/>
                <w:color w:val="auto"/>
                <w:kern w:val="2"/>
                <w:sz w:val="24"/>
                <w:szCs w:val="24"/>
                <w:highlight w:val="none"/>
              </w:rPr>
              <w:t>分。</w:t>
            </w:r>
          </w:p>
          <w:p w14:paraId="7AA6B1E2">
            <w:pPr>
              <w:pStyle w:val="8"/>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b/>
                <w:bCs/>
                <w:u w:val="single"/>
                <w:lang w:val="en-US" w:eastAsia="zh-CN"/>
              </w:rPr>
            </w:pPr>
            <w:r>
              <w:rPr>
                <w:rFonts w:hint="eastAsia" w:asciiTheme="minorEastAsia" w:hAnsiTheme="minorEastAsia" w:eastAsiaTheme="minorEastAsia" w:cstheme="minorEastAsia"/>
                <w:b/>
                <w:bCs/>
                <w:color w:val="auto"/>
                <w:kern w:val="2"/>
                <w:sz w:val="24"/>
                <w:szCs w:val="24"/>
                <w:highlight w:val="none"/>
                <w:u w:val="single"/>
              </w:rPr>
              <w:t>注：提供</w:t>
            </w:r>
            <w:r>
              <w:rPr>
                <w:rFonts w:hint="eastAsia" w:asciiTheme="minorEastAsia" w:hAnsiTheme="minorEastAsia" w:eastAsiaTheme="minorEastAsia" w:cstheme="minorEastAsia"/>
                <w:b/>
                <w:bCs/>
                <w:color w:val="auto"/>
                <w:kern w:val="2"/>
                <w:sz w:val="24"/>
                <w:szCs w:val="24"/>
                <w:highlight w:val="none"/>
                <w:u w:val="single"/>
                <w:lang w:eastAsia="zh-CN"/>
              </w:rPr>
              <w:t>完整</w:t>
            </w:r>
            <w:r>
              <w:rPr>
                <w:rFonts w:hint="eastAsia" w:asciiTheme="minorEastAsia" w:hAnsiTheme="minorEastAsia" w:eastAsiaTheme="minorEastAsia" w:cstheme="minorEastAsia"/>
                <w:b/>
                <w:bCs/>
                <w:color w:val="auto"/>
                <w:kern w:val="2"/>
                <w:sz w:val="24"/>
                <w:szCs w:val="24"/>
                <w:highlight w:val="none"/>
                <w:u w:val="single"/>
              </w:rPr>
              <w:t>合同扫描件</w:t>
            </w:r>
            <w:r>
              <w:rPr>
                <w:rFonts w:hint="eastAsia" w:asciiTheme="minorEastAsia" w:hAnsiTheme="minorEastAsia" w:eastAsiaTheme="minorEastAsia" w:cstheme="minorEastAsia"/>
                <w:b/>
                <w:bCs/>
                <w:color w:val="auto"/>
                <w:kern w:val="2"/>
                <w:sz w:val="24"/>
                <w:szCs w:val="24"/>
                <w:highlight w:val="none"/>
                <w:u w:val="single"/>
                <w:lang w:val="en-US" w:eastAsia="zh-CN"/>
              </w:rPr>
              <w:t>或清晰的复印件并</w:t>
            </w:r>
            <w:r>
              <w:rPr>
                <w:rFonts w:hint="eastAsia" w:asciiTheme="minorEastAsia" w:hAnsiTheme="minorEastAsia" w:eastAsiaTheme="minorEastAsia" w:cstheme="minorEastAsia"/>
                <w:b/>
                <w:bCs/>
                <w:color w:val="auto"/>
                <w:kern w:val="2"/>
                <w:sz w:val="24"/>
                <w:szCs w:val="24"/>
                <w:highlight w:val="none"/>
                <w:u w:val="single"/>
              </w:rPr>
              <w:t>加盖公章，未提供不得分。</w:t>
            </w:r>
          </w:p>
        </w:tc>
        <w:tc>
          <w:tcPr>
            <w:tcW w:w="761" w:type="dxa"/>
            <w:noWrap/>
            <w:vAlign w:val="center"/>
          </w:tcPr>
          <w:p w14:paraId="2EDF2556">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3分</w:t>
            </w:r>
          </w:p>
        </w:tc>
      </w:tr>
      <w:tr w14:paraId="0BC45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764" w:type="dxa"/>
            <w:noWrap/>
            <w:vAlign w:val="center"/>
          </w:tcPr>
          <w:p w14:paraId="1980B215">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default" w:ascii="宋体" w:hAnsi="宋体" w:eastAsia="宋体"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7</w:t>
            </w:r>
          </w:p>
        </w:tc>
        <w:tc>
          <w:tcPr>
            <w:tcW w:w="1649" w:type="dxa"/>
            <w:noWrap/>
            <w:vAlign w:val="center"/>
          </w:tcPr>
          <w:p w14:paraId="7812350B">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宋体" w:hAnsi="宋体" w:eastAsia="宋体" w:cs="宋体"/>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rPr>
              <w:t>企业认证</w:t>
            </w:r>
          </w:p>
        </w:tc>
        <w:tc>
          <w:tcPr>
            <w:tcW w:w="7392" w:type="dxa"/>
            <w:noWrap/>
            <w:vAlign w:val="center"/>
          </w:tcPr>
          <w:p w14:paraId="7F54886C">
            <w:pPr>
              <w:pStyle w:val="8"/>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lang w:val="en-US" w:eastAsia="zh-CN"/>
              </w:rPr>
              <w:t>1</w:t>
            </w: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rPr>
              <w:t>投标</w:t>
            </w:r>
            <w:r>
              <w:rPr>
                <w:rFonts w:hint="eastAsia" w:asciiTheme="minorEastAsia" w:hAnsiTheme="minorEastAsia" w:eastAsiaTheme="minorEastAsia" w:cstheme="minorEastAsia"/>
                <w:color w:val="auto"/>
                <w:kern w:val="2"/>
                <w:sz w:val="24"/>
                <w:szCs w:val="24"/>
                <w:highlight w:val="none"/>
                <w:lang w:eastAsia="zh-CN"/>
              </w:rPr>
              <w:t>人</w:t>
            </w:r>
            <w:r>
              <w:rPr>
                <w:rFonts w:hint="eastAsia" w:asciiTheme="minorEastAsia" w:hAnsiTheme="minorEastAsia" w:eastAsiaTheme="minorEastAsia" w:cstheme="minorEastAsia"/>
                <w:color w:val="auto"/>
                <w:kern w:val="2"/>
                <w:sz w:val="24"/>
                <w:szCs w:val="24"/>
                <w:highlight w:val="none"/>
              </w:rPr>
              <w:t>具有</w:t>
            </w:r>
            <w:r>
              <w:rPr>
                <w:rFonts w:hint="eastAsia" w:asciiTheme="minorEastAsia" w:hAnsiTheme="minorEastAsia" w:eastAsiaTheme="minorEastAsia" w:cstheme="minorEastAsia"/>
                <w:color w:val="auto"/>
                <w:kern w:val="2"/>
                <w:sz w:val="24"/>
                <w:szCs w:val="24"/>
                <w:highlight w:val="none"/>
                <w:lang w:val="en-US" w:eastAsia="zh-CN"/>
              </w:rPr>
              <w:t>有效的</w:t>
            </w:r>
            <w:r>
              <w:rPr>
                <w:rFonts w:hint="eastAsia" w:asciiTheme="minorEastAsia" w:hAnsiTheme="minorEastAsia" w:eastAsiaTheme="minorEastAsia" w:cstheme="minorEastAsia"/>
                <w:color w:val="auto"/>
                <w:kern w:val="2"/>
                <w:sz w:val="24"/>
                <w:szCs w:val="24"/>
                <w:highlight w:val="none"/>
              </w:rPr>
              <w:t>环境管理体系证书的得1分；</w:t>
            </w:r>
          </w:p>
          <w:p w14:paraId="30377690">
            <w:pPr>
              <w:pStyle w:val="8"/>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lang w:val="en-US" w:eastAsia="zh-CN"/>
              </w:rPr>
              <w:t>2</w:t>
            </w: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rPr>
              <w:t>投标</w:t>
            </w:r>
            <w:r>
              <w:rPr>
                <w:rFonts w:hint="eastAsia" w:asciiTheme="minorEastAsia" w:hAnsiTheme="minorEastAsia" w:eastAsiaTheme="minorEastAsia" w:cstheme="minorEastAsia"/>
                <w:color w:val="auto"/>
                <w:kern w:val="2"/>
                <w:sz w:val="24"/>
                <w:szCs w:val="24"/>
                <w:highlight w:val="none"/>
                <w:lang w:eastAsia="zh-CN"/>
              </w:rPr>
              <w:t>人</w:t>
            </w:r>
            <w:r>
              <w:rPr>
                <w:rFonts w:hint="eastAsia" w:asciiTheme="minorEastAsia" w:hAnsiTheme="minorEastAsia" w:eastAsiaTheme="minorEastAsia" w:cstheme="minorEastAsia"/>
                <w:color w:val="auto"/>
                <w:kern w:val="2"/>
                <w:sz w:val="24"/>
                <w:szCs w:val="24"/>
                <w:highlight w:val="none"/>
              </w:rPr>
              <w:t>具有</w:t>
            </w:r>
            <w:r>
              <w:rPr>
                <w:rFonts w:hint="eastAsia" w:asciiTheme="minorEastAsia" w:hAnsiTheme="minorEastAsia" w:eastAsiaTheme="minorEastAsia" w:cstheme="minorEastAsia"/>
                <w:color w:val="auto"/>
                <w:kern w:val="2"/>
                <w:sz w:val="24"/>
                <w:szCs w:val="24"/>
                <w:highlight w:val="none"/>
                <w:lang w:val="en-US" w:eastAsia="zh-CN"/>
              </w:rPr>
              <w:t>有效的</w:t>
            </w:r>
            <w:r>
              <w:rPr>
                <w:rFonts w:hint="eastAsia" w:asciiTheme="minorEastAsia" w:hAnsiTheme="minorEastAsia" w:eastAsiaTheme="minorEastAsia" w:cstheme="minorEastAsia"/>
                <w:color w:val="auto"/>
                <w:kern w:val="2"/>
                <w:sz w:val="24"/>
                <w:szCs w:val="24"/>
                <w:highlight w:val="none"/>
              </w:rPr>
              <w:t>质量管理体系证书的得1分；</w:t>
            </w:r>
          </w:p>
          <w:p w14:paraId="74960678">
            <w:pPr>
              <w:pStyle w:val="8"/>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lang w:val="en-US" w:eastAsia="zh-CN"/>
              </w:rPr>
              <w:t>3</w:t>
            </w: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rPr>
              <w:t>投标</w:t>
            </w:r>
            <w:r>
              <w:rPr>
                <w:rFonts w:hint="eastAsia" w:asciiTheme="minorEastAsia" w:hAnsiTheme="minorEastAsia" w:eastAsiaTheme="minorEastAsia" w:cstheme="minorEastAsia"/>
                <w:color w:val="auto"/>
                <w:kern w:val="2"/>
                <w:sz w:val="24"/>
                <w:szCs w:val="24"/>
                <w:highlight w:val="none"/>
                <w:lang w:eastAsia="zh-CN"/>
              </w:rPr>
              <w:t>人</w:t>
            </w:r>
            <w:r>
              <w:rPr>
                <w:rFonts w:hint="eastAsia" w:asciiTheme="minorEastAsia" w:hAnsiTheme="minorEastAsia" w:eastAsiaTheme="minorEastAsia" w:cstheme="minorEastAsia"/>
                <w:color w:val="auto"/>
                <w:kern w:val="2"/>
                <w:sz w:val="24"/>
                <w:szCs w:val="24"/>
                <w:highlight w:val="none"/>
              </w:rPr>
              <w:t>具有</w:t>
            </w:r>
            <w:r>
              <w:rPr>
                <w:rFonts w:hint="eastAsia" w:asciiTheme="minorEastAsia" w:hAnsiTheme="minorEastAsia" w:eastAsiaTheme="minorEastAsia" w:cstheme="minorEastAsia"/>
                <w:color w:val="auto"/>
                <w:kern w:val="2"/>
                <w:sz w:val="24"/>
                <w:szCs w:val="24"/>
                <w:highlight w:val="none"/>
                <w:lang w:val="en-US" w:eastAsia="zh-CN"/>
              </w:rPr>
              <w:t>有效的</w:t>
            </w:r>
            <w:r>
              <w:rPr>
                <w:rFonts w:hint="eastAsia" w:asciiTheme="minorEastAsia" w:hAnsiTheme="minorEastAsia" w:eastAsiaTheme="minorEastAsia" w:cstheme="minorEastAsia"/>
                <w:color w:val="auto"/>
                <w:kern w:val="2"/>
                <w:sz w:val="24"/>
                <w:szCs w:val="24"/>
                <w:highlight w:val="none"/>
              </w:rPr>
              <w:t>职业健康安全管理体系的得1分；</w:t>
            </w:r>
          </w:p>
          <w:p w14:paraId="397B336C">
            <w:pPr>
              <w:pStyle w:val="8"/>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Fonts w:hint="eastAsia"/>
                <w:b/>
                <w:bCs/>
                <w:u w:val="single"/>
                <w:lang w:val="en-US" w:eastAsia="zh-CN"/>
              </w:rPr>
            </w:pPr>
            <w:r>
              <w:rPr>
                <w:rFonts w:hint="eastAsia" w:asciiTheme="minorEastAsia" w:hAnsiTheme="minorEastAsia" w:eastAsiaTheme="minorEastAsia" w:cstheme="minorEastAsia"/>
                <w:b/>
                <w:bCs/>
                <w:color w:val="auto"/>
                <w:kern w:val="2"/>
                <w:sz w:val="24"/>
                <w:szCs w:val="24"/>
                <w:highlight w:val="none"/>
                <w:u w:val="single"/>
                <w:lang w:val="en-US" w:eastAsia="zh-CN"/>
              </w:rPr>
              <w:t>注：</w:t>
            </w:r>
            <w:r>
              <w:rPr>
                <w:rFonts w:hint="eastAsia" w:asciiTheme="minorEastAsia" w:hAnsiTheme="minorEastAsia" w:eastAsiaTheme="minorEastAsia" w:cstheme="minorEastAsia"/>
                <w:b/>
                <w:bCs/>
                <w:color w:val="auto"/>
                <w:kern w:val="2"/>
                <w:sz w:val="24"/>
                <w:szCs w:val="24"/>
                <w:highlight w:val="none"/>
                <w:u w:val="single"/>
              </w:rPr>
              <w:t>提供有效期内的证书</w:t>
            </w:r>
            <w:r>
              <w:rPr>
                <w:rFonts w:hint="eastAsia" w:asciiTheme="minorEastAsia" w:hAnsiTheme="minorEastAsia" w:eastAsiaTheme="minorEastAsia" w:cstheme="minorEastAsia"/>
                <w:b/>
                <w:bCs/>
                <w:color w:val="auto"/>
                <w:kern w:val="2"/>
                <w:sz w:val="24"/>
                <w:szCs w:val="24"/>
                <w:highlight w:val="none"/>
                <w:u w:val="single"/>
                <w:lang w:eastAsia="zh-CN"/>
              </w:rPr>
              <w:t>（</w:t>
            </w:r>
            <w:r>
              <w:rPr>
                <w:rFonts w:hint="eastAsia" w:asciiTheme="minorEastAsia" w:hAnsiTheme="minorEastAsia" w:eastAsiaTheme="minorEastAsia" w:cstheme="minorEastAsia"/>
                <w:b/>
                <w:bCs/>
                <w:color w:val="auto"/>
                <w:kern w:val="2"/>
                <w:sz w:val="24"/>
                <w:szCs w:val="24"/>
                <w:highlight w:val="none"/>
                <w:u w:val="single"/>
              </w:rPr>
              <w:t>清晰</w:t>
            </w:r>
            <w:r>
              <w:rPr>
                <w:rFonts w:hint="eastAsia" w:asciiTheme="minorEastAsia" w:hAnsiTheme="minorEastAsia" w:eastAsiaTheme="minorEastAsia" w:cstheme="minorEastAsia"/>
                <w:b/>
                <w:bCs/>
                <w:color w:val="auto"/>
                <w:kern w:val="2"/>
                <w:sz w:val="24"/>
                <w:szCs w:val="24"/>
                <w:highlight w:val="none"/>
                <w:u w:val="single"/>
                <w:lang w:val="en-US" w:eastAsia="zh-CN"/>
              </w:rPr>
              <w:t>的扫描件或</w:t>
            </w:r>
            <w:r>
              <w:rPr>
                <w:rFonts w:hint="eastAsia" w:asciiTheme="minorEastAsia" w:hAnsiTheme="minorEastAsia" w:eastAsiaTheme="minorEastAsia" w:cstheme="minorEastAsia"/>
                <w:b/>
                <w:bCs/>
                <w:color w:val="auto"/>
                <w:kern w:val="2"/>
                <w:sz w:val="24"/>
                <w:szCs w:val="24"/>
                <w:highlight w:val="none"/>
                <w:u w:val="single"/>
              </w:rPr>
              <w:t>复印件</w:t>
            </w:r>
            <w:r>
              <w:rPr>
                <w:rFonts w:hint="eastAsia" w:asciiTheme="minorEastAsia" w:hAnsiTheme="minorEastAsia" w:eastAsiaTheme="minorEastAsia" w:cstheme="minorEastAsia"/>
                <w:b/>
                <w:bCs/>
                <w:color w:val="auto"/>
                <w:kern w:val="2"/>
                <w:sz w:val="24"/>
                <w:szCs w:val="24"/>
                <w:highlight w:val="none"/>
                <w:u w:val="single"/>
                <w:lang w:eastAsia="zh-CN"/>
              </w:rPr>
              <w:t>）</w:t>
            </w:r>
            <w:r>
              <w:rPr>
                <w:rFonts w:hint="eastAsia" w:asciiTheme="minorEastAsia" w:hAnsiTheme="minorEastAsia" w:eastAsiaTheme="minorEastAsia" w:cstheme="minorEastAsia"/>
                <w:b/>
                <w:bCs/>
                <w:color w:val="auto"/>
                <w:kern w:val="2"/>
                <w:sz w:val="24"/>
                <w:szCs w:val="24"/>
                <w:highlight w:val="none"/>
                <w:u w:val="single"/>
                <w:lang w:val="en-US" w:eastAsia="zh-CN"/>
              </w:rPr>
              <w:t>及国</w:t>
            </w:r>
            <w:r>
              <w:rPr>
                <w:rFonts w:hint="eastAsia" w:asciiTheme="minorEastAsia" w:hAnsiTheme="minorEastAsia" w:eastAsiaTheme="minorEastAsia" w:cstheme="minorEastAsia"/>
                <w:b/>
                <w:bCs/>
                <w:color w:val="auto"/>
                <w:sz w:val="24"/>
                <w:szCs w:val="24"/>
                <w:u w:val="single"/>
              </w:rPr>
              <w:t>家认证认可监督管理委员会官方网站上相关证书有效的网页截图</w:t>
            </w:r>
            <w:r>
              <w:rPr>
                <w:rFonts w:hint="eastAsia" w:asciiTheme="minorEastAsia" w:hAnsiTheme="minorEastAsia" w:eastAsiaTheme="minorEastAsia" w:cstheme="minorEastAsia"/>
                <w:b/>
                <w:bCs/>
                <w:color w:val="auto"/>
                <w:sz w:val="24"/>
                <w:szCs w:val="24"/>
                <w:u w:val="single"/>
                <w:lang w:eastAsia="zh-CN"/>
              </w:rPr>
              <w:t>（</w:t>
            </w:r>
            <w:r>
              <w:rPr>
                <w:rFonts w:hint="eastAsia" w:asciiTheme="minorEastAsia" w:hAnsiTheme="minorEastAsia" w:eastAsiaTheme="minorEastAsia" w:cstheme="minorEastAsia"/>
                <w:b/>
                <w:bCs/>
                <w:color w:val="auto"/>
                <w:sz w:val="24"/>
                <w:szCs w:val="24"/>
                <w:u w:val="single"/>
              </w:rPr>
              <w:t>或网站打印页</w:t>
            </w:r>
            <w:r>
              <w:rPr>
                <w:rFonts w:hint="eastAsia" w:asciiTheme="minorEastAsia" w:hAnsiTheme="minorEastAsia" w:eastAsiaTheme="minorEastAsia" w:cstheme="minorEastAsia"/>
                <w:b/>
                <w:bCs/>
                <w:color w:val="auto"/>
                <w:sz w:val="24"/>
                <w:szCs w:val="24"/>
                <w:u w:val="single"/>
                <w:lang w:eastAsia="zh-CN"/>
              </w:rPr>
              <w:t>）并</w:t>
            </w:r>
            <w:r>
              <w:rPr>
                <w:rFonts w:hint="eastAsia" w:asciiTheme="minorEastAsia" w:hAnsiTheme="minorEastAsia" w:eastAsiaTheme="minorEastAsia" w:cstheme="minorEastAsia"/>
                <w:b/>
                <w:bCs/>
                <w:color w:val="auto"/>
                <w:kern w:val="2"/>
                <w:sz w:val="24"/>
                <w:szCs w:val="24"/>
                <w:highlight w:val="none"/>
                <w:u w:val="single"/>
              </w:rPr>
              <w:t>加盖公章</w:t>
            </w:r>
            <w:r>
              <w:rPr>
                <w:rFonts w:hint="eastAsia" w:asciiTheme="minorEastAsia" w:hAnsiTheme="minorEastAsia" w:eastAsiaTheme="minorEastAsia" w:cstheme="minorEastAsia"/>
                <w:b/>
                <w:bCs/>
                <w:color w:val="auto"/>
                <w:kern w:val="2"/>
                <w:sz w:val="24"/>
                <w:szCs w:val="24"/>
                <w:highlight w:val="none"/>
                <w:u w:val="single"/>
                <w:lang w:eastAsia="zh-CN"/>
              </w:rPr>
              <w:t>，</w:t>
            </w:r>
            <w:r>
              <w:rPr>
                <w:rFonts w:hint="eastAsia" w:asciiTheme="minorEastAsia" w:hAnsiTheme="minorEastAsia" w:eastAsiaTheme="minorEastAsia" w:cstheme="minorEastAsia"/>
                <w:b/>
                <w:bCs/>
                <w:color w:val="auto"/>
                <w:kern w:val="2"/>
                <w:sz w:val="24"/>
                <w:szCs w:val="24"/>
                <w:highlight w:val="none"/>
                <w:u w:val="single"/>
                <w:lang w:val="en-US" w:eastAsia="zh-CN"/>
              </w:rPr>
              <w:t>二者缺一不可</w:t>
            </w:r>
            <w:r>
              <w:rPr>
                <w:rFonts w:hint="eastAsia" w:asciiTheme="minorEastAsia" w:hAnsiTheme="minorEastAsia" w:eastAsiaTheme="minorEastAsia" w:cstheme="minorEastAsia"/>
                <w:b/>
                <w:bCs/>
                <w:color w:val="auto"/>
                <w:kern w:val="2"/>
                <w:sz w:val="24"/>
                <w:szCs w:val="24"/>
                <w:highlight w:val="none"/>
                <w:u w:val="single"/>
              </w:rPr>
              <w:t>，未提供不得分。</w:t>
            </w:r>
          </w:p>
        </w:tc>
        <w:tc>
          <w:tcPr>
            <w:tcW w:w="761" w:type="dxa"/>
            <w:noWrap/>
            <w:vAlign w:val="center"/>
          </w:tcPr>
          <w:p w14:paraId="42B26E01">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w:t>
            </w:r>
          </w:p>
        </w:tc>
      </w:tr>
      <w:tr w14:paraId="0EE23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64" w:type="dxa"/>
            <w:noWrap/>
            <w:vAlign w:val="center"/>
          </w:tcPr>
          <w:p w14:paraId="6F3F6A07">
            <w:pPr>
              <w:keepNext w:val="0"/>
              <w:keepLines w:val="0"/>
              <w:pageBreakBefore w:val="0"/>
              <w:widowControl/>
              <w:kinsoku/>
              <w:wordWrap/>
              <w:overflowPunct/>
              <w:topLinePunct w:val="0"/>
              <w:autoSpaceDE/>
              <w:autoSpaceDN/>
              <w:bidi w:val="0"/>
              <w:adjustRightInd/>
              <w:snapToGrid/>
              <w:spacing w:line="380" w:lineRule="exact"/>
              <w:ind w:left="0" w:leftChars="0" w:firstLine="0" w:firstLineChars="0"/>
              <w:jc w:val="center"/>
              <w:textAlignment w:val="auto"/>
              <w:rPr>
                <w:rFonts w:hint="eastAsia"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8</w:t>
            </w:r>
          </w:p>
        </w:tc>
        <w:tc>
          <w:tcPr>
            <w:tcW w:w="1649" w:type="dxa"/>
            <w:noWrap/>
            <w:vAlign w:val="center"/>
          </w:tcPr>
          <w:p w14:paraId="0EFB255D">
            <w:pPr>
              <w:keepNext w:val="0"/>
              <w:keepLines w:val="0"/>
              <w:pageBreakBefore w:val="0"/>
              <w:widowControl/>
              <w:kinsoku/>
              <w:wordWrap/>
              <w:overflowPunct/>
              <w:topLinePunct w:val="0"/>
              <w:autoSpaceDE/>
              <w:autoSpaceDN/>
              <w:bidi w:val="0"/>
              <w:adjustRightInd/>
              <w:snapToGrid/>
              <w:spacing w:line="380" w:lineRule="exact"/>
              <w:ind w:left="0" w:leftChars="0" w:firstLine="0" w:firstLine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售后服务</w:t>
            </w:r>
          </w:p>
          <w:p w14:paraId="7078332E">
            <w:pPr>
              <w:keepNext w:val="0"/>
              <w:keepLines w:val="0"/>
              <w:pageBreakBefore w:val="0"/>
              <w:widowControl/>
              <w:kinsoku/>
              <w:wordWrap/>
              <w:overflowPunct/>
              <w:topLinePunct w:val="0"/>
              <w:autoSpaceDE/>
              <w:autoSpaceDN/>
              <w:bidi w:val="0"/>
              <w:adjustRightInd/>
              <w:snapToGrid/>
              <w:spacing w:line="380" w:lineRule="exact"/>
              <w:ind w:left="0" w:leftChars="0" w:firstLine="0" w:firstLineChars="0"/>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方案</w:t>
            </w:r>
          </w:p>
        </w:tc>
        <w:tc>
          <w:tcPr>
            <w:tcW w:w="7392" w:type="dxa"/>
            <w:noWrap/>
            <w:vAlign w:val="center"/>
          </w:tcPr>
          <w:p w14:paraId="5CC11DA8">
            <w:pPr>
              <w:pStyle w:val="8"/>
              <w:keepNext w:val="0"/>
              <w:keepLines w:val="0"/>
              <w:pageBreakBefore w:val="0"/>
              <w:numPr>
                <w:ilvl w:val="0"/>
                <w:numId w:val="0"/>
              </w:numPr>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）售后服务方案（</w:t>
            </w:r>
            <w:r>
              <w:rPr>
                <w:rFonts w:hint="eastAsia" w:ascii="宋体" w:hAnsi="宋体" w:eastAsia="宋体" w:cs="宋体"/>
                <w:color w:val="auto"/>
                <w:sz w:val="24"/>
                <w:szCs w:val="24"/>
                <w:lang w:val="en-US" w:eastAsia="zh-CN"/>
              </w:rPr>
              <w:t>0-</w:t>
            </w: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val="en-US" w:eastAsia="zh-CN"/>
              </w:rPr>
              <w:t>分</w:t>
            </w:r>
            <w:r>
              <w:rPr>
                <w:rFonts w:hint="eastAsia" w:ascii="宋体" w:hAnsi="宋体" w:eastAsia="宋体" w:cs="宋体"/>
                <w:color w:val="auto"/>
                <w:sz w:val="24"/>
                <w:szCs w:val="24"/>
                <w:lang w:eastAsia="zh-CN"/>
              </w:rPr>
              <w:t>）：包括但不限于售后服务体系、</w:t>
            </w:r>
            <w:r>
              <w:rPr>
                <w:rFonts w:hint="eastAsia" w:ascii="宋体" w:hAnsi="宋体" w:cs="宋体"/>
                <w:color w:val="auto"/>
                <w:sz w:val="24"/>
                <w:szCs w:val="24"/>
                <w:lang w:eastAsia="zh-CN"/>
              </w:rPr>
              <w:t>维修措施、</w:t>
            </w:r>
            <w:r>
              <w:rPr>
                <w:rFonts w:hint="eastAsia" w:ascii="宋体" w:hAnsi="宋体" w:eastAsia="宋体" w:cs="宋体"/>
                <w:color w:val="auto"/>
                <w:sz w:val="24"/>
                <w:szCs w:val="24"/>
                <w:lang w:eastAsia="zh-CN"/>
              </w:rPr>
              <w:t>故障处理时限、巡检周期、服务网点等内容，售后服务方案内容全面、合理、可行性强，能完全满足售后服务要求的得</w:t>
            </w: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val="en-US" w:eastAsia="zh-CN"/>
              </w:rPr>
              <w:t>分；方案内容存在缺漏或不合理之处的，每项扣1分，扣完本项得分为止。</w:t>
            </w:r>
          </w:p>
          <w:p w14:paraId="71B0A18E">
            <w:pPr>
              <w:pStyle w:val="8"/>
              <w:keepNext w:val="0"/>
              <w:keepLines w:val="0"/>
              <w:pageBreakBefore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Theme="minorEastAsia" w:hAnsiTheme="minorEastAsia" w:eastAsiaTheme="minorEastAsia" w:cstheme="minorEastAsia"/>
                <w:b w:val="0"/>
                <w:bCs w:val="0"/>
                <w:color w:val="auto"/>
                <w:kern w:val="2"/>
                <w:sz w:val="24"/>
                <w:szCs w:val="24"/>
                <w:highlight w:val="none"/>
              </w:rPr>
              <w:t>现场响应时间</w:t>
            </w: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lang w:val="en-US" w:eastAsia="zh-CN"/>
              </w:rPr>
              <w:t>0-2分</w:t>
            </w:r>
            <w:r>
              <w:rPr>
                <w:rFonts w:hint="eastAsia" w:asciiTheme="minorEastAsia" w:hAnsiTheme="minorEastAsia" w:eastAsiaTheme="minorEastAsia" w:cstheme="minorEastAsia"/>
                <w:color w:val="auto"/>
                <w:kern w:val="2"/>
                <w:sz w:val="24"/>
                <w:szCs w:val="24"/>
                <w:highlight w:val="none"/>
                <w:lang w:eastAsia="zh-CN"/>
              </w:rPr>
              <w:t>）</w:t>
            </w:r>
            <w:r>
              <w:rPr>
                <w:rFonts w:hint="eastAsia" w:asciiTheme="minorEastAsia" w:hAnsiTheme="minorEastAsia" w:eastAsiaTheme="minorEastAsia" w:cstheme="minorEastAsia"/>
                <w:b w:val="0"/>
                <w:bCs w:val="0"/>
                <w:color w:val="auto"/>
                <w:kern w:val="2"/>
                <w:sz w:val="24"/>
                <w:szCs w:val="24"/>
                <w:highlight w:val="none"/>
              </w:rPr>
              <w:t>：</w:t>
            </w:r>
            <w:r>
              <w:rPr>
                <w:rFonts w:hint="eastAsia" w:asciiTheme="minorEastAsia" w:hAnsiTheme="minorEastAsia" w:eastAsiaTheme="minorEastAsia" w:cstheme="minorEastAsia"/>
                <w:color w:val="auto"/>
                <w:kern w:val="2"/>
                <w:sz w:val="24"/>
                <w:szCs w:val="24"/>
                <w:highlight w:val="none"/>
              </w:rPr>
              <w:t>供应商</w:t>
            </w:r>
            <w:r>
              <w:rPr>
                <w:rFonts w:hint="eastAsia" w:asciiTheme="minorEastAsia" w:hAnsiTheme="minorEastAsia" w:eastAsiaTheme="minorEastAsia" w:cstheme="minorEastAsia"/>
                <w:color w:val="auto"/>
                <w:kern w:val="2"/>
                <w:sz w:val="24"/>
                <w:szCs w:val="24"/>
                <w:highlight w:val="none"/>
                <w:lang w:val="en-US" w:eastAsia="zh-CN"/>
              </w:rPr>
              <w:t>3</w:t>
            </w:r>
            <w:r>
              <w:rPr>
                <w:rFonts w:hint="eastAsia" w:asciiTheme="minorEastAsia" w:hAnsiTheme="minorEastAsia" w:eastAsiaTheme="minorEastAsia" w:cstheme="minorEastAsia"/>
                <w:color w:val="auto"/>
                <w:kern w:val="2"/>
                <w:sz w:val="24"/>
                <w:szCs w:val="24"/>
                <w:highlight w:val="none"/>
              </w:rPr>
              <w:t>小时到达现场响应</w:t>
            </w:r>
            <w:r>
              <w:rPr>
                <w:rFonts w:hint="eastAsia" w:asciiTheme="minorEastAsia" w:hAnsiTheme="minorEastAsia" w:eastAsiaTheme="minorEastAsia" w:cstheme="minorEastAsia"/>
                <w:color w:val="auto"/>
                <w:kern w:val="2"/>
                <w:sz w:val="24"/>
                <w:szCs w:val="24"/>
                <w:highlight w:val="none"/>
                <w:lang w:val="en-US" w:eastAsia="zh-CN"/>
              </w:rPr>
              <w:t>不得分</w:t>
            </w:r>
            <w:r>
              <w:rPr>
                <w:rFonts w:hint="eastAsia" w:asciiTheme="minorEastAsia" w:hAnsiTheme="minorEastAsia" w:eastAsiaTheme="minorEastAsia" w:cstheme="minorEastAsia"/>
                <w:color w:val="auto"/>
                <w:kern w:val="2"/>
                <w:sz w:val="24"/>
                <w:szCs w:val="24"/>
                <w:highlight w:val="none"/>
                <w:lang w:eastAsia="zh-CN"/>
              </w:rPr>
              <w:t>；在</w:t>
            </w:r>
            <w:r>
              <w:rPr>
                <w:rFonts w:hint="eastAsia" w:asciiTheme="minorEastAsia" w:hAnsiTheme="minorEastAsia" w:eastAsiaTheme="minorEastAsia" w:cstheme="minorEastAsia"/>
                <w:color w:val="auto"/>
                <w:kern w:val="2"/>
                <w:sz w:val="24"/>
                <w:szCs w:val="24"/>
                <w:highlight w:val="none"/>
                <w:lang w:val="en-US" w:eastAsia="zh-CN"/>
              </w:rPr>
              <w:t>3小时</w:t>
            </w:r>
            <w:r>
              <w:rPr>
                <w:rFonts w:hint="eastAsia" w:asciiTheme="minorEastAsia" w:hAnsiTheme="minorEastAsia" w:eastAsiaTheme="minorEastAsia" w:cstheme="minorEastAsia"/>
                <w:color w:val="auto"/>
                <w:kern w:val="2"/>
                <w:sz w:val="24"/>
                <w:szCs w:val="24"/>
                <w:highlight w:val="none"/>
                <w:lang w:eastAsia="zh-CN"/>
              </w:rPr>
              <w:t>基础上</w:t>
            </w:r>
            <w:r>
              <w:rPr>
                <w:rFonts w:hint="eastAsia" w:asciiTheme="minorEastAsia" w:hAnsiTheme="minorEastAsia" w:eastAsiaTheme="minorEastAsia" w:cstheme="minorEastAsia"/>
                <w:color w:val="auto"/>
                <w:kern w:val="2"/>
                <w:sz w:val="24"/>
                <w:szCs w:val="24"/>
                <w:highlight w:val="none"/>
              </w:rPr>
              <w:t>每减少</w:t>
            </w:r>
            <w:r>
              <w:rPr>
                <w:rFonts w:hint="eastAsia" w:asciiTheme="minorEastAsia" w:hAnsiTheme="minorEastAsia" w:eastAsiaTheme="minorEastAsia" w:cstheme="minorEastAsia"/>
                <w:color w:val="auto"/>
                <w:kern w:val="2"/>
                <w:sz w:val="24"/>
                <w:szCs w:val="24"/>
                <w:highlight w:val="none"/>
                <w:lang w:val="en-US" w:eastAsia="zh-CN"/>
              </w:rPr>
              <w:t>1</w:t>
            </w:r>
            <w:r>
              <w:rPr>
                <w:rFonts w:hint="eastAsia" w:asciiTheme="minorEastAsia" w:hAnsiTheme="minorEastAsia" w:eastAsiaTheme="minorEastAsia" w:cstheme="minorEastAsia"/>
                <w:color w:val="auto"/>
                <w:kern w:val="2"/>
                <w:sz w:val="24"/>
                <w:szCs w:val="24"/>
                <w:highlight w:val="none"/>
              </w:rPr>
              <w:t>小时加</w:t>
            </w:r>
            <w:r>
              <w:rPr>
                <w:rFonts w:hint="eastAsia" w:asciiTheme="minorEastAsia" w:hAnsiTheme="minorEastAsia" w:eastAsiaTheme="minorEastAsia" w:cstheme="minorEastAsia"/>
                <w:color w:val="auto"/>
                <w:kern w:val="2"/>
                <w:sz w:val="24"/>
                <w:szCs w:val="24"/>
                <w:highlight w:val="none"/>
                <w:lang w:val="en-US" w:eastAsia="zh-CN"/>
              </w:rPr>
              <w:t>1</w:t>
            </w:r>
            <w:r>
              <w:rPr>
                <w:rFonts w:hint="eastAsia" w:asciiTheme="minorEastAsia" w:hAnsiTheme="minorEastAsia" w:eastAsiaTheme="minorEastAsia" w:cstheme="minorEastAsia"/>
                <w:color w:val="auto"/>
                <w:kern w:val="2"/>
                <w:sz w:val="24"/>
                <w:szCs w:val="24"/>
                <w:highlight w:val="none"/>
              </w:rPr>
              <w:t>分，</w:t>
            </w:r>
            <w:r>
              <w:rPr>
                <w:rFonts w:hint="eastAsia" w:asciiTheme="minorEastAsia" w:hAnsiTheme="minorEastAsia" w:eastAsiaTheme="minorEastAsia" w:cstheme="minorEastAsia"/>
                <w:color w:val="auto"/>
                <w:kern w:val="2"/>
                <w:sz w:val="24"/>
                <w:szCs w:val="24"/>
                <w:highlight w:val="none"/>
                <w:lang w:val="en-US" w:eastAsia="zh-CN"/>
              </w:rPr>
              <w:t>最高得2分</w:t>
            </w:r>
            <w:r>
              <w:rPr>
                <w:rFonts w:hint="eastAsia" w:asciiTheme="minorEastAsia" w:hAnsiTheme="minorEastAsia" w:eastAsiaTheme="minorEastAsia" w:cstheme="minorEastAsia"/>
                <w:color w:val="auto"/>
                <w:kern w:val="2"/>
                <w:sz w:val="24"/>
                <w:szCs w:val="24"/>
                <w:highlight w:val="none"/>
              </w:rPr>
              <w:t>。</w:t>
            </w:r>
          </w:p>
        </w:tc>
        <w:tc>
          <w:tcPr>
            <w:tcW w:w="761" w:type="dxa"/>
            <w:noWrap/>
            <w:vAlign w:val="center"/>
          </w:tcPr>
          <w:p w14:paraId="3904B801">
            <w:pPr>
              <w:pStyle w:val="205"/>
              <w:keepNext w:val="0"/>
              <w:keepLines w:val="0"/>
              <w:pageBreakBefore w:val="0"/>
              <w:kinsoku/>
              <w:wordWrap/>
              <w:overflowPunct/>
              <w:topLinePunct w:val="0"/>
              <w:autoSpaceDE/>
              <w:autoSpaceDN/>
              <w:bidi w:val="0"/>
              <w:adjustRightInd/>
              <w:snapToGrid/>
              <w:spacing w:line="38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9</w:t>
            </w:r>
            <w:r>
              <w:rPr>
                <w:rFonts w:hint="eastAsia" w:ascii="宋体" w:hAnsi="宋体" w:eastAsia="宋体" w:cs="宋体"/>
                <w:color w:val="auto"/>
                <w:sz w:val="24"/>
                <w:szCs w:val="24"/>
                <w:highlight w:val="none"/>
              </w:rPr>
              <w:t>分</w:t>
            </w:r>
          </w:p>
        </w:tc>
      </w:tr>
      <w:tr w14:paraId="34345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64" w:type="dxa"/>
            <w:noWrap/>
            <w:vAlign w:val="center"/>
          </w:tcPr>
          <w:p w14:paraId="6153BC69">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default" w:ascii="宋体" w:hAnsi="宋体" w:eastAsia="宋体" w:cs="宋体"/>
                <w:b w:val="0"/>
                <w:bCs w:val="0"/>
                <w:color w:val="auto"/>
                <w:sz w:val="24"/>
                <w:szCs w:val="24"/>
                <w:highlight w:val="none"/>
                <w:lang w:val="en-US" w:eastAsia="zh-CN"/>
              </w:rPr>
            </w:pPr>
            <w:r>
              <w:rPr>
                <w:rFonts w:hint="eastAsia" w:cs="宋体"/>
                <w:b w:val="0"/>
                <w:bCs w:val="0"/>
                <w:color w:val="auto"/>
                <w:sz w:val="24"/>
                <w:szCs w:val="24"/>
                <w:highlight w:val="none"/>
                <w:lang w:val="en-US" w:eastAsia="zh-CN"/>
              </w:rPr>
              <w:t>9</w:t>
            </w:r>
          </w:p>
        </w:tc>
        <w:tc>
          <w:tcPr>
            <w:tcW w:w="1649" w:type="dxa"/>
            <w:noWrap/>
            <w:vAlign w:val="center"/>
          </w:tcPr>
          <w:p w14:paraId="76A78C48">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质保期</w:t>
            </w:r>
          </w:p>
        </w:tc>
        <w:tc>
          <w:tcPr>
            <w:tcW w:w="7392" w:type="dxa"/>
            <w:noWrap/>
            <w:vAlign w:val="center"/>
          </w:tcPr>
          <w:p w14:paraId="565A1592">
            <w:pPr>
              <w:pStyle w:val="8"/>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textAlignment w:val="auto"/>
              <w:rPr>
                <w:rFonts w:hint="eastAsia"/>
                <w:b/>
                <w:bCs/>
                <w:u w:val="single"/>
                <w:lang w:val="en-US" w:eastAsia="zh-CN"/>
              </w:rPr>
            </w:pPr>
            <w:r>
              <w:rPr>
                <w:rFonts w:hint="eastAsia" w:ascii="宋体" w:hAnsi="宋体" w:eastAsia="宋体" w:cs="宋体"/>
                <w:color w:val="auto"/>
                <w:sz w:val="24"/>
                <w:szCs w:val="24"/>
              </w:rPr>
              <w:t>质保期</w:t>
            </w:r>
            <w:r>
              <w:rPr>
                <w:rFonts w:hint="eastAsia" w:ascii="宋体" w:hAnsi="宋体" w:eastAsia="宋体" w:cs="宋体"/>
                <w:color w:val="auto"/>
                <w:sz w:val="24"/>
                <w:szCs w:val="24"/>
                <w:lang w:eastAsia="zh-CN"/>
              </w:rPr>
              <w:t>在</w:t>
            </w:r>
            <w:r>
              <w:rPr>
                <w:rFonts w:hint="eastAsia" w:ascii="宋体" w:hAnsi="宋体" w:eastAsia="宋体" w:cs="宋体"/>
                <w:color w:val="auto"/>
                <w:sz w:val="24"/>
                <w:szCs w:val="24"/>
              </w:rPr>
              <w:t>满足招标文件</w:t>
            </w:r>
            <w:r>
              <w:rPr>
                <w:rFonts w:hint="eastAsia" w:ascii="宋体" w:hAnsi="宋体" w:eastAsia="宋体" w:cs="宋体"/>
                <w:color w:val="auto"/>
                <w:sz w:val="24"/>
                <w:szCs w:val="24"/>
                <w:lang w:eastAsia="zh-CN"/>
              </w:rPr>
              <w:t>要求（</w:t>
            </w:r>
            <w:r>
              <w:rPr>
                <w:rFonts w:hint="eastAsia" w:ascii="宋体" w:hAnsi="宋体" w:eastAsia="宋体" w:cs="宋体"/>
                <w:color w:val="auto"/>
                <w:sz w:val="24"/>
                <w:szCs w:val="24"/>
                <w:lang w:val="en-US" w:eastAsia="zh-CN"/>
              </w:rPr>
              <w:t>3年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基础上</w:t>
            </w:r>
            <w:r>
              <w:rPr>
                <w:rFonts w:hint="eastAsia" w:ascii="宋体" w:hAnsi="宋体" w:eastAsia="宋体" w:cs="宋体"/>
                <w:color w:val="auto"/>
                <w:sz w:val="24"/>
                <w:szCs w:val="24"/>
              </w:rPr>
              <w:t>，全部产品每增加</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年</w:t>
            </w:r>
            <w:r>
              <w:rPr>
                <w:rFonts w:hint="eastAsia" w:ascii="宋体" w:hAnsi="宋体" w:eastAsia="宋体" w:cs="宋体"/>
                <w:color w:val="auto"/>
                <w:sz w:val="24"/>
                <w:szCs w:val="24"/>
                <w:lang w:eastAsia="zh-CN"/>
              </w:rPr>
              <w:t>质保期</w:t>
            </w:r>
            <w:r>
              <w:rPr>
                <w:rFonts w:hint="eastAsia" w:ascii="宋体" w:hAnsi="宋体" w:eastAsia="宋体" w:cs="宋体"/>
                <w:color w:val="auto"/>
                <w:sz w:val="24"/>
                <w:szCs w:val="24"/>
              </w:rPr>
              <w:t>加</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分，本项最高得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p>
        </w:tc>
        <w:tc>
          <w:tcPr>
            <w:tcW w:w="761" w:type="dxa"/>
            <w:noWrap/>
            <w:vAlign w:val="center"/>
          </w:tcPr>
          <w:p w14:paraId="5007AF91">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2分</w:t>
            </w:r>
          </w:p>
        </w:tc>
      </w:tr>
    </w:tbl>
    <w:p w14:paraId="69EDD835">
      <w:pPr>
        <w:bidi w:val="0"/>
        <w:jc w:val="left"/>
        <w:rPr>
          <w:rFonts w:hint="eastAsia" w:ascii="宋体" w:hAnsi="宋体" w:eastAsia="宋体" w:cs="Times New Roman"/>
          <w:kern w:val="2"/>
          <w:sz w:val="24"/>
          <w:szCs w:val="24"/>
          <w:lang w:val="en-US" w:eastAsia="zh-CN" w:bidi="ar-SA"/>
        </w:rPr>
        <w:sectPr>
          <w:pgSz w:w="11907" w:h="16840"/>
          <w:pgMar w:top="1247" w:right="1247" w:bottom="1021" w:left="1247" w:header="720" w:footer="720" w:gutter="0"/>
          <w:pgNumType w:fmt="decimal"/>
          <w:cols w:space="720" w:num="1"/>
          <w:docGrid w:linePitch="286" w:charSpace="0"/>
        </w:sectPr>
      </w:pPr>
    </w:p>
    <w:bookmarkEnd w:id="75"/>
    <w:bookmarkEnd w:id="76"/>
    <w:bookmarkEnd w:id="77"/>
    <w:p w14:paraId="794CE7DC">
      <w:pPr>
        <w:pStyle w:val="3"/>
        <w:spacing w:line="360" w:lineRule="auto"/>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 w:val="36"/>
          <w:szCs w:val="36"/>
        </w:rPr>
        <w:t>第</w:t>
      </w:r>
      <w:r>
        <w:rPr>
          <w:rFonts w:hint="eastAsia" w:asciiTheme="minorEastAsia" w:hAnsiTheme="minorEastAsia" w:eastAsiaTheme="minorEastAsia" w:cstheme="minorEastAsia"/>
          <w:color w:val="auto"/>
          <w:sz w:val="36"/>
          <w:szCs w:val="36"/>
          <w:lang w:eastAsia="zh-CN"/>
        </w:rPr>
        <w:t>五</w:t>
      </w:r>
      <w:r>
        <w:rPr>
          <w:rFonts w:hint="eastAsia" w:asciiTheme="minorEastAsia" w:hAnsiTheme="minorEastAsia" w:eastAsiaTheme="minorEastAsia" w:cstheme="minorEastAsia"/>
          <w:color w:val="auto"/>
          <w:sz w:val="36"/>
          <w:szCs w:val="36"/>
        </w:rPr>
        <w:t xml:space="preserve">章 </w:t>
      </w:r>
      <w:r>
        <w:rPr>
          <w:rFonts w:hint="eastAsia" w:asciiTheme="minorEastAsia" w:hAnsiTheme="minorEastAsia" w:eastAsiaTheme="minorEastAsia" w:cstheme="minorEastAsia"/>
          <w:color w:val="auto"/>
          <w:sz w:val="36"/>
          <w:szCs w:val="36"/>
          <w:lang w:val="en-US" w:eastAsia="zh-CN"/>
        </w:rPr>
        <w:t xml:space="preserve"> </w:t>
      </w:r>
      <w:r>
        <w:rPr>
          <w:rStyle w:val="58"/>
          <w:rFonts w:hint="eastAsia" w:asciiTheme="minorEastAsia" w:hAnsiTheme="minorEastAsia" w:eastAsiaTheme="minorEastAsia" w:cstheme="minorEastAsia"/>
          <w:b/>
          <w:bCs/>
          <w:sz w:val="36"/>
          <w:szCs w:val="36"/>
        </w:rPr>
        <w:t>合同主要</w:t>
      </w:r>
      <w:r>
        <w:rPr>
          <w:rStyle w:val="58"/>
          <w:rFonts w:hint="eastAsia" w:asciiTheme="minorEastAsia" w:hAnsiTheme="minorEastAsia" w:eastAsiaTheme="minorEastAsia" w:cstheme="minorEastAsia"/>
          <w:b/>
          <w:bCs/>
          <w:sz w:val="36"/>
          <w:szCs w:val="36"/>
          <w:lang w:eastAsia="zh-CN"/>
        </w:rPr>
        <w:t>格式及</w:t>
      </w:r>
      <w:r>
        <w:rPr>
          <w:rStyle w:val="58"/>
          <w:rFonts w:hint="eastAsia" w:asciiTheme="minorEastAsia" w:hAnsiTheme="minorEastAsia" w:eastAsiaTheme="minorEastAsia" w:cstheme="minorEastAsia"/>
          <w:b/>
          <w:bCs/>
          <w:sz w:val="36"/>
          <w:szCs w:val="36"/>
        </w:rPr>
        <w:t>条款</w:t>
      </w:r>
    </w:p>
    <w:p w14:paraId="687A9C09">
      <w:pPr>
        <w:spacing w:line="360" w:lineRule="auto"/>
        <w:ind w:right="-211" w:rightChars="-88" w:firstLine="482" w:firstLineChars="2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w:t>
      </w:r>
      <w:r>
        <w:rPr>
          <w:rFonts w:hint="eastAsia" w:ascii="宋体" w:hAnsi="宋体" w:eastAsia="宋体" w:cs="宋体"/>
          <w:b/>
          <w:bCs/>
          <w:sz w:val="24"/>
          <w:szCs w:val="24"/>
        </w:rPr>
        <w:t>本合同条款仅供参考，</w:t>
      </w:r>
      <w:r>
        <w:rPr>
          <w:rFonts w:hint="eastAsia" w:ascii="宋体" w:hAnsi="宋体" w:eastAsia="宋体" w:cs="宋体"/>
          <w:b/>
          <w:bCs/>
          <w:sz w:val="24"/>
          <w:szCs w:val="24"/>
          <w:lang w:eastAsia="zh-CN"/>
        </w:rPr>
        <w:t>供需双方</w:t>
      </w:r>
      <w:r>
        <w:rPr>
          <w:rFonts w:hint="eastAsia" w:ascii="宋体" w:hAnsi="宋体" w:eastAsia="宋体" w:cs="宋体"/>
          <w:b/>
          <w:bCs/>
          <w:sz w:val="24"/>
          <w:szCs w:val="24"/>
        </w:rPr>
        <w:t>在签订合同时，应在不违背本项目</w:t>
      </w:r>
      <w:r>
        <w:rPr>
          <w:rFonts w:hint="eastAsia" w:cs="宋体"/>
          <w:b/>
          <w:bCs/>
          <w:sz w:val="24"/>
          <w:szCs w:val="24"/>
          <w:lang w:eastAsia="zh-CN"/>
        </w:rPr>
        <w:t>招标</w:t>
      </w:r>
      <w:r>
        <w:rPr>
          <w:rFonts w:hint="eastAsia" w:ascii="宋体" w:hAnsi="宋体" w:eastAsia="宋体" w:cs="宋体"/>
          <w:b/>
          <w:bCs/>
          <w:sz w:val="24"/>
          <w:szCs w:val="24"/>
        </w:rPr>
        <w:t>文件</w:t>
      </w:r>
      <w:r>
        <w:rPr>
          <w:rFonts w:hint="eastAsia" w:ascii="宋体" w:hAnsi="宋体" w:eastAsia="宋体" w:cs="宋体"/>
          <w:b/>
          <w:bCs/>
          <w:sz w:val="24"/>
          <w:szCs w:val="24"/>
          <w:lang w:eastAsia="zh-CN"/>
        </w:rPr>
        <w:t>实质性条款的基础上</w:t>
      </w:r>
      <w:r>
        <w:rPr>
          <w:rFonts w:hint="eastAsia" w:ascii="宋体" w:hAnsi="宋体" w:eastAsia="宋体" w:cs="宋体"/>
          <w:b/>
          <w:bCs/>
          <w:sz w:val="24"/>
          <w:szCs w:val="24"/>
        </w:rPr>
        <w:t>，视具体情况进行</w:t>
      </w:r>
      <w:r>
        <w:rPr>
          <w:rFonts w:hint="eastAsia" w:ascii="宋体" w:hAnsi="宋体" w:eastAsia="宋体" w:cs="宋体"/>
          <w:b/>
          <w:bCs/>
          <w:sz w:val="24"/>
          <w:szCs w:val="24"/>
          <w:lang w:eastAsia="zh-CN"/>
        </w:rPr>
        <w:t>补充或删减</w:t>
      </w:r>
      <w:r>
        <w:rPr>
          <w:rFonts w:hint="eastAsia" w:asciiTheme="minorEastAsia" w:hAnsiTheme="minorEastAsia" w:eastAsiaTheme="minorEastAsia" w:cstheme="minorEastAsia"/>
          <w:b/>
          <w:sz w:val="24"/>
        </w:rPr>
        <w:t>）</w:t>
      </w:r>
    </w:p>
    <w:p w14:paraId="6051ACD6">
      <w:pPr>
        <w:keepNext w:val="0"/>
        <w:keepLines w:val="0"/>
        <w:pageBreakBefore w:val="0"/>
        <w:widowControl w:val="0"/>
        <w:kinsoku/>
        <w:wordWrap/>
        <w:overflowPunct/>
        <w:topLinePunct w:val="0"/>
        <w:autoSpaceDE/>
        <w:autoSpaceDN/>
        <w:bidi w:val="0"/>
        <w:adjustRightInd w:val="0"/>
        <w:snapToGrid w:val="0"/>
        <w:spacing w:before="40" w:after="40" w:line="500" w:lineRule="exact"/>
        <w:ind w:firstLine="0"/>
        <w:jc w:val="center"/>
        <w:textAlignment w:val="auto"/>
        <w:rPr>
          <w:rFonts w:hint="eastAsia" w:asciiTheme="minorEastAsia" w:hAnsiTheme="minorEastAsia" w:eastAsiaTheme="minorEastAsia" w:cstheme="minorEastAsia"/>
          <w:color w:val="auto"/>
          <w:kern w:val="0"/>
          <w:sz w:val="24"/>
          <w:szCs w:val="24"/>
          <w:u w:val="none"/>
          <w:lang w:eastAsia="zh-CN"/>
        </w:rPr>
      </w:pPr>
      <w:r>
        <w:rPr>
          <w:rFonts w:hint="eastAsia" w:ascii="宋体" w:hAnsi="宋体" w:eastAsia="宋体" w:cs="宋体"/>
          <w:b/>
          <w:bCs w:val="0"/>
          <w:color w:val="auto"/>
          <w:kern w:val="0"/>
          <w:sz w:val="24"/>
          <w:szCs w:val="24"/>
          <w:lang w:val="en-US" w:eastAsia="zh-CN" w:bidi="ar-SA"/>
        </w:rPr>
        <w:t>湖州学院新建工程体育场馆设备设施（包括职工之家）项目</w:t>
      </w:r>
    </w:p>
    <w:p w14:paraId="7101AFE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sz w:val="24"/>
          <w:szCs w:val="24"/>
        </w:rPr>
      </w:pPr>
      <w:bookmarkStart w:id="79" w:name="bodyStart"/>
      <w:bookmarkEnd w:id="79"/>
    </w:p>
    <w:p w14:paraId="3274E18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甲方：</w:t>
      </w:r>
      <w:r>
        <w:rPr>
          <w:rFonts w:hint="eastAsia" w:cs="宋体"/>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lang w:eastAsia="zh-CN"/>
        </w:rPr>
        <w:t>湖州学院</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宋体" w:hAnsi="宋体" w:eastAsia="宋体" w:cs="宋体"/>
          <w:sz w:val="24"/>
          <w:szCs w:val="24"/>
        </w:rPr>
        <w:t>（以下简称甲方）</w:t>
      </w:r>
    </w:p>
    <w:p w14:paraId="66ED487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乙方：</w:t>
      </w:r>
      <w:r>
        <w:rPr>
          <w:rFonts w:hint="eastAsia" w:ascii="宋体" w:hAnsi="宋体" w:eastAsia="宋体" w:cs="宋体"/>
          <w:sz w:val="24"/>
          <w:szCs w:val="24"/>
          <w:u w:val="single"/>
        </w:rPr>
        <w:t xml:space="preserve">        </w:t>
      </w:r>
      <w:r>
        <w:rPr>
          <w:rFonts w:hint="eastAsia" w:cs="宋体"/>
          <w:sz w:val="24"/>
          <w:szCs w:val="24"/>
          <w:u w:val="single"/>
          <w:lang w:val="en-US" w:eastAsia="zh-CN"/>
        </w:rPr>
        <w:t xml:space="preserve">       </w:t>
      </w:r>
      <w:r>
        <w:rPr>
          <w:rFonts w:hint="eastAsia" w:ascii="宋体" w:hAnsi="宋体" w:eastAsia="宋体" w:cs="宋体"/>
          <w:sz w:val="24"/>
          <w:szCs w:val="24"/>
        </w:rPr>
        <w:t>(以下简称乙方）</w:t>
      </w:r>
    </w:p>
    <w:p w14:paraId="00ACB747">
      <w:pPr>
        <w:keepNext w:val="0"/>
        <w:keepLines w:val="0"/>
        <w:pageBreakBefore w:val="0"/>
        <w:widowControl w:val="0"/>
        <w:kinsoku/>
        <w:wordWrap/>
        <w:overflowPunct/>
        <w:topLinePunct w:val="0"/>
        <w:autoSpaceDE/>
        <w:autoSpaceDN/>
        <w:bidi w:val="0"/>
        <w:adjustRightInd w:val="0"/>
        <w:snapToGrid w:val="0"/>
        <w:spacing w:before="40" w:after="40" w:line="360" w:lineRule="auto"/>
        <w:ind w:firstLine="0"/>
        <w:textAlignment w:val="auto"/>
        <w:rPr>
          <w:rFonts w:hint="eastAsia" w:ascii="宋体" w:hAnsi="宋体" w:eastAsia="宋体" w:cs="宋体"/>
          <w:sz w:val="24"/>
          <w:szCs w:val="24"/>
          <w:u w:val="single"/>
        </w:rPr>
      </w:pPr>
      <w:r>
        <w:rPr>
          <w:rFonts w:hint="eastAsia" w:ascii="宋体" w:hAnsi="宋体" w:eastAsia="宋体" w:cs="宋体"/>
          <w:sz w:val="24"/>
          <w:szCs w:val="24"/>
        </w:rPr>
        <w:t>甲、乙双方根据项目名称</w:t>
      </w:r>
      <w:r>
        <w:rPr>
          <w:rFonts w:hint="eastAsia" w:ascii="宋体" w:hAnsi="宋体" w:eastAsia="宋体" w:cs="宋体"/>
          <w:sz w:val="24"/>
          <w:szCs w:val="24"/>
          <w:lang w:eastAsia="zh-CN"/>
        </w:rPr>
        <w:t>：</w:t>
      </w:r>
      <w:r>
        <w:rPr>
          <w:rFonts w:hint="eastAsia" w:ascii="宋体" w:hAnsi="宋体" w:eastAsia="宋体" w:cs="宋体"/>
          <w:b w:val="0"/>
          <w:bCs/>
          <w:color w:val="auto"/>
          <w:kern w:val="0"/>
          <w:sz w:val="24"/>
          <w:szCs w:val="24"/>
          <w:u w:val="single"/>
          <w:lang w:val="en-US" w:eastAsia="zh-CN" w:bidi="ar-SA"/>
        </w:rPr>
        <w:t>湖州学院新建工程体育场馆设备设施（包括职工之家）项目</w:t>
      </w:r>
      <w:r>
        <w:rPr>
          <w:rFonts w:hint="eastAsia" w:ascii="宋体" w:hAnsi="宋体" w:eastAsia="宋体" w:cs="宋体"/>
          <w:b w:val="0"/>
          <w:bCs/>
          <w:kern w:val="0"/>
          <w:sz w:val="24"/>
          <w:szCs w:val="24"/>
          <w:u w:val="none"/>
          <w:lang w:eastAsia="zh-CN"/>
        </w:rPr>
        <w:t>；项目</w:t>
      </w:r>
      <w:r>
        <w:rPr>
          <w:rFonts w:hint="eastAsia" w:ascii="宋体" w:hAnsi="宋体" w:eastAsia="宋体" w:cs="宋体"/>
          <w:sz w:val="24"/>
          <w:szCs w:val="24"/>
        </w:rPr>
        <w:t>编号</w:t>
      </w:r>
      <w:r>
        <w:rPr>
          <w:rFonts w:hint="eastAsia" w:ascii="宋体" w:hAnsi="宋体" w:eastAsia="宋体" w:cs="宋体"/>
          <w:sz w:val="24"/>
          <w:szCs w:val="24"/>
          <w:lang w:eastAsia="zh-CN"/>
        </w:rPr>
        <w:t>：</w:t>
      </w:r>
      <w:r>
        <w:rPr>
          <w:rFonts w:hint="eastAsia" w:cs="宋体"/>
          <w:sz w:val="24"/>
          <w:szCs w:val="24"/>
          <w:u w:val="single"/>
          <w:lang w:val="en-US" w:eastAsia="zh-CN"/>
        </w:rPr>
        <w:t>ZJZX-HZXY-2024002</w:t>
      </w:r>
      <w:r>
        <w:rPr>
          <w:rFonts w:hint="eastAsia" w:ascii="宋体" w:hAnsi="宋体" w:eastAsia="宋体" w:cs="宋体"/>
          <w:sz w:val="24"/>
          <w:szCs w:val="24"/>
          <w:u w:val="none"/>
          <w:lang w:val="en-US" w:eastAsia="zh-CN"/>
        </w:rPr>
        <w:t>公开招标</w:t>
      </w:r>
      <w:r>
        <w:rPr>
          <w:rFonts w:hint="eastAsia" w:ascii="宋体" w:hAnsi="宋体" w:eastAsia="宋体" w:cs="宋体"/>
          <w:sz w:val="24"/>
          <w:szCs w:val="24"/>
        </w:rPr>
        <w:t>结果和</w:t>
      </w:r>
      <w:r>
        <w:rPr>
          <w:rFonts w:hint="eastAsia" w:ascii="宋体" w:hAnsi="宋体" w:eastAsia="宋体" w:cs="宋体"/>
          <w:sz w:val="24"/>
          <w:szCs w:val="24"/>
          <w:lang w:eastAsia="zh-CN"/>
        </w:rPr>
        <w:t>招标文件</w:t>
      </w:r>
      <w:r>
        <w:rPr>
          <w:rFonts w:hint="eastAsia" w:ascii="宋体" w:hAnsi="宋体" w:eastAsia="宋体" w:cs="宋体"/>
          <w:sz w:val="24"/>
          <w:szCs w:val="24"/>
        </w:rPr>
        <w:t>的要求，经双方平等协商，在真实、充分地表达各自意愿的基础上，根据《中华人民共和国政府采购法》、《中华人民共和国民法典》的规定，达成如下协议，并由双方共同遵守执行。</w:t>
      </w:r>
    </w:p>
    <w:p w14:paraId="004FF865">
      <w:pPr>
        <w:pStyle w:val="204"/>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default" w:ascii="宋体" w:hAnsi="宋体" w:eastAsia="宋体" w:cs="宋体"/>
          <w:sz w:val="24"/>
          <w:szCs w:val="24"/>
          <w:lang w:val="en-US" w:eastAsia="zh-CN"/>
        </w:rPr>
      </w:pPr>
      <w:r>
        <w:rPr>
          <w:rFonts w:hint="eastAsia" w:ascii="宋体" w:hAnsi="宋体" w:eastAsia="宋体" w:cs="宋体"/>
          <w:b/>
          <w:sz w:val="24"/>
          <w:szCs w:val="24"/>
        </w:rPr>
        <w:t>一、</w:t>
      </w:r>
      <w:r>
        <w:rPr>
          <w:rFonts w:hint="eastAsia" w:cs="宋体"/>
          <w:b/>
          <w:sz w:val="24"/>
          <w:szCs w:val="24"/>
          <w:lang w:eastAsia="zh-CN"/>
        </w:rPr>
        <w:t>合同金额</w:t>
      </w:r>
    </w:p>
    <w:p w14:paraId="48B9EB5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sz w:val="24"/>
          <w:szCs w:val="24"/>
          <w:lang w:val="zh-TW" w:eastAsia="zh-TW"/>
        </w:rPr>
      </w:pPr>
      <w:r>
        <w:rPr>
          <w:rFonts w:hint="eastAsia" w:ascii="宋体" w:hAnsi="宋体" w:eastAsia="宋体" w:cs="宋体"/>
          <w:sz w:val="24"/>
          <w:szCs w:val="24"/>
        </w:rPr>
        <w:t>1.</w:t>
      </w:r>
      <w:r>
        <w:rPr>
          <w:rFonts w:hint="eastAsia" w:ascii="宋体" w:hAnsi="宋体" w:eastAsia="宋体" w:cs="宋体"/>
          <w:sz w:val="24"/>
          <w:szCs w:val="24"/>
          <w:lang w:val="zh-TW" w:eastAsia="zh-TW"/>
        </w:rPr>
        <w:t>本合同金额为人民币（大写）</w:t>
      </w:r>
      <w:r>
        <w:rPr>
          <w:rFonts w:hint="eastAsia" w:ascii="宋体" w:hAnsi="宋体" w:eastAsia="宋体" w:cs="宋体"/>
          <w:sz w:val="24"/>
          <w:szCs w:val="24"/>
          <w:u w:val="single"/>
          <w:lang w:val="zh-TW" w:eastAsia="zh-TW"/>
        </w:rPr>
        <w:t>      </w:t>
      </w:r>
      <w:r>
        <w:rPr>
          <w:rFonts w:hint="eastAsia" w:ascii="宋体" w:hAnsi="宋体" w:eastAsia="宋体" w:cs="宋体"/>
          <w:sz w:val="24"/>
          <w:szCs w:val="24"/>
          <w:lang w:val="zh-TW" w:eastAsia="zh-TW"/>
        </w:rPr>
        <w:t>（￥____________元）（含税）。</w:t>
      </w:r>
    </w:p>
    <w:p w14:paraId="71F8DD8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TW" w:eastAsia="zh-TW"/>
        </w:rPr>
        <w:t>合同暂定不含税金额为人民币（大写）</w:t>
      </w:r>
      <w:r>
        <w:rPr>
          <w:rFonts w:hint="eastAsia" w:ascii="宋体" w:hAnsi="宋体" w:eastAsia="宋体" w:cs="宋体"/>
          <w:sz w:val="24"/>
          <w:szCs w:val="24"/>
          <w:u w:val="single"/>
          <w:lang w:val="zh-TW" w:eastAsia="zh-TW"/>
        </w:rPr>
        <w:t>   </w:t>
      </w:r>
      <w:r>
        <w:rPr>
          <w:rFonts w:hint="eastAsia" w:ascii="宋体" w:hAnsi="宋体" w:eastAsia="宋体" w:cs="宋体"/>
          <w:sz w:val="24"/>
          <w:szCs w:val="24"/>
          <w:u w:val="single"/>
        </w:rPr>
        <w:t xml:space="preserve">       </w:t>
      </w:r>
      <w:r>
        <w:rPr>
          <w:rFonts w:hint="eastAsia" w:ascii="宋体" w:hAnsi="宋体" w:eastAsia="宋体" w:cs="宋体"/>
          <w:sz w:val="24"/>
          <w:szCs w:val="24"/>
          <w:lang w:val="zh-TW" w:eastAsia="zh-TW"/>
        </w:rPr>
        <w:t>（￥</w:t>
      </w:r>
      <w:r>
        <w:rPr>
          <w:rFonts w:hint="eastAsia" w:ascii="宋体" w:hAnsi="宋体" w:eastAsia="宋体" w:cs="宋体"/>
          <w:sz w:val="24"/>
          <w:szCs w:val="24"/>
          <w:u w:val="single"/>
          <w:lang w:val="zh-TW" w:eastAsia="zh-TW"/>
        </w:rPr>
        <w:t>      </w:t>
      </w:r>
      <w:r>
        <w:rPr>
          <w:rFonts w:hint="eastAsia" w:ascii="宋体" w:hAnsi="宋体" w:eastAsia="宋体" w:cs="宋体"/>
          <w:sz w:val="24"/>
          <w:szCs w:val="24"/>
          <w:lang w:val="zh-TW" w:eastAsia="zh-TW"/>
        </w:rPr>
        <w:t>元）</w:t>
      </w:r>
      <w:r>
        <w:rPr>
          <w:rFonts w:hint="eastAsia" w:ascii="宋体" w:hAnsi="宋体" w:eastAsia="宋体" w:cs="宋体"/>
          <w:sz w:val="24"/>
          <w:szCs w:val="24"/>
          <w:lang w:val="zh-TW"/>
        </w:rPr>
        <w:t>。</w:t>
      </w:r>
    </w:p>
    <w:p w14:paraId="14586DD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zh-TW" w:eastAsia="zh-TW"/>
        </w:rPr>
        <w:t>增值税税率为</w:t>
      </w:r>
      <w:r>
        <w:rPr>
          <w:rFonts w:hint="eastAsia" w:ascii="宋体" w:hAnsi="宋体" w:eastAsia="宋体" w:cs="宋体"/>
          <w:sz w:val="24"/>
          <w:szCs w:val="24"/>
          <w:u w:val="single"/>
          <w:lang w:val="zh-TW" w:eastAsia="zh-TW"/>
        </w:rPr>
        <w:t>   </w:t>
      </w:r>
      <w:r>
        <w:rPr>
          <w:rFonts w:hint="eastAsia" w:ascii="宋体" w:hAnsi="宋体" w:eastAsia="宋体" w:cs="宋体"/>
          <w:sz w:val="24"/>
          <w:szCs w:val="24"/>
          <w:lang w:val="zh-TW" w:eastAsia="zh-TW"/>
        </w:rPr>
        <w:t>%，税额为人民币（大写）</w:t>
      </w:r>
      <w:r>
        <w:rPr>
          <w:rFonts w:hint="eastAsia" w:ascii="宋体" w:hAnsi="宋体" w:eastAsia="宋体" w:cs="宋体"/>
          <w:sz w:val="24"/>
          <w:szCs w:val="24"/>
          <w:u w:val="single"/>
          <w:lang w:val="zh-TW" w:eastAsia="zh-TW"/>
        </w:rPr>
        <w:t>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zh-TW" w:eastAsia="zh-TW"/>
        </w:rPr>
        <w:t> </w:t>
      </w:r>
      <w:r>
        <w:rPr>
          <w:rFonts w:hint="eastAsia" w:ascii="宋体" w:hAnsi="宋体" w:eastAsia="宋体" w:cs="宋体"/>
          <w:sz w:val="24"/>
          <w:szCs w:val="24"/>
          <w:lang w:val="zh-TW" w:eastAsia="zh-TW"/>
        </w:rPr>
        <w:t>（￥</w:t>
      </w:r>
      <w:r>
        <w:rPr>
          <w:rFonts w:hint="eastAsia" w:ascii="宋体" w:hAnsi="宋体" w:eastAsia="宋体" w:cs="宋体"/>
          <w:sz w:val="24"/>
          <w:szCs w:val="24"/>
          <w:u w:val="single"/>
          <w:lang w:val="zh-TW" w:eastAsia="zh-TW"/>
        </w:rPr>
        <w:t>        </w:t>
      </w:r>
      <w:r>
        <w:rPr>
          <w:rFonts w:hint="eastAsia" w:ascii="宋体" w:hAnsi="宋体" w:eastAsia="宋体" w:cs="宋体"/>
          <w:sz w:val="24"/>
          <w:szCs w:val="24"/>
          <w:lang w:val="zh-TW" w:eastAsia="zh-TW"/>
        </w:rPr>
        <w:t>）。</w:t>
      </w:r>
    </w:p>
    <w:p w14:paraId="5BFC520E">
      <w:pPr>
        <w:keepNext w:val="0"/>
        <w:keepLines w:val="0"/>
        <w:pageBreakBefore w:val="0"/>
        <w:widowControl w:val="0"/>
        <w:numPr>
          <w:ilvl w:val="0"/>
          <w:numId w:val="0"/>
        </w:numPr>
        <w:kinsoku/>
        <w:wordWrap/>
        <w:overflowPunct/>
        <w:topLinePunct w:val="0"/>
        <w:autoSpaceDE/>
        <w:autoSpaceDN/>
        <w:bidi w:val="0"/>
        <w:adjustRightInd/>
        <w:snapToGrid/>
        <w:spacing w:before="40" w:after="40" w:line="360" w:lineRule="auto"/>
        <w:ind w:leftChars="0" w:firstLine="480" w:firstLineChars="200"/>
        <w:textAlignment w:val="auto"/>
        <w:rPr>
          <w:rFonts w:hint="eastAsia" w:ascii="宋体" w:hAnsi="宋体" w:eastAsia="宋体" w:cs="宋体"/>
          <w:b/>
          <w:sz w:val="24"/>
          <w:szCs w:val="24"/>
          <w:lang w:eastAsia="zh-CN"/>
        </w:rPr>
      </w:pPr>
      <w:r>
        <w:rPr>
          <w:rFonts w:hint="eastAsia" w:ascii="宋体" w:hAnsi="宋体" w:eastAsia="宋体" w:cs="宋体"/>
          <w:sz w:val="24"/>
          <w:szCs w:val="24"/>
        </w:rPr>
        <w:t>4.</w:t>
      </w:r>
      <w:r>
        <w:rPr>
          <w:rFonts w:hint="eastAsia" w:ascii="宋体" w:hAnsi="宋体" w:eastAsia="宋体" w:cs="宋体"/>
          <w:sz w:val="24"/>
          <w:szCs w:val="24"/>
          <w:lang w:val="zh-TW" w:eastAsia="zh-TW"/>
        </w:rPr>
        <w:t>若国家出台新的税收政策，则按新政策执行。</w:t>
      </w:r>
    </w:p>
    <w:p w14:paraId="09BEDBCA">
      <w:pPr>
        <w:keepNext w:val="0"/>
        <w:keepLines w:val="0"/>
        <w:pageBreakBefore w:val="0"/>
        <w:widowControl w:val="0"/>
        <w:numPr>
          <w:ilvl w:val="0"/>
          <w:numId w:val="0"/>
        </w:numPr>
        <w:kinsoku/>
        <w:wordWrap/>
        <w:overflowPunct/>
        <w:topLinePunct w:val="0"/>
        <w:autoSpaceDE/>
        <w:autoSpaceDN/>
        <w:bidi w:val="0"/>
        <w:adjustRightInd/>
        <w:snapToGrid/>
        <w:spacing w:before="40" w:after="40" w:line="360" w:lineRule="auto"/>
        <w:ind w:leftChars="0"/>
        <w:textAlignment w:val="auto"/>
        <w:rPr>
          <w:rFonts w:hint="eastAsia"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sz w:val="24"/>
          <w:szCs w:val="24"/>
          <w:lang w:eastAsia="zh-CN"/>
        </w:rPr>
        <w:t>二、</w:t>
      </w:r>
      <w:r>
        <w:rPr>
          <w:rFonts w:hint="eastAsia" w:cs="宋体"/>
          <w:b/>
          <w:sz w:val="24"/>
          <w:szCs w:val="24"/>
          <w:lang w:eastAsia="zh-CN"/>
        </w:rPr>
        <w:t>交货时间、地点</w:t>
      </w:r>
    </w:p>
    <w:p w14:paraId="1FAA966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lang w:val="en-US" w:eastAsia="zh-CN"/>
        </w:rPr>
      </w:pPr>
      <w:r>
        <w:rPr>
          <w:rFonts w:hint="eastAsia"/>
          <w:lang w:val="en-US" w:eastAsia="zh-CN"/>
        </w:rPr>
        <w:t>1.交货时间</w:t>
      </w:r>
      <w:r>
        <w:rPr>
          <w:rFonts w:hint="eastAsia"/>
        </w:rPr>
        <w:t>：</w:t>
      </w:r>
      <w:r>
        <w:rPr>
          <w:rFonts w:hint="eastAsia"/>
          <w:lang w:val="en-US" w:eastAsia="zh-CN"/>
        </w:rPr>
        <w:t>2025年5月30日之前完成供货、安装、调试。</w:t>
      </w:r>
    </w:p>
    <w:p w14:paraId="4C9431E2">
      <w:pPr>
        <w:keepNext w:val="0"/>
        <w:keepLines w:val="0"/>
        <w:pageBreakBefore w:val="0"/>
        <w:widowControl w:val="0"/>
        <w:numPr>
          <w:ilvl w:val="0"/>
          <w:numId w:val="0"/>
        </w:numPr>
        <w:kinsoku/>
        <w:wordWrap/>
        <w:overflowPunct/>
        <w:topLinePunct w:val="0"/>
        <w:autoSpaceDE/>
        <w:autoSpaceDN/>
        <w:bidi w:val="0"/>
        <w:adjustRightInd/>
        <w:snapToGrid/>
        <w:spacing w:before="40" w:after="40" w:line="360" w:lineRule="auto"/>
        <w:ind w:leftChars="0" w:firstLine="480" w:firstLineChars="200"/>
        <w:textAlignment w:val="auto"/>
        <w:rPr>
          <w:rFonts w:hint="eastAsia"/>
          <w:lang w:eastAsia="zh-CN"/>
        </w:rPr>
      </w:pPr>
      <w:r>
        <w:rPr>
          <w:rFonts w:hint="eastAsia"/>
          <w:lang w:val="en-US" w:eastAsia="zh-CN"/>
        </w:rPr>
        <w:t>2.交货</w:t>
      </w:r>
      <w:r>
        <w:rPr>
          <w:rFonts w:hint="eastAsia"/>
        </w:rPr>
        <w:t>地点：</w:t>
      </w:r>
      <w:r>
        <w:rPr>
          <w:rFonts w:hint="eastAsia"/>
          <w:lang w:eastAsia="zh-CN"/>
        </w:rPr>
        <w:t>甲方指定地点。</w:t>
      </w:r>
    </w:p>
    <w:p w14:paraId="3A1AF15A">
      <w:pPr>
        <w:keepNext w:val="0"/>
        <w:keepLines w:val="0"/>
        <w:pageBreakBefore w:val="0"/>
        <w:widowControl w:val="0"/>
        <w:numPr>
          <w:ilvl w:val="0"/>
          <w:numId w:val="0"/>
        </w:numPr>
        <w:kinsoku/>
        <w:wordWrap/>
        <w:overflowPunct/>
        <w:topLinePunct w:val="0"/>
        <w:autoSpaceDE/>
        <w:autoSpaceDN/>
        <w:bidi w:val="0"/>
        <w:adjustRightInd/>
        <w:snapToGrid/>
        <w:spacing w:before="40" w:after="40" w:line="360" w:lineRule="auto"/>
        <w:ind w:leftChars="0"/>
        <w:textAlignment w:val="auto"/>
        <w:rPr>
          <w:rFonts w:hint="eastAsia" w:ascii="宋体" w:hAnsi="宋体" w:eastAsia="宋体" w:cs="宋体"/>
          <w:sz w:val="24"/>
          <w:szCs w:val="24"/>
        </w:rPr>
      </w:pPr>
      <w:r>
        <w:rPr>
          <w:rFonts w:hint="eastAsia" w:cs="宋体"/>
          <w:b/>
          <w:bCs/>
          <w:sz w:val="24"/>
          <w:szCs w:val="24"/>
          <w:lang w:val="en-US" w:eastAsia="zh-CN"/>
        </w:rPr>
        <w:t>三</w:t>
      </w:r>
      <w:r>
        <w:rPr>
          <w:rFonts w:hint="eastAsia" w:ascii="宋体" w:hAnsi="宋体" w:eastAsia="宋体" w:cs="宋体"/>
          <w:b/>
          <w:bCs/>
          <w:sz w:val="24"/>
          <w:szCs w:val="24"/>
          <w:lang w:val="en-US" w:eastAsia="zh-CN"/>
        </w:rPr>
        <w:t>、</w:t>
      </w:r>
      <w:r>
        <w:rPr>
          <w:rFonts w:hint="eastAsia" w:cs="宋体"/>
          <w:b/>
          <w:bCs/>
          <w:sz w:val="24"/>
          <w:szCs w:val="24"/>
          <w:lang w:val="en-US" w:eastAsia="zh-CN"/>
        </w:rPr>
        <w:t>设备及服务要求</w:t>
      </w:r>
    </w:p>
    <w:p w14:paraId="5457B80A">
      <w:pPr>
        <w:pStyle w:val="5"/>
        <w:spacing w:line="360" w:lineRule="auto"/>
        <w:rPr>
          <w:rFonts w:cs="宋体"/>
          <w:color w:val="auto"/>
        </w:rPr>
      </w:pPr>
      <w:r>
        <w:rPr>
          <w:rFonts w:hint="eastAsia" w:cs="宋体"/>
          <w:color w:val="auto"/>
        </w:rPr>
        <w:t>（一）设备要求</w:t>
      </w:r>
    </w:p>
    <w:p w14:paraId="6380C8C4">
      <w:pPr>
        <w:adjustRightInd/>
        <w:spacing w:line="360" w:lineRule="auto"/>
        <w:ind w:left="0" w:leftChars="0" w:firstLine="480" w:firstLineChars="200"/>
        <w:jc w:val="left"/>
        <w:rPr>
          <w:rFonts w:cs="宋体"/>
          <w:color w:val="auto"/>
        </w:rPr>
      </w:pPr>
      <w:r>
        <w:rPr>
          <w:rFonts w:hint="eastAsia" w:cs="宋体"/>
          <w:color w:val="auto"/>
        </w:rPr>
        <w:t>1</w:t>
      </w:r>
      <w:r>
        <w:rPr>
          <w:rFonts w:hint="eastAsia" w:cs="宋体"/>
          <w:color w:val="auto"/>
          <w:lang w:eastAsia="zh-CN"/>
        </w:rPr>
        <w:t>.乙方</w:t>
      </w:r>
      <w:r>
        <w:rPr>
          <w:rFonts w:hint="eastAsia" w:cs="宋体"/>
          <w:color w:val="auto"/>
        </w:rPr>
        <w:t>提供的软件/设备必须是全新的优质产品，符合相应的国家标准的，并须提供相关产品的产品合格证、产品说明书和安装说明等资料，</w:t>
      </w:r>
      <w:r>
        <w:rPr>
          <w:rFonts w:hint="eastAsia" w:cs="宋体"/>
          <w:color w:val="auto"/>
          <w:lang w:eastAsia="zh-CN"/>
        </w:rPr>
        <w:t>乙方</w:t>
      </w:r>
      <w:r>
        <w:rPr>
          <w:rFonts w:hint="eastAsia" w:cs="宋体"/>
          <w:color w:val="auto"/>
        </w:rPr>
        <w:t>所提供的产品在安装调试完成后，应构成一个完整的系统，能按照技术要求连续运行。</w:t>
      </w:r>
    </w:p>
    <w:p w14:paraId="77B1055B">
      <w:pPr>
        <w:adjustRightInd/>
        <w:spacing w:line="360" w:lineRule="auto"/>
        <w:ind w:left="0" w:leftChars="0" w:firstLine="480" w:firstLineChars="200"/>
        <w:jc w:val="left"/>
        <w:rPr>
          <w:rFonts w:cs="宋体"/>
          <w:color w:val="auto"/>
        </w:rPr>
      </w:pPr>
      <w:r>
        <w:rPr>
          <w:rFonts w:hint="eastAsia" w:cs="宋体"/>
          <w:color w:val="auto"/>
        </w:rPr>
        <w:t>2</w:t>
      </w:r>
      <w:r>
        <w:rPr>
          <w:rFonts w:hint="eastAsia" w:cs="宋体"/>
          <w:color w:val="auto"/>
          <w:lang w:eastAsia="zh-CN"/>
        </w:rPr>
        <w:t>.乙方</w:t>
      </w:r>
      <w:r>
        <w:rPr>
          <w:rFonts w:hint="eastAsia" w:cs="宋体"/>
          <w:color w:val="auto"/>
        </w:rPr>
        <w:t>应列出详细的产品配置清单（包括各主要零部件的厂家或品牌、型号和规格、数量等），作为技术评价依据之一。</w:t>
      </w:r>
    </w:p>
    <w:p w14:paraId="572920EB">
      <w:pPr>
        <w:pStyle w:val="5"/>
        <w:spacing w:line="360" w:lineRule="auto"/>
        <w:rPr>
          <w:rFonts w:cs="宋体"/>
          <w:color w:val="auto"/>
        </w:rPr>
      </w:pPr>
      <w:r>
        <w:rPr>
          <w:rFonts w:hint="eastAsia" w:cs="宋体"/>
          <w:color w:val="auto"/>
        </w:rPr>
        <w:t>（二）质保期要求</w:t>
      </w:r>
    </w:p>
    <w:p w14:paraId="1B57CE8B">
      <w:pPr>
        <w:autoSpaceDE w:val="0"/>
        <w:autoSpaceDN w:val="0"/>
        <w:spacing w:line="360" w:lineRule="auto"/>
        <w:ind w:left="0" w:leftChars="0" w:firstLine="480" w:firstLineChars="200"/>
        <w:jc w:val="left"/>
        <w:rPr>
          <w:rFonts w:hint="eastAsia" w:cs="宋体"/>
          <w:color w:val="auto"/>
          <w:kern w:val="0"/>
        </w:rPr>
      </w:pPr>
      <w:r>
        <w:rPr>
          <w:rFonts w:hint="eastAsia" w:cs="宋体"/>
          <w:color w:val="auto"/>
          <w:kern w:val="0"/>
          <w:lang w:val="en-US" w:eastAsia="zh-CN"/>
        </w:rPr>
        <w:t>1.</w:t>
      </w:r>
      <w:r>
        <w:rPr>
          <w:rFonts w:hint="eastAsia" w:cs="宋体"/>
          <w:color w:val="auto"/>
          <w:kern w:val="0"/>
        </w:rPr>
        <w:t>质保期：本项目质保期</w:t>
      </w:r>
      <w:r>
        <w:rPr>
          <w:rFonts w:hint="eastAsia" w:cs="宋体"/>
          <w:color w:val="auto"/>
          <w:kern w:val="0"/>
          <w:lang w:val="en-US" w:eastAsia="zh-CN"/>
        </w:rPr>
        <w:t>不少于3</w:t>
      </w:r>
      <w:r>
        <w:rPr>
          <w:rFonts w:hint="eastAsia" w:cs="宋体"/>
          <w:color w:val="auto"/>
          <w:kern w:val="0"/>
        </w:rPr>
        <w:t>年（若设备原厂商提供更长质保期，则按</w:t>
      </w:r>
      <w:r>
        <w:rPr>
          <w:rFonts w:hint="eastAsia" w:cs="宋体"/>
          <w:color w:val="auto"/>
          <w:kern w:val="0"/>
          <w:lang w:eastAsia="zh-CN"/>
        </w:rPr>
        <w:t>承诺</w:t>
      </w:r>
      <w:r>
        <w:rPr>
          <w:rFonts w:hint="eastAsia" w:cs="宋体"/>
          <w:color w:val="auto"/>
          <w:kern w:val="0"/>
        </w:rPr>
        <w:t>的质保期执行）。质保期从验收合格</w:t>
      </w:r>
      <w:r>
        <w:rPr>
          <w:rFonts w:hint="eastAsia" w:cs="宋体"/>
          <w:color w:val="auto"/>
          <w:kern w:val="0"/>
          <w:lang w:eastAsia="zh-CN"/>
        </w:rPr>
        <w:t>之</w:t>
      </w:r>
      <w:r>
        <w:rPr>
          <w:rFonts w:hint="eastAsia" w:cs="宋体"/>
          <w:color w:val="auto"/>
          <w:kern w:val="0"/>
        </w:rPr>
        <w:t>日起算。在质保期间，除人为损坏的问题，均由</w:t>
      </w:r>
      <w:r>
        <w:rPr>
          <w:rFonts w:hint="eastAsia" w:cs="宋体"/>
          <w:color w:val="auto"/>
          <w:kern w:val="0"/>
          <w:lang w:eastAsia="zh-CN"/>
        </w:rPr>
        <w:t>乙方</w:t>
      </w:r>
      <w:r>
        <w:rPr>
          <w:rFonts w:hint="eastAsia" w:cs="宋体"/>
          <w:color w:val="auto"/>
          <w:kern w:val="0"/>
        </w:rPr>
        <w:t>负责维修和更换，所有费用由</w:t>
      </w:r>
      <w:r>
        <w:rPr>
          <w:rFonts w:hint="eastAsia" w:cs="宋体"/>
          <w:color w:val="auto"/>
          <w:kern w:val="0"/>
          <w:lang w:eastAsia="zh-CN"/>
        </w:rPr>
        <w:t>乙方</w:t>
      </w:r>
      <w:r>
        <w:rPr>
          <w:rFonts w:hint="eastAsia" w:cs="宋体"/>
          <w:color w:val="auto"/>
          <w:kern w:val="0"/>
        </w:rPr>
        <w:t>自行承担。</w:t>
      </w:r>
      <w:r>
        <w:rPr>
          <w:rFonts w:hint="eastAsia" w:cs="宋体"/>
          <w:color w:val="auto"/>
          <w:kern w:val="0"/>
          <w:lang w:val="en-US" w:eastAsia="zh-CN"/>
        </w:rPr>
        <w:t>所有包含软件的设备需免费终生使用并提供更新服务。</w:t>
      </w:r>
    </w:p>
    <w:p w14:paraId="71691A36">
      <w:pPr>
        <w:autoSpaceDE w:val="0"/>
        <w:autoSpaceDN w:val="0"/>
        <w:spacing w:line="360" w:lineRule="auto"/>
        <w:ind w:left="0" w:leftChars="0" w:firstLine="480" w:firstLineChars="200"/>
        <w:jc w:val="left"/>
        <w:rPr>
          <w:rFonts w:hint="eastAsia" w:cs="宋体"/>
          <w:color w:val="auto"/>
          <w:kern w:val="0"/>
        </w:rPr>
      </w:pPr>
      <w:r>
        <w:rPr>
          <w:rFonts w:hint="eastAsia" w:cs="宋体"/>
          <w:color w:val="auto"/>
          <w:kern w:val="0"/>
          <w:lang w:val="en-US" w:eastAsia="zh-CN"/>
        </w:rPr>
        <w:t>2.</w:t>
      </w:r>
      <w:r>
        <w:rPr>
          <w:rFonts w:hint="eastAsia" w:cs="宋体"/>
          <w:color w:val="auto"/>
          <w:kern w:val="0"/>
        </w:rPr>
        <w:t>在质保期内，</w:t>
      </w:r>
      <w:r>
        <w:rPr>
          <w:rFonts w:hint="eastAsia" w:cs="宋体"/>
          <w:color w:val="auto"/>
          <w:kern w:val="0"/>
          <w:lang w:eastAsia="zh-CN"/>
        </w:rPr>
        <w:t>乙方</w:t>
      </w:r>
      <w:r>
        <w:rPr>
          <w:rFonts w:hint="eastAsia" w:cs="宋体"/>
          <w:color w:val="auto"/>
          <w:kern w:val="0"/>
        </w:rPr>
        <w:t>应对货物出现的质量及安全问题负责处理解决并承担一切费用。</w:t>
      </w:r>
      <w:r>
        <w:rPr>
          <w:rFonts w:hint="eastAsia" w:cs="宋体"/>
          <w:color w:val="auto"/>
          <w:kern w:val="0"/>
          <w:lang w:eastAsia="zh-CN"/>
        </w:rPr>
        <w:t>乙方</w:t>
      </w:r>
      <w:r>
        <w:rPr>
          <w:rFonts w:hint="eastAsia" w:cs="宋体"/>
          <w:color w:val="auto"/>
          <w:kern w:val="0"/>
        </w:rPr>
        <w:t>负责免费提供设备运行所需全部备件，并提供免费维修、保养服务。</w:t>
      </w:r>
    </w:p>
    <w:p w14:paraId="25310AFA">
      <w:pPr>
        <w:autoSpaceDE w:val="0"/>
        <w:autoSpaceDN w:val="0"/>
        <w:spacing w:line="360" w:lineRule="auto"/>
        <w:ind w:left="0" w:leftChars="0" w:firstLine="480" w:firstLineChars="200"/>
        <w:jc w:val="left"/>
        <w:rPr>
          <w:rFonts w:hint="eastAsia" w:cs="宋体"/>
          <w:color w:val="auto"/>
          <w:kern w:val="0"/>
        </w:rPr>
      </w:pPr>
      <w:r>
        <w:rPr>
          <w:rFonts w:hint="eastAsia" w:cs="宋体"/>
          <w:color w:val="auto"/>
          <w:kern w:val="0"/>
          <w:lang w:val="en-US" w:eastAsia="zh-CN"/>
        </w:rPr>
        <w:t>3.</w:t>
      </w:r>
      <w:r>
        <w:rPr>
          <w:rFonts w:hint="eastAsia" w:cs="宋体"/>
          <w:color w:val="auto"/>
          <w:kern w:val="0"/>
        </w:rPr>
        <w:t>质保期内，非因</w:t>
      </w:r>
      <w:r>
        <w:rPr>
          <w:rFonts w:hint="eastAsia" w:cs="宋体"/>
          <w:color w:val="auto"/>
          <w:kern w:val="0"/>
          <w:lang w:eastAsia="zh-CN"/>
        </w:rPr>
        <w:t>甲方</w:t>
      </w:r>
      <w:r>
        <w:rPr>
          <w:rFonts w:hint="eastAsia" w:cs="宋体"/>
          <w:color w:val="auto"/>
          <w:kern w:val="0"/>
        </w:rPr>
        <w:t>人为原因而出现设备质量问题的，由</w:t>
      </w:r>
      <w:r>
        <w:rPr>
          <w:rFonts w:hint="eastAsia" w:cs="宋体"/>
          <w:color w:val="auto"/>
          <w:kern w:val="0"/>
          <w:lang w:eastAsia="zh-CN"/>
        </w:rPr>
        <w:t>乙方</w:t>
      </w:r>
      <w:r>
        <w:rPr>
          <w:rFonts w:hint="eastAsia" w:cs="宋体"/>
          <w:color w:val="auto"/>
          <w:kern w:val="0"/>
        </w:rPr>
        <w:t>负责包修、包换或包退并承担修理、调换或退货而产生的实际费用。如因</w:t>
      </w:r>
      <w:r>
        <w:rPr>
          <w:rFonts w:hint="eastAsia" w:cs="宋体"/>
          <w:color w:val="auto"/>
          <w:kern w:val="0"/>
          <w:lang w:eastAsia="zh-CN"/>
        </w:rPr>
        <w:t>甲方</w:t>
      </w:r>
      <w:r>
        <w:rPr>
          <w:rFonts w:hint="eastAsia" w:cs="宋体"/>
          <w:color w:val="auto"/>
          <w:kern w:val="0"/>
        </w:rPr>
        <w:t>使用不当造成故障的，</w:t>
      </w:r>
      <w:r>
        <w:rPr>
          <w:rFonts w:hint="eastAsia" w:cs="宋体"/>
          <w:color w:val="auto"/>
          <w:kern w:val="0"/>
          <w:lang w:eastAsia="zh-CN"/>
        </w:rPr>
        <w:t>乙方</w:t>
      </w:r>
      <w:r>
        <w:rPr>
          <w:rFonts w:hint="eastAsia" w:cs="宋体"/>
          <w:color w:val="auto"/>
          <w:kern w:val="0"/>
        </w:rPr>
        <w:t>应负责修理、调换，费用另行协商。</w:t>
      </w:r>
    </w:p>
    <w:p w14:paraId="115F058F">
      <w:pPr>
        <w:autoSpaceDE w:val="0"/>
        <w:autoSpaceDN w:val="0"/>
        <w:spacing w:line="360" w:lineRule="auto"/>
        <w:ind w:left="0" w:leftChars="0" w:firstLine="480" w:firstLineChars="200"/>
        <w:jc w:val="left"/>
        <w:rPr>
          <w:rFonts w:hint="eastAsia" w:cs="宋体"/>
          <w:color w:val="auto"/>
          <w:kern w:val="0"/>
        </w:rPr>
      </w:pPr>
      <w:r>
        <w:rPr>
          <w:rFonts w:hint="eastAsia" w:cs="宋体"/>
          <w:color w:val="auto"/>
          <w:kern w:val="0"/>
          <w:lang w:val="en-US" w:eastAsia="zh-CN"/>
        </w:rPr>
        <w:t>4.</w:t>
      </w:r>
      <w:r>
        <w:rPr>
          <w:rFonts w:hint="eastAsia" w:cs="宋体"/>
          <w:color w:val="auto"/>
          <w:kern w:val="0"/>
        </w:rPr>
        <w:t>质保期内，如故障在</w:t>
      </w:r>
      <w:r>
        <w:rPr>
          <w:rFonts w:hint="eastAsia" w:cs="宋体"/>
          <w:color w:val="auto"/>
          <w:kern w:val="0"/>
          <w:lang w:eastAsia="zh-CN"/>
        </w:rPr>
        <w:t>乙方</w:t>
      </w:r>
      <w:r>
        <w:rPr>
          <w:rFonts w:hint="eastAsia" w:cs="宋体"/>
          <w:color w:val="auto"/>
          <w:kern w:val="0"/>
        </w:rPr>
        <w:t>检修3个工作日后仍无法排除的，</w:t>
      </w:r>
      <w:r>
        <w:rPr>
          <w:rFonts w:hint="eastAsia" w:cs="宋体"/>
          <w:color w:val="auto"/>
          <w:kern w:val="0"/>
          <w:lang w:eastAsia="zh-CN"/>
        </w:rPr>
        <w:t>甲方</w:t>
      </w:r>
      <w:r>
        <w:rPr>
          <w:rFonts w:hint="eastAsia" w:cs="宋体"/>
          <w:color w:val="auto"/>
          <w:kern w:val="0"/>
        </w:rPr>
        <w:t>有权要求</w:t>
      </w:r>
      <w:r>
        <w:rPr>
          <w:rFonts w:hint="eastAsia" w:cs="宋体"/>
          <w:color w:val="auto"/>
          <w:kern w:val="0"/>
          <w:lang w:eastAsia="zh-CN"/>
        </w:rPr>
        <w:t>乙方</w:t>
      </w:r>
      <w:r>
        <w:rPr>
          <w:rFonts w:hint="eastAsia" w:cs="宋体"/>
          <w:color w:val="auto"/>
          <w:kern w:val="0"/>
        </w:rPr>
        <w:t>在</w:t>
      </w:r>
      <w:r>
        <w:rPr>
          <w:rFonts w:hint="eastAsia" w:cs="宋体"/>
          <w:color w:val="auto"/>
          <w:kern w:val="0"/>
          <w:lang w:eastAsia="zh-CN"/>
        </w:rPr>
        <w:t>甲方</w:t>
      </w:r>
      <w:r>
        <w:rPr>
          <w:rFonts w:hint="eastAsia" w:cs="宋体"/>
          <w:color w:val="auto"/>
          <w:kern w:val="0"/>
        </w:rPr>
        <w:t>指定期限内免费提供不低于故障设备规格型号档次的备用设备供</w:t>
      </w:r>
      <w:r>
        <w:rPr>
          <w:rFonts w:hint="eastAsia" w:cs="宋体"/>
          <w:color w:val="auto"/>
          <w:kern w:val="0"/>
          <w:lang w:eastAsia="zh-CN"/>
        </w:rPr>
        <w:t>甲方</w:t>
      </w:r>
      <w:r>
        <w:rPr>
          <w:rFonts w:hint="eastAsia" w:cs="宋体"/>
          <w:color w:val="auto"/>
          <w:kern w:val="0"/>
        </w:rPr>
        <w:t>使用，直至故障排除。</w:t>
      </w:r>
    </w:p>
    <w:p w14:paraId="03606272">
      <w:pPr>
        <w:autoSpaceDE w:val="0"/>
        <w:autoSpaceDN w:val="0"/>
        <w:spacing w:line="360" w:lineRule="auto"/>
        <w:ind w:left="0" w:leftChars="0" w:firstLine="480" w:firstLineChars="200"/>
        <w:jc w:val="left"/>
        <w:rPr>
          <w:rFonts w:hint="eastAsia" w:cs="宋体"/>
          <w:color w:val="auto"/>
          <w:kern w:val="0"/>
        </w:rPr>
      </w:pPr>
      <w:r>
        <w:rPr>
          <w:rFonts w:hint="eastAsia" w:cs="宋体"/>
          <w:color w:val="auto"/>
          <w:kern w:val="0"/>
          <w:lang w:val="en-US" w:eastAsia="zh-CN"/>
        </w:rPr>
        <w:t>5</w:t>
      </w:r>
      <w:r>
        <w:rPr>
          <w:rFonts w:hint="eastAsia" w:cs="宋体"/>
          <w:color w:val="auto"/>
          <w:kern w:val="0"/>
        </w:rPr>
        <w:t>.质保期内，如</w:t>
      </w:r>
      <w:r>
        <w:rPr>
          <w:rFonts w:hint="eastAsia" w:cs="宋体"/>
          <w:color w:val="auto"/>
          <w:kern w:val="0"/>
          <w:lang w:eastAsia="zh-CN"/>
        </w:rPr>
        <w:t>乙方</w:t>
      </w:r>
      <w:r>
        <w:rPr>
          <w:rFonts w:hint="eastAsia" w:cs="宋体"/>
          <w:color w:val="auto"/>
          <w:kern w:val="0"/>
        </w:rPr>
        <w:t>未按照约定履行义务的，</w:t>
      </w:r>
      <w:r>
        <w:rPr>
          <w:rFonts w:hint="eastAsia" w:cs="宋体"/>
          <w:color w:val="auto"/>
          <w:kern w:val="0"/>
          <w:lang w:eastAsia="zh-CN"/>
        </w:rPr>
        <w:t>甲方</w:t>
      </w:r>
      <w:r>
        <w:rPr>
          <w:rFonts w:hint="eastAsia" w:cs="宋体"/>
          <w:color w:val="auto"/>
          <w:kern w:val="0"/>
        </w:rPr>
        <w:t>有权自行委托第三人维修，维修费用由</w:t>
      </w:r>
      <w:r>
        <w:rPr>
          <w:rFonts w:hint="eastAsia" w:cs="宋体"/>
          <w:color w:val="auto"/>
          <w:kern w:val="0"/>
          <w:lang w:eastAsia="zh-CN"/>
        </w:rPr>
        <w:t>乙方</w:t>
      </w:r>
      <w:r>
        <w:rPr>
          <w:rFonts w:hint="eastAsia" w:cs="宋体"/>
          <w:color w:val="auto"/>
          <w:kern w:val="0"/>
        </w:rPr>
        <w:t>承担。如因此造成</w:t>
      </w:r>
      <w:r>
        <w:rPr>
          <w:rFonts w:hint="eastAsia" w:cs="宋体"/>
          <w:color w:val="auto"/>
          <w:kern w:val="0"/>
          <w:lang w:eastAsia="zh-CN"/>
        </w:rPr>
        <w:t>甲方</w:t>
      </w:r>
      <w:r>
        <w:rPr>
          <w:rFonts w:hint="eastAsia" w:cs="宋体"/>
          <w:color w:val="auto"/>
          <w:kern w:val="0"/>
        </w:rPr>
        <w:t>损失的，</w:t>
      </w:r>
      <w:r>
        <w:rPr>
          <w:rFonts w:hint="eastAsia" w:cs="宋体"/>
          <w:color w:val="auto"/>
          <w:kern w:val="0"/>
          <w:lang w:eastAsia="zh-CN"/>
        </w:rPr>
        <w:t>乙方</w:t>
      </w:r>
      <w:r>
        <w:rPr>
          <w:rFonts w:hint="eastAsia" w:cs="宋体"/>
          <w:color w:val="auto"/>
          <w:kern w:val="0"/>
        </w:rPr>
        <w:t>应当赔偿</w:t>
      </w:r>
      <w:r>
        <w:rPr>
          <w:rFonts w:hint="eastAsia" w:cs="宋体"/>
          <w:color w:val="auto"/>
          <w:kern w:val="0"/>
          <w:lang w:eastAsia="zh-CN"/>
        </w:rPr>
        <w:t>甲方</w:t>
      </w:r>
      <w:r>
        <w:rPr>
          <w:rFonts w:hint="eastAsia" w:cs="宋体"/>
          <w:color w:val="auto"/>
          <w:kern w:val="0"/>
        </w:rPr>
        <w:t>的全部损失。</w:t>
      </w:r>
    </w:p>
    <w:p w14:paraId="10114E50">
      <w:pPr>
        <w:autoSpaceDE w:val="0"/>
        <w:autoSpaceDN w:val="0"/>
        <w:spacing w:line="360" w:lineRule="auto"/>
        <w:ind w:left="0" w:leftChars="0" w:firstLine="480" w:firstLineChars="200"/>
        <w:jc w:val="left"/>
        <w:rPr>
          <w:rFonts w:hint="eastAsia" w:cs="宋体"/>
          <w:color w:val="auto"/>
          <w:kern w:val="0"/>
        </w:rPr>
      </w:pPr>
      <w:r>
        <w:rPr>
          <w:rFonts w:hint="eastAsia" w:cs="宋体"/>
          <w:color w:val="auto"/>
          <w:kern w:val="0"/>
          <w:lang w:val="en-US" w:eastAsia="zh-CN"/>
        </w:rPr>
        <w:t>6</w:t>
      </w:r>
      <w:r>
        <w:rPr>
          <w:rFonts w:hint="eastAsia" w:cs="宋体"/>
          <w:color w:val="auto"/>
          <w:kern w:val="0"/>
        </w:rPr>
        <w:t>.质保期内出现无法排除的故障，</w:t>
      </w:r>
      <w:r>
        <w:rPr>
          <w:rFonts w:hint="eastAsia" w:cs="宋体"/>
          <w:color w:val="auto"/>
          <w:kern w:val="0"/>
          <w:lang w:eastAsia="zh-CN"/>
        </w:rPr>
        <w:t>乙方</w:t>
      </w:r>
      <w:r>
        <w:rPr>
          <w:rFonts w:hint="eastAsia" w:cs="宋体"/>
          <w:color w:val="auto"/>
          <w:kern w:val="0"/>
        </w:rPr>
        <w:t>需无条件更换同型号或高于技术要求参数的产品。质保期内因不能排除的故障而影响工作的情况每发生一次，其质保期相应延长60天。</w:t>
      </w:r>
    </w:p>
    <w:p w14:paraId="5CE59762">
      <w:pPr>
        <w:pStyle w:val="5"/>
        <w:spacing w:line="360" w:lineRule="auto"/>
        <w:ind w:firstLine="480" w:firstLineChars="200"/>
        <w:rPr>
          <w:rFonts w:hint="eastAsia" w:cs="宋体"/>
          <w:color w:val="auto"/>
          <w:kern w:val="0"/>
        </w:rPr>
      </w:pPr>
      <w:r>
        <w:rPr>
          <w:rFonts w:hint="eastAsia" w:cs="宋体"/>
          <w:b w:val="0"/>
          <w:bCs w:val="0"/>
          <w:color w:val="auto"/>
          <w:kern w:val="0"/>
          <w:lang w:val="en-US" w:eastAsia="zh-CN"/>
        </w:rPr>
        <w:t>7</w:t>
      </w:r>
      <w:r>
        <w:rPr>
          <w:rFonts w:hint="eastAsia" w:cs="宋体"/>
          <w:b w:val="0"/>
          <w:bCs w:val="0"/>
          <w:color w:val="auto"/>
          <w:kern w:val="0"/>
        </w:rPr>
        <w:t>.质保期满后，</w:t>
      </w:r>
      <w:r>
        <w:rPr>
          <w:rFonts w:hint="eastAsia" w:cs="宋体"/>
          <w:b w:val="0"/>
          <w:bCs w:val="0"/>
          <w:color w:val="auto"/>
          <w:kern w:val="0"/>
          <w:lang w:eastAsia="zh-CN"/>
        </w:rPr>
        <w:t>乙方</w:t>
      </w:r>
      <w:r>
        <w:rPr>
          <w:rFonts w:hint="eastAsia" w:cs="宋体"/>
          <w:b w:val="0"/>
          <w:bCs w:val="0"/>
          <w:color w:val="auto"/>
          <w:kern w:val="0"/>
        </w:rPr>
        <w:t>继续为</w:t>
      </w:r>
      <w:r>
        <w:rPr>
          <w:rFonts w:hint="eastAsia" w:cs="宋体"/>
          <w:b w:val="0"/>
          <w:bCs w:val="0"/>
          <w:color w:val="auto"/>
          <w:kern w:val="0"/>
          <w:lang w:eastAsia="zh-CN"/>
        </w:rPr>
        <w:t>甲方</w:t>
      </w:r>
      <w:r>
        <w:rPr>
          <w:rFonts w:hint="eastAsia" w:cs="宋体"/>
          <w:b w:val="0"/>
          <w:bCs w:val="0"/>
          <w:color w:val="auto"/>
          <w:kern w:val="0"/>
        </w:rPr>
        <w:t>服务，仅收取零配件成本费，所涉及软件终身免费升级。</w:t>
      </w:r>
    </w:p>
    <w:p w14:paraId="7B6CFDAE">
      <w:pPr>
        <w:pStyle w:val="5"/>
        <w:spacing w:line="360" w:lineRule="auto"/>
        <w:rPr>
          <w:rFonts w:cs="宋体"/>
          <w:color w:val="auto"/>
        </w:rPr>
      </w:pPr>
      <w:r>
        <w:rPr>
          <w:rFonts w:hint="eastAsia" w:cs="宋体"/>
          <w:color w:val="auto"/>
        </w:rPr>
        <w:t>（三）验收要求</w:t>
      </w:r>
    </w:p>
    <w:p w14:paraId="7B2C3762">
      <w:pPr>
        <w:autoSpaceDE w:val="0"/>
        <w:autoSpaceDN w:val="0"/>
        <w:spacing w:line="360" w:lineRule="auto"/>
        <w:ind w:left="0" w:leftChars="0" w:firstLine="480" w:firstLineChars="200"/>
        <w:jc w:val="left"/>
        <w:rPr>
          <w:rFonts w:cs="宋体"/>
          <w:color w:val="auto"/>
          <w:kern w:val="0"/>
        </w:rPr>
      </w:pPr>
      <w:r>
        <w:rPr>
          <w:rFonts w:hint="eastAsia" w:cs="宋体"/>
          <w:color w:val="auto"/>
          <w:kern w:val="0"/>
        </w:rPr>
        <w:t>1</w:t>
      </w:r>
      <w:r>
        <w:rPr>
          <w:rFonts w:hint="eastAsia" w:cs="宋体"/>
          <w:color w:val="auto"/>
          <w:kern w:val="0"/>
          <w:lang w:eastAsia="zh-CN"/>
        </w:rPr>
        <w:t>.</w:t>
      </w:r>
      <w:r>
        <w:rPr>
          <w:rFonts w:hint="eastAsia" w:cs="宋体"/>
          <w:color w:val="auto"/>
          <w:kern w:val="0"/>
        </w:rPr>
        <w:t>验收时间：</w:t>
      </w:r>
      <w:r>
        <w:rPr>
          <w:rFonts w:hint="eastAsia" w:cs="宋体"/>
          <w:color w:val="auto"/>
          <w:kern w:val="0"/>
          <w:lang w:eastAsia="zh-CN"/>
        </w:rPr>
        <w:t>乙方</w:t>
      </w:r>
      <w:r>
        <w:rPr>
          <w:rFonts w:hint="eastAsia" w:cs="宋体"/>
          <w:color w:val="auto"/>
          <w:kern w:val="0"/>
        </w:rPr>
        <w:t>在设备送达指定地点并安装调试完毕后，书面通知</w:t>
      </w:r>
      <w:r>
        <w:rPr>
          <w:rFonts w:hint="eastAsia" w:cs="宋体"/>
          <w:color w:val="auto"/>
          <w:kern w:val="0"/>
          <w:lang w:eastAsia="zh-CN"/>
        </w:rPr>
        <w:t>甲方</w:t>
      </w:r>
      <w:r>
        <w:rPr>
          <w:rFonts w:hint="eastAsia" w:cs="宋体"/>
          <w:color w:val="auto"/>
          <w:kern w:val="0"/>
        </w:rPr>
        <w:t>报验。</w:t>
      </w:r>
    </w:p>
    <w:p w14:paraId="32284EB8">
      <w:pPr>
        <w:autoSpaceDE w:val="0"/>
        <w:autoSpaceDN w:val="0"/>
        <w:spacing w:line="360" w:lineRule="auto"/>
        <w:ind w:left="0" w:leftChars="0" w:firstLine="480" w:firstLineChars="200"/>
        <w:jc w:val="left"/>
        <w:rPr>
          <w:rFonts w:cs="宋体"/>
          <w:color w:val="auto"/>
          <w:kern w:val="0"/>
        </w:rPr>
      </w:pPr>
      <w:r>
        <w:rPr>
          <w:rFonts w:hint="eastAsia" w:cs="宋体"/>
          <w:color w:val="auto"/>
          <w:kern w:val="0"/>
        </w:rPr>
        <w:t>2</w:t>
      </w:r>
      <w:r>
        <w:rPr>
          <w:rFonts w:hint="eastAsia" w:cs="宋体"/>
          <w:color w:val="auto"/>
          <w:kern w:val="0"/>
          <w:lang w:eastAsia="zh-CN"/>
        </w:rPr>
        <w:t>.</w:t>
      </w:r>
      <w:r>
        <w:rPr>
          <w:rFonts w:hint="eastAsia" w:cs="宋体"/>
          <w:color w:val="auto"/>
          <w:kern w:val="0"/>
        </w:rPr>
        <w:t>验收：根据行业相关标准及招标文件、投标文件相应技术要求，由</w:t>
      </w:r>
      <w:r>
        <w:rPr>
          <w:rFonts w:hint="eastAsia" w:cs="宋体"/>
          <w:color w:val="auto"/>
          <w:kern w:val="0"/>
          <w:lang w:eastAsia="zh-CN"/>
        </w:rPr>
        <w:t>甲方</w:t>
      </w:r>
      <w:r>
        <w:rPr>
          <w:rFonts w:hint="eastAsia" w:cs="宋体"/>
          <w:color w:val="auto"/>
          <w:kern w:val="0"/>
        </w:rPr>
        <w:t>组织验收。</w:t>
      </w:r>
    </w:p>
    <w:p w14:paraId="2C0C5092">
      <w:pPr>
        <w:pStyle w:val="5"/>
        <w:spacing w:line="360" w:lineRule="auto"/>
        <w:rPr>
          <w:rFonts w:hint="eastAsia" w:eastAsia="宋体" w:cs="宋体"/>
          <w:color w:val="auto"/>
          <w:lang w:eastAsia="zh-CN"/>
        </w:rPr>
      </w:pPr>
      <w:r>
        <w:rPr>
          <w:rFonts w:hint="eastAsia" w:cs="宋体"/>
          <w:color w:val="auto"/>
        </w:rPr>
        <w:t>（四）</w:t>
      </w:r>
      <w:r>
        <w:rPr>
          <w:rFonts w:hint="eastAsia"/>
          <w:b/>
          <w:bCs/>
        </w:rPr>
        <w:t>送货调试安装</w:t>
      </w:r>
    </w:p>
    <w:p w14:paraId="2728B2C8">
      <w:pPr>
        <w:bidi w:val="0"/>
        <w:spacing w:line="360" w:lineRule="auto"/>
        <w:ind w:left="0" w:leftChars="0" w:firstLine="480" w:firstLineChars="200"/>
        <w:rPr>
          <w:rFonts w:hint="eastAsia"/>
          <w:b w:val="0"/>
          <w:bCs w:val="0"/>
        </w:rPr>
      </w:pPr>
      <w:r>
        <w:rPr>
          <w:rFonts w:hint="eastAsia"/>
          <w:b w:val="0"/>
          <w:bCs w:val="0"/>
          <w:lang w:val="en-US" w:eastAsia="zh-CN"/>
        </w:rPr>
        <w:t>1.乙方</w:t>
      </w:r>
      <w:r>
        <w:rPr>
          <w:rFonts w:hint="eastAsia"/>
          <w:b w:val="0"/>
          <w:bCs w:val="0"/>
        </w:rPr>
        <w:t>应按招标文件规定的货物性能、技术要求、质量标准向</w:t>
      </w:r>
      <w:r>
        <w:rPr>
          <w:rFonts w:hint="eastAsia"/>
          <w:b w:val="0"/>
          <w:bCs w:val="0"/>
          <w:lang w:eastAsia="zh-CN"/>
        </w:rPr>
        <w:t>甲方</w:t>
      </w:r>
      <w:r>
        <w:rPr>
          <w:rFonts w:hint="eastAsia"/>
          <w:b w:val="0"/>
          <w:bCs w:val="0"/>
        </w:rPr>
        <w:t>提供未经使用的全新产品，符合国家法律法规规定和技术规格、质量标准的出厂原装合格产品。</w:t>
      </w:r>
      <w:r>
        <w:rPr>
          <w:rFonts w:hint="eastAsia"/>
          <w:b w:val="0"/>
          <w:bCs w:val="0"/>
          <w:lang w:eastAsia="zh-CN"/>
        </w:rPr>
        <w:t>乙方</w:t>
      </w:r>
      <w:r>
        <w:rPr>
          <w:rFonts w:hint="eastAsia"/>
          <w:b w:val="0"/>
          <w:bCs w:val="0"/>
        </w:rPr>
        <w:t>应派</w:t>
      </w:r>
      <w:r>
        <w:rPr>
          <w:rFonts w:hint="eastAsia"/>
          <w:b w:val="0"/>
          <w:bCs w:val="0"/>
          <w:lang w:eastAsia="zh-CN"/>
        </w:rPr>
        <w:t>甲方</w:t>
      </w:r>
      <w:r>
        <w:rPr>
          <w:rFonts w:hint="eastAsia"/>
          <w:b w:val="0"/>
          <w:bCs w:val="0"/>
        </w:rPr>
        <w:t>认可的有经验和能力、具有相应资质的技术人员，负责系统设备安装工作，在设备安装期间应充分了解设备安装进度要求，解决安装中出现的技术问题。</w:t>
      </w:r>
    </w:p>
    <w:p w14:paraId="729F9187">
      <w:pPr>
        <w:bidi w:val="0"/>
        <w:spacing w:line="360" w:lineRule="auto"/>
        <w:ind w:left="0" w:leftChars="0" w:firstLine="480" w:firstLineChars="200"/>
        <w:rPr>
          <w:rFonts w:hint="eastAsia"/>
          <w:b w:val="0"/>
          <w:bCs w:val="0"/>
          <w:lang w:val="en-US" w:eastAsia="zh-CN"/>
        </w:rPr>
      </w:pPr>
      <w:r>
        <w:rPr>
          <w:rFonts w:hint="eastAsia"/>
          <w:b w:val="0"/>
          <w:bCs w:val="0"/>
          <w:lang w:val="en-US" w:eastAsia="zh-CN"/>
        </w:rPr>
        <w:t>2.调试所需专用工具设施物料由乙方自备、自费运到现场，完工后自费搬走。送货、调试过程中发生的费用由乙方负责。</w:t>
      </w:r>
    </w:p>
    <w:p w14:paraId="6E4B3781">
      <w:pPr>
        <w:pStyle w:val="5"/>
        <w:spacing w:line="360" w:lineRule="auto"/>
        <w:ind w:firstLine="480" w:firstLineChars="200"/>
        <w:rPr>
          <w:rFonts w:hint="eastAsia"/>
          <w:b w:val="0"/>
          <w:bCs w:val="0"/>
          <w:lang w:val="en-US" w:eastAsia="zh-CN"/>
        </w:rPr>
      </w:pPr>
      <w:r>
        <w:rPr>
          <w:rFonts w:hint="eastAsia"/>
          <w:b w:val="0"/>
          <w:bCs w:val="0"/>
          <w:lang w:val="en-US" w:eastAsia="zh-CN"/>
        </w:rPr>
        <w:t>3.设备的拆箱、通电、调试等各项工作由乙方负责，但必须在甲方指定人员的参与下进行。在实际实施前必须先经甲方同意方可进行。调试的原始记录须经各方签字后作为验收的文件之一。</w:t>
      </w:r>
    </w:p>
    <w:p w14:paraId="11370F7B">
      <w:pPr>
        <w:pStyle w:val="5"/>
        <w:spacing w:line="360" w:lineRule="auto"/>
        <w:rPr>
          <w:rFonts w:cs="宋体"/>
          <w:color w:val="auto"/>
        </w:rPr>
      </w:pPr>
      <w:r>
        <w:rPr>
          <w:rFonts w:hint="eastAsia" w:cs="宋体"/>
          <w:color w:val="auto"/>
        </w:rPr>
        <w:t>（五）售后服务要求</w:t>
      </w:r>
    </w:p>
    <w:p w14:paraId="529F98B7">
      <w:pPr>
        <w:spacing w:line="360" w:lineRule="auto"/>
        <w:ind w:firstLine="480" w:firstLineChars="200"/>
        <w:rPr>
          <w:rFonts w:cs="宋体"/>
          <w:color w:val="auto"/>
        </w:rPr>
      </w:pPr>
      <w:r>
        <w:rPr>
          <w:rFonts w:hint="eastAsia" w:cs="宋体"/>
          <w:color w:val="auto"/>
        </w:rPr>
        <w:t>1.质保期内出现的质量问题，</w:t>
      </w:r>
      <w:r>
        <w:rPr>
          <w:rFonts w:hint="eastAsia" w:cs="宋体"/>
          <w:color w:val="auto"/>
          <w:lang w:eastAsia="zh-CN"/>
        </w:rPr>
        <w:t>乙方</w:t>
      </w:r>
      <w:r>
        <w:rPr>
          <w:rFonts w:hint="eastAsia" w:cs="宋体"/>
          <w:color w:val="auto"/>
        </w:rPr>
        <w:t>必须在接到</w:t>
      </w:r>
      <w:r>
        <w:rPr>
          <w:rFonts w:hint="eastAsia" w:cs="宋体"/>
          <w:color w:val="auto"/>
          <w:lang w:eastAsia="zh-CN"/>
        </w:rPr>
        <w:t>甲方</w:t>
      </w:r>
      <w:r>
        <w:rPr>
          <w:rFonts w:hint="eastAsia" w:cs="宋体"/>
          <w:color w:val="auto"/>
        </w:rPr>
        <w:t>通知后</w:t>
      </w:r>
      <w:r>
        <w:rPr>
          <w:rFonts w:hint="eastAsia" w:cs="宋体"/>
          <w:color w:val="auto"/>
          <w:lang w:val="en-US" w:eastAsia="zh-CN"/>
        </w:rPr>
        <w:t>3</w:t>
      </w:r>
      <w:r>
        <w:rPr>
          <w:rFonts w:hint="eastAsia" w:cs="宋体"/>
          <w:color w:val="auto"/>
        </w:rPr>
        <w:t>小时内</w:t>
      </w:r>
      <w:r>
        <w:rPr>
          <w:rFonts w:hint="eastAsia" w:cs="宋体"/>
          <w:color w:val="auto"/>
          <w:lang w:eastAsia="zh-CN"/>
        </w:rPr>
        <w:t>到达现场</w:t>
      </w:r>
      <w:r>
        <w:rPr>
          <w:rFonts w:hint="eastAsia" w:cs="宋体"/>
          <w:color w:val="auto"/>
        </w:rPr>
        <w:t>响应，24小时内解决问题；如在24小时之内仍不能排除故障的，</w:t>
      </w:r>
      <w:r>
        <w:rPr>
          <w:rFonts w:hint="eastAsia" w:cs="宋体"/>
          <w:color w:val="auto"/>
          <w:lang w:eastAsia="zh-CN"/>
        </w:rPr>
        <w:t>乙方</w:t>
      </w:r>
      <w:r>
        <w:rPr>
          <w:rFonts w:hint="eastAsia" w:cs="宋体"/>
          <w:color w:val="auto"/>
        </w:rPr>
        <w:t>应提供与原产品相同或不低于原产品档次的备用产品。故障排除后</w:t>
      </w:r>
      <w:r>
        <w:rPr>
          <w:rFonts w:hint="eastAsia" w:cs="宋体"/>
          <w:color w:val="auto"/>
          <w:lang w:eastAsia="zh-CN"/>
        </w:rPr>
        <w:t>乙方</w:t>
      </w:r>
      <w:r>
        <w:rPr>
          <w:rFonts w:hint="eastAsia" w:cs="宋体"/>
          <w:color w:val="auto"/>
        </w:rPr>
        <w:t>应出具书面故障诊断报告备案。</w:t>
      </w:r>
    </w:p>
    <w:p w14:paraId="6F66C002">
      <w:pPr>
        <w:spacing w:line="360" w:lineRule="auto"/>
        <w:ind w:firstLine="480" w:firstLineChars="200"/>
        <w:rPr>
          <w:rFonts w:cs="宋体"/>
          <w:color w:val="auto"/>
        </w:rPr>
      </w:pPr>
      <w:r>
        <w:rPr>
          <w:rFonts w:hint="eastAsia" w:cs="宋体"/>
          <w:color w:val="auto"/>
        </w:rPr>
        <w:t>2.出现故障后，</w:t>
      </w:r>
      <w:r>
        <w:rPr>
          <w:rFonts w:hint="eastAsia" w:cs="宋体"/>
          <w:color w:val="auto"/>
          <w:lang w:eastAsia="zh-CN"/>
        </w:rPr>
        <w:t>乙方</w:t>
      </w:r>
      <w:r>
        <w:rPr>
          <w:rFonts w:hint="eastAsia" w:cs="宋体"/>
          <w:color w:val="auto"/>
        </w:rPr>
        <w:t>如未按上述要求进行响应，</w:t>
      </w:r>
      <w:r>
        <w:rPr>
          <w:rFonts w:hint="eastAsia" w:cs="宋体"/>
          <w:color w:val="auto"/>
          <w:lang w:eastAsia="zh-CN"/>
        </w:rPr>
        <w:t>甲方</w:t>
      </w:r>
      <w:r>
        <w:rPr>
          <w:rFonts w:hint="eastAsia" w:cs="宋体"/>
          <w:color w:val="auto"/>
        </w:rPr>
        <w:t>可以采取必要的补救措施，由此产生的风险和费用全部由</w:t>
      </w:r>
      <w:r>
        <w:rPr>
          <w:rFonts w:hint="eastAsia" w:cs="宋体"/>
          <w:color w:val="auto"/>
          <w:lang w:eastAsia="zh-CN"/>
        </w:rPr>
        <w:t>乙方</w:t>
      </w:r>
      <w:r>
        <w:rPr>
          <w:rFonts w:hint="eastAsia" w:cs="宋体"/>
          <w:color w:val="auto"/>
        </w:rPr>
        <w:t>承担。</w:t>
      </w:r>
    </w:p>
    <w:p w14:paraId="48F58D04">
      <w:pPr>
        <w:spacing w:line="360" w:lineRule="auto"/>
        <w:ind w:firstLine="480" w:firstLineChars="200"/>
        <w:rPr>
          <w:rFonts w:hint="eastAsia" w:cs="宋体"/>
          <w:color w:val="auto"/>
        </w:rPr>
      </w:pPr>
      <w:r>
        <w:rPr>
          <w:rFonts w:hint="eastAsia" w:cs="宋体"/>
          <w:color w:val="auto"/>
        </w:rPr>
        <w:t>3.质保期内，除人为损坏和不可抗力外，期间所产生的任何维护或维修及更换配件的费用均由</w:t>
      </w:r>
      <w:r>
        <w:rPr>
          <w:rFonts w:hint="eastAsia" w:cs="宋体"/>
          <w:color w:val="auto"/>
          <w:lang w:eastAsia="zh-CN"/>
        </w:rPr>
        <w:t>乙方</w:t>
      </w:r>
      <w:r>
        <w:rPr>
          <w:rFonts w:hint="eastAsia" w:cs="宋体"/>
          <w:color w:val="auto"/>
        </w:rPr>
        <w:t>承担。</w:t>
      </w:r>
    </w:p>
    <w:p w14:paraId="70221E61">
      <w:pPr>
        <w:spacing w:line="360" w:lineRule="auto"/>
        <w:ind w:firstLine="480" w:firstLineChars="200"/>
        <w:rPr>
          <w:rFonts w:hint="default" w:cs="宋体"/>
          <w:color w:val="auto"/>
          <w:lang w:val="en-US" w:eastAsia="zh-CN"/>
        </w:rPr>
      </w:pPr>
      <w:r>
        <w:rPr>
          <w:rFonts w:hint="eastAsia" w:cs="宋体"/>
          <w:color w:val="auto"/>
          <w:lang w:val="en-US" w:eastAsia="zh-CN"/>
        </w:rPr>
        <w:t>4.质保期外，乙方仍应提供不低于质保期内水平的质量保障，相关维护费用不得超过项目采购价的5%。</w:t>
      </w:r>
    </w:p>
    <w:p w14:paraId="07D2BF55">
      <w:pPr>
        <w:pStyle w:val="5"/>
        <w:spacing w:line="360" w:lineRule="auto"/>
        <w:rPr>
          <w:rFonts w:cs="宋体"/>
          <w:color w:val="auto"/>
        </w:rPr>
      </w:pPr>
      <w:r>
        <w:rPr>
          <w:rFonts w:hint="eastAsia" w:cs="宋体"/>
          <w:color w:val="auto"/>
        </w:rPr>
        <w:t>（六）培训要求</w:t>
      </w:r>
    </w:p>
    <w:p w14:paraId="556BA9B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b/>
          <w:bCs/>
          <w:lang w:eastAsia="zh-CN"/>
        </w:rPr>
      </w:pPr>
      <w:r>
        <w:rPr>
          <w:rFonts w:hint="eastAsia" w:cs="宋体"/>
          <w:color w:val="auto"/>
          <w:lang w:eastAsia="zh-CN"/>
        </w:rPr>
        <w:t>乙方</w:t>
      </w:r>
      <w:r>
        <w:rPr>
          <w:rFonts w:hint="eastAsia" w:cs="宋体"/>
          <w:color w:val="auto"/>
        </w:rPr>
        <w:t>负责对中标产品的操作培训、应用等与产品使用、维护等相关的技术问题，对</w:t>
      </w:r>
      <w:r>
        <w:rPr>
          <w:rFonts w:hint="eastAsia" w:cs="宋体"/>
          <w:color w:val="auto"/>
          <w:lang w:eastAsia="zh-CN"/>
        </w:rPr>
        <w:t>甲方</w:t>
      </w:r>
      <w:r>
        <w:rPr>
          <w:rFonts w:hint="eastAsia" w:cs="宋体"/>
          <w:color w:val="auto"/>
        </w:rPr>
        <w:t>的操作人员、维修人员进行用户现场培训，培训内容包括硬件和软件使用；培训地点用户指定，不限制人数，可根据需要延长培训时间。培训后要求</w:t>
      </w:r>
      <w:r>
        <w:rPr>
          <w:rFonts w:hint="eastAsia" w:cs="宋体"/>
          <w:color w:val="auto"/>
          <w:lang w:eastAsia="zh-CN"/>
        </w:rPr>
        <w:t>甲方</w:t>
      </w:r>
      <w:r>
        <w:rPr>
          <w:rFonts w:hint="eastAsia" w:cs="宋体"/>
          <w:color w:val="auto"/>
        </w:rPr>
        <w:t>相关人员达到能熟练掌握产品操作与设置等的基本原理与应用技术。投标文件中提供详细培训方案。</w:t>
      </w:r>
    </w:p>
    <w:p w14:paraId="6F5923BC">
      <w:pPr>
        <w:keepNext w:val="0"/>
        <w:keepLines w:val="0"/>
        <w:pageBreakBefore w:val="0"/>
        <w:widowControl w:val="0"/>
        <w:numPr>
          <w:ilvl w:val="0"/>
          <w:numId w:val="0"/>
        </w:numPr>
        <w:kinsoku/>
        <w:wordWrap/>
        <w:overflowPunct/>
        <w:topLinePunct w:val="0"/>
        <w:autoSpaceDE/>
        <w:autoSpaceDN/>
        <w:bidi w:val="0"/>
        <w:spacing w:line="360" w:lineRule="auto"/>
        <w:ind w:leftChars="0"/>
        <w:textAlignment w:val="auto"/>
        <w:rPr>
          <w:rFonts w:hint="eastAsia" w:cs="宋体"/>
          <w:b/>
          <w:bCs/>
          <w:sz w:val="24"/>
          <w:szCs w:val="24"/>
          <w:shd w:val="clear" w:color="auto" w:fill="auto"/>
          <w:lang w:val="en-US" w:eastAsia="zh-CN"/>
        </w:rPr>
      </w:pPr>
      <w:r>
        <w:rPr>
          <w:rFonts w:hint="eastAsia" w:cs="宋体"/>
          <w:b/>
          <w:bCs/>
          <w:sz w:val="24"/>
          <w:szCs w:val="24"/>
          <w:shd w:val="clear" w:color="auto" w:fill="auto"/>
          <w:lang w:val="en-US" w:eastAsia="zh-CN"/>
        </w:rPr>
        <w:t>四、付款方式</w:t>
      </w:r>
    </w:p>
    <w:p w14:paraId="3101A65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▲根据《保障中小企业款项支付条例》、</w:t>
      </w:r>
      <w:r>
        <w:rPr>
          <w:rFonts w:hint="eastAsia" w:cs="宋体"/>
          <w:highlight w:val="none"/>
        </w:rPr>
        <w:t>省财政厅《浙江省财政厅关于进一步发挥政府采购政策功能全力推动经济稳进提质的通知》（浙财采监【2022】3号）要求</w:t>
      </w:r>
      <w:r>
        <w:rPr>
          <w:rFonts w:hint="eastAsia" w:ascii="宋体" w:hAnsi="宋体" w:eastAsia="宋体" w:cs="宋体"/>
          <w:sz w:val="24"/>
          <w:szCs w:val="24"/>
        </w:rPr>
        <w:t xml:space="preserve">，制定如下付款方式：        </w:t>
      </w:r>
    </w:p>
    <w:p w14:paraId="4DE560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甲方</w:t>
      </w:r>
      <w:r>
        <w:rPr>
          <w:rFonts w:hint="eastAsia" w:ascii="宋体" w:hAnsi="宋体" w:eastAsia="宋体" w:cs="宋体"/>
          <w:sz w:val="24"/>
          <w:szCs w:val="24"/>
        </w:rPr>
        <w:t>自合同生效及具备实施条件后7个工作日内支付预付款，也即合同金额的40%；（注：若</w:t>
      </w:r>
      <w:r>
        <w:rPr>
          <w:rFonts w:hint="eastAsia" w:ascii="宋体" w:hAnsi="宋体" w:eastAsia="宋体" w:cs="宋体"/>
          <w:sz w:val="24"/>
          <w:szCs w:val="24"/>
          <w:lang w:eastAsia="zh-CN"/>
        </w:rPr>
        <w:t>乙方</w:t>
      </w:r>
      <w:r>
        <w:rPr>
          <w:rFonts w:hint="eastAsia" w:ascii="宋体" w:hAnsi="宋体" w:eastAsia="宋体" w:cs="宋体"/>
          <w:sz w:val="24"/>
          <w:szCs w:val="24"/>
        </w:rPr>
        <w:t>明确表示无需预付款或者主动要求降低预付款比例的，</w:t>
      </w:r>
      <w:r>
        <w:rPr>
          <w:rFonts w:hint="eastAsia" w:ascii="宋体" w:hAnsi="宋体" w:eastAsia="宋体" w:cs="宋体"/>
          <w:sz w:val="24"/>
          <w:szCs w:val="24"/>
          <w:lang w:eastAsia="zh-CN"/>
        </w:rPr>
        <w:t>甲方</w:t>
      </w:r>
      <w:r>
        <w:rPr>
          <w:rFonts w:hint="eastAsia" w:ascii="宋体" w:hAnsi="宋体" w:eastAsia="宋体" w:cs="宋体"/>
          <w:sz w:val="24"/>
          <w:szCs w:val="24"/>
        </w:rPr>
        <w:t>可不适用前述规定。）</w:t>
      </w:r>
    </w:p>
    <w:p w14:paraId="7888198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2.全部</w:t>
      </w:r>
      <w:r>
        <w:rPr>
          <w:rFonts w:hint="eastAsia" w:cs="宋体"/>
          <w:sz w:val="24"/>
          <w:szCs w:val="24"/>
          <w:lang w:eastAsia="zh-CN"/>
        </w:rPr>
        <w:t>产品</w:t>
      </w:r>
      <w:r>
        <w:rPr>
          <w:rFonts w:hint="eastAsia" w:ascii="宋体" w:hAnsi="宋体" w:eastAsia="宋体" w:cs="宋体"/>
          <w:sz w:val="24"/>
          <w:szCs w:val="24"/>
        </w:rPr>
        <w:t>完成</w:t>
      </w:r>
      <w:r>
        <w:rPr>
          <w:rFonts w:hint="eastAsia" w:cs="宋体"/>
          <w:sz w:val="24"/>
          <w:szCs w:val="24"/>
          <w:lang w:eastAsia="zh-CN"/>
        </w:rPr>
        <w:t>供货、安装、调试</w:t>
      </w:r>
      <w:r>
        <w:rPr>
          <w:rFonts w:hint="eastAsia" w:ascii="宋体" w:hAnsi="宋体" w:eastAsia="宋体" w:cs="宋体"/>
          <w:sz w:val="24"/>
          <w:szCs w:val="24"/>
        </w:rPr>
        <w:t>后进行初验，初验合格后支付合同金额的50%，终验合格后支付剩余款项10%。</w:t>
      </w:r>
    </w:p>
    <w:p w14:paraId="17E093B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sz w:val="24"/>
          <w:szCs w:val="24"/>
        </w:rPr>
        <w:t>如遇合同期内未完成验收，</w:t>
      </w:r>
      <w:r>
        <w:rPr>
          <w:rFonts w:hint="eastAsia" w:ascii="宋体" w:hAnsi="宋体" w:eastAsia="宋体" w:cs="宋体"/>
          <w:sz w:val="24"/>
          <w:szCs w:val="24"/>
          <w:lang w:eastAsia="zh-CN"/>
        </w:rPr>
        <w:t>乙方</w:t>
      </w:r>
      <w:r>
        <w:rPr>
          <w:rFonts w:hint="eastAsia" w:ascii="宋体" w:hAnsi="宋体" w:eastAsia="宋体" w:cs="宋体"/>
          <w:sz w:val="24"/>
          <w:szCs w:val="24"/>
        </w:rPr>
        <w:t>必须出具与付款金额相对应的担保措施，担保措施可以是银行、保险公司等金融机构出具的预付款保函或其他担保措施。在出具保函证明后完成余款支付。</w:t>
      </w:r>
      <w:r>
        <w:rPr>
          <w:rFonts w:hint="eastAsia" w:ascii="宋体" w:hAnsi="宋体" w:eastAsia="宋体" w:cs="宋体"/>
          <w:sz w:val="24"/>
          <w:szCs w:val="24"/>
          <w:lang w:eastAsia="zh-CN"/>
        </w:rPr>
        <w:t>甲方</w:t>
      </w:r>
      <w:r>
        <w:rPr>
          <w:rFonts w:hint="eastAsia" w:ascii="宋体" w:hAnsi="宋体" w:eastAsia="宋体" w:cs="宋体"/>
          <w:sz w:val="24"/>
          <w:szCs w:val="24"/>
        </w:rPr>
        <w:t>在收到货物</w:t>
      </w:r>
      <w:r>
        <w:rPr>
          <w:rFonts w:hint="eastAsia" w:cs="宋体"/>
          <w:sz w:val="24"/>
          <w:szCs w:val="24"/>
          <w:lang w:eastAsia="zh-CN"/>
        </w:rPr>
        <w:t>后</w:t>
      </w:r>
      <w:r>
        <w:rPr>
          <w:rFonts w:hint="eastAsia" w:ascii="宋体" w:hAnsi="宋体" w:eastAsia="宋体" w:cs="宋体"/>
          <w:sz w:val="24"/>
          <w:szCs w:val="24"/>
        </w:rPr>
        <w:t>验收完毕，并出具验收报告后，办理解除担保的相关材料。</w:t>
      </w:r>
    </w:p>
    <w:p w14:paraId="4A2265B1">
      <w:pPr>
        <w:keepNext w:val="0"/>
        <w:keepLines w:val="0"/>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cs="宋体"/>
          <w:b/>
          <w:bCs/>
          <w:sz w:val="24"/>
          <w:szCs w:val="24"/>
          <w:highlight w:val="none"/>
          <w:lang w:val="en-US" w:eastAsia="zh-CN"/>
        </w:rPr>
        <w:t>五</w:t>
      </w:r>
      <w:r>
        <w:rPr>
          <w:rFonts w:hint="eastAsia" w:ascii="宋体" w:hAnsi="宋体" w:eastAsia="宋体" w:cs="宋体"/>
          <w:b/>
          <w:bCs/>
          <w:sz w:val="24"/>
          <w:szCs w:val="24"/>
          <w:highlight w:val="none"/>
          <w:lang w:val="en-US" w:eastAsia="zh-CN"/>
        </w:rPr>
        <w:t>、履约保证</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金</w:t>
      </w:r>
    </w:p>
    <w:p w14:paraId="7E1E1296">
      <w:pPr>
        <w:keepNext w:val="0"/>
        <w:keepLines w:val="0"/>
        <w:pageBreakBefore w:val="0"/>
        <w:widowControl w:val="0"/>
        <w:kinsoku/>
        <w:wordWrap/>
        <w:overflowPunct/>
        <w:topLinePunct w:val="0"/>
        <w:autoSpaceDE/>
        <w:autoSpaceDN/>
        <w:bidi w:val="0"/>
        <w:adjustRightInd w:val="0"/>
        <w:snapToGrid w:val="0"/>
        <w:spacing w:before="40" w:after="40" w:line="360" w:lineRule="auto"/>
        <w:ind w:left="0" w:leftChars="0" w:firstLine="480" w:firstLineChars="200"/>
        <w:jc w:val="left"/>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履约保证金为合同金额的1%；履约保证金形式为：乙方</w:t>
      </w:r>
      <w:r>
        <w:rPr>
          <w:rFonts w:hint="eastAsia" w:ascii="宋体" w:hAnsi="宋体" w:cs="宋体"/>
          <w:b w:val="0"/>
          <w:bCs/>
          <w:color w:val="auto"/>
          <w:sz w:val="24"/>
          <w:highlight w:val="none"/>
        </w:rPr>
        <w:t>应当以支票、汇票、本票或者金融机构、担保机构出具的保函等非现金形式提交。鼓励和支持</w:t>
      </w:r>
      <w:r>
        <w:rPr>
          <w:rFonts w:hint="eastAsia" w:ascii="宋体" w:hAnsi="宋体" w:cs="宋体"/>
          <w:b w:val="0"/>
          <w:bCs/>
          <w:color w:val="auto"/>
          <w:sz w:val="24"/>
          <w:highlight w:val="none"/>
          <w:lang w:eastAsia="zh-CN"/>
        </w:rPr>
        <w:t>乙方</w:t>
      </w:r>
      <w:r>
        <w:rPr>
          <w:rFonts w:hint="eastAsia" w:ascii="宋体" w:hAnsi="宋体" w:cs="宋体"/>
          <w:b w:val="0"/>
          <w:bCs/>
          <w:color w:val="auto"/>
          <w:sz w:val="24"/>
          <w:highlight w:val="none"/>
        </w:rPr>
        <w:t>以银行、保险公司出具的保函形式提供履约保证金</w:t>
      </w:r>
      <w:r>
        <w:rPr>
          <w:rFonts w:hint="eastAsia" w:asciiTheme="minorEastAsia" w:hAnsiTheme="minorEastAsia" w:eastAsiaTheme="minorEastAsia" w:cstheme="minorEastAsia"/>
          <w:color w:val="auto"/>
          <w:kern w:val="2"/>
          <w:sz w:val="24"/>
          <w:szCs w:val="24"/>
          <w:highlight w:val="none"/>
          <w:lang w:val="en-US" w:eastAsia="zh-CN" w:bidi="ar-SA"/>
        </w:rPr>
        <w:t>；乙方应根据甲方要求汇入甲方指定账号或提供保函。合同履约完毕，履约保证金无息退还。</w:t>
      </w:r>
    </w:p>
    <w:p w14:paraId="686D6BFF">
      <w:pPr>
        <w:keepNext w:val="0"/>
        <w:keepLines w:val="0"/>
        <w:pageBreakBefore w:val="0"/>
        <w:widowControl w:val="0"/>
        <w:kinsoku/>
        <w:wordWrap/>
        <w:overflowPunct/>
        <w:topLinePunct w:val="0"/>
        <w:autoSpaceDE/>
        <w:autoSpaceDN/>
        <w:bidi w:val="0"/>
        <w:adjustRightInd w:val="0"/>
        <w:snapToGrid w:val="0"/>
        <w:spacing w:before="40" w:after="40" w:line="360" w:lineRule="auto"/>
        <w:ind w:left="0" w:leftChars="0" w:firstLine="0" w:firstLineChars="0"/>
        <w:jc w:val="left"/>
        <w:textAlignment w:val="auto"/>
        <w:rPr>
          <w:rFonts w:hint="eastAsia" w:ascii="宋体" w:hAnsi="宋体" w:eastAsia="宋体" w:cs="宋体"/>
          <w:b/>
          <w:sz w:val="24"/>
          <w:szCs w:val="24"/>
        </w:rPr>
      </w:pPr>
      <w:r>
        <w:rPr>
          <w:rFonts w:hint="eastAsia" w:cs="宋体"/>
          <w:b/>
          <w:sz w:val="24"/>
          <w:szCs w:val="24"/>
          <w:lang w:eastAsia="zh-CN"/>
        </w:rPr>
        <w:t>六</w:t>
      </w:r>
      <w:r>
        <w:rPr>
          <w:rFonts w:hint="eastAsia" w:ascii="宋体" w:hAnsi="宋体" w:eastAsia="宋体" w:cs="宋体"/>
          <w:b/>
          <w:sz w:val="24"/>
          <w:szCs w:val="24"/>
        </w:rPr>
        <w:t>、违约责任</w:t>
      </w:r>
    </w:p>
    <w:p w14:paraId="6C6FC3C5">
      <w:pPr>
        <w:pStyle w:val="15"/>
        <w:keepNext w:val="0"/>
        <w:keepLines w:val="0"/>
        <w:pageBreakBefore w:val="0"/>
        <w:widowControl w:val="0"/>
        <w:kinsoku/>
        <w:wordWrap/>
        <w:overflowPunct/>
        <w:topLinePunct w:val="0"/>
        <w:autoSpaceDE/>
        <w:autoSpaceDN/>
        <w:bidi w:val="0"/>
        <w:adjustRightInd/>
        <w:spacing w:before="40" w:after="40" w:line="360" w:lineRule="auto"/>
        <w:ind w:left="0"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服务期间，</w:t>
      </w:r>
      <w:r>
        <w:rPr>
          <w:rFonts w:hint="eastAsia" w:hAnsi="宋体" w:cs="宋体"/>
          <w:b w:val="0"/>
          <w:bCs w:val="0"/>
          <w:sz w:val="24"/>
          <w:szCs w:val="24"/>
          <w:lang w:val="en-US" w:eastAsia="zh-CN"/>
        </w:rPr>
        <w:t>乙方</w:t>
      </w:r>
      <w:r>
        <w:rPr>
          <w:rFonts w:hint="eastAsia" w:ascii="宋体" w:hAnsi="宋体" w:eastAsia="宋体" w:cs="宋体"/>
          <w:b w:val="0"/>
          <w:bCs w:val="0"/>
          <w:sz w:val="24"/>
          <w:szCs w:val="24"/>
          <w:lang w:val="en-US" w:eastAsia="zh-CN"/>
        </w:rPr>
        <w:t>不履行</w:t>
      </w:r>
      <w:r>
        <w:rPr>
          <w:rFonts w:hint="eastAsia" w:hAnsi="宋体" w:cs="宋体"/>
          <w:b w:val="0"/>
          <w:bCs w:val="0"/>
          <w:sz w:val="24"/>
          <w:szCs w:val="24"/>
          <w:lang w:val="en-US" w:eastAsia="zh-CN"/>
        </w:rPr>
        <w:t>甲方</w:t>
      </w:r>
      <w:r>
        <w:rPr>
          <w:rFonts w:hint="eastAsia" w:ascii="宋体" w:hAnsi="宋体" w:eastAsia="宋体" w:cs="宋体"/>
          <w:b w:val="0"/>
          <w:bCs w:val="0"/>
          <w:sz w:val="24"/>
          <w:szCs w:val="24"/>
          <w:lang w:val="en-US" w:eastAsia="zh-CN"/>
        </w:rPr>
        <w:t>保密要求或不履行本合同其他约定内容，或从事其他有损</w:t>
      </w:r>
      <w:r>
        <w:rPr>
          <w:rFonts w:hint="eastAsia" w:hAnsi="宋体" w:cs="宋体"/>
          <w:b w:val="0"/>
          <w:bCs w:val="0"/>
          <w:sz w:val="24"/>
          <w:szCs w:val="24"/>
          <w:lang w:val="en-US" w:eastAsia="zh-CN"/>
        </w:rPr>
        <w:t>甲方</w:t>
      </w:r>
      <w:r>
        <w:rPr>
          <w:rFonts w:hint="eastAsia" w:ascii="宋体" w:hAnsi="宋体" w:eastAsia="宋体" w:cs="宋体"/>
          <w:b w:val="0"/>
          <w:bCs w:val="0"/>
          <w:sz w:val="24"/>
          <w:szCs w:val="24"/>
          <w:lang w:val="en-US" w:eastAsia="zh-CN"/>
        </w:rPr>
        <w:t>利益行为的，</w:t>
      </w:r>
      <w:r>
        <w:rPr>
          <w:rFonts w:hint="eastAsia" w:hAnsi="宋体" w:cs="宋体"/>
          <w:b w:val="0"/>
          <w:bCs w:val="0"/>
          <w:sz w:val="24"/>
          <w:szCs w:val="24"/>
          <w:lang w:val="en-US" w:eastAsia="zh-CN"/>
        </w:rPr>
        <w:t>甲方</w:t>
      </w:r>
      <w:r>
        <w:rPr>
          <w:rFonts w:hint="eastAsia" w:ascii="宋体" w:hAnsi="宋体" w:eastAsia="宋体" w:cs="宋体"/>
          <w:b w:val="0"/>
          <w:bCs w:val="0"/>
          <w:sz w:val="24"/>
          <w:szCs w:val="24"/>
          <w:lang w:val="en-US" w:eastAsia="zh-CN"/>
        </w:rPr>
        <w:t>有权视情节</w:t>
      </w:r>
      <w:r>
        <w:rPr>
          <w:rFonts w:hint="eastAsia" w:hAnsi="宋体" w:cs="宋体"/>
          <w:b w:val="0"/>
          <w:bCs w:val="0"/>
          <w:sz w:val="24"/>
          <w:szCs w:val="24"/>
          <w:lang w:val="en-US" w:eastAsia="zh-CN"/>
        </w:rPr>
        <w:t>轻重相应</w:t>
      </w:r>
      <w:r>
        <w:rPr>
          <w:rFonts w:hint="eastAsia" w:ascii="宋体" w:hAnsi="宋体" w:eastAsia="宋体" w:cs="宋体"/>
          <w:b w:val="0"/>
          <w:bCs w:val="0"/>
          <w:sz w:val="24"/>
          <w:szCs w:val="24"/>
          <w:lang w:val="en-US" w:eastAsia="zh-CN"/>
        </w:rPr>
        <w:t>扣除</w:t>
      </w:r>
      <w:r>
        <w:rPr>
          <w:rFonts w:hint="eastAsia" w:hAnsi="宋体" w:cs="宋体"/>
          <w:b w:val="0"/>
          <w:bCs w:val="0"/>
          <w:sz w:val="24"/>
          <w:szCs w:val="24"/>
          <w:lang w:val="en-US" w:eastAsia="zh-CN"/>
        </w:rPr>
        <w:t>乙方</w:t>
      </w:r>
      <w:r>
        <w:rPr>
          <w:rFonts w:hint="eastAsia" w:ascii="宋体" w:hAnsi="宋体" w:eastAsia="宋体" w:cs="宋体"/>
          <w:b w:val="0"/>
          <w:bCs w:val="0"/>
          <w:sz w:val="24"/>
          <w:szCs w:val="24"/>
          <w:lang w:val="en-US" w:eastAsia="zh-CN"/>
        </w:rPr>
        <w:t>履约保证金；造成严重后果的，</w:t>
      </w:r>
      <w:r>
        <w:rPr>
          <w:rFonts w:hint="eastAsia" w:hAnsi="宋体" w:cs="宋体"/>
          <w:b w:val="0"/>
          <w:bCs w:val="0"/>
          <w:sz w:val="24"/>
          <w:szCs w:val="24"/>
          <w:lang w:val="en-US" w:eastAsia="zh-CN"/>
        </w:rPr>
        <w:t>甲方</w:t>
      </w:r>
      <w:r>
        <w:rPr>
          <w:rFonts w:hint="eastAsia" w:ascii="宋体" w:hAnsi="宋体" w:eastAsia="宋体" w:cs="宋体"/>
          <w:b w:val="0"/>
          <w:bCs w:val="0"/>
          <w:sz w:val="24"/>
          <w:szCs w:val="24"/>
          <w:lang w:val="en-US" w:eastAsia="zh-CN"/>
        </w:rPr>
        <w:t>有权终止本合同并追究</w:t>
      </w:r>
      <w:r>
        <w:rPr>
          <w:rFonts w:hint="eastAsia" w:hAnsi="宋体" w:cs="宋体"/>
          <w:b w:val="0"/>
          <w:bCs w:val="0"/>
          <w:sz w:val="24"/>
          <w:szCs w:val="24"/>
          <w:lang w:val="en-US" w:eastAsia="zh-CN"/>
        </w:rPr>
        <w:t>乙方</w:t>
      </w:r>
      <w:r>
        <w:rPr>
          <w:rFonts w:hint="eastAsia" w:ascii="宋体" w:hAnsi="宋体" w:eastAsia="宋体" w:cs="宋体"/>
          <w:b w:val="0"/>
          <w:bCs w:val="0"/>
          <w:sz w:val="24"/>
          <w:szCs w:val="24"/>
          <w:lang w:val="en-US" w:eastAsia="zh-CN"/>
        </w:rPr>
        <w:t>相关法律责任。</w:t>
      </w:r>
    </w:p>
    <w:p w14:paraId="21F026AF">
      <w:pPr>
        <w:keepNext w:val="0"/>
        <w:keepLines w:val="0"/>
        <w:pageBreakBefore w:val="0"/>
        <w:widowControl w:val="0"/>
        <w:tabs>
          <w:tab w:val="left" w:pos="3420"/>
          <w:tab w:val="left" w:pos="9180"/>
        </w:tabs>
        <w:kinsoku/>
        <w:wordWrap/>
        <w:overflowPunct/>
        <w:topLinePunct w:val="0"/>
        <w:autoSpaceDE/>
        <w:autoSpaceDN/>
        <w:bidi w:val="0"/>
        <w:adjustRightInd w:val="0"/>
        <w:snapToGrid w:val="0"/>
        <w:spacing w:before="40" w:after="40" w:line="360" w:lineRule="auto"/>
        <w:ind w:left="0" w:leftChars="0" w:firstLine="0" w:firstLineChars="0"/>
        <w:textAlignment w:val="auto"/>
        <w:rPr>
          <w:rFonts w:hint="eastAsia" w:ascii="宋体" w:hAnsi="宋体" w:eastAsia="宋体" w:cs="宋体"/>
          <w:b/>
          <w:sz w:val="24"/>
          <w:szCs w:val="24"/>
        </w:rPr>
      </w:pPr>
      <w:r>
        <w:rPr>
          <w:rFonts w:hint="eastAsia" w:cs="宋体"/>
          <w:b/>
          <w:sz w:val="24"/>
          <w:szCs w:val="24"/>
          <w:lang w:eastAsia="zh-CN"/>
        </w:rPr>
        <w:t>七</w:t>
      </w:r>
      <w:r>
        <w:rPr>
          <w:rFonts w:hint="eastAsia" w:ascii="宋体" w:hAnsi="宋体" w:eastAsia="宋体" w:cs="宋体"/>
          <w:b/>
          <w:sz w:val="24"/>
          <w:szCs w:val="24"/>
        </w:rPr>
        <w:t>、争议的解决方式</w:t>
      </w:r>
    </w:p>
    <w:p w14:paraId="170277D6">
      <w:pPr>
        <w:pStyle w:val="204"/>
        <w:keepNext w:val="0"/>
        <w:keepLines w:val="0"/>
        <w:pageBreakBefore w:val="0"/>
        <w:widowControl w:val="0"/>
        <w:kinsoku/>
        <w:wordWrap/>
        <w:overflowPunct/>
        <w:topLinePunct w:val="0"/>
        <w:autoSpaceDE/>
        <w:autoSpaceDN/>
        <w:bidi w:val="0"/>
        <w:adjustRightInd w:val="0"/>
        <w:snapToGrid w:val="0"/>
        <w:spacing w:before="40" w:after="40" w:line="360" w:lineRule="auto"/>
        <w:ind w:firstLine="470" w:firstLineChars="196"/>
        <w:textAlignment w:val="auto"/>
        <w:rPr>
          <w:rFonts w:hint="eastAsia" w:ascii="宋体" w:hAnsi="宋体" w:eastAsia="宋体" w:cs="宋体"/>
          <w:bCs/>
          <w:sz w:val="24"/>
          <w:szCs w:val="24"/>
        </w:rPr>
      </w:pPr>
      <w:r>
        <w:rPr>
          <w:rFonts w:hint="eastAsia" w:ascii="宋体" w:hAnsi="宋体" w:eastAsia="宋体" w:cs="宋体"/>
          <w:bCs/>
          <w:sz w:val="24"/>
          <w:szCs w:val="24"/>
        </w:rPr>
        <w:t>甲乙双方应通过友好协商，解决在执行合同中所发生的或与本合同有关的一切争端。如从协商开始十五天内仍不能解决，双方可向甲方所在地的人民法院提起诉讼。</w:t>
      </w:r>
    </w:p>
    <w:p w14:paraId="544BDBF3">
      <w:pPr>
        <w:pStyle w:val="204"/>
        <w:keepNext w:val="0"/>
        <w:keepLines w:val="0"/>
        <w:pageBreakBefore w:val="0"/>
        <w:widowControl w:val="0"/>
        <w:kinsoku/>
        <w:wordWrap/>
        <w:overflowPunct/>
        <w:topLinePunct w:val="0"/>
        <w:autoSpaceDE/>
        <w:autoSpaceDN/>
        <w:bidi w:val="0"/>
        <w:adjustRightInd w:val="0"/>
        <w:snapToGrid w:val="0"/>
        <w:spacing w:before="40" w:after="40" w:line="360" w:lineRule="auto"/>
        <w:ind w:firstLine="0" w:firstLineChars="0"/>
        <w:textAlignment w:val="auto"/>
        <w:rPr>
          <w:rFonts w:hint="eastAsia" w:ascii="宋体" w:hAnsi="宋体" w:eastAsia="宋体" w:cs="宋体"/>
          <w:bCs/>
          <w:sz w:val="24"/>
          <w:szCs w:val="24"/>
        </w:rPr>
      </w:pPr>
      <w:r>
        <w:rPr>
          <w:rFonts w:hint="eastAsia" w:cs="宋体"/>
          <w:b/>
          <w:sz w:val="24"/>
          <w:szCs w:val="24"/>
          <w:lang w:eastAsia="zh-CN"/>
        </w:rPr>
        <w:t>八</w:t>
      </w:r>
      <w:r>
        <w:rPr>
          <w:rFonts w:hint="eastAsia" w:ascii="宋体" w:hAnsi="宋体" w:eastAsia="宋体" w:cs="宋体"/>
          <w:b/>
          <w:sz w:val="24"/>
          <w:szCs w:val="24"/>
        </w:rPr>
        <w:t>、转让和分包</w:t>
      </w:r>
    </w:p>
    <w:p w14:paraId="719BDB5E">
      <w:pPr>
        <w:pStyle w:val="204"/>
        <w:keepNext w:val="0"/>
        <w:keepLines w:val="0"/>
        <w:pageBreakBefore w:val="0"/>
        <w:widowControl w:val="0"/>
        <w:kinsoku/>
        <w:wordWrap/>
        <w:overflowPunct/>
        <w:topLinePunct w:val="0"/>
        <w:autoSpaceDE/>
        <w:autoSpaceDN/>
        <w:bidi w:val="0"/>
        <w:adjustRightInd w:val="0"/>
        <w:snapToGrid w:val="0"/>
        <w:spacing w:before="40" w:after="40" w:line="360" w:lineRule="auto"/>
        <w:ind w:firstLine="470" w:firstLineChars="196"/>
        <w:textAlignment w:val="auto"/>
        <w:rPr>
          <w:rFonts w:hint="eastAsia" w:ascii="宋体" w:hAnsi="宋体" w:eastAsia="宋体" w:cs="宋体"/>
          <w:bCs/>
          <w:sz w:val="24"/>
          <w:szCs w:val="24"/>
        </w:rPr>
      </w:pPr>
      <w:r>
        <w:rPr>
          <w:rFonts w:hint="eastAsia" w:ascii="宋体" w:hAnsi="宋体" w:eastAsia="宋体" w:cs="宋体"/>
          <w:bCs/>
          <w:sz w:val="24"/>
          <w:szCs w:val="24"/>
        </w:rPr>
        <w:t>乙方不得部分转让或全部转让其应履行的合同义务。如有转让和未经甲方同意的分包行为，甲方有权解除合同，没收履约保证金并追究乙方的违约责任。</w:t>
      </w:r>
    </w:p>
    <w:p w14:paraId="0B5DDF54">
      <w:pPr>
        <w:pStyle w:val="204"/>
        <w:keepNext w:val="0"/>
        <w:keepLines w:val="0"/>
        <w:pageBreakBefore w:val="0"/>
        <w:widowControl w:val="0"/>
        <w:kinsoku/>
        <w:wordWrap/>
        <w:overflowPunct/>
        <w:topLinePunct w:val="0"/>
        <w:autoSpaceDE/>
        <w:autoSpaceDN/>
        <w:bidi w:val="0"/>
        <w:adjustRightInd w:val="0"/>
        <w:snapToGrid w:val="0"/>
        <w:spacing w:before="40" w:after="40" w:line="360" w:lineRule="auto"/>
        <w:ind w:firstLine="0" w:firstLineChars="0"/>
        <w:textAlignment w:val="auto"/>
        <w:rPr>
          <w:rFonts w:hint="eastAsia" w:ascii="宋体" w:hAnsi="宋体" w:eastAsia="宋体" w:cs="宋体"/>
          <w:b/>
          <w:sz w:val="24"/>
          <w:szCs w:val="24"/>
        </w:rPr>
      </w:pPr>
      <w:r>
        <w:rPr>
          <w:rFonts w:hint="eastAsia" w:cs="宋体"/>
          <w:b/>
          <w:sz w:val="24"/>
          <w:szCs w:val="24"/>
          <w:lang w:eastAsia="zh-CN"/>
        </w:rPr>
        <w:t>九</w:t>
      </w:r>
      <w:r>
        <w:rPr>
          <w:rFonts w:hint="eastAsia" w:ascii="宋体" w:hAnsi="宋体" w:eastAsia="宋体" w:cs="宋体"/>
          <w:b/>
          <w:sz w:val="24"/>
          <w:szCs w:val="24"/>
        </w:rPr>
        <w:t>、其它</w:t>
      </w:r>
    </w:p>
    <w:p w14:paraId="5F9B8B88">
      <w:pPr>
        <w:pStyle w:val="204"/>
        <w:keepNext w:val="0"/>
        <w:keepLines w:val="0"/>
        <w:pageBreakBefore w:val="0"/>
        <w:widowControl w:val="0"/>
        <w:kinsoku/>
        <w:wordWrap/>
        <w:overflowPunct/>
        <w:topLinePunct w:val="0"/>
        <w:autoSpaceDE/>
        <w:autoSpaceDN/>
        <w:bidi w:val="0"/>
        <w:adjustRightInd w:val="0"/>
        <w:snapToGrid w:val="0"/>
        <w:spacing w:before="40" w:after="40" w:line="360" w:lineRule="auto"/>
        <w:ind w:firstLine="470" w:firstLineChars="196"/>
        <w:textAlignment w:val="auto"/>
        <w:rPr>
          <w:rFonts w:hint="eastAsia" w:ascii="宋体" w:hAnsi="宋体" w:eastAsia="宋体" w:cs="宋体"/>
          <w:bCs/>
          <w:sz w:val="24"/>
          <w:szCs w:val="24"/>
        </w:rPr>
      </w:pPr>
      <w:r>
        <w:rPr>
          <w:rFonts w:hint="eastAsia" w:ascii="宋体" w:hAnsi="宋体" w:eastAsia="宋体" w:cs="宋体"/>
          <w:bCs/>
          <w:sz w:val="24"/>
          <w:szCs w:val="24"/>
        </w:rPr>
        <w:t>1.乙方应保证所提供的</w:t>
      </w:r>
      <w:r>
        <w:rPr>
          <w:rFonts w:hint="eastAsia" w:ascii="宋体" w:hAnsi="宋体" w:eastAsia="宋体" w:cs="宋体"/>
          <w:bCs/>
          <w:sz w:val="24"/>
          <w:szCs w:val="24"/>
          <w:lang w:val="en-US" w:eastAsia="zh-CN"/>
        </w:rPr>
        <w:t>服务</w:t>
      </w:r>
      <w:r>
        <w:rPr>
          <w:rFonts w:hint="eastAsia" w:ascii="宋体" w:hAnsi="宋体" w:eastAsia="宋体" w:cs="宋体"/>
          <w:bCs/>
          <w:sz w:val="24"/>
          <w:szCs w:val="24"/>
        </w:rPr>
        <w:t>不会侵犯任何第三方的知识产权。</w:t>
      </w:r>
    </w:p>
    <w:p w14:paraId="761D4814">
      <w:pPr>
        <w:pStyle w:val="204"/>
        <w:keepNext w:val="0"/>
        <w:keepLines w:val="0"/>
        <w:pageBreakBefore w:val="0"/>
        <w:widowControl w:val="0"/>
        <w:kinsoku/>
        <w:wordWrap/>
        <w:overflowPunct/>
        <w:topLinePunct w:val="0"/>
        <w:autoSpaceDE/>
        <w:autoSpaceDN/>
        <w:bidi w:val="0"/>
        <w:adjustRightInd w:val="0"/>
        <w:snapToGrid w:val="0"/>
        <w:spacing w:before="40" w:after="40" w:line="360" w:lineRule="auto"/>
        <w:ind w:firstLine="470" w:firstLineChars="196"/>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2</w:t>
      </w:r>
      <w:r>
        <w:rPr>
          <w:rFonts w:hint="eastAsia" w:ascii="宋体" w:hAnsi="宋体" w:eastAsia="宋体" w:cs="宋体"/>
          <w:bCs/>
          <w:sz w:val="24"/>
          <w:szCs w:val="24"/>
        </w:rPr>
        <w:t>.</w:t>
      </w:r>
      <w:r>
        <w:rPr>
          <w:rFonts w:hint="eastAsia" w:cs="宋体"/>
          <w:bCs/>
          <w:sz w:val="24"/>
          <w:szCs w:val="24"/>
          <w:lang w:eastAsia="zh-CN"/>
        </w:rPr>
        <w:t>招标文件</w:t>
      </w:r>
      <w:r>
        <w:rPr>
          <w:rFonts w:hint="eastAsia" w:ascii="宋体" w:hAnsi="宋体" w:eastAsia="宋体" w:cs="宋体"/>
          <w:bCs/>
          <w:sz w:val="24"/>
          <w:szCs w:val="24"/>
        </w:rPr>
        <w:t>、</w:t>
      </w:r>
      <w:r>
        <w:rPr>
          <w:rFonts w:hint="eastAsia" w:ascii="宋体" w:hAnsi="宋体" w:eastAsia="宋体" w:cs="宋体"/>
          <w:bCs/>
          <w:sz w:val="24"/>
          <w:szCs w:val="24"/>
          <w:lang w:eastAsia="zh-CN"/>
        </w:rPr>
        <w:t>响应文件</w:t>
      </w:r>
      <w:r>
        <w:rPr>
          <w:rFonts w:hint="eastAsia" w:ascii="宋体" w:hAnsi="宋体" w:eastAsia="宋体" w:cs="宋体"/>
          <w:bCs/>
          <w:sz w:val="24"/>
          <w:szCs w:val="24"/>
        </w:rPr>
        <w:t>、补充协议、询标答复纪要及合同谈判纪要作为本合同的附件，与本合同具有同等法律效力。</w:t>
      </w:r>
    </w:p>
    <w:p w14:paraId="19A997BA">
      <w:pPr>
        <w:pStyle w:val="204"/>
        <w:keepNext w:val="0"/>
        <w:keepLines w:val="0"/>
        <w:pageBreakBefore w:val="0"/>
        <w:widowControl w:val="0"/>
        <w:kinsoku/>
        <w:wordWrap/>
        <w:overflowPunct/>
        <w:topLinePunct w:val="0"/>
        <w:autoSpaceDE/>
        <w:autoSpaceDN/>
        <w:bidi w:val="0"/>
        <w:adjustRightInd w:val="0"/>
        <w:snapToGrid w:val="0"/>
        <w:spacing w:before="40" w:after="40" w:line="360" w:lineRule="auto"/>
        <w:ind w:firstLine="470" w:firstLineChars="196"/>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3</w:t>
      </w:r>
      <w:r>
        <w:rPr>
          <w:rFonts w:hint="eastAsia" w:ascii="宋体" w:hAnsi="宋体" w:eastAsia="宋体" w:cs="宋体"/>
          <w:bCs/>
          <w:sz w:val="24"/>
          <w:szCs w:val="24"/>
        </w:rPr>
        <w:t>.本合同未尽事宜，遵照《民法典》有关条文执行</w:t>
      </w:r>
      <w:r>
        <w:rPr>
          <w:rFonts w:hint="eastAsia" w:cs="宋体"/>
          <w:bCs/>
          <w:sz w:val="24"/>
          <w:szCs w:val="24"/>
          <w:lang w:eastAsia="zh-CN"/>
        </w:rPr>
        <w:t>。</w:t>
      </w:r>
    </w:p>
    <w:p w14:paraId="0C3699FA">
      <w:pPr>
        <w:pStyle w:val="204"/>
        <w:keepNext w:val="0"/>
        <w:keepLines w:val="0"/>
        <w:pageBreakBefore w:val="0"/>
        <w:widowControl w:val="0"/>
        <w:kinsoku/>
        <w:wordWrap/>
        <w:overflowPunct/>
        <w:topLinePunct w:val="0"/>
        <w:autoSpaceDE/>
        <w:autoSpaceDN/>
        <w:bidi w:val="0"/>
        <w:adjustRightInd w:val="0"/>
        <w:snapToGrid w:val="0"/>
        <w:spacing w:before="40" w:after="40" w:line="360" w:lineRule="auto"/>
        <w:ind w:firstLine="0" w:firstLineChars="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十</w:t>
      </w:r>
      <w:r>
        <w:rPr>
          <w:rFonts w:hint="eastAsia" w:ascii="宋体" w:hAnsi="宋体" w:eastAsia="宋体" w:cs="宋体"/>
          <w:b/>
          <w:sz w:val="24"/>
          <w:szCs w:val="24"/>
        </w:rPr>
        <w:t>、合同份数：</w:t>
      </w:r>
    </w:p>
    <w:p w14:paraId="2D25AA4E">
      <w:pPr>
        <w:pStyle w:val="204"/>
        <w:keepNext w:val="0"/>
        <w:keepLines w:val="0"/>
        <w:pageBreakBefore w:val="0"/>
        <w:widowControl w:val="0"/>
        <w:kinsoku/>
        <w:wordWrap/>
        <w:overflowPunct/>
        <w:topLinePunct w:val="0"/>
        <w:autoSpaceDE/>
        <w:autoSpaceDN/>
        <w:bidi w:val="0"/>
        <w:adjustRightInd w:val="0"/>
        <w:snapToGrid w:val="0"/>
        <w:spacing w:before="40" w:after="40"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本合同一式</w:t>
      </w:r>
      <w:r>
        <w:rPr>
          <w:rFonts w:hint="eastAsia" w:ascii="宋体" w:hAnsi="宋体" w:eastAsia="宋体" w:cs="宋体"/>
          <w:color w:val="000000" w:themeColor="text1"/>
          <w:sz w:val="24"/>
          <w:szCs w:val="24"/>
          <w:lang w:val="en-US" w:eastAsia="zh-CN"/>
          <w14:textFill>
            <w14:solidFill>
              <w14:schemeClr w14:val="tx1"/>
            </w14:solidFill>
          </w14:textFill>
        </w:rPr>
        <w:t>陆</w:t>
      </w:r>
      <w:r>
        <w:rPr>
          <w:rFonts w:hint="eastAsia" w:ascii="宋体" w:hAnsi="宋体" w:eastAsia="宋体" w:cs="宋体"/>
          <w:color w:val="000000" w:themeColor="text1"/>
          <w:sz w:val="24"/>
          <w:szCs w:val="24"/>
          <w14:textFill>
            <w14:solidFill>
              <w14:schemeClr w14:val="tx1"/>
            </w14:solidFill>
          </w14:textFill>
        </w:rPr>
        <w:t>份，甲</w:t>
      </w:r>
      <w:r>
        <w:rPr>
          <w:rFonts w:hint="eastAsia" w:ascii="宋体" w:hAnsi="宋体" w:eastAsia="宋体" w:cs="宋体"/>
          <w:color w:val="000000" w:themeColor="text1"/>
          <w:sz w:val="24"/>
          <w:szCs w:val="24"/>
          <w:lang w:val="en-US" w:eastAsia="zh-CN"/>
          <w14:textFill>
            <w14:solidFill>
              <w14:schemeClr w14:val="tx1"/>
            </w14:solidFill>
          </w14:textFill>
        </w:rPr>
        <w:t>方执肆份，</w:t>
      </w:r>
      <w:r>
        <w:rPr>
          <w:rFonts w:hint="eastAsia" w:ascii="宋体" w:hAnsi="宋体" w:eastAsia="宋体" w:cs="宋体"/>
          <w:color w:val="000000" w:themeColor="text1"/>
          <w:sz w:val="24"/>
          <w:szCs w:val="24"/>
          <w14:textFill>
            <w14:solidFill>
              <w14:schemeClr w14:val="tx1"/>
            </w14:solidFill>
          </w14:textFill>
        </w:rPr>
        <w:t>乙方</w:t>
      </w:r>
      <w:r>
        <w:rPr>
          <w:rFonts w:hint="eastAsia" w:ascii="宋体" w:hAnsi="宋体" w:eastAsia="宋体" w:cs="宋体"/>
          <w:color w:val="000000" w:themeColor="text1"/>
          <w:sz w:val="24"/>
          <w:szCs w:val="24"/>
          <w:lang w:val="en-US" w:eastAsia="zh-CN"/>
          <w14:textFill>
            <w14:solidFill>
              <w14:schemeClr w14:val="tx1"/>
            </w14:solidFill>
          </w14:textFill>
        </w:rPr>
        <w:t>执</w:t>
      </w:r>
      <w:r>
        <w:rPr>
          <w:rFonts w:hint="eastAsia" w:ascii="宋体" w:hAnsi="宋体" w:eastAsia="宋体" w:cs="宋体"/>
          <w:color w:val="000000" w:themeColor="text1"/>
          <w:sz w:val="24"/>
          <w:szCs w:val="24"/>
          <w14:textFill>
            <w14:solidFill>
              <w14:schemeClr w14:val="tx1"/>
            </w14:solidFill>
          </w14:textFill>
        </w:rPr>
        <w:t>两份。具有同等法律效力。双方签字盖</w:t>
      </w:r>
      <w:r>
        <w:rPr>
          <w:rFonts w:hint="eastAsia" w:ascii="宋体" w:hAnsi="宋体" w:eastAsia="宋体" w:cs="宋体"/>
          <w:sz w:val="24"/>
          <w:szCs w:val="24"/>
        </w:rPr>
        <w:t>章生效。</w:t>
      </w:r>
    </w:p>
    <w:p w14:paraId="3E407F4F">
      <w:pPr>
        <w:pStyle w:val="204"/>
        <w:adjustRightInd w:val="0"/>
        <w:snapToGrid w:val="0"/>
        <w:spacing w:line="360" w:lineRule="auto"/>
        <w:ind w:firstLine="470" w:firstLineChars="196"/>
        <w:rPr>
          <w:rFonts w:hint="eastAsia" w:asciiTheme="minorEastAsia" w:hAnsiTheme="minorEastAsia" w:eastAsiaTheme="minorEastAsia" w:cstheme="minorEastAsia"/>
          <w:bCs/>
          <w:sz w:val="24"/>
          <w:szCs w:val="24"/>
        </w:rPr>
      </w:pPr>
    </w:p>
    <w:p w14:paraId="09717615">
      <w:pPr>
        <w:pStyle w:val="204"/>
        <w:adjustRightInd w:val="0"/>
        <w:snapToGrid w:val="0"/>
        <w:spacing w:line="360" w:lineRule="auto"/>
        <w:ind w:firstLine="470" w:firstLineChars="196"/>
        <w:rPr>
          <w:rFonts w:hint="eastAsia" w:asciiTheme="minorEastAsia" w:hAnsiTheme="minorEastAsia" w:eastAsiaTheme="minorEastAsia" w:cstheme="minorEastAsia"/>
          <w:bCs/>
          <w:sz w:val="24"/>
          <w:szCs w:val="24"/>
        </w:rPr>
      </w:pPr>
    </w:p>
    <w:p w14:paraId="4E268B33">
      <w:pPr>
        <w:pStyle w:val="204"/>
        <w:adjustRightInd w:val="0"/>
        <w:snapToGrid w:val="0"/>
        <w:spacing w:line="360" w:lineRule="auto"/>
        <w:ind w:firstLine="470" w:firstLineChars="196"/>
        <w:rPr>
          <w:rFonts w:hint="eastAsia" w:asciiTheme="minorEastAsia" w:hAnsiTheme="minorEastAsia" w:eastAsiaTheme="minorEastAsia" w:cstheme="minorEastAsia"/>
          <w:bCs/>
          <w:sz w:val="24"/>
          <w:szCs w:val="24"/>
        </w:rPr>
      </w:pPr>
    </w:p>
    <w:p w14:paraId="7F7180D5">
      <w:pPr>
        <w:pStyle w:val="204"/>
        <w:adjustRightInd w:val="0"/>
        <w:snapToGrid w:val="0"/>
        <w:spacing w:line="360" w:lineRule="auto"/>
        <w:ind w:firstLine="470" w:firstLineChars="196"/>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甲方（盖章）：</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乙方（盖章）：</w:t>
      </w:r>
    </w:p>
    <w:p w14:paraId="42E280AA">
      <w:pPr>
        <w:pStyle w:val="204"/>
        <w:adjustRightInd w:val="0"/>
        <w:snapToGrid w:val="0"/>
        <w:spacing w:line="360" w:lineRule="auto"/>
        <w:ind w:firstLine="470" w:firstLineChars="196"/>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法定代表人或委托代理人（签字）</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法定代表人或委托代理人（签字）</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bCs/>
          <w:sz w:val="24"/>
          <w:szCs w:val="24"/>
          <w:lang w:val="en-US" w:eastAsia="zh-CN"/>
        </w:rPr>
        <w:t xml:space="preserve">                                </w:t>
      </w:r>
    </w:p>
    <w:p w14:paraId="2C4AEBF5">
      <w:pPr>
        <w:pStyle w:val="204"/>
        <w:adjustRightInd w:val="0"/>
        <w:snapToGrid w:val="0"/>
        <w:spacing w:line="360" w:lineRule="auto"/>
        <w:ind w:firstLine="470" w:firstLineChars="196"/>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电话：</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电话：</w:t>
      </w:r>
    </w:p>
    <w:p w14:paraId="3087B494">
      <w:pPr>
        <w:pStyle w:val="204"/>
        <w:adjustRightInd w:val="0"/>
        <w:snapToGrid w:val="0"/>
        <w:spacing w:line="360" w:lineRule="auto"/>
        <w:ind w:firstLine="470" w:firstLineChars="196"/>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日期：</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年</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月</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日</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日期：</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年</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月</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rPr>
        <w:t>日</w:t>
      </w:r>
    </w:p>
    <w:p w14:paraId="6BBEF189">
      <w:pPr>
        <w:spacing w:line="360" w:lineRule="auto"/>
        <w:ind w:left="0" w:leftChars="0" w:firstLine="0" w:firstLineChars="0"/>
        <w:rPr>
          <w:rFonts w:hint="eastAsia" w:ascii="宋体" w:hAnsi="宋体" w:eastAsia="宋体" w:cs="宋体"/>
          <w:b/>
          <w:bCs/>
        </w:rPr>
      </w:pPr>
    </w:p>
    <w:p w14:paraId="39BD35D2">
      <w:pPr>
        <w:spacing w:line="360" w:lineRule="auto"/>
        <w:ind w:left="0" w:leftChars="0" w:firstLine="0" w:firstLineChars="0"/>
        <w:jc w:val="center"/>
        <w:rPr>
          <w:rFonts w:hint="eastAsia" w:ascii="宋体" w:hAnsi="宋体" w:eastAsia="宋体" w:cs="宋体"/>
        </w:rPr>
      </w:pPr>
      <w:r>
        <w:rPr>
          <w:rFonts w:hint="eastAsia" w:ascii="宋体" w:hAnsi="宋体" w:eastAsia="宋体" w:cs="宋体"/>
          <w:b/>
          <w:bCs/>
        </w:rPr>
        <w:t>附件（请严格按照招</w:t>
      </w:r>
      <w:r>
        <w:rPr>
          <w:rFonts w:hint="eastAsia" w:ascii="宋体" w:hAnsi="宋体" w:eastAsia="宋体" w:cs="宋体"/>
          <w:b/>
          <w:bCs/>
          <w:lang w:eastAsia="zh-CN"/>
        </w:rPr>
        <w:t>投标文件</w:t>
      </w:r>
      <w:r>
        <w:rPr>
          <w:rFonts w:hint="eastAsia" w:ascii="宋体" w:hAnsi="宋体" w:eastAsia="宋体" w:cs="宋体"/>
          <w:b/>
          <w:bCs/>
        </w:rPr>
        <w:t>和</w:t>
      </w:r>
      <w:r>
        <w:rPr>
          <w:rFonts w:hint="eastAsia" w:ascii="宋体" w:hAnsi="宋体" w:eastAsia="宋体" w:cs="宋体"/>
          <w:b/>
          <w:bCs/>
          <w:lang w:val="en-US" w:eastAsia="zh-CN"/>
        </w:rPr>
        <w:t>询标纪要</w:t>
      </w:r>
      <w:r>
        <w:rPr>
          <w:rFonts w:hint="eastAsia" w:ascii="宋体" w:hAnsi="宋体" w:eastAsia="宋体" w:cs="宋体"/>
          <w:b/>
          <w:bCs/>
        </w:rPr>
        <w:t>填写配置清单和服务承诺）</w:t>
      </w:r>
      <w:r>
        <w:rPr>
          <w:rFonts w:hint="eastAsia" w:ascii="宋体" w:hAnsi="宋体" w:eastAsia="宋体" w:cs="宋体"/>
        </w:rPr>
        <w:t>（如有）</w:t>
      </w:r>
    </w:p>
    <w:p w14:paraId="75882DF8">
      <w:pPr>
        <w:pStyle w:val="78"/>
        <w:rPr>
          <w:rFonts w:hint="eastAsia" w:ascii="宋体" w:hAnsi="宋体" w:eastAsia="宋体" w:cs="宋体"/>
          <w:color w:val="auto"/>
        </w:rPr>
        <w:sectPr>
          <w:pgSz w:w="11907" w:h="16840"/>
          <w:pgMar w:top="1247" w:right="1304" w:bottom="1021" w:left="1304" w:header="720" w:footer="720" w:gutter="0"/>
          <w:pgNumType w:fmt="decimal"/>
          <w:cols w:space="720" w:num="1"/>
          <w:docGrid w:linePitch="286" w:charSpace="0"/>
        </w:sectPr>
      </w:pPr>
    </w:p>
    <w:p w14:paraId="57495E68">
      <w:pPr>
        <w:pStyle w:val="3"/>
        <w:jc w:val="center"/>
        <w:rPr>
          <w:rFonts w:hint="eastAsia" w:ascii="宋体" w:hAnsi="宋体" w:eastAsia="宋体" w:cs="宋体"/>
          <w:szCs w:val="32"/>
        </w:rPr>
      </w:pPr>
      <w:bookmarkStart w:id="80" w:name="_Toc27145"/>
      <w:bookmarkStart w:id="81" w:name="_Toc450840088"/>
      <w:r>
        <w:rPr>
          <w:rFonts w:hint="eastAsia" w:ascii="宋体" w:hAnsi="宋体" w:eastAsia="宋体" w:cs="宋体"/>
          <w:sz w:val="36"/>
          <w:szCs w:val="36"/>
        </w:rPr>
        <w:t xml:space="preserve">第六章 </w:t>
      </w:r>
      <w:r>
        <w:rPr>
          <w:rFonts w:hint="eastAsia" w:cs="宋体"/>
          <w:sz w:val="36"/>
          <w:szCs w:val="36"/>
          <w:lang w:val="en-US" w:eastAsia="zh-CN"/>
        </w:rPr>
        <w:t xml:space="preserve"> </w:t>
      </w:r>
      <w:r>
        <w:rPr>
          <w:rFonts w:hint="eastAsia" w:ascii="宋体" w:hAnsi="宋体" w:eastAsia="宋体" w:cs="宋体"/>
          <w:sz w:val="36"/>
          <w:szCs w:val="36"/>
        </w:rPr>
        <w:t>投标文件格式</w:t>
      </w:r>
      <w:bookmarkEnd w:id="80"/>
      <w:bookmarkEnd w:id="81"/>
    </w:p>
    <w:p w14:paraId="3E59884A">
      <w:pPr>
        <w:pStyle w:val="20"/>
        <w:spacing w:line="360" w:lineRule="auto"/>
        <w:jc w:val="center"/>
        <w:rPr>
          <w:rFonts w:hint="eastAsia" w:ascii="宋体" w:hAnsi="宋体" w:eastAsia="宋体" w:cs="宋体"/>
          <w:sz w:val="24"/>
          <w:szCs w:val="24"/>
        </w:rPr>
      </w:pPr>
      <w:r>
        <w:rPr>
          <w:rFonts w:hint="eastAsia" w:ascii="宋体" w:hAnsi="宋体" w:eastAsia="宋体" w:cs="宋体"/>
          <w:b/>
          <w:bCs/>
          <w:sz w:val="24"/>
          <w:szCs w:val="24"/>
        </w:rPr>
        <w:t>（要求提供但未提供</w:t>
      </w:r>
      <w:r>
        <w:rPr>
          <w:rFonts w:hint="eastAsia" w:hAnsi="宋体" w:cs="宋体"/>
          <w:b/>
          <w:bCs/>
          <w:sz w:val="24"/>
          <w:szCs w:val="24"/>
          <w:lang w:eastAsia="zh-CN"/>
        </w:rPr>
        <w:t>附件</w:t>
      </w:r>
      <w:r>
        <w:rPr>
          <w:rFonts w:hint="eastAsia" w:ascii="宋体" w:hAnsi="宋体" w:eastAsia="宋体" w:cs="宋体"/>
          <w:b/>
          <w:bCs/>
          <w:sz w:val="24"/>
          <w:szCs w:val="24"/>
        </w:rPr>
        <w:t>的文件由投标人自</w:t>
      </w:r>
      <w:r>
        <w:rPr>
          <w:rFonts w:hint="eastAsia" w:hAnsi="宋体" w:cs="宋体"/>
          <w:b/>
          <w:bCs/>
          <w:sz w:val="24"/>
          <w:szCs w:val="24"/>
          <w:lang w:eastAsia="zh-CN"/>
        </w:rPr>
        <w:t>拟格式</w:t>
      </w:r>
      <w:r>
        <w:rPr>
          <w:rFonts w:hint="eastAsia" w:ascii="宋体" w:hAnsi="宋体" w:eastAsia="宋体" w:cs="宋体"/>
          <w:b/>
          <w:bCs/>
          <w:sz w:val="24"/>
          <w:szCs w:val="24"/>
        </w:rPr>
        <w:t>）</w:t>
      </w:r>
    </w:p>
    <w:p w14:paraId="22DD0C13">
      <w:pPr>
        <w:pStyle w:val="20"/>
        <w:spacing w:line="360" w:lineRule="auto"/>
        <w:rPr>
          <w:rFonts w:hint="eastAsia" w:ascii="宋体" w:hAnsi="宋体" w:eastAsia="宋体" w:cs="宋体"/>
          <w:b/>
          <w:bCs/>
          <w:sz w:val="24"/>
          <w:szCs w:val="24"/>
        </w:rPr>
      </w:pPr>
    </w:p>
    <w:p w14:paraId="619A5328">
      <w:pPr>
        <w:pStyle w:val="20"/>
        <w:spacing w:line="360" w:lineRule="auto"/>
        <w:rPr>
          <w:rFonts w:hint="default" w:ascii="宋体" w:hAnsi="宋体" w:eastAsia="宋体" w:cs="宋体"/>
          <w:sz w:val="28"/>
          <w:szCs w:val="28"/>
          <w:lang w:val="en-US" w:eastAsia="zh-CN"/>
        </w:rPr>
      </w:pPr>
      <w:r>
        <w:rPr>
          <w:rFonts w:hint="eastAsia" w:ascii="宋体" w:hAnsi="宋体" w:eastAsia="宋体" w:cs="宋体"/>
          <w:b/>
          <w:bCs/>
          <w:sz w:val="24"/>
          <w:szCs w:val="24"/>
        </w:rPr>
        <w:t>资格文件封面</w:t>
      </w:r>
      <w:r>
        <w:rPr>
          <w:rFonts w:hint="eastAsia" w:hAnsi="宋体" w:cs="宋体"/>
          <w:b/>
          <w:bCs/>
          <w:sz w:val="24"/>
          <w:szCs w:val="24"/>
          <w:lang w:val="en-US" w:eastAsia="zh-CN"/>
        </w:rPr>
        <w:t xml:space="preserve">                                                  正本（副本）</w:t>
      </w:r>
    </w:p>
    <w:p w14:paraId="2EFA8B3B">
      <w:pPr>
        <w:ind w:firstLine="480"/>
        <w:rPr>
          <w:rFonts w:hint="eastAsia" w:ascii="宋体" w:hAnsi="宋体" w:eastAsia="宋体" w:cs="宋体"/>
        </w:rPr>
      </w:pPr>
    </w:p>
    <w:p w14:paraId="2FED717E">
      <w:pPr>
        <w:ind w:left="0" w:leftChars="0" w:firstLine="0" w:firstLineChars="0"/>
        <w:jc w:val="center"/>
        <w:rPr>
          <w:rFonts w:hint="eastAsia" w:ascii="宋体" w:hAnsi="宋体" w:eastAsia="宋体" w:cs="宋体"/>
          <w:b/>
          <w:bCs/>
          <w:sz w:val="32"/>
          <w:szCs w:val="32"/>
        </w:rPr>
      </w:pPr>
      <w:r>
        <w:rPr>
          <w:rFonts w:hint="eastAsia" w:ascii="宋体" w:hAnsi="宋体" w:eastAsia="宋体" w:cs="宋体"/>
          <w:b/>
          <w:bCs/>
          <w:sz w:val="32"/>
          <w:szCs w:val="32"/>
        </w:rPr>
        <w:t>资格文件</w:t>
      </w:r>
    </w:p>
    <w:p w14:paraId="57B1FBD9">
      <w:pPr>
        <w:pStyle w:val="15"/>
        <w:rPr>
          <w:rFonts w:hint="eastAsia" w:ascii="宋体" w:hAnsi="宋体" w:eastAsia="宋体" w:cs="宋体"/>
          <w:b/>
          <w:bCs/>
          <w:sz w:val="24"/>
          <w:szCs w:val="24"/>
        </w:rPr>
      </w:pPr>
    </w:p>
    <w:p w14:paraId="0999EE3B">
      <w:pPr>
        <w:rPr>
          <w:rFonts w:hint="eastAsia" w:ascii="宋体" w:hAnsi="宋体" w:eastAsia="宋体" w:cs="宋体"/>
          <w:b/>
          <w:bCs/>
          <w:sz w:val="24"/>
          <w:szCs w:val="24"/>
        </w:rPr>
      </w:pPr>
    </w:p>
    <w:p w14:paraId="6768B5EF">
      <w:pPr>
        <w:pStyle w:val="15"/>
        <w:rPr>
          <w:rFonts w:hint="eastAsia" w:ascii="宋体" w:hAnsi="宋体" w:eastAsia="宋体" w:cs="宋体"/>
          <w:b/>
          <w:bCs/>
          <w:sz w:val="24"/>
          <w:szCs w:val="24"/>
        </w:rPr>
      </w:pPr>
    </w:p>
    <w:p w14:paraId="7BF98F6B">
      <w:pPr>
        <w:spacing w:line="48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招 标 人：</w:t>
      </w:r>
    </w:p>
    <w:p w14:paraId="2ABE43BA">
      <w:pPr>
        <w:spacing w:line="48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项目名称：</w:t>
      </w:r>
    </w:p>
    <w:p w14:paraId="2F9599C3">
      <w:pPr>
        <w:spacing w:line="48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项目编号：</w:t>
      </w:r>
    </w:p>
    <w:p w14:paraId="34ACA5E0">
      <w:pPr>
        <w:spacing w:line="48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投标人名称（盖章）：</w:t>
      </w:r>
    </w:p>
    <w:p w14:paraId="75058068">
      <w:pPr>
        <w:spacing w:line="48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投标人地址：</w:t>
      </w:r>
    </w:p>
    <w:p w14:paraId="742DF637">
      <w:pPr>
        <w:ind w:firstLine="456"/>
        <w:rPr>
          <w:rFonts w:hint="eastAsia" w:ascii="宋体" w:hAnsi="宋体" w:eastAsia="宋体" w:cs="宋体"/>
          <w:bCs/>
          <w:spacing w:val="-6"/>
          <w:sz w:val="30"/>
          <w:szCs w:val="30"/>
        </w:rPr>
      </w:pPr>
    </w:p>
    <w:p w14:paraId="6BC73DC7">
      <w:pPr>
        <w:spacing w:line="480" w:lineRule="auto"/>
        <w:ind w:firstLine="456"/>
        <w:rPr>
          <w:rFonts w:hint="eastAsia" w:ascii="宋体" w:hAnsi="宋体" w:eastAsia="宋体" w:cs="宋体"/>
          <w:bCs/>
          <w:spacing w:val="-6"/>
          <w:sz w:val="30"/>
          <w:szCs w:val="30"/>
        </w:rPr>
      </w:pPr>
      <w:r>
        <w:rPr>
          <w:rFonts w:hint="eastAsia" w:cs="宋体"/>
          <w:spacing w:val="-6"/>
          <w:sz w:val="30"/>
          <w:szCs w:val="30"/>
          <w:lang w:eastAsia="zh-CN"/>
        </w:rPr>
        <w:t>法定代表人或其授权代表（</w:t>
      </w:r>
      <w:r>
        <w:rPr>
          <w:rFonts w:hint="eastAsia" w:ascii="宋体" w:hAnsi="宋体" w:eastAsia="宋体" w:cs="宋体"/>
          <w:spacing w:val="-6"/>
          <w:sz w:val="30"/>
          <w:szCs w:val="30"/>
        </w:rPr>
        <w:t>签字</w:t>
      </w:r>
      <w:r>
        <w:rPr>
          <w:rFonts w:hint="eastAsia" w:cs="宋体"/>
          <w:spacing w:val="-6"/>
          <w:sz w:val="30"/>
          <w:szCs w:val="30"/>
          <w:lang w:eastAsia="zh-CN"/>
        </w:rPr>
        <w:t>）</w:t>
      </w:r>
      <w:r>
        <w:rPr>
          <w:rFonts w:hint="eastAsia" w:ascii="宋体" w:hAnsi="宋体" w:eastAsia="宋体" w:cs="宋体"/>
          <w:bCs/>
          <w:spacing w:val="-6"/>
          <w:sz w:val="30"/>
          <w:szCs w:val="30"/>
        </w:rPr>
        <w:t>：</w:t>
      </w:r>
    </w:p>
    <w:p w14:paraId="323A5A6F">
      <w:pPr>
        <w:spacing w:line="480" w:lineRule="auto"/>
        <w:ind w:firstLine="480"/>
        <w:rPr>
          <w:rFonts w:hint="eastAsia" w:ascii="宋体" w:hAnsi="宋体" w:eastAsia="宋体" w:cs="宋体"/>
        </w:rPr>
      </w:pPr>
      <w:r>
        <w:rPr>
          <w:rFonts w:hint="eastAsia" w:ascii="宋体" w:hAnsi="宋体" w:eastAsia="宋体" w:cs="宋体"/>
          <w:bCs/>
          <w:spacing w:val="-6"/>
          <w:sz w:val="30"/>
          <w:szCs w:val="30"/>
        </w:rPr>
        <w:t>日期：    年  月  日</w:t>
      </w:r>
    </w:p>
    <w:p w14:paraId="7C36C114">
      <w:pPr>
        <w:pStyle w:val="78"/>
        <w:rPr>
          <w:rFonts w:hint="eastAsia" w:ascii="宋体" w:hAnsi="宋体" w:eastAsia="宋体" w:cs="宋体"/>
          <w:color w:val="auto"/>
        </w:rPr>
      </w:pPr>
    </w:p>
    <w:p w14:paraId="523D20B8">
      <w:pPr>
        <w:pStyle w:val="78"/>
        <w:rPr>
          <w:rFonts w:hint="eastAsia" w:ascii="宋体" w:hAnsi="宋体" w:eastAsia="宋体" w:cs="宋体"/>
          <w:color w:val="auto"/>
        </w:rPr>
      </w:pPr>
    </w:p>
    <w:p w14:paraId="56C6CCD1">
      <w:pPr>
        <w:pStyle w:val="78"/>
        <w:rPr>
          <w:rFonts w:hint="eastAsia" w:ascii="宋体" w:hAnsi="宋体" w:eastAsia="宋体" w:cs="宋体"/>
          <w:color w:val="auto"/>
        </w:rPr>
      </w:pPr>
    </w:p>
    <w:p w14:paraId="27E7767B">
      <w:pPr>
        <w:pStyle w:val="78"/>
        <w:rPr>
          <w:rFonts w:hint="eastAsia" w:ascii="宋体" w:hAnsi="宋体" w:eastAsia="宋体" w:cs="宋体"/>
          <w:color w:val="auto"/>
        </w:rPr>
      </w:pPr>
    </w:p>
    <w:p w14:paraId="53E6FBF8">
      <w:pPr>
        <w:pStyle w:val="78"/>
        <w:rPr>
          <w:rFonts w:hint="eastAsia" w:ascii="宋体" w:hAnsi="宋体" w:eastAsia="宋体" w:cs="宋体"/>
          <w:color w:val="auto"/>
        </w:rPr>
      </w:pPr>
    </w:p>
    <w:p w14:paraId="60A72C8C">
      <w:pPr>
        <w:pStyle w:val="78"/>
        <w:rPr>
          <w:rFonts w:hint="eastAsia" w:ascii="宋体" w:hAnsi="宋体" w:eastAsia="宋体" w:cs="宋体"/>
          <w:color w:val="auto"/>
        </w:rPr>
      </w:pPr>
    </w:p>
    <w:p w14:paraId="600B9610">
      <w:pPr>
        <w:pStyle w:val="78"/>
        <w:rPr>
          <w:rFonts w:hint="eastAsia" w:ascii="宋体" w:hAnsi="宋体" w:eastAsia="宋体" w:cs="宋体"/>
          <w:color w:val="auto"/>
        </w:rPr>
      </w:pPr>
    </w:p>
    <w:p w14:paraId="2E0D62F6">
      <w:pPr>
        <w:pStyle w:val="78"/>
        <w:rPr>
          <w:rFonts w:hint="eastAsia" w:ascii="宋体" w:hAnsi="宋体" w:eastAsia="宋体" w:cs="宋体"/>
          <w:color w:val="auto"/>
        </w:rPr>
      </w:pPr>
    </w:p>
    <w:p w14:paraId="371A1432">
      <w:pPr>
        <w:pStyle w:val="78"/>
        <w:rPr>
          <w:rFonts w:hint="eastAsia" w:ascii="宋体" w:hAnsi="宋体" w:eastAsia="宋体" w:cs="宋体"/>
          <w:color w:val="auto"/>
        </w:rPr>
      </w:pPr>
    </w:p>
    <w:p w14:paraId="34134550">
      <w:pPr>
        <w:pStyle w:val="78"/>
        <w:rPr>
          <w:rFonts w:hint="eastAsia" w:ascii="宋体" w:hAnsi="宋体" w:eastAsia="宋体" w:cs="宋体"/>
          <w:color w:val="auto"/>
        </w:rPr>
      </w:pPr>
    </w:p>
    <w:p w14:paraId="008FB670">
      <w:pPr>
        <w:pStyle w:val="78"/>
        <w:rPr>
          <w:rFonts w:hint="eastAsia" w:ascii="宋体" w:hAnsi="宋体" w:eastAsia="宋体" w:cs="宋体"/>
          <w:color w:val="auto"/>
        </w:rPr>
      </w:pPr>
    </w:p>
    <w:p w14:paraId="5A2A894D">
      <w:pPr>
        <w:pStyle w:val="78"/>
        <w:rPr>
          <w:rFonts w:hint="eastAsia" w:ascii="宋体" w:hAnsi="宋体" w:eastAsia="宋体" w:cs="宋体"/>
          <w:color w:val="auto"/>
        </w:rPr>
      </w:pPr>
    </w:p>
    <w:p w14:paraId="5FC756C7">
      <w:pPr>
        <w:spacing w:line="480" w:lineRule="auto"/>
        <w:ind w:left="0" w:leftChars="0" w:firstLine="0" w:firstLineChars="0"/>
        <w:jc w:val="center"/>
        <w:outlineLvl w:val="0"/>
        <w:rPr>
          <w:rFonts w:hint="eastAsia" w:ascii="宋体" w:hAnsi="宋体" w:eastAsia="宋体" w:cs="宋体"/>
          <w:b/>
          <w:kern w:val="0"/>
        </w:rPr>
      </w:pPr>
      <w:r>
        <w:rPr>
          <w:rFonts w:hint="eastAsia" w:ascii="宋体" w:hAnsi="宋体" w:eastAsia="宋体" w:cs="宋体"/>
        </w:rPr>
        <w:br w:type="page"/>
      </w:r>
      <w:r>
        <w:rPr>
          <w:rFonts w:hint="eastAsia" w:ascii="宋体" w:hAnsi="宋体" w:eastAsia="宋体" w:cs="宋体"/>
          <w:b/>
          <w:kern w:val="0"/>
          <w:sz w:val="32"/>
          <w:szCs w:val="32"/>
        </w:rPr>
        <w:t>资格文件目录</w:t>
      </w:r>
    </w:p>
    <w:p w14:paraId="09A4AA12">
      <w:pPr>
        <w:numPr>
          <w:ilvl w:val="0"/>
          <w:numId w:val="0"/>
        </w:numPr>
        <w:spacing w:line="480" w:lineRule="auto"/>
        <w:ind w:firstLine="480" w:firstLineChars="200"/>
        <w:rPr>
          <w:rFonts w:hint="default" w:cs="宋体"/>
          <w:lang w:val="en-US" w:eastAsia="zh-CN"/>
        </w:rPr>
      </w:pPr>
      <w:r>
        <w:rPr>
          <w:rFonts w:hint="eastAsia" w:cs="宋体"/>
          <w:lang w:val="en-US" w:eastAsia="zh-CN"/>
        </w:rPr>
        <w:t>1.投标声明书；（附件一）</w:t>
      </w:r>
    </w:p>
    <w:p w14:paraId="7D4D4E7F">
      <w:pPr>
        <w:numPr>
          <w:ilvl w:val="0"/>
          <w:numId w:val="0"/>
        </w:numPr>
        <w:spacing w:line="480" w:lineRule="auto"/>
        <w:ind w:firstLine="480" w:firstLineChars="200"/>
        <w:rPr>
          <w:rFonts w:hint="default" w:cs="宋体"/>
          <w:lang w:val="en-US" w:eastAsia="zh-CN"/>
        </w:rPr>
      </w:pPr>
      <w:r>
        <w:rPr>
          <w:rFonts w:hint="eastAsia" w:cs="宋体"/>
          <w:lang w:val="en-US" w:eastAsia="zh-CN"/>
        </w:rPr>
        <w:t>2.</w:t>
      </w:r>
      <w:r>
        <w:rPr>
          <w:rFonts w:hint="eastAsia" w:ascii="宋体" w:hAnsi="宋体" w:eastAsia="宋体" w:cs="宋体"/>
        </w:rPr>
        <w:t>有效的</w:t>
      </w:r>
      <w:r>
        <w:rPr>
          <w:rFonts w:hint="eastAsia" w:cs="宋体"/>
          <w:lang w:eastAsia="zh-CN"/>
        </w:rPr>
        <w:t>营业</w:t>
      </w:r>
      <w:r>
        <w:rPr>
          <w:rFonts w:hint="eastAsia" w:ascii="宋体" w:hAnsi="宋体" w:eastAsia="宋体" w:cs="宋体"/>
        </w:rPr>
        <w:t>执照</w:t>
      </w:r>
      <w:r>
        <w:rPr>
          <w:rFonts w:hint="eastAsia" w:ascii="宋体" w:hAnsi="宋体" w:eastAsia="宋体" w:cs="宋体"/>
          <w:lang w:eastAsia="zh-CN"/>
        </w:rPr>
        <w:t>副本；（扫描件一份）</w:t>
      </w:r>
    </w:p>
    <w:p w14:paraId="46FD85CA">
      <w:pPr>
        <w:numPr>
          <w:ilvl w:val="0"/>
          <w:numId w:val="0"/>
        </w:numPr>
        <w:spacing w:line="480" w:lineRule="auto"/>
        <w:ind w:firstLine="480" w:firstLineChars="200"/>
        <w:rPr>
          <w:rFonts w:hint="eastAsia" w:eastAsia="宋体" w:cs="宋体"/>
          <w:lang w:val="en-US" w:eastAsia="zh-CN"/>
        </w:rPr>
      </w:pPr>
      <w:r>
        <w:rPr>
          <w:rFonts w:hint="eastAsia" w:cs="宋体"/>
          <w:lang w:val="en-US" w:eastAsia="zh-CN"/>
        </w:rPr>
        <w:t>3.</w:t>
      </w:r>
      <w:r>
        <w:rPr>
          <w:rFonts w:hint="eastAsia" w:ascii="宋体" w:hAnsi="宋体" w:eastAsia="宋体" w:cs="宋体"/>
        </w:rPr>
        <w:t>符合参加政府采购活动应当具备的一般条件的承诺函</w:t>
      </w:r>
      <w:r>
        <w:rPr>
          <w:rFonts w:hint="eastAsia" w:cs="宋体"/>
          <w:lang w:eastAsia="zh-CN"/>
        </w:rPr>
        <w:t>；（附件二）</w:t>
      </w:r>
    </w:p>
    <w:p w14:paraId="7F878A18">
      <w:pPr>
        <w:numPr>
          <w:ilvl w:val="0"/>
          <w:numId w:val="0"/>
        </w:numPr>
        <w:spacing w:line="480" w:lineRule="auto"/>
        <w:ind w:firstLine="480" w:firstLineChars="200"/>
        <w:rPr>
          <w:rFonts w:hint="default" w:cs="宋体"/>
          <w:lang w:val="en-US" w:eastAsia="zh-CN"/>
        </w:rPr>
      </w:pPr>
      <w:r>
        <w:rPr>
          <w:rFonts w:hint="eastAsia" w:cs="宋体"/>
          <w:lang w:val="en-US" w:eastAsia="zh-CN"/>
        </w:rPr>
        <w:t>4.</w:t>
      </w:r>
      <w:r>
        <w:rPr>
          <w:rFonts w:hint="eastAsia" w:ascii="宋体" w:hAnsi="宋体"/>
          <w:sz w:val="24"/>
        </w:rPr>
        <w:t>投标人</w:t>
      </w:r>
      <w:r>
        <w:rPr>
          <w:rFonts w:hint="eastAsia" w:ascii="宋体" w:hAnsi="宋体"/>
          <w:sz w:val="24"/>
          <w:lang w:eastAsia="zh-CN"/>
        </w:rPr>
        <w:t>股权信息表；（附件三）</w:t>
      </w:r>
    </w:p>
    <w:p w14:paraId="46DF75FA">
      <w:pPr>
        <w:numPr>
          <w:ilvl w:val="0"/>
          <w:numId w:val="0"/>
        </w:numPr>
        <w:bidi w:val="0"/>
        <w:spacing w:line="480" w:lineRule="auto"/>
        <w:ind w:firstLine="480" w:firstLineChars="200"/>
        <w:rPr>
          <w:rFonts w:hint="eastAsia" w:eastAsia="宋体"/>
          <w:lang w:val="en-US" w:eastAsia="zh-CN"/>
        </w:rPr>
      </w:pPr>
      <w:r>
        <w:rPr>
          <w:rFonts w:hint="eastAsia"/>
          <w:lang w:val="en-US" w:eastAsia="zh-CN"/>
        </w:rPr>
        <w:t>5.</w:t>
      </w:r>
      <w:r>
        <w:rPr>
          <w:rFonts w:hint="eastAsia" w:cs="宋体"/>
          <w:b w:val="0"/>
          <w:bCs w:val="0"/>
          <w:sz w:val="24"/>
          <w:szCs w:val="24"/>
        </w:rPr>
        <w:t>法定代表人</w:t>
      </w:r>
      <w:r>
        <w:rPr>
          <w:rFonts w:hint="eastAsia" w:cs="宋体"/>
          <w:b w:val="0"/>
          <w:bCs w:val="0"/>
          <w:sz w:val="24"/>
          <w:szCs w:val="24"/>
          <w:lang w:eastAsia="zh-CN"/>
        </w:rPr>
        <w:t>有效身份</w:t>
      </w:r>
      <w:r>
        <w:rPr>
          <w:rFonts w:hint="eastAsia" w:cs="宋体"/>
          <w:b w:val="0"/>
          <w:bCs w:val="0"/>
          <w:sz w:val="24"/>
          <w:szCs w:val="24"/>
        </w:rPr>
        <w:t>证明书和法定代表人授权委托书（投标人的代表若为非法定代表人的，必须提交法定代表人授权</w:t>
      </w:r>
      <w:r>
        <w:rPr>
          <w:rFonts w:hint="eastAsia" w:cs="宋体"/>
          <w:b w:val="0"/>
          <w:bCs w:val="0"/>
          <w:sz w:val="24"/>
          <w:szCs w:val="24"/>
          <w:lang w:eastAsia="zh-CN"/>
        </w:rPr>
        <w:t>委托</w:t>
      </w:r>
      <w:r>
        <w:rPr>
          <w:rFonts w:hint="eastAsia" w:cs="宋体"/>
          <w:b w:val="0"/>
          <w:bCs w:val="0"/>
          <w:sz w:val="24"/>
          <w:szCs w:val="24"/>
        </w:rPr>
        <w:t>书</w:t>
      </w:r>
      <w:r>
        <w:rPr>
          <w:rFonts w:hint="eastAsia" w:cs="宋体"/>
          <w:b w:val="0"/>
          <w:bCs w:val="0"/>
          <w:sz w:val="24"/>
          <w:szCs w:val="24"/>
          <w:lang w:eastAsia="zh-CN"/>
        </w:rPr>
        <w:t>、授权代表</w:t>
      </w:r>
      <w:r>
        <w:rPr>
          <w:rFonts w:hint="eastAsia" w:cs="宋体"/>
          <w:b w:val="0"/>
          <w:bCs w:val="0"/>
          <w:sz w:val="24"/>
          <w:szCs w:val="24"/>
        </w:rPr>
        <w:t>身份证复印件、授权</w:t>
      </w:r>
      <w:r>
        <w:rPr>
          <w:rFonts w:hint="eastAsia" w:cs="宋体"/>
          <w:b w:val="0"/>
          <w:bCs w:val="0"/>
          <w:sz w:val="24"/>
          <w:szCs w:val="24"/>
          <w:lang w:eastAsia="zh-CN"/>
        </w:rPr>
        <w:t>代表</w:t>
      </w:r>
      <w:r>
        <w:rPr>
          <w:rFonts w:hint="eastAsia" w:cs="宋体"/>
          <w:b w:val="0"/>
          <w:bCs w:val="0"/>
          <w:sz w:val="24"/>
          <w:szCs w:val="24"/>
        </w:rPr>
        <w:t>社保证明（提供近</w:t>
      </w:r>
      <w:r>
        <w:rPr>
          <w:rFonts w:hint="eastAsia" w:cs="宋体"/>
          <w:b w:val="0"/>
          <w:bCs w:val="0"/>
          <w:sz w:val="24"/>
          <w:szCs w:val="24"/>
          <w:lang w:eastAsia="zh-CN"/>
        </w:rPr>
        <w:t>三个月</w:t>
      </w:r>
      <w:r>
        <w:rPr>
          <w:rFonts w:hint="eastAsia" w:cs="宋体"/>
          <w:b w:val="0"/>
          <w:bCs w:val="0"/>
          <w:sz w:val="24"/>
          <w:szCs w:val="24"/>
        </w:rPr>
        <w:t>任意一</w:t>
      </w:r>
      <w:r>
        <w:rPr>
          <w:rFonts w:hint="eastAsia" w:cs="宋体"/>
          <w:b w:val="0"/>
          <w:bCs w:val="0"/>
          <w:sz w:val="24"/>
          <w:szCs w:val="24"/>
          <w:lang w:eastAsia="zh-CN"/>
        </w:rPr>
        <w:t>个</w:t>
      </w:r>
      <w:r>
        <w:rPr>
          <w:rFonts w:hint="eastAsia" w:cs="宋体"/>
          <w:b w:val="0"/>
          <w:bCs w:val="0"/>
          <w:sz w:val="24"/>
          <w:szCs w:val="24"/>
        </w:rPr>
        <w:t>月的社保缴纳证明）</w:t>
      </w:r>
      <w:r>
        <w:rPr>
          <w:rFonts w:hint="eastAsia" w:cs="宋体"/>
          <w:b w:val="0"/>
          <w:bCs w:val="0"/>
          <w:sz w:val="24"/>
          <w:szCs w:val="24"/>
          <w:lang w:eastAsia="zh-CN"/>
        </w:rPr>
        <w:t>；（附件四）</w:t>
      </w:r>
    </w:p>
    <w:p w14:paraId="0BCF3960">
      <w:pPr>
        <w:numPr>
          <w:ilvl w:val="0"/>
          <w:numId w:val="0"/>
        </w:numPr>
        <w:bidi w:val="0"/>
        <w:spacing w:line="480" w:lineRule="auto"/>
        <w:ind w:firstLine="480" w:firstLineChars="200"/>
        <w:rPr>
          <w:rFonts w:hint="default"/>
          <w:lang w:val="en-US" w:eastAsia="zh-CN"/>
        </w:rPr>
      </w:pPr>
      <w:r>
        <w:rPr>
          <w:rFonts w:hint="eastAsia"/>
          <w:lang w:val="en-US" w:eastAsia="zh-CN"/>
        </w:rPr>
        <w:t>6.廉政承诺书；（附件五）</w:t>
      </w:r>
    </w:p>
    <w:p w14:paraId="44B5086F">
      <w:pPr>
        <w:numPr>
          <w:ilvl w:val="0"/>
          <w:numId w:val="0"/>
        </w:numPr>
        <w:bidi w:val="0"/>
        <w:spacing w:line="480" w:lineRule="auto"/>
        <w:ind w:firstLine="480" w:firstLineChars="200"/>
        <w:rPr>
          <w:rFonts w:hint="eastAsia" w:eastAsia="宋体"/>
          <w:lang w:val="en-US" w:eastAsia="zh-CN"/>
        </w:rPr>
      </w:pPr>
      <w:r>
        <w:rPr>
          <w:rFonts w:hint="eastAsia"/>
          <w:lang w:val="en-US" w:eastAsia="zh-CN"/>
        </w:rPr>
        <w:t>7.中小企业声明函或监狱企业、</w:t>
      </w:r>
      <w:r>
        <w:rPr>
          <w:rFonts w:hint="eastAsia" w:ascii="宋体" w:hAnsi="宋体" w:eastAsia="宋体" w:cs="宋体"/>
        </w:rPr>
        <w:t>残疾人福利性单位声明函</w:t>
      </w:r>
      <w:r>
        <w:rPr>
          <w:rFonts w:hint="eastAsia" w:cs="宋体"/>
          <w:lang w:eastAsia="zh-CN"/>
        </w:rPr>
        <w:t>。（附件六）</w:t>
      </w:r>
    </w:p>
    <w:p w14:paraId="6BFBBD45">
      <w:pPr>
        <w:pStyle w:val="78"/>
        <w:spacing w:line="480" w:lineRule="auto"/>
        <w:rPr>
          <w:rFonts w:hint="eastAsia" w:ascii="宋体" w:hAnsi="宋体" w:eastAsia="宋体" w:cs="宋体"/>
        </w:rPr>
      </w:pPr>
      <w:r>
        <w:rPr>
          <w:rFonts w:hint="eastAsia" w:ascii="宋体" w:hAnsi="宋体" w:eastAsia="宋体" w:cs="宋体"/>
        </w:rPr>
        <w:t xml:space="preserve">    </w:t>
      </w:r>
    </w:p>
    <w:p w14:paraId="6876F7D6">
      <w:pPr>
        <w:pStyle w:val="80"/>
        <w:spacing w:line="480" w:lineRule="auto"/>
        <w:rPr>
          <w:rFonts w:hint="eastAsia" w:ascii="宋体" w:hAnsi="宋体" w:eastAsia="宋体" w:cs="宋体"/>
          <w:sz w:val="24"/>
          <w:szCs w:val="24"/>
          <w:lang w:eastAsia="zh-CN"/>
        </w:rPr>
        <w:sectPr>
          <w:headerReference r:id="rId15" w:type="default"/>
          <w:pgSz w:w="11907" w:h="16840"/>
          <w:pgMar w:top="1247" w:right="1304" w:bottom="1021" w:left="1304" w:header="720" w:footer="720" w:gutter="0"/>
          <w:pgNumType w:fmt="decimal"/>
          <w:cols w:space="720" w:num="1"/>
          <w:docGrid w:linePitch="286" w:charSpace="0"/>
        </w:sectPr>
      </w:pPr>
    </w:p>
    <w:p w14:paraId="20ACB8E3">
      <w:pPr>
        <w:snapToGrid w:val="0"/>
        <w:ind w:left="0" w:leftChars="0" w:right="480" w:firstLine="0" w:firstLineChars="0"/>
        <w:jc w:val="left"/>
        <w:rPr>
          <w:rStyle w:val="58"/>
          <w:rFonts w:hint="eastAsia" w:cs="宋体"/>
          <w:sz w:val="24"/>
          <w:szCs w:val="24"/>
          <w:lang w:val="en-US" w:eastAsia="zh-CN"/>
        </w:rPr>
      </w:pPr>
      <w:r>
        <w:rPr>
          <w:rStyle w:val="58"/>
          <w:rFonts w:hint="eastAsia" w:cs="宋体"/>
          <w:sz w:val="24"/>
          <w:szCs w:val="24"/>
          <w:lang w:val="en-US" w:eastAsia="zh-CN"/>
        </w:rPr>
        <w:t>附件一</w:t>
      </w:r>
    </w:p>
    <w:p w14:paraId="6BE05CAC">
      <w:pPr>
        <w:bidi w:val="0"/>
        <w:spacing w:line="480" w:lineRule="auto"/>
        <w:ind w:left="0" w:leftChars="0" w:firstLine="0" w:firstLineChars="0"/>
        <w:jc w:val="center"/>
        <w:rPr>
          <w:rFonts w:hint="eastAsia"/>
          <w:lang w:val="en-US" w:eastAsia="zh-CN"/>
        </w:rPr>
      </w:pPr>
      <w:r>
        <w:rPr>
          <w:rFonts w:hint="eastAsia"/>
          <w:b/>
          <w:bCs/>
          <w:sz w:val="28"/>
          <w:szCs w:val="28"/>
          <w:lang w:val="en-US" w:eastAsia="zh-CN"/>
        </w:rPr>
        <w:t>投标声明书</w:t>
      </w:r>
    </w:p>
    <w:p w14:paraId="4EF385AB">
      <w:pPr>
        <w:keepNext w:val="0"/>
        <w:keepLines w:val="0"/>
        <w:pageBreakBefore w:val="0"/>
        <w:kinsoku/>
        <w:overflowPunct/>
        <w:topLinePunct w:val="0"/>
        <w:bidi w:val="0"/>
        <w:snapToGrid w:val="0"/>
        <w:spacing w:line="48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u w:val="single"/>
          <w:lang w:eastAsia="zh-CN"/>
        </w:rPr>
        <w:t>（招标人）（代理机构）</w:t>
      </w:r>
      <w:r>
        <w:rPr>
          <w:rFonts w:hint="eastAsia" w:ascii="宋体" w:hAnsi="宋体" w:eastAsia="宋体" w:cs="宋体"/>
          <w:sz w:val="24"/>
          <w:szCs w:val="24"/>
        </w:rPr>
        <w:t>：</w:t>
      </w:r>
    </w:p>
    <w:p w14:paraId="680C7AF1">
      <w:pPr>
        <w:keepNext w:val="0"/>
        <w:keepLines w:val="0"/>
        <w:pageBreakBefore w:val="0"/>
        <w:kinsoku/>
        <w:overflowPunct/>
        <w:topLinePunct w:val="0"/>
        <w:bidi w:val="0"/>
        <w:spacing w:line="480" w:lineRule="auto"/>
        <w:ind w:firstLine="480"/>
        <w:textAlignment w:val="auto"/>
        <w:rPr>
          <w:rFonts w:hint="eastAsia" w:ascii="宋体" w:hAnsi="宋体" w:eastAsia="宋体" w:cs="宋体"/>
          <w:sz w:val="24"/>
          <w:szCs w:val="24"/>
        </w:rPr>
      </w:pPr>
      <w:r>
        <w:rPr>
          <w:rFonts w:hint="eastAsia" w:ascii="宋体" w:hAnsi="宋体" w:eastAsia="宋体" w:cs="宋体"/>
          <w:kern w:val="0"/>
          <w:sz w:val="24"/>
          <w:szCs w:val="24"/>
          <w:lang w:val="zh-CN"/>
        </w:rPr>
        <w:t>我公司</w:t>
      </w:r>
      <w:r>
        <w:rPr>
          <w:rFonts w:hint="eastAsia" w:ascii="宋体" w:hAnsi="宋体" w:eastAsia="宋体" w:cs="宋体"/>
          <w:sz w:val="24"/>
          <w:szCs w:val="24"/>
        </w:rPr>
        <w:t>声明截止投标时间近三年以来，在招标</w:t>
      </w:r>
      <w:r>
        <w:rPr>
          <w:rFonts w:hint="eastAsia" w:ascii="宋体" w:hAnsi="宋体" w:eastAsia="宋体" w:cs="宋体"/>
          <w:kern w:val="0"/>
          <w:sz w:val="24"/>
          <w:szCs w:val="24"/>
        </w:rPr>
        <w:t>领域中</w:t>
      </w:r>
      <w:r>
        <w:rPr>
          <w:rFonts w:hint="eastAsia" w:ascii="宋体" w:hAnsi="宋体" w:eastAsia="宋体" w:cs="宋体"/>
          <w:sz w:val="24"/>
          <w:szCs w:val="24"/>
        </w:rPr>
        <w:t>，在项目招标、投标和合同履约期间无任何不良行为记录和违法、违规行为</w:t>
      </w:r>
      <w:r>
        <w:rPr>
          <w:rFonts w:hint="eastAsia" w:ascii="宋体" w:hAnsi="宋体" w:eastAsia="宋体" w:cs="宋体"/>
          <w:kern w:val="0"/>
          <w:sz w:val="24"/>
          <w:szCs w:val="24"/>
          <w:lang w:val="zh-CN"/>
        </w:rPr>
        <w:t>。</w:t>
      </w:r>
    </w:p>
    <w:p w14:paraId="3632273C">
      <w:pPr>
        <w:keepNext w:val="0"/>
        <w:keepLines w:val="0"/>
        <w:pageBreakBefore w:val="0"/>
        <w:kinsoku/>
        <w:overflowPunct/>
        <w:topLinePunct w:val="0"/>
        <w:bidi w:val="0"/>
        <w:spacing w:line="48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 xml:space="preserve">我公司自愿参加 </w:t>
      </w:r>
      <w:r>
        <w:rPr>
          <w:rFonts w:hint="eastAsia" w:ascii="宋体" w:hAnsi="宋体" w:eastAsia="宋体" w:cs="宋体"/>
          <w:sz w:val="24"/>
          <w:szCs w:val="24"/>
          <w:u w:val="single"/>
        </w:rPr>
        <w:t xml:space="preserve">       </w:t>
      </w:r>
      <w:r>
        <w:rPr>
          <w:rFonts w:hint="eastAsia" w:ascii="宋体" w:hAnsi="宋体" w:eastAsia="宋体" w:cs="宋体"/>
          <w:sz w:val="24"/>
          <w:szCs w:val="24"/>
        </w:rPr>
        <w:t>项目[招标编号：</w:t>
      </w:r>
      <w:r>
        <w:rPr>
          <w:rFonts w:hint="eastAsia" w:ascii="宋体" w:hAnsi="宋体" w:eastAsia="宋体" w:cs="宋体"/>
          <w:sz w:val="24"/>
          <w:szCs w:val="24"/>
          <w:u w:val="single"/>
        </w:rPr>
        <w:t xml:space="preserve">              </w:t>
      </w:r>
      <w:r>
        <w:rPr>
          <w:rFonts w:hint="eastAsia" w:ascii="宋体" w:hAnsi="宋体" w:eastAsia="宋体" w:cs="宋体"/>
          <w:sz w:val="24"/>
          <w:szCs w:val="24"/>
        </w:rPr>
        <w:t>]的投标，并保证投标文件中所列举的投标报价文件及相关资料和公司基本情况资料是真实的、合法的。</w:t>
      </w:r>
    </w:p>
    <w:p w14:paraId="1945EB61">
      <w:pPr>
        <w:keepNext w:val="0"/>
        <w:keepLines w:val="0"/>
        <w:pageBreakBefore w:val="0"/>
        <w:kinsoku/>
        <w:overflowPunct/>
        <w:topLinePunct w:val="0"/>
        <w:bidi w:val="0"/>
        <w:spacing w:line="480" w:lineRule="auto"/>
        <w:ind w:firstLine="48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我公司已详细阅读全部“招标文件”，包括修改文件（如果有）以及全部招标资料和相关附件，并已了解我公司在招投标过程中的权利和义务。</w:t>
      </w:r>
    </w:p>
    <w:p w14:paraId="0FB59650">
      <w:pPr>
        <w:keepNext w:val="0"/>
        <w:keepLines w:val="0"/>
        <w:pageBreakBefore w:val="0"/>
        <w:kinsoku/>
        <w:overflowPunct/>
        <w:topLinePunct w:val="0"/>
        <w:bidi w:val="0"/>
        <w:spacing w:line="480" w:lineRule="auto"/>
        <w:ind w:firstLine="480"/>
        <w:textAlignment w:val="auto"/>
        <w:rPr>
          <w:rFonts w:hint="eastAsia" w:ascii="宋体" w:hAnsi="宋体" w:eastAsia="宋体" w:cs="宋体"/>
          <w:sz w:val="24"/>
          <w:szCs w:val="24"/>
        </w:rPr>
      </w:pPr>
      <w:r>
        <w:rPr>
          <w:rFonts w:hint="eastAsia" w:ascii="宋体" w:hAnsi="宋体" w:eastAsia="宋体" w:cs="宋体"/>
          <w:kern w:val="0"/>
          <w:sz w:val="24"/>
          <w:szCs w:val="24"/>
          <w:lang w:val="zh-CN"/>
        </w:rPr>
        <w:t>我公司理解并接受招标文件的各项规定和要求，同意此次招标文件中的各项内容，</w:t>
      </w:r>
      <w:r>
        <w:rPr>
          <w:rFonts w:hint="eastAsia" w:ascii="宋体" w:hAnsi="宋体" w:eastAsia="宋体" w:cs="宋体"/>
          <w:kern w:val="0"/>
          <w:sz w:val="24"/>
          <w:szCs w:val="24"/>
        </w:rPr>
        <w:t>并</w:t>
      </w:r>
      <w:r>
        <w:rPr>
          <w:rFonts w:hint="eastAsia" w:ascii="宋体" w:hAnsi="宋体" w:eastAsia="宋体" w:cs="宋体"/>
          <w:kern w:val="0"/>
          <w:sz w:val="24"/>
          <w:szCs w:val="24"/>
          <w:lang w:val="zh-CN"/>
        </w:rPr>
        <w:t>同意提供按照贵方可能要求的与投标有关的一切数据或资料等。</w:t>
      </w:r>
    </w:p>
    <w:p w14:paraId="3F50B78C">
      <w:pPr>
        <w:keepNext w:val="0"/>
        <w:keepLines w:val="0"/>
        <w:pageBreakBefore w:val="0"/>
        <w:kinsoku/>
        <w:overflowPunct/>
        <w:topLinePunct w:val="0"/>
        <w:bidi w:val="0"/>
        <w:spacing w:line="480" w:lineRule="auto"/>
        <w:ind w:firstLine="480"/>
        <w:textAlignment w:val="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本公司如中标，保证按照投标文件的承诺与贵方签订合同，保证履行合同条款并缴纳履约保证金。</w:t>
      </w:r>
    </w:p>
    <w:p w14:paraId="42400EC7">
      <w:pPr>
        <w:pStyle w:val="78"/>
        <w:keepNext w:val="0"/>
        <w:keepLines w:val="0"/>
        <w:pageBreakBefore w:val="0"/>
        <w:kinsoku/>
        <w:overflowPunct/>
        <w:topLinePunct w:val="0"/>
        <w:bidi w:val="0"/>
        <w:textAlignment w:val="auto"/>
        <w:rPr>
          <w:rFonts w:hint="eastAsia" w:ascii="宋体" w:hAnsi="宋体" w:eastAsia="宋体" w:cs="宋体"/>
          <w:color w:val="auto"/>
          <w:sz w:val="24"/>
          <w:szCs w:val="24"/>
          <w:lang w:val="zh-CN"/>
        </w:rPr>
      </w:pPr>
    </w:p>
    <w:p w14:paraId="40D10C8F">
      <w:pPr>
        <w:pStyle w:val="78"/>
        <w:keepNext w:val="0"/>
        <w:keepLines w:val="0"/>
        <w:pageBreakBefore w:val="0"/>
        <w:kinsoku/>
        <w:overflowPunct/>
        <w:topLinePunct w:val="0"/>
        <w:bidi w:val="0"/>
        <w:textAlignment w:val="auto"/>
        <w:rPr>
          <w:rFonts w:hint="eastAsia" w:ascii="宋体" w:hAnsi="宋体" w:eastAsia="宋体" w:cs="宋体"/>
          <w:color w:val="auto"/>
          <w:sz w:val="24"/>
          <w:szCs w:val="24"/>
          <w:lang w:val="zh-CN"/>
        </w:rPr>
      </w:pPr>
    </w:p>
    <w:p w14:paraId="4565A1C2">
      <w:pPr>
        <w:pStyle w:val="81"/>
        <w:keepNext w:val="0"/>
        <w:keepLines w:val="0"/>
        <w:pageBreakBefore w:val="0"/>
        <w:kinsoku/>
        <w:overflowPunct/>
        <w:topLinePunct w:val="0"/>
        <w:bidi w:val="0"/>
        <w:textAlignment w:val="auto"/>
        <w:rPr>
          <w:rFonts w:hint="eastAsia" w:ascii="宋体" w:hAnsi="宋体" w:eastAsia="宋体" w:cs="宋体"/>
          <w:color w:val="auto"/>
          <w:sz w:val="24"/>
          <w:szCs w:val="24"/>
          <w:lang w:val="zh-CN"/>
        </w:rPr>
      </w:pPr>
    </w:p>
    <w:p w14:paraId="10D36B6E">
      <w:pPr>
        <w:keepNext w:val="0"/>
        <w:keepLines w:val="0"/>
        <w:pageBreakBefore w:val="0"/>
        <w:kinsoku/>
        <w:overflowPunct/>
        <w:topLinePunct w:val="0"/>
        <w:bidi w:val="0"/>
        <w:textAlignment w:val="auto"/>
        <w:rPr>
          <w:rFonts w:hint="eastAsia" w:ascii="宋体" w:hAnsi="宋体" w:eastAsia="宋体" w:cs="宋体"/>
          <w:sz w:val="24"/>
          <w:szCs w:val="24"/>
          <w:lang w:val="zh-CN"/>
        </w:rPr>
      </w:pPr>
    </w:p>
    <w:p w14:paraId="1829215A">
      <w:pPr>
        <w:pStyle w:val="78"/>
        <w:keepNext w:val="0"/>
        <w:keepLines w:val="0"/>
        <w:pageBreakBefore w:val="0"/>
        <w:kinsoku/>
        <w:overflowPunct/>
        <w:topLinePunct w:val="0"/>
        <w:bidi w:val="0"/>
        <w:textAlignment w:val="auto"/>
        <w:rPr>
          <w:rFonts w:hint="eastAsia" w:ascii="宋体" w:hAnsi="宋体" w:eastAsia="宋体" w:cs="宋体"/>
          <w:color w:val="auto"/>
          <w:sz w:val="24"/>
          <w:szCs w:val="24"/>
          <w:lang w:val="zh-CN"/>
        </w:rPr>
      </w:pPr>
    </w:p>
    <w:p w14:paraId="564B8853">
      <w:pPr>
        <w:keepNext w:val="0"/>
        <w:keepLines w:val="0"/>
        <w:pageBreakBefore w:val="0"/>
        <w:kinsoku/>
        <w:overflowPunct/>
        <w:topLinePunct w:val="0"/>
        <w:bidi w:val="0"/>
        <w:spacing w:line="48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投标人名称（公章）：</w:t>
      </w:r>
    </w:p>
    <w:p w14:paraId="3A4433C8">
      <w:pPr>
        <w:keepNext w:val="0"/>
        <w:keepLines w:val="0"/>
        <w:pageBreakBefore w:val="0"/>
        <w:kinsoku/>
        <w:overflowPunct/>
        <w:topLinePunct w:val="0"/>
        <w:bidi w:val="0"/>
        <w:spacing w:line="48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法定代表人或其</w:t>
      </w:r>
      <w:r>
        <w:rPr>
          <w:rFonts w:hint="eastAsia" w:ascii="宋体" w:hAnsi="宋体" w:eastAsia="宋体" w:cs="宋体"/>
          <w:sz w:val="24"/>
          <w:szCs w:val="24"/>
          <w:lang w:eastAsia="zh-CN"/>
        </w:rPr>
        <w:t>授权代表</w:t>
      </w:r>
      <w:r>
        <w:rPr>
          <w:rFonts w:hint="eastAsia" w:ascii="宋体" w:hAnsi="宋体" w:eastAsia="宋体" w:cs="宋体"/>
          <w:sz w:val="24"/>
          <w:szCs w:val="24"/>
        </w:rPr>
        <w:t>（签字）：</w:t>
      </w:r>
    </w:p>
    <w:p w14:paraId="6489D884">
      <w:pPr>
        <w:bidi w:val="0"/>
        <w:jc w:val="left"/>
        <w:rPr>
          <w:rFonts w:hint="eastAsia" w:ascii="宋体" w:hAnsi="宋体" w:eastAsia="宋体" w:cs="Times New Roman"/>
          <w:kern w:val="2"/>
          <w:sz w:val="24"/>
          <w:szCs w:val="24"/>
          <w:lang w:val="en-US" w:eastAsia="zh-CN" w:bidi="ar-SA"/>
        </w:rPr>
        <w:sectPr>
          <w:pgSz w:w="11907" w:h="16840"/>
          <w:pgMar w:top="1247" w:right="1304" w:bottom="1021" w:left="1304" w:header="720" w:footer="720" w:gutter="0"/>
          <w:pgNumType w:fmt="decimal"/>
          <w:cols w:space="720" w:num="1"/>
          <w:rtlGutter w:val="1"/>
          <w:docGrid w:linePitch="286" w:charSpace="0"/>
        </w:sectPr>
      </w:pPr>
      <w:r>
        <w:rPr>
          <w:rFonts w:hint="eastAsia" w:ascii="宋体" w:hAnsi="宋体" w:eastAsia="宋体" w:cs="宋体"/>
          <w:sz w:val="24"/>
          <w:szCs w:val="24"/>
        </w:rPr>
        <w:t>日期：  年   月   日</w:t>
      </w:r>
    </w:p>
    <w:p w14:paraId="0AEA9577">
      <w:pPr>
        <w:snapToGrid w:val="0"/>
        <w:ind w:left="0" w:leftChars="0" w:right="480" w:firstLine="0" w:firstLineChars="0"/>
        <w:jc w:val="left"/>
        <w:rPr>
          <w:rStyle w:val="58"/>
          <w:rFonts w:hint="eastAsia" w:ascii="宋体" w:hAnsi="宋体" w:eastAsia="宋体" w:cs="宋体"/>
          <w:sz w:val="24"/>
          <w:szCs w:val="24"/>
          <w:lang w:val="en-US" w:eastAsia="zh-CN"/>
        </w:rPr>
      </w:pPr>
      <w:r>
        <w:rPr>
          <w:rStyle w:val="58"/>
          <w:rFonts w:hint="eastAsia" w:cs="宋体"/>
          <w:sz w:val="24"/>
          <w:szCs w:val="24"/>
          <w:lang w:val="en-US" w:eastAsia="zh-CN"/>
        </w:rPr>
        <w:t>附件二</w:t>
      </w:r>
    </w:p>
    <w:p w14:paraId="0FDB79F3">
      <w:pPr>
        <w:snapToGrid w:val="0"/>
        <w:spacing w:line="480" w:lineRule="auto"/>
        <w:ind w:right="480" w:firstLine="482"/>
        <w:jc w:val="center"/>
        <w:rPr>
          <w:rFonts w:hint="eastAsia" w:ascii="宋体" w:hAnsi="宋体" w:eastAsia="宋体" w:cs="宋体"/>
          <w:b/>
          <w:kern w:val="0"/>
          <w:sz w:val="28"/>
          <w:szCs w:val="28"/>
        </w:rPr>
      </w:pPr>
      <w:r>
        <w:rPr>
          <w:rFonts w:hint="eastAsia" w:ascii="宋体" w:hAnsi="宋体" w:eastAsia="宋体" w:cs="宋体"/>
          <w:b/>
          <w:kern w:val="0"/>
          <w:sz w:val="28"/>
          <w:szCs w:val="28"/>
        </w:rPr>
        <w:t>符合参加政府采购活动应当具备的一般条件的承诺函</w:t>
      </w:r>
    </w:p>
    <w:p w14:paraId="3243E83A">
      <w:pPr>
        <w:snapToGrid w:val="0"/>
        <w:spacing w:line="480" w:lineRule="auto"/>
        <w:ind w:left="0" w:leftChars="0" w:firstLine="0" w:firstLineChars="0"/>
        <w:rPr>
          <w:rFonts w:hint="eastAsia" w:ascii="宋体" w:hAnsi="宋体" w:eastAsia="宋体" w:cs="宋体"/>
        </w:rPr>
      </w:pPr>
      <w:r>
        <w:rPr>
          <w:rFonts w:hint="eastAsia" w:ascii="宋体" w:hAnsi="宋体" w:eastAsia="宋体" w:cs="宋体"/>
          <w:u w:val="single"/>
        </w:rPr>
        <w:t>（招标人）、（招标代理机构）</w:t>
      </w:r>
      <w:r>
        <w:rPr>
          <w:rFonts w:hint="eastAsia" w:ascii="宋体" w:hAnsi="宋体" w:eastAsia="宋体" w:cs="宋体"/>
        </w:rPr>
        <w:t>：</w:t>
      </w:r>
    </w:p>
    <w:p w14:paraId="69EDA51F">
      <w:pPr>
        <w:snapToGrid w:val="0"/>
        <w:spacing w:line="480" w:lineRule="auto"/>
        <w:ind w:firstLine="480"/>
        <w:rPr>
          <w:rFonts w:hint="eastAsia" w:ascii="宋体" w:hAnsi="宋体" w:eastAsia="宋体" w:cs="宋体"/>
        </w:rPr>
      </w:pPr>
      <w:r>
        <w:rPr>
          <w:rFonts w:hint="eastAsia" w:ascii="宋体" w:hAnsi="宋体" w:eastAsia="宋体" w:cs="宋体"/>
        </w:rPr>
        <w:t>我方参与</w:t>
      </w:r>
      <w:r>
        <w:rPr>
          <w:rFonts w:hint="eastAsia" w:ascii="宋体" w:hAnsi="宋体" w:eastAsia="宋体" w:cs="宋体"/>
          <w:u w:val="single"/>
        </w:rPr>
        <w:t>（项目名称）</w:t>
      </w:r>
      <w:r>
        <w:rPr>
          <w:rFonts w:hint="eastAsia" w:cs="宋体"/>
          <w:u w:val="single"/>
          <w:lang w:eastAsia="zh-CN"/>
        </w:rPr>
        <w:t>（项目</w:t>
      </w:r>
      <w:r>
        <w:rPr>
          <w:rFonts w:hint="eastAsia" w:ascii="宋体" w:hAnsi="宋体" w:eastAsia="宋体" w:cs="宋体"/>
          <w:u w:val="single"/>
        </w:rPr>
        <w:t>编号：</w:t>
      </w:r>
      <w:r>
        <w:rPr>
          <w:rFonts w:hint="eastAsia" w:cs="宋体"/>
          <w:u w:val="single"/>
          <w:lang w:eastAsia="zh-CN"/>
        </w:rPr>
        <w:t>）</w:t>
      </w:r>
      <w:r>
        <w:rPr>
          <w:rFonts w:hint="eastAsia" w:cs="宋体"/>
          <w:lang w:eastAsia="zh-CN"/>
        </w:rPr>
        <w:t>的</w:t>
      </w:r>
      <w:r>
        <w:rPr>
          <w:rFonts w:hint="eastAsia" w:ascii="宋体" w:hAnsi="宋体" w:eastAsia="宋体" w:cs="宋体"/>
        </w:rPr>
        <w:t>招标活动，郑重承诺：</w:t>
      </w:r>
    </w:p>
    <w:p w14:paraId="3C589C19">
      <w:pPr>
        <w:snapToGrid w:val="0"/>
        <w:spacing w:line="480" w:lineRule="auto"/>
        <w:ind w:left="0" w:leftChars="0" w:firstLine="0" w:firstLineChars="0"/>
        <w:rPr>
          <w:rFonts w:hint="eastAsia" w:ascii="宋体" w:hAnsi="宋体" w:eastAsia="宋体" w:cs="宋体"/>
        </w:rPr>
      </w:pPr>
      <w:r>
        <w:rPr>
          <w:rFonts w:hint="eastAsia" w:ascii="宋体" w:hAnsi="宋体" w:eastAsia="宋体" w:cs="宋体"/>
        </w:rPr>
        <w:t>（一）具备《中华人民共和国政府采购法》第二十二条第一款规定的条件：</w:t>
      </w:r>
    </w:p>
    <w:p w14:paraId="7C2DA1E4">
      <w:pPr>
        <w:snapToGrid w:val="0"/>
        <w:spacing w:line="480" w:lineRule="auto"/>
        <w:ind w:firstLine="480"/>
        <w:rPr>
          <w:rFonts w:hint="eastAsia" w:ascii="宋体" w:hAnsi="宋体" w:eastAsia="宋体" w:cs="宋体"/>
        </w:rPr>
      </w:pPr>
      <w:r>
        <w:rPr>
          <w:rFonts w:hint="eastAsia" w:ascii="宋体" w:hAnsi="宋体" w:eastAsia="宋体" w:cs="宋体"/>
        </w:rPr>
        <w:t>1</w:t>
      </w:r>
      <w:r>
        <w:rPr>
          <w:rFonts w:hint="eastAsia" w:cs="宋体"/>
          <w:lang w:eastAsia="zh-CN"/>
        </w:rPr>
        <w:t>.</w:t>
      </w:r>
      <w:r>
        <w:rPr>
          <w:rFonts w:hint="eastAsia" w:ascii="宋体" w:hAnsi="宋体" w:eastAsia="宋体" w:cs="宋体"/>
        </w:rPr>
        <w:t>具有独立承担民事责任的能力；</w:t>
      </w:r>
    </w:p>
    <w:p w14:paraId="1F232D06">
      <w:pPr>
        <w:snapToGrid w:val="0"/>
        <w:spacing w:line="480" w:lineRule="auto"/>
        <w:ind w:firstLine="480"/>
        <w:rPr>
          <w:rFonts w:hint="eastAsia" w:ascii="宋体" w:hAnsi="宋体" w:eastAsia="宋体" w:cs="宋体"/>
        </w:rPr>
      </w:pPr>
      <w:r>
        <w:rPr>
          <w:rFonts w:hint="eastAsia" w:ascii="宋体" w:hAnsi="宋体" w:eastAsia="宋体" w:cs="宋体"/>
        </w:rPr>
        <w:t>2</w:t>
      </w:r>
      <w:r>
        <w:rPr>
          <w:rFonts w:hint="eastAsia" w:cs="宋体"/>
          <w:lang w:eastAsia="zh-CN"/>
        </w:rPr>
        <w:t>.</w:t>
      </w:r>
      <w:r>
        <w:rPr>
          <w:rFonts w:hint="eastAsia" w:ascii="宋体" w:hAnsi="宋体" w:eastAsia="宋体" w:cs="宋体"/>
        </w:rPr>
        <w:t xml:space="preserve">具有良好的商业信誉和健全的财务会计制度； </w:t>
      </w:r>
    </w:p>
    <w:p w14:paraId="3588EF05">
      <w:pPr>
        <w:snapToGrid w:val="0"/>
        <w:spacing w:line="480" w:lineRule="auto"/>
        <w:ind w:firstLine="480"/>
        <w:rPr>
          <w:rFonts w:hint="eastAsia" w:ascii="宋体" w:hAnsi="宋体" w:eastAsia="宋体" w:cs="宋体"/>
        </w:rPr>
      </w:pPr>
      <w:r>
        <w:rPr>
          <w:rFonts w:hint="eastAsia" w:ascii="宋体" w:hAnsi="宋体" w:eastAsia="宋体" w:cs="宋体"/>
        </w:rPr>
        <w:t>3</w:t>
      </w:r>
      <w:r>
        <w:rPr>
          <w:rFonts w:hint="eastAsia" w:cs="宋体"/>
          <w:lang w:eastAsia="zh-CN"/>
        </w:rPr>
        <w:t>.</w:t>
      </w:r>
      <w:r>
        <w:rPr>
          <w:rFonts w:hint="eastAsia" w:ascii="宋体" w:hAnsi="宋体" w:eastAsia="宋体" w:cs="宋体"/>
        </w:rPr>
        <w:t>具有履行合同所必需的设备和专业技术能力；</w:t>
      </w:r>
    </w:p>
    <w:p w14:paraId="457B0582">
      <w:pPr>
        <w:snapToGrid w:val="0"/>
        <w:spacing w:line="480" w:lineRule="auto"/>
        <w:ind w:firstLine="480"/>
        <w:rPr>
          <w:rFonts w:hint="eastAsia" w:ascii="宋体" w:hAnsi="宋体" w:eastAsia="宋体" w:cs="宋体"/>
        </w:rPr>
      </w:pPr>
      <w:r>
        <w:rPr>
          <w:rFonts w:hint="eastAsia" w:ascii="宋体" w:hAnsi="宋体" w:eastAsia="宋体" w:cs="宋体"/>
        </w:rPr>
        <w:t>4</w:t>
      </w:r>
      <w:r>
        <w:rPr>
          <w:rFonts w:hint="eastAsia" w:cs="宋体"/>
          <w:lang w:eastAsia="zh-CN"/>
        </w:rPr>
        <w:t>.</w:t>
      </w:r>
      <w:r>
        <w:rPr>
          <w:rFonts w:hint="eastAsia" w:ascii="宋体" w:hAnsi="宋体" w:eastAsia="宋体" w:cs="宋体"/>
        </w:rPr>
        <w:t>有依法缴纳税收和社会保障资金的良好记录；</w:t>
      </w:r>
    </w:p>
    <w:p w14:paraId="3710E650">
      <w:pPr>
        <w:snapToGrid w:val="0"/>
        <w:spacing w:line="480" w:lineRule="auto"/>
        <w:ind w:firstLine="480"/>
        <w:rPr>
          <w:rFonts w:hint="eastAsia" w:ascii="宋体" w:hAnsi="宋体" w:eastAsia="宋体" w:cs="宋体"/>
        </w:rPr>
      </w:pPr>
      <w:r>
        <w:rPr>
          <w:rFonts w:hint="eastAsia" w:ascii="宋体" w:hAnsi="宋体" w:eastAsia="宋体" w:cs="宋体"/>
        </w:rPr>
        <w:t>5</w:t>
      </w:r>
      <w:r>
        <w:rPr>
          <w:rFonts w:hint="eastAsia" w:cs="宋体"/>
          <w:lang w:eastAsia="zh-CN"/>
        </w:rPr>
        <w:t>.</w:t>
      </w:r>
      <w:r>
        <w:rPr>
          <w:rFonts w:hint="eastAsia" w:ascii="宋体" w:hAnsi="宋体" w:eastAsia="宋体" w:cs="宋体"/>
        </w:rPr>
        <w:t>参加招标活动前三年内，在经营活动中没有重大违法记录；</w:t>
      </w:r>
    </w:p>
    <w:p w14:paraId="0405C0FF">
      <w:pPr>
        <w:snapToGrid w:val="0"/>
        <w:spacing w:line="480" w:lineRule="auto"/>
        <w:ind w:firstLine="480"/>
        <w:rPr>
          <w:rFonts w:hint="eastAsia" w:ascii="宋体" w:hAnsi="宋体" w:eastAsia="宋体" w:cs="宋体"/>
        </w:rPr>
      </w:pPr>
      <w:r>
        <w:rPr>
          <w:rFonts w:hint="eastAsia" w:ascii="宋体" w:hAnsi="宋体" w:eastAsia="宋体" w:cs="宋体"/>
        </w:rPr>
        <w:t>6</w:t>
      </w:r>
      <w:r>
        <w:rPr>
          <w:rFonts w:hint="eastAsia" w:cs="宋体"/>
          <w:lang w:eastAsia="zh-CN"/>
        </w:rPr>
        <w:t>.</w:t>
      </w:r>
      <w:r>
        <w:rPr>
          <w:rFonts w:hint="eastAsia" w:ascii="宋体" w:hAnsi="宋体" w:eastAsia="宋体" w:cs="宋体"/>
        </w:rPr>
        <w:t>具有法律、行政法规规定的其他条件。</w:t>
      </w:r>
    </w:p>
    <w:p w14:paraId="72BC4C2E">
      <w:pPr>
        <w:snapToGrid w:val="0"/>
        <w:spacing w:line="480" w:lineRule="auto"/>
        <w:ind w:left="0" w:leftChars="0" w:firstLine="0" w:firstLineChars="0"/>
        <w:rPr>
          <w:rFonts w:hint="eastAsia" w:ascii="宋体" w:hAnsi="宋体" w:eastAsia="宋体" w:cs="宋体"/>
        </w:rPr>
      </w:pPr>
      <w:r>
        <w:rPr>
          <w:rFonts w:hint="eastAsia" w:ascii="宋体" w:hAnsi="宋体" w:eastAsia="宋体" w:cs="宋体"/>
        </w:rPr>
        <w:t>（二）未被信用中国（www.creditchina.gov.cn)、中国政府采购网（www.ccgp.gov.cn）列入失信被执行人、重大税收违法案件当事人名单、政府采购严重违法失信行为记录名单。</w:t>
      </w:r>
    </w:p>
    <w:p w14:paraId="216C671D">
      <w:pPr>
        <w:snapToGrid w:val="0"/>
        <w:spacing w:line="480" w:lineRule="auto"/>
        <w:ind w:left="0" w:leftChars="0" w:firstLine="0" w:firstLineChars="0"/>
        <w:rPr>
          <w:rFonts w:hint="eastAsia" w:ascii="宋体" w:hAnsi="宋体" w:eastAsia="宋体" w:cs="宋体"/>
        </w:rPr>
      </w:pPr>
      <w:r>
        <w:rPr>
          <w:rFonts w:hint="eastAsia" w:ascii="宋体" w:hAnsi="宋体" w:eastAsia="宋体" w:cs="宋体"/>
        </w:rPr>
        <w:t>（三）不存在以下情况：</w:t>
      </w:r>
    </w:p>
    <w:p w14:paraId="62F105DD">
      <w:pPr>
        <w:snapToGrid w:val="0"/>
        <w:spacing w:line="480" w:lineRule="auto"/>
        <w:ind w:firstLine="480"/>
        <w:rPr>
          <w:rFonts w:hint="eastAsia" w:ascii="宋体" w:hAnsi="宋体" w:eastAsia="宋体" w:cs="宋体"/>
        </w:rPr>
      </w:pPr>
      <w:r>
        <w:rPr>
          <w:rFonts w:hint="eastAsia" w:ascii="宋体" w:hAnsi="宋体" w:eastAsia="宋体" w:cs="宋体"/>
        </w:rPr>
        <w:t>1</w:t>
      </w:r>
      <w:r>
        <w:rPr>
          <w:rFonts w:hint="eastAsia" w:cs="宋体"/>
          <w:lang w:eastAsia="zh-CN"/>
        </w:rPr>
        <w:t>.</w:t>
      </w:r>
      <w:r>
        <w:rPr>
          <w:rFonts w:hint="eastAsia" w:ascii="宋体" w:hAnsi="宋体" w:eastAsia="宋体" w:cs="宋体"/>
        </w:rPr>
        <w:t>单位负责人为同一人或者存在直接控股、管理关系的不同</w:t>
      </w:r>
      <w:r>
        <w:rPr>
          <w:rFonts w:hint="eastAsia" w:cs="宋体"/>
          <w:lang w:eastAsia="zh-CN"/>
        </w:rPr>
        <w:t>投</w:t>
      </w:r>
      <w:r>
        <w:rPr>
          <w:rFonts w:hint="eastAsia" w:ascii="宋体" w:hAnsi="宋体" w:eastAsia="宋体" w:cs="宋体"/>
        </w:rPr>
        <w:t>标人参加同一合同项下的招标活动的；</w:t>
      </w:r>
    </w:p>
    <w:p w14:paraId="654D7B30">
      <w:pPr>
        <w:snapToGrid w:val="0"/>
        <w:spacing w:line="480" w:lineRule="auto"/>
        <w:ind w:firstLine="480"/>
        <w:rPr>
          <w:rFonts w:hint="eastAsia" w:ascii="宋体" w:hAnsi="宋体" w:eastAsia="宋体" w:cs="宋体"/>
        </w:rPr>
      </w:pPr>
      <w:r>
        <w:rPr>
          <w:rFonts w:hint="eastAsia" w:ascii="宋体" w:hAnsi="宋体" w:eastAsia="宋体" w:cs="宋体"/>
        </w:rPr>
        <w:t>2</w:t>
      </w:r>
      <w:r>
        <w:rPr>
          <w:rFonts w:hint="eastAsia" w:cs="宋体"/>
          <w:lang w:eastAsia="zh-CN"/>
        </w:rPr>
        <w:t>.</w:t>
      </w:r>
      <w:r>
        <w:rPr>
          <w:rFonts w:hint="eastAsia" w:ascii="宋体" w:hAnsi="宋体" w:eastAsia="宋体" w:cs="宋体"/>
        </w:rPr>
        <w:t>为招标项目提供整体设计、规范编制或者项目管理、监理、检测等服务后再参加该招标项目的其他招标活动的。</w:t>
      </w:r>
    </w:p>
    <w:p w14:paraId="1C92B6C9">
      <w:pPr>
        <w:rPr>
          <w:rFonts w:hint="eastAsia"/>
        </w:rPr>
      </w:pPr>
    </w:p>
    <w:p w14:paraId="13070D40">
      <w:pPr>
        <w:spacing w:line="480" w:lineRule="auto"/>
        <w:ind w:left="0" w:leftChars="0" w:firstLine="0" w:firstLineChars="0"/>
        <w:jc w:val="both"/>
        <w:rPr>
          <w:rFonts w:hint="eastAsia" w:ascii="宋体" w:hAnsi="宋体" w:eastAsia="宋体" w:cs="宋体"/>
        </w:rPr>
      </w:pPr>
      <w:r>
        <w:rPr>
          <w:rFonts w:hint="eastAsia" w:ascii="宋体" w:hAnsi="宋体" w:eastAsia="宋体" w:cs="宋体"/>
        </w:rPr>
        <w:t>投标人名称（公章）：</w:t>
      </w:r>
    </w:p>
    <w:p w14:paraId="1D3AD026">
      <w:pPr>
        <w:spacing w:line="480" w:lineRule="auto"/>
        <w:ind w:left="0" w:leftChars="0" w:firstLine="0" w:firstLineChars="0"/>
        <w:jc w:val="both"/>
        <w:rPr>
          <w:rFonts w:hint="eastAsia" w:ascii="宋体" w:hAnsi="宋体" w:eastAsia="宋体" w:cs="宋体"/>
        </w:rPr>
      </w:pPr>
      <w:r>
        <w:rPr>
          <w:rFonts w:hint="eastAsia" w:ascii="宋体" w:hAnsi="宋体" w:eastAsia="宋体" w:cs="宋体"/>
        </w:rPr>
        <w:t>法定代表人或其</w:t>
      </w:r>
      <w:r>
        <w:rPr>
          <w:rFonts w:hint="eastAsia" w:cs="宋体"/>
          <w:lang w:eastAsia="zh-CN"/>
        </w:rPr>
        <w:t>授权代表</w:t>
      </w:r>
      <w:r>
        <w:rPr>
          <w:rFonts w:hint="eastAsia" w:ascii="宋体" w:hAnsi="宋体" w:eastAsia="宋体" w:cs="宋体"/>
        </w:rPr>
        <w:t>（签字）：</w:t>
      </w:r>
    </w:p>
    <w:p w14:paraId="660C84F4">
      <w:pPr>
        <w:spacing w:line="480" w:lineRule="auto"/>
        <w:ind w:left="0" w:leftChars="0" w:firstLine="0" w:firstLineChars="0"/>
        <w:jc w:val="left"/>
        <w:rPr>
          <w:rFonts w:hint="eastAsia" w:ascii="宋体" w:hAnsi="宋体" w:eastAsia="宋体" w:cs="宋体"/>
        </w:rPr>
      </w:pPr>
      <w:r>
        <w:rPr>
          <w:rFonts w:hint="eastAsia" w:ascii="宋体" w:hAnsi="宋体" w:eastAsia="宋体" w:cs="宋体"/>
        </w:rPr>
        <w:t>日期：  年   月   日</w:t>
      </w:r>
    </w:p>
    <w:p w14:paraId="6D5DC516">
      <w:pPr>
        <w:pStyle w:val="78"/>
        <w:rPr>
          <w:rFonts w:hint="eastAsia" w:ascii="宋体" w:hAnsi="宋体" w:eastAsia="宋体" w:cs="宋体"/>
        </w:rPr>
      </w:pPr>
    </w:p>
    <w:p w14:paraId="271C8B6E">
      <w:pPr>
        <w:pStyle w:val="78"/>
        <w:rPr>
          <w:rFonts w:hint="eastAsia" w:ascii="宋体" w:hAnsi="宋体" w:eastAsia="宋体" w:cs="宋体"/>
          <w:color w:val="auto"/>
        </w:rPr>
      </w:pPr>
    </w:p>
    <w:p w14:paraId="364D8CBB">
      <w:pPr>
        <w:pStyle w:val="78"/>
        <w:rPr>
          <w:rFonts w:hint="eastAsia" w:ascii="宋体" w:hAnsi="宋体" w:eastAsia="宋体" w:cs="宋体"/>
          <w:color w:val="auto"/>
        </w:rPr>
      </w:pPr>
    </w:p>
    <w:p w14:paraId="2FFF83E6">
      <w:pPr>
        <w:pStyle w:val="3"/>
        <w:jc w:val="left"/>
        <w:rPr>
          <w:rFonts w:hint="eastAsia" w:cs="宋体"/>
          <w:sz w:val="24"/>
          <w:szCs w:val="24"/>
          <w:lang w:eastAsia="zh-CN"/>
        </w:rPr>
        <w:sectPr>
          <w:pgSz w:w="11907" w:h="16840"/>
          <w:pgMar w:top="1247" w:right="1304" w:bottom="1021" w:left="1304" w:header="720" w:footer="720" w:gutter="0"/>
          <w:pgNumType w:fmt="decimal"/>
          <w:cols w:space="720" w:num="1"/>
          <w:rtlGutter w:val="1"/>
          <w:docGrid w:linePitch="286" w:charSpace="0"/>
        </w:sectPr>
      </w:pPr>
    </w:p>
    <w:p w14:paraId="49F2CDD7">
      <w:pPr>
        <w:ind w:left="0" w:leftChars="0" w:firstLine="0" w:firstLineChars="0"/>
        <w:rPr>
          <w:rFonts w:hint="eastAsia"/>
          <w:b/>
          <w:bCs/>
          <w:lang w:eastAsia="zh-CN"/>
        </w:rPr>
      </w:pPr>
      <w:r>
        <w:rPr>
          <w:rFonts w:hint="eastAsia"/>
          <w:b/>
          <w:bCs/>
          <w:lang w:eastAsia="zh-CN"/>
        </w:rPr>
        <w:t>附件三</w:t>
      </w:r>
    </w:p>
    <w:p w14:paraId="29E555AE">
      <w:pPr>
        <w:bidi w:val="0"/>
        <w:ind w:left="0" w:leftChars="0" w:firstLine="0" w:firstLineChars="0"/>
        <w:jc w:val="center"/>
        <w:rPr>
          <w:rFonts w:hint="eastAsia"/>
          <w:lang w:eastAsia="zh-CN"/>
        </w:rPr>
      </w:pPr>
      <w:r>
        <w:rPr>
          <w:rFonts w:hint="eastAsia"/>
          <w:b/>
          <w:bCs/>
          <w:sz w:val="28"/>
          <w:szCs w:val="28"/>
          <w:lang w:eastAsia="zh-CN"/>
        </w:rPr>
        <w:t>投标人股权信息表</w:t>
      </w:r>
    </w:p>
    <w:tbl>
      <w:tblPr>
        <w:tblStyle w:val="45"/>
        <w:tblW w:w="953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1"/>
        <w:gridCol w:w="1541"/>
        <w:gridCol w:w="1514"/>
        <w:gridCol w:w="2018"/>
        <w:gridCol w:w="1171"/>
        <w:gridCol w:w="1227"/>
        <w:gridCol w:w="1350"/>
      </w:tblGrid>
      <w:tr w14:paraId="689C5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95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54592E7">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投标人股权信息表</w:t>
            </w:r>
          </w:p>
        </w:tc>
      </w:tr>
      <w:tr w14:paraId="0C753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5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B2C64BD">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项目编号：</w:t>
            </w:r>
          </w:p>
        </w:tc>
      </w:tr>
      <w:tr w14:paraId="3E55D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5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4D0C2EA">
            <w:pPr>
              <w:keepNext w:val="0"/>
              <w:keepLines w:val="0"/>
              <w:pageBreakBefore w:val="0"/>
              <w:kinsoku/>
              <w:wordWrap/>
              <w:overflowPunct/>
              <w:topLinePunct w:val="0"/>
              <w:autoSpaceDE/>
              <w:autoSpaceDN/>
              <w:bidi w:val="0"/>
              <w:adjustRightInd w:val="0"/>
              <w:snapToGrid w:val="0"/>
              <w:spacing w:line="440" w:lineRule="exact"/>
              <w:ind w:left="0" w:leftChars="0" w:firstLine="0" w:firstLineChars="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r>
      <w:tr w14:paraId="4882B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0E09E">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4DF68">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投标人名称</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E3B7A">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法定代表人</w:t>
            </w: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EE83E">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股东（股权比例）</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CB07D">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董事</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16CBC">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监事</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50DE0">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授权代表</w:t>
            </w:r>
          </w:p>
        </w:tc>
      </w:tr>
      <w:tr w14:paraId="0A18C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D00C5">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D15EC">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i w:val="0"/>
                <w:iCs w:val="0"/>
                <w:color w:val="000000"/>
                <w:sz w:val="24"/>
                <w:szCs w:val="24"/>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A4591">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i w:val="0"/>
                <w:iCs w:val="0"/>
                <w:color w:val="000000"/>
                <w:sz w:val="24"/>
                <w:szCs w:val="24"/>
                <w:u w:val="none"/>
              </w:rPr>
            </w:pPr>
          </w:p>
        </w:tc>
        <w:tc>
          <w:tcPr>
            <w:tcW w:w="2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7473C">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i w:val="0"/>
                <w:iCs w:val="0"/>
                <w:color w:val="000000"/>
                <w:sz w:val="24"/>
                <w:szCs w:val="24"/>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AAFE9">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i w:val="0"/>
                <w:iCs w:val="0"/>
                <w:color w:val="000000"/>
                <w:sz w:val="24"/>
                <w:szCs w:val="24"/>
                <w:u w:val="none"/>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15F4C">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i w:val="0"/>
                <w:iCs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FE6BA">
            <w:pPr>
              <w:keepNext w:val="0"/>
              <w:keepLines w:val="0"/>
              <w:pageBreakBefore w:val="0"/>
              <w:kinsoku/>
              <w:wordWrap/>
              <w:overflowPunct/>
              <w:topLinePunct w:val="0"/>
              <w:autoSpaceDE/>
              <w:autoSpaceDN/>
              <w:bidi w:val="0"/>
              <w:adjustRightInd w:val="0"/>
              <w:snapToGrid w:val="0"/>
              <w:spacing w:line="440" w:lineRule="exact"/>
              <w:jc w:val="center"/>
              <w:rPr>
                <w:rFonts w:hint="eastAsia" w:ascii="宋体" w:hAnsi="宋体" w:eastAsia="宋体" w:cs="宋体"/>
                <w:i w:val="0"/>
                <w:iCs w:val="0"/>
                <w:color w:val="000000"/>
                <w:sz w:val="24"/>
                <w:szCs w:val="24"/>
                <w:u w:val="none"/>
              </w:rPr>
            </w:pPr>
          </w:p>
        </w:tc>
      </w:tr>
      <w:tr w14:paraId="397D6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95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E4CE4B7">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投标人全称（盖章）：</w:t>
            </w:r>
          </w:p>
        </w:tc>
      </w:tr>
      <w:tr w14:paraId="55105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8" w:hRule="atLeast"/>
        </w:trPr>
        <w:tc>
          <w:tcPr>
            <w:tcW w:w="953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E72CEE1">
            <w:pPr>
              <w:keepNext w:val="0"/>
              <w:keepLines w:val="0"/>
              <w:pageBreakBefore w:val="0"/>
              <w:widowControl/>
              <w:suppressLineNumbers w:val="0"/>
              <w:kinsoku/>
              <w:wordWrap/>
              <w:overflowPunct/>
              <w:topLinePunct w:val="0"/>
              <w:autoSpaceDE/>
              <w:autoSpaceDN/>
              <w:bidi w:val="0"/>
              <w:adjustRightInd w:val="0"/>
              <w:snapToGrid w:val="0"/>
              <w:spacing w:line="440" w:lineRule="exact"/>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法定代表人或</w:t>
            </w:r>
            <w:r>
              <w:rPr>
                <w:rFonts w:hint="eastAsia" w:cs="宋体"/>
                <w:i w:val="0"/>
                <w:iCs w:val="0"/>
                <w:color w:val="000000"/>
                <w:kern w:val="0"/>
                <w:sz w:val="24"/>
                <w:szCs w:val="24"/>
                <w:u w:val="none"/>
                <w:lang w:val="en-US" w:eastAsia="zh-CN" w:bidi="ar"/>
              </w:rPr>
              <w:t>其</w:t>
            </w:r>
            <w:r>
              <w:rPr>
                <w:rFonts w:hint="eastAsia" w:ascii="宋体" w:hAnsi="宋体" w:eastAsia="宋体" w:cs="宋体"/>
                <w:i w:val="0"/>
                <w:iCs w:val="0"/>
                <w:color w:val="000000"/>
                <w:kern w:val="0"/>
                <w:sz w:val="24"/>
                <w:szCs w:val="24"/>
                <w:u w:val="none"/>
                <w:lang w:val="en-US" w:eastAsia="zh-CN" w:bidi="ar"/>
              </w:rPr>
              <w:t>授权代表</w:t>
            </w:r>
            <w:r>
              <w:rPr>
                <w:rFonts w:hint="eastAsia"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签字</w:t>
            </w:r>
            <w:r>
              <w:rPr>
                <w:rFonts w:hint="eastAsia"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 xml:space="preserve">：                                            </w:t>
            </w:r>
          </w:p>
        </w:tc>
      </w:tr>
    </w:tbl>
    <w:p w14:paraId="2AC68F25">
      <w:pPr>
        <w:bidi w:val="0"/>
        <w:jc w:val="left"/>
        <w:rPr>
          <w:rFonts w:hint="eastAsia" w:ascii="宋体" w:hAnsi="宋体" w:eastAsia="宋体" w:cs="Times New Roman"/>
          <w:kern w:val="2"/>
          <w:sz w:val="24"/>
          <w:szCs w:val="24"/>
          <w:lang w:val="en-US" w:eastAsia="zh-CN" w:bidi="ar-SA"/>
        </w:rPr>
        <w:sectPr>
          <w:pgSz w:w="11907" w:h="16840"/>
          <w:pgMar w:top="1247" w:right="1304" w:bottom="1021" w:left="1304" w:header="720" w:footer="720" w:gutter="0"/>
          <w:pgNumType w:fmt="decimal"/>
          <w:cols w:space="720" w:num="1"/>
          <w:rtlGutter w:val="1"/>
          <w:docGrid w:linePitch="286" w:charSpace="0"/>
        </w:sectPr>
      </w:pPr>
    </w:p>
    <w:p w14:paraId="240CC69C">
      <w:pPr>
        <w:pStyle w:val="29"/>
        <w:rPr>
          <w:rFonts w:hint="eastAsia" w:cs="宋体"/>
          <w:b/>
          <w:bCs/>
          <w:sz w:val="24"/>
          <w:szCs w:val="24"/>
        </w:rPr>
      </w:pPr>
      <w:r>
        <w:rPr>
          <w:rFonts w:hint="eastAsia"/>
          <w:b/>
          <w:bCs/>
          <w:lang w:eastAsia="zh-CN"/>
        </w:rPr>
        <w:t>附件四、</w:t>
      </w:r>
      <w:r>
        <w:rPr>
          <w:rFonts w:hint="eastAsia" w:cs="宋体"/>
          <w:b/>
          <w:bCs/>
          <w:sz w:val="24"/>
          <w:szCs w:val="24"/>
        </w:rPr>
        <w:t>法定代表人</w:t>
      </w:r>
      <w:r>
        <w:rPr>
          <w:rFonts w:hint="eastAsia" w:cs="宋体"/>
          <w:b/>
          <w:bCs/>
          <w:sz w:val="24"/>
          <w:szCs w:val="24"/>
          <w:lang w:eastAsia="zh-CN"/>
        </w:rPr>
        <w:t>有效身份</w:t>
      </w:r>
      <w:r>
        <w:rPr>
          <w:rFonts w:hint="eastAsia" w:cs="宋体"/>
          <w:b/>
          <w:bCs/>
          <w:sz w:val="24"/>
          <w:szCs w:val="24"/>
        </w:rPr>
        <w:t>证明书和法定代表人授权委托书</w:t>
      </w:r>
    </w:p>
    <w:p w14:paraId="50DF24AF">
      <w:pPr>
        <w:bidi w:val="0"/>
        <w:spacing w:line="480" w:lineRule="auto"/>
        <w:ind w:left="0" w:leftChars="0" w:firstLine="0" w:firstLineChars="0"/>
        <w:jc w:val="center"/>
        <w:rPr>
          <w:rFonts w:hint="eastAsia"/>
          <w:lang w:eastAsia="zh-CN"/>
        </w:rPr>
      </w:pPr>
      <w:r>
        <w:rPr>
          <w:rFonts w:hint="eastAsia" w:cs="宋体"/>
          <w:b/>
          <w:bCs/>
          <w:sz w:val="28"/>
          <w:szCs w:val="28"/>
        </w:rPr>
        <w:t>法定代表人</w:t>
      </w:r>
      <w:r>
        <w:rPr>
          <w:rFonts w:hint="eastAsia" w:cs="宋体"/>
          <w:b/>
          <w:bCs/>
          <w:sz w:val="28"/>
          <w:szCs w:val="28"/>
          <w:lang w:eastAsia="zh-CN"/>
        </w:rPr>
        <w:t>有效身份</w:t>
      </w:r>
      <w:r>
        <w:rPr>
          <w:rFonts w:hint="eastAsia" w:cs="宋体"/>
          <w:b/>
          <w:bCs/>
          <w:sz w:val="28"/>
          <w:szCs w:val="28"/>
        </w:rPr>
        <w:t>证明书</w:t>
      </w:r>
    </w:p>
    <w:p w14:paraId="74FD482C">
      <w:pPr>
        <w:spacing w:line="480" w:lineRule="auto"/>
        <w:ind w:left="0" w:leftChars="0" w:firstLine="0" w:firstLineChars="0"/>
        <w:rPr>
          <w:rFonts w:hint="eastAsia" w:ascii="宋体" w:hAnsi="宋体" w:eastAsia="宋体" w:cs="宋体"/>
          <w:bCs/>
          <w:spacing w:val="-6"/>
          <w:lang w:eastAsia="zh-CN"/>
        </w:rPr>
      </w:pPr>
      <w:r>
        <w:rPr>
          <w:rFonts w:hint="eastAsia" w:ascii="宋体" w:hAnsi="宋体" w:eastAsia="宋体" w:cs="宋体"/>
          <w:bCs/>
          <w:spacing w:val="-6"/>
        </w:rPr>
        <w:t>致：</w:t>
      </w:r>
      <w:r>
        <w:rPr>
          <w:rFonts w:hint="eastAsia" w:ascii="宋体" w:hAnsi="宋体" w:eastAsia="宋体" w:cs="宋体"/>
          <w:bCs/>
          <w:spacing w:val="-6"/>
          <w:u w:val="single"/>
          <w:lang w:eastAsia="zh-CN"/>
        </w:rPr>
        <w:t>（</w:t>
      </w:r>
      <w:r>
        <w:rPr>
          <w:rFonts w:hint="eastAsia" w:cs="宋体"/>
          <w:bCs/>
          <w:spacing w:val="-6"/>
          <w:u w:val="single"/>
          <w:lang w:eastAsia="zh-CN"/>
        </w:rPr>
        <w:t>招标人</w:t>
      </w:r>
      <w:r>
        <w:rPr>
          <w:rFonts w:hint="eastAsia" w:ascii="宋体" w:hAnsi="宋体" w:eastAsia="宋体" w:cs="宋体"/>
          <w:bCs/>
          <w:spacing w:val="-6"/>
          <w:u w:val="single"/>
          <w:lang w:eastAsia="zh-CN"/>
        </w:rPr>
        <w:t>）（代理机构）</w:t>
      </w:r>
    </w:p>
    <w:p w14:paraId="4A1598BD">
      <w:pPr>
        <w:spacing w:line="480" w:lineRule="auto"/>
        <w:ind w:firstLine="456"/>
        <w:rPr>
          <w:rFonts w:hint="eastAsia" w:ascii="宋体" w:hAnsi="宋体" w:eastAsia="宋体" w:cs="宋体"/>
          <w:bCs/>
          <w:spacing w:val="-6"/>
        </w:rPr>
      </w:pPr>
      <w:r>
        <w:rPr>
          <w:rFonts w:hint="eastAsia" w:ascii="宋体" w:hAnsi="宋体" w:eastAsia="宋体" w:cs="宋体"/>
          <w:bCs/>
          <w:spacing w:val="-6"/>
        </w:rPr>
        <w:t>我</w:t>
      </w:r>
      <w:r>
        <w:rPr>
          <w:rFonts w:hint="eastAsia" w:ascii="宋体" w:hAnsi="宋体" w:eastAsia="宋体" w:cs="宋体"/>
          <w:spacing w:val="-6"/>
        </w:rPr>
        <w:t>____________</w:t>
      </w:r>
      <w:r>
        <w:rPr>
          <w:rFonts w:hint="eastAsia" w:ascii="宋体" w:hAnsi="宋体" w:eastAsia="宋体" w:cs="宋体"/>
          <w:bCs/>
          <w:spacing w:val="-6"/>
        </w:rPr>
        <w:t>（姓名）系_______________________</w:t>
      </w:r>
      <w:r>
        <w:rPr>
          <w:rFonts w:hint="eastAsia" w:ascii="宋体" w:hAnsi="宋体" w:eastAsia="宋体" w:cs="宋体"/>
          <w:bCs/>
          <w:spacing w:val="-6"/>
          <w:lang w:eastAsia="zh-CN"/>
        </w:rPr>
        <w:t>（单位名称）</w:t>
      </w:r>
      <w:r>
        <w:rPr>
          <w:rFonts w:hint="eastAsia" w:ascii="宋体" w:hAnsi="宋体" w:eastAsia="宋体" w:cs="宋体"/>
          <w:bCs/>
          <w:spacing w:val="-6"/>
        </w:rPr>
        <w:t>的法定代表人，身份证号码：_________________________________。</w:t>
      </w:r>
    </w:p>
    <w:p w14:paraId="496C6EEE">
      <w:pPr>
        <w:spacing w:line="480" w:lineRule="auto"/>
        <w:ind w:firstLine="456"/>
        <w:rPr>
          <w:rFonts w:hint="eastAsia" w:ascii="宋体" w:hAnsi="宋体" w:eastAsia="宋体" w:cs="宋体"/>
          <w:bCs/>
          <w:spacing w:val="-6"/>
        </w:rPr>
      </w:pPr>
      <w:r>
        <w:rPr>
          <w:rFonts w:hint="eastAsia" w:ascii="宋体" w:hAnsi="宋体" w:eastAsia="宋体" w:cs="宋体"/>
          <w:bCs/>
          <w:spacing w:val="-6"/>
        </w:rPr>
        <w:t>特此证明。</w:t>
      </w:r>
    </w:p>
    <w:p w14:paraId="6E89D62C">
      <w:pPr>
        <w:ind w:firstLine="456"/>
        <w:rPr>
          <w:rFonts w:hint="eastAsia" w:ascii="宋体" w:hAnsi="宋体" w:eastAsia="宋体" w:cs="宋体"/>
          <w:bCs/>
          <w:spacing w:val="-6"/>
        </w:rPr>
      </w:pPr>
    </w:p>
    <w:tbl>
      <w:tblPr>
        <w:tblStyle w:val="45"/>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14:paraId="759C9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9498" w:type="dxa"/>
            <w:vAlign w:val="top"/>
          </w:tcPr>
          <w:p w14:paraId="3E0FA1B6">
            <w:pPr>
              <w:ind w:firstLine="480"/>
              <w:rPr>
                <w:rFonts w:hint="eastAsia" w:ascii="宋体" w:hAnsi="宋体" w:eastAsia="宋体" w:cs="宋体"/>
              </w:rPr>
            </w:pPr>
          </w:p>
          <w:p w14:paraId="64C2259F">
            <w:pPr>
              <w:ind w:firstLine="480"/>
              <w:rPr>
                <w:rFonts w:hint="eastAsia" w:ascii="宋体" w:hAnsi="宋体" w:eastAsia="宋体" w:cs="宋体"/>
              </w:rPr>
            </w:pPr>
          </w:p>
          <w:p w14:paraId="2AB244D0">
            <w:pPr>
              <w:ind w:firstLine="480"/>
              <w:rPr>
                <w:rFonts w:hint="eastAsia" w:ascii="宋体" w:hAnsi="宋体" w:eastAsia="宋体" w:cs="宋体"/>
              </w:rPr>
            </w:pPr>
          </w:p>
          <w:p w14:paraId="0FFA52F8">
            <w:pPr>
              <w:ind w:firstLine="2409" w:firstLineChars="1000"/>
              <w:rPr>
                <w:rFonts w:hint="eastAsia" w:ascii="宋体" w:hAnsi="宋体" w:eastAsia="宋体" w:cs="宋体"/>
                <w:b/>
                <w:bCs/>
                <w:lang w:eastAsia="zh-CN"/>
              </w:rPr>
            </w:pPr>
            <w:r>
              <w:rPr>
                <w:rFonts w:hint="eastAsia" w:ascii="宋体" w:hAnsi="宋体" w:eastAsia="宋体" w:cs="宋体"/>
                <w:b/>
                <w:bCs/>
                <w:lang w:eastAsia="zh-CN"/>
              </w:rPr>
              <w:t>法定代表人有效身份证明复印件粘贴处</w:t>
            </w:r>
          </w:p>
          <w:p w14:paraId="037C212A">
            <w:pPr>
              <w:ind w:firstLine="480"/>
              <w:rPr>
                <w:rFonts w:hint="eastAsia" w:ascii="宋体" w:hAnsi="宋体" w:eastAsia="宋体" w:cs="宋体"/>
              </w:rPr>
            </w:pPr>
          </w:p>
          <w:p w14:paraId="32486D13">
            <w:pPr>
              <w:ind w:firstLine="480"/>
              <w:rPr>
                <w:rFonts w:hint="eastAsia" w:ascii="宋体" w:hAnsi="宋体" w:eastAsia="宋体" w:cs="宋体"/>
              </w:rPr>
            </w:pPr>
          </w:p>
          <w:p w14:paraId="08E7A232">
            <w:pPr>
              <w:ind w:firstLine="456"/>
              <w:rPr>
                <w:rFonts w:hint="eastAsia" w:ascii="宋体" w:hAnsi="宋体" w:eastAsia="宋体" w:cs="宋体"/>
                <w:bCs/>
                <w:spacing w:val="-6"/>
              </w:rPr>
            </w:pPr>
          </w:p>
        </w:tc>
      </w:tr>
    </w:tbl>
    <w:p w14:paraId="27171A68">
      <w:pPr>
        <w:ind w:firstLine="456"/>
        <w:rPr>
          <w:rFonts w:hint="eastAsia" w:ascii="宋体" w:hAnsi="宋体" w:eastAsia="宋体" w:cs="宋体"/>
          <w:bCs/>
          <w:spacing w:val="-6"/>
        </w:rPr>
      </w:pPr>
    </w:p>
    <w:p w14:paraId="59ED917A">
      <w:pPr>
        <w:ind w:right="456" w:firstLine="458"/>
        <w:rPr>
          <w:rFonts w:hint="eastAsia" w:ascii="宋体" w:hAnsi="宋体" w:eastAsia="宋体" w:cs="宋体"/>
          <w:b/>
          <w:bCs/>
          <w:spacing w:val="-6"/>
        </w:rPr>
      </w:pPr>
    </w:p>
    <w:p w14:paraId="43DCCCE0">
      <w:pPr>
        <w:ind w:right="456" w:firstLine="458"/>
        <w:rPr>
          <w:rFonts w:hint="eastAsia" w:ascii="宋体" w:hAnsi="宋体" w:eastAsia="宋体" w:cs="宋体"/>
          <w:b/>
          <w:bCs/>
          <w:spacing w:val="-6"/>
        </w:rPr>
      </w:pPr>
    </w:p>
    <w:p w14:paraId="4067EE1D">
      <w:pPr>
        <w:ind w:right="456" w:firstLine="458"/>
        <w:rPr>
          <w:rFonts w:hint="eastAsia" w:ascii="宋体" w:hAnsi="宋体" w:eastAsia="宋体" w:cs="宋体"/>
          <w:b/>
          <w:bCs/>
          <w:spacing w:val="-6"/>
        </w:rPr>
      </w:pPr>
    </w:p>
    <w:p w14:paraId="129060BC">
      <w:pPr>
        <w:spacing w:line="480" w:lineRule="auto"/>
        <w:ind w:firstLine="480"/>
        <w:rPr>
          <w:rFonts w:hint="eastAsia" w:ascii="宋体" w:hAnsi="宋体" w:eastAsia="宋体" w:cs="宋体"/>
        </w:rPr>
      </w:pPr>
      <w:r>
        <w:rPr>
          <w:rFonts w:hint="eastAsia" w:ascii="宋体" w:hAnsi="宋体" w:eastAsia="宋体" w:cs="宋体"/>
        </w:rPr>
        <w:t>投标人名称（公章）：</w:t>
      </w:r>
    </w:p>
    <w:p w14:paraId="1F415DD7">
      <w:pPr>
        <w:spacing w:line="480" w:lineRule="auto"/>
        <w:ind w:firstLine="480"/>
        <w:rPr>
          <w:rFonts w:hint="eastAsia" w:ascii="宋体" w:hAnsi="宋体" w:eastAsia="宋体" w:cs="宋体"/>
        </w:rPr>
      </w:pPr>
      <w:r>
        <w:rPr>
          <w:rFonts w:hint="eastAsia" w:ascii="宋体" w:hAnsi="宋体" w:eastAsia="宋体" w:cs="宋体"/>
        </w:rPr>
        <w:t>法定代表人</w:t>
      </w:r>
      <w:r>
        <w:rPr>
          <w:rFonts w:hint="eastAsia" w:cs="宋体"/>
          <w:lang w:eastAsia="zh-CN"/>
        </w:rPr>
        <w:t>或其授权代表</w:t>
      </w:r>
      <w:r>
        <w:rPr>
          <w:rFonts w:hint="eastAsia" w:ascii="宋体" w:hAnsi="宋体" w:eastAsia="宋体" w:cs="宋体"/>
        </w:rPr>
        <w:t>（签字）：</w:t>
      </w:r>
    </w:p>
    <w:p w14:paraId="5C059750">
      <w:pPr>
        <w:spacing w:line="480" w:lineRule="auto"/>
        <w:ind w:firstLine="480"/>
        <w:rPr>
          <w:rFonts w:hint="eastAsia" w:ascii="宋体" w:hAnsi="宋体" w:eastAsia="宋体" w:cs="宋体"/>
        </w:rPr>
      </w:pPr>
      <w:r>
        <w:rPr>
          <w:rFonts w:hint="eastAsia" w:ascii="宋体" w:hAnsi="宋体" w:eastAsia="宋体" w:cs="宋体"/>
        </w:rPr>
        <w:t>日期：  年   月   日</w:t>
      </w:r>
    </w:p>
    <w:p w14:paraId="483B08CF">
      <w:pPr>
        <w:tabs>
          <w:tab w:val="left" w:pos="326"/>
        </w:tabs>
        <w:bidi w:val="0"/>
        <w:jc w:val="left"/>
        <w:rPr>
          <w:rFonts w:hint="eastAsia" w:ascii="宋体" w:hAnsi="宋体" w:eastAsia="宋体" w:cs="Times New Roman"/>
          <w:kern w:val="2"/>
          <w:sz w:val="24"/>
          <w:szCs w:val="24"/>
          <w:lang w:val="en-US" w:eastAsia="zh-CN" w:bidi="ar-SA"/>
        </w:rPr>
        <w:sectPr>
          <w:pgSz w:w="11907" w:h="16840"/>
          <w:pgMar w:top="1247" w:right="1304" w:bottom="1021" w:left="1304" w:header="720" w:footer="720" w:gutter="0"/>
          <w:pgNumType w:fmt="decimal"/>
          <w:cols w:space="720" w:num="1"/>
          <w:rtlGutter w:val="1"/>
          <w:docGrid w:linePitch="286" w:charSpace="0"/>
        </w:sectPr>
      </w:pPr>
    </w:p>
    <w:p w14:paraId="716B71CA">
      <w:pPr>
        <w:spacing w:line="480" w:lineRule="auto"/>
        <w:ind w:left="0" w:leftChars="0" w:firstLine="0" w:firstLineChars="0"/>
        <w:jc w:val="center"/>
        <w:rPr>
          <w:rFonts w:hint="eastAsia"/>
          <w:lang w:eastAsia="zh-CN"/>
        </w:rPr>
      </w:pPr>
      <w:r>
        <w:rPr>
          <w:rFonts w:hint="eastAsia" w:cs="宋体"/>
          <w:b/>
          <w:bCs/>
          <w:sz w:val="28"/>
          <w:szCs w:val="28"/>
        </w:rPr>
        <w:t>法定代表人授权委托书</w:t>
      </w:r>
    </w:p>
    <w:p w14:paraId="3297F0FC">
      <w:pPr>
        <w:spacing w:line="480" w:lineRule="auto"/>
        <w:ind w:left="0" w:leftChars="0" w:firstLine="480" w:firstLineChars="200"/>
        <w:rPr>
          <w:rFonts w:hint="eastAsia" w:cs="宋体"/>
          <w:sz w:val="24"/>
          <w:szCs w:val="24"/>
        </w:rPr>
      </w:pPr>
      <w:r>
        <w:rPr>
          <w:rFonts w:hint="eastAsia" w:cs="宋体"/>
          <w:sz w:val="24"/>
          <w:szCs w:val="24"/>
        </w:rPr>
        <w:t>本授权委托书声明，我</w:t>
      </w:r>
      <w:r>
        <w:rPr>
          <w:rFonts w:hint="eastAsia" w:cs="宋体"/>
          <w:sz w:val="24"/>
          <w:szCs w:val="24"/>
          <w:u w:val="single"/>
        </w:rPr>
        <w:t xml:space="preserve">        </w:t>
      </w:r>
      <w:r>
        <w:rPr>
          <w:rFonts w:hint="eastAsia" w:cs="宋体"/>
          <w:sz w:val="24"/>
          <w:szCs w:val="24"/>
        </w:rPr>
        <w:t>（姓名）系</w:t>
      </w:r>
      <w:r>
        <w:rPr>
          <w:rFonts w:hint="eastAsia" w:cs="宋体"/>
          <w:sz w:val="24"/>
          <w:szCs w:val="24"/>
          <w:u w:val="single"/>
        </w:rPr>
        <w:t xml:space="preserve">        </w:t>
      </w:r>
      <w:r>
        <w:rPr>
          <w:rFonts w:hint="eastAsia" w:cs="宋体"/>
          <w:sz w:val="24"/>
          <w:szCs w:val="24"/>
        </w:rPr>
        <w:t>（</w:t>
      </w:r>
      <w:r>
        <w:rPr>
          <w:rFonts w:hint="eastAsia" w:cs="宋体"/>
          <w:sz w:val="24"/>
          <w:szCs w:val="24"/>
          <w:lang w:eastAsia="zh-CN"/>
        </w:rPr>
        <w:t>投标人</w:t>
      </w:r>
      <w:r>
        <w:rPr>
          <w:rFonts w:hint="eastAsia" w:cs="宋体"/>
          <w:sz w:val="24"/>
          <w:szCs w:val="24"/>
        </w:rPr>
        <w:t>名称）的法定代表人，现授权委托</w:t>
      </w:r>
      <w:r>
        <w:rPr>
          <w:rFonts w:hint="eastAsia" w:cs="宋体"/>
          <w:sz w:val="24"/>
          <w:szCs w:val="24"/>
          <w:u w:val="single"/>
        </w:rPr>
        <w:t xml:space="preserve">        </w:t>
      </w:r>
      <w:r>
        <w:rPr>
          <w:rFonts w:hint="eastAsia" w:cs="宋体"/>
          <w:sz w:val="24"/>
          <w:szCs w:val="24"/>
        </w:rPr>
        <w:t>（姓名）为我单位</w:t>
      </w:r>
      <w:r>
        <w:rPr>
          <w:rFonts w:hint="eastAsia" w:cs="宋体"/>
          <w:sz w:val="24"/>
          <w:szCs w:val="24"/>
          <w:lang w:eastAsia="zh-CN"/>
        </w:rPr>
        <w:t>授权代表</w:t>
      </w:r>
      <w:r>
        <w:rPr>
          <w:rFonts w:hint="eastAsia" w:cs="宋体"/>
          <w:sz w:val="24"/>
          <w:szCs w:val="24"/>
        </w:rPr>
        <w:t>，以本单位的名义参加</w:t>
      </w:r>
      <w:r>
        <w:rPr>
          <w:rFonts w:hint="eastAsia" w:cs="宋体"/>
          <w:sz w:val="24"/>
          <w:szCs w:val="24"/>
          <w:u w:val="single"/>
        </w:rPr>
        <w:t xml:space="preserve">           </w:t>
      </w:r>
      <w:r>
        <w:rPr>
          <w:rFonts w:hint="eastAsia" w:cs="宋体"/>
          <w:sz w:val="24"/>
          <w:szCs w:val="24"/>
        </w:rPr>
        <w:t>（</w:t>
      </w:r>
      <w:r>
        <w:rPr>
          <w:rFonts w:hint="eastAsia" w:cs="宋体"/>
          <w:sz w:val="24"/>
          <w:szCs w:val="24"/>
          <w:lang w:eastAsia="zh-CN"/>
        </w:rPr>
        <w:t>招标人</w:t>
      </w:r>
      <w:r>
        <w:rPr>
          <w:rFonts w:hint="eastAsia" w:cs="宋体"/>
          <w:sz w:val="24"/>
          <w:szCs w:val="24"/>
        </w:rPr>
        <w:t>）的</w:t>
      </w:r>
      <w:r>
        <w:rPr>
          <w:rFonts w:hint="eastAsia" w:cs="宋体"/>
          <w:sz w:val="24"/>
          <w:szCs w:val="24"/>
          <w:u w:val="single"/>
        </w:rPr>
        <w:t xml:space="preserve">                        </w:t>
      </w:r>
      <w:r>
        <w:rPr>
          <w:rFonts w:hint="eastAsia" w:cs="宋体"/>
          <w:sz w:val="24"/>
          <w:szCs w:val="24"/>
        </w:rPr>
        <w:t>项目的投标活动。授权</w:t>
      </w:r>
      <w:r>
        <w:rPr>
          <w:rFonts w:hint="eastAsia" w:cs="宋体"/>
          <w:sz w:val="24"/>
          <w:szCs w:val="24"/>
          <w:lang w:eastAsia="zh-CN"/>
        </w:rPr>
        <w:t>代表</w:t>
      </w:r>
      <w:r>
        <w:rPr>
          <w:rFonts w:hint="eastAsia" w:cs="宋体"/>
          <w:sz w:val="24"/>
          <w:szCs w:val="24"/>
        </w:rPr>
        <w:t>在投标、开标、评标、合同谈判过程中所签署的一切文件和处理与之有关的一切事务，我均予以承认。</w:t>
      </w:r>
    </w:p>
    <w:p w14:paraId="52D278E6">
      <w:pPr>
        <w:spacing w:line="480" w:lineRule="auto"/>
        <w:ind w:firstLine="480" w:firstLineChars="200"/>
        <w:rPr>
          <w:rFonts w:hint="eastAsia" w:cs="宋体"/>
          <w:sz w:val="24"/>
          <w:szCs w:val="24"/>
        </w:rPr>
      </w:pPr>
      <w:r>
        <w:rPr>
          <w:rFonts w:hint="eastAsia" w:cs="宋体"/>
          <w:sz w:val="24"/>
          <w:szCs w:val="24"/>
        </w:rPr>
        <w:t>被授权人无转委托权，特此委托。</w:t>
      </w:r>
    </w:p>
    <w:p w14:paraId="23F9558D">
      <w:pPr>
        <w:spacing w:after="156" w:line="480" w:lineRule="auto"/>
        <w:rPr>
          <w:rFonts w:hint="eastAsia" w:cs="宋体"/>
          <w:b/>
          <w:sz w:val="24"/>
          <w:szCs w:val="24"/>
        </w:rPr>
      </w:pPr>
    </w:p>
    <w:p w14:paraId="4360A9A3">
      <w:pPr>
        <w:spacing w:line="480" w:lineRule="auto"/>
        <w:rPr>
          <w:rFonts w:hint="eastAsia" w:cs="宋体"/>
          <w:sz w:val="24"/>
          <w:szCs w:val="24"/>
          <w:u w:val="single"/>
        </w:rPr>
      </w:pPr>
      <w:r>
        <w:rPr>
          <w:rFonts w:hint="eastAsia" w:cs="宋体"/>
          <w:sz w:val="24"/>
          <w:szCs w:val="24"/>
        </w:rPr>
        <w:t>授权代</w:t>
      </w:r>
      <w:r>
        <w:rPr>
          <w:rFonts w:hint="eastAsia" w:cs="宋体"/>
          <w:sz w:val="24"/>
          <w:szCs w:val="24"/>
          <w:lang w:eastAsia="zh-CN"/>
        </w:rPr>
        <w:t>表</w:t>
      </w:r>
      <w:r>
        <w:rPr>
          <w:rFonts w:hint="eastAsia" w:cs="宋体"/>
          <w:sz w:val="24"/>
          <w:szCs w:val="24"/>
        </w:rPr>
        <w:t>：</w:t>
      </w:r>
      <w:r>
        <w:rPr>
          <w:rFonts w:hint="eastAsia" w:cs="宋体"/>
          <w:sz w:val="24"/>
          <w:szCs w:val="24"/>
          <w:u w:val="single"/>
        </w:rPr>
        <w:t xml:space="preserve">   （签字）</w:t>
      </w:r>
      <w:r>
        <w:rPr>
          <w:rFonts w:hint="eastAsia" w:cs="宋体"/>
          <w:sz w:val="24"/>
          <w:szCs w:val="24"/>
          <w:u w:val="single"/>
          <w:lang w:val="en-US" w:eastAsia="zh-CN"/>
        </w:rPr>
        <w:t xml:space="preserve"> </w:t>
      </w:r>
      <w:r>
        <w:rPr>
          <w:rFonts w:hint="eastAsia" w:cs="宋体"/>
          <w:sz w:val="24"/>
          <w:szCs w:val="24"/>
          <w:u w:val="single"/>
        </w:rPr>
        <w:t xml:space="preserve">   </w:t>
      </w:r>
    </w:p>
    <w:p w14:paraId="6FF24265">
      <w:pPr>
        <w:bidi w:val="0"/>
        <w:spacing w:line="480" w:lineRule="auto"/>
        <w:rPr>
          <w:rFonts w:hint="eastAsia"/>
        </w:rPr>
      </w:pPr>
      <w:r>
        <w:rPr>
          <w:rFonts w:hint="eastAsia"/>
        </w:rPr>
        <w:t>身份证号码：</w:t>
      </w:r>
      <w:r>
        <w:rPr>
          <w:rFonts w:hint="eastAsia"/>
          <w:u w:val="single"/>
          <w:lang w:val="en-US" w:eastAsia="zh-CN"/>
        </w:rPr>
        <w:t xml:space="preserve">      </w:t>
      </w:r>
      <w:r>
        <w:rPr>
          <w:rFonts w:hint="eastAsia"/>
          <w:lang w:val="en-US" w:eastAsia="zh-CN"/>
        </w:rPr>
        <w:t xml:space="preserve">       </w:t>
      </w:r>
      <w:r>
        <w:rPr>
          <w:rFonts w:hint="eastAsia"/>
        </w:rPr>
        <w:t xml:space="preserve">                                 </w:t>
      </w:r>
    </w:p>
    <w:p w14:paraId="41AC3E8A">
      <w:pPr>
        <w:spacing w:line="480" w:lineRule="auto"/>
        <w:rPr>
          <w:rFonts w:hint="eastAsia" w:cs="宋体"/>
          <w:sz w:val="24"/>
          <w:szCs w:val="24"/>
          <w:u w:val="single"/>
        </w:rPr>
      </w:pPr>
      <w:r>
        <w:rPr>
          <w:rFonts w:hint="eastAsia" w:cs="宋体"/>
          <w:sz w:val="24"/>
          <w:szCs w:val="24"/>
        </w:rPr>
        <w:t>职务：</w:t>
      </w:r>
      <w:r>
        <w:rPr>
          <w:rFonts w:hint="eastAsia" w:cs="宋体"/>
          <w:sz w:val="24"/>
          <w:szCs w:val="24"/>
          <w:u w:val="single"/>
        </w:rPr>
        <w:t xml:space="preserve">                    </w:t>
      </w:r>
    </w:p>
    <w:p w14:paraId="30CD156B">
      <w:pPr>
        <w:spacing w:line="480" w:lineRule="auto"/>
        <w:rPr>
          <w:rFonts w:hint="eastAsia" w:cs="宋体"/>
          <w:sz w:val="24"/>
          <w:szCs w:val="24"/>
        </w:rPr>
      </w:pPr>
      <w:r>
        <w:rPr>
          <w:rFonts w:hint="eastAsia" w:cs="宋体"/>
          <w:sz w:val="24"/>
          <w:szCs w:val="24"/>
          <w:lang w:eastAsia="zh-CN"/>
        </w:rPr>
        <w:t>投标人名称</w:t>
      </w:r>
      <w:r>
        <w:rPr>
          <w:rFonts w:hint="eastAsia" w:cs="宋体"/>
          <w:sz w:val="24"/>
          <w:szCs w:val="24"/>
        </w:rPr>
        <w:t>：</w:t>
      </w:r>
      <w:r>
        <w:rPr>
          <w:rFonts w:hint="eastAsia" w:cs="宋体"/>
          <w:sz w:val="24"/>
          <w:szCs w:val="24"/>
          <w:u w:val="single"/>
        </w:rPr>
        <w:t xml:space="preserve">                 （盖章）</w:t>
      </w:r>
    </w:p>
    <w:p w14:paraId="6829D4D6">
      <w:pPr>
        <w:spacing w:line="480" w:lineRule="auto"/>
        <w:rPr>
          <w:rFonts w:hint="eastAsia" w:cs="宋体"/>
          <w:sz w:val="24"/>
          <w:szCs w:val="24"/>
        </w:rPr>
      </w:pPr>
      <w:r>
        <w:rPr>
          <w:rFonts w:hint="eastAsia" w:cs="宋体"/>
          <w:sz w:val="24"/>
          <w:szCs w:val="24"/>
        </w:rPr>
        <w:t>法定代表人：</w:t>
      </w:r>
      <w:r>
        <w:rPr>
          <w:rFonts w:hint="eastAsia" w:cs="宋体"/>
          <w:sz w:val="24"/>
          <w:szCs w:val="24"/>
          <w:u w:val="single"/>
        </w:rPr>
        <w:t xml:space="preserve">                （签名或盖章）</w:t>
      </w:r>
    </w:p>
    <w:p w14:paraId="3493EF5D">
      <w:pPr>
        <w:pStyle w:val="8"/>
        <w:spacing w:after="156" w:line="480" w:lineRule="auto"/>
        <w:ind w:firstLine="480" w:firstLineChars="200"/>
        <w:rPr>
          <w:rFonts w:hint="eastAsia" w:eastAsia="宋体" w:cs="宋体"/>
          <w:sz w:val="24"/>
          <w:szCs w:val="24"/>
        </w:rPr>
      </w:pPr>
      <w:r>
        <w:rPr>
          <w:rFonts w:hint="eastAsia" w:eastAsia="宋体" w:cs="宋体"/>
          <w:sz w:val="24"/>
          <w:szCs w:val="24"/>
        </w:rPr>
        <w:t>日期：    年   月   日</w:t>
      </w:r>
    </w:p>
    <w:p w14:paraId="4D4F9219">
      <w:pPr>
        <w:pStyle w:val="8"/>
        <w:spacing w:after="156" w:line="480" w:lineRule="exact"/>
        <w:ind w:firstLine="0"/>
        <w:rPr>
          <w:rFonts w:hint="eastAsia" w:eastAsia="宋体" w:cs="宋体"/>
          <w:sz w:val="24"/>
          <w:szCs w:val="24"/>
        </w:rPr>
      </w:pPr>
    </w:p>
    <w:p w14:paraId="163372E6">
      <w:pPr>
        <w:pStyle w:val="8"/>
        <w:spacing w:after="156" w:line="480" w:lineRule="exact"/>
        <w:ind w:firstLine="0"/>
        <w:rPr>
          <w:rFonts w:hint="eastAsia" w:eastAsia="宋体" w:cs="宋体"/>
          <w:sz w:val="24"/>
          <w:szCs w:val="24"/>
        </w:rPr>
      </w:pPr>
      <w:r>
        <w:rPr>
          <w:rFonts w:hint="eastAsia" w:eastAsia="宋体" w:cs="宋体"/>
          <w:sz w:val="24"/>
          <w:szCs w:val="24"/>
        </w:rPr>
        <w:t>—————————————————————————————————————</w:t>
      </w:r>
    </w:p>
    <w:p w14:paraId="61135537">
      <w:pPr>
        <w:pStyle w:val="8"/>
        <w:spacing w:after="156" w:line="480" w:lineRule="exact"/>
        <w:ind w:firstLine="0"/>
        <w:rPr>
          <w:rFonts w:hint="eastAsia" w:eastAsia="宋体" w:cs="宋体"/>
          <w:sz w:val="24"/>
          <w:szCs w:val="24"/>
        </w:rPr>
      </w:pPr>
    </w:p>
    <w:p w14:paraId="691188A2">
      <w:pPr>
        <w:pStyle w:val="8"/>
        <w:spacing w:after="156" w:line="480" w:lineRule="exact"/>
        <w:ind w:firstLine="0"/>
        <w:jc w:val="center"/>
        <w:rPr>
          <w:rFonts w:hint="eastAsia" w:eastAsia="宋体" w:cs="宋体"/>
          <w:b/>
          <w:bCs/>
          <w:sz w:val="24"/>
          <w:szCs w:val="24"/>
        </w:rPr>
      </w:pPr>
    </w:p>
    <w:p w14:paraId="193481EB">
      <w:pPr>
        <w:pStyle w:val="8"/>
        <w:spacing w:after="156" w:line="480" w:lineRule="exact"/>
        <w:ind w:firstLine="0"/>
        <w:jc w:val="center"/>
        <w:rPr>
          <w:rFonts w:hint="eastAsia" w:eastAsia="宋体" w:cs="宋体"/>
          <w:b/>
          <w:bCs/>
          <w:sz w:val="24"/>
          <w:szCs w:val="24"/>
        </w:rPr>
      </w:pPr>
      <w:r>
        <w:rPr>
          <w:rFonts w:hint="eastAsia" w:eastAsia="宋体" w:cs="宋体"/>
          <w:b/>
          <w:bCs/>
          <w:sz w:val="24"/>
          <w:szCs w:val="24"/>
        </w:rPr>
        <w:t>授权代</w:t>
      </w:r>
      <w:r>
        <w:rPr>
          <w:rFonts w:hint="eastAsia" w:eastAsia="宋体" w:cs="宋体"/>
          <w:b/>
          <w:bCs/>
          <w:sz w:val="24"/>
          <w:szCs w:val="24"/>
          <w:lang w:eastAsia="zh-CN"/>
        </w:rPr>
        <w:t>表</w:t>
      </w:r>
      <w:r>
        <w:rPr>
          <w:rFonts w:hint="eastAsia" w:eastAsia="宋体" w:cs="宋体"/>
          <w:b/>
          <w:bCs/>
          <w:sz w:val="24"/>
          <w:szCs w:val="24"/>
        </w:rPr>
        <w:t>有效身份证明复印件粘贴处</w:t>
      </w:r>
    </w:p>
    <w:p w14:paraId="485EB14A">
      <w:pPr>
        <w:rPr>
          <w:rFonts w:hint="eastAsia"/>
        </w:rPr>
      </w:pPr>
    </w:p>
    <w:p w14:paraId="65B77984">
      <w:pPr>
        <w:pStyle w:val="15"/>
        <w:rPr>
          <w:rFonts w:hint="eastAsia"/>
        </w:rPr>
      </w:pPr>
    </w:p>
    <w:p w14:paraId="68104791">
      <w:pPr>
        <w:bidi w:val="0"/>
        <w:jc w:val="center"/>
        <w:rPr>
          <w:rFonts w:hint="eastAsia"/>
          <w:lang w:eastAsia="zh-CN"/>
        </w:rPr>
        <w:sectPr>
          <w:pgSz w:w="11907" w:h="16840"/>
          <w:pgMar w:top="1247" w:right="1304" w:bottom="1021" w:left="1304" w:header="720" w:footer="720" w:gutter="0"/>
          <w:pgNumType w:fmt="decimal"/>
          <w:cols w:space="720" w:num="1"/>
          <w:rtlGutter w:val="1"/>
          <w:docGrid w:linePitch="286" w:charSpace="0"/>
        </w:sectPr>
      </w:pPr>
      <w:bookmarkStart w:id="82" w:name="_Toc23078"/>
      <w:r>
        <w:rPr>
          <w:rFonts w:hint="eastAsia"/>
          <w:b/>
          <w:bCs/>
        </w:rPr>
        <w:t>（</w:t>
      </w:r>
      <w:r>
        <w:rPr>
          <w:rFonts w:hint="eastAsia"/>
          <w:b/>
          <w:bCs/>
          <w:lang w:eastAsia="zh-CN"/>
        </w:rPr>
        <w:t>提供</w:t>
      </w:r>
      <w:r>
        <w:rPr>
          <w:rFonts w:hint="eastAsia"/>
          <w:b/>
          <w:bCs/>
        </w:rPr>
        <w:t>授权代</w:t>
      </w:r>
      <w:r>
        <w:rPr>
          <w:rFonts w:hint="eastAsia"/>
          <w:b/>
          <w:bCs/>
          <w:lang w:eastAsia="zh-CN"/>
        </w:rPr>
        <w:t>表</w:t>
      </w:r>
      <w:r>
        <w:rPr>
          <w:rFonts w:hint="eastAsia"/>
          <w:b/>
          <w:bCs/>
        </w:rPr>
        <w:t>近</w:t>
      </w:r>
      <w:r>
        <w:rPr>
          <w:rFonts w:hint="eastAsia"/>
          <w:b/>
          <w:bCs/>
          <w:lang w:eastAsia="zh-CN"/>
        </w:rPr>
        <w:t>三个月任意</w:t>
      </w:r>
      <w:r>
        <w:rPr>
          <w:rFonts w:hint="eastAsia"/>
          <w:b/>
          <w:bCs/>
        </w:rPr>
        <w:t>一个月</w:t>
      </w:r>
      <w:r>
        <w:rPr>
          <w:rFonts w:hint="eastAsia"/>
          <w:b/>
          <w:bCs/>
          <w:lang w:eastAsia="zh-CN"/>
        </w:rPr>
        <w:t>的</w:t>
      </w:r>
      <w:r>
        <w:rPr>
          <w:rFonts w:hint="eastAsia"/>
          <w:b/>
          <w:bCs/>
        </w:rPr>
        <w:t>社保缴纳证明）</w:t>
      </w:r>
      <w:bookmarkEnd w:id="82"/>
    </w:p>
    <w:p w14:paraId="42D1957A">
      <w:pPr>
        <w:pStyle w:val="3"/>
        <w:jc w:val="left"/>
        <w:rPr>
          <w:rFonts w:hint="eastAsia" w:cs="宋体"/>
          <w:sz w:val="24"/>
          <w:szCs w:val="24"/>
          <w:lang w:eastAsia="zh-CN"/>
        </w:rPr>
      </w:pPr>
      <w:r>
        <w:rPr>
          <w:rFonts w:hint="eastAsia" w:cs="宋体"/>
          <w:sz w:val="24"/>
          <w:szCs w:val="24"/>
          <w:lang w:eastAsia="zh-CN"/>
        </w:rPr>
        <w:t>附件五</w:t>
      </w:r>
    </w:p>
    <w:p w14:paraId="5B4E38A3">
      <w:pPr>
        <w:pStyle w:val="3"/>
        <w:spacing w:line="480" w:lineRule="auto"/>
        <w:jc w:val="center"/>
        <w:rPr>
          <w:rFonts w:hint="eastAsia" w:cs="宋体"/>
          <w:sz w:val="24"/>
          <w:szCs w:val="24"/>
          <w:lang w:eastAsia="zh-CN"/>
        </w:rPr>
      </w:pPr>
      <w:r>
        <w:rPr>
          <w:rFonts w:hint="eastAsia" w:cs="宋体"/>
          <w:sz w:val="28"/>
          <w:szCs w:val="28"/>
          <w:lang w:eastAsia="zh-CN"/>
        </w:rPr>
        <w:t>廉政承诺书</w:t>
      </w:r>
    </w:p>
    <w:p w14:paraId="54D879FA">
      <w:pPr>
        <w:spacing w:line="240" w:lineRule="auto"/>
        <w:ind w:left="0" w:leftChars="0" w:firstLine="0" w:firstLineChars="0"/>
        <w:rPr>
          <w:rFonts w:hint="eastAsia" w:ascii="宋体" w:hAnsi="宋体" w:eastAsia="宋体" w:cs="宋体"/>
        </w:rPr>
      </w:pPr>
      <w:r>
        <w:rPr>
          <w:rFonts w:hint="eastAsia" w:cs="宋体"/>
          <w:u w:val="single"/>
          <w:lang w:eastAsia="zh-CN"/>
        </w:rPr>
        <w:t>（招标人）</w:t>
      </w:r>
      <w:r>
        <w:rPr>
          <w:rFonts w:hint="eastAsia" w:ascii="宋体" w:hAnsi="宋体" w:eastAsia="宋体" w:cs="宋体"/>
        </w:rPr>
        <w:t>：</w:t>
      </w:r>
    </w:p>
    <w:p w14:paraId="7FB354C6">
      <w:pPr>
        <w:pStyle w:val="78"/>
        <w:rPr>
          <w:rFonts w:hint="eastAsia" w:ascii="宋体" w:hAnsi="宋体" w:eastAsia="宋体" w:cs="宋体"/>
          <w:color w:val="auto"/>
        </w:rPr>
      </w:pPr>
    </w:p>
    <w:p w14:paraId="25A09CDC">
      <w:pPr>
        <w:spacing w:line="480" w:lineRule="auto"/>
        <w:ind w:firstLine="480"/>
        <w:rPr>
          <w:rFonts w:hint="eastAsia" w:ascii="宋体" w:hAnsi="宋体" w:eastAsia="宋体" w:cs="宋体"/>
        </w:rPr>
      </w:pPr>
      <w:r>
        <w:rPr>
          <w:rFonts w:hint="eastAsia" w:ascii="宋体" w:hAnsi="宋体" w:eastAsia="宋体" w:cs="宋体"/>
        </w:rPr>
        <w:t xml:space="preserve">我单位响应你单位项目招标要求参加投标。在这次投标过程中和中标后，我们将严格遵守国家法律法规要求，并郑重承诺： </w:t>
      </w:r>
    </w:p>
    <w:p w14:paraId="79C72B9B">
      <w:pPr>
        <w:spacing w:line="480" w:lineRule="auto"/>
        <w:ind w:firstLine="480"/>
        <w:rPr>
          <w:rFonts w:hint="eastAsia" w:ascii="宋体" w:hAnsi="宋体" w:eastAsia="宋体" w:cs="宋体"/>
        </w:rPr>
      </w:pPr>
      <w:r>
        <w:rPr>
          <w:rFonts w:hint="eastAsia" w:ascii="宋体" w:hAnsi="宋体" w:eastAsia="宋体" w:cs="宋体"/>
        </w:rPr>
        <w:t>一、不向项目有关人员及部门赠送礼金礼物、有价证券、回扣以及中介费、介绍费、咨询费等好处费；</w:t>
      </w:r>
    </w:p>
    <w:p w14:paraId="4D6C6E94">
      <w:pPr>
        <w:spacing w:line="480" w:lineRule="auto"/>
        <w:ind w:firstLine="480"/>
        <w:rPr>
          <w:rFonts w:hint="eastAsia" w:ascii="宋体" w:hAnsi="宋体" w:eastAsia="宋体" w:cs="宋体"/>
        </w:rPr>
      </w:pPr>
      <w:r>
        <w:rPr>
          <w:rFonts w:hint="eastAsia" w:ascii="宋体" w:hAnsi="宋体" w:eastAsia="宋体" w:cs="宋体"/>
        </w:rPr>
        <w:t>二、不为项目有关人员及部门报销应由你方单位或个人支付的费用；</w:t>
      </w:r>
    </w:p>
    <w:p w14:paraId="714676EA">
      <w:pPr>
        <w:spacing w:line="480" w:lineRule="auto"/>
        <w:ind w:firstLine="480"/>
        <w:rPr>
          <w:rFonts w:hint="eastAsia" w:ascii="宋体" w:hAnsi="宋体" w:eastAsia="宋体" w:cs="宋体"/>
        </w:rPr>
      </w:pPr>
      <w:r>
        <w:rPr>
          <w:rFonts w:hint="eastAsia" w:ascii="宋体" w:hAnsi="宋体" w:eastAsia="宋体" w:cs="宋体"/>
        </w:rPr>
        <w:t>三、不向项目有关人员及部门提供有可能影响公正的宴请和健身娱乐等活动；</w:t>
      </w:r>
    </w:p>
    <w:p w14:paraId="383FC097">
      <w:pPr>
        <w:spacing w:line="480" w:lineRule="auto"/>
        <w:ind w:firstLine="480"/>
        <w:rPr>
          <w:rFonts w:hint="eastAsia" w:ascii="宋体" w:hAnsi="宋体" w:eastAsia="宋体" w:cs="宋体"/>
        </w:rPr>
      </w:pPr>
      <w:r>
        <w:rPr>
          <w:rFonts w:hint="eastAsia" w:ascii="宋体" w:hAnsi="宋体" w:eastAsia="宋体" w:cs="宋体"/>
        </w:rPr>
        <w:t>四、不为项目有关人员及部门出国（境）、旅游等提供方便；</w:t>
      </w:r>
    </w:p>
    <w:p w14:paraId="73F77A84">
      <w:pPr>
        <w:spacing w:line="480" w:lineRule="auto"/>
        <w:ind w:firstLine="480"/>
        <w:rPr>
          <w:rFonts w:hint="eastAsia" w:ascii="宋体" w:hAnsi="宋体" w:eastAsia="宋体" w:cs="宋体"/>
        </w:rPr>
      </w:pPr>
      <w:r>
        <w:rPr>
          <w:rFonts w:hint="eastAsia" w:ascii="宋体" w:hAnsi="宋体" w:eastAsia="宋体" w:cs="宋体"/>
        </w:rPr>
        <w:t>五、不为项目有关人员个人装修住房、婚丧嫁娶、配偶子女工作安排等提供好处；</w:t>
      </w:r>
    </w:p>
    <w:p w14:paraId="3E249AD2">
      <w:pPr>
        <w:spacing w:line="480" w:lineRule="auto"/>
        <w:ind w:firstLine="480"/>
        <w:rPr>
          <w:rFonts w:hint="eastAsia" w:ascii="宋体" w:hAnsi="宋体" w:eastAsia="宋体" w:cs="宋体"/>
        </w:rPr>
      </w:pPr>
      <w:r>
        <w:rPr>
          <w:rFonts w:hint="eastAsia" w:ascii="宋体" w:hAnsi="宋体" w:eastAsia="宋体" w:cs="宋体"/>
        </w:rPr>
        <w:t>六、严格遵守招标投标法、合同法等法律，诚实守信，合法经营，坚决抵制各种违法违纪行为。</w:t>
      </w:r>
    </w:p>
    <w:p w14:paraId="506403A6">
      <w:pPr>
        <w:spacing w:line="480" w:lineRule="auto"/>
        <w:ind w:firstLine="480"/>
        <w:rPr>
          <w:rFonts w:hint="eastAsia" w:ascii="宋体" w:hAnsi="宋体" w:eastAsia="宋体" w:cs="宋体"/>
        </w:rPr>
      </w:pPr>
      <w:r>
        <w:rPr>
          <w:rFonts w:hint="eastAsia" w:ascii="宋体" w:hAnsi="宋体" w:eastAsia="宋体" w:cs="宋体"/>
        </w:rPr>
        <w:t>如违反上述承诺，你单位有权立即取消我单位投标、中标或在建项目的建设资格，有权拒绝我单位在一定时期内进入你单位进行工程建设或其他经营活动，并通报省招标监管处。由此引起的相应损失均由我单位承担。</w:t>
      </w:r>
    </w:p>
    <w:p w14:paraId="7A929696">
      <w:pPr>
        <w:ind w:firstLine="0" w:firstLineChars="0"/>
        <w:rPr>
          <w:rFonts w:hint="eastAsia" w:ascii="宋体" w:hAnsi="宋体" w:eastAsia="宋体" w:cs="宋体"/>
        </w:rPr>
      </w:pPr>
    </w:p>
    <w:p w14:paraId="05063F7C">
      <w:pPr>
        <w:ind w:firstLine="0" w:firstLineChars="0"/>
        <w:jc w:val="left"/>
        <w:rPr>
          <w:rFonts w:hint="eastAsia" w:ascii="宋体" w:hAnsi="宋体" w:eastAsia="宋体" w:cs="宋体"/>
        </w:rPr>
      </w:pPr>
    </w:p>
    <w:p w14:paraId="435DFC4D">
      <w:pPr>
        <w:spacing w:line="480" w:lineRule="auto"/>
        <w:ind w:firstLine="480"/>
        <w:rPr>
          <w:rFonts w:hint="eastAsia" w:ascii="宋体" w:hAnsi="宋体" w:eastAsia="宋体" w:cs="宋体"/>
        </w:rPr>
      </w:pPr>
      <w:r>
        <w:rPr>
          <w:rFonts w:hint="eastAsia" w:ascii="宋体" w:hAnsi="宋体" w:eastAsia="宋体" w:cs="宋体"/>
        </w:rPr>
        <w:t>投标人名称（公章）：</w:t>
      </w:r>
    </w:p>
    <w:p w14:paraId="6D5C8754">
      <w:pPr>
        <w:spacing w:line="480" w:lineRule="auto"/>
        <w:ind w:firstLine="480"/>
        <w:rPr>
          <w:rFonts w:hint="eastAsia" w:ascii="宋体" w:hAnsi="宋体" w:eastAsia="宋体" w:cs="宋体"/>
        </w:rPr>
      </w:pPr>
      <w:r>
        <w:rPr>
          <w:rFonts w:hint="eastAsia" w:ascii="宋体" w:hAnsi="宋体" w:eastAsia="宋体" w:cs="宋体"/>
        </w:rPr>
        <w:t>法定代表人或其</w:t>
      </w:r>
      <w:r>
        <w:rPr>
          <w:rFonts w:hint="eastAsia" w:cs="宋体"/>
          <w:lang w:eastAsia="zh-CN"/>
        </w:rPr>
        <w:t>授权代表</w:t>
      </w:r>
      <w:r>
        <w:rPr>
          <w:rFonts w:hint="eastAsia" w:ascii="宋体" w:hAnsi="宋体" w:eastAsia="宋体" w:cs="宋体"/>
        </w:rPr>
        <w:t>（签字）：</w:t>
      </w:r>
    </w:p>
    <w:p w14:paraId="4B5714B6">
      <w:pPr>
        <w:spacing w:line="480" w:lineRule="auto"/>
        <w:ind w:firstLine="480"/>
        <w:rPr>
          <w:rFonts w:hint="eastAsia" w:cs="宋体"/>
          <w:sz w:val="24"/>
          <w:szCs w:val="24"/>
          <w:lang w:eastAsia="zh-CN"/>
        </w:rPr>
      </w:pPr>
      <w:r>
        <w:rPr>
          <w:rFonts w:hint="eastAsia" w:ascii="宋体" w:hAnsi="宋体" w:eastAsia="宋体" w:cs="宋体"/>
        </w:rPr>
        <w:t>日期：  年   月   日</w:t>
      </w:r>
    </w:p>
    <w:p w14:paraId="5E4A3431">
      <w:pPr>
        <w:pStyle w:val="3"/>
        <w:jc w:val="left"/>
        <w:rPr>
          <w:rFonts w:hint="eastAsia" w:cs="宋体"/>
          <w:sz w:val="24"/>
          <w:szCs w:val="24"/>
          <w:lang w:eastAsia="zh-CN"/>
        </w:rPr>
        <w:sectPr>
          <w:pgSz w:w="11907" w:h="16840"/>
          <w:pgMar w:top="1247" w:right="1304" w:bottom="1021" w:left="1304" w:header="720" w:footer="720" w:gutter="0"/>
          <w:pgNumType w:fmt="decimal"/>
          <w:cols w:space="720" w:num="1"/>
          <w:rtlGutter w:val="1"/>
          <w:docGrid w:linePitch="286" w:charSpace="0"/>
        </w:sectPr>
      </w:pPr>
    </w:p>
    <w:p w14:paraId="07D40678">
      <w:pPr>
        <w:pStyle w:val="3"/>
        <w:jc w:val="left"/>
        <w:rPr>
          <w:rFonts w:hint="eastAsia" w:ascii="宋体" w:hAnsi="宋体" w:eastAsia="宋体" w:cs="宋体"/>
          <w:sz w:val="24"/>
          <w:szCs w:val="24"/>
          <w:lang w:eastAsia="zh-CN"/>
        </w:rPr>
      </w:pPr>
      <w:r>
        <w:rPr>
          <w:rFonts w:hint="eastAsia" w:cs="宋体"/>
          <w:sz w:val="24"/>
          <w:szCs w:val="24"/>
          <w:lang w:eastAsia="zh-CN"/>
        </w:rPr>
        <w:t>附件六</w:t>
      </w:r>
    </w:p>
    <w:p w14:paraId="6695A385">
      <w:pPr>
        <w:pStyle w:val="5"/>
        <w:spacing w:line="480" w:lineRule="auto"/>
        <w:jc w:val="center"/>
        <w:rPr>
          <w:rFonts w:hint="eastAsia" w:ascii="宋体" w:hAnsi="宋体" w:eastAsia="宋体" w:cs="宋体"/>
          <w:color w:val="000000"/>
          <w:spacing w:val="-6"/>
          <w:sz w:val="32"/>
        </w:rPr>
      </w:pPr>
      <w:r>
        <w:rPr>
          <w:rFonts w:hint="eastAsia" w:cs="宋体"/>
          <w:color w:val="000000"/>
          <w:spacing w:val="-6"/>
          <w:sz w:val="28"/>
          <w:szCs w:val="28"/>
          <w:lang w:val="en-US" w:eastAsia="zh-CN"/>
        </w:rPr>
        <w:t xml:space="preserve"> </w:t>
      </w:r>
      <w:r>
        <w:rPr>
          <w:rFonts w:hint="eastAsia" w:ascii="宋体" w:hAnsi="宋体" w:eastAsia="宋体" w:cs="宋体"/>
          <w:color w:val="000000"/>
          <w:spacing w:val="-6"/>
          <w:sz w:val="28"/>
          <w:szCs w:val="28"/>
        </w:rPr>
        <w:t>中小企业声明函（</w:t>
      </w:r>
      <w:r>
        <w:rPr>
          <w:rFonts w:hint="eastAsia" w:cs="宋体"/>
          <w:color w:val="000000"/>
          <w:spacing w:val="-6"/>
          <w:sz w:val="28"/>
          <w:szCs w:val="28"/>
          <w:lang w:eastAsia="zh-CN"/>
        </w:rPr>
        <w:t>货物</w:t>
      </w:r>
      <w:r>
        <w:rPr>
          <w:rFonts w:hint="eastAsia" w:ascii="宋体" w:hAnsi="宋体" w:eastAsia="宋体" w:cs="宋体"/>
          <w:color w:val="000000"/>
          <w:spacing w:val="-6"/>
          <w:sz w:val="28"/>
          <w:szCs w:val="28"/>
        </w:rPr>
        <w:t>）</w:t>
      </w:r>
    </w:p>
    <w:p w14:paraId="69CCEC37">
      <w:pPr>
        <w:ind w:firstLine="480"/>
        <w:rPr>
          <w:rFonts w:hint="eastAsia" w:ascii="宋体" w:hAnsi="宋体" w:eastAsia="宋体" w:cs="宋体"/>
        </w:rPr>
      </w:pPr>
      <w:r>
        <w:rPr>
          <w:rFonts w:hint="eastAsia" w:ascii="宋体" w:hAnsi="宋体" w:eastAsia="宋体" w:cs="宋体"/>
        </w:rPr>
        <w:t>本公司（联合体）郑重声明，根据《政府采购促进中小企业发展管理办法》（财库﹝2020﹞46 号）的规定，本公司（联合体）参加</w:t>
      </w:r>
      <w:r>
        <w:rPr>
          <w:rFonts w:hint="eastAsia" w:ascii="宋体" w:hAnsi="宋体" w:eastAsia="宋体" w:cs="宋体"/>
          <w:u w:val="single"/>
        </w:rPr>
        <w:t>（</w:t>
      </w:r>
      <w:r>
        <w:rPr>
          <w:rFonts w:hint="eastAsia" w:cs="宋体"/>
          <w:u w:val="single"/>
          <w:lang w:eastAsia="zh-CN"/>
        </w:rPr>
        <w:t>招标人名称</w:t>
      </w:r>
      <w:r>
        <w:rPr>
          <w:rFonts w:hint="eastAsia" w:ascii="宋体" w:hAnsi="宋体" w:eastAsia="宋体" w:cs="宋体"/>
          <w:u w:val="single"/>
        </w:rPr>
        <w:t>）</w:t>
      </w:r>
      <w:r>
        <w:rPr>
          <w:rFonts w:hint="eastAsia" w:ascii="宋体" w:hAnsi="宋体" w:eastAsia="宋体" w:cs="宋体"/>
        </w:rPr>
        <w:t>的</w:t>
      </w:r>
      <w:r>
        <w:rPr>
          <w:rFonts w:hint="eastAsia" w:ascii="宋体" w:hAnsi="宋体" w:eastAsia="宋体" w:cs="宋体"/>
          <w:u w:val="single"/>
        </w:rPr>
        <w:t>（</w:t>
      </w:r>
      <w:r>
        <w:rPr>
          <w:rFonts w:hint="eastAsia" w:cs="宋体"/>
          <w:u w:val="single"/>
          <w:lang w:eastAsia="zh-CN"/>
        </w:rPr>
        <w:t>项目名称</w:t>
      </w:r>
      <w:r>
        <w:rPr>
          <w:rFonts w:hint="eastAsia" w:ascii="宋体" w:hAnsi="宋体" w:eastAsia="宋体" w:cs="宋体"/>
          <w:u w:val="single"/>
        </w:rPr>
        <w:t>）</w:t>
      </w:r>
      <w:r>
        <w:rPr>
          <w:rFonts w:hint="eastAsia" w:ascii="宋体" w:hAnsi="宋体" w:eastAsia="宋体" w:cs="宋体"/>
        </w:rPr>
        <w:t>采购活动，提供的</w:t>
      </w:r>
      <w:r>
        <w:rPr>
          <w:rFonts w:hint="eastAsia" w:cs="宋体"/>
          <w:lang w:eastAsia="zh-CN"/>
        </w:rPr>
        <w:t>货物</w:t>
      </w:r>
      <w:r>
        <w:rPr>
          <w:rFonts w:hint="eastAsia" w:ascii="宋体" w:hAnsi="宋体" w:eastAsia="宋体" w:cs="宋体"/>
        </w:rPr>
        <w:t>全部由符合政策要求的中小企业</w:t>
      </w:r>
      <w:r>
        <w:rPr>
          <w:rFonts w:hint="eastAsia" w:cs="宋体"/>
          <w:lang w:eastAsia="zh-CN"/>
        </w:rPr>
        <w:t>制造</w:t>
      </w:r>
      <w:r>
        <w:rPr>
          <w:rFonts w:hint="eastAsia" w:ascii="宋体" w:hAnsi="宋体" w:eastAsia="宋体" w:cs="宋体"/>
        </w:rPr>
        <w:t>。相关企业（含联合体中的中小企业、签订分包意向协议的中小企业）的具体情况如下：</w:t>
      </w:r>
    </w:p>
    <w:p w14:paraId="451DADDA">
      <w:pPr>
        <w:ind w:firstLine="480"/>
        <w:rPr>
          <w:rFonts w:hint="eastAsia" w:ascii="宋体" w:hAnsi="宋体" w:eastAsia="宋体" w:cs="宋体"/>
        </w:rPr>
      </w:pPr>
      <w:r>
        <w:rPr>
          <w:rFonts w:hint="eastAsia" w:ascii="宋体" w:hAnsi="宋体" w:eastAsia="宋体" w:cs="宋体"/>
        </w:rPr>
        <w:t xml:space="preserve">1. </w:t>
      </w:r>
      <w:r>
        <w:rPr>
          <w:rFonts w:hint="eastAsia" w:ascii="宋体" w:hAnsi="宋体" w:eastAsia="宋体" w:cs="宋体"/>
          <w:u w:val="single"/>
        </w:rPr>
        <w:t>（</w:t>
      </w:r>
      <w:r>
        <w:rPr>
          <w:rFonts w:hint="eastAsia" w:cs="宋体"/>
          <w:u w:val="single"/>
          <w:lang w:eastAsia="zh-CN"/>
        </w:rPr>
        <w:t>标的名称</w:t>
      </w:r>
      <w:r>
        <w:rPr>
          <w:rFonts w:hint="eastAsia" w:ascii="宋体" w:hAnsi="宋体" w:eastAsia="宋体" w:cs="宋体"/>
          <w:u w:val="single"/>
        </w:rPr>
        <w:t>）</w:t>
      </w:r>
      <w:r>
        <w:rPr>
          <w:rFonts w:hint="eastAsia" w:ascii="宋体" w:hAnsi="宋体" w:eastAsia="宋体" w:cs="宋体"/>
        </w:rPr>
        <w:t xml:space="preserve"> ，属于 </w:t>
      </w:r>
      <w:r>
        <w:rPr>
          <w:rFonts w:hint="eastAsia" w:ascii="宋体" w:hAnsi="宋体" w:eastAsia="宋体" w:cs="宋体"/>
          <w:u w:val="single"/>
        </w:rPr>
        <w:t>（</w:t>
      </w:r>
      <w:r>
        <w:rPr>
          <w:rFonts w:hint="eastAsia" w:cs="宋体"/>
          <w:u w:val="single"/>
          <w:lang w:eastAsia="zh-CN"/>
        </w:rPr>
        <w:t>招标文件中明确的所属行业</w:t>
      </w:r>
      <w:r>
        <w:rPr>
          <w:rFonts w:hint="eastAsia" w:ascii="宋体" w:hAnsi="宋体" w:eastAsia="宋体" w:cs="宋体"/>
          <w:u w:val="single"/>
        </w:rPr>
        <w:t>）</w:t>
      </w:r>
      <w:r>
        <w:rPr>
          <w:rFonts w:hint="eastAsia" w:ascii="宋体" w:hAnsi="宋体" w:eastAsia="宋体" w:cs="宋体"/>
        </w:rPr>
        <w:t>行业 ；</w:t>
      </w:r>
      <w:r>
        <w:rPr>
          <w:rFonts w:hint="eastAsia" w:cs="宋体"/>
          <w:lang w:eastAsia="zh-CN"/>
        </w:rPr>
        <w:t>制造商</w:t>
      </w:r>
      <w:r>
        <w:rPr>
          <w:rFonts w:hint="eastAsia" w:ascii="宋体" w:hAnsi="宋体" w:eastAsia="宋体" w:cs="宋体"/>
        </w:rPr>
        <w:t>为</w:t>
      </w:r>
      <w:r>
        <w:rPr>
          <w:rFonts w:hint="eastAsia" w:ascii="宋体" w:hAnsi="宋体" w:eastAsia="宋体" w:cs="宋体"/>
          <w:u w:val="single"/>
        </w:rPr>
        <w:t>（企业名称）</w:t>
      </w:r>
      <w:r>
        <w:rPr>
          <w:rFonts w:hint="eastAsia" w:ascii="宋体" w:hAnsi="宋体" w:eastAsia="宋体" w:cs="宋体"/>
        </w:rPr>
        <w:t xml:space="preserve"> ，从业人员</w:t>
      </w:r>
      <w:r>
        <w:rPr>
          <w:rFonts w:hint="eastAsia" w:ascii="宋体" w:hAnsi="宋体" w:eastAsia="宋体" w:cs="宋体"/>
          <w:u w:val="single"/>
        </w:rPr>
        <w:t xml:space="preserve">  </w:t>
      </w:r>
      <w:r>
        <w:rPr>
          <w:rFonts w:hint="eastAsia" w:cs="宋体"/>
          <w:u w:val="single"/>
          <w:lang w:val="en-US" w:eastAsia="zh-CN"/>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cs="宋体"/>
          <w:u w:val="single"/>
          <w:lang w:val="en-US" w:eastAsia="zh-CN"/>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w:t>
      </w:r>
      <w:r>
        <w:rPr>
          <w:rFonts w:hint="eastAsia" w:ascii="宋体" w:hAnsi="宋体" w:eastAsia="宋体" w:cs="宋体"/>
          <w:u w:val="single"/>
        </w:rPr>
        <w:t>（中型企业、小型企业、微型企业）</w:t>
      </w:r>
      <w:r>
        <w:rPr>
          <w:rFonts w:hint="eastAsia" w:ascii="宋体" w:hAnsi="宋体" w:eastAsia="宋体" w:cs="宋体"/>
        </w:rPr>
        <w:t xml:space="preserve"> ；</w:t>
      </w:r>
    </w:p>
    <w:p w14:paraId="2346CC73">
      <w:pPr>
        <w:ind w:firstLine="480"/>
        <w:rPr>
          <w:rFonts w:hint="eastAsia" w:ascii="宋体" w:hAnsi="宋体" w:eastAsia="宋体" w:cs="宋体"/>
        </w:rPr>
      </w:pPr>
      <w:r>
        <w:rPr>
          <w:rFonts w:hint="eastAsia" w:cs="宋体"/>
          <w:lang w:val="en-US" w:eastAsia="zh-CN"/>
        </w:rPr>
        <w:t>2</w:t>
      </w:r>
      <w:r>
        <w:rPr>
          <w:rFonts w:hint="eastAsia" w:ascii="宋体" w:hAnsi="宋体" w:eastAsia="宋体" w:cs="宋体"/>
        </w:rPr>
        <w:t xml:space="preserve">. </w:t>
      </w:r>
      <w:r>
        <w:rPr>
          <w:rFonts w:hint="eastAsia" w:ascii="宋体" w:hAnsi="宋体" w:eastAsia="宋体" w:cs="宋体"/>
          <w:u w:val="single"/>
        </w:rPr>
        <w:t>（</w:t>
      </w:r>
      <w:r>
        <w:rPr>
          <w:rFonts w:hint="eastAsia" w:cs="宋体"/>
          <w:u w:val="single"/>
          <w:lang w:eastAsia="zh-CN"/>
        </w:rPr>
        <w:t>标的名称</w:t>
      </w:r>
      <w:r>
        <w:rPr>
          <w:rFonts w:hint="eastAsia" w:ascii="宋体" w:hAnsi="宋体" w:eastAsia="宋体" w:cs="宋体"/>
          <w:u w:val="single"/>
        </w:rPr>
        <w:t>）</w:t>
      </w:r>
      <w:r>
        <w:rPr>
          <w:rFonts w:hint="eastAsia" w:ascii="宋体" w:hAnsi="宋体" w:eastAsia="宋体" w:cs="宋体"/>
        </w:rPr>
        <w:t xml:space="preserve"> ，属于 </w:t>
      </w:r>
      <w:r>
        <w:rPr>
          <w:rFonts w:hint="eastAsia" w:ascii="宋体" w:hAnsi="宋体" w:eastAsia="宋体" w:cs="宋体"/>
          <w:u w:val="single"/>
        </w:rPr>
        <w:t>（</w:t>
      </w:r>
      <w:r>
        <w:rPr>
          <w:rFonts w:hint="eastAsia" w:cs="宋体"/>
          <w:u w:val="single"/>
          <w:lang w:eastAsia="zh-CN"/>
        </w:rPr>
        <w:t>招标文件中明确的所属行业</w:t>
      </w:r>
      <w:r>
        <w:rPr>
          <w:rFonts w:hint="eastAsia" w:ascii="宋体" w:hAnsi="宋体" w:eastAsia="宋体" w:cs="宋体"/>
          <w:u w:val="single"/>
        </w:rPr>
        <w:t>）</w:t>
      </w:r>
      <w:r>
        <w:rPr>
          <w:rFonts w:hint="eastAsia" w:ascii="宋体" w:hAnsi="宋体" w:eastAsia="宋体" w:cs="宋体"/>
        </w:rPr>
        <w:t>行业 ；</w:t>
      </w:r>
      <w:r>
        <w:rPr>
          <w:rFonts w:hint="eastAsia" w:cs="宋体"/>
          <w:lang w:eastAsia="zh-CN"/>
        </w:rPr>
        <w:t>制造商</w:t>
      </w:r>
      <w:r>
        <w:rPr>
          <w:rFonts w:hint="eastAsia" w:ascii="宋体" w:hAnsi="宋体" w:eastAsia="宋体" w:cs="宋体"/>
        </w:rPr>
        <w:t>为</w:t>
      </w:r>
      <w:r>
        <w:rPr>
          <w:rFonts w:hint="eastAsia" w:ascii="宋体" w:hAnsi="宋体" w:eastAsia="宋体" w:cs="宋体"/>
          <w:u w:val="single"/>
        </w:rPr>
        <w:t>（企业名称）</w:t>
      </w:r>
      <w:r>
        <w:rPr>
          <w:rFonts w:hint="eastAsia" w:ascii="宋体" w:hAnsi="宋体" w:eastAsia="宋体" w:cs="宋体"/>
        </w:rPr>
        <w:t xml:space="preserve"> ，从业人员</w:t>
      </w:r>
      <w:r>
        <w:rPr>
          <w:rFonts w:hint="eastAsia" w:ascii="宋体" w:hAnsi="宋体" w:eastAsia="宋体" w:cs="宋体"/>
          <w:u w:val="single"/>
        </w:rPr>
        <w:t xml:space="preserve">  </w:t>
      </w:r>
      <w:r>
        <w:rPr>
          <w:rFonts w:hint="eastAsia" w:cs="宋体"/>
          <w:u w:val="single"/>
          <w:lang w:val="en-US" w:eastAsia="zh-CN"/>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cs="宋体"/>
          <w:u w:val="single"/>
          <w:lang w:val="en-US" w:eastAsia="zh-CN"/>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w:t>
      </w:r>
      <w:r>
        <w:rPr>
          <w:rFonts w:hint="eastAsia" w:ascii="宋体" w:hAnsi="宋体" w:eastAsia="宋体" w:cs="宋体"/>
          <w:u w:val="single"/>
        </w:rPr>
        <w:t>（中型企业、小型企业、微型企业）</w:t>
      </w:r>
      <w:r>
        <w:rPr>
          <w:rFonts w:hint="eastAsia" w:ascii="宋体" w:hAnsi="宋体" w:eastAsia="宋体" w:cs="宋体"/>
        </w:rPr>
        <w:t xml:space="preserve"> ；</w:t>
      </w:r>
    </w:p>
    <w:p w14:paraId="51F5DBE9">
      <w:pPr>
        <w:ind w:firstLine="480"/>
        <w:rPr>
          <w:rFonts w:hint="eastAsia" w:ascii="宋体" w:hAnsi="宋体" w:eastAsia="宋体" w:cs="宋体"/>
        </w:rPr>
      </w:pPr>
      <w:r>
        <w:rPr>
          <w:rFonts w:hint="eastAsia" w:ascii="宋体" w:hAnsi="宋体" w:eastAsia="宋体" w:cs="宋体"/>
        </w:rPr>
        <w:t>……</w:t>
      </w:r>
    </w:p>
    <w:p w14:paraId="1930F030">
      <w:pPr>
        <w:ind w:firstLine="480"/>
        <w:rPr>
          <w:rFonts w:hint="eastAsia" w:ascii="宋体" w:hAnsi="宋体" w:eastAsia="宋体" w:cs="宋体"/>
        </w:rPr>
      </w:pPr>
      <w:r>
        <w:rPr>
          <w:rFonts w:hint="eastAsia" w:ascii="宋体" w:hAnsi="宋体" w:eastAsia="宋体" w:cs="宋体"/>
        </w:rPr>
        <w:t>以上企业，不属于大企业的分支机构，不存在控股股东为大企业的情形，也不存在与大企业的负责人为同一人的情形。</w:t>
      </w:r>
    </w:p>
    <w:p w14:paraId="6A673BF4">
      <w:pPr>
        <w:ind w:firstLine="480"/>
        <w:rPr>
          <w:rFonts w:hint="eastAsia" w:ascii="宋体" w:hAnsi="宋体" w:eastAsia="宋体" w:cs="宋体"/>
          <w:color w:val="000000"/>
        </w:rPr>
      </w:pPr>
      <w:r>
        <w:rPr>
          <w:rFonts w:hint="eastAsia" w:ascii="宋体" w:hAnsi="宋体" w:eastAsia="宋体" w:cs="宋体"/>
        </w:rPr>
        <w:t>本企业对上述声明内容的真实性负责。如有虚假，将依法承担相应责任。</w:t>
      </w:r>
      <w:r>
        <w:rPr>
          <w:rFonts w:hint="eastAsia" w:ascii="宋体" w:hAnsi="宋体" w:eastAsia="宋体" w:cs="宋体"/>
          <w:color w:val="000000"/>
        </w:rPr>
        <w:t xml:space="preserve"> </w:t>
      </w:r>
    </w:p>
    <w:p w14:paraId="3A55B34E">
      <w:pPr>
        <w:pStyle w:val="15"/>
        <w:spacing w:line="360" w:lineRule="auto"/>
        <w:rPr>
          <w:rFonts w:hint="eastAsia" w:ascii="宋体" w:hAnsi="宋体" w:eastAsia="宋体" w:cs="宋体"/>
          <w:color w:val="000000"/>
        </w:rPr>
      </w:pPr>
    </w:p>
    <w:p w14:paraId="6B9816D7">
      <w:pPr>
        <w:ind w:firstLine="480"/>
        <w:rPr>
          <w:rFonts w:hint="eastAsia" w:ascii="宋体" w:hAnsi="宋体" w:eastAsia="宋体" w:cs="宋体"/>
          <w:color w:val="000000"/>
        </w:rPr>
      </w:pPr>
    </w:p>
    <w:p w14:paraId="24E92AD1">
      <w:pPr>
        <w:ind w:firstLine="480"/>
        <w:jc w:val="center"/>
        <w:rPr>
          <w:rFonts w:hint="eastAsia" w:ascii="宋体" w:hAnsi="宋体" w:eastAsia="宋体" w:cs="宋体"/>
          <w:color w:val="000000"/>
        </w:rPr>
      </w:pPr>
      <w:r>
        <w:rPr>
          <w:rFonts w:hint="eastAsia" w:ascii="宋体" w:hAnsi="宋体" w:eastAsia="宋体" w:cs="宋体"/>
          <w:color w:val="000000"/>
        </w:rPr>
        <w:t xml:space="preserve">                                         </w:t>
      </w:r>
      <w:r>
        <w:rPr>
          <w:rFonts w:hint="eastAsia" w:cs="宋体"/>
          <w:color w:val="000000"/>
          <w:lang w:eastAsia="zh-CN"/>
        </w:rPr>
        <w:t>投标人</w:t>
      </w:r>
      <w:r>
        <w:rPr>
          <w:rFonts w:hint="eastAsia" w:ascii="宋体" w:hAnsi="宋体" w:eastAsia="宋体" w:cs="宋体"/>
          <w:color w:val="000000"/>
        </w:rPr>
        <w:t>名称（盖章）：</w:t>
      </w:r>
    </w:p>
    <w:p w14:paraId="36F35A81">
      <w:pPr>
        <w:ind w:firstLine="480"/>
        <w:jc w:val="center"/>
        <w:rPr>
          <w:rFonts w:hint="eastAsia" w:ascii="宋体" w:hAnsi="宋体" w:eastAsia="宋体" w:cs="宋体"/>
          <w:color w:val="000000"/>
        </w:rPr>
      </w:pPr>
      <w:r>
        <w:rPr>
          <w:rFonts w:hint="eastAsia" w:ascii="宋体" w:hAnsi="宋体" w:eastAsia="宋体" w:cs="宋体"/>
          <w:color w:val="000000"/>
        </w:rPr>
        <w:t xml:space="preserve">                                          日期：   年   月   日 </w:t>
      </w:r>
    </w:p>
    <w:p w14:paraId="5E6C4E5E">
      <w:pPr>
        <w:pStyle w:val="15"/>
        <w:rPr>
          <w:rFonts w:hint="eastAsia" w:ascii="宋体" w:hAnsi="宋体" w:eastAsia="宋体" w:cs="宋体"/>
          <w:color w:val="000000"/>
          <w:szCs w:val="24"/>
        </w:rPr>
      </w:pPr>
    </w:p>
    <w:p w14:paraId="1296807F">
      <w:pPr>
        <w:ind w:firstLine="422"/>
        <w:rPr>
          <w:rFonts w:hint="eastAsia" w:ascii="宋体" w:hAnsi="宋体" w:eastAsia="宋体" w:cs="宋体"/>
          <w:b/>
          <w:bCs/>
          <w:color w:val="000000"/>
          <w:sz w:val="21"/>
          <w:szCs w:val="21"/>
        </w:rPr>
      </w:pPr>
    </w:p>
    <w:p w14:paraId="61AD1A17">
      <w:pPr>
        <w:ind w:firstLine="422"/>
        <w:rPr>
          <w:rFonts w:hint="eastAsia" w:ascii="宋体" w:hAnsi="宋体" w:eastAsia="宋体" w:cs="宋体"/>
          <w:b/>
          <w:bCs/>
          <w:color w:val="000000"/>
          <w:sz w:val="21"/>
          <w:szCs w:val="21"/>
        </w:rPr>
      </w:pPr>
      <w:r>
        <w:rPr>
          <w:rFonts w:hint="eastAsia" w:ascii="宋体" w:hAnsi="宋体" w:eastAsia="宋体" w:cs="宋体"/>
          <w:b/>
          <w:bCs/>
          <w:color w:val="000000"/>
          <w:sz w:val="21"/>
          <w:szCs w:val="21"/>
        </w:rPr>
        <w:t>说明：</w:t>
      </w:r>
    </w:p>
    <w:p w14:paraId="22CAE2D9">
      <w:pPr>
        <w:ind w:firstLine="422"/>
        <w:jc w:val="left"/>
        <w:rPr>
          <w:rFonts w:hint="eastAsia" w:ascii="宋体" w:hAnsi="宋体" w:eastAsia="宋体" w:cs="宋体"/>
          <w:b/>
          <w:color w:val="000000"/>
          <w:sz w:val="21"/>
          <w:szCs w:val="21"/>
        </w:rPr>
      </w:pPr>
      <w:r>
        <w:rPr>
          <w:rFonts w:hint="eastAsia" w:ascii="宋体" w:hAnsi="宋体" w:eastAsia="宋体" w:cs="宋体"/>
          <w:b/>
          <w:color w:val="000000"/>
          <w:sz w:val="21"/>
          <w:szCs w:val="21"/>
        </w:rPr>
        <w:t>1.从业人员、营业收入、资产总额填报上一年度数据，数据未填写的视为未提供《中小企业声明函》。</w:t>
      </w:r>
    </w:p>
    <w:p w14:paraId="60BA5AA0">
      <w:pPr>
        <w:ind w:firstLine="480"/>
        <w:rPr>
          <w:rFonts w:hint="eastAsia" w:ascii="宋体" w:hAnsi="宋体" w:eastAsia="宋体" w:cs="宋体"/>
          <w:color w:val="000000"/>
        </w:rPr>
      </w:pPr>
    </w:p>
    <w:p w14:paraId="05FED8A6">
      <w:pPr>
        <w:pStyle w:val="15"/>
        <w:rPr>
          <w:rFonts w:hint="eastAsia" w:ascii="宋体" w:hAnsi="宋体" w:eastAsia="宋体" w:cs="宋体"/>
          <w:color w:val="000000"/>
        </w:rPr>
      </w:pPr>
    </w:p>
    <w:p w14:paraId="0375B4EC">
      <w:pPr>
        <w:ind w:firstLine="480"/>
        <w:jc w:val="right"/>
        <w:rPr>
          <w:rFonts w:hint="eastAsia" w:ascii="宋体" w:hAnsi="宋体" w:eastAsia="宋体" w:cs="宋体"/>
          <w:color w:val="000000"/>
        </w:rPr>
        <w:sectPr>
          <w:pgSz w:w="11907" w:h="16840"/>
          <w:pgMar w:top="1247" w:right="1304" w:bottom="1021" w:left="1304" w:header="720" w:footer="720" w:gutter="0"/>
          <w:pgNumType w:fmt="decimal"/>
          <w:cols w:space="720" w:num="1"/>
          <w:rtlGutter w:val="1"/>
          <w:docGrid w:linePitch="286" w:charSpace="0"/>
        </w:sectPr>
      </w:pPr>
    </w:p>
    <w:tbl>
      <w:tblPr>
        <w:tblStyle w:val="45"/>
        <w:tblW w:w="14720" w:type="dxa"/>
        <w:tblInd w:w="0" w:type="dxa"/>
        <w:tblLayout w:type="fixed"/>
        <w:tblCellMar>
          <w:top w:w="0" w:type="dxa"/>
          <w:left w:w="108" w:type="dxa"/>
          <w:bottom w:w="0" w:type="dxa"/>
          <w:right w:w="108" w:type="dxa"/>
        </w:tblCellMar>
      </w:tblPr>
      <w:tblGrid>
        <w:gridCol w:w="1912"/>
        <w:gridCol w:w="1440"/>
        <w:gridCol w:w="1696"/>
        <w:gridCol w:w="1609"/>
        <w:gridCol w:w="1193"/>
        <w:gridCol w:w="1501"/>
        <w:gridCol w:w="1539"/>
        <w:gridCol w:w="1268"/>
        <w:gridCol w:w="1259"/>
        <w:gridCol w:w="1165"/>
        <w:gridCol w:w="138"/>
      </w:tblGrid>
      <w:tr w14:paraId="46BD037E">
        <w:tblPrEx>
          <w:tblCellMar>
            <w:top w:w="0" w:type="dxa"/>
            <w:left w:w="108" w:type="dxa"/>
            <w:bottom w:w="0" w:type="dxa"/>
            <w:right w:w="108" w:type="dxa"/>
          </w:tblCellMar>
        </w:tblPrEx>
        <w:trPr>
          <w:gridAfter w:val="1"/>
          <w:wAfter w:w="138" w:type="dxa"/>
          <w:trHeight w:val="430" w:hRule="atLeast"/>
        </w:trPr>
        <w:tc>
          <w:tcPr>
            <w:tcW w:w="14582" w:type="dxa"/>
            <w:gridSpan w:val="10"/>
            <w:tcBorders>
              <w:top w:val="nil"/>
              <w:left w:val="nil"/>
              <w:bottom w:val="nil"/>
              <w:right w:val="nil"/>
            </w:tcBorders>
            <w:vAlign w:val="bottom"/>
          </w:tcPr>
          <w:p w14:paraId="224DF940">
            <w:pPr>
              <w:ind w:firstLine="0" w:firstLineChars="0"/>
              <w:jc w:val="cente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中小微行业划型标准规定（根据工信部联企业〔2011〕300号制定）</w:t>
            </w:r>
          </w:p>
        </w:tc>
      </w:tr>
      <w:tr w14:paraId="687B915A">
        <w:tblPrEx>
          <w:tblCellMar>
            <w:top w:w="0" w:type="dxa"/>
            <w:left w:w="108" w:type="dxa"/>
            <w:bottom w:w="0" w:type="dxa"/>
            <w:right w:w="108" w:type="dxa"/>
          </w:tblCellMar>
        </w:tblPrEx>
        <w:trPr>
          <w:trHeight w:val="497" w:hRule="atLeast"/>
        </w:trPr>
        <w:tc>
          <w:tcPr>
            <w:tcW w:w="1912" w:type="dxa"/>
            <w:vMerge w:val="restart"/>
            <w:tcBorders>
              <w:top w:val="single" w:color="auto" w:sz="8" w:space="0"/>
              <w:left w:val="single" w:color="auto" w:sz="8" w:space="0"/>
              <w:bottom w:val="single" w:color="000000" w:sz="4" w:space="0"/>
              <w:right w:val="single" w:color="auto" w:sz="8" w:space="0"/>
            </w:tcBorders>
            <w:vAlign w:val="center"/>
          </w:tcPr>
          <w:p w14:paraId="78074BAF">
            <w:pPr>
              <w:spacing w:line="240" w:lineRule="auto"/>
              <w:ind w:firstLine="301"/>
              <w:jc w:val="cente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行业</w:t>
            </w:r>
          </w:p>
        </w:tc>
        <w:tc>
          <w:tcPr>
            <w:tcW w:w="4745" w:type="dxa"/>
            <w:gridSpan w:val="3"/>
            <w:tcBorders>
              <w:top w:val="single" w:color="auto" w:sz="8" w:space="0"/>
              <w:left w:val="nil"/>
              <w:bottom w:val="single" w:color="auto" w:sz="4" w:space="0"/>
              <w:right w:val="single" w:color="000000" w:sz="8" w:space="0"/>
            </w:tcBorders>
            <w:vAlign w:val="bottom"/>
          </w:tcPr>
          <w:p w14:paraId="62026D0F">
            <w:pPr>
              <w:spacing w:line="240" w:lineRule="auto"/>
              <w:ind w:firstLine="301"/>
              <w:jc w:val="cente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中型企业</w:t>
            </w:r>
          </w:p>
        </w:tc>
        <w:tc>
          <w:tcPr>
            <w:tcW w:w="4233" w:type="dxa"/>
            <w:gridSpan w:val="3"/>
            <w:tcBorders>
              <w:top w:val="single" w:color="auto" w:sz="8" w:space="0"/>
              <w:left w:val="nil"/>
              <w:bottom w:val="single" w:color="auto" w:sz="4" w:space="0"/>
              <w:right w:val="single" w:color="000000" w:sz="8" w:space="0"/>
            </w:tcBorders>
            <w:vAlign w:val="bottom"/>
          </w:tcPr>
          <w:p w14:paraId="28B2BAC5">
            <w:pPr>
              <w:spacing w:line="240" w:lineRule="auto"/>
              <w:ind w:firstLine="301"/>
              <w:jc w:val="cente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小型企业</w:t>
            </w:r>
          </w:p>
        </w:tc>
        <w:tc>
          <w:tcPr>
            <w:tcW w:w="3830" w:type="dxa"/>
            <w:gridSpan w:val="4"/>
            <w:tcBorders>
              <w:top w:val="single" w:color="auto" w:sz="8" w:space="0"/>
              <w:left w:val="nil"/>
              <w:bottom w:val="single" w:color="auto" w:sz="4" w:space="0"/>
              <w:right w:val="single" w:color="000000" w:sz="8" w:space="0"/>
            </w:tcBorders>
            <w:vAlign w:val="bottom"/>
          </w:tcPr>
          <w:p w14:paraId="4E479F29">
            <w:pPr>
              <w:spacing w:line="240" w:lineRule="auto"/>
              <w:ind w:firstLine="301"/>
              <w:jc w:val="center"/>
              <w:rPr>
                <w:rFonts w:hint="eastAsia" w:ascii="宋体" w:hAnsi="宋体" w:eastAsia="宋体" w:cs="宋体"/>
                <w:b/>
                <w:bCs/>
                <w:color w:val="000000"/>
                <w:sz w:val="15"/>
                <w:szCs w:val="15"/>
              </w:rPr>
            </w:pPr>
            <w:r>
              <w:rPr>
                <w:rFonts w:hint="eastAsia" w:ascii="宋体" w:hAnsi="宋体" w:eastAsia="宋体" w:cs="宋体"/>
                <w:b/>
                <w:bCs/>
                <w:color w:val="000000"/>
                <w:sz w:val="15"/>
                <w:szCs w:val="15"/>
              </w:rPr>
              <w:t>微型企业</w:t>
            </w:r>
          </w:p>
        </w:tc>
      </w:tr>
      <w:tr w14:paraId="2E1C0FC1">
        <w:tblPrEx>
          <w:tblCellMar>
            <w:top w:w="0" w:type="dxa"/>
            <w:left w:w="108" w:type="dxa"/>
            <w:bottom w:w="0" w:type="dxa"/>
            <w:right w:w="108" w:type="dxa"/>
          </w:tblCellMar>
        </w:tblPrEx>
        <w:trPr>
          <w:trHeight w:val="558" w:hRule="atLeast"/>
        </w:trPr>
        <w:tc>
          <w:tcPr>
            <w:tcW w:w="1912" w:type="dxa"/>
            <w:vMerge w:val="continue"/>
            <w:tcBorders>
              <w:top w:val="single" w:color="auto" w:sz="8" w:space="0"/>
              <w:left w:val="single" w:color="auto" w:sz="8" w:space="0"/>
              <w:bottom w:val="single" w:color="000000" w:sz="4" w:space="0"/>
              <w:right w:val="single" w:color="auto" w:sz="8" w:space="0"/>
            </w:tcBorders>
            <w:vAlign w:val="center"/>
          </w:tcPr>
          <w:p w14:paraId="76D9ECE6">
            <w:pPr>
              <w:spacing w:line="240" w:lineRule="auto"/>
              <w:ind w:firstLine="301"/>
              <w:rPr>
                <w:rFonts w:hint="eastAsia" w:ascii="宋体" w:hAnsi="宋体" w:eastAsia="宋体" w:cs="宋体"/>
                <w:b/>
                <w:bCs/>
                <w:color w:val="000000"/>
                <w:sz w:val="15"/>
                <w:szCs w:val="15"/>
              </w:rPr>
            </w:pPr>
          </w:p>
        </w:tc>
        <w:tc>
          <w:tcPr>
            <w:tcW w:w="1440" w:type="dxa"/>
            <w:tcBorders>
              <w:top w:val="nil"/>
              <w:left w:val="nil"/>
              <w:bottom w:val="single" w:color="auto" w:sz="4" w:space="0"/>
              <w:right w:val="single" w:color="auto" w:sz="4" w:space="0"/>
            </w:tcBorders>
            <w:vAlign w:val="bottom"/>
          </w:tcPr>
          <w:p w14:paraId="414EA460">
            <w:pPr>
              <w:spacing w:line="240" w:lineRule="auto"/>
              <w:ind w:firstLine="300"/>
              <w:jc w:val="center"/>
              <w:rPr>
                <w:rFonts w:hint="eastAsia" w:ascii="宋体" w:hAnsi="宋体" w:eastAsia="宋体" w:cs="宋体"/>
                <w:color w:val="000000"/>
                <w:sz w:val="15"/>
                <w:szCs w:val="15"/>
              </w:rPr>
            </w:pPr>
            <w:r>
              <w:rPr>
                <w:rFonts w:hint="eastAsia" w:ascii="宋体" w:hAnsi="宋体" w:eastAsia="宋体" w:cs="宋体"/>
                <w:color w:val="000000"/>
                <w:sz w:val="15"/>
                <w:szCs w:val="15"/>
              </w:rPr>
              <w:t>从业人员X（人）</w:t>
            </w:r>
          </w:p>
        </w:tc>
        <w:tc>
          <w:tcPr>
            <w:tcW w:w="1696" w:type="dxa"/>
            <w:tcBorders>
              <w:top w:val="nil"/>
              <w:left w:val="nil"/>
              <w:bottom w:val="single" w:color="auto" w:sz="4" w:space="0"/>
              <w:right w:val="single" w:color="auto" w:sz="4" w:space="0"/>
            </w:tcBorders>
            <w:vAlign w:val="bottom"/>
          </w:tcPr>
          <w:p w14:paraId="1400B0A2">
            <w:pPr>
              <w:spacing w:line="240" w:lineRule="auto"/>
              <w:ind w:firstLine="300"/>
              <w:jc w:val="center"/>
              <w:rPr>
                <w:rFonts w:hint="eastAsia" w:ascii="宋体" w:hAnsi="宋体" w:eastAsia="宋体" w:cs="宋体"/>
                <w:color w:val="000000"/>
                <w:sz w:val="15"/>
                <w:szCs w:val="15"/>
              </w:rPr>
            </w:pPr>
            <w:r>
              <w:rPr>
                <w:rFonts w:hint="eastAsia" w:ascii="宋体" w:hAnsi="宋体" w:eastAsia="宋体" w:cs="宋体"/>
                <w:color w:val="000000"/>
                <w:sz w:val="15"/>
                <w:szCs w:val="15"/>
              </w:rPr>
              <w:t>营业收入Y</w:t>
            </w:r>
          </w:p>
          <w:p w14:paraId="7303E504">
            <w:pPr>
              <w:spacing w:line="240" w:lineRule="auto"/>
              <w:ind w:firstLine="300"/>
              <w:jc w:val="center"/>
              <w:rPr>
                <w:rFonts w:hint="eastAsia" w:ascii="宋体" w:hAnsi="宋体" w:eastAsia="宋体" w:cs="宋体"/>
                <w:color w:val="000000"/>
                <w:sz w:val="15"/>
                <w:szCs w:val="15"/>
              </w:rPr>
            </w:pPr>
            <w:r>
              <w:rPr>
                <w:rFonts w:hint="eastAsia" w:ascii="宋体" w:hAnsi="宋体" w:eastAsia="宋体" w:cs="宋体"/>
                <w:color w:val="000000"/>
                <w:sz w:val="15"/>
                <w:szCs w:val="15"/>
              </w:rPr>
              <w:t>（万元）</w:t>
            </w:r>
          </w:p>
        </w:tc>
        <w:tc>
          <w:tcPr>
            <w:tcW w:w="1609" w:type="dxa"/>
            <w:tcBorders>
              <w:top w:val="nil"/>
              <w:left w:val="nil"/>
              <w:bottom w:val="single" w:color="auto" w:sz="4" w:space="0"/>
              <w:right w:val="single" w:color="auto" w:sz="8" w:space="0"/>
            </w:tcBorders>
            <w:vAlign w:val="bottom"/>
          </w:tcPr>
          <w:p w14:paraId="6AA32BA0">
            <w:pPr>
              <w:spacing w:line="240" w:lineRule="auto"/>
              <w:ind w:firstLine="300"/>
              <w:jc w:val="center"/>
              <w:rPr>
                <w:rFonts w:hint="eastAsia" w:ascii="宋体" w:hAnsi="宋体" w:eastAsia="宋体" w:cs="宋体"/>
                <w:color w:val="000000"/>
                <w:sz w:val="15"/>
                <w:szCs w:val="15"/>
              </w:rPr>
            </w:pPr>
            <w:r>
              <w:rPr>
                <w:rFonts w:hint="eastAsia" w:ascii="宋体" w:hAnsi="宋体" w:eastAsia="宋体" w:cs="宋体"/>
                <w:color w:val="000000"/>
                <w:sz w:val="15"/>
                <w:szCs w:val="15"/>
              </w:rPr>
              <w:t>资产总额Z</w:t>
            </w:r>
          </w:p>
          <w:p w14:paraId="2B6B0A8B">
            <w:pPr>
              <w:spacing w:line="240" w:lineRule="auto"/>
              <w:ind w:firstLine="300"/>
              <w:jc w:val="center"/>
              <w:rPr>
                <w:rFonts w:hint="eastAsia" w:ascii="宋体" w:hAnsi="宋体" w:eastAsia="宋体" w:cs="宋体"/>
                <w:color w:val="000000"/>
                <w:sz w:val="15"/>
                <w:szCs w:val="15"/>
              </w:rPr>
            </w:pPr>
            <w:r>
              <w:rPr>
                <w:rFonts w:hint="eastAsia" w:ascii="宋体" w:hAnsi="宋体" w:eastAsia="宋体" w:cs="宋体"/>
                <w:color w:val="000000"/>
                <w:sz w:val="15"/>
                <w:szCs w:val="15"/>
              </w:rPr>
              <w:t>（万元）</w:t>
            </w:r>
          </w:p>
        </w:tc>
        <w:tc>
          <w:tcPr>
            <w:tcW w:w="1193" w:type="dxa"/>
            <w:tcBorders>
              <w:top w:val="nil"/>
              <w:left w:val="nil"/>
              <w:bottom w:val="single" w:color="auto" w:sz="4" w:space="0"/>
              <w:right w:val="single" w:color="auto" w:sz="4" w:space="0"/>
            </w:tcBorders>
            <w:vAlign w:val="bottom"/>
          </w:tcPr>
          <w:p w14:paraId="73C13D18">
            <w:pPr>
              <w:spacing w:line="240" w:lineRule="auto"/>
              <w:ind w:firstLine="300"/>
              <w:jc w:val="center"/>
              <w:rPr>
                <w:rFonts w:hint="eastAsia" w:ascii="宋体" w:hAnsi="宋体" w:eastAsia="宋体" w:cs="宋体"/>
                <w:color w:val="000000"/>
                <w:sz w:val="15"/>
                <w:szCs w:val="15"/>
              </w:rPr>
            </w:pPr>
            <w:r>
              <w:rPr>
                <w:rFonts w:hint="eastAsia" w:ascii="宋体" w:hAnsi="宋体" w:eastAsia="宋体" w:cs="宋体"/>
                <w:color w:val="000000"/>
                <w:sz w:val="15"/>
                <w:szCs w:val="15"/>
              </w:rPr>
              <w:t>从业人员X（人）</w:t>
            </w:r>
          </w:p>
        </w:tc>
        <w:tc>
          <w:tcPr>
            <w:tcW w:w="1501" w:type="dxa"/>
            <w:tcBorders>
              <w:top w:val="nil"/>
              <w:left w:val="nil"/>
              <w:bottom w:val="single" w:color="auto" w:sz="4" w:space="0"/>
              <w:right w:val="single" w:color="auto" w:sz="4" w:space="0"/>
            </w:tcBorders>
            <w:vAlign w:val="bottom"/>
          </w:tcPr>
          <w:p w14:paraId="7951E8AC">
            <w:pPr>
              <w:spacing w:line="240" w:lineRule="auto"/>
              <w:ind w:firstLine="300"/>
              <w:jc w:val="center"/>
              <w:rPr>
                <w:rFonts w:hint="eastAsia" w:ascii="宋体" w:hAnsi="宋体" w:eastAsia="宋体" w:cs="宋体"/>
                <w:color w:val="000000"/>
                <w:sz w:val="15"/>
                <w:szCs w:val="15"/>
              </w:rPr>
            </w:pPr>
            <w:r>
              <w:rPr>
                <w:rFonts w:hint="eastAsia" w:ascii="宋体" w:hAnsi="宋体" w:eastAsia="宋体" w:cs="宋体"/>
                <w:color w:val="000000"/>
                <w:sz w:val="15"/>
                <w:szCs w:val="15"/>
              </w:rPr>
              <w:t>营业收入Y</w:t>
            </w:r>
          </w:p>
          <w:p w14:paraId="5CB44BC0">
            <w:pPr>
              <w:spacing w:line="240" w:lineRule="auto"/>
              <w:ind w:firstLine="300"/>
              <w:jc w:val="center"/>
              <w:rPr>
                <w:rFonts w:hint="eastAsia" w:ascii="宋体" w:hAnsi="宋体" w:eastAsia="宋体" w:cs="宋体"/>
                <w:color w:val="000000"/>
                <w:sz w:val="15"/>
                <w:szCs w:val="15"/>
              </w:rPr>
            </w:pPr>
            <w:r>
              <w:rPr>
                <w:rFonts w:hint="eastAsia" w:ascii="宋体" w:hAnsi="宋体" w:eastAsia="宋体" w:cs="宋体"/>
                <w:color w:val="000000"/>
                <w:sz w:val="15"/>
                <w:szCs w:val="15"/>
              </w:rPr>
              <w:t>（万元）</w:t>
            </w:r>
          </w:p>
        </w:tc>
        <w:tc>
          <w:tcPr>
            <w:tcW w:w="1539" w:type="dxa"/>
            <w:tcBorders>
              <w:top w:val="nil"/>
              <w:left w:val="nil"/>
              <w:bottom w:val="single" w:color="auto" w:sz="4" w:space="0"/>
              <w:right w:val="single" w:color="auto" w:sz="8" w:space="0"/>
            </w:tcBorders>
            <w:vAlign w:val="bottom"/>
          </w:tcPr>
          <w:p w14:paraId="48900179">
            <w:pPr>
              <w:spacing w:line="240" w:lineRule="auto"/>
              <w:ind w:firstLine="300"/>
              <w:jc w:val="center"/>
              <w:rPr>
                <w:rFonts w:hint="eastAsia" w:ascii="宋体" w:hAnsi="宋体" w:eastAsia="宋体" w:cs="宋体"/>
                <w:color w:val="000000"/>
                <w:sz w:val="15"/>
                <w:szCs w:val="15"/>
              </w:rPr>
            </w:pPr>
            <w:r>
              <w:rPr>
                <w:rFonts w:hint="eastAsia" w:ascii="宋体" w:hAnsi="宋体" w:eastAsia="宋体" w:cs="宋体"/>
                <w:color w:val="000000"/>
                <w:sz w:val="15"/>
                <w:szCs w:val="15"/>
              </w:rPr>
              <w:t>资产总额Z</w:t>
            </w:r>
          </w:p>
          <w:p w14:paraId="6D923320">
            <w:pPr>
              <w:spacing w:line="240" w:lineRule="auto"/>
              <w:ind w:firstLine="300"/>
              <w:jc w:val="center"/>
              <w:rPr>
                <w:rFonts w:hint="eastAsia" w:ascii="宋体" w:hAnsi="宋体" w:eastAsia="宋体" w:cs="宋体"/>
                <w:color w:val="000000"/>
                <w:sz w:val="15"/>
                <w:szCs w:val="15"/>
              </w:rPr>
            </w:pPr>
            <w:r>
              <w:rPr>
                <w:rFonts w:hint="eastAsia" w:ascii="宋体" w:hAnsi="宋体" w:eastAsia="宋体" w:cs="宋体"/>
                <w:color w:val="000000"/>
                <w:sz w:val="15"/>
                <w:szCs w:val="15"/>
              </w:rPr>
              <w:t>（万元）</w:t>
            </w:r>
          </w:p>
        </w:tc>
        <w:tc>
          <w:tcPr>
            <w:tcW w:w="1268" w:type="dxa"/>
            <w:tcBorders>
              <w:top w:val="nil"/>
              <w:left w:val="nil"/>
              <w:bottom w:val="single" w:color="auto" w:sz="4" w:space="0"/>
              <w:right w:val="single" w:color="auto" w:sz="4" w:space="0"/>
            </w:tcBorders>
            <w:vAlign w:val="bottom"/>
          </w:tcPr>
          <w:p w14:paraId="1DBBFEDF">
            <w:pPr>
              <w:spacing w:line="240" w:lineRule="auto"/>
              <w:ind w:firstLine="300"/>
              <w:jc w:val="center"/>
              <w:rPr>
                <w:rFonts w:hint="eastAsia" w:ascii="宋体" w:hAnsi="宋体" w:eastAsia="宋体" w:cs="宋体"/>
                <w:color w:val="000000"/>
                <w:sz w:val="15"/>
                <w:szCs w:val="15"/>
              </w:rPr>
            </w:pPr>
            <w:r>
              <w:rPr>
                <w:rFonts w:hint="eastAsia" w:ascii="宋体" w:hAnsi="宋体" w:eastAsia="宋体" w:cs="宋体"/>
                <w:color w:val="000000"/>
                <w:sz w:val="15"/>
                <w:szCs w:val="15"/>
              </w:rPr>
              <w:t>从业人员X（人）</w:t>
            </w:r>
          </w:p>
        </w:tc>
        <w:tc>
          <w:tcPr>
            <w:tcW w:w="1259" w:type="dxa"/>
            <w:tcBorders>
              <w:top w:val="nil"/>
              <w:left w:val="nil"/>
              <w:bottom w:val="single" w:color="auto" w:sz="4" w:space="0"/>
              <w:right w:val="single" w:color="auto" w:sz="4" w:space="0"/>
            </w:tcBorders>
            <w:vAlign w:val="bottom"/>
          </w:tcPr>
          <w:p w14:paraId="5F114EE1">
            <w:pPr>
              <w:spacing w:line="240" w:lineRule="auto"/>
              <w:ind w:firstLine="300"/>
              <w:jc w:val="center"/>
              <w:rPr>
                <w:rFonts w:hint="eastAsia" w:ascii="宋体" w:hAnsi="宋体" w:eastAsia="宋体" w:cs="宋体"/>
                <w:color w:val="000000"/>
                <w:sz w:val="15"/>
                <w:szCs w:val="15"/>
              </w:rPr>
            </w:pPr>
            <w:r>
              <w:rPr>
                <w:rFonts w:hint="eastAsia" w:ascii="宋体" w:hAnsi="宋体" w:eastAsia="宋体" w:cs="宋体"/>
                <w:color w:val="000000"/>
                <w:sz w:val="15"/>
                <w:szCs w:val="15"/>
              </w:rPr>
              <w:t>营业收入Y（万元）</w:t>
            </w:r>
          </w:p>
        </w:tc>
        <w:tc>
          <w:tcPr>
            <w:tcW w:w="1303" w:type="dxa"/>
            <w:gridSpan w:val="2"/>
            <w:tcBorders>
              <w:top w:val="nil"/>
              <w:left w:val="nil"/>
              <w:bottom w:val="single" w:color="auto" w:sz="4" w:space="0"/>
              <w:right w:val="single" w:color="auto" w:sz="8" w:space="0"/>
            </w:tcBorders>
            <w:vAlign w:val="bottom"/>
          </w:tcPr>
          <w:p w14:paraId="7273321C">
            <w:pPr>
              <w:spacing w:line="240" w:lineRule="auto"/>
              <w:ind w:firstLine="300"/>
              <w:jc w:val="center"/>
              <w:rPr>
                <w:rFonts w:hint="eastAsia" w:ascii="宋体" w:hAnsi="宋体" w:eastAsia="宋体" w:cs="宋体"/>
                <w:color w:val="000000"/>
                <w:sz w:val="15"/>
                <w:szCs w:val="15"/>
              </w:rPr>
            </w:pPr>
            <w:r>
              <w:rPr>
                <w:rFonts w:hint="eastAsia" w:ascii="宋体" w:hAnsi="宋体" w:eastAsia="宋体" w:cs="宋体"/>
                <w:color w:val="000000"/>
                <w:sz w:val="15"/>
                <w:szCs w:val="15"/>
              </w:rPr>
              <w:t>资产总额Z（万元）</w:t>
            </w:r>
          </w:p>
        </w:tc>
      </w:tr>
      <w:tr w14:paraId="63BF8070">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14:paraId="71EC4450">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1、农林牧渔业</w:t>
            </w:r>
          </w:p>
        </w:tc>
        <w:tc>
          <w:tcPr>
            <w:tcW w:w="1440" w:type="dxa"/>
            <w:tcBorders>
              <w:top w:val="nil"/>
              <w:left w:val="nil"/>
              <w:bottom w:val="single" w:color="auto" w:sz="4" w:space="0"/>
              <w:right w:val="single" w:color="auto" w:sz="4" w:space="0"/>
            </w:tcBorders>
            <w:vAlign w:val="bottom"/>
          </w:tcPr>
          <w:p w14:paraId="29705F9E">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696" w:type="dxa"/>
            <w:tcBorders>
              <w:top w:val="nil"/>
              <w:left w:val="nil"/>
              <w:bottom w:val="single" w:color="auto" w:sz="4" w:space="0"/>
              <w:right w:val="single" w:color="auto" w:sz="4" w:space="0"/>
            </w:tcBorders>
            <w:vAlign w:val="bottom"/>
          </w:tcPr>
          <w:p w14:paraId="31F196AC">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500≤Y＜20000</w:t>
            </w:r>
          </w:p>
        </w:tc>
        <w:tc>
          <w:tcPr>
            <w:tcW w:w="1609" w:type="dxa"/>
            <w:tcBorders>
              <w:top w:val="nil"/>
              <w:left w:val="nil"/>
              <w:bottom w:val="single" w:color="auto" w:sz="4" w:space="0"/>
              <w:right w:val="single" w:color="auto" w:sz="8" w:space="0"/>
            </w:tcBorders>
            <w:vAlign w:val="bottom"/>
          </w:tcPr>
          <w:p w14:paraId="3817CB5F">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193" w:type="dxa"/>
            <w:tcBorders>
              <w:top w:val="nil"/>
              <w:left w:val="nil"/>
              <w:bottom w:val="single" w:color="auto" w:sz="4" w:space="0"/>
              <w:right w:val="single" w:color="auto" w:sz="4" w:space="0"/>
            </w:tcBorders>
            <w:vAlign w:val="bottom"/>
          </w:tcPr>
          <w:p w14:paraId="1FC5F712">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501" w:type="dxa"/>
            <w:tcBorders>
              <w:top w:val="nil"/>
              <w:left w:val="nil"/>
              <w:bottom w:val="single" w:color="auto" w:sz="4" w:space="0"/>
              <w:right w:val="single" w:color="auto" w:sz="4" w:space="0"/>
            </w:tcBorders>
            <w:vAlign w:val="bottom"/>
          </w:tcPr>
          <w:p w14:paraId="774A5A10">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50≤Y＜500</w:t>
            </w:r>
          </w:p>
        </w:tc>
        <w:tc>
          <w:tcPr>
            <w:tcW w:w="1539" w:type="dxa"/>
            <w:tcBorders>
              <w:top w:val="nil"/>
              <w:left w:val="nil"/>
              <w:bottom w:val="single" w:color="auto" w:sz="4" w:space="0"/>
              <w:right w:val="single" w:color="auto" w:sz="8" w:space="0"/>
            </w:tcBorders>
            <w:vAlign w:val="bottom"/>
          </w:tcPr>
          <w:p w14:paraId="4A13122A">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68" w:type="dxa"/>
            <w:tcBorders>
              <w:top w:val="nil"/>
              <w:left w:val="nil"/>
              <w:bottom w:val="single" w:color="auto" w:sz="4" w:space="0"/>
              <w:right w:val="single" w:color="auto" w:sz="4" w:space="0"/>
            </w:tcBorders>
            <w:vAlign w:val="bottom"/>
          </w:tcPr>
          <w:p w14:paraId="64949DCB">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59" w:type="dxa"/>
            <w:tcBorders>
              <w:top w:val="nil"/>
              <w:left w:val="nil"/>
              <w:bottom w:val="single" w:color="auto" w:sz="4" w:space="0"/>
              <w:right w:val="single" w:color="auto" w:sz="4" w:space="0"/>
            </w:tcBorders>
            <w:vAlign w:val="bottom"/>
          </w:tcPr>
          <w:p w14:paraId="305B8E9C">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Y＜50</w:t>
            </w:r>
          </w:p>
        </w:tc>
        <w:tc>
          <w:tcPr>
            <w:tcW w:w="1303" w:type="dxa"/>
            <w:gridSpan w:val="2"/>
            <w:tcBorders>
              <w:top w:val="nil"/>
              <w:left w:val="nil"/>
              <w:bottom w:val="single" w:color="auto" w:sz="4" w:space="0"/>
              <w:right w:val="single" w:color="auto" w:sz="8" w:space="0"/>
            </w:tcBorders>
            <w:vAlign w:val="bottom"/>
          </w:tcPr>
          <w:p w14:paraId="6029E93A">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r>
      <w:tr w14:paraId="55638C0E">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14:paraId="427EA8FE">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2、工业</w:t>
            </w:r>
          </w:p>
        </w:tc>
        <w:tc>
          <w:tcPr>
            <w:tcW w:w="1440" w:type="dxa"/>
            <w:tcBorders>
              <w:top w:val="nil"/>
              <w:left w:val="nil"/>
              <w:bottom w:val="single" w:color="auto" w:sz="4" w:space="0"/>
              <w:right w:val="single" w:color="auto" w:sz="4" w:space="0"/>
            </w:tcBorders>
            <w:vAlign w:val="bottom"/>
          </w:tcPr>
          <w:p w14:paraId="7F72B185">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300≤X＜1000</w:t>
            </w:r>
          </w:p>
        </w:tc>
        <w:tc>
          <w:tcPr>
            <w:tcW w:w="1696" w:type="dxa"/>
            <w:tcBorders>
              <w:top w:val="nil"/>
              <w:left w:val="nil"/>
              <w:bottom w:val="single" w:color="auto" w:sz="4" w:space="0"/>
              <w:right w:val="single" w:color="auto" w:sz="4" w:space="0"/>
            </w:tcBorders>
            <w:vAlign w:val="bottom"/>
          </w:tcPr>
          <w:p w14:paraId="30997845">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2000≤Y＜40000</w:t>
            </w:r>
          </w:p>
        </w:tc>
        <w:tc>
          <w:tcPr>
            <w:tcW w:w="1609" w:type="dxa"/>
            <w:tcBorders>
              <w:top w:val="nil"/>
              <w:left w:val="nil"/>
              <w:bottom w:val="single" w:color="auto" w:sz="4" w:space="0"/>
              <w:right w:val="single" w:color="auto" w:sz="8" w:space="0"/>
            </w:tcBorders>
            <w:vAlign w:val="bottom"/>
          </w:tcPr>
          <w:p w14:paraId="486A14F9">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193" w:type="dxa"/>
            <w:tcBorders>
              <w:top w:val="nil"/>
              <w:left w:val="nil"/>
              <w:bottom w:val="single" w:color="auto" w:sz="4" w:space="0"/>
              <w:right w:val="single" w:color="auto" w:sz="4" w:space="0"/>
            </w:tcBorders>
            <w:vAlign w:val="bottom"/>
          </w:tcPr>
          <w:p w14:paraId="1E1104B8">
            <w:pPr>
              <w:spacing w:line="240" w:lineRule="auto"/>
              <w:ind w:left="0" w:leftChars="0" w:firstLine="0" w:firstLineChars="0"/>
              <w:jc w:val="center"/>
              <w:rPr>
                <w:rFonts w:hint="eastAsia" w:ascii="宋体" w:hAnsi="宋体" w:eastAsia="宋体" w:cs="宋体"/>
                <w:color w:val="000000"/>
                <w:sz w:val="15"/>
                <w:szCs w:val="15"/>
              </w:rPr>
            </w:pPr>
            <w:r>
              <w:rPr>
                <w:rFonts w:hint="eastAsia" w:ascii="宋体" w:hAnsi="宋体" w:eastAsia="宋体" w:cs="宋体"/>
                <w:color w:val="000000"/>
                <w:sz w:val="15"/>
                <w:szCs w:val="15"/>
              </w:rPr>
              <w:t>20≤X＜300</w:t>
            </w:r>
          </w:p>
        </w:tc>
        <w:tc>
          <w:tcPr>
            <w:tcW w:w="1501" w:type="dxa"/>
            <w:tcBorders>
              <w:top w:val="nil"/>
              <w:left w:val="nil"/>
              <w:bottom w:val="single" w:color="auto" w:sz="4" w:space="0"/>
              <w:right w:val="single" w:color="auto" w:sz="4" w:space="0"/>
            </w:tcBorders>
            <w:vAlign w:val="bottom"/>
          </w:tcPr>
          <w:p w14:paraId="6294ADF7">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300≤Y＜2000</w:t>
            </w:r>
          </w:p>
        </w:tc>
        <w:tc>
          <w:tcPr>
            <w:tcW w:w="1539" w:type="dxa"/>
            <w:tcBorders>
              <w:top w:val="nil"/>
              <w:left w:val="nil"/>
              <w:bottom w:val="single" w:color="auto" w:sz="4" w:space="0"/>
              <w:right w:val="single" w:color="auto" w:sz="8" w:space="0"/>
            </w:tcBorders>
            <w:vAlign w:val="bottom"/>
          </w:tcPr>
          <w:p w14:paraId="421AB151">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68" w:type="dxa"/>
            <w:tcBorders>
              <w:top w:val="nil"/>
              <w:left w:val="nil"/>
              <w:bottom w:val="single" w:color="auto" w:sz="4" w:space="0"/>
              <w:right w:val="single" w:color="auto" w:sz="4" w:space="0"/>
            </w:tcBorders>
            <w:vAlign w:val="bottom"/>
          </w:tcPr>
          <w:p w14:paraId="35665E88">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X＜20</w:t>
            </w:r>
          </w:p>
        </w:tc>
        <w:tc>
          <w:tcPr>
            <w:tcW w:w="1259" w:type="dxa"/>
            <w:tcBorders>
              <w:top w:val="nil"/>
              <w:left w:val="nil"/>
              <w:bottom w:val="single" w:color="auto" w:sz="4" w:space="0"/>
              <w:right w:val="single" w:color="auto" w:sz="4" w:space="0"/>
            </w:tcBorders>
            <w:vAlign w:val="bottom"/>
          </w:tcPr>
          <w:p w14:paraId="4C4B0DE0">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Y＜300</w:t>
            </w:r>
          </w:p>
        </w:tc>
        <w:tc>
          <w:tcPr>
            <w:tcW w:w="1303" w:type="dxa"/>
            <w:gridSpan w:val="2"/>
            <w:tcBorders>
              <w:top w:val="nil"/>
              <w:left w:val="nil"/>
              <w:bottom w:val="single" w:color="auto" w:sz="4" w:space="0"/>
              <w:right w:val="single" w:color="auto" w:sz="8" w:space="0"/>
            </w:tcBorders>
            <w:vAlign w:val="bottom"/>
          </w:tcPr>
          <w:p w14:paraId="62930A22">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r>
      <w:tr w14:paraId="0022AA5D">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14:paraId="0CDB9A88">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3、建筑业</w:t>
            </w:r>
          </w:p>
        </w:tc>
        <w:tc>
          <w:tcPr>
            <w:tcW w:w="1440" w:type="dxa"/>
            <w:tcBorders>
              <w:top w:val="nil"/>
              <w:left w:val="nil"/>
              <w:bottom w:val="single" w:color="auto" w:sz="4" w:space="0"/>
              <w:right w:val="single" w:color="auto" w:sz="4" w:space="0"/>
            </w:tcBorders>
            <w:vAlign w:val="bottom"/>
          </w:tcPr>
          <w:p w14:paraId="2CC7135D">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696" w:type="dxa"/>
            <w:tcBorders>
              <w:top w:val="nil"/>
              <w:left w:val="nil"/>
              <w:bottom w:val="single" w:color="auto" w:sz="4" w:space="0"/>
              <w:right w:val="single" w:color="auto" w:sz="4" w:space="0"/>
            </w:tcBorders>
            <w:vAlign w:val="bottom"/>
          </w:tcPr>
          <w:p w14:paraId="29BC51CD">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6000≤Y＜80000</w:t>
            </w:r>
          </w:p>
        </w:tc>
        <w:tc>
          <w:tcPr>
            <w:tcW w:w="1609" w:type="dxa"/>
            <w:tcBorders>
              <w:top w:val="nil"/>
              <w:left w:val="nil"/>
              <w:bottom w:val="single" w:color="auto" w:sz="4" w:space="0"/>
              <w:right w:val="single" w:color="auto" w:sz="8" w:space="0"/>
            </w:tcBorders>
            <w:vAlign w:val="bottom"/>
          </w:tcPr>
          <w:p w14:paraId="516893BD">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5000≤Z＜80000</w:t>
            </w:r>
          </w:p>
        </w:tc>
        <w:tc>
          <w:tcPr>
            <w:tcW w:w="1193" w:type="dxa"/>
            <w:tcBorders>
              <w:top w:val="nil"/>
              <w:left w:val="nil"/>
              <w:bottom w:val="single" w:color="auto" w:sz="4" w:space="0"/>
              <w:right w:val="single" w:color="auto" w:sz="4" w:space="0"/>
            </w:tcBorders>
            <w:vAlign w:val="bottom"/>
          </w:tcPr>
          <w:p w14:paraId="55069192">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501" w:type="dxa"/>
            <w:tcBorders>
              <w:top w:val="nil"/>
              <w:left w:val="nil"/>
              <w:bottom w:val="single" w:color="auto" w:sz="4" w:space="0"/>
              <w:right w:val="single" w:color="auto" w:sz="4" w:space="0"/>
            </w:tcBorders>
            <w:vAlign w:val="bottom"/>
          </w:tcPr>
          <w:p w14:paraId="21436EF7">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300≤Y＜6000</w:t>
            </w:r>
          </w:p>
        </w:tc>
        <w:tc>
          <w:tcPr>
            <w:tcW w:w="1539" w:type="dxa"/>
            <w:tcBorders>
              <w:top w:val="nil"/>
              <w:left w:val="nil"/>
              <w:bottom w:val="single" w:color="auto" w:sz="4" w:space="0"/>
              <w:right w:val="single" w:color="auto" w:sz="8" w:space="0"/>
            </w:tcBorders>
            <w:vAlign w:val="bottom"/>
          </w:tcPr>
          <w:p w14:paraId="74204E7F">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300≤Z＜5000</w:t>
            </w:r>
          </w:p>
        </w:tc>
        <w:tc>
          <w:tcPr>
            <w:tcW w:w="1268" w:type="dxa"/>
            <w:tcBorders>
              <w:top w:val="nil"/>
              <w:left w:val="nil"/>
              <w:bottom w:val="single" w:color="auto" w:sz="4" w:space="0"/>
              <w:right w:val="single" w:color="auto" w:sz="4" w:space="0"/>
            </w:tcBorders>
            <w:vAlign w:val="bottom"/>
          </w:tcPr>
          <w:p w14:paraId="6D2646E7">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59" w:type="dxa"/>
            <w:tcBorders>
              <w:top w:val="nil"/>
              <w:left w:val="nil"/>
              <w:bottom w:val="single" w:color="auto" w:sz="4" w:space="0"/>
              <w:right w:val="single" w:color="auto" w:sz="4" w:space="0"/>
            </w:tcBorders>
            <w:vAlign w:val="bottom"/>
          </w:tcPr>
          <w:p w14:paraId="238C2126">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Y＜300</w:t>
            </w:r>
          </w:p>
        </w:tc>
        <w:tc>
          <w:tcPr>
            <w:tcW w:w="1303" w:type="dxa"/>
            <w:gridSpan w:val="2"/>
            <w:tcBorders>
              <w:top w:val="nil"/>
              <w:left w:val="nil"/>
              <w:bottom w:val="single" w:color="auto" w:sz="4" w:space="0"/>
              <w:right w:val="single" w:color="auto" w:sz="8" w:space="0"/>
            </w:tcBorders>
            <w:vAlign w:val="bottom"/>
          </w:tcPr>
          <w:p w14:paraId="0EE2D29B">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Z＜300</w:t>
            </w:r>
          </w:p>
        </w:tc>
      </w:tr>
      <w:tr w14:paraId="4AA6FCBA">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14:paraId="5EFEFB18">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4、批发业</w:t>
            </w:r>
          </w:p>
        </w:tc>
        <w:tc>
          <w:tcPr>
            <w:tcW w:w="1440" w:type="dxa"/>
            <w:tcBorders>
              <w:top w:val="nil"/>
              <w:left w:val="nil"/>
              <w:bottom w:val="single" w:color="auto" w:sz="4" w:space="0"/>
              <w:right w:val="single" w:color="auto" w:sz="4" w:space="0"/>
            </w:tcBorders>
            <w:vAlign w:val="bottom"/>
          </w:tcPr>
          <w:p w14:paraId="7D080B5C">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20≤X＜200</w:t>
            </w:r>
          </w:p>
        </w:tc>
        <w:tc>
          <w:tcPr>
            <w:tcW w:w="1696" w:type="dxa"/>
            <w:tcBorders>
              <w:top w:val="nil"/>
              <w:left w:val="nil"/>
              <w:bottom w:val="single" w:color="auto" w:sz="4" w:space="0"/>
              <w:right w:val="single" w:color="auto" w:sz="4" w:space="0"/>
            </w:tcBorders>
            <w:vAlign w:val="bottom"/>
          </w:tcPr>
          <w:p w14:paraId="4458B32C">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5000≤Y＜40000</w:t>
            </w:r>
          </w:p>
        </w:tc>
        <w:tc>
          <w:tcPr>
            <w:tcW w:w="1609" w:type="dxa"/>
            <w:tcBorders>
              <w:top w:val="nil"/>
              <w:left w:val="nil"/>
              <w:bottom w:val="single" w:color="auto" w:sz="4" w:space="0"/>
              <w:right w:val="single" w:color="auto" w:sz="8" w:space="0"/>
            </w:tcBorders>
            <w:vAlign w:val="bottom"/>
          </w:tcPr>
          <w:p w14:paraId="04C8F213">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193" w:type="dxa"/>
            <w:tcBorders>
              <w:top w:val="nil"/>
              <w:left w:val="nil"/>
              <w:bottom w:val="single" w:color="auto" w:sz="4" w:space="0"/>
              <w:right w:val="single" w:color="auto" w:sz="4" w:space="0"/>
            </w:tcBorders>
            <w:vAlign w:val="bottom"/>
          </w:tcPr>
          <w:p w14:paraId="5777E526">
            <w:pPr>
              <w:spacing w:line="240" w:lineRule="auto"/>
              <w:ind w:left="0" w:leftChars="0" w:firstLine="0" w:firstLineChars="0"/>
              <w:jc w:val="center"/>
              <w:rPr>
                <w:rFonts w:hint="eastAsia" w:ascii="宋体" w:hAnsi="宋体" w:eastAsia="宋体" w:cs="宋体"/>
                <w:color w:val="000000"/>
                <w:sz w:val="15"/>
                <w:szCs w:val="15"/>
              </w:rPr>
            </w:pPr>
            <w:r>
              <w:rPr>
                <w:rFonts w:hint="eastAsia" w:ascii="宋体" w:hAnsi="宋体" w:eastAsia="宋体" w:cs="宋体"/>
                <w:color w:val="000000"/>
                <w:sz w:val="15"/>
                <w:szCs w:val="15"/>
              </w:rPr>
              <w:t>5≤X＜20</w:t>
            </w:r>
          </w:p>
        </w:tc>
        <w:tc>
          <w:tcPr>
            <w:tcW w:w="1501" w:type="dxa"/>
            <w:tcBorders>
              <w:top w:val="nil"/>
              <w:left w:val="nil"/>
              <w:bottom w:val="single" w:color="auto" w:sz="4" w:space="0"/>
              <w:right w:val="single" w:color="auto" w:sz="4" w:space="0"/>
            </w:tcBorders>
            <w:vAlign w:val="bottom"/>
          </w:tcPr>
          <w:p w14:paraId="55AAF02C">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1000≤Y＜5000</w:t>
            </w:r>
          </w:p>
        </w:tc>
        <w:tc>
          <w:tcPr>
            <w:tcW w:w="1539" w:type="dxa"/>
            <w:tcBorders>
              <w:top w:val="nil"/>
              <w:left w:val="nil"/>
              <w:bottom w:val="single" w:color="auto" w:sz="4" w:space="0"/>
              <w:right w:val="single" w:color="auto" w:sz="8" w:space="0"/>
            </w:tcBorders>
            <w:vAlign w:val="bottom"/>
          </w:tcPr>
          <w:p w14:paraId="4B0BC59A">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68" w:type="dxa"/>
            <w:tcBorders>
              <w:top w:val="nil"/>
              <w:left w:val="nil"/>
              <w:bottom w:val="single" w:color="auto" w:sz="4" w:space="0"/>
              <w:right w:val="single" w:color="auto" w:sz="4" w:space="0"/>
            </w:tcBorders>
            <w:vAlign w:val="bottom"/>
          </w:tcPr>
          <w:p w14:paraId="13CE849A">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X＜5</w:t>
            </w:r>
          </w:p>
        </w:tc>
        <w:tc>
          <w:tcPr>
            <w:tcW w:w="1259" w:type="dxa"/>
            <w:tcBorders>
              <w:top w:val="nil"/>
              <w:left w:val="nil"/>
              <w:bottom w:val="single" w:color="auto" w:sz="4" w:space="0"/>
              <w:right w:val="single" w:color="auto" w:sz="4" w:space="0"/>
            </w:tcBorders>
            <w:vAlign w:val="bottom"/>
          </w:tcPr>
          <w:p w14:paraId="61AC0E5C">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Y＜1000</w:t>
            </w:r>
          </w:p>
        </w:tc>
        <w:tc>
          <w:tcPr>
            <w:tcW w:w="1303" w:type="dxa"/>
            <w:gridSpan w:val="2"/>
            <w:tcBorders>
              <w:top w:val="nil"/>
              <w:left w:val="nil"/>
              <w:bottom w:val="single" w:color="auto" w:sz="4" w:space="0"/>
              <w:right w:val="single" w:color="auto" w:sz="8" w:space="0"/>
            </w:tcBorders>
            <w:vAlign w:val="bottom"/>
          </w:tcPr>
          <w:p w14:paraId="25EDAB62">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r>
      <w:tr w14:paraId="62E289B3">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14:paraId="6DFD1A01">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5、零售业</w:t>
            </w:r>
          </w:p>
        </w:tc>
        <w:tc>
          <w:tcPr>
            <w:tcW w:w="1440" w:type="dxa"/>
            <w:tcBorders>
              <w:top w:val="nil"/>
              <w:left w:val="nil"/>
              <w:bottom w:val="single" w:color="auto" w:sz="4" w:space="0"/>
              <w:right w:val="single" w:color="auto" w:sz="4" w:space="0"/>
            </w:tcBorders>
            <w:vAlign w:val="bottom"/>
          </w:tcPr>
          <w:p w14:paraId="449DC567">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50≤X＜300</w:t>
            </w:r>
          </w:p>
        </w:tc>
        <w:tc>
          <w:tcPr>
            <w:tcW w:w="1696" w:type="dxa"/>
            <w:tcBorders>
              <w:top w:val="nil"/>
              <w:left w:val="nil"/>
              <w:bottom w:val="single" w:color="auto" w:sz="4" w:space="0"/>
              <w:right w:val="single" w:color="auto" w:sz="4" w:space="0"/>
            </w:tcBorders>
            <w:vAlign w:val="bottom"/>
          </w:tcPr>
          <w:p w14:paraId="00D5CB47">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500≤Y＜20000</w:t>
            </w:r>
          </w:p>
        </w:tc>
        <w:tc>
          <w:tcPr>
            <w:tcW w:w="1609" w:type="dxa"/>
            <w:tcBorders>
              <w:top w:val="nil"/>
              <w:left w:val="nil"/>
              <w:bottom w:val="single" w:color="auto" w:sz="4" w:space="0"/>
              <w:right w:val="single" w:color="auto" w:sz="8" w:space="0"/>
            </w:tcBorders>
            <w:vAlign w:val="bottom"/>
          </w:tcPr>
          <w:p w14:paraId="3C0D1E89">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193" w:type="dxa"/>
            <w:tcBorders>
              <w:top w:val="nil"/>
              <w:left w:val="nil"/>
              <w:bottom w:val="single" w:color="auto" w:sz="4" w:space="0"/>
              <w:right w:val="single" w:color="auto" w:sz="4" w:space="0"/>
            </w:tcBorders>
            <w:vAlign w:val="bottom"/>
          </w:tcPr>
          <w:p w14:paraId="5FB5FDA3">
            <w:pPr>
              <w:spacing w:line="240" w:lineRule="auto"/>
              <w:ind w:left="0" w:leftChars="0" w:firstLine="0" w:firstLineChars="0"/>
              <w:jc w:val="center"/>
              <w:rPr>
                <w:rFonts w:hint="eastAsia" w:ascii="宋体" w:hAnsi="宋体" w:eastAsia="宋体" w:cs="宋体"/>
                <w:color w:val="000000"/>
                <w:sz w:val="15"/>
                <w:szCs w:val="15"/>
              </w:rPr>
            </w:pPr>
            <w:r>
              <w:rPr>
                <w:rFonts w:hint="eastAsia" w:ascii="宋体" w:hAnsi="宋体" w:eastAsia="宋体" w:cs="宋体"/>
                <w:color w:val="000000"/>
                <w:sz w:val="15"/>
                <w:szCs w:val="15"/>
              </w:rPr>
              <w:t>10≤X＜50</w:t>
            </w:r>
          </w:p>
        </w:tc>
        <w:tc>
          <w:tcPr>
            <w:tcW w:w="1501" w:type="dxa"/>
            <w:tcBorders>
              <w:top w:val="nil"/>
              <w:left w:val="nil"/>
              <w:bottom w:val="single" w:color="auto" w:sz="4" w:space="0"/>
              <w:right w:val="single" w:color="auto" w:sz="4" w:space="0"/>
            </w:tcBorders>
            <w:vAlign w:val="bottom"/>
          </w:tcPr>
          <w:p w14:paraId="580AB580">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100≤Y＜500</w:t>
            </w:r>
          </w:p>
        </w:tc>
        <w:tc>
          <w:tcPr>
            <w:tcW w:w="1539" w:type="dxa"/>
            <w:tcBorders>
              <w:top w:val="nil"/>
              <w:left w:val="nil"/>
              <w:bottom w:val="single" w:color="auto" w:sz="4" w:space="0"/>
              <w:right w:val="single" w:color="auto" w:sz="8" w:space="0"/>
            </w:tcBorders>
            <w:vAlign w:val="bottom"/>
          </w:tcPr>
          <w:p w14:paraId="6D357475">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68" w:type="dxa"/>
            <w:tcBorders>
              <w:top w:val="nil"/>
              <w:left w:val="nil"/>
              <w:bottom w:val="single" w:color="auto" w:sz="4" w:space="0"/>
              <w:right w:val="single" w:color="auto" w:sz="4" w:space="0"/>
            </w:tcBorders>
            <w:vAlign w:val="bottom"/>
          </w:tcPr>
          <w:p w14:paraId="60B357E2">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X＜10</w:t>
            </w:r>
          </w:p>
        </w:tc>
        <w:tc>
          <w:tcPr>
            <w:tcW w:w="1259" w:type="dxa"/>
            <w:tcBorders>
              <w:top w:val="nil"/>
              <w:left w:val="nil"/>
              <w:bottom w:val="single" w:color="auto" w:sz="4" w:space="0"/>
              <w:right w:val="single" w:color="auto" w:sz="4" w:space="0"/>
            </w:tcBorders>
            <w:vAlign w:val="bottom"/>
          </w:tcPr>
          <w:p w14:paraId="2B609A0F">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Y＜100</w:t>
            </w:r>
          </w:p>
        </w:tc>
        <w:tc>
          <w:tcPr>
            <w:tcW w:w="1303" w:type="dxa"/>
            <w:gridSpan w:val="2"/>
            <w:tcBorders>
              <w:top w:val="nil"/>
              <w:left w:val="nil"/>
              <w:bottom w:val="single" w:color="auto" w:sz="4" w:space="0"/>
              <w:right w:val="single" w:color="auto" w:sz="8" w:space="0"/>
            </w:tcBorders>
            <w:vAlign w:val="bottom"/>
          </w:tcPr>
          <w:p w14:paraId="608C3EB8">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r>
      <w:tr w14:paraId="62FF91E1">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14:paraId="6DA699BB">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6、交通运输业</w:t>
            </w:r>
          </w:p>
        </w:tc>
        <w:tc>
          <w:tcPr>
            <w:tcW w:w="1440" w:type="dxa"/>
            <w:tcBorders>
              <w:top w:val="nil"/>
              <w:left w:val="nil"/>
              <w:bottom w:val="single" w:color="auto" w:sz="4" w:space="0"/>
              <w:right w:val="single" w:color="auto" w:sz="4" w:space="0"/>
            </w:tcBorders>
            <w:vAlign w:val="bottom"/>
          </w:tcPr>
          <w:p w14:paraId="5B7C6952">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300≤X＜1000</w:t>
            </w:r>
          </w:p>
        </w:tc>
        <w:tc>
          <w:tcPr>
            <w:tcW w:w="1696" w:type="dxa"/>
            <w:tcBorders>
              <w:top w:val="nil"/>
              <w:left w:val="nil"/>
              <w:bottom w:val="single" w:color="auto" w:sz="4" w:space="0"/>
              <w:right w:val="single" w:color="auto" w:sz="4" w:space="0"/>
            </w:tcBorders>
            <w:vAlign w:val="bottom"/>
          </w:tcPr>
          <w:p w14:paraId="5DB3CBF3">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3000≤Y＜30000</w:t>
            </w:r>
          </w:p>
        </w:tc>
        <w:tc>
          <w:tcPr>
            <w:tcW w:w="1609" w:type="dxa"/>
            <w:tcBorders>
              <w:top w:val="nil"/>
              <w:left w:val="nil"/>
              <w:bottom w:val="single" w:color="auto" w:sz="4" w:space="0"/>
              <w:right w:val="single" w:color="auto" w:sz="8" w:space="0"/>
            </w:tcBorders>
            <w:vAlign w:val="bottom"/>
          </w:tcPr>
          <w:p w14:paraId="2B29A7DD">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193" w:type="dxa"/>
            <w:tcBorders>
              <w:top w:val="nil"/>
              <w:left w:val="nil"/>
              <w:bottom w:val="single" w:color="auto" w:sz="4" w:space="0"/>
              <w:right w:val="single" w:color="auto" w:sz="4" w:space="0"/>
            </w:tcBorders>
            <w:vAlign w:val="bottom"/>
          </w:tcPr>
          <w:p w14:paraId="4F60FD27">
            <w:pPr>
              <w:spacing w:line="240" w:lineRule="auto"/>
              <w:ind w:left="0" w:leftChars="0" w:firstLine="0" w:firstLineChars="0"/>
              <w:jc w:val="center"/>
              <w:rPr>
                <w:rFonts w:hint="eastAsia" w:ascii="宋体" w:hAnsi="宋体" w:eastAsia="宋体" w:cs="宋体"/>
                <w:color w:val="000000"/>
                <w:sz w:val="15"/>
                <w:szCs w:val="15"/>
              </w:rPr>
            </w:pPr>
            <w:r>
              <w:rPr>
                <w:rFonts w:hint="eastAsia" w:ascii="宋体" w:hAnsi="宋体" w:eastAsia="宋体" w:cs="宋体"/>
                <w:color w:val="000000"/>
                <w:sz w:val="15"/>
                <w:szCs w:val="15"/>
              </w:rPr>
              <w:t>20≤X＜300</w:t>
            </w:r>
          </w:p>
        </w:tc>
        <w:tc>
          <w:tcPr>
            <w:tcW w:w="1501" w:type="dxa"/>
            <w:tcBorders>
              <w:top w:val="nil"/>
              <w:left w:val="nil"/>
              <w:bottom w:val="single" w:color="auto" w:sz="4" w:space="0"/>
              <w:right w:val="single" w:color="auto" w:sz="4" w:space="0"/>
            </w:tcBorders>
            <w:vAlign w:val="bottom"/>
          </w:tcPr>
          <w:p w14:paraId="48F09696">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200≤Y＜3000</w:t>
            </w:r>
          </w:p>
        </w:tc>
        <w:tc>
          <w:tcPr>
            <w:tcW w:w="1539" w:type="dxa"/>
            <w:tcBorders>
              <w:top w:val="nil"/>
              <w:left w:val="nil"/>
              <w:bottom w:val="single" w:color="auto" w:sz="4" w:space="0"/>
              <w:right w:val="single" w:color="auto" w:sz="8" w:space="0"/>
            </w:tcBorders>
            <w:vAlign w:val="bottom"/>
          </w:tcPr>
          <w:p w14:paraId="7B95DABD">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68" w:type="dxa"/>
            <w:tcBorders>
              <w:top w:val="nil"/>
              <w:left w:val="nil"/>
              <w:bottom w:val="single" w:color="auto" w:sz="4" w:space="0"/>
              <w:right w:val="single" w:color="auto" w:sz="4" w:space="0"/>
            </w:tcBorders>
            <w:vAlign w:val="bottom"/>
          </w:tcPr>
          <w:p w14:paraId="61CE652F">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X＜20</w:t>
            </w:r>
          </w:p>
        </w:tc>
        <w:tc>
          <w:tcPr>
            <w:tcW w:w="1259" w:type="dxa"/>
            <w:tcBorders>
              <w:top w:val="nil"/>
              <w:left w:val="nil"/>
              <w:bottom w:val="single" w:color="auto" w:sz="4" w:space="0"/>
              <w:right w:val="single" w:color="auto" w:sz="4" w:space="0"/>
            </w:tcBorders>
            <w:vAlign w:val="bottom"/>
          </w:tcPr>
          <w:p w14:paraId="77F2EAE5">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V＜200</w:t>
            </w:r>
          </w:p>
        </w:tc>
        <w:tc>
          <w:tcPr>
            <w:tcW w:w="1303" w:type="dxa"/>
            <w:gridSpan w:val="2"/>
            <w:tcBorders>
              <w:top w:val="nil"/>
              <w:left w:val="nil"/>
              <w:bottom w:val="single" w:color="auto" w:sz="4" w:space="0"/>
              <w:right w:val="single" w:color="auto" w:sz="8" w:space="0"/>
            </w:tcBorders>
            <w:vAlign w:val="bottom"/>
          </w:tcPr>
          <w:p w14:paraId="45752102">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r>
      <w:tr w14:paraId="743BE1D8">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14:paraId="185BA31E">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7、仓储业</w:t>
            </w:r>
          </w:p>
        </w:tc>
        <w:tc>
          <w:tcPr>
            <w:tcW w:w="1440" w:type="dxa"/>
            <w:tcBorders>
              <w:top w:val="nil"/>
              <w:left w:val="nil"/>
              <w:bottom w:val="single" w:color="auto" w:sz="4" w:space="0"/>
              <w:right w:val="single" w:color="auto" w:sz="4" w:space="0"/>
            </w:tcBorders>
            <w:vAlign w:val="bottom"/>
          </w:tcPr>
          <w:p w14:paraId="61D4EA47">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100≤X＜200</w:t>
            </w:r>
          </w:p>
        </w:tc>
        <w:tc>
          <w:tcPr>
            <w:tcW w:w="1696" w:type="dxa"/>
            <w:tcBorders>
              <w:top w:val="nil"/>
              <w:left w:val="nil"/>
              <w:bottom w:val="single" w:color="auto" w:sz="4" w:space="0"/>
              <w:right w:val="single" w:color="auto" w:sz="4" w:space="0"/>
            </w:tcBorders>
            <w:vAlign w:val="bottom"/>
          </w:tcPr>
          <w:p w14:paraId="7754F382">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1000≤Y＜30000</w:t>
            </w:r>
          </w:p>
        </w:tc>
        <w:tc>
          <w:tcPr>
            <w:tcW w:w="1609" w:type="dxa"/>
            <w:tcBorders>
              <w:top w:val="nil"/>
              <w:left w:val="nil"/>
              <w:bottom w:val="single" w:color="auto" w:sz="4" w:space="0"/>
              <w:right w:val="single" w:color="auto" w:sz="8" w:space="0"/>
            </w:tcBorders>
            <w:vAlign w:val="bottom"/>
          </w:tcPr>
          <w:p w14:paraId="43763D02">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193" w:type="dxa"/>
            <w:tcBorders>
              <w:top w:val="nil"/>
              <w:left w:val="nil"/>
              <w:bottom w:val="single" w:color="auto" w:sz="4" w:space="0"/>
              <w:right w:val="single" w:color="auto" w:sz="4" w:space="0"/>
            </w:tcBorders>
            <w:vAlign w:val="bottom"/>
          </w:tcPr>
          <w:p w14:paraId="466E6B7D">
            <w:pPr>
              <w:spacing w:line="240" w:lineRule="auto"/>
              <w:ind w:left="0" w:leftChars="0" w:firstLine="0" w:firstLineChars="0"/>
              <w:jc w:val="center"/>
              <w:rPr>
                <w:rFonts w:hint="eastAsia" w:ascii="宋体" w:hAnsi="宋体" w:eastAsia="宋体" w:cs="宋体"/>
                <w:color w:val="000000"/>
                <w:sz w:val="15"/>
                <w:szCs w:val="15"/>
              </w:rPr>
            </w:pPr>
            <w:r>
              <w:rPr>
                <w:rFonts w:hint="eastAsia" w:ascii="宋体" w:hAnsi="宋体" w:eastAsia="宋体" w:cs="宋体"/>
                <w:color w:val="000000"/>
                <w:sz w:val="15"/>
                <w:szCs w:val="15"/>
              </w:rPr>
              <w:t>20≤X＜100</w:t>
            </w:r>
          </w:p>
        </w:tc>
        <w:tc>
          <w:tcPr>
            <w:tcW w:w="1501" w:type="dxa"/>
            <w:tcBorders>
              <w:top w:val="nil"/>
              <w:left w:val="nil"/>
              <w:bottom w:val="single" w:color="auto" w:sz="4" w:space="0"/>
              <w:right w:val="single" w:color="auto" w:sz="4" w:space="0"/>
            </w:tcBorders>
            <w:vAlign w:val="bottom"/>
          </w:tcPr>
          <w:p w14:paraId="429EB9FF">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100≤Y＜1000</w:t>
            </w:r>
          </w:p>
        </w:tc>
        <w:tc>
          <w:tcPr>
            <w:tcW w:w="1539" w:type="dxa"/>
            <w:tcBorders>
              <w:top w:val="nil"/>
              <w:left w:val="nil"/>
              <w:bottom w:val="single" w:color="auto" w:sz="4" w:space="0"/>
              <w:right w:val="single" w:color="auto" w:sz="8" w:space="0"/>
            </w:tcBorders>
            <w:vAlign w:val="bottom"/>
          </w:tcPr>
          <w:p w14:paraId="0424E7BD">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68" w:type="dxa"/>
            <w:tcBorders>
              <w:top w:val="nil"/>
              <w:left w:val="nil"/>
              <w:bottom w:val="single" w:color="auto" w:sz="4" w:space="0"/>
              <w:right w:val="single" w:color="auto" w:sz="4" w:space="0"/>
            </w:tcBorders>
            <w:vAlign w:val="bottom"/>
          </w:tcPr>
          <w:p w14:paraId="49EB9A1B">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X＜20</w:t>
            </w:r>
          </w:p>
        </w:tc>
        <w:tc>
          <w:tcPr>
            <w:tcW w:w="1259" w:type="dxa"/>
            <w:tcBorders>
              <w:top w:val="nil"/>
              <w:left w:val="nil"/>
              <w:bottom w:val="single" w:color="auto" w:sz="4" w:space="0"/>
              <w:right w:val="single" w:color="auto" w:sz="4" w:space="0"/>
            </w:tcBorders>
            <w:vAlign w:val="bottom"/>
          </w:tcPr>
          <w:p w14:paraId="4C6F3A1F">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Y＜100</w:t>
            </w:r>
          </w:p>
        </w:tc>
        <w:tc>
          <w:tcPr>
            <w:tcW w:w="1303" w:type="dxa"/>
            <w:gridSpan w:val="2"/>
            <w:tcBorders>
              <w:top w:val="nil"/>
              <w:left w:val="nil"/>
              <w:bottom w:val="single" w:color="auto" w:sz="4" w:space="0"/>
              <w:right w:val="single" w:color="auto" w:sz="8" w:space="0"/>
            </w:tcBorders>
            <w:vAlign w:val="bottom"/>
          </w:tcPr>
          <w:p w14:paraId="678705BA">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r>
      <w:tr w14:paraId="5DEADEAD">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14:paraId="740A4725">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8、邮政业</w:t>
            </w:r>
          </w:p>
        </w:tc>
        <w:tc>
          <w:tcPr>
            <w:tcW w:w="1440" w:type="dxa"/>
            <w:tcBorders>
              <w:top w:val="nil"/>
              <w:left w:val="nil"/>
              <w:bottom w:val="single" w:color="auto" w:sz="4" w:space="0"/>
              <w:right w:val="single" w:color="auto" w:sz="4" w:space="0"/>
            </w:tcBorders>
            <w:vAlign w:val="bottom"/>
          </w:tcPr>
          <w:p w14:paraId="41E4F77C">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300≤X＜1000</w:t>
            </w:r>
          </w:p>
        </w:tc>
        <w:tc>
          <w:tcPr>
            <w:tcW w:w="1696" w:type="dxa"/>
            <w:tcBorders>
              <w:top w:val="nil"/>
              <w:left w:val="nil"/>
              <w:bottom w:val="single" w:color="auto" w:sz="4" w:space="0"/>
              <w:right w:val="single" w:color="auto" w:sz="4" w:space="0"/>
            </w:tcBorders>
            <w:vAlign w:val="bottom"/>
          </w:tcPr>
          <w:p w14:paraId="24A25039">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2000≤Y＜30000</w:t>
            </w:r>
          </w:p>
        </w:tc>
        <w:tc>
          <w:tcPr>
            <w:tcW w:w="1609" w:type="dxa"/>
            <w:tcBorders>
              <w:top w:val="nil"/>
              <w:left w:val="nil"/>
              <w:bottom w:val="single" w:color="auto" w:sz="4" w:space="0"/>
              <w:right w:val="single" w:color="auto" w:sz="8" w:space="0"/>
            </w:tcBorders>
            <w:vAlign w:val="bottom"/>
          </w:tcPr>
          <w:p w14:paraId="23B1AC82">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193" w:type="dxa"/>
            <w:tcBorders>
              <w:top w:val="nil"/>
              <w:left w:val="nil"/>
              <w:bottom w:val="single" w:color="auto" w:sz="4" w:space="0"/>
              <w:right w:val="single" w:color="auto" w:sz="4" w:space="0"/>
            </w:tcBorders>
            <w:vAlign w:val="bottom"/>
          </w:tcPr>
          <w:p w14:paraId="25C3B780">
            <w:pPr>
              <w:spacing w:line="240" w:lineRule="auto"/>
              <w:ind w:left="0" w:leftChars="0" w:firstLine="0" w:firstLineChars="0"/>
              <w:jc w:val="center"/>
              <w:rPr>
                <w:rFonts w:hint="eastAsia" w:ascii="宋体" w:hAnsi="宋体" w:eastAsia="宋体" w:cs="宋体"/>
                <w:color w:val="000000"/>
                <w:sz w:val="15"/>
                <w:szCs w:val="15"/>
              </w:rPr>
            </w:pPr>
            <w:r>
              <w:rPr>
                <w:rFonts w:hint="eastAsia" w:ascii="宋体" w:hAnsi="宋体" w:eastAsia="宋体" w:cs="宋体"/>
                <w:color w:val="000000"/>
                <w:sz w:val="15"/>
                <w:szCs w:val="15"/>
              </w:rPr>
              <w:t>20≤X＜300</w:t>
            </w:r>
          </w:p>
        </w:tc>
        <w:tc>
          <w:tcPr>
            <w:tcW w:w="1501" w:type="dxa"/>
            <w:tcBorders>
              <w:top w:val="nil"/>
              <w:left w:val="nil"/>
              <w:bottom w:val="single" w:color="auto" w:sz="4" w:space="0"/>
              <w:right w:val="single" w:color="auto" w:sz="4" w:space="0"/>
            </w:tcBorders>
            <w:vAlign w:val="bottom"/>
          </w:tcPr>
          <w:p w14:paraId="34A719DC">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100≤Y＜2000</w:t>
            </w:r>
          </w:p>
        </w:tc>
        <w:tc>
          <w:tcPr>
            <w:tcW w:w="1539" w:type="dxa"/>
            <w:tcBorders>
              <w:top w:val="nil"/>
              <w:left w:val="nil"/>
              <w:bottom w:val="single" w:color="auto" w:sz="4" w:space="0"/>
              <w:right w:val="single" w:color="auto" w:sz="8" w:space="0"/>
            </w:tcBorders>
            <w:vAlign w:val="bottom"/>
          </w:tcPr>
          <w:p w14:paraId="43583E11">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68" w:type="dxa"/>
            <w:tcBorders>
              <w:top w:val="nil"/>
              <w:left w:val="nil"/>
              <w:bottom w:val="single" w:color="auto" w:sz="4" w:space="0"/>
              <w:right w:val="single" w:color="auto" w:sz="4" w:space="0"/>
            </w:tcBorders>
            <w:vAlign w:val="bottom"/>
          </w:tcPr>
          <w:p w14:paraId="11A60A6D">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X＜20</w:t>
            </w:r>
          </w:p>
        </w:tc>
        <w:tc>
          <w:tcPr>
            <w:tcW w:w="1259" w:type="dxa"/>
            <w:tcBorders>
              <w:top w:val="nil"/>
              <w:left w:val="nil"/>
              <w:bottom w:val="single" w:color="auto" w:sz="4" w:space="0"/>
              <w:right w:val="single" w:color="auto" w:sz="4" w:space="0"/>
            </w:tcBorders>
            <w:vAlign w:val="bottom"/>
          </w:tcPr>
          <w:p w14:paraId="7F3E8B24">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Y＜100</w:t>
            </w:r>
          </w:p>
        </w:tc>
        <w:tc>
          <w:tcPr>
            <w:tcW w:w="1303" w:type="dxa"/>
            <w:gridSpan w:val="2"/>
            <w:tcBorders>
              <w:top w:val="nil"/>
              <w:left w:val="nil"/>
              <w:bottom w:val="single" w:color="auto" w:sz="4" w:space="0"/>
              <w:right w:val="single" w:color="auto" w:sz="8" w:space="0"/>
            </w:tcBorders>
            <w:vAlign w:val="bottom"/>
          </w:tcPr>
          <w:p w14:paraId="2FB5CDC2">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r>
      <w:tr w14:paraId="3BFDA9CD">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14:paraId="1E89AB39">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9、住宿业</w:t>
            </w:r>
          </w:p>
        </w:tc>
        <w:tc>
          <w:tcPr>
            <w:tcW w:w="1440" w:type="dxa"/>
            <w:tcBorders>
              <w:top w:val="nil"/>
              <w:left w:val="nil"/>
              <w:bottom w:val="single" w:color="auto" w:sz="4" w:space="0"/>
              <w:right w:val="single" w:color="auto" w:sz="4" w:space="0"/>
            </w:tcBorders>
            <w:vAlign w:val="bottom"/>
          </w:tcPr>
          <w:p w14:paraId="3ACA801C">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100≤X＜300</w:t>
            </w:r>
          </w:p>
        </w:tc>
        <w:tc>
          <w:tcPr>
            <w:tcW w:w="1696" w:type="dxa"/>
            <w:tcBorders>
              <w:top w:val="nil"/>
              <w:left w:val="nil"/>
              <w:bottom w:val="single" w:color="auto" w:sz="4" w:space="0"/>
              <w:right w:val="single" w:color="auto" w:sz="4" w:space="0"/>
            </w:tcBorders>
            <w:vAlign w:val="bottom"/>
          </w:tcPr>
          <w:p w14:paraId="49F5D3E3">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2000≤Y＜10000</w:t>
            </w:r>
          </w:p>
        </w:tc>
        <w:tc>
          <w:tcPr>
            <w:tcW w:w="1609" w:type="dxa"/>
            <w:tcBorders>
              <w:top w:val="nil"/>
              <w:left w:val="nil"/>
              <w:bottom w:val="single" w:color="auto" w:sz="4" w:space="0"/>
              <w:right w:val="single" w:color="auto" w:sz="8" w:space="0"/>
            </w:tcBorders>
            <w:vAlign w:val="bottom"/>
          </w:tcPr>
          <w:p w14:paraId="2E7D868A">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193" w:type="dxa"/>
            <w:tcBorders>
              <w:top w:val="nil"/>
              <w:left w:val="nil"/>
              <w:bottom w:val="single" w:color="auto" w:sz="4" w:space="0"/>
              <w:right w:val="single" w:color="auto" w:sz="4" w:space="0"/>
            </w:tcBorders>
            <w:vAlign w:val="bottom"/>
          </w:tcPr>
          <w:p w14:paraId="6E6746BB">
            <w:pPr>
              <w:spacing w:line="240" w:lineRule="auto"/>
              <w:ind w:left="0" w:leftChars="0" w:firstLine="0" w:firstLineChars="0"/>
              <w:jc w:val="center"/>
              <w:rPr>
                <w:rFonts w:hint="eastAsia" w:ascii="宋体" w:hAnsi="宋体" w:eastAsia="宋体" w:cs="宋体"/>
                <w:color w:val="000000"/>
                <w:sz w:val="15"/>
                <w:szCs w:val="15"/>
              </w:rPr>
            </w:pPr>
            <w:r>
              <w:rPr>
                <w:rFonts w:hint="eastAsia" w:ascii="宋体" w:hAnsi="宋体" w:eastAsia="宋体" w:cs="宋体"/>
                <w:color w:val="000000"/>
                <w:sz w:val="15"/>
                <w:szCs w:val="15"/>
              </w:rPr>
              <w:t>10≤X＜100</w:t>
            </w:r>
          </w:p>
        </w:tc>
        <w:tc>
          <w:tcPr>
            <w:tcW w:w="1501" w:type="dxa"/>
            <w:tcBorders>
              <w:top w:val="nil"/>
              <w:left w:val="nil"/>
              <w:bottom w:val="single" w:color="auto" w:sz="4" w:space="0"/>
              <w:right w:val="single" w:color="auto" w:sz="4" w:space="0"/>
            </w:tcBorders>
            <w:vAlign w:val="bottom"/>
          </w:tcPr>
          <w:p w14:paraId="22B9F43A">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100≤Y＜2000</w:t>
            </w:r>
          </w:p>
        </w:tc>
        <w:tc>
          <w:tcPr>
            <w:tcW w:w="1539" w:type="dxa"/>
            <w:tcBorders>
              <w:top w:val="nil"/>
              <w:left w:val="nil"/>
              <w:bottom w:val="single" w:color="auto" w:sz="4" w:space="0"/>
              <w:right w:val="single" w:color="auto" w:sz="8" w:space="0"/>
            </w:tcBorders>
            <w:vAlign w:val="bottom"/>
          </w:tcPr>
          <w:p w14:paraId="01169E8A">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68" w:type="dxa"/>
            <w:tcBorders>
              <w:top w:val="nil"/>
              <w:left w:val="nil"/>
              <w:bottom w:val="single" w:color="auto" w:sz="4" w:space="0"/>
              <w:right w:val="single" w:color="auto" w:sz="4" w:space="0"/>
            </w:tcBorders>
            <w:vAlign w:val="bottom"/>
          </w:tcPr>
          <w:p w14:paraId="5C1890C9">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X＜10</w:t>
            </w:r>
          </w:p>
        </w:tc>
        <w:tc>
          <w:tcPr>
            <w:tcW w:w="1259" w:type="dxa"/>
            <w:tcBorders>
              <w:top w:val="nil"/>
              <w:left w:val="nil"/>
              <w:bottom w:val="single" w:color="auto" w:sz="4" w:space="0"/>
              <w:right w:val="single" w:color="auto" w:sz="4" w:space="0"/>
            </w:tcBorders>
            <w:vAlign w:val="bottom"/>
          </w:tcPr>
          <w:p w14:paraId="7A9E664E">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Y＜100</w:t>
            </w:r>
          </w:p>
        </w:tc>
        <w:tc>
          <w:tcPr>
            <w:tcW w:w="1303" w:type="dxa"/>
            <w:gridSpan w:val="2"/>
            <w:tcBorders>
              <w:top w:val="nil"/>
              <w:left w:val="nil"/>
              <w:bottom w:val="single" w:color="auto" w:sz="4" w:space="0"/>
              <w:right w:val="single" w:color="auto" w:sz="8" w:space="0"/>
            </w:tcBorders>
            <w:vAlign w:val="bottom"/>
          </w:tcPr>
          <w:p w14:paraId="11419905">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r>
      <w:tr w14:paraId="037807F9">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14:paraId="7104515A">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10、餐饮业</w:t>
            </w:r>
          </w:p>
        </w:tc>
        <w:tc>
          <w:tcPr>
            <w:tcW w:w="1440" w:type="dxa"/>
            <w:tcBorders>
              <w:top w:val="nil"/>
              <w:left w:val="nil"/>
              <w:bottom w:val="single" w:color="auto" w:sz="4" w:space="0"/>
              <w:right w:val="single" w:color="auto" w:sz="4" w:space="0"/>
            </w:tcBorders>
            <w:vAlign w:val="bottom"/>
          </w:tcPr>
          <w:p w14:paraId="06D3FCF6">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100≤X＜300</w:t>
            </w:r>
          </w:p>
        </w:tc>
        <w:tc>
          <w:tcPr>
            <w:tcW w:w="1696" w:type="dxa"/>
            <w:tcBorders>
              <w:top w:val="nil"/>
              <w:left w:val="nil"/>
              <w:bottom w:val="single" w:color="auto" w:sz="4" w:space="0"/>
              <w:right w:val="single" w:color="auto" w:sz="4" w:space="0"/>
            </w:tcBorders>
            <w:vAlign w:val="bottom"/>
          </w:tcPr>
          <w:p w14:paraId="1722962E">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2000≤Y＜10000</w:t>
            </w:r>
          </w:p>
        </w:tc>
        <w:tc>
          <w:tcPr>
            <w:tcW w:w="1609" w:type="dxa"/>
            <w:tcBorders>
              <w:top w:val="nil"/>
              <w:left w:val="nil"/>
              <w:bottom w:val="single" w:color="auto" w:sz="4" w:space="0"/>
              <w:right w:val="single" w:color="auto" w:sz="8" w:space="0"/>
            </w:tcBorders>
            <w:vAlign w:val="bottom"/>
          </w:tcPr>
          <w:p w14:paraId="69451126">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193" w:type="dxa"/>
            <w:tcBorders>
              <w:top w:val="nil"/>
              <w:left w:val="nil"/>
              <w:bottom w:val="single" w:color="auto" w:sz="4" w:space="0"/>
              <w:right w:val="single" w:color="auto" w:sz="4" w:space="0"/>
            </w:tcBorders>
            <w:vAlign w:val="bottom"/>
          </w:tcPr>
          <w:p w14:paraId="43927915">
            <w:pPr>
              <w:spacing w:line="240" w:lineRule="auto"/>
              <w:ind w:left="0" w:leftChars="0" w:firstLine="0" w:firstLineChars="0"/>
              <w:jc w:val="center"/>
              <w:rPr>
                <w:rFonts w:hint="eastAsia" w:ascii="宋体" w:hAnsi="宋体" w:eastAsia="宋体" w:cs="宋体"/>
                <w:color w:val="000000"/>
                <w:sz w:val="15"/>
                <w:szCs w:val="15"/>
              </w:rPr>
            </w:pPr>
            <w:r>
              <w:rPr>
                <w:rFonts w:hint="eastAsia" w:ascii="宋体" w:hAnsi="宋体" w:eastAsia="宋体" w:cs="宋体"/>
                <w:color w:val="000000"/>
                <w:sz w:val="15"/>
                <w:szCs w:val="15"/>
              </w:rPr>
              <w:t>10≤X＜100</w:t>
            </w:r>
          </w:p>
        </w:tc>
        <w:tc>
          <w:tcPr>
            <w:tcW w:w="1501" w:type="dxa"/>
            <w:tcBorders>
              <w:top w:val="nil"/>
              <w:left w:val="nil"/>
              <w:bottom w:val="single" w:color="auto" w:sz="4" w:space="0"/>
              <w:right w:val="single" w:color="auto" w:sz="4" w:space="0"/>
            </w:tcBorders>
            <w:vAlign w:val="bottom"/>
          </w:tcPr>
          <w:p w14:paraId="16A41EFC">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100≤Y＜2000</w:t>
            </w:r>
          </w:p>
        </w:tc>
        <w:tc>
          <w:tcPr>
            <w:tcW w:w="1539" w:type="dxa"/>
            <w:tcBorders>
              <w:top w:val="nil"/>
              <w:left w:val="nil"/>
              <w:bottom w:val="single" w:color="auto" w:sz="4" w:space="0"/>
              <w:right w:val="single" w:color="auto" w:sz="8" w:space="0"/>
            </w:tcBorders>
            <w:vAlign w:val="bottom"/>
          </w:tcPr>
          <w:p w14:paraId="6FDBAEAA">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68" w:type="dxa"/>
            <w:tcBorders>
              <w:top w:val="nil"/>
              <w:left w:val="nil"/>
              <w:bottom w:val="single" w:color="auto" w:sz="4" w:space="0"/>
              <w:right w:val="single" w:color="auto" w:sz="4" w:space="0"/>
            </w:tcBorders>
            <w:vAlign w:val="bottom"/>
          </w:tcPr>
          <w:p w14:paraId="13F1100F">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X＜10</w:t>
            </w:r>
          </w:p>
        </w:tc>
        <w:tc>
          <w:tcPr>
            <w:tcW w:w="1259" w:type="dxa"/>
            <w:tcBorders>
              <w:top w:val="nil"/>
              <w:left w:val="nil"/>
              <w:bottom w:val="single" w:color="auto" w:sz="4" w:space="0"/>
              <w:right w:val="single" w:color="auto" w:sz="4" w:space="0"/>
            </w:tcBorders>
            <w:vAlign w:val="bottom"/>
          </w:tcPr>
          <w:p w14:paraId="0795DAEF">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V＜100</w:t>
            </w:r>
          </w:p>
        </w:tc>
        <w:tc>
          <w:tcPr>
            <w:tcW w:w="1303" w:type="dxa"/>
            <w:gridSpan w:val="2"/>
            <w:tcBorders>
              <w:top w:val="nil"/>
              <w:left w:val="nil"/>
              <w:bottom w:val="single" w:color="auto" w:sz="4" w:space="0"/>
              <w:right w:val="single" w:color="auto" w:sz="8" w:space="0"/>
            </w:tcBorders>
            <w:vAlign w:val="bottom"/>
          </w:tcPr>
          <w:p w14:paraId="2544774C">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r>
      <w:tr w14:paraId="3648E08D">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14:paraId="513E0600">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11、信息传输业</w:t>
            </w:r>
          </w:p>
        </w:tc>
        <w:tc>
          <w:tcPr>
            <w:tcW w:w="1440" w:type="dxa"/>
            <w:tcBorders>
              <w:top w:val="nil"/>
              <w:left w:val="nil"/>
              <w:bottom w:val="single" w:color="auto" w:sz="4" w:space="0"/>
              <w:right w:val="single" w:color="auto" w:sz="4" w:space="0"/>
            </w:tcBorders>
            <w:vAlign w:val="bottom"/>
          </w:tcPr>
          <w:p w14:paraId="5E1AF727">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100≤X＜2000</w:t>
            </w:r>
          </w:p>
        </w:tc>
        <w:tc>
          <w:tcPr>
            <w:tcW w:w="1696" w:type="dxa"/>
            <w:tcBorders>
              <w:top w:val="nil"/>
              <w:left w:val="nil"/>
              <w:bottom w:val="single" w:color="auto" w:sz="4" w:space="0"/>
              <w:right w:val="single" w:color="auto" w:sz="4" w:space="0"/>
            </w:tcBorders>
            <w:vAlign w:val="bottom"/>
          </w:tcPr>
          <w:p w14:paraId="53435EEC">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1000≤Y＜100000</w:t>
            </w:r>
          </w:p>
        </w:tc>
        <w:tc>
          <w:tcPr>
            <w:tcW w:w="1609" w:type="dxa"/>
            <w:tcBorders>
              <w:top w:val="nil"/>
              <w:left w:val="nil"/>
              <w:bottom w:val="single" w:color="auto" w:sz="4" w:space="0"/>
              <w:right w:val="single" w:color="auto" w:sz="8" w:space="0"/>
            </w:tcBorders>
            <w:vAlign w:val="bottom"/>
          </w:tcPr>
          <w:p w14:paraId="644E09CB">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193" w:type="dxa"/>
            <w:tcBorders>
              <w:top w:val="nil"/>
              <w:left w:val="nil"/>
              <w:bottom w:val="single" w:color="auto" w:sz="4" w:space="0"/>
              <w:right w:val="single" w:color="auto" w:sz="4" w:space="0"/>
            </w:tcBorders>
            <w:vAlign w:val="bottom"/>
          </w:tcPr>
          <w:p w14:paraId="35AF17BE">
            <w:pPr>
              <w:spacing w:line="240" w:lineRule="auto"/>
              <w:ind w:left="0" w:leftChars="0" w:firstLine="0" w:firstLineChars="0"/>
              <w:jc w:val="center"/>
              <w:rPr>
                <w:rFonts w:hint="eastAsia" w:ascii="宋体" w:hAnsi="宋体" w:eastAsia="宋体" w:cs="宋体"/>
                <w:color w:val="000000"/>
                <w:sz w:val="15"/>
                <w:szCs w:val="15"/>
              </w:rPr>
            </w:pPr>
            <w:r>
              <w:rPr>
                <w:rFonts w:hint="eastAsia" w:ascii="宋体" w:hAnsi="宋体" w:eastAsia="宋体" w:cs="宋体"/>
                <w:color w:val="000000"/>
                <w:sz w:val="15"/>
                <w:szCs w:val="15"/>
              </w:rPr>
              <w:t>10≤X＜100</w:t>
            </w:r>
          </w:p>
        </w:tc>
        <w:tc>
          <w:tcPr>
            <w:tcW w:w="1501" w:type="dxa"/>
            <w:tcBorders>
              <w:top w:val="nil"/>
              <w:left w:val="nil"/>
              <w:bottom w:val="single" w:color="auto" w:sz="4" w:space="0"/>
              <w:right w:val="single" w:color="auto" w:sz="4" w:space="0"/>
            </w:tcBorders>
            <w:vAlign w:val="bottom"/>
          </w:tcPr>
          <w:p w14:paraId="686B4E73">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100≤Y＜1000</w:t>
            </w:r>
          </w:p>
        </w:tc>
        <w:tc>
          <w:tcPr>
            <w:tcW w:w="1539" w:type="dxa"/>
            <w:tcBorders>
              <w:top w:val="nil"/>
              <w:left w:val="nil"/>
              <w:bottom w:val="single" w:color="auto" w:sz="4" w:space="0"/>
              <w:right w:val="single" w:color="auto" w:sz="8" w:space="0"/>
            </w:tcBorders>
            <w:vAlign w:val="bottom"/>
          </w:tcPr>
          <w:p w14:paraId="4733668F">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68" w:type="dxa"/>
            <w:tcBorders>
              <w:top w:val="nil"/>
              <w:left w:val="nil"/>
              <w:bottom w:val="single" w:color="auto" w:sz="4" w:space="0"/>
              <w:right w:val="single" w:color="auto" w:sz="4" w:space="0"/>
            </w:tcBorders>
            <w:vAlign w:val="bottom"/>
          </w:tcPr>
          <w:p w14:paraId="6E816813">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X＜10</w:t>
            </w:r>
          </w:p>
        </w:tc>
        <w:tc>
          <w:tcPr>
            <w:tcW w:w="1259" w:type="dxa"/>
            <w:tcBorders>
              <w:top w:val="nil"/>
              <w:left w:val="nil"/>
              <w:bottom w:val="single" w:color="auto" w:sz="4" w:space="0"/>
              <w:right w:val="single" w:color="auto" w:sz="4" w:space="0"/>
            </w:tcBorders>
            <w:vAlign w:val="bottom"/>
          </w:tcPr>
          <w:p w14:paraId="593EE311">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Y＜100</w:t>
            </w:r>
          </w:p>
        </w:tc>
        <w:tc>
          <w:tcPr>
            <w:tcW w:w="1303" w:type="dxa"/>
            <w:gridSpan w:val="2"/>
            <w:tcBorders>
              <w:top w:val="nil"/>
              <w:left w:val="nil"/>
              <w:bottom w:val="single" w:color="auto" w:sz="4" w:space="0"/>
              <w:right w:val="single" w:color="auto" w:sz="8" w:space="0"/>
            </w:tcBorders>
            <w:vAlign w:val="bottom"/>
          </w:tcPr>
          <w:p w14:paraId="27D83911">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r>
      <w:tr w14:paraId="1632BD7B">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14:paraId="43406388">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12、软件和信息技术服务业</w:t>
            </w:r>
          </w:p>
        </w:tc>
        <w:tc>
          <w:tcPr>
            <w:tcW w:w="1440" w:type="dxa"/>
            <w:tcBorders>
              <w:top w:val="nil"/>
              <w:left w:val="nil"/>
              <w:bottom w:val="single" w:color="auto" w:sz="4" w:space="0"/>
              <w:right w:val="single" w:color="auto" w:sz="4" w:space="0"/>
            </w:tcBorders>
            <w:vAlign w:val="bottom"/>
          </w:tcPr>
          <w:p w14:paraId="1DF257B4">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100≤X＜300</w:t>
            </w:r>
          </w:p>
        </w:tc>
        <w:tc>
          <w:tcPr>
            <w:tcW w:w="1696" w:type="dxa"/>
            <w:tcBorders>
              <w:top w:val="nil"/>
              <w:left w:val="nil"/>
              <w:bottom w:val="single" w:color="auto" w:sz="4" w:space="0"/>
              <w:right w:val="single" w:color="auto" w:sz="4" w:space="0"/>
            </w:tcBorders>
            <w:vAlign w:val="bottom"/>
          </w:tcPr>
          <w:p w14:paraId="44DAEBAA">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1000≤Y＜10000</w:t>
            </w:r>
          </w:p>
        </w:tc>
        <w:tc>
          <w:tcPr>
            <w:tcW w:w="1609" w:type="dxa"/>
            <w:tcBorders>
              <w:top w:val="nil"/>
              <w:left w:val="nil"/>
              <w:bottom w:val="single" w:color="auto" w:sz="4" w:space="0"/>
              <w:right w:val="single" w:color="auto" w:sz="8" w:space="0"/>
            </w:tcBorders>
            <w:vAlign w:val="bottom"/>
          </w:tcPr>
          <w:p w14:paraId="6E6227BF">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193" w:type="dxa"/>
            <w:tcBorders>
              <w:top w:val="nil"/>
              <w:left w:val="nil"/>
              <w:bottom w:val="single" w:color="auto" w:sz="4" w:space="0"/>
              <w:right w:val="single" w:color="auto" w:sz="4" w:space="0"/>
            </w:tcBorders>
            <w:vAlign w:val="bottom"/>
          </w:tcPr>
          <w:p w14:paraId="3DB5F47B">
            <w:pPr>
              <w:spacing w:line="240" w:lineRule="auto"/>
              <w:ind w:left="0" w:leftChars="0" w:firstLine="0" w:firstLineChars="0"/>
              <w:jc w:val="center"/>
              <w:rPr>
                <w:rFonts w:hint="eastAsia" w:ascii="宋体" w:hAnsi="宋体" w:eastAsia="宋体" w:cs="宋体"/>
                <w:color w:val="000000"/>
                <w:sz w:val="15"/>
                <w:szCs w:val="15"/>
              </w:rPr>
            </w:pPr>
            <w:r>
              <w:rPr>
                <w:rFonts w:hint="eastAsia" w:ascii="宋体" w:hAnsi="宋体" w:eastAsia="宋体" w:cs="宋体"/>
                <w:color w:val="000000"/>
                <w:sz w:val="15"/>
                <w:szCs w:val="15"/>
              </w:rPr>
              <w:t>10≤X＜100</w:t>
            </w:r>
          </w:p>
        </w:tc>
        <w:tc>
          <w:tcPr>
            <w:tcW w:w="1501" w:type="dxa"/>
            <w:tcBorders>
              <w:top w:val="nil"/>
              <w:left w:val="nil"/>
              <w:bottom w:val="single" w:color="auto" w:sz="4" w:space="0"/>
              <w:right w:val="single" w:color="auto" w:sz="4" w:space="0"/>
            </w:tcBorders>
            <w:vAlign w:val="bottom"/>
          </w:tcPr>
          <w:p w14:paraId="02F5235F">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50≤Y＜1000</w:t>
            </w:r>
          </w:p>
        </w:tc>
        <w:tc>
          <w:tcPr>
            <w:tcW w:w="1539" w:type="dxa"/>
            <w:tcBorders>
              <w:top w:val="nil"/>
              <w:left w:val="nil"/>
              <w:bottom w:val="single" w:color="auto" w:sz="4" w:space="0"/>
              <w:right w:val="single" w:color="auto" w:sz="8" w:space="0"/>
            </w:tcBorders>
            <w:vAlign w:val="bottom"/>
          </w:tcPr>
          <w:p w14:paraId="4EE234BE">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68" w:type="dxa"/>
            <w:tcBorders>
              <w:top w:val="nil"/>
              <w:left w:val="nil"/>
              <w:bottom w:val="single" w:color="auto" w:sz="4" w:space="0"/>
              <w:right w:val="single" w:color="auto" w:sz="4" w:space="0"/>
            </w:tcBorders>
            <w:vAlign w:val="bottom"/>
          </w:tcPr>
          <w:p w14:paraId="6C69D331">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X＜10</w:t>
            </w:r>
          </w:p>
        </w:tc>
        <w:tc>
          <w:tcPr>
            <w:tcW w:w="1259" w:type="dxa"/>
            <w:tcBorders>
              <w:top w:val="nil"/>
              <w:left w:val="nil"/>
              <w:bottom w:val="single" w:color="auto" w:sz="4" w:space="0"/>
              <w:right w:val="single" w:color="auto" w:sz="4" w:space="0"/>
            </w:tcBorders>
            <w:vAlign w:val="bottom"/>
          </w:tcPr>
          <w:p w14:paraId="4B3816C0">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Y＜50</w:t>
            </w:r>
          </w:p>
        </w:tc>
        <w:tc>
          <w:tcPr>
            <w:tcW w:w="1303" w:type="dxa"/>
            <w:gridSpan w:val="2"/>
            <w:tcBorders>
              <w:top w:val="nil"/>
              <w:left w:val="nil"/>
              <w:bottom w:val="single" w:color="auto" w:sz="4" w:space="0"/>
              <w:right w:val="single" w:color="auto" w:sz="8" w:space="0"/>
            </w:tcBorders>
            <w:vAlign w:val="bottom"/>
          </w:tcPr>
          <w:p w14:paraId="0A7378C7">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r>
      <w:tr w14:paraId="1941C763">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14:paraId="45F606A6">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13、房地产开发经营</w:t>
            </w:r>
          </w:p>
        </w:tc>
        <w:tc>
          <w:tcPr>
            <w:tcW w:w="1440" w:type="dxa"/>
            <w:tcBorders>
              <w:top w:val="nil"/>
              <w:left w:val="nil"/>
              <w:bottom w:val="single" w:color="auto" w:sz="4" w:space="0"/>
              <w:right w:val="single" w:color="auto" w:sz="4" w:space="0"/>
            </w:tcBorders>
            <w:vAlign w:val="bottom"/>
          </w:tcPr>
          <w:p w14:paraId="316A3977">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696" w:type="dxa"/>
            <w:tcBorders>
              <w:top w:val="nil"/>
              <w:left w:val="nil"/>
              <w:bottom w:val="single" w:color="auto" w:sz="4" w:space="0"/>
              <w:right w:val="single" w:color="auto" w:sz="4" w:space="0"/>
            </w:tcBorders>
            <w:vAlign w:val="bottom"/>
          </w:tcPr>
          <w:p w14:paraId="15FBCB4E">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1000≤Y＜200000</w:t>
            </w:r>
          </w:p>
        </w:tc>
        <w:tc>
          <w:tcPr>
            <w:tcW w:w="1609" w:type="dxa"/>
            <w:tcBorders>
              <w:top w:val="nil"/>
              <w:left w:val="nil"/>
              <w:bottom w:val="single" w:color="auto" w:sz="4" w:space="0"/>
              <w:right w:val="single" w:color="auto" w:sz="8" w:space="0"/>
            </w:tcBorders>
            <w:vAlign w:val="bottom"/>
          </w:tcPr>
          <w:p w14:paraId="0F257015">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5000≤Z＜10000</w:t>
            </w:r>
          </w:p>
        </w:tc>
        <w:tc>
          <w:tcPr>
            <w:tcW w:w="1193" w:type="dxa"/>
            <w:tcBorders>
              <w:top w:val="nil"/>
              <w:left w:val="nil"/>
              <w:bottom w:val="single" w:color="auto" w:sz="4" w:space="0"/>
              <w:right w:val="single" w:color="auto" w:sz="4" w:space="0"/>
            </w:tcBorders>
            <w:vAlign w:val="bottom"/>
          </w:tcPr>
          <w:p w14:paraId="3C09E63A">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501" w:type="dxa"/>
            <w:tcBorders>
              <w:top w:val="nil"/>
              <w:left w:val="nil"/>
              <w:bottom w:val="single" w:color="auto" w:sz="4" w:space="0"/>
              <w:right w:val="single" w:color="auto" w:sz="4" w:space="0"/>
            </w:tcBorders>
            <w:vAlign w:val="bottom"/>
          </w:tcPr>
          <w:p w14:paraId="1CD4D320">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100≤Y＜1000</w:t>
            </w:r>
          </w:p>
        </w:tc>
        <w:tc>
          <w:tcPr>
            <w:tcW w:w="1539" w:type="dxa"/>
            <w:tcBorders>
              <w:top w:val="nil"/>
              <w:left w:val="nil"/>
              <w:bottom w:val="single" w:color="auto" w:sz="4" w:space="0"/>
              <w:right w:val="single" w:color="auto" w:sz="8" w:space="0"/>
            </w:tcBorders>
            <w:vAlign w:val="bottom"/>
          </w:tcPr>
          <w:p w14:paraId="5C781FF4">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2000≤Z＜5000</w:t>
            </w:r>
          </w:p>
        </w:tc>
        <w:tc>
          <w:tcPr>
            <w:tcW w:w="1268" w:type="dxa"/>
            <w:tcBorders>
              <w:top w:val="nil"/>
              <w:left w:val="nil"/>
              <w:bottom w:val="single" w:color="auto" w:sz="4" w:space="0"/>
              <w:right w:val="single" w:color="auto" w:sz="4" w:space="0"/>
            </w:tcBorders>
            <w:vAlign w:val="bottom"/>
          </w:tcPr>
          <w:p w14:paraId="18DD09B0">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59" w:type="dxa"/>
            <w:tcBorders>
              <w:top w:val="nil"/>
              <w:left w:val="nil"/>
              <w:bottom w:val="single" w:color="auto" w:sz="4" w:space="0"/>
              <w:right w:val="single" w:color="auto" w:sz="4" w:space="0"/>
            </w:tcBorders>
            <w:vAlign w:val="bottom"/>
          </w:tcPr>
          <w:p w14:paraId="4EA7C7E3">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Y＜100</w:t>
            </w:r>
          </w:p>
        </w:tc>
        <w:tc>
          <w:tcPr>
            <w:tcW w:w="1303" w:type="dxa"/>
            <w:gridSpan w:val="2"/>
            <w:tcBorders>
              <w:top w:val="nil"/>
              <w:left w:val="nil"/>
              <w:bottom w:val="single" w:color="auto" w:sz="4" w:space="0"/>
              <w:right w:val="single" w:color="auto" w:sz="8" w:space="0"/>
            </w:tcBorders>
            <w:vAlign w:val="bottom"/>
          </w:tcPr>
          <w:p w14:paraId="394F9B11">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Z＜2000</w:t>
            </w:r>
          </w:p>
        </w:tc>
      </w:tr>
      <w:tr w14:paraId="06DAE9B1">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14:paraId="326DE0B5">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14、物业管理</w:t>
            </w:r>
          </w:p>
        </w:tc>
        <w:tc>
          <w:tcPr>
            <w:tcW w:w="1440" w:type="dxa"/>
            <w:tcBorders>
              <w:top w:val="nil"/>
              <w:left w:val="nil"/>
              <w:bottom w:val="single" w:color="auto" w:sz="4" w:space="0"/>
              <w:right w:val="single" w:color="auto" w:sz="4" w:space="0"/>
            </w:tcBorders>
            <w:vAlign w:val="bottom"/>
          </w:tcPr>
          <w:p w14:paraId="3E71E1A8">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300≤X＜1000</w:t>
            </w:r>
          </w:p>
        </w:tc>
        <w:tc>
          <w:tcPr>
            <w:tcW w:w="1696" w:type="dxa"/>
            <w:tcBorders>
              <w:top w:val="nil"/>
              <w:left w:val="nil"/>
              <w:bottom w:val="single" w:color="auto" w:sz="4" w:space="0"/>
              <w:right w:val="single" w:color="auto" w:sz="4" w:space="0"/>
            </w:tcBorders>
            <w:vAlign w:val="bottom"/>
          </w:tcPr>
          <w:p w14:paraId="6DDA1C89">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1000≤Y＜5000</w:t>
            </w:r>
          </w:p>
        </w:tc>
        <w:tc>
          <w:tcPr>
            <w:tcW w:w="1609" w:type="dxa"/>
            <w:tcBorders>
              <w:top w:val="nil"/>
              <w:left w:val="nil"/>
              <w:bottom w:val="single" w:color="auto" w:sz="4" w:space="0"/>
              <w:right w:val="single" w:color="auto" w:sz="8" w:space="0"/>
            </w:tcBorders>
            <w:vAlign w:val="bottom"/>
          </w:tcPr>
          <w:p w14:paraId="000294D7">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193" w:type="dxa"/>
            <w:tcBorders>
              <w:top w:val="nil"/>
              <w:left w:val="nil"/>
              <w:bottom w:val="single" w:color="auto" w:sz="4" w:space="0"/>
              <w:right w:val="single" w:color="auto" w:sz="4" w:space="0"/>
            </w:tcBorders>
            <w:vAlign w:val="bottom"/>
          </w:tcPr>
          <w:p w14:paraId="48D755C5">
            <w:pPr>
              <w:spacing w:line="240" w:lineRule="auto"/>
              <w:ind w:left="0" w:leftChars="0" w:firstLine="0" w:firstLineChars="0"/>
              <w:jc w:val="center"/>
              <w:rPr>
                <w:rFonts w:hint="eastAsia" w:ascii="宋体" w:hAnsi="宋体" w:eastAsia="宋体" w:cs="宋体"/>
                <w:color w:val="000000"/>
                <w:sz w:val="15"/>
                <w:szCs w:val="15"/>
              </w:rPr>
            </w:pPr>
            <w:r>
              <w:rPr>
                <w:rFonts w:hint="eastAsia" w:ascii="宋体" w:hAnsi="宋体" w:eastAsia="宋体" w:cs="宋体"/>
                <w:color w:val="000000"/>
                <w:sz w:val="15"/>
                <w:szCs w:val="15"/>
              </w:rPr>
              <w:t>100≤X＜300</w:t>
            </w:r>
          </w:p>
        </w:tc>
        <w:tc>
          <w:tcPr>
            <w:tcW w:w="1501" w:type="dxa"/>
            <w:tcBorders>
              <w:top w:val="nil"/>
              <w:left w:val="nil"/>
              <w:bottom w:val="single" w:color="auto" w:sz="4" w:space="0"/>
              <w:right w:val="single" w:color="auto" w:sz="4" w:space="0"/>
            </w:tcBorders>
            <w:vAlign w:val="bottom"/>
          </w:tcPr>
          <w:p w14:paraId="36D58595">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500≤Y＜1000</w:t>
            </w:r>
          </w:p>
        </w:tc>
        <w:tc>
          <w:tcPr>
            <w:tcW w:w="1539" w:type="dxa"/>
            <w:tcBorders>
              <w:top w:val="nil"/>
              <w:left w:val="nil"/>
              <w:bottom w:val="single" w:color="auto" w:sz="4" w:space="0"/>
              <w:right w:val="single" w:color="auto" w:sz="8" w:space="0"/>
            </w:tcBorders>
            <w:vAlign w:val="bottom"/>
          </w:tcPr>
          <w:p w14:paraId="47A05E99">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68" w:type="dxa"/>
            <w:tcBorders>
              <w:top w:val="nil"/>
              <w:left w:val="nil"/>
              <w:bottom w:val="single" w:color="auto" w:sz="4" w:space="0"/>
              <w:right w:val="single" w:color="auto" w:sz="4" w:space="0"/>
            </w:tcBorders>
            <w:vAlign w:val="bottom"/>
          </w:tcPr>
          <w:p w14:paraId="0109096B">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X＜100</w:t>
            </w:r>
          </w:p>
        </w:tc>
        <w:tc>
          <w:tcPr>
            <w:tcW w:w="1259" w:type="dxa"/>
            <w:tcBorders>
              <w:top w:val="nil"/>
              <w:left w:val="nil"/>
              <w:bottom w:val="single" w:color="auto" w:sz="4" w:space="0"/>
              <w:right w:val="single" w:color="auto" w:sz="4" w:space="0"/>
            </w:tcBorders>
            <w:vAlign w:val="bottom"/>
          </w:tcPr>
          <w:p w14:paraId="15731805">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Y＜500</w:t>
            </w:r>
          </w:p>
        </w:tc>
        <w:tc>
          <w:tcPr>
            <w:tcW w:w="1303" w:type="dxa"/>
            <w:gridSpan w:val="2"/>
            <w:tcBorders>
              <w:top w:val="nil"/>
              <w:left w:val="nil"/>
              <w:bottom w:val="single" w:color="auto" w:sz="4" w:space="0"/>
              <w:right w:val="single" w:color="auto" w:sz="8" w:space="0"/>
            </w:tcBorders>
            <w:vAlign w:val="bottom"/>
          </w:tcPr>
          <w:p w14:paraId="66781E9C">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r>
      <w:tr w14:paraId="15047143">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4" w:space="0"/>
              <w:right w:val="single" w:color="auto" w:sz="8" w:space="0"/>
            </w:tcBorders>
            <w:vAlign w:val="bottom"/>
          </w:tcPr>
          <w:p w14:paraId="6B11CFA6">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15、租赁和商务服务业</w:t>
            </w:r>
          </w:p>
        </w:tc>
        <w:tc>
          <w:tcPr>
            <w:tcW w:w="1440" w:type="dxa"/>
            <w:tcBorders>
              <w:top w:val="nil"/>
              <w:left w:val="nil"/>
              <w:bottom w:val="single" w:color="auto" w:sz="4" w:space="0"/>
              <w:right w:val="single" w:color="auto" w:sz="4" w:space="0"/>
            </w:tcBorders>
            <w:vAlign w:val="bottom"/>
          </w:tcPr>
          <w:p w14:paraId="1B6B563A">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100≤X＜300</w:t>
            </w:r>
          </w:p>
        </w:tc>
        <w:tc>
          <w:tcPr>
            <w:tcW w:w="1696" w:type="dxa"/>
            <w:tcBorders>
              <w:top w:val="nil"/>
              <w:left w:val="nil"/>
              <w:bottom w:val="single" w:color="auto" w:sz="4" w:space="0"/>
              <w:right w:val="single" w:color="auto" w:sz="4" w:space="0"/>
            </w:tcBorders>
            <w:vAlign w:val="bottom"/>
          </w:tcPr>
          <w:p w14:paraId="40D47BF5">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609" w:type="dxa"/>
            <w:tcBorders>
              <w:top w:val="nil"/>
              <w:left w:val="nil"/>
              <w:bottom w:val="single" w:color="auto" w:sz="4" w:space="0"/>
              <w:right w:val="single" w:color="auto" w:sz="8" w:space="0"/>
            </w:tcBorders>
            <w:vAlign w:val="bottom"/>
          </w:tcPr>
          <w:p w14:paraId="279BF5DA">
            <w:pPr>
              <w:spacing w:line="240" w:lineRule="auto"/>
              <w:ind w:left="0" w:leftChars="0" w:firstLine="0" w:firstLineChars="0"/>
              <w:jc w:val="center"/>
              <w:rPr>
                <w:rFonts w:hint="eastAsia" w:ascii="宋体" w:hAnsi="宋体" w:eastAsia="宋体" w:cs="宋体"/>
                <w:color w:val="000000"/>
                <w:sz w:val="15"/>
                <w:szCs w:val="15"/>
              </w:rPr>
            </w:pPr>
            <w:r>
              <w:rPr>
                <w:rFonts w:hint="eastAsia" w:ascii="宋体" w:hAnsi="宋体" w:eastAsia="宋体" w:cs="宋体"/>
                <w:color w:val="000000"/>
                <w:sz w:val="15"/>
                <w:szCs w:val="15"/>
              </w:rPr>
              <w:t>8000≤Z＜120000</w:t>
            </w:r>
          </w:p>
        </w:tc>
        <w:tc>
          <w:tcPr>
            <w:tcW w:w="1193" w:type="dxa"/>
            <w:tcBorders>
              <w:top w:val="nil"/>
              <w:left w:val="nil"/>
              <w:bottom w:val="single" w:color="auto" w:sz="4" w:space="0"/>
              <w:right w:val="single" w:color="auto" w:sz="4" w:space="0"/>
            </w:tcBorders>
            <w:vAlign w:val="bottom"/>
          </w:tcPr>
          <w:p w14:paraId="2281EC9E">
            <w:pPr>
              <w:spacing w:line="240" w:lineRule="auto"/>
              <w:ind w:left="0" w:leftChars="0" w:firstLine="0" w:firstLineChars="0"/>
              <w:jc w:val="center"/>
              <w:rPr>
                <w:rFonts w:hint="eastAsia" w:ascii="宋体" w:hAnsi="宋体" w:eastAsia="宋体" w:cs="宋体"/>
                <w:color w:val="000000"/>
                <w:sz w:val="15"/>
                <w:szCs w:val="15"/>
              </w:rPr>
            </w:pPr>
            <w:r>
              <w:rPr>
                <w:rFonts w:hint="eastAsia" w:ascii="宋体" w:hAnsi="宋体" w:eastAsia="宋体" w:cs="宋体"/>
                <w:color w:val="000000"/>
                <w:sz w:val="15"/>
                <w:szCs w:val="15"/>
              </w:rPr>
              <w:t>10≤X＜100</w:t>
            </w:r>
          </w:p>
        </w:tc>
        <w:tc>
          <w:tcPr>
            <w:tcW w:w="1501" w:type="dxa"/>
            <w:tcBorders>
              <w:top w:val="nil"/>
              <w:left w:val="nil"/>
              <w:bottom w:val="single" w:color="auto" w:sz="4" w:space="0"/>
              <w:right w:val="single" w:color="auto" w:sz="4" w:space="0"/>
            </w:tcBorders>
            <w:vAlign w:val="bottom"/>
          </w:tcPr>
          <w:p w14:paraId="51B2A2D9">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539" w:type="dxa"/>
            <w:tcBorders>
              <w:top w:val="nil"/>
              <w:left w:val="nil"/>
              <w:bottom w:val="single" w:color="auto" w:sz="4" w:space="0"/>
              <w:right w:val="single" w:color="auto" w:sz="8" w:space="0"/>
            </w:tcBorders>
            <w:vAlign w:val="bottom"/>
          </w:tcPr>
          <w:p w14:paraId="7B4601D7">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xml:space="preserve"> 100≤Z＜8000</w:t>
            </w:r>
          </w:p>
        </w:tc>
        <w:tc>
          <w:tcPr>
            <w:tcW w:w="1268" w:type="dxa"/>
            <w:tcBorders>
              <w:top w:val="nil"/>
              <w:left w:val="nil"/>
              <w:bottom w:val="single" w:color="auto" w:sz="4" w:space="0"/>
              <w:right w:val="single" w:color="auto" w:sz="4" w:space="0"/>
            </w:tcBorders>
            <w:vAlign w:val="bottom"/>
          </w:tcPr>
          <w:p w14:paraId="79126AAC">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X＜10</w:t>
            </w:r>
          </w:p>
        </w:tc>
        <w:tc>
          <w:tcPr>
            <w:tcW w:w="1259" w:type="dxa"/>
            <w:tcBorders>
              <w:top w:val="nil"/>
              <w:left w:val="nil"/>
              <w:bottom w:val="single" w:color="auto" w:sz="4" w:space="0"/>
              <w:right w:val="single" w:color="auto" w:sz="4" w:space="0"/>
            </w:tcBorders>
            <w:vAlign w:val="bottom"/>
          </w:tcPr>
          <w:p w14:paraId="503C4C2F">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303" w:type="dxa"/>
            <w:gridSpan w:val="2"/>
            <w:tcBorders>
              <w:top w:val="nil"/>
              <w:left w:val="nil"/>
              <w:bottom w:val="single" w:color="auto" w:sz="4" w:space="0"/>
              <w:right w:val="single" w:color="auto" w:sz="8" w:space="0"/>
            </w:tcBorders>
            <w:vAlign w:val="bottom"/>
          </w:tcPr>
          <w:p w14:paraId="5917CA1E">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Z＜100</w:t>
            </w:r>
          </w:p>
        </w:tc>
      </w:tr>
      <w:tr w14:paraId="4C5DCB30">
        <w:tblPrEx>
          <w:tblCellMar>
            <w:top w:w="0" w:type="dxa"/>
            <w:left w:w="108" w:type="dxa"/>
            <w:bottom w:w="0" w:type="dxa"/>
            <w:right w:w="108" w:type="dxa"/>
          </w:tblCellMar>
        </w:tblPrEx>
        <w:trPr>
          <w:trHeight w:val="379" w:hRule="atLeast"/>
        </w:trPr>
        <w:tc>
          <w:tcPr>
            <w:tcW w:w="1912" w:type="dxa"/>
            <w:tcBorders>
              <w:top w:val="nil"/>
              <w:left w:val="single" w:color="auto" w:sz="8" w:space="0"/>
              <w:bottom w:val="single" w:color="auto" w:sz="8" w:space="0"/>
              <w:right w:val="single" w:color="auto" w:sz="8" w:space="0"/>
            </w:tcBorders>
            <w:vAlign w:val="bottom"/>
          </w:tcPr>
          <w:p w14:paraId="6D2E8FBD">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16、其他未列明行业</w:t>
            </w:r>
          </w:p>
        </w:tc>
        <w:tc>
          <w:tcPr>
            <w:tcW w:w="1440" w:type="dxa"/>
            <w:tcBorders>
              <w:top w:val="nil"/>
              <w:left w:val="nil"/>
              <w:bottom w:val="single" w:color="auto" w:sz="8" w:space="0"/>
              <w:right w:val="single" w:color="auto" w:sz="4" w:space="0"/>
            </w:tcBorders>
            <w:vAlign w:val="bottom"/>
          </w:tcPr>
          <w:p w14:paraId="1882C7CF">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100≤X＜300</w:t>
            </w:r>
          </w:p>
        </w:tc>
        <w:tc>
          <w:tcPr>
            <w:tcW w:w="1696" w:type="dxa"/>
            <w:tcBorders>
              <w:top w:val="nil"/>
              <w:left w:val="nil"/>
              <w:bottom w:val="single" w:color="auto" w:sz="8" w:space="0"/>
              <w:right w:val="single" w:color="auto" w:sz="4" w:space="0"/>
            </w:tcBorders>
            <w:vAlign w:val="bottom"/>
          </w:tcPr>
          <w:p w14:paraId="64AE67D7">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609" w:type="dxa"/>
            <w:tcBorders>
              <w:top w:val="nil"/>
              <w:left w:val="nil"/>
              <w:bottom w:val="single" w:color="auto" w:sz="8" w:space="0"/>
              <w:right w:val="single" w:color="auto" w:sz="8" w:space="0"/>
            </w:tcBorders>
            <w:vAlign w:val="bottom"/>
          </w:tcPr>
          <w:p w14:paraId="0B007412">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193" w:type="dxa"/>
            <w:tcBorders>
              <w:top w:val="nil"/>
              <w:left w:val="nil"/>
              <w:bottom w:val="single" w:color="auto" w:sz="8" w:space="0"/>
              <w:right w:val="single" w:color="auto" w:sz="4" w:space="0"/>
            </w:tcBorders>
            <w:vAlign w:val="bottom"/>
          </w:tcPr>
          <w:p w14:paraId="7DAD7B2A">
            <w:pPr>
              <w:spacing w:line="240" w:lineRule="auto"/>
              <w:ind w:left="0" w:leftChars="0" w:firstLine="0" w:firstLineChars="0"/>
              <w:jc w:val="center"/>
              <w:rPr>
                <w:rFonts w:hint="eastAsia" w:ascii="宋体" w:hAnsi="宋体" w:eastAsia="宋体" w:cs="宋体"/>
                <w:color w:val="000000"/>
                <w:sz w:val="15"/>
                <w:szCs w:val="15"/>
              </w:rPr>
            </w:pPr>
            <w:r>
              <w:rPr>
                <w:rFonts w:hint="eastAsia" w:ascii="宋体" w:hAnsi="宋体" w:eastAsia="宋体" w:cs="宋体"/>
                <w:color w:val="000000"/>
                <w:sz w:val="15"/>
                <w:szCs w:val="15"/>
              </w:rPr>
              <w:t>10≤X＜100</w:t>
            </w:r>
          </w:p>
        </w:tc>
        <w:tc>
          <w:tcPr>
            <w:tcW w:w="1501" w:type="dxa"/>
            <w:tcBorders>
              <w:top w:val="nil"/>
              <w:left w:val="nil"/>
              <w:bottom w:val="single" w:color="auto" w:sz="8" w:space="0"/>
              <w:right w:val="single" w:color="auto" w:sz="4" w:space="0"/>
            </w:tcBorders>
            <w:vAlign w:val="bottom"/>
          </w:tcPr>
          <w:p w14:paraId="02CDC059">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539" w:type="dxa"/>
            <w:tcBorders>
              <w:top w:val="nil"/>
              <w:left w:val="nil"/>
              <w:bottom w:val="single" w:color="auto" w:sz="8" w:space="0"/>
              <w:right w:val="single" w:color="auto" w:sz="8" w:space="0"/>
            </w:tcBorders>
            <w:vAlign w:val="bottom"/>
          </w:tcPr>
          <w:p w14:paraId="1913CA75">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268" w:type="dxa"/>
            <w:tcBorders>
              <w:top w:val="nil"/>
              <w:left w:val="nil"/>
              <w:bottom w:val="single" w:color="auto" w:sz="8" w:space="0"/>
              <w:right w:val="single" w:color="auto" w:sz="4" w:space="0"/>
            </w:tcBorders>
            <w:vAlign w:val="bottom"/>
          </w:tcPr>
          <w:p w14:paraId="0E9483DD">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X＜10</w:t>
            </w:r>
          </w:p>
        </w:tc>
        <w:tc>
          <w:tcPr>
            <w:tcW w:w="1259" w:type="dxa"/>
            <w:tcBorders>
              <w:top w:val="nil"/>
              <w:left w:val="nil"/>
              <w:bottom w:val="single" w:color="auto" w:sz="8" w:space="0"/>
              <w:right w:val="single" w:color="auto" w:sz="4" w:space="0"/>
            </w:tcBorders>
            <w:vAlign w:val="bottom"/>
          </w:tcPr>
          <w:p w14:paraId="201B9A58">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c>
          <w:tcPr>
            <w:tcW w:w="1303" w:type="dxa"/>
            <w:gridSpan w:val="2"/>
            <w:tcBorders>
              <w:top w:val="nil"/>
              <w:left w:val="nil"/>
              <w:bottom w:val="single" w:color="auto" w:sz="8" w:space="0"/>
              <w:right w:val="single" w:color="auto" w:sz="8" w:space="0"/>
            </w:tcBorders>
            <w:vAlign w:val="bottom"/>
          </w:tcPr>
          <w:p w14:paraId="13EAA126">
            <w:pPr>
              <w:spacing w:line="240" w:lineRule="auto"/>
              <w:ind w:firstLine="300"/>
              <w:rPr>
                <w:rFonts w:hint="eastAsia" w:ascii="宋体" w:hAnsi="宋体" w:eastAsia="宋体" w:cs="宋体"/>
                <w:color w:val="000000"/>
                <w:sz w:val="15"/>
                <w:szCs w:val="15"/>
              </w:rPr>
            </w:pPr>
            <w:r>
              <w:rPr>
                <w:rFonts w:hint="eastAsia" w:ascii="宋体" w:hAnsi="宋体" w:eastAsia="宋体" w:cs="宋体"/>
                <w:color w:val="000000"/>
                <w:sz w:val="15"/>
                <w:szCs w:val="15"/>
              </w:rPr>
              <w:t>　</w:t>
            </w:r>
          </w:p>
        </w:tc>
      </w:tr>
      <w:tr w14:paraId="60EBEB61">
        <w:tblPrEx>
          <w:tblCellMar>
            <w:top w:w="0" w:type="dxa"/>
            <w:left w:w="108" w:type="dxa"/>
            <w:bottom w:w="0" w:type="dxa"/>
            <w:right w:w="108" w:type="dxa"/>
          </w:tblCellMar>
        </w:tblPrEx>
        <w:trPr>
          <w:gridAfter w:val="1"/>
          <w:wAfter w:w="138" w:type="dxa"/>
          <w:trHeight w:val="618" w:hRule="atLeast"/>
        </w:trPr>
        <w:tc>
          <w:tcPr>
            <w:tcW w:w="14582" w:type="dxa"/>
            <w:gridSpan w:val="10"/>
            <w:tcBorders>
              <w:top w:val="nil"/>
              <w:left w:val="nil"/>
              <w:bottom w:val="nil"/>
              <w:right w:val="nil"/>
            </w:tcBorders>
            <w:vAlign w:val="bottom"/>
          </w:tcPr>
          <w:p w14:paraId="3DA1BE84">
            <w:pPr>
              <w:ind w:left="0" w:leftChars="0" w:firstLine="0" w:firstLineChars="0"/>
              <w:rPr>
                <w:rFonts w:hint="eastAsia" w:ascii="宋体" w:hAnsi="宋体" w:eastAsia="宋体" w:cs="宋体"/>
                <w:color w:val="000000"/>
                <w:sz w:val="15"/>
                <w:szCs w:val="15"/>
              </w:rPr>
            </w:pPr>
            <w:r>
              <w:rPr>
                <w:rFonts w:hint="eastAsia" w:ascii="宋体" w:hAnsi="宋体" w:eastAsia="宋体" w:cs="宋体"/>
                <w:color w:val="000000"/>
                <w:sz w:val="15"/>
                <w:szCs w:val="15"/>
              </w:rPr>
              <w:t>说明</w:t>
            </w:r>
            <w:r>
              <w:rPr>
                <w:rFonts w:hint="eastAsia" w:cs="宋体"/>
                <w:color w:val="000000"/>
                <w:sz w:val="15"/>
                <w:szCs w:val="15"/>
                <w:lang w:eastAsia="zh-CN"/>
              </w:rPr>
              <w:t>：</w:t>
            </w:r>
            <w:r>
              <w:rPr>
                <w:rFonts w:hint="eastAsia" w:ascii="宋体" w:hAnsi="宋体" w:eastAsia="宋体" w:cs="宋体"/>
                <w:color w:val="000000"/>
                <w:sz w:val="15"/>
                <w:szCs w:val="15"/>
              </w:rPr>
              <w:t>1、企业类型的划分以统计部门的统计数据为依据。</w:t>
            </w:r>
          </w:p>
          <w:p w14:paraId="54B567CE">
            <w:pPr>
              <w:numPr>
                <w:ilvl w:val="0"/>
                <w:numId w:val="0"/>
              </w:numPr>
              <w:ind w:firstLine="450" w:firstLineChars="300"/>
              <w:rPr>
                <w:rFonts w:hint="eastAsia" w:ascii="宋体" w:hAnsi="宋体" w:eastAsia="宋体" w:cs="宋体"/>
                <w:color w:val="000000"/>
                <w:sz w:val="15"/>
                <w:szCs w:val="15"/>
              </w:rPr>
            </w:pPr>
            <w:r>
              <w:rPr>
                <w:rFonts w:hint="eastAsia" w:cs="宋体"/>
                <w:color w:val="000000"/>
                <w:sz w:val="15"/>
                <w:szCs w:val="15"/>
                <w:lang w:val="en-US" w:eastAsia="zh-CN"/>
              </w:rPr>
              <w:t>2、</w:t>
            </w:r>
            <w:r>
              <w:rPr>
                <w:rFonts w:hint="eastAsia" w:ascii="宋体" w:hAnsi="宋体" w:eastAsia="宋体" w:cs="宋体"/>
                <w:color w:val="000000"/>
                <w:sz w:val="15"/>
                <w:szCs w:val="15"/>
              </w:rPr>
              <w:t>个体工商户和本规定以外的行业，参照本规定进行划型。</w:t>
            </w:r>
          </w:p>
          <w:p w14:paraId="15C79CAC">
            <w:pPr>
              <w:numPr>
                <w:ilvl w:val="0"/>
                <w:numId w:val="0"/>
              </w:numPr>
              <w:ind w:firstLine="450" w:firstLineChars="300"/>
              <w:rPr>
                <w:rFonts w:hint="eastAsia" w:ascii="宋体" w:hAnsi="宋体" w:eastAsia="宋体" w:cs="宋体"/>
                <w:color w:val="000000"/>
                <w:sz w:val="15"/>
                <w:szCs w:val="15"/>
              </w:rPr>
            </w:pPr>
            <w:r>
              <w:rPr>
                <w:rFonts w:hint="eastAsia" w:cs="宋体"/>
                <w:color w:val="000000"/>
                <w:sz w:val="15"/>
                <w:szCs w:val="15"/>
                <w:lang w:val="en-US" w:eastAsia="zh-CN"/>
              </w:rPr>
              <w:t>3、</w:t>
            </w:r>
            <w:r>
              <w:rPr>
                <w:rFonts w:hint="eastAsia" w:ascii="宋体" w:hAnsi="宋体" w:eastAsia="宋体" w:cs="宋体"/>
                <w:color w:val="000000"/>
                <w:sz w:val="15"/>
                <w:szCs w:val="15"/>
              </w:rPr>
              <w:t>本规定的中型企业标准上限即为大型企业标准的下限。</w:t>
            </w:r>
          </w:p>
        </w:tc>
      </w:tr>
    </w:tbl>
    <w:p w14:paraId="1E63FFDE">
      <w:pPr>
        <w:pStyle w:val="5"/>
        <w:rPr>
          <w:rFonts w:hint="eastAsia" w:ascii="宋体" w:hAnsi="宋体" w:eastAsia="宋体" w:cs="宋体"/>
        </w:rPr>
        <w:sectPr>
          <w:headerReference r:id="rId16" w:type="default"/>
          <w:footerReference r:id="rId17" w:type="default"/>
          <w:pgSz w:w="16840" w:h="11907" w:orient="landscape"/>
          <w:pgMar w:top="1304" w:right="1247" w:bottom="1304" w:left="1021" w:header="720" w:footer="720" w:gutter="0"/>
          <w:pgNumType w:fmt="decimal"/>
          <w:cols w:space="720" w:num="1"/>
          <w:docGrid w:linePitch="286" w:charSpace="0"/>
        </w:sectPr>
      </w:pPr>
    </w:p>
    <w:p w14:paraId="32B50CFA">
      <w:pPr>
        <w:pStyle w:val="5"/>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监狱企业资格证明材料</w:t>
      </w:r>
    </w:p>
    <w:p w14:paraId="4BBA7C5B">
      <w:pPr>
        <w:ind w:firstLine="480"/>
        <w:rPr>
          <w:rFonts w:hint="eastAsia" w:ascii="宋体" w:hAnsi="宋体" w:eastAsia="宋体" w:cs="宋体"/>
          <w:highlight w:val="none"/>
        </w:rPr>
      </w:pPr>
      <w:r>
        <w:rPr>
          <w:rFonts w:hint="eastAsia" w:ascii="宋体" w:hAnsi="宋体" w:eastAsia="宋体" w:cs="宋体"/>
          <w:highlight w:val="none"/>
        </w:rPr>
        <w:t>（省级以上监狱管理局、戒毒管理局（含新疆生产建设兵团）出具的属于监狱企业的证明文件）</w:t>
      </w:r>
    </w:p>
    <w:p w14:paraId="616E64C2">
      <w:pPr>
        <w:ind w:firstLine="480"/>
        <w:rPr>
          <w:rFonts w:hint="eastAsia" w:ascii="宋体" w:hAnsi="宋体" w:eastAsia="宋体" w:cs="宋体"/>
          <w:highlight w:val="none"/>
        </w:rPr>
      </w:pPr>
    </w:p>
    <w:p w14:paraId="75AE3306">
      <w:pPr>
        <w:ind w:firstLine="480"/>
        <w:rPr>
          <w:rFonts w:hint="eastAsia" w:ascii="宋体" w:hAnsi="宋体" w:eastAsia="宋体" w:cs="宋体"/>
          <w:highlight w:val="none"/>
        </w:rPr>
      </w:pPr>
      <w:r>
        <w:rPr>
          <w:rFonts w:hint="eastAsia" w:ascii="宋体" w:hAnsi="宋体" w:eastAsia="宋体" w:cs="宋体"/>
          <w:highlight w:val="none"/>
        </w:rPr>
        <w:t>说明：监狱企业视同小型、微型企业。</w:t>
      </w:r>
    </w:p>
    <w:p w14:paraId="36774B07">
      <w:pPr>
        <w:pStyle w:val="78"/>
        <w:rPr>
          <w:rFonts w:hint="eastAsia" w:ascii="宋体" w:hAnsi="宋体" w:eastAsia="宋体" w:cs="宋体"/>
          <w:color w:val="auto"/>
          <w:highlight w:val="none"/>
        </w:rPr>
      </w:pPr>
    </w:p>
    <w:p w14:paraId="066CD8BD">
      <w:pPr>
        <w:pStyle w:val="78"/>
        <w:rPr>
          <w:rFonts w:hint="eastAsia" w:ascii="宋体" w:hAnsi="宋体" w:eastAsia="宋体" w:cs="宋体"/>
          <w:color w:val="auto"/>
          <w:highlight w:val="none"/>
        </w:rPr>
      </w:pPr>
    </w:p>
    <w:p w14:paraId="3D843360">
      <w:pPr>
        <w:pStyle w:val="78"/>
        <w:rPr>
          <w:rFonts w:hint="eastAsia" w:ascii="宋体" w:hAnsi="宋体" w:eastAsia="宋体" w:cs="宋体"/>
          <w:color w:val="auto"/>
          <w:highlight w:val="none"/>
        </w:rPr>
      </w:pPr>
    </w:p>
    <w:p w14:paraId="6E88E265">
      <w:pPr>
        <w:pStyle w:val="5"/>
        <w:jc w:val="center"/>
        <w:rPr>
          <w:rFonts w:hint="eastAsia" w:ascii="宋体" w:hAnsi="宋体" w:eastAsia="宋体" w:cs="宋体"/>
          <w:highlight w:val="none"/>
        </w:rPr>
      </w:pPr>
      <w:r>
        <w:rPr>
          <w:rFonts w:hint="eastAsia" w:ascii="宋体" w:hAnsi="宋体" w:eastAsia="宋体" w:cs="宋体"/>
          <w:highlight w:val="none"/>
          <w:lang w:val="en-US" w:eastAsia="zh-CN"/>
        </w:rPr>
        <w:t xml:space="preserve">  </w:t>
      </w:r>
      <w:r>
        <w:rPr>
          <w:rFonts w:hint="eastAsia" w:ascii="宋体" w:hAnsi="宋体" w:eastAsia="宋体" w:cs="宋体"/>
          <w:sz w:val="28"/>
          <w:szCs w:val="28"/>
          <w:highlight w:val="none"/>
        </w:rPr>
        <w:t>残疾人福利性单位声明函</w:t>
      </w:r>
    </w:p>
    <w:p w14:paraId="592B2295">
      <w:pPr>
        <w:ind w:firstLine="506"/>
        <w:jc w:val="center"/>
        <w:rPr>
          <w:rFonts w:hint="eastAsia" w:ascii="宋体" w:hAnsi="宋体" w:eastAsia="宋体" w:cs="宋体"/>
          <w:b/>
          <w:spacing w:val="6"/>
          <w:szCs w:val="21"/>
          <w:highlight w:val="none"/>
        </w:rPr>
      </w:pPr>
      <w:r>
        <w:rPr>
          <w:rFonts w:hint="eastAsia" w:ascii="宋体" w:hAnsi="宋体" w:eastAsia="宋体" w:cs="宋体"/>
          <w:b/>
          <w:spacing w:val="6"/>
          <w:szCs w:val="21"/>
          <w:highlight w:val="none"/>
        </w:rPr>
        <w:t>（非残疾人福利性单位可不提供）</w:t>
      </w:r>
    </w:p>
    <w:p w14:paraId="7311CD5C">
      <w:pPr>
        <w:ind w:firstLine="504"/>
        <w:rPr>
          <w:rFonts w:hint="eastAsia" w:ascii="宋体" w:hAnsi="宋体" w:eastAsia="宋体" w:cs="宋体"/>
          <w:spacing w:val="6"/>
          <w:highlight w:val="none"/>
        </w:rPr>
      </w:pPr>
      <w:r>
        <w:rPr>
          <w:rFonts w:hint="eastAsia" w:ascii="宋体" w:hAnsi="宋体" w:eastAsia="宋体" w:cs="宋体"/>
          <w:spacing w:val="6"/>
          <w:highlight w:val="none"/>
        </w:rPr>
        <w:t>本单位郑重声明，根据《财政部 民政部 中国残疾人联合会关于促进残疾人就业政府采购政策的通知》（财库</w:t>
      </w:r>
      <w:r>
        <w:rPr>
          <w:rFonts w:hint="eastAsia" w:ascii="宋体" w:hAnsi="宋体" w:eastAsia="宋体" w:cs="宋体"/>
          <w:highlight w:val="none"/>
        </w:rPr>
        <w:t>[2017]141</w:t>
      </w:r>
      <w:r>
        <w:rPr>
          <w:rFonts w:hint="eastAsia" w:ascii="宋体" w:hAnsi="宋体" w:eastAsia="宋体" w:cs="宋体"/>
          <w:spacing w:val="6"/>
          <w:highlight w:val="none"/>
        </w:rPr>
        <w:t>号）的规定，本单位为符合条件的残疾人福利性单位，且本单位参加</w:t>
      </w:r>
      <w:r>
        <w:rPr>
          <w:rFonts w:hint="eastAsia" w:cs="宋体"/>
          <w:spacing w:val="6"/>
          <w:highlight w:val="none"/>
          <w:u w:val="single"/>
          <w:lang w:eastAsia="zh-CN"/>
        </w:rPr>
        <w:t>（招标人名称）</w:t>
      </w:r>
      <w:r>
        <w:rPr>
          <w:rFonts w:hint="eastAsia" w:ascii="宋体" w:hAnsi="宋体" w:eastAsia="宋体" w:cs="宋体"/>
          <w:spacing w:val="6"/>
          <w:highlight w:val="none"/>
        </w:rPr>
        <w:t>的</w:t>
      </w:r>
      <w:r>
        <w:rPr>
          <w:rFonts w:hint="eastAsia" w:cs="宋体"/>
          <w:spacing w:val="6"/>
          <w:highlight w:val="none"/>
          <w:u w:val="single"/>
          <w:lang w:eastAsia="zh-CN"/>
        </w:rPr>
        <w:t>（项目名称）</w:t>
      </w:r>
      <w:r>
        <w:rPr>
          <w:rFonts w:hint="eastAsia" w:cs="宋体"/>
          <w:spacing w:val="6"/>
          <w:highlight w:val="none"/>
          <w:lang w:eastAsia="zh-CN"/>
        </w:rPr>
        <w:t>，</w:t>
      </w:r>
      <w:r>
        <w:rPr>
          <w:rFonts w:hint="eastAsia" w:ascii="宋体" w:hAnsi="宋体" w:eastAsia="宋体" w:cs="宋体"/>
          <w:spacing w:val="6"/>
          <w:highlight w:val="none"/>
        </w:rPr>
        <w:t>提供本单位</w:t>
      </w:r>
      <w:r>
        <w:rPr>
          <w:rFonts w:hint="eastAsia" w:ascii="宋体" w:hAnsi="宋体" w:eastAsia="宋体" w:cs="宋体"/>
          <w:spacing w:val="6"/>
          <w:highlight w:val="none"/>
          <w:lang w:eastAsia="zh-CN"/>
        </w:rPr>
        <w:t>承接</w:t>
      </w:r>
      <w:r>
        <w:rPr>
          <w:rFonts w:hint="eastAsia" w:ascii="宋体" w:hAnsi="宋体" w:eastAsia="宋体" w:cs="宋体"/>
          <w:spacing w:val="6"/>
          <w:highlight w:val="none"/>
        </w:rPr>
        <w:t>的</w:t>
      </w:r>
      <w:r>
        <w:rPr>
          <w:rFonts w:hint="eastAsia" w:ascii="宋体" w:hAnsi="宋体" w:eastAsia="宋体" w:cs="宋体"/>
          <w:spacing w:val="6"/>
          <w:highlight w:val="none"/>
          <w:lang w:eastAsia="zh-CN"/>
        </w:rPr>
        <w:t>服务</w:t>
      </w:r>
      <w:r>
        <w:rPr>
          <w:rFonts w:hint="eastAsia" w:ascii="宋体" w:hAnsi="宋体" w:eastAsia="宋体" w:cs="宋体"/>
          <w:spacing w:val="6"/>
          <w:highlight w:val="none"/>
        </w:rPr>
        <w:t>，或者提供其他残疾人福利性单位</w:t>
      </w:r>
      <w:r>
        <w:rPr>
          <w:rFonts w:hint="eastAsia" w:ascii="宋体" w:hAnsi="宋体" w:eastAsia="宋体" w:cs="宋体"/>
          <w:spacing w:val="6"/>
          <w:highlight w:val="none"/>
          <w:lang w:eastAsia="zh-CN"/>
        </w:rPr>
        <w:t>制造</w:t>
      </w:r>
      <w:r>
        <w:rPr>
          <w:rFonts w:hint="eastAsia" w:ascii="宋体" w:hAnsi="宋体" w:eastAsia="宋体" w:cs="宋体"/>
          <w:spacing w:val="6"/>
          <w:highlight w:val="none"/>
        </w:rPr>
        <w:t>的</w:t>
      </w:r>
      <w:r>
        <w:rPr>
          <w:rFonts w:hint="eastAsia" w:ascii="宋体" w:hAnsi="宋体" w:eastAsia="宋体" w:cs="宋体"/>
          <w:spacing w:val="6"/>
          <w:highlight w:val="none"/>
          <w:lang w:eastAsia="zh-CN"/>
        </w:rPr>
        <w:t>货物</w:t>
      </w:r>
      <w:r>
        <w:rPr>
          <w:rFonts w:hint="eastAsia" w:ascii="宋体" w:hAnsi="宋体" w:eastAsia="宋体" w:cs="宋体"/>
          <w:spacing w:val="6"/>
          <w:highlight w:val="none"/>
        </w:rPr>
        <w:t>（不包括使用非残疾人福利性单位注册商标的货物）。</w:t>
      </w:r>
    </w:p>
    <w:p w14:paraId="5BBFFBFB">
      <w:pPr>
        <w:ind w:firstLine="504"/>
        <w:rPr>
          <w:rFonts w:hint="eastAsia" w:ascii="宋体" w:hAnsi="宋体" w:eastAsia="宋体" w:cs="宋体"/>
          <w:spacing w:val="6"/>
          <w:highlight w:val="none"/>
        </w:rPr>
      </w:pPr>
      <w:r>
        <w:rPr>
          <w:rFonts w:hint="eastAsia" w:ascii="宋体" w:hAnsi="宋体" w:eastAsia="宋体" w:cs="宋体"/>
          <w:spacing w:val="6"/>
          <w:highlight w:val="none"/>
        </w:rPr>
        <w:t>本单位对上述声明的真实性负责。如有虚假，将依法承担相应责任。</w:t>
      </w:r>
    </w:p>
    <w:p w14:paraId="1FA0BF6C">
      <w:pPr>
        <w:ind w:firstLine="456"/>
        <w:rPr>
          <w:rFonts w:hint="eastAsia" w:ascii="宋体" w:hAnsi="宋体" w:eastAsia="宋体" w:cs="宋体"/>
          <w:spacing w:val="-6"/>
          <w:highlight w:val="none"/>
        </w:rPr>
      </w:pPr>
    </w:p>
    <w:p w14:paraId="52A9B6F7">
      <w:pPr>
        <w:spacing w:line="480" w:lineRule="auto"/>
        <w:ind w:firstLine="480"/>
        <w:rPr>
          <w:rFonts w:hint="eastAsia" w:ascii="宋体" w:hAnsi="宋体" w:eastAsia="宋体" w:cs="宋体"/>
          <w:highlight w:val="none"/>
        </w:rPr>
      </w:pPr>
      <w:r>
        <w:rPr>
          <w:rFonts w:hint="eastAsia" w:ascii="宋体" w:hAnsi="宋体" w:eastAsia="宋体" w:cs="宋体"/>
          <w:highlight w:val="none"/>
        </w:rPr>
        <w:t>投标人名称（公章）：</w:t>
      </w:r>
    </w:p>
    <w:p w14:paraId="1C7CBDED">
      <w:pPr>
        <w:spacing w:line="480" w:lineRule="auto"/>
        <w:ind w:firstLine="480"/>
        <w:rPr>
          <w:rFonts w:hint="eastAsia" w:ascii="宋体" w:hAnsi="宋体" w:eastAsia="宋体" w:cs="宋体"/>
          <w:highlight w:val="none"/>
        </w:rPr>
      </w:pPr>
      <w:r>
        <w:rPr>
          <w:rFonts w:hint="eastAsia" w:ascii="宋体" w:hAnsi="宋体" w:eastAsia="宋体" w:cs="宋体"/>
          <w:highlight w:val="none"/>
        </w:rPr>
        <w:t>法定代表人或其授权代表（签字或盖章）：</w:t>
      </w:r>
    </w:p>
    <w:p w14:paraId="77839924">
      <w:pPr>
        <w:spacing w:line="480" w:lineRule="auto"/>
        <w:ind w:firstLine="480"/>
        <w:rPr>
          <w:rFonts w:hint="eastAsia" w:ascii="宋体" w:hAnsi="宋体" w:eastAsia="宋体" w:cs="宋体"/>
          <w:highlight w:val="none"/>
        </w:rPr>
      </w:pPr>
      <w:r>
        <w:rPr>
          <w:rFonts w:hint="eastAsia" w:ascii="宋体" w:hAnsi="宋体" w:eastAsia="宋体" w:cs="宋体"/>
          <w:highlight w:val="none"/>
        </w:rPr>
        <w:t>日期：  年   月   日</w:t>
      </w:r>
    </w:p>
    <w:p w14:paraId="70F5DF66">
      <w:pPr>
        <w:spacing w:line="288" w:lineRule="auto"/>
        <w:ind w:firstLine="506"/>
        <w:jc w:val="left"/>
        <w:rPr>
          <w:rFonts w:hint="eastAsia" w:ascii="宋体" w:hAnsi="宋体" w:eastAsia="宋体" w:cs="宋体"/>
          <w:b/>
          <w:bCs/>
          <w:highlight w:val="none"/>
        </w:rPr>
      </w:pPr>
      <w:r>
        <w:rPr>
          <w:rFonts w:hint="eastAsia" w:ascii="宋体" w:hAnsi="宋体" w:eastAsia="宋体" w:cs="宋体"/>
          <w:b/>
          <w:spacing w:val="6"/>
          <w:highlight w:val="none"/>
        </w:rPr>
        <w:t>投标人不属于残疾人福利性单位的，无需提供此声明函，如提供所引起的后果由投标人承担。</w:t>
      </w:r>
    </w:p>
    <w:p w14:paraId="227AF03F">
      <w:pPr>
        <w:spacing w:line="288" w:lineRule="auto"/>
        <w:ind w:firstLine="456"/>
        <w:rPr>
          <w:rFonts w:hint="eastAsia" w:ascii="宋体" w:hAnsi="宋体" w:eastAsia="宋体" w:cs="宋体"/>
          <w:spacing w:val="-6"/>
          <w:highlight w:val="none"/>
        </w:rPr>
      </w:pPr>
    </w:p>
    <w:p w14:paraId="120ED79D">
      <w:pPr>
        <w:spacing w:line="360" w:lineRule="auto"/>
        <w:ind w:firstLine="482"/>
        <w:rPr>
          <w:rFonts w:hint="eastAsia" w:ascii="宋体" w:hAnsi="宋体" w:eastAsia="宋体" w:cs="宋体"/>
          <w:b/>
          <w:bCs/>
          <w:szCs w:val="21"/>
          <w:highlight w:val="none"/>
        </w:rPr>
      </w:pPr>
      <w:r>
        <w:rPr>
          <w:rFonts w:hint="eastAsia" w:ascii="宋体" w:hAnsi="宋体" w:eastAsia="宋体" w:cs="宋体"/>
          <w:b/>
          <w:bCs/>
          <w:szCs w:val="21"/>
          <w:highlight w:val="none"/>
        </w:rPr>
        <w:t>说明：</w:t>
      </w:r>
    </w:p>
    <w:p w14:paraId="51DDAA90">
      <w:pPr>
        <w:spacing w:line="360" w:lineRule="auto"/>
        <w:ind w:firstLine="480"/>
        <w:jc w:val="left"/>
        <w:rPr>
          <w:rFonts w:hint="eastAsia" w:ascii="宋体" w:hAnsi="宋体" w:eastAsia="宋体" w:cs="宋体"/>
          <w:spacing w:val="6"/>
          <w:szCs w:val="21"/>
          <w:highlight w:val="none"/>
        </w:rPr>
      </w:pPr>
      <w:r>
        <w:rPr>
          <w:rFonts w:hint="eastAsia" w:ascii="宋体" w:hAnsi="宋体" w:eastAsia="宋体" w:cs="宋体"/>
          <w:bCs/>
          <w:szCs w:val="21"/>
          <w:highlight w:val="none"/>
        </w:rPr>
        <w:t>1</w:t>
      </w:r>
      <w:r>
        <w:rPr>
          <w:rFonts w:hint="eastAsia" w:cs="宋体"/>
          <w:bCs/>
          <w:szCs w:val="21"/>
          <w:highlight w:val="none"/>
          <w:lang w:eastAsia="zh-CN"/>
        </w:rPr>
        <w:t>.</w:t>
      </w:r>
      <w:r>
        <w:rPr>
          <w:rFonts w:hint="eastAsia" w:ascii="宋体" w:hAnsi="宋体" w:eastAsia="宋体" w:cs="宋体"/>
          <w:spacing w:val="6"/>
          <w:szCs w:val="21"/>
          <w:highlight w:val="none"/>
        </w:rPr>
        <w:t>若投标人同时满足以下条件，则属于依法享受政府采购支持政策的残疾人福利性单位，可提供《残疾人福利性单位声明函》，并对声明的真实性负责：</w:t>
      </w:r>
    </w:p>
    <w:p w14:paraId="78DBAC0F">
      <w:pPr>
        <w:spacing w:line="360" w:lineRule="auto"/>
        <w:ind w:left="0" w:leftChars="0" w:firstLine="504" w:firstLineChars="200"/>
        <w:jc w:val="left"/>
        <w:rPr>
          <w:rFonts w:hint="eastAsia" w:ascii="宋体" w:hAnsi="宋体" w:eastAsia="宋体" w:cs="宋体"/>
          <w:spacing w:val="6"/>
          <w:szCs w:val="21"/>
          <w:highlight w:val="none"/>
        </w:rPr>
      </w:pPr>
      <w:r>
        <w:rPr>
          <w:rFonts w:hint="eastAsia" w:cs="宋体"/>
          <w:spacing w:val="6"/>
          <w:szCs w:val="21"/>
          <w:highlight w:val="none"/>
          <w:lang w:eastAsia="zh-CN"/>
        </w:rPr>
        <w:t>（</w:t>
      </w:r>
      <w:r>
        <w:rPr>
          <w:rFonts w:hint="eastAsia" w:cs="宋体"/>
          <w:spacing w:val="6"/>
          <w:szCs w:val="21"/>
          <w:highlight w:val="none"/>
          <w:lang w:val="en-US" w:eastAsia="zh-CN"/>
        </w:rPr>
        <w:t>1</w:t>
      </w:r>
      <w:r>
        <w:rPr>
          <w:rFonts w:hint="eastAsia" w:cs="宋体"/>
          <w:spacing w:val="6"/>
          <w:szCs w:val="21"/>
          <w:highlight w:val="none"/>
          <w:lang w:eastAsia="zh-CN"/>
        </w:rPr>
        <w:t>）</w:t>
      </w:r>
      <w:r>
        <w:rPr>
          <w:rFonts w:hint="eastAsia" w:ascii="宋体" w:hAnsi="宋体" w:eastAsia="宋体" w:cs="宋体"/>
          <w:spacing w:val="6"/>
          <w:szCs w:val="21"/>
          <w:highlight w:val="none"/>
        </w:rPr>
        <w:t>安置的残疾人占本单位在职职工人数的比例不低于25%（含25%），并且安置的残疾人人数不少于10人（含10人）；</w:t>
      </w:r>
    </w:p>
    <w:p w14:paraId="48976E27">
      <w:pPr>
        <w:spacing w:line="360" w:lineRule="auto"/>
        <w:ind w:left="0" w:leftChars="0" w:firstLine="504" w:firstLineChars="200"/>
        <w:jc w:val="left"/>
        <w:rPr>
          <w:rFonts w:hint="eastAsia" w:ascii="宋体" w:hAnsi="宋体" w:eastAsia="宋体" w:cs="宋体"/>
          <w:spacing w:val="6"/>
          <w:szCs w:val="21"/>
          <w:highlight w:val="none"/>
        </w:rPr>
      </w:pPr>
      <w:r>
        <w:rPr>
          <w:rFonts w:hint="eastAsia" w:cs="宋体"/>
          <w:spacing w:val="6"/>
          <w:szCs w:val="21"/>
          <w:highlight w:val="none"/>
          <w:lang w:eastAsia="zh-CN"/>
        </w:rPr>
        <w:t>（</w:t>
      </w:r>
      <w:r>
        <w:rPr>
          <w:rFonts w:hint="eastAsia" w:cs="宋体"/>
          <w:spacing w:val="6"/>
          <w:szCs w:val="21"/>
          <w:highlight w:val="none"/>
          <w:lang w:val="en-US" w:eastAsia="zh-CN"/>
        </w:rPr>
        <w:t>2</w:t>
      </w:r>
      <w:r>
        <w:rPr>
          <w:rFonts w:hint="eastAsia" w:cs="宋体"/>
          <w:spacing w:val="6"/>
          <w:szCs w:val="21"/>
          <w:highlight w:val="none"/>
          <w:lang w:eastAsia="zh-CN"/>
        </w:rPr>
        <w:t>）</w:t>
      </w:r>
      <w:r>
        <w:rPr>
          <w:rFonts w:hint="eastAsia" w:ascii="宋体" w:hAnsi="宋体" w:eastAsia="宋体" w:cs="宋体"/>
          <w:spacing w:val="6"/>
          <w:szCs w:val="21"/>
          <w:highlight w:val="none"/>
        </w:rPr>
        <w:t>依法与安置的每位残疾人签订了一年以上（含一年）的劳动合同或服务协议；</w:t>
      </w:r>
    </w:p>
    <w:p w14:paraId="7DB87E1D">
      <w:pPr>
        <w:spacing w:line="360" w:lineRule="auto"/>
        <w:ind w:left="0" w:leftChars="0" w:firstLine="504" w:firstLineChars="200"/>
        <w:jc w:val="left"/>
        <w:rPr>
          <w:rFonts w:hint="eastAsia" w:ascii="宋体" w:hAnsi="宋体" w:eastAsia="宋体" w:cs="宋体"/>
          <w:spacing w:val="6"/>
          <w:szCs w:val="21"/>
          <w:highlight w:val="none"/>
        </w:rPr>
      </w:pPr>
      <w:r>
        <w:rPr>
          <w:rFonts w:hint="eastAsia" w:cs="宋体"/>
          <w:spacing w:val="6"/>
          <w:szCs w:val="21"/>
          <w:highlight w:val="none"/>
          <w:lang w:eastAsia="zh-CN"/>
        </w:rPr>
        <w:t>（</w:t>
      </w:r>
      <w:r>
        <w:rPr>
          <w:rFonts w:hint="eastAsia" w:cs="宋体"/>
          <w:spacing w:val="6"/>
          <w:szCs w:val="21"/>
          <w:highlight w:val="none"/>
          <w:lang w:val="en-US" w:eastAsia="zh-CN"/>
        </w:rPr>
        <w:t>3</w:t>
      </w:r>
      <w:r>
        <w:rPr>
          <w:rFonts w:hint="eastAsia" w:cs="宋体"/>
          <w:spacing w:val="6"/>
          <w:szCs w:val="21"/>
          <w:highlight w:val="none"/>
          <w:lang w:eastAsia="zh-CN"/>
        </w:rPr>
        <w:t>）</w:t>
      </w:r>
      <w:r>
        <w:rPr>
          <w:rFonts w:hint="eastAsia" w:ascii="宋体" w:hAnsi="宋体" w:eastAsia="宋体" w:cs="宋体"/>
          <w:spacing w:val="6"/>
          <w:szCs w:val="21"/>
          <w:highlight w:val="none"/>
        </w:rPr>
        <w:t>为安置的每位残疾人按月足额缴纳了基本养老保险、基本医疗保险、失业保险、工伤保险和生育保险等社会保险费；</w:t>
      </w:r>
    </w:p>
    <w:p w14:paraId="02684177">
      <w:pPr>
        <w:spacing w:line="360" w:lineRule="auto"/>
        <w:ind w:left="0" w:leftChars="0" w:firstLine="504" w:firstLineChars="200"/>
        <w:jc w:val="left"/>
        <w:rPr>
          <w:rFonts w:hint="eastAsia" w:ascii="宋体" w:hAnsi="宋体" w:eastAsia="宋体" w:cs="宋体"/>
          <w:spacing w:val="6"/>
          <w:szCs w:val="21"/>
          <w:highlight w:val="none"/>
        </w:rPr>
      </w:pPr>
      <w:r>
        <w:rPr>
          <w:rFonts w:hint="eastAsia" w:cs="宋体"/>
          <w:spacing w:val="6"/>
          <w:szCs w:val="21"/>
          <w:highlight w:val="none"/>
          <w:lang w:eastAsia="zh-CN"/>
        </w:rPr>
        <w:t>（</w:t>
      </w:r>
      <w:r>
        <w:rPr>
          <w:rFonts w:hint="eastAsia" w:cs="宋体"/>
          <w:spacing w:val="6"/>
          <w:szCs w:val="21"/>
          <w:highlight w:val="none"/>
          <w:lang w:val="en-US" w:eastAsia="zh-CN"/>
        </w:rPr>
        <w:t>4</w:t>
      </w:r>
      <w:r>
        <w:rPr>
          <w:rFonts w:hint="eastAsia" w:cs="宋体"/>
          <w:spacing w:val="6"/>
          <w:szCs w:val="21"/>
          <w:highlight w:val="none"/>
          <w:lang w:eastAsia="zh-CN"/>
        </w:rPr>
        <w:t>）</w:t>
      </w:r>
      <w:r>
        <w:rPr>
          <w:rFonts w:hint="eastAsia" w:ascii="宋体" w:hAnsi="宋体" w:eastAsia="宋体" w:cs="宋体"/>
          <w:spacing w:val="6"/>
          <w:szCs w:val="21"/>
          <w:highlight w:val="none"/>
        </w:rPr>
        <w:t>通过银行等金融机构向安置的每位残疾人，按月支付了不低于单位所在区县适用的经省级人民政府批准的月最低工资标准的工资；</w:t>
      </w:r>
    </w:p>
    <w:p w14:paraId="5B89BA1B">
      <w:pPr>
        <w:spacing w:line="360" w:lineRule="auto"/>
        <w:ind w:left="0" w:leftChars="0" w:firstLine="504" w:firstLineChars="200"/>
        <w:jc w:val="left"/>
        <w:rPr>
          <w:rFonts w:hint="eastAsia" w:ascii="宋体" w:hAnsi="宋体" w:eastAsia="宋体" w:cs="宋体"/>
          <w:spacing w:val="6"/>
          <w:szCs w:val="21"/>
          <w:highlight w:val="none"/>
        </w:rPr>
      </w:pPr>
      <w:r>
        <w:rPr>
          <w:rFonts w:hint="eastAsia" w:cs="宋体"/>
          <w:spacing w:val="6"/>
          <w:szCs w:val="21"/>
          <w:highlight w:val="none"/>
          <w:lang w:eastAsia="zh-CN"/>
        </w:rPr>
        <w:t>（</w:t>
      </w:r>
      <w:r>
        <w:rPr>
          <w:rFonts w:hint="eastAsia" w:cs="宋体"/>
          <w:spacing w:val="6"/>
          <w:szCs w:val="21"/>
          <w:highlight w:val="none"/>
          <w:lang w:val="en-US" w:eastAsia="zh-CN"/>
        </w:rPr>
        <w:t>5</w:t>
      </w:r>
      <w:r>
        <w:rPr>
          <w:rFonts w:hint="eastAsia" w:cs="宋体"/>
          <w:spacing w:val="6"/>
          <w:szCs w:val="21"/>
          <w:highlight w:val="none"/>
          <w:lang w:eastAsia="zh-CN"/>
        </w:rPr>
        <w:t>）</w:t>
      </w:r>
      <w:r>
        <w:rPr>
          <w:rFonts w:hint="eastAsia" w:ascii="宋体" w:hAnsi="宋体" w:eastAsia="宋体" w:cs="宋体"/>
          <w:spacing w:val="6"/>
          <w:szCs w:val="21"/>
          <w:highlight w:val="none"/>
        </w:rPr>
        <w:t>提供本单位制造的货物、承担的工程或者服务（以下简称产品），或者提供其他残疾人福利性单位制造的货物（不包括使用非残疾人福利性单位注册商标的货物）。</w:t>
      </w:r>
    </w:p>
    <w:p w14:paraId="24B7DA40">
      <w:pPr>
        <w:spacing w:line="360" w:lineRule="auto"/>
        <w:ind w:firstLine="504"/>
        <w:jc w:val="left"/>
        <w:rPr>
          <w:rFonts w:hint="eastAsia" w:ascii="宋体" w:hAnsi="宋体" w:eastAsia="宋体" w:cs="宋体"/>
          <w:spacing w:val="6"/>
          <w:szCs w:val="21"/>
          <w:highlight w:val="none"/>
        </w:rPr>
      </w:pPr>
      <w:r>
        <w:rPr>
          <w:rFonts w:hint="eastAsia" w:cs="宋体"/>
          <w:spacing w:val="6"/>
          <w:szCs w:val="21"/>
          <w:highlight w:val="none"/>
          <w:lang w:val="en-US" w:eastAsia="zh-CN"/>
        </w:rPr>
        <w:t>2.</w:t>
      </w:r>
      <w:r>
        <w:rPr>
          <w:rFonts w:hint="eastAsia" w:ascii="宋体" w:hAnsi="宋体" w:eastAsia="宋体" w:cs="宋体"/>
          <w:spacing w:val="6"/>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71C63EB">
      <w:pPr>
        <w:spacing w:line="360" w:lineRule="auto"/>
        <w:ind w:firstLine="504"/>
        <w:jc w:val="left"/>
        <w:rPr>
          <w:rFonts w:hint="eastAsia" w:ascii="宋体" w:hAnsi="宋体" w:eastAsia="宋体" w:cs="宋体"/>
        </w:rPr>
      </w:pPr>
      <w:r>
        <w:rPr>
          <w:rFonts w:hint="eastAsia" w:cs="宋体"/>
          <w:spacing w:val="6"/>
          <w:szCs w:val="21"/>
          <w:highlight w:val="none"/>
          <w:lang w:val="en-US" w:eastAsia="zh-CN"/>
        </w:rPr>
        <w:t>3</w:t>
      </w:r>
      <w:r>
        <w:rPr>
          <w:rFonts w:hint="eastAsia" w:cs="宋体"/>
          <w:spacing w:val="6"/>
          <w:szCs w:val="21"/>
          <w:highlight w:val="none"/>
          <w:lang w:eastAsia="zh-CN"/>
        </w:rPr>
        <w:t>.</w:t>
      </w:r>
      <w:r>
        <w:rPr>
          <w:rFonts w:hint="eastAsia" w:ascii="宋体" w:hAnsi="宋体" w:eastAsia="宋体" w:cs="宋体"/>
          <w:spacing w:val="6"/>
          <w:szCs w:val="21"/>
          <w:highlight w:val="none"/>
        </w:rPr>
        <w:t>中标人为残疾人福利性单位的，《残疾人福利性单位声明函》随中标结果同时公告，接受社会监督。</w:t>
      </w:r>
      <w:r>
        <w:rPr>
          <w:rFonts w:hint="eastAsia" w:ascii="宋体" w:hAnsi="宋体" w:eastAsia="宋体" w:cs="宋体"/>
          <w:lang w:val="zh-CN"/>
        </w:rPr>
        <w:t xml:space="preserve">         </w:t>
      </w:r>
    </w:p>
    <w:p w14:paraId="16064F08">
      <w:pPr>
        <w:ind w:firstLine="482"/>
        <w:rPr>
          <w:rFonts w:hint="eastAsia" w:ascii="宋体" w:hAnsi="宋体" w:eastAsia="宋体" w:cs="宋体"/>
          <w:b/>
          <w:bCs/>
          <w:lang w:val="zh-CN"/>
        </w:rPr>
      </w:pPr>
    </w:p>
    <w:p w14:paraId="304B1BFA">
      <w:pPr>
        <w:ind w:firstLine="482"/>
        <w:rPr>
          <w:rFonts w:hint="eastAsia" w:ascii="宋体" w:hAnsi="宋体" w:eastAsia="宋体" w:cs="宋体"/>
          <w:b/>
          <w:bCs/>
          <w:lang w:val="zh-CN"/>
        </w:rPr>
      </w:pPr>
    </w:p>
    <w:p w14:paraId="114A7E98">
      <w:pPr>
        <w:pStyle w:val="78"/>
        <w:rPr>
          <w:rFonts w:hint="eastAsia" w:ascii="宋体" w:hAnsi="宋体" w:eastAsia="宋体" w:cs="宋体"/>
          <w:b/>
          <w:color w:val="auto"/>
          <w:lang w:val="zh-CN"/>
        </w:rPr>
      </w:pPr>
    </w:p>
    <w:p w14:paraId="2E794D6B">
      <w:pPr>
        <w:pStyle w:val="78"/>
        <w:rPr>
          <w:rFonts w:hint="eastAsia" w:ascii="宋体" w:hAnsi="宋体" w:eastAsia="宋体" w:cs="宋体"/>
          <w:b/>
          <w:color w:val="auto"/>
          <w:lang w:val="zh-CN"/>
        </w:rPr>
      </w:pPr>
    </w:p>
    <w:p w14:paraId="14C40885">
      <w:pPr>
        <w:pStyle w:val="78"/>
        <w:rPr>
          <w:rFonts w:hint="eastAsia" w:ascii="宋体" w:hAnsi="宋体" w:eastAsia="宋体" w:cs="宋体"/>
          <w:b/>
          <w:color w:val="auto"/>
          <w:lang w:val="zh-CN"/>
        </w:rPr>
        <w:sectPr>
          <w:headerReference r:id="rId18" w:type="default"/>
          <w:footerReference r:id="rId19" w:type="default"/>
          <w:pgSz w:w="11907" w:h="16840"/>
          <w:pgMar w:top="1247" w:right="1304" w:bottom="1021" w:left="1304" w:header="720" w:footer="720" w:gutter="0"/>
          <w:pgNumType w:fmt="decimal"/>
          <w:cols w:space="720" w:num="1"/>
          <w:docGrid w:linePitch="286" w:charSpace="0"/>
        </w:sectPr>
      </w:pPr>
    </w:p>
    <w:p w14:paraId="03064DBF">
      <w:pPr>
        <w:pStyle w:val="5"/>
        <w:rPr>
          <w:rFonts w:hint="default" w:ascii="宋体" w:hAnsi="宋体" w:eastAsia="宋体" w:cs="宋体"/>
          <w:szCs w:val="24"/>
          <w:lang w:val="en-US" w:eastAsia="zh-CN"/>
        </w:rPr>
      </w:pPr>
      <w:r>
        <w:rPr>
          <w:rFonts w:hint="eastAsia" w:cs="宋体"/>
          <w:szCs w:val="24"/>
          <w:lang w:eastAsia="zh-CN"/>
        </w:rPr>
        <w:t>商务</w:t>
      </w:r>
      <w:r>
        <w:rPr>
          <w:rFonts w:hint="eastAsia" w:ascii="宋体" w:hAnsi="宋体" w:eastAsia="宋体" w:cs="宋体"/>
          <w:szCs w:val="24"/>
        </w:rPr>
        <w:t>技术文件封面</w:t>
      </w:r>
      <w:r>
        <w:rPr>
          <w:rFonts w:hint="eastAsia" w:cs="宋体"/>
          <w:szCs w:val="24"/>
          <w:lang w:val="en-US" w:eastAsia="zh-CN"/>
        </w:rPr>
        <w:t xml:space="preserve">                                                正本（副本）</w:t>
      </w:r>
    </w:p>
    <w:p w14:paraId="0EA65C17">
      <w:pPr>
        <w:ind w:firstLine="482"/>
        <w:jc w:val="center"/>
        <w:rPr>
          <w:rFonts w:hint="eastAsia" w:ascii="宋体" w:hAnsi="宋体" w:eastAsia="宋体" w:cs="宋体"/>
        </w:rPr>
      </w:pPr>
      <w:r>
        <w:rPr>
          <w:rFonts w:hint="eastAsia" w:ascii="宋体" w:hAnsi="宋体" w:eastAsia="宋体" w:cs="宋体"/>
          <w:b/>
          <w:bCs/>
        </w:rPr>
        <w:t xml:space="preserve"> </w:t>
      </w:r>
    </w:p>
    <w:p w14:paraId="615455CB">
      <w:pPr>
        <w:ind w:firstLine="480"/>
        <w:rPr>
          <w:rFonts w:hint="eastAsia" w:ascii="宋体" w:hAnsi="宋体" w:eastAsia="宋体" w:cs="宋体"/>
        </w:rPr>
      </w:pPr>
    </w:p>
    <w:p w14:paraId="1E1F1475">
      <w:pPr>
        <w:ind w:left="0" w:leftChars="0" w:firstLine="0" w:firstLineChars="0"/>
        <w:jc w:val="center"/>
        <w:rPr>
          <w:rFonts w:hint="eastAsia" w:ascii="宋体" w:hAnsi="宋体" w:eastAsia="宋体" w:cs="宋体"/>
          <w:sz w:val="32"/>
          <w:szCs w:val="32"/>
        </w:rPr>
      </w:pPr>
      <w:r>
        <w:rPr>
          <w:rFonts w:hint="eastAsia" w:cs="宋体"/>
          <w:b/>
          <w:bCs/>
          <w:sz w:val="32"/>
          <w:szCs w:val="32"/>
          <w:lang w:eastAsia="zh-CN"/>
        </w:rPr>
        <w:t>商务</w:t>
      </w:r>
      <w:r>
        <w:rPr>
          <w:rFonts w:hint="eastAsia" w:ascii="宋体" w:hAnsi="宋体" w:eastAsia="宋体" w:cs="宋体"/>
          <w:b/>
          <w:bCs/>
          <w:sz w:val="32"/>
          <w:szCs w:val="32"/>
        </w:rPr>
        <w:t>技术文件</w:t>
      </w:r>
    </w:p>
    <w:p w14:paraId="36D5B785">
      <w:pPr>
        <w:ind w:firstLine="480"/>
        <w:rPr>
          <w:rFonts w:hint="eastAsia" w:ascii="宋体" w:hAnsi="宋体" w:eastAsia="宋体" w:cs="宋体"/>
        </w:rPr>
      </w:pPr>
    </w:p>
    <w:p w14:paraId="491F549C">
      <w:pPr>
        <w:pStyle w:val="78"/>
        <w:rPr>
          <w:rFonts w:hint="eastAsia" w:ascii="宋体" w:hAnsi="宋体" w:eastAsia="宋体" w:cs="宋体"/>
          <w:color w:val="auto"/>
        </w:rPr>
      </w:pPr>
    </w:p>
    <w:p w14:paraId="3171E31A">
      <w:pPr>
        <w:pStyle w:val="78"/>
        <w:rPr>
          <w:rFonts w:hint="eastAsia" w:ascii="宋体" w:hAnsi="宋体" w:eastAsia="宋体" w:cs="宋体"/>
          <w:color w:val="auto"/>
        </w:rPr>
      </w:pPr>
    </w:p>
    <w:p w14:paraId="6E7EFDEC">
      <w:pPr>
        <w:spacing w:line="48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招 标 人：</w:t>
      </w:r>
    </w:p>
    <w:p w14:paraId="15C9C257">
      <w:pPr>
        <w:spacing w:line="48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项目名称：</w:t>
      </w:r>
    </w:p>
    <w:p w14:paraId="501472FC">
      <w:pPr>
        <w:spacing w:line="48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项目编号：</w:t>
      </w:r>
    </w:p>
    <w:p w14:paraId="50A358EA">
      <w:pPr>
        <w:spacing w:line="48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投标人名称（盖章）：</w:t>
      </w:r>
    </w:p>
    <w:p w14:paraId="0B1C9944">
      <w:pPr>
        <w:spacing w:line="48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投标人地址：</w:t>
      </w:r>
    </w:p>
    <w:p w14:paraId="25E2D565">
      <w:pPr>
        <w:ind w:firstLine="456"/>
        <w:rPr>
          <w:rFonts w:hint="eastAsia" w:ascii="宋体" w:hAnsi="宋体" w:eastAsia="宋体" w:cs="宋体"/>
          <w:bCs/>
          <w:spacing w:val="-6"/>
          <w:sz w:val="30"/>
          <w:szCs w:val="30"/>
        </w:rPr>
      </w:pPr>
    </w:p>
    <w:p w14:paraId="39F90D41">
      <w:pPr>
        <w:spacing w:line="480" w:lineRule="auto"/>
        <w:ind w:firstLine="456"/>
        <w:rPr>
          <w:rFonts w:hint="eastAsia" w:ascii="宋体" w:hAnsi="宋体" w:eastAsia="宋体" w:cs="宋体"/>
          <w:bCs/>
          <w:spacing w:val="-6"/>
          <w:sz w:val="30"/>
          <w:szCs w:val="30"/>
        </w:rPr>
      </w:pPr>
      <w:r>
        <w:rPr>
          <w:rFonts w:hint="eastAsia" w:cs="宋体"/>
          <w:spacing w:val="-6"/>
          <w:sz w:val="30"/>
          <w:szCs w:val="30"/>
          <w:lang w:eastAsia="zh-CN"/>
        </w:rPr>
        <w:t>法定代表人或其授权代表（</w:t>
      </w:r>
      <w:r>
        <w:rPr>
          <w:rFonts w:hint="eastAsia" w:ascii="宋体" w:hAnsi="宋体" w:eastAsia="宋体" w:cs="宋体"/>
          <w:spacing w:val="-6"/>
          <w:sz w:val="30"/>
          <w:szCs w:val="30"/>
        </w:rPr>
        <w:t>签字</w:t>
      </w:r>
      <w:r>
        <w:rPr>
          <w:rFonts w:hint="eastAsia" w:cs="宋体"/>
          <w:spacing w:val="-6"/>
          <w:sz w:val="30"/>
          <w:szCs w:val="30"/>
          <w:lang w:eastAsia="zh-CN"/>
        </w:rPr>
        <w:t>）</w:t>
      </w:r>
      <w:r>
        <w:rPr>
          <w:rFonts w:hint="eastAsia" w:ascii="宋体" w:hAnsi="宋体" w:eastAsia="宋体" w:cs="宋体"/>
          <w:bCs/>
          <w:spacing w:val="-6"/>
          <w:sz w:val="30"/>
          <w:szCs w:val="30"/>
        </w:rPr>
        <w:t>：</w:t>
      </w:r>
    </w:p>
    <w:p w14:paraId="540E021D">
      <w:pPr>
        <w:spacing w:line="480" w:lineRule="auto"/>
        <w:ind w:firstLine="480"/>
        <w:rPr>
          <w:rFonts w:hint="eastAsia" w:ascii="宋体" w:hAnsi="宋体" w:eastAsia="宋体" w:cs="宋体"/>
        </w:rPr>
        <w:sectPr>
          <w:headerReference r:id="rId20" w:type="default"/>
          <w:pgSz w:w="11907" w:h="16840"/>
          <w:pgMar w:top="1247" w:right="1304" w:bottom="1021" w:left="1304" w:header="720" w:footer="720" w:gutter="0"/>
          <w:pgNumType w:fmt="decimal"/>
          <w:cols w:space="720" w:num="1"/>
          <w:docGrid w:linePitch="286" w:charSpace="0"/>
        </w:sectPr>
      </w:pPr>
      <w:r>
        <w:rPr>
          <w:rFonts w:hint="eastAsia" w:ascii="宋体" w:hAnsi="宋体" w:eastAsia="宋体" w:cs="宋体"/>
          <w:bCs/>
          <w:spacing w:val="-6"/>
          <w:sz w:val="30"/>
          <w:szCs w:val="30"/>
        </w:rPr>
        <w:t>日期：    年  月  日</w:t>
      </w:r>
    </w:p>
    <w:p w14:paraId="3E270488">
      <w:pPr>
        <w:ind w:left="0" w:leftChars="0" w:firstLine="0" w:firstLineChars="0"/>
        <w:rPr>
          <w:rFonts w:hint="eastAsia" w:ascii="宋体" w:hAnsi="宋体" w:eastAsia="宋体" w:cs="宋体"/>
          <w:b/>
          <w:kern w:val="0"/>
          <w:sz w:val="10"/>
          <w:szCs w:val="10"/>
        </w:rPr>
      </w:pPr>
      <w:bookmarkStart w:id="83" w:name="_Toc7692"/>
    </w:p>
    <w:p w14:paraId="071E2F28">
      <w:pPr>
        <w:spacing w:line="480" w:lineRule="auto"/>
        <w:ind w:left="0" w:leftChars="0" w:firstLine="0" w:firstLineChars="0"/>
        <w:jc w:val="center"/>
        <w:outlineLvl w:val="0"/>
        <w:rPr>
          <w:rFonts w:hint="eastAsia" w:ascii="宋体" w:hAnsi="宋体" w:eastAsia="宋体" w:cs="宋体"/>
          <w:b/>
          <w:kern w:val="0"/>
          <w:sz w:val="28"/>
          <w:szCs w:val="28"/>
        </w:rPr>
      </w:pPr>
      <w:r>
        <w:rPr>
          <w:rFonts w:hint="eastAsia" w:cs="宋体"/>
          <w:b/>
          <w:bCs/>
          <w:sz w:val="32"/>
          <w:szCs w:val="32"/>
          <w:lang w:eastAsia="zh-CN"/>
        </w:rPr>
        <w:t>商务</w:t>
      </w:r>
      <w:r>
        <w:rPr>
          <w:rFonts w:hint="eastAsia" w:ascii="宋体" w:hAnsi="宋体" w:eastAsia="宋体" w:cs="宋体"/>
          <w:b/>
          <w:bCs/>
          <w:sz w:val="32"/>
          <w:szCs w:val="32"/>
        </w:rPr>
        <w:t>技术</w:t>
      </w:r>
      <w:r>
        <w:rPr>
          <w:rFonts w:hint="eastAsia" w:ascii="宋体" w:hAnsi="宋体" w:eastAsia="宋体" w:cs="宋体"/>
          <w:b/>
          <w:bCs/>
          <w:kern w:val="0"/>
          <w:sz w:val="32"/>
          <w:szCs w:val="32"/>
        </w:rPr>
        <w:t>文</w:t>
      </w:r>
      <w:r>
        <w:rPr>
          <w:rFonts w:hint="eastAsia" w:ascii="宋体" w:hAnsi="宋体" w:eastAsia="宋体" w:cs="宋体"/>
          <w:b/>
          <w:kern w:val="0"/>
          <w:sz w:val="32"/>
          <w:szCs w:val="32"/>
        </w:rPr>
        <w:t>件目录</w:t>
      </w:r>
      <w:bookmarkEnd w:id="83"/>
    </w:p>
    <w:p w14:paraId="0384BAB3">
      <w:pPr>
        <w:numPr>
          <w:ilvl w:val="0"/>
          <w:numId w:val="0"/>
        </w:numPr>
        <w:spacing w:line="480" w:lineRule="auto"/>
        <w:ind w:firstLine="480" w:firstLineChars="200"/>
        <w:rPr>
          <w:rFonts w:hint="eastAsia" w:cs="宋体"/>
          <w:highlight w:val="none"/>
        </w:rPr>
      </w:pPr>
      <w:r>
        <w:rPr>
          <w:rFonts w:hint="eastAsia" w:cs="宋体"/>
          <w:highlight w:val="none"/>
          <w:lang w:val="en-US" w:eastAsia="zh-CN"/>
        </w:rPr>
        <w:t>1.</w:t>
      </w:r>
      <w:r>
        <w:rPr>
          <w:rFonts w:hint="eastAsia" w:cs="宋体"/>
          <w:highlight w:val="none"/>
          <w:lang w:eastAsia="zh-CN"/>
        </w:rPr>
        <w:t>评分索引表；（附件七）</w:t>
      </w:r>
    </w:p>
    <w:p w14:paraId="5BA9B8DC">
      <w:pPr>
        <w:numPr>
          <w:ilvl w:val="0"/>
          <w:numId w:val="0"/>
        </w:numPr>
        <w:spacing w:line="480" w:lineRule="auto"/>
        <w:ind w:firstLine="480" w:firstLineChars="200"/>
        <w:rPr>
          <w:rFonts w:hint="default" w:cs="宋体"/>
          <w:highlight w:val="none"/>
          <w:lang w:val="en-US" w:eastAsia="zh-CN"/>
        </w:rPr>
      </w:pPr>
      <w:r>
        <w:rPr>
          <w:rFonts w:hint="eastAsia" w:cs="宋体"/>
          <w:highlight w:val="none"/>
          <w:lang w:val="en-US" w:eastAsia="zh-CN"/>
        </w:rPr>
        <w:t>2.商务偏离表；（附件八）</w:t>
      </w:r>
    </w:p>
    <w:p w14:paraId="351394B8">
      <w:pPr>
        <w:numPr>
          <w:ilvl w:val="0"/>
          <w:numId w:val="0"/>
        </w:numPr>
        <w:spacing w:line="480" w:lineRule="auto"/>
        <w:ind w:firstLine="480" w:firstLineChars="200"/>
        <w:rPr>
          <w:rFonts w:hint="default" w:cs="宋体"/>
          <w:highlight w:val="none"/>
          <w:lang w:val="en-US" w:eastAsia="zh-CN"/>
        </w:rPr>
      </w:pPr>
      <w:r>
        <w:rPr>
          <w:rFonts w:hint="eastAsia" w:cs="宋体"/>
          <w:highlight w:val="none"/>
          <w:lang w:val="en-US" w:eastAsia="zh-CN"/>
        </w:rPr>
        <w:t>3.</w:t>
      </w:r>
      <w:r>
        <w:rPr>
          <w:rFonts w:hint="eastAsia" w:asciiTheme="minorEastAsia" w:hAnsiTheme="minorEastAsia" w:eastAsiaTheme="minorEastAsia" w:cstheme="minorEastAsia"/>
          <w:b w:val="0"/>
          <w:bCs w:val="0"/>
          <w:color w:val="auto"/>
          <w:kern w:val="0"/>
          <w:sz w:val="24"/>
          <w:szCs w:val="24"/>
          <w:highlight w:val="none"/>
        </w:rPr>
        <w:t>技术</w:t>
      </w:r>
      <w:r>
        <w:rPr>
          <w:rFonts w:hint="eastAsia" w:asciiTheme="minorEastAsia" w:hAnsiTheme="minorEastAsia" w:eastAsiaTheme="minorEastAsia" w:cstheme="minorEastAsia"/>
          <w:b w:val="0"/>
          <w:bCs w:val="0"/>
          <w:color w:val="auto"/>
          <w:kern w:val="0"/>
          <w:sz w:val="24"/>
          <w:szCs w:val="24"/>
          <w:highlight w:val="none"/>
          <w:lang w:eastAsia="zh-CN"/>
        </w:rPr>
        <w:t>指标响应程度（以技术规范偏离表为评审依据）；</w:t>
      </w:r>
      <w:r>
        <w:rPr>
          <w:rFonts w:hint="eastAsia" w:cs="宋体"/>
          <w:highlight w:val="none"/>
          <w:lang w:val="en-US" w:eastAsia="zh-CN"/>
        </w:rPr>
        <w:t>（附件九）</w:t>
      </w:r>
    </w:p>
    <w:p w14:paraId="62A13C3E">
      <w:pPr>
        <w:numPr>
          <w:ilvl w:val="0"/>
          <w:numId w:val="0"/>
        </w:numPr>
        <w:spacing w:line="480" w:lineRule="auto"/>
        <w:ind w:firstLine="480" w:firstLineChars="200"/>
        <w:rPr>
          <w:rFonts w:hint="default" w:eastAsia="宋体" w:cs="宋体"/>
          <w:highlight w:val="none"/>
          <w:lang w:val="en-US" w:eastAsia="zh-CN"/>
        </w:rPr>
      </w:pPr>
      <w:r>
        <w:rPr>
          <w:rFonts w:hint="eastAsia" w:cs="宋体"/>
          <w:highlight w:val="none"/>
          <w:lang w:val="en-US" w:eastAsia="zh-CN"/>
        </w:rPr>
        <w:t>4.</w:t>
      </w:r>
      <w:r>
        <w:rPr>
          <w:rFonts w:hint="eastAsia" w:asciiTheme="minorEastAsia" w:hAnsiTheme="minorEastAsia" w:eastAsiaTheme="minorEastAsia" w:cstheme="minorEastAsia"/>
          <w:b w:val="0"/>
          <w:bCs w:val="0"/>
          <w:color w:val="auto"/>
          <w:kern w:val="2"/>
          <w:sz w:val="24"/>
          <w:szCs w:val="24"/>
          <w:highlight w:val="none"/>
          <w:lang w:val="en-US" w:eastAsia="zh-CN" w:bidi="ar-SA"/>
        </w:rPr>
        <w:t>项目实施方案</w:t>
      </w:r>
      <w:r>
        <w:rPr>
          <w:rFonts w:hint="eastAsia" w:cs="宋体"/>
          <w:highlight w:val="none"/>
          <w:lang w:val="en-US" w:eastAsia="zh-CN"/>
        </w:rPr>
        <w:t>；</w:t>
      </w:r>
    </w:p>
    <w:p w14:paraId="12AE81B0">
      <w:pPr>
        <w:numPr>
          <w:ilvl w:val="0"/>
          <w:numId w:val="0"/>
        </w:numPr>
        <w:spacing w:line="480" w:lineRule="auto"/>
        <w:ind w:leftChars="200"/>
        <w:rPr>
          <w:rFonts w:hint="default" w:cs="宋体"/>
          <w:highlight w:val="none"/>
          <w:lang w:val="en-US" w:eastAsia="zh-CN"/>
        </w:rPr>
      </w:pPr>
      <w:r>
        <w:rPr>
          <w:rFonts w:hint="eastAsia" w:cs="宋体"/>
          <w:highlight w:val="none"/>
          <w:lang w:val="en-US" w:eastAsia="zh-CN"/>
        </w:rPr>
        <w:t>5.人员技术力量；</w:t>
      </w:r>
    </w:p>
    <w:p w14:paraId="18FC9C5D">
      <w:pPr>
        <w:keepNext w:val="0"/>
        <w:keepLines w:val="0"/>
        <w:pageBreakBefore w:val="0"/>
        <w:widowControl w:val="0"/>
        <w:kinsoku/>
        <w:wordWrap/>
        <w:overflowPunct/>
        <w:topLinePunct w:val="0"/>
        <w:autoSpaceDE/>
        <w:autoSpaceDN/>
        <w:bidi w:val="0"/>
        <w:adjustRightInd w:val="0"/>
        <w:snapToGrid w:val="0"/>
        <w:spacing w:line="480" w:lineRule="auto"/>
        <w:ind w:firstLine="480" w:firstLineChars="200"/>
        <w:jc w:val="both"/>
        <w:textAlignment w:val="auto"/>
        <w:rPr>
          <w:rFonts w:hint="default" w:cs="宋体"/>
          <w:highlight w:val="none"/>
          <w:lang w:val="en-US" w:eastAsia="zh-CN"/>
        </w:rPr>
      </w:pPr>
      <w:r>
        <w:rPr>
          <w:rFonts w:hint="eastAsia" w:cs="宋体"/>
          <w:highlight w:val="none"/>
          <w:lang w:val="en-US" w:eastAsia="zh-CN"/>
        </w:rPr>
        <w:t>6.产品竞争力；</w:t>
      </w:r>
    </w:p>
    <w:p w14:paraId="08692502">
      <w:pPr>
        <w:keepNext w:val="0"/>
        <w:keepLines w:val="0"/>
        <w:pageBreakBefore w:val="0"/>
        <w:widowControl w:val="0"/>
        <w:kinsoku/>
        <w:wordWrap/>
        <w:overflowPunct/>
        <w:topLinePunct w:val="0"/>
        <w:autoSpaceDE/>
        <w:autoSpaceDN/>
        <w:bidi w:val="0"/>
        <w:adjustRightInd w:val="0"/>
        <w:snapToGrid w:val="0"/>
        <w:spacing w:line="480" w:lineRule="auto"/>
        <w:ind w:firstLine="480" w:firstLineChars="200"/>
        <w:jc w:val="both"/>
        <w:textAlignment w:val="auto"/>
        <w:rPr>
          <w:rFonts w:hint="default" w:cs="宋体"/>
          <w:highlight w:val="none"/>
          <w:lang w:val="en-US" w:eastAsia="zh-CN"/>
        </w:rPr>
      </w:pPr>
      <w:r>
        <w:rPr>
          <w:rFonts w:hint="eastAsia" w:cs="宋体"/>
          <w:highlight w:val="none"/>
          <w:lang w:val="en-US" w:eastAsia="zh-CN"/>
        </w:rPr>
        <w:t>7.优惠承诺；</w:t>
      </w:r>
    </w:p>
    <w:p w14:paraId="52266861">
      <w:pPr>
        <w:numPr>
          <w:ilvl w:val="0"/>
          <w:numId w:val="0"/>
        </w:numPr>
        <w:spacing w:line="480" w:lineRule="auto"/>
        <w:ind w:leftChars="200"/>
        <w:rPr>
          <w:rFonts w:hint="default" w:cs="宋体"/>
          <w:highlight w:val="none"/>
          <w:lang w:val="en-US" w:eastAsia="zh-CN"/>
        </w:rPr>
      </w:pPr>
      <w:r>
        <w:rPr>
          <w:rFonts w:hint="eastAsia" w:cs="宋体"/>
          <w:highlight w:val="none"/>
          <w:lang w:val="en-US" w:eastAsia="zh-CN"/>
        </w:rPr>
        <w:t>8.类似业绩：同类项目实施情况一览表；（附件十）</w:t>
      </w:r>
    </w:p>
    <w:p w14:paraId="419809E3">
      <w:pPr>
        <w:numPr>
          <w:ilvl w:val="0"/>
          <w:numId w:val="0"/>
        </w:numPr>
        <w:spacing w:line="480" w:lineRule="auto"/>
        <w:ind w:firstLine="480" w:firstLineChars="200"/>
        <w:rPr>
          <w:rFonts w:hint="eastAsia" w:cs="宋体"/>
          <w:highlight w:val="none"/>
          <w:lang w:val="en-US" w:eastAsia="zh-CN"/>
        </w:rPr>
      </w:pPr>
      <w:r>
        <w:rPr>
          <w:rFonts w:hint="eastAsia" w:cs="宋体"/>
          <w:highlight w:val="none"/>
          <w:lang w:val="en-US" w:eastAsia="zh-CN"/>
        </w:rPr>
        <w:t>9.</w:t>
      </w:r>
      <w:r>
        <w:rPr>
          <w:rFonts w:hint="eastAsia" w:asciiTheme="minorEastAsia" w:hAnsiTheme="minorEastAsia" w:eastAsiaTheme="minorEastAsia" w:cstheme="minorEastAsia"/>
          <w:b w:val="0"/>
          <w:bCs w:val="0"/>
          <w:color w:val="auto"/>
          <w:sz w:val="24"/>
          <w:szCs w:val="24"/>
          <w:highlight w:val="none"/>
        </w:rPr>
        <w:t>企业认证</w:t>
      </w:r>
      <w:r>
        <w:rPr>
          <w:rFonts w:hint="eastAsia" w:cs="宋体"/>
          <w:highlight w:val="none"/>
          <w:lang w:val="en-US" w:eastAsia="zh-CN"/>
        </w:rPr>
        <w:t>；</w:t>
      </w:r>
    </w:p>
    <w:p w14:paraId="3869345C">
      <w:pPr>
        <w:numPr>
          <w:ilvl w:val="0"/>
          <w:numId w:val="0"/>
        </w:numPr>
        <w:spacing w:line="480" w:lineRule="auto"/>
        <w:ind w:firstLine="480" w:firstLineChars="200"/>
        <w:rPr>
          <w:rFonts w:hint="default" w:cs="宋体"/>
          <w:highlight w:val="none"/>
          <w:lang w:val="en-US" w:eastAsia="zh-CN"/>
        </w:rPr>
      </w:pPr>
      <w:r>
        <w:rPr>
          <w:rFonts w:hint="eastAsia" w:cs="宋体"/>
          <w:highlight w:val="none"/>
          <w:lang w:val="en-US" w:eastAsia="zh-CN"/>
        </w:rPr>
        <w:t>10.售后服务方案；</w:t>
      </w:r>
    </w:p>
    <w:p w14:paraId="5E794823">
      <w:pPr>
        <w:numPr>
          <w:ilvl w:val="0"/>
          <w:numId w:val="0"/>
        </w:numPr>
        <w:spacing w:line="480" w:lineRule="auto"/>
        <w:ind w:firstLine="480" w:firstLineChars="200"/>
        <w:rPr>
          <w:rFonts w:hint="default" w:cs="宋体"/>
          <w:highlight w:val="none"/>
          <w:lang w:val="en-US" w:eastAsia="zh-CN"/>
        </w:rPr>
      </w:pPr>
      <w:r>
        <w:rPr>
          <w:rFonts w:hint="eastAsia" w:cs="宋体"/>
          <w:highlight w:val="none"/>
          <w:lang w:val="en-US" w:eastAsia="zh-CN"/>
        </w:rPr>
        <w:t>11.质保期；</w:t>
      </w:r>
    </w:p>
    <w:p w14:paraId="2D7DA2C8">
      <w:pPr>
        <w:numPr>
          <w:ilvl w:val="0"/>
          <w:numId w:val="0"/>
        </w:numPr>
        <w:spacing w:line="480" w:lineRule="auto"/>
        <w:ind w:leftChars="200"/>
        <w:rPr>
          <w:rFonts w:hint="eastAsia" w:cs="宋体"/>
        </w:rPr>
      </w:pPr>
      <w:r>
        <w:rPr>
          <w:rFonts w:hint="eastAsia" w:cs="宋体"/>
          <w:highlight w:val="none"/>
          <w:lang w:val="en-US" w:eastAsia="zh-CN"/>
        </w:rPr>
        <w:t>12.</w:t>
      </w:r>
      <w:r>
        <w:rPr>
          <w:rFonts w:hint="eastAsia" w:cs="宋体"/>
          <w:highlight w:val="none"/>
        </w:rPr>
        <w:t>其它本招标文件评分表要求提供的材料或投标人认为需要</w:t>
      </w:r>
      <w:r>
        <w:rPr>
          <w:rFonts w:hint="eastAsia" w:cs="宋体"/>
          <w:highlight w:val="none"/>
          <w:lang w:eastAsia="zh-CN"/>
        </w:rPr>
        <w:t>补充</w:t>
      </w:r>
      <w:r>
        <w:rPr>
          <w:rFonts w:hint="eastAsia" w:cs="宋体"/>
          <w:highlight w:val="none"/>
        </w:rPr>
        <w:t>的其他资料或说明。</w:t>
      </w:r>
    </w:p>
    <w:p w14:paraId="054AC504">
      <w:pPr>
        <w:pStyle w:val="78"/>
        <w:rPr>
          <w:rFonts w:hint="eastAsia" w:ascii="宋体" w:hAnsi="宋体" w:eastAsia="宋体" w:cs="宋体"/>
          <w:color w:val="auto"/>
        </w:rPr>
      </w:pPr>
    </w:p>
    <w:p w14:paraId="1C0CBB33">
      <w:pPr>
        <w:ind w:firstLine="480"/>
        <w:rPr>
          <w:rFonts w:hint="eastAsia" w:ascii="宋体" w:hAnsi="宋体" w:eastAsia="宋体" w:cs="宋体"/>
          <w:iCs/>
        </w:rPr>
      </w:pPr>
      <w:r>
        <w:rPr>
          <w:rFonts w:hint="eastAsia" w:ascii="宋体" w:hAnsi="宋体" w:eastAsia="宋体" w:cs="宋体"/>
          <w:iCs/>
        </w:rPr>
        <w:br w:type="page"/>
      </w:r>
    </w:p>
    <w:p w14:paraId="233FF2DA">
      <w:pPr>
        <w:pStyle w:val="15"/>
        <w:numPr>
          <w:ilvl w:val="0"/>
          <w:numId w:val="0"/>
        </w:numPr>
        <w:spacing w:line="240" w:lineRule="auto"/>
        <w:rPr>
          <w:rFonts w:hint="eastAsia" w:hAnsi="宋体" w:cs="宋体"/>
          <w:b/>
          <w:bCs/>
          <w:color w:val="auto"/>
          <w:lang w:val="en-US" w:eastAsia="zh-CN"/>
        </w:rPr>
      </w:pPr>
      <w:r>
        <w:rPr>
          <w:rFonts w:hint="eastAsia" w:hAnsi="宋体" w:cs="宋体"/>
          <w:b/>
          <w:bCs/>
          <w:color w:val="auto"/>
          <w:lang w:val="en-US" w:eastAsia="zh-CN"/>
        </w:rPr>
        <w:t>附件七</w:t>
      </w:r>
    </w:p>
    <w:p w14:paraId="45195884">
      <w:pPr>
        <w:ind w:left="0" w:leftChars="0" w:firstLine="0" w:firstLineChars="0"/>
        <w:jc w:val="center"/>
        <w:rPr>
          <w:rFonts w:hint="eastAsia" w:ascii="宋体" w:hAnsi="宋体" w:eastAsia="宋体" w:cs="宋体"/>
          <w:b/>
          <w:spacing w:val="-6"/>
          <w:sz w:val="28"/>
          <w:szCs w:val="28"/>
          <w:lang w:eastAsia="zh-CN"/>
        </w:rPr>
      </w:pPr>
      <w:r>
        <w:rPr>
          <w:rFonts w:hint="eastAsia" w:cs="宋体"/>
          <w:b/>
          <w:spacing w:val="-6"/>
          <w:sz w:val="28"/>
          <w:szCs w:val="28"/>
          <w:lang w:eastAsia="zh-CN"/>
        </w:rPr>
        <w:t>评分索引表</w:t>
      </w:r>
    </w:p>
    <w:tbl>
      <w:tblPr>
        <w:tblStyle w:val="46"/>
        <w:tblW w:w="96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1705"/>
        <w:gridCol w:w="5039"/>
        <w:gridCol w:w="1125"/>
        <w:gridCol w:w="975"/>
      </w:tblGrid>
      <w:tr w14:paraId="7AC00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89" w:type="dxa"/>
            <w:vAlign w:val="top"/>
          </w:tcPr>
          <w:p w14:paraId="1F1F0FC3">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b/>
                <w:kern w:val="0"/>
                <w:vertAlign w:val="baseline"/>
                <w:lang w:eastAsia="zh-CN"/>
              </w:rPr>
            </w:pPr>
            <w:r>
              <w:rPr>
                <w:rFonts w:hint="eastAsia" w:cs="宋体"/>
                <w:b w:val="0"/>
                <w:bCs/>
                <w:kern w:val="0"/>
                <w:vertAlign w:val="baseline"/>
                <w:lang w:eastAsia="zh-CN"/>
              </w:rPr>
              <w:t>序号</w:t>
            </w:r>
          </w:p>
        </w:tc>
        <w:tc>
          <w:tcPr>
            <w:tcW w:w="1705" w:type="dxa"/>
            <w:vAlign w:val="top"/>
          </w:tcPr>
          <w:p w14:paraId="3E925079">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b/>
                <w:kern w:val="0"/>
                <w:vertAlign w:val="baseline"/>
                <w:lang w:eastAsia="zh-CN"/>
              </w:rPr>
            </w:pPr>
            <w:r>
              <w:rPr>
                <w:rFonts w:hint="eastAsia" w:cs="宋体"/>
                <w:b w:val="0"/>
                <w:bCs/>
                <w:kern w:val="0"/>
                <w:vertAlign w:val="baseline"/>
                <w:lang w:eastAsia="zh-CN"/>
              </w:rPr>
              <w:t>评审因素</w:t>
            </w:r>
          </w:p>
        </w:tc>
        <w:tc>
          <w:tcPr>
            <w:tcW w:w="5039" w:type="dxa"/>
            <w:vAlign w:val="top"/>
          </w:tcPr>
          <w:p w14:paraId="1219BC35">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b/>
                <w:kern w:val="0"/>
                <w:vertAlign w:val="baseline"/>
                <w:lang w:eastAsia="zh-CN"/>
              </w:rPr>
            </w:pPr>
            <w:r>
              <w:rPr>
                <w:rFonts w:hint="eastAsia" w:cs="宋体"/>
                <w:b w:val="0"/>
                <w:bCs/>
                <w:kern w:val="0"/>
                <w:vertAlign w:val="baseline"/>
                <w:lang w:eastAsia="zh-CN"/>
              </w:rPr>
              <w:t>评分标准</w:t>
            </w:r>
          </w:p>
        </w:tc>
        <w:tc>
          <w:tcPr>
            <w:tcW w:w="1125" w:type="dxa"/>
            <w:vAlign w:val="top"/>
          </w:tcPr>
          <w:p w14:paraId="31BC976C">
            <w:pPr>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center"/>
              <w:textAlignment w:val="auto"/>
              <w:rPr>
                <w:rFonts w:hint="eastAsia" w:ascii="宋体" w:hAnsi="宋体" w:eastAsia="宋体" w:cs="宋体"/>
                <w:b/>
                <w:kern w:val="0"/>
                <w:vertAlign w:val="baseline"/>
                <w:lang w:eastAsia="zh-CN"/>
              </w:rPr>
            </w:pPr>
            <w:r>
              <w:rPr>
                <w:rFonts w:hint="eastAsia" w:cs="宋体"/>
                <w:b w:val="0"/>
                <w:bCs/>
                <w:kern w:val="0"/>
                <w:vertAlign w:val="baseline"/>
                <w:lang w:eastAsia="zh-CN"/>
              </w:rPr>
              <w:t>自评分</w:t>
            </w:r>
          </w:p>
        </w:tc>
        <w:tc>
          <w:tcPr>
            <w:tcW w:w="975" w:type="dxa"/>
            <w:vAlign w:val="top"/>
          </w:tcPr>
          <w:p w14:paraId="4B0C9CAD">
            <w:pPr>
              <w:spacing w:line="240" w:lineRule="auto"/>
              <w:ind w:left="0" w:leftChars="0" w:firstLine="0" w:firstLineChars="0"/>
              <w:jc w:val="center"/>
              <w:rPr>
                <w:rFonts w:hint="eastAsia" w:ascii="宋体" w:hAnsi="宋体" w:eastAsia="宋体" w:cs="宋体"/>
                <w:b/>
                <w:kern w:val="0"/>
                <w:vertAlign w:val="baseline"/>
                <w:lang w:eastAsia="zh-CN"/>
              </w:rPr>
            </w:pPr>
            <w:r>
              <w:rPr>
                <w:rFonts w:hint="eastAsia" w:cs="宋体"/>
                <w:b w:val="0"/>
                <w:bCs/>
                <w:kern w:val="0"/>
                <w:vertAlign w:val="baseline"/>
                <w:lang w:eastAsia="zh-CN"/>
              </w:rPr>
              <w:t>投标文件页码</w:t>
            </w:r>
          </w:p>
        </w:tc>
      </w:tr>
      <w:tr w14:paraId="611C3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Merge w:val="restart"/>
            <w:vAlign w:val="top"/>
          </w:tcPr>
          <w:p w14:paraId="0362153E">
            <w:pPr>
              <w:ind w:left="0" w:leftChars="0" w:firstLine="0" w:firstLineChars="0"/>
              <w:jc w:val="center"/>
              <w:rPr>
                <w:rFonts w:hint="eastAsia" w:cs="宋体"/>
                <w:b w:val="0"/>
                <w:bCs/>
                <w:kern w:val="0"/>
                <w:vertAlign w:val="baseline"/>
                <w:lang w:val="en-US" w:eastAsia="zh-CN"/>
              </w:rPr>
            </w:pPr>
          </w:p>
          <w:p w14:paraId="7C0E110F">
            <w:pPr>
              <w:ind w:left="0" w:leftChars="0" w:firstLine="0" w:firstLineChars="0"/>
              <w:jc w:val="center"/>
              <w:rPr>
                <w:rFonts w:hint="default" w:ascii="宋体" w:hAnsi="宋体" w:eastAsia="宋体" w:cs="宋体"/>
                <w:b w:val="0"/>
                <w:bCs/>
                <w:kern w:val="0"/>
                <w:vertAlign w:val="baseline"/>
                <w:lang w:val="en-US" w:eastAsia="zh-CN"/>
              </w:rPr>
            </w:pPr>
            <w:r>
              <w:rPr>
                <w:rFonts w:hint="eastAsia" w:cs="宋体"/>
                <w:b w:val="0"/>
                <w:bCs/>
                <w:kern w:val="0"/>
                <w:vertAlign w:val="baseline"/>
                <w:lang w:val="en-US" w:eastAsia="zh-CN"/>
              </w:rPr>
              <w:t>1</w:t>
            </w:r>
          </w:p>
        </w:tc>
        <w:tc>
          <w:tcPr>
            <w:tcW w:w="1705" w:type="dxa"/>
            <w:vMerge w:val="restart"/>
            <w:vAlign w:val="top"/>
          </w:tcPr>
          <w:p w14:paraId="7F80D7BF">
            <w:pPr>
              <w:rPr>
                <w:rFonts w:hint="eastAsia"/>
              </w:rPr>
            </w:pPr>
          </w:p>
          <w:p w14:paraId="43017EB7">
            <w:pPr>
              <w:pStyle w:val="6"/>
              <w:ind w:left="0" w:leftChars="0" w:firstLine="0" w:firstLineChars="0"/>
              <w:jc w:val="center"/>
              <w:rPr>
                <w:rFonts w:hint="eastAsia" w:cs="宋体"/>
                <w:b w:val="0"/>
                <w:bCs w:val="0"/>
                <w:kern w:val="0"/>
                <w:vertAlign w:val="baseline"/>
                <w:lang w:eastAsia="zh-CN"/>
              </w:rPr>
            </w:pPr>
            <w:r>
              <w:rPr>
                <w:rFonts w:hint="eastAsia" w:cs="宋体"/>
                <w:b w:val="0"/>
                <w:bCs w:val="0"/>
                <w:kern w:val="0"/>
                <w:vertAlign w:val="baseline"/>
                <w:lang w:eastAsia="zh-CN"/>
              </w:rPr>
              <w:t>商务及资信分</w:t>
            </w:r>
          </w:p>
          <w:p w14:paraId="61F0461A">
            <w:pPr>
              <w:pStyle w:val="6"/>
              <w:ind w:left="0" w:leftChars="0" w:firstLine="0" w:firstLineChars="0"/>
              <w:jc w:val="center"/>
              <w:rPr>
                <w:rFonts w:hint="eastAsia" w:eastAsia="宋体"/>
                <w:lang w:eastAsia="zh-CN"/>
              </w:rPr>
            </w:pPr>
          </w:p>
        </w:tc>
        <w:tc>
          <w:tcPr>
            <w:tcW w:w="5039" w:type="dxa"/>
            <w:vAlign w:val="top"/>
          </w:tcPr>
          <w:p w14:paraId="5811820D">
            <w:pPr>
              <w:rPr>
                <w:rFonts w:hint="eastAsia" w:ascii="宋体" w:hAnsi="宋体" w:eastAsia="宋体" w:cs="宋体"/>
                <w:b/>
                <w:kern w:val="0"/>
                <w:vertAlign w:val="baseline"/>
              </w:rPr>
            </w:pPr>
          </w:p>
        </w:tc>
        <w:tc>
          <w:tcPr>
            <w:tcW w:w="1125" w:type="dxa"/>
            <w:vAlign w:val="top"/>
          </w:tcPr>
          <w:p w14:paraId="4E71A462">
            <w:pPr>
              <w:rPr>
                <w:rFonts w:hint="eastAsia" w:ascii="宋体" w:hAnsi="宋体" w:eastAsia="宋体" w:cs="宋体"/>
                <w:b/>
                <w:kern w:val="0"/>
                <w:vertAlign w:val="baseline"/>
              </w:rPr>
            </w:pPr>
          </w:p>
        </w:tc>
        <w:tc>
          <w:tcPr>
            <w:tcW w:w="975" w:type="dxa"/>
            <w:vAlign w:val="top"/>
          </w:tcPr>
          <w:p w14:paraId="18FBC3DB">
            <w:pPr>
              <w:rPr>
                <w:rFonts w:hint="eastAsia" w:ascii="宋体" w:hAnsi="宋体" w:eastAsia="宋体" w:cs="宋体"/>
                <w:b/>
                <w:kern w:val="0"/>
                <w:vertAlign w:val="baseline"/>
              </w:rPr>
            </w:pPr>
          </w:p>
        </w:tc>
      </w:tr>
      <w:tr w14:paraId="08B77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Merge w:val="continue"/>
            <w:vAlign w:val="top"/>
          </w:tcPr>
          <w:p w14:paraId="19882E7B">
            <w:pPr>
              <w:rPr>
                <w:rFonts w:hint="eastAsia" w:ascii="宋体" w:hAnsi="宋体" w:eastAsia="宋体" w:cs="宋体"/>
                <w:b/>
                <w:kern w:val="0"/>
                <w:vertAlign w:val="baseline"/>
              </w:rPr>
            </w:pPr>
          </w:p>
        </w:tc>
        <w:tc>
          <w:tcPr>
            <w:tcW w:w="1705" w:type="dxa"/>
            <w:vMerge w:val="continue"/>
            <w:vAlign w:val="top"/>
          </w:tcPr>
          <w:p w14:paraId="599DEE99">
            <w:pPr>
              <w:rPr>
                <w:rFonts w:hint="eastAsia" w:ascii="宋体" w:hAnsi="宋体" w:eastAsia="宋体" w:cs="宋体"/>
                <w:b/>
                <w:kern w:val="0"/>
                <w:vertAlign w:val="baseline"/>
              </w:rPr>
            </w:pPr>
          </w:p>
        </w:tc>
        <w:tc>
          <w:tcPr>
            <w:tcW w:w="5039" w:type="dxa"/>
            <w:vAlign w:val="top"/>
          </w:tcPr>
          <w:p w14:paraId="56741B43">
            <w:pPr>
              <w:rPr>
                <w:rFonts w:hint="eastAsia" w:ascii="宋体" w:hAnsi="宋体" w:eastAsia="宋体" w:cs="宋体"/>
                <w:b/>
                <w:kern w:val="0"/>
                <w:vertAlign w:val="baseline"/>
              </w:rPr>
            </w:pPr>
          </w:p>
        </w:tc>
        <w:tc>
          <w:tcPr>
            <w:tcW w:w="1125" w:type="dxa"/>
            <w:vAlign w:val="top"/>
          </w:tcPr>
          <w:p w14:paraId="78D60E29">
            <w:pPr>
              <w:rPr>
                <w:rFonts w:hint="eastAsia" w:ascii="宋体" w:hAnsi="宋体" w:eastAsia="宋体" w:cs="宋体"/>
                <w:b/>
                <w:kern w:val="0"/>
                <w:vertAlign w:val="baseline"/>
              </w:rPr>
            </w:pPr>
          </w:p>
        </w:tc>
        <w:tc>
          <w:tcPr>
            <w:tcW w:w="975" w:type="dxa"/>
            <w:vAlign w:val="top"/>
          </w:tcPr>
          <w:p w14:paraId="2CC25514">
            <w:pPr>
              <w:rPr>
                <w:rFonts w:hint="eastAsia" w:ascii="宋体" w:hAnsi="宋体" w:eastAsia="宋体" w:cs="宋体"/>
                <w:b/>
                <w:kern w:val="0"/>
                <w:vertAlign w:val="baseline"/>
              </w:rPr>
            </w:pPr>
          </w:p>
        </w:tc>
      </w:tr>
      <w:tr w14:paraId="036ED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Merge w:val="continue"/>
            <w:vAlign w:val="top"/>
          </w:tcPr>
          <w:p w14:paraId="7059B550">
            <w:pPr>
              <w:rPr>
                <w:rFonts w:hint="eastAsia" w:ascii="宋体" w:hAnsi="宋体" w:eastAsia="宋体" w:cs="宋体"/>
                <w:b/>
                <w:kern w:val="0"/>
                <w:vertAlign w:val="baseline"/>
              </w:rPr>
            </w:pPr>
          </w:p>
        </w:tc>
        <w:tc>
          <w:tcPr>
            <w:tcW w:w="1705" w:type="dxa"/>
            <w:vMerge w:val="continue"/>
            <w:vAlign w:val="top"/>
          </w:tcPr>
          <w:p w14:paraId="59C786FC">
            <w:pPr>
              <w:rPr>
                <w:rFonts w:hint="eastAsia" w:ascii="宋体" w:hAnsi="宋体" w:eastAsia="宋体" w:cs="宋体"/>
                <w:b/>
                <w:kern w:val="0"/>
                <w:vertAlign w:val="baseline"/>
              </w:rPr>
            </w:pPr>
          </w:p>
        </w:tc>
        <w:tc>
          <w:tcPr>
            <w:tcW w:w="5039" w:type="dxa"/>
            <w:vAlign w:val="top"/>
          </w:tcPr>
          <w:p w14:paraId="2776E812">
            <w:pPr>
              <w:rPr>
                <w:rFonts w:hint="eastAsia" w:ascii="宋体" w:hAnsi="宋体" w:eastAsia="宋体" w:cs="宋体"/>
                <w:b/>
                <w:kern w:val="0"/>
                <w:vertAlign w:val="baseline"/>
              </w:rPr>
            </w:pPr>
          </w:p>
        </w:tc>
        <w:tc>
          <w:tcPr>
            <w:tcW w:w="1125" w:type="dxa"/>
            <w:vAlign w:val="top"/>
          </w:tcPr>
          <w:p w14:paraId="0B9CA88C">
            <w:pPr>
              <w:rPr>
                <w:rFonts w:hint="eastAsia" w:ascii="宋体" w:hAnsi="宋体" w:eastAsia="宋体" w:cs="宋体"/>
                <w:b/>
                <w:kern w:val="0"/>
                <w:vertAlign w:val="baseline"/>
              </w:rPr>
            </w:pPr>
          </w:p>
        </w:tc>
        <w:tc>
          <w:tcPr>
            <w:tcW w:w="975" w:type="dxa"/>
            <w:vAlign w:val="top"/>
          </w:tcPr>
          <w:p w14:paraId="3CF30CEC">
            <w:pPr>
              <w:rPr>
                <w:rFonts w:hint="eastAsia" w:ascii="宋体" w:hAnsi="宋体" w:eastAsia="宋体" w:cs="宋体"/>
                <w:b/>
                <w:kern w:val="0"/>
                <w:vertAlign w:val="baseline"/>
              </w:rPr>
            </w:pPr>
          </w:p>
        </w:tc>
      </w:tr>
      <w:tr w14:paraId="3CA9D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89" w:type="dxa"/>
            <w:vMerge w:val="restart"/>
            <w:vAlign w:val="top"/>
          </w:tcPr>
          <w:p w14:paraId="1F620495">
            <w:pPr>
              <w:ind w:left="0" w:leftChars="0" w:firstLine="0" w:firstLineChars="0"/>
              <w:jc w:val="center"/>
              <w:rPr>
                <w:rFonts w:hint="eastAsia" w:cs="宋体"/>
                <w:b/>
                <w:kern w:val="0"/>
                <w:vertAlign w:val="baseline"/>
                <w:lang w:val="en-US" w:eastAsia="zh-CN"/>
              </w:rPr>
            </w:pPr>
          </w:p>
          <w:p w14:paraId="53D58732">
            <w:pPr>
              <w:ind w:left="0" w:leftChars="0" w:firstLine="0" w:firstLineChars="0"/>
              <w:jc w:val="center"/>
              <w:rPr>
                <w:rFonts w:hint="eastAsia" w:cs="宋体"/>
                <w:b/>
                <w:kern w:val="0"/>
                <w:vertAlign w:val="baseline"/>
                <w:lang w:val="en-US" w:eastAsia="zh-CN"/>
              </w:rPr>
            </w:pPr>
          </w:p>
          <w:p w14:paraId="25F1C679">
            <w:pPr>
              <w:ind w:left="0" w:leftChars="0" w:firstLine="0" w:firstLineChars="0"/>
              <w:jc w:val="center"/>
              <w:rPr>
                <w:rFonts w:hint="eastAsia" w:ascii="宋体" w:hAnsi="宋体" w:eastAsia="宋体" w:cs="宋体"/>
                <w:b/>
                <w:kern w:val="0"/>
                <w:vertAlign w:val="baseline"/>
                <w:lang w:val="en-US" w:eastAsia="zh-CN"/>
              </w:rPr>
            </w:pPr>
            <w:r>
              <w:rPr>
                <w:rFonts w:hint="eastAsia" w:cs="宋体"/>
                <w:b w:val="0"/>
                <w:bCs/>
                <w:kern w:val="0"/>
                <w:vertAlign w:val="baseline"/>
                <w:lang w:val="en-US" w:eastAsia="zh-CN"/>
              </w:rPr>
              <w:t>2</w:t>
            </w:r>
          </w:p>
        </w:tc>
        <w:tc>
          <w:tcPr>
            <w:tcW w:w="1705" w:type="dxa"/>
            <w:vMerge w:val="restart"/>
            <w:vAlign w:val="top"/>
          </w:tcPr>
          <w:p w14:paraId="3130A9B7">
            <w:pPr>
              <w:ind w:left="0" w:leftChars="0" w:firstLine="0" w:firstLineChars="0"/>
              <w:rPr>
                <w:rFonts w:hint="eastAsia" w:cs="宋体"/>
                <w:b w:val="0"/>
                <w:bCs/>
                <w:kern w:val="0"/>
                <w:vertAlign w:val="baseline"/>
                <w:lang w:eastAsia="zh-CN"/>
              </w:rPr>
            </w:pPr>
          </w:p>
          <w:p w14:paraId="1CEF9C8F">
            <w:pPr>
              <w:ind w:left="0" w:leftChars="0" w:firstLine="0" w:firstLineChars="0"/>
              <w:rPr>
                <w:rFonts w:hint="eastAsia" w:cs="宋体"/>
                <w:b w:val="0"/>
                <w:bCs/>
                <w:kern w:val="0"/>
                <w:vertAlign w:val="baseline"/>
                <w:lang w:eastAsia="zh-CN"/>
              </w:rPr>
            </w:pPr>
          </w:p>
          <w:p w14:paraId="0A1471E5">
            <w:pPr>
              <w:ind w:left="0" w:leftChars="0" w:firstLine="0" w:firstLineChars="0"/>
              <w:jc w:val="center"/>
              <w:rPr>
                <w:rFonts w:hint="eastAsia" w:cs="宋体"/>
                <w:b w:val="0"/>
                <w:bCs/>
                <w:kern w:val="0"/>
                <w:vertAlign w:val="baseline"/>
                <w:lang w:eastAsia="zh-CN"/>
              </w:rPr>
            </w:pPr>
            <w:r>
              <w:rPr>
                <w:rFonts w:hint="eastAsia" w:cs="宋体"/>
                <w:b w:val="0"/>
                <w:bCs/>
                <w:kern w:val="0"/>
                <w:vertAlign w:val="baseline"/>
                <w:lang w:eastAsia="zh-CN"/>
              </w:rPr>
              <w:t>技术分</w:t>
            </w:r>
          </w:p>
          <w:p w14:paraId="4ED08F06">
            <w:pPr>
              <w:ind w:left="0" w:leftChars="0" w:firstLine="0" w:firstLineChars="0"/>
              <w:jc w:val="center"/>
              <w:rPr>
                <w:rFonts w:hint="eastAsia" w:ascii="宋体" w:hAnsi="宋体" w:eastAsia="宋体" w:cs="宋体"/>
                <w:b w:val="0"/>
                <w:bCs/>
                <w:kern w:val="0"/>
                <w:vertAlign w:val="baseline"/>
                <w:lang w:eastAsia="zh-CN"/>
              </w:rPr>
            </w:pPr>
          </w:p>
        </w:tc>
        <w:tc>
          <w:tcPr>
            <w:tcW w:w="5039" w:type="dxa"/>
            <w:vAlign w:val="top"/>
          </w:tcPr>
          <w:p w14:paraId="0D279F0B">
            <w:pPr>
              <w:rPr>
                <w:rFonts w:hint="eastAsia" w:ascii="宋体" w:hAnsi="宋体" w:eastAsia="宋体" w:cs="宋体"/>
                <w:b/>
                <w:kern w:val="0"/>
                <w:vertAlign w:val="baseline"/>
              </w:rPr>
            </w:pPr>
          </w:p>
        </w:tc>
        <w:tc>
          <w:tcPr>
            <w:tcW w:w="1125" w:type="dxa"/>
            <w:vAlign w:val="top"/>
          </w:tcPr>
          <w:p w14:paraId="195B4553">
            <w:pPr>
              <w:ind w:left="0" w:leftChars="0" w:firstLine="0" w:firstLineChars="0"/>
              <w:jc w:val="both"/>
              <w:rPr>
                <w:rFonts w:hint="eastAsia" w:ascii="宋体" w:hAnsi="宋体" w:eastAsia="宋体" w:cs="宋体"/>
                <w:b w:val="0"/>
                <w:bCs/>
                <w:kern w:val="0"/>
                <w:vertAlign w:val="baseline"/>
                <w:lang w:eastAsia="zh-CN"/>
              </w:rPr>
            </w:pPr>
          </w:p>
        </w:tc>
        <w:tc>
          <w:tcPr>
            <w:tcW w:w="975" w:type="dxa"/>
            <w:vAlign w:val="top"/>
          </w:tcPr>
          <w:p w14:paraId="52415BEA">
            <w:pPr>
              <w:rPr>
                <w:rFonts w:hint="eastAsia" w:ascii="宋体" w:hAnsi="宋体" w:eastAsia="宋体" w:cs="宋体"/>
                <w:b/>
                <w:kern w:val="0"/>
                <w:vertAlign w:val="baseline"/>
              </w:rPr>
            </w:pPr>
          </w:p>
        </w:tc>
      </w:tr>
      <w:tr w14:paraId="77302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Merge w:val="continue"/>
            <w:vAlign w:val="top"/>
          </w:tcPr>
          <w:p w14:paraId="099D2303">
            <w:pPr>
              <w:rPr>
                <w:rFonts w:hint="eastAsia" w:ascii="宋体" w:hAnsi="宋体" w:eastAsia="宋体" w:cs="宋体"/>
                <w:b/>
                <w:kern w:val="0"/>
                <w:vertAlign w:val="baseline"/>
              </w:rPr>
            </w:pPr>
          </w:p>
        </w:tc>
        <w:tc>
          <w:tcPr>
            <w:tcW w:w="1705" w:type="dxa"/>
            <w:vMerge w:val="continue"/>
            <w:vAlign w:val="top"/>
          </w:tcPr>
          <w:p w14:paraId="3CEEF4AB">
            <w:pPr>
              <w:rPr>
                <w:rFonts w:hint="eastAsia" w:ascii="宋体" w:hAnsi="宋体" w:eastAsia="宋体" w:cs="宋体"/>
                <w:b/>
                <w:kern w:val="0"/>
                <w:vertAlign w:val="baseline"/>
              </w:rPr>
            </w:pPr>
          </w:p>
        </w:tc>
        <w:tc>
          <w:tcPr>
            <w:tcW w:w="5039" w:type="dxa"/>
            <w:vAlign w:val="top"/>
          </w:tcPr>
          <w:p w14:paraId="140EBDE4">
            <w:pPr>
              <w:rPr>
                <w:rFonts w:hint="eastAsia" w:ascii="宋体" w:hAnsi="宋体" w:eastAsia="宋体" w:cs="宋体"/>
                <w:b/>
                <w:kern w:val="0"/>
                <w:vertAlign w:val="baseline"/>
              </w:rPr>
            </w:pPr>
          </w:p>
        </w:tc>
        <w:tc>
          <w:tcPr>
            <w:tcW w:w="1125" w:type="dxa"/>
            <w:vAlign w:val="top"/>
          </w:tcPr>
          <w:p w14:paraId="0CC85075">
            <w:pPr>
              <w:rPr>
                <w:rFonts w:hint="eastAsia" w:ascii="宋体" w:hAnsi="宋体" w:eastAsia="宋体" w:cs="宋体"/>
                <w:b/>
                <w:kern w:val="0"/>
                <w:vertAlign w:val="baseline"/>
              </w:rPr>
            </w:pPr>
          </w:p>
        </w:tc>
        <w:tc>
          <w:tcPr>
            <w:tcW w:w="975" w:type="dxa"/>
            <w:vAlign w:val="top"/>
          </w:tcPr>
          <w:p w14:paraId="5DA93848">
            <w:pPr>
              <w:rPr>
                <w:rFonts w:hint="eastAsia" w:ascii="宋体" w:hAnsi="宋体" w:eastAsia="宋体" w:cs="宋体"/>
                <w:b/>
                <w:kern w:val="0"/>
                <w:vertAlign w:val="baseline"/>
              </w:rPr>
            </w:pPr>
          </w:p>
        </w:tc>
      </w:tr>
      <w:tr w14:paraId="747D7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9" w:type="dxa"/>
            <w:vMerge w:val="continue"/>
            <w:vAlign w:val="top"/>
          </w:tcPr>
          <w:p w14:paraId="37785FB5">
            <w:pPr>
              <w:rPr>
                <w:rFonts w:hint="eastAsia" w:ascii="宋体" w:hAnsi="宋体" w:eastAsia="宋体" w:cs="宋体"/>
                <w:b/>
                <w:kern w:val="0"/>
                <w:vertAlign w:val="baseline"/>
              </w:rPr>
            </w:pPr>
          </w:p>
        </w:tc>
        <w:tc>
          <w:tcPr>
            <w:tcW w:w="1705" w:type="dxa"/>
            <w:vMerge w:val="continue"/>
            <w:vAlign w:val="top"/>
          </w:tcPr>
          <w:p w14:paraId="6C0BD41D">
            <w:pPr>
              <w:rPr>
                <w:rFonts w:hint="eastAsia" w:ascii="宋体" w:hAnsi="宋体" w:eastAsia="宋体" w:cs="宋体"/>
                <w:b/>
                <w:kern w:val="0"/>
                <w:vertAlign w:val="baseline"/>
              </w:rPr>
            </w:pPr>
          </w:p>
        </w:tc>
        <w:tc>
          <w:tcPr>
            <w:tcW w:w="5039" w:type="dxa"/>
            <w:vAlign w:val="top"/>
          </w:tcPr>
          <w:p w14:paraId="11442581">
            <w:pPr>
              <w:rPr>
                <w:rFonts w:hint="eastAsia" w:ascii="宋体" w:hAnsi="宋体" w:eastAsia="宋体" w:cs="宋体"/>
                <w:b/>
                <w:kern w:val="0"/>
                <w:vertAlign w:val="baseline"/>
              </w:rPr>
            </w:pPr>
          </w:p>
        </w:tc>
        <w:tc>
          <w:tcPr>
            <w:tcW w:w="1125" w:type="dxa"/>
            <w:vAlign w:val="top"/>
          </w:tcPr>
          <w:p w14:paraId="3EA4D686">
            <w:pPr>
              <w:rPr>
                <w:rFonts w:hint="eastAsia" w:ascii="宋体" w:hAnsi="宋体" w:eastAsia="宋体" w:cs="宋体"/>
                <w:b/>
                <w:kern w:val="0"/>
                <w:vertAlign w:val="baseline"/>
              </w:rPr>
            </w:pPr>
          </w:p>
        </w:tc>
        <w:tc>
          <w:tcPr>
            <w:tcW w:w="975" w:type="dxa"/>
            <w:vAlign w:val="top"/>
          </w:tcPr>
          <w:p w14:paraId="50D9178C">
            <w:pPr>
              <w:rPr>
                <w:rFonts w:hint="eastAsia" w:ascii="宋体" w:hAnsi="宋体" w:eastAsia="宋体" w:cs="宋体"/>
                <w:b/>
                <w:kern w:val="0"/>
                <w:vertAlign w:val="baseline"/>
              </w:rPr>
            </w:pPr>
          </w:p>
        </w:tc>
      </w:tr>
      <w:tr w14:paraId="3BFD9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89" w:type="dxa"/>
            <w:vMerge w:val="continue"/>
            <w:vAlign w:val="top"/>
          </w:tcPr>
          <w:p w14:paraId="1FAABEAD">
            <w:pPr>
              <w:rPr>
                <w:rFonts w:hint="eastAsia" w:ascii="宋体" w:hAnsi="宋体" w:eastAsia="宋体" w:cs="宋体"/>
                <w:b/>
                <w:kern w:val="0"/>
                <w:vertAlign w:val="baseline"/>
              </w:rPr>
            </w:pPr>
          </w:p>
        </w:tc>
        <w:tc>
          <w:tcPr>
            <w:tcW w:w="1705" w:type="dxa"/>
            <w:vMerge w:val="continue"/>
            <w:vAlign w:val="top"/>
          </w:tcPr>
          <w:p w14:paraId="4AF71835">
            <w:pPr>
              <w:rPr>
                <w:rFonts w:hint="eastAsia" w:ascii="宋体" w:hAnsi="宋体" w:eastAsia="宋体" w:cs="宋体"/>
                <w:b/>
                <w:kern w:val="0"/>
                <w:vertAlign w:val="baseline"/>
              </w:rPr>
            </w:pPr>
          </w:p>
        </w:tc>
        <w:tc>
          <w:tcPr>
            <w:tcW w:w="5039" w:type="dxa"/>
            <w:vAlign w:val="top"/>
          </w:tcPr>
          <w:p w14:paraId="73B66D32">
            <w:pPr>
              <w:rPr>
                <w:rFonts w:hint="eastAsia" w:ascii="宋体" w:hAnsi="宋体" w:eastAsia="宋体" w:cs="宋体"/>
                <w:b/>
                <w:kern w:val="0"/>
                <w:vertAlign w:val="baseline"/>
              </w:rPr>
            </w:pPr>
          </w:p>
        </w:tc>
        <w:tc>
          <w:tcPr>
            <w:tcW w:w="1125" w:type="dxa"/>
            <w:vAlign w:val="top"/>
          </w:tcPr>
          <w:p w14:paraId="4516F18F">
            <w:pPr>
              <w:rPr>
                <w:rFonts w:hint="eastAsia" w:ascii="宋体" w:hAnsi="宋体" w:eastAsia="宋体" w:cs="宋体"/>
                <w:b/>
                <w:kern w:val="0"/>
                <w:vertAlign w:val="baseline"/>
              </w:rPr>
            </w:pPr>
          </w:p>
        </w:tc>
        <w:tc>
          <w:tcPr>
            <w:tcW w:w="975" w:type="dxa"/>
            <w:vAlign w:val="top"/>
          </w:tcPr>
          <w:p w14:paraId="642E95F2">
            <w:pPr>
              <w:rPr>
                <w:rFonts w:hint="eastAsia" w:ascii="宋体" w:hAnsi="宋体" w:eastAsia="宋体" w:cs="宋体"/>
                <w:b/>
                <w:kern w:val="0"/>
                <w:vertAlign w:val="baseline"/>
              </w:rPr>
            </w:pPr>
          </w:p>
        </w:tc>
      </w:tr>
      <w:tr w14:paraId="6996B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89" w:type="dxa"/>
            <w:vMerge w:val="continue"/>
            <w:vAlign w:val="top"/>
          </w:tcPr>
          <w:p w14:paraId="2C834D61">
            <w:pPr>
              <w:rPr>
                <w:rFonts w:hint="eastAsia" w:ascii="宋体" w:hAnsi="宋体" w:eastAsia="宋体" w:cs="宋体"/>
                <w:b/>
                <w:kern w:val="0"/>
                <w:vertAlign w:val="baseline"/>
              </w:rPr>
            </w:pPr>
          </w:p>
        </w:tc>
        <w:tc>
          <w:tcPr>
            <w:tcW w:w="1705" w:type="dxa"/>
            <w:vMerge w:val="continue"/>
            <w:vAlign w:val="top"/>
          </w:tcPr>
          <w:p w14:paraId="29A247C5">
            <w:pPr>
              <w:rPr>
                <w:rFonts w:hint="eastAsia" w:ascii="宋体" w:hAnsi="宋体" w:eastAsia="宋体" w:cs="宋体"/>
                <w:b/>
                <w:kern w:val="0"/>
                <w:vertAlign w:val="baseline"/>
              </w:rPr>
            </w:pPr>
          </w:p>
        </w:tc>
        <w:tc>
          <w:tcPr>
            <w:tcW w:w="5039" w:type="dxa"/>
            <w:vAlign w:val="top"/>
          </w:tcPr>
          <w:p w14:paraId="04C8C8E6">
            <w:pPr>
              <w:rPr>
                <w:rFonts w:hint="eastAsia" w:ascii="宋体" w:hAnsi="宋体" w:eastAsia="宋体" w:cs="宋体"/>
                <w:b/>
                <w:kern w:val="0"/>
                <w:vertAlign w:val="baseline"/>
              </w:rPr>
            </w:pPr>
          </w:p>
        </w:tc>
        <w:tc>
          <w:tcPr>
            <w:tcW w:w="1125" w:type="dxa"/>
            <w:vAlign w:val="top"/>
          </w:tcPr>
          <w:p w14:paraId="2E46AE7F">
            <w:pPr>
              <w:rPr>
                <w:rFonts w:hint="eastAsia" w:ascii="宋体" w:hAnsi="宋体" w:eastAsia="宋体" w:cs="宋体"/>
                <w:b/>
                <w:kern w:val="0"/>
                <w:vertAlign w:val="baseline"/>
              </w:rPr>
            </w:pPr>
          </w:p>
        </w:tc>
        <w:tc>
          <w:tcPr>
            <w:tcW w:w="975" w:type="dxa"/>
            <w:vAlign w:val="top"/>
          </w:tcPr>
          <w:p w14:paraId="69F7C8DE">
            <w:pPr>
              <w:rPr>
                <w:rFonts w:hint="eastAsia" w:ascii="宋体" w:hAnsi="宋体" w:eastAsia="宋体" w:cs="宋体"/>
                <w:b/>
                <w:kern w:val="0"/>
                <w:vertAlign w:val="baseline"/>
              </w:rPr>
            </w:pPr>
          </w:p>
        </w:tc>
      </w:tr>
    </w:tbl>
    <w:p w14:paraId="65B73537">
      <w:pPr>
        <w:ind w:left="0" w:leftChars="0" w:firstLine="0" w:firstLineChars="0"/>
        <w:jc w:val="both"/>
        <w:rPr>
          <w:rFonts w:hint="eastAsia" w:ascii="宋体" w:hAnsi="宋体" w:eastAsia="宋体" w:cs="宋体"/>
          <w:b/>
          <w:kern w:val="0"/>
          <w:sz w:val="10"/>
          <w:szCs w:val="10"/>
        </w:rPr>
      </w:pPr>
    </w:p>
    <w:p w14:paraId="6CD53817">
      <w:pPr>
        <w:ind w:left="0" w:leftChars="0" w:firstLine="0" w:firstLineChars="0"/>
        <w:jc w:val="both"/>
        <w:rPr>
          <w:rFonts w:hint="eastAsia" w:ascii="宋体" w:hAnsi="宋体" w:eastAsia="宋体" w:cs="宋体"/>
          <w:b/>
          <w:spacing w:val="-6"/>
          <w:sz w:val="28"/>
          <w:szCs w:val="28"/>
        </w:rPr>
      </w:pPr>
      <w:r>
        <w:rPr>
          <w:rFonts w:hint="eastAsia" w:ascii="宋体" w:hAnsi="宋体" w:eastAsia="宋体" w:cs="宋体"/>
          <w:b/>
          <w:kern w:val="0"/>
          <w:lang w:eastAsia="zh-CN"/>
        </w:rPr>
        <w:t>投标人</w:t>
      </w:r>
      <w:r>
        <w:rPr>
          <w:rFonts w:hint="eastAsia" w:ascii="宋体" w:hAnsi="宋体" w:eastAsia="宋体" w:cs="宋体"/>
          <w:b/>
          <w:kern w:val="0"/>
        </w:rPr>
        <w:t>根据评分标准自行调整。</w:t>
      </w:r>
    </w:p>
    <w:p w14:paraId="1F521E94">
      <w:pPr>
        <w:pStyle w:val="3"/>
        <w:jc w:val="both"/>
        <w:rPr>
          <w:rFonts w:hint="eastAsia"/>
        </w:rPr>
      </w:pPr>
    </w:p>
    <w:p w14:paraId="2A9C5813">
      <w:pPr>
        <w:ind w:firstLine="456"/>
        <w:rPr>
          <w:rFonts w:hint="eastAsia" w:ascii="宋体" w:hAnsi="宋体" w:eastAsia="宋体" w:cs="宋体"/>
          <w:bCs/>
          <w:spacing w:val="-6"/>
        </w:rPr>
      </w:pPr>
    </w:p>
    <w:p w14:paraId="29D92429">
      <w:pPr>
        <w:ind w:firstLine="456"/>
        <w:rPr>
          <w:rFonts w:hint="eastAsia" w:ascii="宋体" w:hAnsi="宋体" w:eastAsia="宋体" w:cs="宋体"/>
          <w:bCs/>
          <w:spacing w:val="-6"/>
        </w:rPr>
      </w:pPr>
    </w:p>
    <w:p w14:paraId="48B2FD72">
      <w:pPr>
        <w:ind w:right="456" w:firstLine="458"/>
        <w:rPr>
          <w:rFonts w:hint="eastAsia" w:ascii="宋体" w:hAnsi="宋体" w:eastAsia="宋体" w:cs="宋体"/>
          <w:b/>
          <w:bCs/>
          <w:spacing w:val="-6"/>
        </w:rPr>
      </w:pPr>
    </w:p>
    <w:p w14:paraId="739D58FA">
      <w:pPr>
        <w:ind w:right="456" w:firstLine="458"/>
        <w:rPr>
          <w:rFonts w:hint="eastAsia" w:ascii="宋体" w:hAnsi="宋体" w:eastAsia="宋体" w:cs="宋体"/>
          <w:b/>
          <w:bCs/>
          <w:spacing w:val="-6"/>
        </w:rPr>
      </w:pPr>
    </w:p>
    <w:p w14:paraId="085F04E9">
      <w:pPr>
        <w:ind w:right="456" w:firstLine="458"/>
        <w:rPr>
          <w:rFonts w:hint="eastAsia" w:ascii="宋体" w:hAnsi="宋体" w:eastAsia="宋体" w:cs="宋体"/>
          <w:b/>
          <w:bCs/>
          <w:spacing w:val="-6"/>
        </w:rPr>
      </w:pPr>
    </w:p>
    <w:p w14:paraId="371D4F33">
      <w:pPr>
        <w:pStyle w:val="78"/>
        <w:rPr>
          <w:rFonts w:hint="eastAsia" w:ascii="宋体" w:hAnsi="宋体" w:eastAsia="宋体" w:cs="宋体"/>
          <w:color w:val="auto"/>
        </w:rPr>
      </w:pPr>
    </w:p>
    <w:p w14:paraId="0B7107FE">
      <w:pPr>
        <w:pStyle w:val="78"/>
        <w:rPr>
          <w:rFonts w:hint="eastAsia" w:ascii="宋体" w:hAnsi="宋体" w:eastAsia="宋体" w:cs="宋体"/>
          <w:color w:val="auto"/>
        </w:rPr>
      </w:pPr>
      <w:r>
        <w:rPr>
          <w:rFonts w:hint="eastAsia" w:ascii="宋体" w:hAnsi="宋体" w:eastAsia="宋体" w:cs="宋体"/>
          <w:color w:val="auto"/>
        </w:rPr>
        <w:br w:type="page"/>
      </w:r>
    </w:p>
    <w:p w14:paraId="6BB2476A">
      <w:pPr>
        <w:ind w:firstLine="228" w:firstLineChars="95"/>
        <w:jc w:val="left"/>
        <w:rPr>
          <w:rFonts w:hint="eastAsia" w:ascii="宋体" w:hAnsi="宋体" w:eastAsia="宋体" w:cs="宋体"/>
        </w:rPr>
        <w:sectPr>
          <w:pgSz w:w="11907" w:h="16840"/>
          <w:pgMar w:top="1247" w:right="1304" w:bottom="1021" w:left="1304" w:header="720" w:footer="720" w:gutter="0"/>
          <w:pgNumType w:fmt="decimal"/>
          <w:cols w:space="720" w:num="1"/>
          <w:docGrid w:linePitch="286" w:charSpace="0"/>
        </w:sectPr>
      </w:pPr>
    </w:p>
    <w:p w14:paraId="7ACC0A52">
      <w:pPr>
        <w:pStyle w:val="5"/>
        <w:rPr>
          <w:rFonts w:hint="eastAsia" w:ascii="宋体" w:hAnsi="宋体" w:eastAsia="宋体" w:cs="宋体"/>
          <w:szCs w:val="24"/>
        </w:rPr>
      </w:pPr>
      <w:r>
        <w:rPr>
          <w:rFonts w:hint="eastAsia" w:ascii="宋体" w:hAnsi="宋体" w:eastAsia="宋体" w:cs="宋体"/>
          <w:szCs w:val="24"/>
        </w:rPr>
        <w:t>附件</w:t>
      </w:r>
      <w:r>
        <w:rPr>
          <w:rFonts w:hint="eastAsia" w:cs="宋体"/>
          <w:szCs w:val="24"/>
          <w:lang w:eastAsia="zh-CN"/>
        </w:rPr>
        <w:t>八</w:t>
      </w:r>
      <w:r>
        <w:rPr>
          <w:rFonts w:hint="eastAsia" w:ascii="宋体" w:hAnsi="宋体" w:eastAsia="宋体" w:cs="宋体"/>
          <w:szCs w:val="24"/>
        </w:rPr>
        <w:t xml:space="preserve"> </w:t>
      </w:r>
    </w:p>
    <w:p w14:paraId="4D354D1E">
      <w:pPr>
        <w:spacing w:line="480" w:lineRule="auto"/>
        <w:ind w:left="0" w:leftChars="0" w:firstLine="0" w:firstLineChars="0"/>
        <w:jc w:val="center"/>
        <w:rPr>
          <w:rFonts w:hint="eastAsia" w:ascii="宋体" w:hAnsi="宋体" w:eastAsia="宋体" w:cs="宋体"/>
        </w:rPr>
      </w:pPr>
      <w:r>
        <w:rPr>
          <w:rFonts w:hint="eastAsia" w:ascii="宋体" w:hAnsi="宋体" w:eastAsia="宋体" w:cs="宋体"/>
          <w:b/>
          <w:bCs/>
          <w:sz w:val="28"/>
          <w:szCs w:val="28"/>
        </w:rPr>
        <w:t>商务偏离表</w:t>
      </w:r>
    </w:p>
    <w:p w14:paraId="1AF8CDEC">
      <w:pPr>
        <w:ind w:firstLine="0" w:firstLineChars="0"/>
        <w:rPr>
          <w:rFonts w:hint="eastAsia" w:ascii="宋体" w:hAnsi="宋体" w:eastAsia="宋体" w:cs="宋体"/>
        </w:rPr>
      </w:pPr>
      <w:r>
        <w:rPr>
          <w:rFonts w:hint="eastAsia" w:ascii="宋体" w:hAnsi="宋体" w:eastAsia="宋体" w:cs="宋体"/>
        </w:rPr>
        <w:t xml:space="preserve">项目名称：              </w:t>
      </w:r>
    </w:p>
    <w:p w14:paraId="71DD3A99">
      <w:pPr>
        <w:ind w:firstLine="0" w:firstLineChars="0"/>
        <w:rPr>
          <w:rFonts w:hint="eastAsia" w:ascii="宋体" w:hAnsi="宋体" w:eastAsia="宋体" w:cs="宋体"/>
        </w:rPr>
      </w:pPr>
      <w:r>
        <w:rPr>
          <w:rFonts w:hint="eastAsia" w:ascii="宋体" w:hAnsi="宋体" w:eastAsia="宋体" w:cs="宋体"/>
        </w:rPr>
        <w:t xml:space="preserve">项目编号：               </w:t>
      </w:r>
    </w:p>
    <w:tbl>
      <w:tblPr>
        <w:tblStyle w:val="45"/>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3379"/>
        <w:gridCol w:w="3180"/>
        <w:gridCol w:w="2044"/>
      </w:tblGrid>
      <w:tr w14:paraId="4A472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vAlign w:val="center"/>
          </w:tcPr>
          <w:p w14:paraId="1AC98734">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bCs/>
              </w:rPr>
            </w:pPr>
            <w:r>
              <w:rPr>
                <w:rFonts w:hint="eastAsia" w:ascii="宋体" w:hAnsi="宋体" w:eastAsia="宋体" w:cs="宋体"/>
                <w:b/>
                <w:bCs/>
              </w:rPr>
              <w:t>序号</w:t>
            </w:r>
          </w:p>
        </w:tc>
        <w:tc>
          <w:tcPr>
            <w:tcW w:w="3379" w:type="dxa"/>
            <w:vAlign w:val="center"/>
          </w:tcPr>
          <w:p w14:paraId="1FE2F432">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bCs/>
              </w:rPr>
            </w:pPr>
            <w:r>
              <w:rPr>
                <w:rFonts w:hint="eastAsia" w:ascii="宋体" w:hAnsi="宋体" w:eastAsia="宋体" w:cs="宋体"/>
                <w:b/>
                <w:bCs/>
              </w:rPr>
              <w:t>招标</w:t>
            </w:r>
            <w:r>
              <w:rPr>
                <w:rFonts w:hint="eastAsia" w:cs="宋体"/>
                <w:b/>
                <w:bCs/>
                <w:lang w:eastAsia="zh-CN"/>
              </w:rPr>
              <w:t>文件</w:t>
            </w:r>
            <w:r>
              <w:rPr>
                <w:rFonts w:hint="eastAsia" w:ascii="宋体" w:hAnsi="宋体" w:eastAsia="宋体" w:cs="宋体"/>
                <w:b/>
                <w:bCs/>
              </w:rPr>
              <w:t>要求</w:t>
            </w:r>
          </w:p>
        </w:tc>
        <w:tc>
          <w:tcPr>
            <w:tcW w:w="3180" w:type="dxa"/>
            <w:vAlign w:val="center"/>
          </w:tcPr>
          <w:p w14:paraId="615FCA99">
            <w:pPr>
              <w:keepNext w:val="0"/>
              <w:keepLines w:val="0"/>
              <w:pageBreakBefore w:val="0"/>
              <w:widowControl w:val="0"/>
              <w:kinsoku/>
              <w:wordWrap/>
              <w:overflowPunct/>
              <w:topLinePunct w:val="0"/>
              <w:autoSpaceDE/>
              <w:autoSpaceDN/>
              <w:bidi w:val="0"/>
              <w:adjustRightInd/>
              <w:snapToGrid/>
              <w:spacing w:line="440" w:lineRule="exact"/>
              <w:ind w:left="102" w:firstLine="0" w:firstLineChars="0"/>
              <w:jc w:val="center"/>
              <w:textAlignment w:val="auto"/>
              <w:rPr>
                <w:rFonts w:hint="eastAsia" w:ascii="宋体" w:hAnsi="宋体" w:eastAsia="宋体" w:cs="宋体"/>
                <w:b/>
                <w:bCs/>
                <w:lang w:eastAsia="zh-CN"/>
              </w:rPr>
            </w:pPr>
            <w:r>
              <w:rPr>
                <w:rFonts w:hint="eastAsia" w:ascii="宋体" w:hAnsi="宋体" w:eastAsia="宋体" w:cs="宋体"/>
                <w:b/>
                <w:bCs/>
              </w:rPr>
              <w:t>投标响应</w:t>
            </w:r>
            <w:r>
              <w:rPr>
                <w:rFonts w:hint="eastAsia" w:cs="宋体"/>
                <w:b/>
                <w:bCs/>
                <w:lang w:eastAsia="zh-CN"/>
              </w:rPr>
              <w:t>情况</w:t>
            </w:r>
          </w:p>
        </w:tc>
        <w:tc>
          <w:tcPr>
            <w:tcW w:w="2044" w:type="dxa"/>
            <w:vAlign w:val="center"/>
          </w:tcPr>
          <w:p w14:paraId="40A162A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b/>
                <w:bCs/>
              </w:rPr>
            </w:pPr>
            <w:r>
              <w:rPr>
                <w:rFonts w:hint="eastAsia" w:ascii="宋体" w:hAnsi="宋体" w:eastAsia="宋体" w:cs="宋体"/>
                <w:b/>
                <w:bCs/>
              </w:rPr>
              <w:t>偏离情况</w:t>
            </w:r>
          </w:p>
        </w:tc>
      </w:tr>
      <w:tr w14:paraId="4B157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vAlign w:val="top"/>
          </w:tcPr>
          <w:p w14:paraId="17D4527B">
            <w:pPr>
              <w:ind w:firstLine="0" w:firstLineChars="0"/>
              <w:rPr>
                <w:rFonts w:hint="eastAsia" w:ascii="宋体" w:hAnsi="宋体" w:eastAsia="宋体" w:cs="宋体"/>
              </w:rPr>
            </w:pPr>
          </w:p>
        </w:tc>
        <w:tc>
          <w:tcPr>
            <w:tcW w:w="3379" w:type="dxa"/>
            <w:vAlign w:val="top"/>
          </w:tcPr>
          <w:p w14:paraId="1AFAAC50">
            <w:pPr>
              <w:ind w:firstLine="0" w:firstLineChars="0"/>
              <w:rPr>
                <w:rFonts w:hint="eastAsia" w:ascii="宋体" w:hAnsi="宋体" w:eastAsia="宋体" w:cs="宋体"/>
              </w:rPr>
            </w:pPr>
          </w:p>
        </w:tc>
        <w:tc>
          <w:tcPr>
            <w:tcW w:w="3180" w:type="dxa"/>
            <w:vAlign w:val="top"/>
          </w:tcPr>
          <w:p w14:paraId="2A6AA6C1">
            <w:pPr>
              <w:ind w:firstLine="0" w:firstLineChars="0"/>
              <w:rPr>
                <w:rFonts w:hint="eastAsia" w:ascii="宋体" w:hAnsi="宋体" w:eastAsia="宋体" w:cs="宋体"/>
              </w:rPr>
            </w:pPr>
          </w:p>
        </w:tc>
        <w:tc>
          <w:tcPr>
            <w:tcW w:w="2044" w:type="dxa"/>
            <w:vAlign w:val="top"/>
          </w:tcPr>
          <w:p w14:paraId="0108EA76">
            <w:pPr>
              <w:ind w:firstLine="0" w:firstLineChars="0"/>
              <w:rPr>
                <w:rFonts w:hint="eastAsia" w:ascii="宋体" w:hAnsi="宋体" w:eastAsia="宋体" w:cs="宋体"/>
              </w:rPr>
            </w:pPr>
          </w:p>
        </w:tc>
      </w:tr>
      <w:tr w14:paraId="05679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vAlign w:val="top"/>
          </w:tcPr>
          <w:p w14:paraId="7FE0B30E">
            <w:pPr>
              <w:ind w:firstLine="0" w:firstLineChars="0"/>
              <w:rPr>
                <w:rFonts w:hint="eastAsia" w:ascii="宋体" w:hAnsi="宋体" w:eastAsia="宋体" w:cs="宋体"/>
              </w:rPr>
            </w:pPr>
          </w:p>
        </w:tc>
        <w:tc>
          <w:tcPr>
            <w:tcW w:w="3379" w:type="dxa"/>
            <w:vAlign w:val="top"/>
          </w:tcPr>
          <w:p w14:paraId="67B5F982">
            <w:pPr>
              <w:ind w:firstLine="0" w:firstLineChars="0"/>
              <w:rPr>
                <w:rFonts w:hint="eastAsia" w:ascii="宋体" w:hAnsi="宋体" w:eastAsia="宋体" w:cs="宋体"/>
              </w:rPr>
            </w:pPr>
          </w:p>
        </w:tc>
        <w:tc>
          <w:tcPr>
            <w:tcW w:w="3180" w:type="dxa"/>
            <w:vAlign w:val="top"/>
          </w:tcPr>
          <w:p w14:paraId="00382140">
            <w:pPr>
              <w:ind w:firstLine="0" w:firstLineChars="0"/>
              <w:rPr>
                <w:rFonts w:hint="eastAsia" w:ascii="宋体" w:hAnsi="宋体" w:eastAsia="宋体" w:cs="宋体"/>
              </w:rPr>
            </w:pPr>
          </w:p>
        </w:tc>
        <w:tc>
          <w:tcPr>
            <w:tcW w:w="2044" w:type="dxa"/>
            <w:vAlign w:val="top"/>
          </w:tcPr>
          <w:p w14:paraId="1383A20C">
            <w:pPr>
              <w:ind w:firstLine="0" w:firstLineChars="0"/>
              <w:rPr>
                <w:rFonts w:hint="eastAsia" w:ascii="宋体" w:hAnsi="宋体" w:eastAsia="宋体" w:cs="宋体"/>
              </w:rPr>
            </w:pPr>
          </w:p>
        </w:tc>
      </w:tr>
      <w:tr w14:paraId="2DBEC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vAlign w:val="top"/>
          </w:tcPr>
          <w:p w14:paraId="594495DE">
            <w:pPr>
              <w:ind w:firstLine="0" w:firstLineChars="0"/>
              <w:rPr>
                <w:rFonts w:hint="eastAsia" w:ascii="宋体" w:hAnsi="宋体" w:eastAsia="宋体" w:cs="宋体"/>
              </w:rPr>
            </w:pPr>
          </w:p>
        </w:tc>
        <w:tc>
          <w:tcPr>
            <w:tcW w:w="3379" w:type="dxa"/>
            <w:vAlign w:val="top"/>
          </w:tcPr>
          <w:p w14:paraId="4EB9E19F">
            <w:pPr>
              <w:ind w:firstLine="0" w:firstLineChars="0"/>
              <w:rPr>
                <w:rFonts w:hint="eastAsia" w:ascii="宋体" w:hAnsi="宋体" w:eastAsia="宋体" w:cs="宋体"/>
              </w:rPr>
            </w:pPr>
          </w:p>
        </w:tc>
        <w:tc>
          <w:tcPr>
            <w:tcW w:w="3180" w:type="dxa"/>
            <w:vAlign w:val="top"/>
          </w:tcPr>
          <w:p w14:paraId="5027BE6D">
            <w:pPr>
              <w:ind w:firstLine="0" w:firstLineChars="0"/>
              <w:rPr>
                <w:rFonts w:hint="eastAsia" w:ascii="宋体" w:hAnsi="宋体" w:eastAsia="宋体" w:cs="宋体"/>
              </w:rPr>
            </w:pPr>
          </w:p>
        </w:tc>
        <w:tc>
          <w:tcPr>
            <w:tcW w:w="2044" w:type="dxa"/>
            <w:vAlign w:val="top"/>
          </w:tcPr>
          <w:p w14:paraId="20662AA5">
            <w:pPr>
              <w:ind w:firstLine="0" w:firstLineChars="0"/>
              <w:rPr>
                <w:rFonts w:hint="eastAsia" w:ascii="宋体" w:hAnsi="宋体" w:eastAsia="宋体" w:cs="宋体"/>
              </w:rPr>
            </w:pPr>
          </w:p>
        </w:tc>
      </w:tr>
      <w:tr w14:paraId="3A011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vAlign w:val="top"/>
          </w:tcPr>
          <w:p w14:paraId="1C4BA594">
            <w:pPr>
              <w:ind w:firstLine="0" w:firstLineChars="0"/>
              <w:rPr>
                <w:rFonts w:hint="eastAsia" w:ascii="宋体" w:hAnsi="宋体" w:eastAsia="宋体" w:cs="宋体"/>
              </w:rPr>
            </w:pPr>
          </w:p>
        </w:tc>
        <w:tc>
          <w:tcPr>
            <w:tcW w:w="3379" w:type="dxa"/>
            <w:vAlign w:val="top"/>
          </w:tcPr>
          <w:p w14:paraId="1515A5FB">
            <w:pPr>
              <w:ind w:firstLine="0" w:firstLineChars="0"/>
              <w:rPr>
                <w:rFonts w:hint="eastAsia" w:ascii="宋体" w:hAnsi="宋体" w:eastAsia="宋体" w:cs="宋体"/>
              </w:rPr>
            </w:pPr>
          </w:p>
        </w:tc>
        <w:tc>
          <w:tcPr>
            <w:tcW w:w="3180" w:type="dxa"/>
            <w:vAlign w:val="top"/>
          </w:tcPr>
          <w:p w14:paraId="424D7D86">
            <w:pPr>
              <w:ind w:firstLine="0" w:firstLineChars="0"/>
              <w:rPr>
                <w:rFonts w:hint="eastAsia" w:ascii="宋体" w:hAnsi="宋体" w:eastAsia="宋体" w:cs="宋体"/>
              </w:rPr>
            </w:pPr>
          </w:p>
        </w:tc>
        <w:tc>
          <w:tcPr>
            <w:tcW w:w="2044" w:type="dxa"/>
            <w:vAlign w:val="top"/>
          </w:tcPr>
          <w:p w14:paraId="6647081E">
            <w:pPr>
              <w:ind w:firstLine="0" w:firstLineChars="0"/>
              <w:rPr>
                <w:rFonts w:hint="eastAsia" w:ascii="宋体" w:hAnsi="宋体" w:eastAsia="宋体" w:cs="宋体"/>
              </w:rPr>
            </w:pPr>
          </w:p>
        </w:tc>
      </w:tr>
      <w:tr w14:paraId="22965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vAlign w:val="top"/>
          </w:tcPr>
          <w:p w14:paraId="62EDBC1F">
            <w:pPr>
              <w:ind w:firstLine="0" w:firstLineChars="0"/>
              <w:rPr>
                <w:rFonts w:hint="eastAsia" w:ascii="宋体" w:hAnsi="宋体" w:eastAsia="宋体" w:cs="宋体"/>
              </w:rPr>
            </w:pPr>
          </w:p>
        </w:tc>
        <w:tc>
          <w:tcPr>
            <w:tcW w:w="3379" w:type="dxa"/>
            <w:vAlign w:val="top"/>
          </w:tcPr>
          <w:p w14:paraId="4727691C">
            <w:pPr>
              <w:ind w:firstLine="0" w:firstLineChars="0"/>
              <w:rPr>
                <w:rFonts w:hint="eastAsia" w:ascii="宋体" w:hAnsi="宋体" w:eastAsia="宋体" w:cs="宋体"/>
              </w:rPr>
            </w:pPr>
          </w:p>
        </w:tc>
        <w:tc>
          <w:tcPr>
            <w:tcW w:w="3180" w:type="dxa"/>
            <w:vAlign w:val="top"/>
          </w:tcPr>
          <w:p w14:paraId="5CB382EB">
            <w:pPr>
              <w:ind w:firstLine="0" w:firstLineChars="0"/>
              <w:rPr>
                <w:rFonts w:hint="eastAsia" w:ascii="宋体" w:hAnsi="宋体" w:eastAsia="宋体" w:cs="宋体"/>
              </w:rPr>
            </w:pPr>
          </w:p>
        </w:tc>
        <w:tc>
          <w:tcPr>
            <w:tcW w:w="2044" w:type="dxa"/>
            <w:vAlign w:val="top"/>
          </w:tcPr>
          <w:p w14:paraId="7164B86C">
            <w:pPr>
              <w:ind w:firstLine="0" w:firstLineChars="0"/>
              <w:rPr>
                <w:rFonts w:hint="eastAsia" w:ascii="宋体" w:hAnsi="宋体" w:eastAsia="宋体" w:cs="宋体"/>
              </w:rPr>
            </w:pPr>
          </w:p>
        </w:tc>
      </w:tr>
      <w:tr w14:paraId="18DAC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vAlign w:val="top"/>
          </w:tcPr>
          <w:p w14:paraId="7F86CB1E">
            <w:pPr>
              <w:ind w:firstLine="0" w:firstLineChars="0"/>
              <w:rPr>
                <w:rFonts w:hint="eastAsia" w:ascii="宋体" w:hAnsi="宋体" w:eastAsia="宋体" w:cs="宋体"/>
              </w:rPr>
            </w:pPr>
          </w:p>
        </w:tc>
        <w:tc>
          <w:tcPr>
            <w:tcW w:w="3379" w:type="dxa"/>
            <w:vAlign w:val="top"/>
          </w:tcPr>
          <w:p w14:paraId="0E4095C9">
            <w:pPr>
              <w:ind w:firstLine="0" w:firstLineChars="0"/>
              <w:rPr>
                <w:rFonts w:hint="eastAsia" w:ascii="宋体" w:hAnsi="宋体" w:eastAsia="宋体" w:cs="宋体"/>
              </w:rPr>
            </w:pPr>
          </w:p>
        </w:tc>
        <w:tc>
          <w:tcPr>
            <w:tcW w:w="3180" w:type="dxa"/>
            <w:vAlign w:val="top"/>
          </w:tcPr>
          <w:p w14:paraId="5980656D">
            <w:pPr>
              <w:ind w:firstLine="0" w:firstLineChars="0"/>
              <w:rPr>
                <w:rFonts w:hint="eastAsia" w:ascii="宋体" w:hAnsi="宋体" w:eastAsia="宋体" w:cs="宋体"/>
              </w:rPr>
            </w:pPr>
          </w:p>
        </w:tc>
        <w:tc>
          <w:tcPr>
            <w:tcW w:w="2044" w:type="dxa"/>
            <w:vAlign w:val="top"/>
          </w:tcPr>
          <w:p w14:paraId="092A8686">
            <w:pPr>
              <w:ind w:firstLine="0" w:firstLineChars="0"/>
              <w:rPr>
                <w:rFonts w:hint="eastAsia" w:ascii="宋体" w:hAnsi="宋体" w:eastAsia="宋体" w:cs="宋体"/>
              </w:rPr>
            </w:pPr>
          </w:p>
        </w:tc>
      </w:tr>
      <w:tr w14:paraId="0A24D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vAlign w:val="top"/>
          </w:tcPr>
          <w:p w14:paraId="390C0636">
            <w:pPr>
              <w:ind w:firstLine="0" w:firstLineChars="0"/>
              <w:rPr>
                <w:rFonts w:hint="eastAsia" w:ascii="宋体" w:hAnsi="宋体" w:eastAsia="宋体" w:cs="宋体"/>
              </w:rPr>
            </w:pPr>
          </w:p>
        </w:tc>
        <w:tc>
          <w:tcPr>
            <w:tcW w:w="3379" w:type="dxa"/>
            <w:vAlign w:val="top"/>
          </w:tcPr>
          <w:p w14:paraId="15F63C53">
            <w:pPr>
              <w:ind w:firstLine="0" w:firstLineChars="0"/>
              <w:rPr>
                <w:rFonts w:hint="eastAsia" w:ascii="宋体" w:hAnsi="宋体" w:eastAsia="宋体" w:cs="宋体"/>
              </w:rPr>
            </w:pPr>
          </w:p>
        </w:tc>
        <w:tc>
          <w:tcPr>
            <w:tcW w:w="3180" w:type="dxa"/>
            <w:vAlign w:val="top"/>
          </w:tcPr>
          <w:p w14:paraId="130C8C3F">
            <w:pPr>
              <w:ind w:firstLine="0" w:firstLineChars="0"/>
              <w:rPr>
                <w:rFonts w:hint="eastAsia" w:ascii="宋体" w:hAnsi="宋体" w:eastAsia="宋体" w:cs="宋体"/>
              </w:rPr>
            </w:pPr>
          </w:p>
        </w:tc>
        <w:tc>
          <w:tcPr>
            <w:tcW w:w="2044" w:type="dxa"/>
            <w:vAlign w:val="top"/>
          </w:tcPr>
          <w:p w14:paraId="312E8194">
            <w:pPr>
              <w:ind w:firstLine="0" w:firstLineChars="0"/>
              <w:rPr>
                <w:rFonts w:hint="eastAsia" w:ascii="宋体" w:hAnsi="宋体" w:eastAsia="宋体" w:cs="宋体"/>
              </w:rPr>
            </w:pPr>
          </w:p>
        </w:tc>
      </w:tr>
      <w:tr w14:paraId="46882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vAlign w:val="top"/>
          </w:tcPr>
          <w:p w14:paraId="21608782">
            <w:pPr>
              <w:ind w:firstLine="0" w:firstLineChars="0"/>
              <w:rPr>
                <w:rFonts w:hint="eastAsia" w:ascii="宋体" w:hAnsi="宋体" w:eastAsia="宋体" w:cs="宋体"/>
              </w:rPr>
            </w:pPr>
          </w:p>
        </w:tc>
        <w:tc>
          <w:tcPr>
            <w:tcW w:w="3379" w:type="dxa"/>
            <w:vAlign w:val="top"/>
          </w:tcPr>
          <w:p w14:paraId="4C45807F">
            <w:pPr>
              <w:ind w:firstLine="0" w:firstLineChars="0"/>
              <w:rPr>
                <w:rFonts w:hint="eastAsia" w:ascii="宋体" w:hAnsi="宋体" w:eastAsia="宋体" w:cs="宋体"/>
              </w:rPr>
            </w:pPr>
          </w:p>
        </w:tc>
        <w:tc>
          <w:tcPr>
            <w:tcW w:w="3180" w:type="dxa"/>
            <w:vAlign w:val="top"/>
          </w:tcPr>
          <w:p w14:paraId="37121440">
            <w:pPr>
              <w:ind w:firstLine="0" w:firstLineChars="0"/>
              <w:rPr>
                <w:rFonts w:hint="eastAsia" w:ascii="宋体" w:hAnsi="宋体" w:eastAsia="宋体" w:cs="宋体"/>
              </w:rPr>
            </w:pPr>
          </w:p>
        </w:tc>
        <w:tc>
          <w:tcPr>
            <w:tcW w:w="2044" w:type="dxa"/>
            <w:vAlign w:val="top"/>
          </w:tcPr>
          <w:p w14:paraId="6C60596E">
            <w:pPr>
              <w:ind w:firstLine="0" w:firstLineChars="0"/>
              <w:rPr>
                <w:rFonts w:hint="eastAsia" w:ascii="宋体" w:hAnsi="宋体" w:eastAsia="宋体" w:cs="宋体"/>
              </w:rPr>
            </w:pPr>
          </w:p>
        </w:tc>
      </w:tr>
      <w:tr w14:paraId="64D22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vAlign w:val="top"/>
          </w:tcPr>
          <w:p w14:paraId="02210EBD">
            <w:pPr>
              <w:ind w:firstLine="0" w:firstLineChars="0"/>
              <w:rPr>
                <w:rFonts w:hint="eastAsia" w:ascii="宋体" w:hAnsi="宋体" w:eastAsia="宋体" w:cs="宋体"/>
              </w:rPr>
            </w:pPr>
          </w:p>
        </w:tc>
        <w:tc>
          <w:tcPr>
            <w:tcW w:w="3379" w:type="dxa"/>
            <w:vAlign w:val="top"/>
          </w:tcPr>
          <w:p w14:paraId="1ACC5EBA">
            <w:pPr>
              <w:ind w:firstLine="0" w:firstLineChars="0"/>
              <w:rPr>
                <w:rFonts w:hint="eastAsia" w:ascii="宋体" w:hAnsi="宋体" w:eastAsia="宋体" w:cs="宋体"/>
              </w:rPr>
            </w:pPr>
          </w:p>
        </w:tc>
        <w:tc>
          <w:tcPr>
            <w:tcW w:w="3180" w:type="dxa"/>
            <w:vAlign w:val="top"/>
          </w:tcPr>
          <w:p w14:paraId="0D2C59E1">
            <w:pPr>
              <w:ind w:firstLine="0" w:firstLineChars="0"/>
              <w:rPr>
                <w:rFonts w:hint="eastAsia" w:ascii="宋体" w:hAnsi="宋体" w:eastAsia="宋体" w:cs="宋体"/>
              </w:rPr>
            </w:pPr>
          </w:p>
        </w:tc>
        <w:tc>
          <w:tcPr>
            <w:tcW w:w="2044" w:type="dxa"/>
            <w:vAlign w:val="top"/>
          </w:tcPr>
          <w:p w14:paraId="7286A62D">
            <w:pPr>
              <w:ind w:firstLine="0" w:firstLineChars="0"/>
              <w:rPr>
                <w:rFonts w:hint="eastAsia" w:ascii="宋体" w:hAnsi="宋体" w:eastAsia="宋体" w:cs="宋体"/>
              </w:rPr>
            </w:pPr>
          </w:p>
        </w:tc>
      </w:tr>
      <w:tr w14:paraId="34C23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vAlign w:val="top"/>
          </w:tcPr>
          <w:p w14:paraId="008B48BE">
            <w:pPr>
              <w:ind w:firstLine="0" w:firstLineChars="0"/>
              <w:rPr>
                <w:rFonts w:hint="eastAsia" w:ascii="宋体" w:hAnsi="宋体" w:eastAsia="宋体" w:cs="宋体"/>
              </w:rPr>
            </w:pPr>
          </w:p>
        </w:tc>
        <w:tc>
          <w:tcPr>
            <w:tcW w:w="3379" w:type="dxa"/>
            <w:vAlign w:val="top"/>
          </w:tcPr>
          <w:p w14:paraId="2BB64E58">
            <w:pPr>
              <w:ind w:firstLine="0" w:firstLineChars="0"/>
              <w:rPr>
                <w:rFonts w:hint="eastAsia" w:ascii="宋体" w:hAnsi="宋体" w:eastAsia="宋体" w:cs="宋体"/>
              </w:rPr>
            </w:pPr>
          </w:p>
        </w:tc>
        <w:tc>
          <w:tcPr>
            <w:tcW w:w="3180" w:type="dxa"/>
            <w:vAlign w:val="top"/>
          </w:tcPr>
          <w:p w14:paraId="52A2BC38">
            <w:pPr>
              <w:ind w:firstLine="0" w:firstLineChars="0"/>
              <w:rPr>
                <w:rFonts w:hint="eastAsia" w:ascii="宋体" w:hAnsi="宋体" w:eastAsia="宋体" w:cs="宋体"/>
              </w:rPr>
            </w:pPr>
          </w:p>
        </w:tc>
        <w:tc>
          <w:tcPr>
            <w:tcW w:w="2044" w:type="dxa"/>
            <w:vAlign w:val="top"/>
          </w:tcPr>
          <w:p w14:paraId="4DC55408">
            <w:pPr>
              <w:ind w:firstLine="0" w:firstLineChars="0"/>
              <w:rPr>
                <w:rFonts w:hint="eastAsia" w:ascii="宋体" w:hAnsi="宋体" w:eastAsia="宋体" w:cs="宋体"/>
              </w:rPr>
            </w:pPr>
          </w:p>
        </w:tc>
      </w:tr>
    </w:tbl>
    <w:p w14:paraId="556BA738">
      <w:pPr>
        <w:spacing w:line="360" w:lineRule="auto"/>
        <w:ind w:left="0" w:leftChars="0" w:firstLine="0" w:firstLineChars="0"/>
        <w:rPr>
          <w:rFonts w:hint="eastAsia" w:ascii="宋体" w:hAnsi="宋体" w:eastAsia="宋体" w:cs="Times New Roman"/>
          <w:sz w:val="10"/>
          <w:szCs w:val="10"/>
        </w:rPr>
      </w:pPr>
    </w:p>
    <w:p w14:paraId="507E3C5B">
      <w:pPr>
        <w:spacing w:line="360" w:lineRule="auto"/>
        <w:ind w:left="0" w:leftChars="0" w:firstLine="0" w:firstLineChars="0"/>
        <w:rPr>
          <w:rFonts w:ascii="宋体" w:hAnsi="宋体" w:eastAsia="宋体" w:cs="Times New Roman"/>
          <w:sz w:val="24"/>
        </w:rPr>
      </w:pPr>
      <w:r>
        <w:rPr>
          <w:rFonts w:hint="eastAsia" w:ascii="宋体" w:hAnsi="宋体" w:eastAsia="宋体" w:cs="Times New Roman"/>
          <w:sz w:val="24"/>
        </w:rPr>
        <w:t>注：1</w:t>
      </w:r>
      <w:r>
        <w:rPr>
          <w:rFonts w:hint="eastAsia" w:ascii="宋体" w:hAnsi="宋体" w:eastAsia="宋体" w:cs="Times New Roman"/>
          <w:sz w:val="24"/>
          <w:lang w:val="en-US" w:eastAsia="zh-CN"/>
        </w:rPr>
        <w:t>.</w:t>
      </w:r>
      <w:r>
        <w:rPr>
          <w:rFonts w:hint="eastAsia" w:ascii="宋体" w:hAnsi="宋体" w:eastAsia="宋体" w:cs="Times New Roman"/>
          <w:sz w:val="24"/>
        </w:rPr>
        <w:t>投标人必须按</w:t>
      </w:r>
      <w:r>
        <w:rPr>
          <w:rFonts w:hint="eastAsia" w:ascii="宋体" w:hAnsi="宋体" w:eastAsia="宋体" w:cs="Times New Roman"/>
          <w:sz w:val="24"/>
          <w:lang w:eastAsia="zh-CN"/>
        </w:rPr>
        <w:t>“第二章</w:t>
      </w:r>
      <w:r>
        <w:rPr>
          <w:rFonts w:hint="eastAsia" w:ascii="宋体" w:hAnsi="宋体" w:eastAsia="宋体" w:cs="Times New Roman"/>
          <w:sz w:val="24"/>
          <w:lang w:val="en-US" w:eastAsia="zh-CN"/>
        </w:rPr>
        <w:t>-采购需求</w:t>
      </w:r>
      <w:r>
        <w:rPr>
          <w:rFonts w:hint="eastAsia" w:ascii="宋体" w:hAnsi="宋体" w:eastAsia="宋体" w:cs="Times New Roman"/>
          <w:sz w:val="24"/>
          <w:lang w:eastAsia="zh-CN"/>
        </w:rPr>
        <w:t>”的商务要求</w:t>
      </w:r>
      <w:r>
        <w:rPr>
          <w:rFonts w:hint="eastAsia" w:ascii="宋体" w:hAnsi="宋体" w:eastAsia="宋体" w:cs="Times New Roman"/>
          <w:sz w:val="24"/>
        </w:rPr>
        <w:t>,如实填写</w:t>
      </w:r>
      <w:r>
        <w:rPr>
          <w:rFonts w:hint="eastAsia" w:ascii="宋体" w:hAnsi="宋体" w:eastAsia="宋体" w:cs="Times New Roman"/>
          <w:sz w:val="24"/>
          <w:lang w:eastAsia="zh-CN"/>
        </w:rPr>
        <w:t>本表</w:t>
      </w:r>
      <w:r>
        <w:rPr>
          <w:rFonts w:hint="eastAsia" w:ascii="宋体" w:hAnsi="宋体" w:eastAsia="宋体" w:cs="Times New Roman"/>
          <w:sz w:val="24"/>
        </w:rPr>
        <w:t>，未按要求填写的，有可能作负偏离处理；</w:t>
      </w:r>
    </w:p>
    <w:p w14:paraId="378B95D2">
      <w:pPr>
        <w:snapToGrid w:val="0"/>
        <w:spacing w:line="360" w:lineRule="auto"/>
        <w:ind w:firstLine="480" w:firstLineChars="200"/>
        <w:jc w:val="left"/>
        <w:rPr>
          <w:rFonts w:hint="default" w:ascii="宋体" w:hAnsi="宋体" w:eastAsia="宋体" w:cs="Times New Roman"/>
          <w:sz w:val="24"/>
          <w:lang w:val="en-US" w:eastAsia="zh-CN"/>
        </w:rPr>
      </w:pPr>
      <w:r>
        <w:rPr>
          <w:rFonts w:hint="eastAsia" w:ascii="宋体" w:hAnsi="宋体" w:eastAsia="宋体" w:cs="Times New Roman"/>
          <w:sz w:val="24"/>
          <w:lang w:val="en-US" w:eastAsia="zh-CN"/>
        </w:rPr>
        <w:t>2.投标人根据投标响应情况在“偏离情况”栏里填写“正偏离”、“无偏离”、“负偏离”；</w:t>
      </w:r>
    </w:p>
    <w:p w14:paraId="1CA8FF3E">
      <w:pPr>
        <w:ind w:firstLine="480" w:firstLineChars="200"/>
        <w:rPr>
          <w:rFonts w:hint="eastAsia" w:ascii="宋体" w:hAnsi="宋体" w:eastAsia="宋体" w:cs="宋体"/>
        </w:rPr>
      </w:pPr>
      <w:r>
        <w:rPr>
          <w:rFonts w:hint="eastAsia" w:ascii="宋体" w:hAnsi="宋体" w:eastAsia="宋体" w:cs="Times New Roman"/>
          <w:sz w:val="24"/>
          <w:lang w:val="en-US" w:eastAsia="zh-CN"/>
        </w:rPr>
        <w:t>3</w:t>
      </w:r>
      <w:r>
        <w:rPr>
          <w:rFonts w:hint="eastAsia" w:ascii="宋体" w:hAnsi="宋体" w:eastAsia="宋体" w:cs="Times New Roman"/>
          <w:sz w:val="24"/>
          <w:lang w:eastAsia="zh-CN"/>
        </w:rPr>
        <w:t>.</w:t>
      </w:r>
      <w:r>
        <w:rPr>
          <w:rFonts w:hint="eastAsia" w:ascii="宋体" w:hAnsi="宋体" w:eastAsia="宋体" w:cs="Times New Roman"/>
          <w:sz w:val="24"/>
        </w:rPr>
        <w:t>此表仅提供了表格形式，投标人应根据</w:t>
      </w:r>
      <w:r>
        <w:rPr>
          <w:rFonts w:hint="eastAsia" w:ascii="宋体" w:hAnsi="宋体" w:eastAsia="宋体" w:cs="Times New Roman"/>
          <w:sz w:val="24"/>
          <w:lang w:eastAsia="zh-CN"/>
        </w:rPr>
        <w:t>实际</w:t>
      </w:r>
      <w:r>
        <w:rPr>
          <w:rFonts w:hint="eastAsia" w:ascii="宋体" w:hAnsi="宋体" w:eastAsia="宋体" w:cs="Times New Roman"/>
          <w:sz w:val="24"/>
        </w:rPr>
        <w:t>需要准备足够数量的表格来填写。</w:t>
      </w:r>
    </w:p>
    <w:p w14:paraId="746F7494">
      <w:pPr>
        <w:pStyle w:val="78"/>
        <w:rPr>
          <w:rFonts w:hint="eastAsia" w:ascii="宋体" w:hAnsi="宋体" w:eastAsia="宋体" w:cs="宋体"/>
          <w:color w:val="auto"/>
        </w:rPr>
      </w:pPr>
    </w:p>
    <w:p w14:paraId="2CBC67A6">
      <w:pPr>
        <w:pStyle w:val="79"/>
        <w:rPr>
          <w:rFonts w:hint="eastAsia" w:ascii="宋体" w:hAnsi="宋体" w:eastAsia="宋体" w:cs="宋体"/>
          <w:color w:val="auto"/>
        </w:rPr>
      </w:pPr>
    </w:p>
    <w:p w14:paraId="7C4EE781">
      <w:pPr>
        <w:rPr>
          <w:rFonts w:hint="eastAsia"/>
        </w:rPr>
      </w:pPr>
    </w:p>
    <w:p w14:paraId="6338E917">
      <w:pPr>
        <w:pStyle w:val="78"/>
        <w:rPr>
          <w:rFonts w:hint="eastAsia" w:ascii="宋体" w:hAnsi="宋体" w:eastAsia="宋体" w:cs="宋体"/>
          <w:color w:val="auto"/>
        </w:rPr>
      </w:pPr>
    </w:p>
    <w:p w14:paraId="4C919F90">
      <w:pPr>
        <w:spacing w:line="480" w:lineRule="auto"/>
        <w:ind w:left="0" w:leftChars="0" w:firstLine="0" w:firstLineChars="0"/>
        <w:rPr>
          <w:rFonts w:hint="eastAsia" w:ascii="宋体" w:hAnsi="宋体" w:eastAsia="宋体" w:cs="宋体"/>
        </w:rPr>
      </w:pPr>
      <w:r>
        <w:rPr>
          <w:rFonts w:hint="eastAsia" w:ascii="宋体" w:hAnsi="宋体" w:eastAsia="宋体" w:cs="宋体"/>
        </w:rPr>
        <w:t>投标人名称（公章）：</w:t>
      </w:r>
    </w:p>
    <w:p w14:paraId="7FC81D2C">
      <w:pPr>
        <w:spacing w:line="480" w:lineRule="auto"/>
        <w:ind w:left="0" w:leftChars="0" w:firstLine="0" w:firstLineChars="0"/>
        <w:rPr>
          <w:rFonts w:hint="eastAsia" w:ascii="宋体" w:hAnsi="宋体" w:eastAsia="宋体" w:cs="宋体"/>
        </w:rPr>
      </w:pPr>
      <w:r>
        <w:rPr>
          <w:rFonts w:hint="eastAsia" w:ascii="宋体" w:hAnsi="宋体" w:eastAsia="宋体" w:cs="宋体"/>
        </w:rPr>
        <w:t>法定代表人或其</w:t>
      </w:r>
      <w:r>
        <w:rPr>
          <w:rFonts w:hint="eastAsia" w:cs="宋体"/>
          <w:lang w:eastAsia="zh-CN"/>
        </w:rPr>
        <w:t>授权代表</w:t>
      </w:r>
      <w:r>
        <w:rPr>
          <w:rFonts w:hint="eastAsia" w:ascii="宋体" w:hAnsi="宋体" w:eastAsia="宋体" w:cs="宋体"/>
        </w:rPr>
        <w:t>（签字或盖章）：</w:t>
      </w:r>
    </w:p>
    <w:p w14:paraId="16CB248F">
      <w:pPr>
        <w:spacing w:line="480" w:lineRule="auto"/>
        <w:ind w:left="0" w:leftChars="0" w:firstLine="0" w:firstLineChars="0"/>
        <w:rPr>
          <w:rFonts w:hint="eastAsia" w:ascii="宋体" w:hAnsi="宋体" w:eastAsia="宋体" w:cs="宋体"/>
        </w:rPr>
      </w:pPr>
      <w:r>
        <w:rPr>
          <w:rFonts w:hint="eastAsia" w:ascii="宋体" w:hAnsi="宋体" w:eastAsia="宋体" w:cs="宋体"/>
        </w:rPr>
        <w:t>日期：  年   月   日</w:t>
      </w:r>
    </w:p>
    <w:p w14:paraId="2D433B90">
      <w:pPr>
        <w:spacing w:line="500" w:lineRule="exact"/>
        <w:ind w:firstLine="480"/>
        <w:rPr>
          <w:rFonts w:hint="eastAsia" w:ascii="宋体" w:hAnsi="宋体" w:eastAsia="宋体" w:cs="宋体"/>
        </w:rPr>
      </w:pPr>
    </w:p>
    <w:p w14:paraId="48CA85E9">
      <w:pPr>
        <w:ind w:firstLine="480"/>
        <w:rPr>
          <w:rFonts w:hint="eastAsia" w:ascii="宋体" w:hAnsi="宋体" w:eastAsia="宋体" w:cs="宋体"/>
        </w:rPr>
      </w:pPr>
    </w:p>
    <w:p w14:paraId="5B388907">
      <w:pPr>
        <w:ind w:firstLine="0" w:firstLineChars="0"/>
        <w:rPr>
          <w:rFonts w:hint="eastAsia" w:ascii="宋体" w:hAnsi="宋体" w:eastAsia="宋体" w:cs="宋体"/>
        </w:rPr>
        <w:sectPr>
          <w:pgSz w:w="11907" w:h="16840"/>
          <w:pgMar w:top="1247" w:right="1304" w:bottom="1021" w:left="1304" w:header="720" w:footer="720" w:gutter="0"/>
          <w:pgNumType w:fmt="decimal"/>
          <w:cols w:space="720" w:num="1"/>
          <w:docGrid w:linePitch="286" w:charSpace="0"/>
        </w:sectPr>
      </w:pPr>
    </w:p>
    <w:p w14:paraId="153E0C07">
      <w:pPr>
        <w:numPr>
          <w:ilvl w:val="0"/>
          <w:numId w:val="0"/>
        </w:numPr>
        <w:spacing w:line="360" w:lineRule="auto"/>
        <w:jc w:val="both"/>
        <w:rPr>
          <w:rFonts w:hint="eastAsia" w:cs="宋体"/>
          <w:b/>
          <w:bCs/>
          <w:highlight w:val="none"/>
          <w:lang w:val="en-US" w:eastAsia="zh-CN"/>
        </w:rPr>
      </w:pPr>
      <w:r>
        <w:rPr>
          <w:rFonts w:hint="eastAsia" w:cs="宋体"/>
          <w:b/>
          <w:bCs/>
          <w:highlight w:val="none"/>
          <w:lang w:val="en-US" w:eastAsia="zh-CN"/>
        </w:rPr>
        <w:t>附件九</w:t>
      </w:r>
    </w:p>
    <w:p w14:paraId="67FE5A51">
      <w:pPr>
        <w:bidi w:val="0"/>
        <w:ind w:left="0" w:leftChars="0" w:firstLine="0" w:firstLineChars="0"/>
        <w:jc w:val="center"/>
        <w:rPr>
          <w:rFonts w:hint="eastAsia" w:cs="Times New Roman"/>
          <w:b/>
          <w:bCs/>
          <w:kern w:val="2"/>
          <w:sz w:val="28"/>
          <w:szCs w:val="28"/>
          <w:lang w:val="en-US" w:eastAsia="zh-CN" w:bidi="ar-SA"/>
        </w:rPr>
      </w:pPr>
      <w:r>
        <w:rPr>
          <w:rFonts w:hint="eastAsia" w:cs="Times New Roman"/>
          <w:b/>
          <w:bCs/>
          <w:kern w:val="2"/>
          <w:sz w:val="28"/>
          <w:szCs w:val="28"/>
          <w:lang w:val="en-US" w:eastAsia="zh-CN" w:bidi="ar-SA"/>
        </w:rPr>
        <w:t>技术规范偏离表</w:t>
      </w:r>
    </w:p>
    <w:p w14:paraId="018E5C0B">
      <w:pPr>
        <w:bidi w:val="0"/>
        <w:ind w:left="0" w:leftChars="0" w:firstLine="0" w:firstLineChars="0"/>
        <w:rPr>
          <w:rFonts w:hint="eastAsia" w:cs="Times New Roman"/>
          <w:kern w:val="2"/>
          <w:sz w:val="24"/>
          <w:szCs w:val="24"/>
          <w:lang w:val="en-US" w:eastAsia="zh-CN" w:bidi="ar-SA"/>
        </w:rPr>
      </w:pPr>
      <w:r>
        <w:rPr>
          <w:rFonts w:hint="eastAsia" w:cs="Times New Roman"/>
          <w:kern w:val="2"/>
          <w:sz w:val="24"/>
          <w:szCs w:val="24"/>
          <w:lang w:val="en-US" w:eastAsia="zh-CN" w:bidi="ar-SA"/>
        </w:rPr>
        <w:t>项目名称：</w:t>
      </w:r>
    </w:p>
    <w:p w14:paraId="58DB886C">
      <w:pPr>
        <w:bidi w:val="0"/>
        <w:ind w:left="0" w:leftChars="0" w:firstLine="0" w:firstLineChars="0"/>
        <w:rPr>
          <w:rFonts w:hint="eastAsia"/>
          <w:lang w:val="en-US" w:eastAsia="zh-CN"/>
        </w:rPr>
      </w:pPr>
      <w:r>
        <w:rPr>
          <w:rFonts w:hint="eastAsia"/>
          <w:lang w:val="en-US" w:eastAsia="zh-CN"/>
        </w:rPr>
        <w:t>项目编号：</w:t>
      </w:r>
    </w:p>
    <w:tbl>
      <w:tblPr>
        <w:tblStyle w:val="45"/>
        <w:tblW w:w="94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308"/>
        <w:gridCol w:w="1980"/>
        <w:gridCol w:w="1957"/>
        <w:gridCol w:w="1680"/>
        <w:gridCol w:w="1797"/>
      </w:tblGrid>
      <w:tr w14:paraId="51998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760" w:type="dxa"/>
            <w:vAlign w:val="center"/>
          </w:tcPr>
          <w:p w14:paraId="69C4E496">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rPr>
            </w:pPr>
            <w:r>
              <w:rPr>
                <w:rFonts w:hint="eastAsia" w:ascii="宋体" w:hAnsi="宋体" w:eastAsia="宋体" w:cs="宋体"/>
                <w:b/>
                <w:bCs/>
              </w:rPr>
              <w:t>序号</w:t>
            </w:r>
          </w:p>
        </w:tc>
        <w:tc>
          <w:tcPr>
            <w:tcW w:w="1308" w:type="dxa"/>
            <w:vAlign w:val="center"/>
          </w:tcPr>
          <w:p w14:paraId="4E686477">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rPr>
            </w:pPr>
            <w:r>
              <w:rPr>
                <w:rFonts w:hint="eastAsia" w:ascii="宋体" w:hAnsi="宋体" w:eastAsia="宋体" w:cs="宋体"/>
                <w:b/>
                <w:bCs/>
              </w:rPr>
              <w:t>产品名称</w:t>
            </w:r>
          </w:p>
        </w:tc>
        <w:tc>
          <w:tcPr>
            <w:tcW w:w="1980" w:type="dxa"/>
            <w:vAlign w:val="center"/>
          </w:tcPr>
          <w:p w14:paraId="2A7B51DA">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rPr>
            </w:pPr>
            <w:r>
              <w:rPr>
                <w:rFonts w:hint="eastAsia" w:ascii="宋体" w:hAnsi="宋体" w:eastAsia="宋体" w:cs="宋体"/>
                <w:b/>
                <w:bCs/>
                <w:lang w:eastAsia="zh-CN"/>
              </w:rPr>
              <w:t>技术参数</w:t>
            </w:r>
            <w:r>
              <w:rPr>
                <w:rFonts w:hint="eastAsia" w:ascii="宋体" w:hAnsi="宋体" w:eastAsia="宋体" w:cs="宋体"/>
                <w:b/>
                <w:bCs/>
              </w:rPr>
              <w:t>要求</w:t>
            </w:r>
          </w:p>
        </w:tc>
        <w:tc>
          <w:tcPr>
            <w:tcW w:w="1957" w:type="dxa"/>
            <w:vAlign w:val="center"/>
          </w:tcPr>
          <w:p w14:paraId="14BE4CB8">
            <w:pPr>
              <w:keepNext w:val="0"/>
              <w:keepLines w:val="0"/>
              <w:pageBreakBefore w:val="0"/>
              <w:widowControl w:val="0"/>
              <w:kinsoku/>
              <w:wordWrap/>
              <w:overflowPunct/>
              <w:topLinePunct w:val="0"/>
              <w:autoSpaceDE/>
              <w:autoSpaceDN/>
              <w:bidi w:val="0"/>
              <w:adjustRightInd/>
              <w:snapToGrid/>
              <w:spacing w:line="320" w:lineRule="exact"/>
              <w:ind w:left="102" w:firstLine="0" w:firstLineChars="0"/>
              <w:jc w:val="center"/>
              <w:textAlignment w:val="auto"/>
              <w:rPr>
                <w:rFonts w:hint="eastAsia" w:ascii="宋体" w:hAnsi="宋体" w:eastAsia="宋体" w:cs="宋体"/>
                <w:b/>
                <w:bCs/>
                <w:lang w:eastAsia="zh-CN"/>
              </w:rPr>
            </w:pPr>
            <w:r>
              <w:rPr>
                <w:rFonts w:hint="eastAsia" w:ascii="宋体" w:hAnsi="宋体" w:eastAsia="宋体" w:cs="宋体"/>
                <w:b/>
                <w:bCs/>
              </w:rPr>
              <w:t>投标响应</w:t>
            </w:r>
            <w:r>
              <w:rPr>
                <w:rFonts w:hint="eastAsia" w:cs="宋体"/>
                <w:b/>
                <w:bCs/>
                <w:lang w:eastAsia="zh-CN"/>
              </w:rPr>
              <w:t>情况</w:t>
            </w:r>
          </w:p>
        </w:tc>
        <w:tc>
          <w:tcPr>
            <w:tcW w:w="1680" w:type="dxa"/>
            <w:vAlign w:val="center"/>
          </w:tcPr>
          <w:p w14:paraId="1B74826E">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rPr>
            </w:pPr>
            <w:r>
              <w:rPr>
                <w:rFonts w:hint="eastAsia" w:ascii="宋体" w:hAnsi="宋体" w:eastAsia="宋体" w:cs="宋体"/>
                <w:b/>
                <w:bCs/>
              </w:rPr>
              <w:t>偏离情况</w:t>
            </w:r>
          </w:p>
        </w:tc>
        <w:tc>
          <w:tcPr>
            <w:tcW w:w="1797" w:type="dxa"/>
            <w:vAlign w:val="center"/>
          </w:tcPr>
          <w:p w14:paraId="26D7F7AD">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b/>
                <w:bCs/>
              </w:rPr>
            </w:pPr>
            <w:r>
              <w:rPr>
                <w:rFonts w:hint="eastAsia" w:ascii="宋体" w:hAnsi="宋体" w:eastAsia="宋体" w:cs="宋体"/>
                <w:b/>
                <w:bCs/>
              </w:rPr>
              <w:t>技术支持资料（页码）</w:t>
            </w:r>
          </w:p>
        </w:tc>
      </w:tr>
      <w:tr w14:paraId="6AC96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top"/>
          </w:tcPr>
          <w:p w14:paraId="6B449CE3">
            <w:pPr>
              <w:ind w:firstLine="0" w:firstLineChars="0"/>
              <w:rPr>
                <w:rFonts w:hint="eastAsia" w:ascii="宋体" w:hAnsi="宋体" w:eastAsia="宋体" w:cs="宋体"/>
              </w:rPr>
            </w:pPr>
          </w:p>
        </w:tc>
        <w:tc>
          <w:tcPr>
            <w:tcW w:w="1308" w:type="dxa"/>
            <w:vAlign w:val="top"/>
          </w:tcPr>
          <w:p w14:paraId="7821019A">
            <w:pPr>
              <w:ind w:firstLine="0" w:firstLineChars="0"/>
              <w:rPr>
                <w:rFonts w:hint="eastAsia" w:ascii="宋体" w:hAnsi="宋体" w:eastAsia="宋体" w:cs="宋体"/>
              </w:rPr>
            </w:pPr>
          </w:p>
        </w:tc>
        <w:tc>
          <w:tcPr>
            <w:tcW w:w="1980" w:type="dxa"/>
            <w:vAlign w:val="top"/>
          </w:tcPr>
          <w:p w14:paraId="5D357B98">
            <w:pPr>
              <w:ind w:firstLine="0" w:firstLineChars="0"/>
              <w:rPr>
                <w:rFonts w:hint="eastAsia" w:ascii="宋体" w:hAnsi="宋体" w:eastAsia="宋体" w:cs="宋体"/>
              </w:rPr>
            </w:pPr>
          </w:p>
        </w:tc>
        <w:tc>
          <w:tcPr>
            <w:tcW w:w="1957" w:type="dxa"/>
            <w:vAlign w:val="top"/>
          </w:tcPr>
          <w:p w14:paraId="6E3CA152">
            <w:pPr>
              <w:ind w:firstLine="0" w:firstLineChars="0"/>
              <w:rPr>
                <w:rFonts w:hint="eastAsia" w:ascii="宋体" w:hAnsi="宋体" w:eastAsia="宋体" w:cs="宋体"/>
              </w:rPr>
            </w:pPr>
          </w:p>
        </w:tc>
        <w:tc>
          <w:tcPr>
            <w:tcW w:w="1680" w:type="dxa"/>
            <w:vAlign w:val="top"/>
          </w:tcPr>
          <w:p w14:paraId="2890AAAA">
            <w:pPr>
              <w:ind w:firstLine="0" w:firstLineChars="0"/>
              <w:rPr>
                <w:rFonts w:hint="eastAsia" w:ascii="宋体" w:hAnsi="宋体" w:eastAsia="宋体" w:cs="宋体"/>
              </w:rPr>
            </w:pPr>
          </w:p>
        </w:tc>
        <w:tc>
          <w:tcPr>
            <w:tcW w:w="1797" w:type="dxa"/>
            <w:vAlign w:val="top"/>
          </w:tcPr>
          <w:p w14:paraId="1FC240DF">
            <w:pPr>
              <w:ind w:firstLine="0" w:firstLineChars="0"/>
              <w:rPr>
                <w:rFonts w:hint="eastAsia" w:ascii="宋体" w:hAnsi="宋体" w:eastAsia="宋体" w:cs="宋体"/>
              </w:rPr>
            </w:pPr>
          </w:p>
        </w:tc>
      </w:tr>
      <w:tr w14:paraId="071C6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top"/>
          </w:tcPr>
          <w:p w14:paraId="2FCEE4A2">
            <w:pPr>
              <w:ind w:firstLine="0" w:firstLineChars="0"/>
              <w:rPr>
                <w:rFonts w:hint="eastAsia" w:ascii="宋体" w:hAnsi="宋体" w:eastAsia="宋体" w:cs="宋体"/>
              </w:rPr>
            </w:pPr>
          </w:p>
        </w:tc>
        <w:tc>
          <w:tcPr>
            <w:tcW w:w="1308" w:type="dxa"/>
            <w:vAlign w:val="top"/>
          </w:tcPr>
          <w:p w14:paraId="313D3AE4">
            <w:pPr>
              <w:ind w:firstLine="0" w:firstLineChars="0"/>
              <w:rPr>
                <w:rFonts w:hint="eastAsia" w:ascii="宋体" w:hAnsi="宋体" w:eastAsia="宋体" w:cs="宋体"/>
              </w:rPr>
            </w:pPr>
          </w:p>
        </w:tc>
        <w:tc>
          <w:tcPr>
            <w:tcW w:w="1980" w:type="dxa"/>
            <w:vAlign w:val="top"/>
          </w:tcPr>
          <w:p w14:paraId="1968A598">
            <w:pPr>
              <w:ind w:firstLine="0" w:firstLineChars="0"/>
              <w:rPr>
                <w:rFonts w:hint="eastAsia" w:ascii="宋体" w:hAnsi="宋体" w:eastAsia="宋体" w:cs="宋体"/>
              </w:rPr>
            </w:pPr>
          </w:p>
        </w:tc>
        <w:tc>
          <w:tcPr>
            <w:tcW w:w="1957" w:type="dxa"/>
            <w:vAlign w:val="top"/>
          </w:tcPr>
          <w:p w14:paraId="10201938">
            <w:pPr>
              <w:ind w:firstLine="0" w:firstLineChars="0"/>
              <w:rPr>
                <w:rFonts w:hint="eastAsia" w:ascii="宋体" w:hAnsi="宋体" w:eastAsia="宋体" w:cs="宋体"/>
              </w:rPr>
            </w:pPr>
          </w:p>
        </w:tc>
        <w:tc>
          <w:tcPr>
            <w:tcW w:w="1680" w:type="dxa"/>
            <w:vAlign w:val="top"/>
          </w:tcPr>
          <w:p w14:paraId="7AE75F9B">
            <w:pPr>
              <w:ind w:firstLine="0" w:firstLineChars="0"/>
              <w:rPr>
                <w:rFonts w:hint="eastAsia" w:ascii="宋体" w:hAnsi="宋体" w:eastAsia="宋体" w:cs="宋体"/>
              </w:rPr>
            </w:pPr>
          </w:p>
        </w:tc>
        <w:tc>
          <w:tcPr>
            <w:tcW w:w="1797" w:type="dxa"/>
            <w:vAlign w:val="top"/>
          </w:tcPr>
          <w:p w14:paraId="39418492">
            <w:pPr>
              <w:ind w:firstLine="0" w:firstLineChars="0"/>
              <w:rPr>
                <w:rFonts w:hint="eastAsia" w:ascii="宋体" w:hAnsi="宋体" w:eastAsia="宋体" w:cs="宋体"/>
              </w:rPr>
            </w:pPr>
          </w:p>
        </w:tc>
      </w:tr>
      <w:tr w14:paraId="799B9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top"/>
          </w:tcPr>
          <w:p w14:paraId="484072C4">
            <w:pPr>
              <w:ind w:firstLine="0" w:firstLineChars="0"/>
              <w:rPr>
                <w:rFonts w:hint="eastAsia" w:ascii="宋体" w:hAnsi="宋体" w:eastAsia="宋体" w:cs="宋体"/>
              </w:rPr>
            </w:pPr>
          </w:p>
        </w:tc>
        <w:tc>
          <w:tcPr>
            <w:tcW w:w="1308" w:type="dxa"/>
            <w:vAlign w:val="top"/>
          </w:tcPr>
          <w:p w14:paraId="5F2E9420">
            <w:pPr>
              <w:ind w:firstLine="0" w:firstLineChars="0"/>
              <w:rPr>
                <w:rFonts w:hint="eastAsia" w:ascii="宋体" w:hAnsi="宋体" w:eastAsia="宋体" w:cs="宋体"/>
              </w:rPr>
            </w:pPr>
          </w:p>
        </w:tc>
        <w:tc>
          <w:tcPr>
            <w:tcW w:w="1980" w:type="dxa"/>
            <w:vAlign w:val="top"/>
          </w:tcPr>
          <w:p w14:paraId="138C92EB">
            <w:pPr>
              <w:ind w:firstLine="0" w:firstLineChars="0"/>
              <w:rPr>
                <w:rFonts w:hint="eastAsia" w:ascii="宋体" w:hAnsi="宋体" w:eastAsia="宋体" w:cs="宋体"/>
              </w:rPr>
            </w:pPr>
          </w:p>
        </w:tc>
        <w:tc>
          <w:tcPr>
            <w:tcW w:w="1957" w:type="dxa"/>
            <w:vAlign w:val="top"/>
          </w:tcPr>
          <w:p w14:paraId="102DBC17">
            <w:pPr>
              <w:ind w:firstLine="0" w:firstLineChars="0"/>
              <w:rPr>
                <w:rFonts w:hint="eastAsia" w:ascii="宋体" w:hAnsi="宋体" w:eastAsia="宋体" w:cs="宋体"/>
              </w:rPr>
            </w:pPr>
          </w:p>
        </w:tc>
        <w:tc>
          <w:tcPr>
            <w:tcW w:w="1680" w:type="dxa"/>
            <w:vAlign w:val="top"/>
          </w:tcPr>
          <w:p w14:paraId="15CF17FB">
            <w:pPr>
              <w:ind w:firstLine="0" w:firstLineChars="0"/>
              <w:rPr>
                <w:rFonts w:hint="eastAsia" w:ascii="宋体" w:hAnsi="宋体" w:eastAsia="宋体" w:cs="宋体"/>
              </w:rPr>
            </w:pPr>
          </w:p>
        </w:tc>
        <w:tc>
          <w:tcPr>
            <w:tcW w:w="1797" w:type="dxa"/>
            <w:vAlign w:val="top"/>
          </w:tcPr>
          <w:p w14:paraId="37F8909C">
            <w:pPr>
              <w:ind w:firstLine="0" w:firstLineChars="0"/>
              <w:rPr>
                <w:rFonts w:hint="eastAsia" w:ascii="宋体" w:hAnsi="宋体" w:eastAsia="宋体" w:cs="宋体"/>
              </w:rPr>
            </w:pPr>
          </w:p>
        </w:tc>
      </w:tr>
      <w:tr w14:paraId="3718C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top"/>
          </w:tcPr>
          <w:p w14:paraId="5576E191">
            <w:pPr>
              <w:ind w:firstLine="0" w:firstLineChars="0"/>
              <w:rPr>
                <w:rFonts w:hint="eastAsia" w:ascii="宋体" w:hAnsi="宋体" w:eastAsia="宋体" w:cs="宋体"/>
              </w:rPr>
            </w:pPr>
          </w:p>
        </w:tc>
        <w:tc>
          <w:tcPr>
            <w:tcW w:w="1308" w:type="dxa"/>
            <w:vAlign w:val="top"/>
          </w:tcPr>
          <w:p w14:paraId="1DD85DA9">
            <w:pPr>
              <w:ind w:firstLine="0" w:firstLineChars="0"/>
              <w:rPr>
                <w:rFonts w:hint="eastAsia" w:ascii="宋体" w:hAnsi="宋体" w:eastAsia="宋体" w:cs="宋体"/>
              </w:rPr>
            </w:pPr>
          </w:p>
        </w:tc>
        <w:tc>
          <w:tcPr>
            <w:tcW w:w="1980" w:type="dxa"/>
            <w:vAlign w:val="top"/>
          </w:tcPr>
          <w:p w14:paraId="3F0EFD68">
            <w:pPr>
              <w:ind w:firstLine="0" w:firstLineChars="0"/>
              <w:rPr>
                <w:rFonts w:hint="eastAsia" w:ascii="宋体" w:hAnsi="宋体" w:eastAsia="宋体" w:cs="宋体"/>
              </w:rPr>
            </w:pPr>
          </w:p>
        </w:tc>
        <w:tc>
          <w:tcPr>
            <w:tcW w:w="1957" w:type="dxa"/>
            <w:vAlign w:val="top"/>
          </w:tcPr>
          <w:p w14:paraId="3DB8E95E">
            <w:pPr>
              <w:ind w:firstLine="0" w:firstLineChars="0"/>
              <w:rPr>
                <w:rFonts w:hint="eastAsia" w:ascii="宋体" w:hAnsi="宋体" w:eastAsia="宋体" w:cs="宋体"/>
              </w:rPr>
            </w:pPr>
          </w:p>
        </w:tc>
        <w:tc>
          <w:tcPr>
            <w:tcW w:w="1680" w:type="dxa"/>
            <w:vAlign w:val="top"/>
          </w:tcPr>
          <w:p w14:paraId="6373D218">
            <w:pPr>
              <w:ind w:firstLine="0" w:firstLineChars="0"/>
              <w:rPr>
                <w:rFonts w:hint="eastAsia" w:ascii="宋体" w:hAnsi="宋体" w:eastAsia="宋体" w:cs="宋体"/>
              </w:rPr>
            </w:pPr>
          </w:p>
        </w:tc>
        <w:tc>
          <w:tcPr>
            <w:tcW w:w="1797" w:type="dxa"/>
            <w:vAlign w:val="top"/>
          </w:tcPr>
          <w:p w14:paraId="759B686A">
            <w:pPr>
              <w:ind w:firstLine="0" w:firstLineChars="0"/>
              <w:rPr>
                <w:rFonts w:hint="eastAsia" w:ascii="宋体" w:hAnsi="宋体" w:eastAsia="宋体" w:cs="宋体"/>
              </w:rPr>
            </w:pPr>
          </w:p>
        </w:tc>
      </w:tr>
      <w:tr w14:paraId="5ECC3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top"/>
          </w:tcPr>
          <w:p w14:paraId="488B55E4">
            <w:pPr>
              <w:ind w:firstLine="0" w:firstLineChars="0"/>
              <w:rPr>
                <w:rFonts w:hint="eastAsia" w:ascii="宋体" w:hAnsi="宋体" w:eastAsia="宋体" w:cs="宋体"/>
              </w:rPr>
            </w:pPr>
          </w:p>
        </w:tc>
        <w:tc>
          <w:tcPr>
            <w:tcW w:w="1308" w:type="dxa"/>
            <w:vAlign w:val="top"/>
          </w:tcPr>
          <w:p w14:paraId="5C34039C">
            <w:pPr>
              <w:ind w:firstLine="0" w:firstLineChars="0"/>
              <w:rPr>
                <w:rFonts w:hint="eastAsia" w:ascii="宋体" w:hAnsi="宋体" w:eastAsia="宋体" w:cs="宋体"/>
              </w:rPr>
            </w:pPr>
          </w:p>
        </w:tc>
        <w:tc>
          <w:tcPr>
            <w:tcW w:w="1980" w:type="dxa"/>
            <w:vAlign w:val="top"/>
          </w:tcPr>
          <w:p w14:paraId="7C4D2382">
            <w:pPr>
              <w:ind w:firstLine="0" w:firstLineChars="0"/>
              <w:rPr>
                <w:rFonts w:hint="eastAsia" w:ascii="宋体" w:hAnsi="宋体" w:eastAsia="宋体" w:cs="宋体"/>
              </w:rPr>
            </w:pPr>
          </w:p>
        </w:tc>
        <w:tc>
          <w:tcPr>
            <w:tcW w:w="1957" w:type="dxa"/>
            <w:vAlign w:val="top"/>
          </w:tcPr>
          <w:p w14:paraId="6F1660E0">
            <w:pPr>
              <w:ind w:firstLine="0" w:firstLineChars="0"/>
              <w:rPr>
                <w:rFonts w:hint="eastAsia" w:ascii="宋体" w:hAnsi="宋体" w:eastAsia="宋体" w:cs="宋体"/>
              </w:rPr>
            </w:pPr>
          </w:p>
        </w:tc>
        <w:tc>
          <w:tcPr>
            <w:tcW w:w="1680" w:type="dxa"/>
            <w:vAlign w:val="top"/>
          </w:tcPr>
          <w:p w14:paraId="5DDEF51E">
            <w:pPr>
              <w:ind w:firstLine="0" w:firstLineChars="0"/>
              <w:rPr>
                <w:rFonts w:hint="eastAsia" w:ascii="宋体" w:hAnsi="宋体" w:eastAsia="宋体" w:cs="宋体"/>
              </w:rPr>
            </w:pPr>
          </w:p>
        </w:tc>
        <w:tc>
          <w:tcPr>
            <w:tcW w:w="1797" w:type="dxa"/>
            <w:vAlign w:val="top"/>
          </w:tcPr>
          <w:p w14:paraId="2F0E8384">
            <w:pPr>
              <w:ind w:firstLine="0" w:firstLineChars="0"/>
              <w:rPr>
                <w:rFonts w:hint="eastAsia" w:ascii="宋体" w:hAnsi="宋体" w:eastAsia="宋体" w:cs="宋体"/>
              </w:rPr>
            </w:pPr>
          </w:p>
        </w:tc>
      </w:tr>
      <w:tr w14:paraId="1A431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top"/>
          </w:tcPr>
          <w:p w14:paraId="31A5379F">
            <w:pPr>
              <w:ind w:firstLine="0" w:firstLineChars="0"/>
              <w:rPr>
                <w:rFonts w:hint="eastAsia" w:ascii="宋体" w:hAnsi="宋体" w:eastAsia="宋体" w:cs="宋体"/>
              </w:rPr>
            </w:pPr>
          </w:p>
        </w:tc>
        <w:tc>
          <w:tcPr>
            <w:tcW w:w="1308" w:type="dxa"/>
            <w:vAlign w:val="top"/>
          </w:tcPr>
          <w:p w14:paraId="370948B8">
            <w:pPr>
              <w:ind w:firstLine="0" w:firstLineChars="0"/>
              <w:rPr>
                <w:rFonts w:hint="eastAsia" w:ascii="宋体" w:hAnsi="宋体" w:eastAsia="宋体" w:cs="宋体"/>
              </w:rPr>
            </w:pPr>
          </w:p>
        </w:tc>
        <w:tc>
          <w:tcPr>
            <w:tcW w:w="1980" w:type="dxa"/>
            <w:vAlign w:val="top"/>
          </w:tcPr>
          <w:p w14:paraId="079CE3F9">
            <w:pPr>
              <w:ind w:firstLine="0" w:firstLineChars="0"/>
              <w:rPr>
                <w:rFonts w:hint="eastAsia" w:ascii="宋体" w:hAnsi="宋体" w:eastAsia="宋体" w:cs="宋体"/>
              </w:rPr>
            </w:pPr>
          </w:p>
        </w:tc>
        <w:tc>
          <w:tcPr>
            <w:tcW w:w="1957" w:type="dxa"/>
            <w:vAlign w:val="top"/>
          </w:tcPr>
          <w:p w14:paraId="032C2475">
            <w:pPr>
              <w:ind w:firstLine="0" w:firstLineChars="0"/>
              <w:rPr>
                <w:rFonts w:hint="eastAsia" w:ascii="宋体" w:hAnsi="宋体" w:eastAsia="宋体" w:cs="宋体"/>
              </w:rPr>
            </w:pPr>
          </w:p>
        </w:tc>
        <w:tc>
          <w:tcPr>
            <w:tcW w:w="1680" w:type="dxa"/>
            <w:vAlign w:val="top"/>
          </w:tcPr>
          <w:p w14:paraId="7D6A9E29">
            <w:pPr>
              <w:ind w:firstLine="0" w:firstLineChars="0"/>
              <w:rPr>
                <w:rFonts w:hint="eastAsia" w:ascii="宋体" w:hAnsi="宋体" w:eastAsia="宋体" w:cs="宋体"/>
              </w:rPr>
            </w:pPr>
          </w:p>
        </w:tc>
        <w:tc>
          <w:tcPr>
            <w:tcW w:w="1797" w:type="dxa"/>
            <w:vAlign w:val="top"/>
          </w:tcPr>
          <w:p w14:paraId="47D5F412">
            <w:pPr>
              <w:ind w:firstLine="0" w:firstLineChars="0"/>
              <w:rPr>
                <w:rFonts w:hint="eastAsia" w:ascii="宋体" w:hAnsi="宋体" w:eastAsia="宋体" w:cs="宋体"/>
              </w:rPr>
            </w:pPr>
          </w:p>
        </w:tc>
      </w:tr>
      <w:tr w14:paraId="739E6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top"/>
          </w:tcPr>
          <w:p w14:paraId="68C1586E">
            <w:pPr>
              <w:ind w:firstLine="0" w:firstLineChars="0"/>
              <w:rPr>
                <w:rFonts w:hint="eastAsia" w:ascii="宋体" w:hAnsi="宋体" w:eastAsia="宋体" w:cs="宋体"/>
              </w:rPr>
            </w:pPr>
          </w:p>
        </w:tc>
        <w:tc>
          <w:tcPr>
            <w:tcW w:w="1308" w:type="dxa"/>
            <w:vAlign w:val="top"/>
          </w:tcPr>
          <w:p w14:paraId="06F37CFF">
            <w:pPr>
              <w:ind w:firstLine="0" w:firstLineChars="0"/>
              <w:rPr>
                <w:rFonts w:hint="eastAsia" w:ascii="宋体" w:hAnsi="宋体" w:eastAsia="宋体" w:cs="宋体"/>
              </w:rPr>
            </w:pPr>
          </w:p>
        </w:tc>
        <w:tc>
          <w:tcPr>
            <w:tcW w:w="1980" w:type="dxa"/>
            <w:vAlign w:val="top"/>
          </w:tcPr>
          <w:p w14:paraId="23835422">
            <w:pPr>
              <w:ind w:firstLine="0" w:firstLineChars="0"/>
              <w:rPr>
                <w:rFonts w:hint="eastAsia" w:ascii="宋体" w:hAnsi="宋体" w:eastAsia="宋体" w:cs="宋体"/>
              </w:rPr>
            </w:pPr>
          </w:p>
        </w:tc>
        <w:tc>
          <w:tcPr>
            <w:tcW w:w="1957" w:type="dxa"/>
            <w:vAlign w:val="top"/>
          </w:tcPr>
          <w:p w14:paraId="0AAA107C">
            <w:pPr>
              <w:ind w:firstLine="0" w:firstLineChars="0"/>
              <w:rPr>
                <w:rFonts w:hint="eastAsia" w:ascii="宋体" w:hAnsi="宋体" w:eastAsia="宋体" w:cs="宋体"/>
              </w:rPr>
            </w:pPr>
          </w:p>
        </w:tc>
        <w:tc>
          <w:tcPr>
            <w:tcW w:w="1680" w:type="dxa"/>
            <w:vAlign w:val="top"/>
          </w:tcPr>
          <w:p w14:paraId="05F35BC2">
            <w:pPr>
              <w:ind w:firstLine="0" w:firstLineChars="0"/>
              <w:rPr>
                <w:rFonts w:hint="eastAsia" w:ascii="宋体" w:hAnsi="宋体" w:eastAsia="宋体" w:cs="宋体"/>
              </w:rPr>
            </w:pPr>
          </w:p>
        </w:tc>
        <w:tc>
          <w:tcPr>
            <w:tcW w:w="1797" w:type="dxa"/>
            <w:vAlign w:val="top"/>
          </w:tcPr>
          <w:p w14:paraId="1524C036">
            <w:pPr>
              <w:ind w:firstLine="0" w:firstLineChars="0"/>
              <w:rPr>
                <w:rFonts w:hint="eastAsia" w:ascii="宋体" w:hAnsi="宋体" w:eastAsia="宋体" w:cs="宋体"/>
              </w:rPr>
            </w:pPr>
          </w:p>
        </w:tc>
      </w:tr>
      <w:tr w14:paraId="70406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top"/>
          </w:tcPr>
          <w:p w14:paraId="208BDDD9">
            <w:pPr>
              <w:ind w:firstLine="0" w:firstLineChars="0"/>
              <w:rPr>
                <w:rFonts w:hint="eastAsia" w:ascii="宋体" w:hAnsi="宋体" w:eastAsia="宋体" w:cs="宋体"/>
              </w:rPr>
            </w:pPr>
          </w:p>
        </w:tc>
        <w:tc>
          <w:tcPr>
            <w:tcW w:w="1308" w:type="dxa"/>
            <w:vAlign w:val="top"/>
          </w:tcPr>
          <w:p w14:paraId="1BA2D711">
            <w:pPr>
              <w:ind w:firstLine="0" w:firstLineChars="0"/>
              <w:rPr>
                <w:rFonts w:hint="eastAsia" w:ascii="宋体" w:hAnsi="宋体" w:eastAsia="宋体" w:cs="宋体"/>
              </w:rPr>
            </w:pPr>
          </w:p>
        </w:tc>
        <w:tc>
          <w:tcPr>
            <w:tcW w:w="1980" w:type="dxa"/>
            <w:vAlign w:val="top"/>
          </w:tcPr>
          <w:p w14:paraId="438DC583">
            <w:pPr>
              <w:ind w:firstLine="0" w:firstLineChars="0"/>
              <w:rPr>
                <w:rFonts w:hint="eastAsia" w:ascii="宋体" w:hAnsi="宋体" w:eastAsia="宋体" w:cs="宋体"/>
              </w:rPr>
            </w:pPr>
          </w:p>
        </w:tc>
        <w:tc>
          <w:tcPr>
            <w:tcW w:w="1957" w:type="dxa"/>
            <w:vAlign w:val="top"/>
          </w:tcPr>
          <w:p w14:paraId="6D31934D">
            <w:pPr>
              <w:ind w:firstLine="0" w:firstLineChars="0"/>
              <w:rPr>
                <w:rFonts w:hint="eastAsia" w:ascii="宋体" w:hAnsi="宋体" w:eastAsia="宋体" w:cs="宋体"/>
              </w:rPr>
            </w:pPr>
          </w:p>
        </w:tc>
        <w:tc>
          <w:tcPr>
            <w:tcW w:w="1680" w:type="dxa"/>
            <w:vAlign w:val="top"/>
          </w:tcPr>
          <w:p w14:paraId="507A10B3">
            <w:pPr>
              <w:ind w:firstLine="0" w:firstLineChars="0"/>
              <w:rPr>
                <w:rFonts w:hint="eastAsia" w:ascii="宋体" w:hAnsi="宋体" w:eastAsia="宋体" w:cs="宋体"/>
              </w:rPr>
            </w:pPr>
          </w:p>
        </w:tc>
        <w:tc>
          <w:tcPr>
            <w:tcW w:w="1797" w:type="dxa"/>
            <w:vAlign w:val="top"/>
          </w:tcPr>
          <w:p w14:paraId="65DB8A41">
            <w:pPr>
              <w:ind w:firstLine="0" w:firstLineChars="0"/>
              <w:rPr>
                <w:rFonts w:hint="eastAsia" w:ascii="宋体" w:hAnsi="宋体" w:eastAsia="宋体" w:cs="宋体"/>
              </w:rPr>
            </w:pPr>
          </w:p>
        </w:tc>
      </w:tr>
      <w:tr w14:paraId="56BA2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top"/>
          </w:tcPr>
          <w:p w14:paraId="02500C91">
            <w:pPr>
              <w:ind w:firstLine="0" w:firstLineChars="0"/>
              <w:rPr>
                <w:rFonts w:hint="eastAsia" w:ascii="宋体" w:hAnsi="宋体" w:eastAsia="宋体" w:cs="宋体"/>
              </w:rPr>
            </w:pPr>
          </w:p>
        </w:tc>
        <w:tc>
          <w:tcPr>
            <w:tcW w:w="1308" w:type="dxa"/>
            <w:vAlign w:val="top"/>
          </w:tcPr>
          <w:p w14:paraId="66CA95F0">
            <w:pPr>
              <w:ind w:firstLine="0" w:firstLineChars="0"/>
              <w:rPr>
                <w:rFonts w:hint="eastAsia" w:ascii="宋体" w:hAnsi="宋体" w:eastAsia="宋体" w:cs="宋体"/>
              </w:rPr>
            </w:pPr>
          </w:p>
        </w:tc>
        <w:tc>
          <w:tcPr>
            <w:tcW w:w="1980" w:type="dxa"/>
            <w:vAlign w:val="top"/>
          </w:tcPr>
          <w:p w14:paraId="1D91DB2D">
            <w:pPr>
              <w:ind w:firstLine="0" w:firstLineChars="0"/>
              <w:rPr>
                <w:rFonts w:hint="eastAsia" w:ascii="宋体" w:hAnsi="宋体" w:eastAsia="宋体" w:cs="宋体"/>
              </w:rPr>
            </w:pPr>
          </w:p>
        </w:tc>
        <w:tc>
          <w:tcPr>
            <w:tcW w:w="1957" w:type="dxa"/>
            <w:vAlign w:val="top"/>
          </w:tcPr>
          <w:p w14:paraId="27C15639">
            <w:pPr>
              <w:ind w:firstLine="0" w:firstLineChars="0"/>
              <w:rPr>
                <w:rFonts w:hint="eastAsia" w:ascii="宋体" w:hAnsi="宋体" w:eastAsia="宋体" w:cs="宋体"/>
              </w:rPr>
            </w:pPr>
          </w:p>
        </w:tc>
        <w:tc>
          <w:tcPr>
            <w:tcW w:w="1680" w:type="dxa"/>
            <w:vAlign w:val="top"/>
          </w:tcPr>
          <w:p w14:paraId="46BF5A4D">
            <w:pPr>
              <w:ind w:firstLine="0" w:firstLineChars="0"/>
              <w:rPr>
                <w:rFonts w:hint="eastAsia" w:ascii="宋体" w:hAnsi="宋体" w:eastAsia="宋体" w:cs="宋体"/>
              </w:rPr>
            </w:pPr>
          </w:p>
        </w:tc>
        <w:tc>
          <w:tcPr>
            <w:tcW w:w="1797" w:type="dxa"/>
            <w:vAlign w:val="top"/>
          </w:tcPr>
          <w:p w14:paraId="596924A5">
            <w:pPr>
              <w:ind w:firstLine="0" w:firstLineChars="0"/>
              <w:rPr>
                <w:rFonts w:hint="eastAsia" w:ascii="宋体" w:hAnsi="宋体" w:eastAsia="宋体" w:cs="宋体"/>
              </w:rPr>
            </w:pPr>
          </w:p>
        </w:tc>
      </w:tr>
      <w:tr w14:paraId="4E990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 w:type="dxa"/>
            <w:vAlign w:val="top"/>
          </w:tcPr>
          <w:p w14:paraId="7A4F144A">
            <w:pPr>
              <w:ind w:firstLine="0" w:firstLineChars="0"/>
              <w:rPr>
                <w:rFonts w:hint="eastAsia" w:ascii="宋体" w:hAnsi="宋体" w:eastAsia="宋体" w:cs="宋体"/>
              </w:rPr>
            </w:pPr>
          </w:p>
        </w:tc>
        <w:tc>
          <w:tcPr>
            <w:tcW w:w="1308" w:type="dxa"/>
            <w:vAlign w:val="top"/>
          </w:tcPr>
          <w:p w14:paraId="72B113C5">
            <w:pPr>
              <w:ind w:firstLine="0" w:firstLineChars="0"/>
              <w:rPr>
                <w:rFonts w:hint="eastAsia" w:ascii="宋体" w:hAnsi="宋体" w:eastAsia="宋体" w:cs="宋体"/>
              </w:rPr>
            </w:pPr>
          </w:p>
        </w:tc>
        <w:tc>
          <w:tcPr>
            <w:tcW w:w="1980" w:type="dxa"/>
            <w:vAlign w:val="top"/>
          </w:tcPr>
          <w:p w14:paraId="19C89B74">
            <w:pPr>
              <w:ind w:firstLine="0" w:firstLineChars="0"/>
              <w:rPr>
                <w:rFonts w:hint="eastAsia" w:ascii="宋体" w:hAnsi="宋体" w:eastAsia="宋体" w:cs="宋体"/>
              </w:rPr>
            </w:pPr>
          </w:p>
        </w:tc>
        <w:tc>
          <w:tcPr>
            <w:tcW w:w="1957" w:type="dxa"/>
            <w:vAlign w:val="top"/>
          </w:tcPr>
          <w:p w14:paraId="0445D7AF">
            <w:pPr>
              <w:ind w:firstLine="0" w:firstLineChars="0"/>
              <w:rPr>
                <w:rFonts w:hint="eastAsia" w:ascii="宋体" w:hAnsi="宋体" w:eastAsia="宋体" w:cs="宋体"/>
              </w:rPr>
            </w:pPr>
          </w:p>
        </w:tc>
        <w:tc>
          <w:tcPr>
            <w:tcW w:w="1680" w:type="dxa"/>
            <w:vAlign w:val="top"/>
          </w:tcPr>
          <w:p w14:paraId="6FF7B1CD">
            <w:pPr>
              <w:ind w:firstLine="0" w:firstLineChars="0"/>
              <w:rPr>
                <w:rFonts w:hint="eastAsia" w:ascii="宋体" w:hAnsi="宋体" w:eastAsia="宋体" w:cs="宋体"/>
              </w:rPr>
            </w:pPr>
          </w:p>
        </w:tc>
        <w:tc>
          <w:tcPr>
            <w:tcW w:w="1797" w:type="dxa"/>
            <w:vAlign w:val="top"/>
          </w:tcPr>
          <w:p w14:paraId="4DB9387A">
            <w:pPr>
              <w:ind w:firstLine="0" w:firstLineChars="0"/>
              <w:rPr>
                <w:rFonts w:hint="eastAsia" w:ascii="宋体" w:hAnsi="宋体" w:eastAsia="宋体" w:cs="宋体"/>
              </w:rPr>
            </w:pPr>
          </w:p>
        </w:tc>
      </w:tr>
    </w:tbl>
    <w:p w14:paraId="4539C578">
      <w:pPr>
        <w:bidi w:val="0"/>
        <w:jc w:val="left"/>
        <w:rPr>
          <w:rFonts w:hint="eastAsia"/>
          <w:sz w:val="13"/>
          <w:szCs w:val="13"/>
          <w:lang w:val="en-US" w:eastAsia="zh-CN"/>
        </w:rPr>
      </w:pPr>
    </w:p>
    <w:p w14:paraId="71C3793A">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rPr>
      </w:pPr>
      <w:r>
        <w:rPr>
          <w:rFonts w:hint="eastAsia" w:ascii="宋体" w:hAnsi="宋体" w:eastAsia="宋体" w:cs="宋体"/>
        </w:rPr>
        <w:t>注：1.逐项按照招标文件要求填写响应规格；</w:t>
      </w:r>
    </w:p>
    <w:p w14:paraId="2C5D180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rPr>
      </w:pPr>
      <w:r>
        <w:rPr>
          <w:rFonts w:hint="eastAsia" w:ascii="宋体" w:hAnsi="宋体" w:eastAsia="宋体" w:cs="宋体"/>
        </w:rPr>
        <w:t>2.表后需提供</w:t>
      </w:r>
      <w:r>
        <w:rPr>
          <w:rFonts w:hint="eastAsia" w:ascii="宋体" w:hAnsi="宋体" w:eastAsia="宋体" w:cs="宋体"/>
          <w:b w:val="0"/>
          <w:bCs w:val="0"/>
        </w:rPr>
        <w:t>技术支持资料</w:t>
      </w:r>
      <w:r>
        <w:rPr>
          <w:rFonts w:hint="eastAsia" w:ascii="宋体" w:hAnsi="宋体" w:eastAsia="宋体" w:cs="宋体"/>
        </w:rPr>
        <w:t>以证明其对技术指标的应答。若对技术指标的应答无技术支持资料证明，评标委员会可不予承认，并可认为该应答不符合招标文件要求，将作出不利于投标人的技术评审，其后果将由投标人自行承担；</w:t>
      </w:r>
    </w:p>
    <w:p w14:paraId="2707031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rPr>
      </w:pPr>
      <w:r>
        <w:rPr>
          <w:rFonts w:hint="eastAsia" w:ascii="宋体" w:hAnsi="宋体" w:eastAsia="宋体" w:cs="宋体"/>
        </w:rPr>
        <w:t>3.投标人可提供同等于或优于招标文件要求的设备和服务。</w:t>
      </w:r>
    </w:p>
    <w:p w14:paraId="240F4202">
      <w:pPr>
        <w:tabs>
          <w:tab w:val="left" w:pos="1247"/>
        </w:tabs>
        <w:bidi w:val="0"/>
        <w:jc w:val="left"/>
        <w:rPr>
          <w:rFonts w:hint="eastAsia" w:ascii="宋体" w:hAnsi="宋体" w:eastAsia="宋体" w:cs="Times New Roman"/>
          <w:kern w:val="2"/>
          <w:sz w:val="24"/>
          <w:szCs w:val="24"/>
          <w:lang w:val="en-US" w:eastAsia="zh-CN" w:bidi="ar-SA"/>
        </w:rPr>
      </w:pPr>
    </w:p>
    <w:p w14:paraId="664D01C8">
      <w:pPr>
        <w:bidi w:val="0"/>
        <w:rPr>
          <w:rFonts w:hint="eastAsia" w:ascii="宋体" w:hAnsi="宋体" w:eastAsia="宋体" w:cs="Times New Roman"/>
          <w:kern w:val="2"/>
          <w:sz w:val="24"/>
          <w:szCs w:val="24"/>
          <w:lang w:val="en-US" w:eastAsia="zh-CN" w:bidi="ar-SA"/>
        </w:rPr>
      </w:pPr>
    </w:p>
    <w:p w14:paraId="0A301663">
      <w:pPr>
        <w:bidi w:val="0"/>
        <w:rPr>
          <w:rFonts w:hint="eastAsia"/>
          <w:lang w:val="en-US" w:eastAsia="zh-CN"/>
        </w:rPr>
      </w:pPr>
    </w:p>
    <w:p w14:paraId="7510F5A7">
      <w:pPr>
        <w:spacing w:line="480" w:lineRule="auto"/>
        <w:ind w:left="0" w:leftChars="0" w:firstLine="0" w:firstLineChars="0"/>
        <w:rPr>
          <w:rFonts w:hint="eastAsia" w:ascii="宋体" w:hAnsi="宋体" w:eastAsia="宋体" w:cs="宋体"/>
        </w:rPr>
      </w:pPr>
      <w:r>
        <w:rPr>
          <w:rFonts w:hint="eastAsia" w:ascii="宋体" w:hAnsi="宋体" w:eastAsia="宋体" w:cs="宋体"/>
        </w:rPr>
        <w:t>投标人名称（公章）：</w:t>
      </w:r>
    </w:p>
    <w:p w14:paraId="49324A5A">
      <w:pPr>
        <w:spacing w:line="480" w:lineRule="auto"/>
        <w:ind w:left="0" w:leftChars="0" w:firstLine="0" w:firstLineChars="0"/>
        <w:rPr>
          <w:rFonts w:hint="eastAsia" w:ascii="宋体" w:hAnsi="宋体" w:eastAsia="宋体" w:cs="宋体"/>
        </w:rPr>
      </w:pPr>
      <w:r>
        <w:rPr>
          <w:rFonts w:hint="eastAsia" w:ascii="宋体" w:hAnsi="宋体" w:eastAsia="宋体" w:cs="宋体"/>
        </w:rPr>
        <w:t>法定代表人或其</w:t>
      </w:r>
      <w:r>
        <w:rPr>
          <w:rFonts w:hint="eastAsia" w:cs="宋体"/>
          <w:lang w:eastAsia="zh-CN"/>
        </w:rPr>
        <w:t>授权代表</w:t>
      </w:r>
      <w:r>
        <w:rPr>
          <w:rFonts w:hint="eastAsia" w:ascii="宋体" w:hAnsi="宋体" w:eastAsia="宋体" w:cs="宋体"/>
        </w:rPr>
        <w:t>（签字或盖章）：</w:t>
      </w:r>
    </w:p>
    <w:p w14:paraId="210C8983">
      <w:pPr>
        <w:tabs>
          <w:tab w:val="left" w:pos="429"/>
        </w:tabs>
        <w:bidi w:val="0"/>
        <w:ind w:left="0" w:leftChars="0" w:firstLine="0" w:firstLineChars="0"/>
        <w:jc w:val="left"/>
        <w:rPr>
          <w:rFonts w:hint="eastAsia"/>
          <w:lang w:val="en-US" w:eastAsia="zh-CN"/>
        </w:rPr>
        <w:sectPr>
          <w:pgSz w:w="11907" w:h="16840"/>
          <w:pgMar w:top="1247" w:right="1304" w:bottom="1021" w:left="1304" w:header="720" w:footer="720" w:gutter="0"/>
          <w:pgNumType w:fmt="decimal"/>
          <w:cols w:space="720" w:num="1"/>
          <w:docGrid w:linePitch="286" w:charSpace="0"/>
        </w:sectPr>
      </w:pPr>
      <w:r>
        <w:rPr>
          <w:rFonts w:hint="eastAsia" w:ascii="宋体" w:hAnsi="宋体" w:eastAsia="宋体" w:cs="宋体"/>
        </w:rPr>
        <w:t>日期：  年   月   日</w:t>
      </w:r>
    </w:p>
    <w:p w14:paraId="56DEDDEC">
      <w:pPr>
        <w:pStyle w:val="5"/>
        <w:rPr>
          <w:rFonts w:hint="eastAsia" w:ascii="宋体" w:hAnsi="宋体" w:eastAsia="宋体" w:cs="宋体"/>
          <w:szCs w:val="24"/>
          <w:lang w:eastAsia="zh-CN"/>
        </w:rPr>
      </w:pPr>
      <w:r>
        <w:rPr>
          <w:rFonts w:hint="eastAsia" w:ascii="宋体" w:hAnsi="宋体" w:eastAsia="宋体" w:cs="宋体"/>
          <w:szCs w:val="24"/>
        </w:rPr>
        <w:t>附件</w:t>
      </w:r>
      <w:r>
        <w:rPr>
          <w:rFonts w:hint="eastAsia" w:cs="宋体"/>
          <w:szCs w:val="24"/>
          <w:lang w:eastAsia="zh-CN"/>
        </w:rPr>
        <w:t>十、类似业绩</w:t>
      </w:r>
    </w:p>
    <w:p w14:paraId="795612C4">
      <w:pPr>
        <w:ind w:left="0" w:leftChars="0" w:firstLine="0" w:firstLineChars="0"/>
        <w:jc w:val="center"/>
        <w:rPr>
          <w:rFonts w:hint="eastAsia" w:ascii="宋体" w:hAnsi="宋体" w:eastAsia="宋体" w:cs="宋体"/>
          <w:b/>
          <w:bCs/>
          <w:sz w:val="28"/>
          <w:szCs w:val="28"/>
        </w:rPr>
      </w:pPr>
      <w:r>
        <w:rPr>
          <w:rFonts w:hint="eastAsia" w:cs="宋体"/>
          <w:b/>
          <w:bCs/>
          <w:sz w:val="28"/>
          <w:szCs w:val="28"/>
        </w:rPr>
        <w:t>同类项目实施情况一览表</w:t>
      </w:r>
    </w:p>
    <w:p w14:paraId="0E965071">
      <w:pPr>
        <w:ind w:firstLine="0" w:firstLineChars="0"/>
        <w:rPr>
          <w:rFonts w:hint="eastAsia" w:ascii="宋体" w:hAnsi="宋体" w:eastAsia="宋体" w:cs="宋体"/>
        </w:rPr>
      </w:pPr>
      <w:r>
        <w:rPr>
          <w:rFonts w:hint="eastAsia" w:ascii="宋体" w:hAnsi="宋体" w:eastAsia="宋体" w:cs="宋体"/>
        </w:rPr>
        <w:t xml:space="preserve">项目名称：            </w:t>
      </w:r>
    </w:p>
    <w:p w14:paraId="2BBCE006">
      <w:pPr>
        <w:ind w:firstLine="0" w:firstLineChars="0"/>
        <w:rPr>
          <w:rFonts w:hint="eastAsia" w:ascii="宋体" w:hAnsi="宋体" w:eastAsia="宋体" w:cs="宋体"/>
        </w:rPr>
      </w:pPr>
      <w:r>
        <w:rPr>
          <w:rFonts w:hint="eastAsia" w:ascii="宋体" w:hAnsi="宋体" w:eastAsia="宋体" w:cs="宋体"/>
        </w:rPr>
        <w:t xml:space="preserve">项目编号：               </w:t>
      </w:r>
    </w:p>
    <w:tbl>
      <w:tblPr>
        <w:tblStyle w:val="45"/>
        <w:tblW w:w="93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997"/>
        <w:gridCol w:w="1603"/>
        <w:gridCol w:w="2340"/>
        <w:gridCol w:w="1676"/>
        <w:gridCol w:w="1024"/>
      </w:tblGrid>
      <w:tr w14:paraId="7B6E18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14:paraId="19AD1596">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zh-CN"/>
              </w:rPr>
              <w:t>序号</w:t>
            </w:r>
          </w:p>
        </w:tc>
        <w:tc>
          <w:tcPr>
            <w:tcW w:w="1997" w:type="dxa"/>
            <w:tcBorders>
              <w:top w:val="single" w:color="auto" w:sz="4" w:space="0"/>
              <w:left w:val="single" w:color="auto" w:sz="4" w:space="0"/>
              <w:bottom w:val="single" w:color="auto" w:sz="4" w:space="0"/>
              <w:right w:val="single" w:color="auto" w:sz="4" w:space="0"/>
            </w:tcBorders>
            <w:vAlign w:val="center"/>
          </w:tcPr>
          <w:p w14:paraId="0AE32B8C">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zh-CN"/>
              </w:rPr>
              <w:t>项目名称</w:t>
            </w:r>
          </w:p>
        </w:tc>
        <w:tc>
          <w:tcPr>
            <w:tcW w:w="1603" w:type="dxa"/>
            <w:tcBorders>
              <w:top w:val="single" w:color="auto" w:sz="4" w:space="0"/>
              <w:left w:val="single" w:color="auto" w:sz="4" w:space="0"/>
              <w:bottom w:val="single" w:color="auto" w:sz="4" w:space="0"/>
              <w:right w:val="single" w:color="auto" w:sz="4" w:space="0"/>
            </w:tcBorders>
            <w:vAlign w:val="center"/>
          </w:tcPr>
          <w:p w14:paraId="58EB814C">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zh-CN"/>
              </w:rPr>
              <w:t>项目时间</w:t>
            </w:r>
          </w:p>
          <w:p w14:paraId="0A3A7101">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zh-CN"/>
              </w:rPr>
              <w:t>年/月</w:t>
            </w:r>
          </w:p>
        </w:tc>
        <w:tc>
          <w:tcPr>
            <w:tcW w:w="2340" w:type="dxa"/>
            <w:tcBorders>
              <w:top w:val="single" w:color="auto" w:sz="4" w:space="0"/>
              <w:left w:val="single" w:color="auto" w:sz="4" w:space="0"/>
              <w:bottom w:val="single" w:color="auto" w:sz="4" w:space="0"/>
              <w:right w:val="single" w:color="auto" w:sz="4" w:space="0"/>
            </w:tcBorders>
            <w:vAlign w:val="center"/>
          </w:tcPr>
          <w:p w14:paraId="57892041">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采购单位名称及</w:t>
            </w:r>
          </w:p>
          <w:p w14:paraId="04048477">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zh-CN"/>
              </w:rPr>
              <w:t>联系方式</w:t>
            </w:r>
          </w:p>
        </w:tc>
        <w:tc>
          <w:tcPr>
            <w:tcW w:w="1676" w:type="dxa"/>
            <w:tcBorders>
              <w:top w:val="single" w:color="auto" w:sz="4" w:space="0"/>
              <w:left w:val="single" w:color="auto" w:sz="4" w:space="0"/>
              <w:bottom w:val="single" w:color="auto" w:sz="4" w:space="0"/>
              <w:right w:val="single" w:color="auto" w:sz="4" w:space="0"/>
            </w:tcBorders>
            <w:vAlign w:val="center"/>
          </w:tcPr>
          <w:p w14:paraId="02730D48">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zh-CN"/>
              </w:rPr>
              <w:t>项目合同金额（单位：万元）</w:t>
            </w:r>
          </w:p>
        </w:tc>
        <w:tc>
          <w:tcPr>
            <w:tcW w:w="1024" w:type="dxa"/>
            <w:tcBorders>
              <w:top w:val="single" w:color="auto" w:sz="4" w:space="0"/>
              <w:left w:val="single" w:color="auto" w:sz="4" w:space="0"/>
              <w:bottom w:val="single" w:color="auto" w:sz="4" w:space="0"/>
              <w:right w:val="single" w:color="auto" w:sz="4" w:space="0"/>
            </w:tcBorders>
            <w:vAlign w:val="center"/>
          </w:tcPr>
          <w:p w14:paraId="1CAB5264">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zh-CN"/>
              </w:rPr>
              <w:t>备 注</w:t>
            </w:r>
          </w:p>
        </w:tc>
      </w:tr>
      <w:tr w14:paraId="53F586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5E24B3E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997" w:type="dxa"/>
            <w:tcBorders>
              <w:top w:val="single" w:color="auto" w:sz="4" w:space="0"/>
              <w:left w:val="single" w:color="auto" w:sz="4" w:space="0"/>
              <w:bottom w:val="single" w:color="auto" w:sz="4" w:space="0"/>
              <w:right w:val="single" w:color="auto" w:sz="4" w:space="0"/>
            </w:tcBorders>
          </w:tcPr>
          <w:p w14:paraId="5B458317">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03" w:type="dxa"/>
            <w:tcBorders>
              <w:top w:val="single" w:color="auto" w:sz="4" w:space="0"/>
              <w:left w:val="single" w:color="auto" w:sz="4" w:space="0"/>
              <w:bottom w:val="single" w:color="auto" w:sz="4" w:space="0"/>
              <w:right w:val="single" w:color="auto" w:sz="4" w:space="0"/>
            </w:tcBorders>
          </w:tcPr>
          <w:p w14:paraId="4EFA04ED">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2340" w:type="dxa"/>
            <w:tcBorders>
              <w:top w:val="single" w:color="auto" w:sz="4" w:space="0"/>
              <w:left w:val="single" w:color="auto" w:sz="4" w:space="0"/>
              <w:bottom w:val="single" w:color="auto" w:sz="4" w:space="0"/>
              <w:right w:val="single" w:color="auto" w:sz="4" w:space="0"/>
            </w:tcBorders>
          </w:tcPr>
          <w:p w14:paraId="62779F9B">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76" w:type="dxa"/>
            <w:tcBorders>
              <w:top w:val="single" w:color="auto" w:sz="4" w:space="0"/>
              <w:left w:val="single" w:color="auto" w:sz="4" w:space="0"/>
              <w:bottom w:val="single" w:color="auto" w:sz="4" w:space="0"/>
              <w:right w:val="single" w:color="auto" w:sz="4" w:space="0"/>
            </w:tcBorders>
          </w:tcPr>
          <w:p w14:paraId="753F4956">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024" w:type="dxa"/>
            <w:tcBorders>
              <w:top w:val="single" w:color="auto" w:sz="4" w:space="0"/>
              <w:left w:val="single" w:color="auto" w:sz="4" w:space="0"/>
              <w:bottom w:val="single" w:color="auto" w:sz="4" w:space="0"/>
              <w:right w:val="single" w:color="auto" w:sz="4" w:space="0"/>
            </w:tcBorders>
          </w:tcPr>
          <w:p w14:paraId="6C54D407">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r>
      <w:tr w14:paraId="310308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56F1804A">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997" w:type="dxa"/>
            <w:tcBorders>
              <w:top w:val="single" w:color="auto" w:sz="4" w:space="0"/>
              <w:left w:val="single" w:color="auto" w:sz="4" w:space="0"/>
              <w:bottom w:val="single" w:color="auto" w:sz="4" w:space="0"/>
              <w:right w:val="single" w:color="auto" w:sz="4" w:space="0"/>
            </w:tcBorders>
          </w:tcPr>
          <w:p w14:paraId="2554B79C">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03" w:type="dxa"/>
            <w:tcBorders>
              <w:top w:val="single" w:color="auto" w:sz="4" w:space="0"/>
              <w:left w:val="single" w:color="auto" w:sz="4" w:space="0"/>
              <w:bottom w:val="single" w:color="auto" w:sz="4" w:space="0"/>
              <w:right w:val="single" w:color="auto" w:sz="4" w:space="0"/>
            </w:tcBorders>
          </w:tcPr>
          <w:p w14:paraId="0C5A8614">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2340" w:type="dxa"/>
            <w:tcBorders>
              <w:top w:val="single" w:color="auto" w:sz="4" w:space="0"/>
              <w:left w:val="single" w:color="auto" w:sz="4" w:space="0"/>
              <w:bottom w:val="single" w:color="auto" w:sz="4" w:space="0"/>
              <w:right w:val="single" w:color="auto" w:sz="4" w:space="0"/>
            </w:tcBorders>
          </w:tcPr>
          <w:p w14:paraId="09913E05">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76" w:type="dxa"/>
            <w:tcBorders>
              <w:top w:val="single" w:color="auto" w:sz="4" w:space="0"/>
              <w:left w:val="single" w:color="auto" w:sz="4" w:space="0"/>
              <w:bottom w:val="single" w:color="auto" w:sz="4" w:space="0"/>
              <w:right w:val="single" w:color="auto" w:sz="4" w:space="0"/>
            </w:tcBorders>
          </w:tcPr>
          <w:p w14:paraId="31925197">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024" w:type="dxa"/>
            <w:tcBorders>
              <w:top w:val="single" w:color="auto" w:sz="4" w:space="0"/>
              <w:left w:val="single" w:color="auto" w:sz="4" w:space="0"/>
              <w:bottom w:val="single" w:color="auto" w:sz="4" w:space="0"/>
              <w:right w:val="single" w:color="auto" w:sz="4" w:space="0"/>
            </w:tcBorders>
          </w:tcPr>
          <w:p w14:paraId="164BD798">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r>
      <w:tr w14:paraId="3434FE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1721705B">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997" w:type="dxa"/>
            <w:tcBorders>
              <w:top w:val="single" w:color="auto" w:sz="4" w:space="0"/>
              <w:left w:val="single" w:color="auto" w:sz="4" w:space="0"/>
              <w:bottom w:val="single" w:color="auto" w:sz="4" w:space="0"/>
              <w:right w:val="single" w:color="auto" w:sz="4" w:space="0"/>
            </w:tcBorders>
          </w:tcPr>
          <w:p w14:paraId="54E733F5">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03" w:type="dxa"/>
            <w:tcBorders>
              <w:top w:val="single" w:color="auto" w:sz="4" w:space="0"/>
              <w:left w:val="single" w:color="auto" w:sz="4" w:space="0"/>
              <w:bottom w:val="single" w:color="auto" w:sz="4" w:space="0"/>
              <w:right w:val="single" w:color="auto" w:sz="4" w:space="0"/>
            </w:tcBorders>
          </w:tcPr>
          <w:p w14:paraId="7E8F78DE">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2340" w:type="dxa"/>
            <w:tcBorders>
              <w:top w:val="single" w:color="auto" w:sz="4" w:space="0"/>
              <w:left w:val="single" w:color="auto" w:sz="4" w:space="0"/>
              <w:bottom w:val="single" w:color="auto" w:sz="4" w:space="0"/>
              <w:right w:val="single" w:color="auto" w:sz="4" w:space="0"/>
            </w:tcBorders>
          </w:tcPr>
          <w:p w14:paraId="425A1EF8">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76" w:type="dxa"/>
            <w:tcBorders>
              <w:top w:val="single" w:color="auto" w:sz="4" w:space="0"/>
              <w:left w:val="single" w:color="auto" w:sz="4" w:space="0"/>
              <w:bottom w:val="single" w:color="auto" w:sz="4" w:space="0"/>
              <w:right w:val="single" w:color="auto" w:sz="4" w:space="0"/>
            </w:tcBorders>
          </w:tcPr>
          <w:p w14:paraId="0424A40C">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024" w:type="dxa"/>
            <w:tcBorders>
              <w:top w:val="single" w:color="auto" w:sz="4" w:space="0"/>
              <w:left w:val="single" w:color="auto" w:sz="4" w:space="0"/>
              <w:bottom w:val="single" w:color="auto" w:sz="4" w:space="0"/>
              <w:right w:val="single" w:color="auto" w:sz="4" w:space="0"/>
            </w:tcBorders>
          </w:tcPr>
          <w:p w14:paraId="6DF819CC">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r>
      <w:tr w14:paraId="6840BF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47FB3237">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1997" w:type="dxa"/>
            <w:tcBorders>
              <w:top w:val="single" w:color="auto" w:sz="4" w:space="0"/>
              <w:left w:val="single" w:color="auto" w:sz="4" w:space="0"/>
              <w:bottom w:val="single" w:color="auto" w:sz="4" w:space="0"/>
              <w:right w:val="single" w:color="auto" w:sz="4" w:space="0"/>
            </w:tcBorders>
          </w:tcPr>
          <w:p w14:paraId="5D0D1215">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03" w:type="dxa"/>
            <w:tcBorders>
              <w:top w:val="single" w:color="auto" w:sz="4" w:space="0"/>
              <w:left w:val="single" w:color="auto" w:sz="4" w:space="0"/>
              <w:bottom w:val="single" w:color="auto" w:sz="4" w:space="0"/>
              <w:right w:val="single" w:color="auto" w:sz="4" w:space="0"/>
            </w:tcBorders>
          </w:tcPr>
          <w:p w14:paraId="1B0B75D8">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2340" w:type="dxa"/>
            <w:tcBorders>
              <w:top w:val="single" w:color="auto" w:sz="4" w:space="0"/>
              <w:left w:val="single" w:color="auto" w:sz="4" w:space="0"/>
              <w:bottom w:val="single" w:color="auto" w:sz="4" w:space="0"/>
              <w:right w:val="single" w:color="auto" w:sz="4" w:space="0"/>
            </w:tcBorders>
          </w:tcPr>
          <w:p w14:paraId="5DDFB70B">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76" w:type="dxa"/>
            <w:tcBorders>
              <w:top w:val="single" w:color="auto" w:sz="4" w:space="0"/>
              <w:left w:val="single" w:color="auto" w:sz="4" w:space="0"/>
              <w:bottom w:val="single" w:color="auto" w:sz="4" w:space="0"/>
              <w:right w:val="single" w:color="auto" w:sz="4" w:space="0"/>
            </w:tcBorders>
          </w:tcPr>
          <w:p w14:paraId="5494FDBB">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024" w:type="dxa"/>
            <w:tcBorders>
              <w:top w:val="single" w:color="auto" w:sz="4" w:space="0"/>
              <w:left w:val="single" w:color="auto" w:sz="4" w:space="0"/>
              <w:bottom w:val="single" w:color="auto" w:sz="4" w:space="0"/>
              <w:right w:val="single" w:color="auto" w:sz="4" w:space="0"/>
            </w:tcBorders>
          </w:tcPr>
          <w:p w14:paraId="4E6D24D7">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r>
      <w:tr w14:paraId="3A6FD2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0D227FFE">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1997" w:type="dxa"/>
            <w:tcBorders>
              <w:top w:val="single" w:color="auto" w:sz="4" w:space="0"/>
              <w:left w:val="single" w:color="auto" w:sz="4" w:space="0"/>
              <w:bottom w:val="single" w:color="auto" w:sz="4" w:space="0"/>
              <w:right w:val="single" w:color="auto" w:sz="4" w:space="0"/>
            </w:tcBorders>
          </w:tcPr>
          <w:p w14:paraId="07DE118C">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03" w:type="dxa"/>
            <w:tcBorders>
              <w:top w:val="single" w:color="auto" w:sz="4" w:space="0"/>
              <w:left w:val="single" w:color="auto" w:sz="4" w:space="0"/>
              <w:bottom w:val="single" w:color="auto" w:sz="4" w:space="0"/>
              <w:right w:val="single" w:color="auto" w:sz="4" w:space="0"/>
            </w:tcBorders>
          </w:tcPr>
          <w:p w14:paraId="19A30711">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2340" w:type="dxa"/>
            <w:tcBorders>
              <w:top w:val="single" w:color="auto" w:sz="4" w:space="0"/>
              <w:left w:val="single" w:color="auto" w:sz="4" w:space="0"/>
              <w:bottom w:val="single" w:color="auto" w:sz="4" w:space="0"/>
              <w:right w:val="single" w:color="auto" w:sz="4" w:space="0"/>
            </w:tcBorders>
          </w:tcPr>
          <w:p w14:paraId="618AA901">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76" w:type="dxa"/>
            <w:tcBorders>
              <w:top w:val="single" w:color="auto" w:sz="4" w:space="0"/>
              <w:left w:val="single" w:color="auto" w:sz="4" w:space="0"/>
              <w:bottom w:val="single" w:color="auto" w:sz="4" w:space="0"/>
              <w:right w:val="single" w:color="auto" w:sz="4" w:space="0"/>
            </w:tcBorders>
          </w:tcPr>
          <w:p w14:paraId="49B420EB">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024" w:type="dxa"/>
            <w:tcBorders>
              <w:top w:val="single" w:color="auto" w:sz="4" w:space="0"/>
              <w:left w:val="single" w:color="auto" w:sz="4" w:space="0"/>
              <w:bottom w:val="single" w:color="auto" w:sz="4" w:space="0"/>
              <w:right w:val="single" w:color="auto" w:sz="4" w:space="0"/>
            </w:tcBorders>
          </w:tcPr>
          <w:p w14:paraId="47122BFF">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r>
      <w:tr w14:paraId="60FE9C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4B3CCF1F">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1997" w:type="dxa"/>
            <w:tcBorders>
              <w:top w:val="single" w:color="auto" w:sz="4" w:space="0"/>
              <w:left w:val="single" w:color="auto" w:sz="4" w:space="0"/>
              <w:bottom w:val="single" w:color="auto" w:sz="4" w:space="0"/>
              <w:right w:val="single" w:color="auto" w:sz="4" w:space="0"/>
            </w:tcBorders>
          </w:tcPr>
          <w:p w14:paraId="7D3163C3">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03" w:type="dxa"/>
            <w:tcBorders>
              <w:top w:val="single" w:color="auto" w:sz="4" w:space="0"/>
              <w:left w:val="single" w:color="auto" w:sz="4" w:space="0"/>
              <w:bottom w:val="single" w:color="auto" w:sz="4" w:space="0"/>
              <w:right w:val="single" w:color="auto" w:sz="4" w:space="0"/>
            </w:tcBorders>
          </w:tcPr>
          <w:p w14:paraId="20E953D2">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2340" w:type="dxa"/>
            <w:tcBorders>
              <w:top w:val="single" w:color="auto" w:sz="4" w:space="0"/>
              <w:left w:val="single" w:color="auto" w:sz="4" w:space="0"/>
              <w:bottom w:val="single" w:color="auto" w:sz="4" w:space="0"/>
              <w:right w:val="single" w:color="auto" w:sz="4" w:space="0"/>
            </w:tcBorders>
          </w:tcPr>
          <w:p w14:paraId="410B7D7B">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76" w:type="dxa"/>
            <w:tcBorders>
              <w:top w:val="single" w:color="auto" w:sz="4" w:space="0"/>
              <w:left w:val="single" w:color="auto" w:sz="4" w:space="0"/>
              <w:bottom w:val="single" w:color="auto" w:sz="4" w:space="0"/>
              <w:right w:val="single" w:color="auto" w:sz="4" w:space="0"/>
            </w:tcBorders>
          </w:tcPr>
          <w:p w14:paraId="56E57607">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024" w:type="dxa"/>
            <w:tcBorders>
              <w:top w:val="single" w:color="auto" w:sz="4" w:space="0"/>
              <w:left w:val="single" w:color="auto" w:sz="4" w:space="0"/>
              <w:bottom w:val="single" w:color="auto" w:sz="4" w:space="0"/>
              <w:right w:val="single" w:color="auto" w:sz="4" w:space="0"/>
            </w:tcBorders>
          </w:tcPr>
          <w:p w14:paraId="30A602C2">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r>
      <w:tr w14:paraId="7517C2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3ED366D9">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1997" w:type="dxa"/>
            <w:tcBorders>
              <w:top w:val="single" w:color="auto" w:sz="4" w:space="0"/>
              <w:left w:val="single" w:color="auto" w:sz="4" w:space="0"/>
              <w:bottom w:val="single" w:color="auto" w:sz="4" w:space="0"/>
              <w:right w:val="single" w:color="auto" w:sz="4" w:space="0"/>
            </w:tcBorders>
          </w:tcPr>
          <w:p w14:paraId="48CF8375">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03" w:type="dxa"/>
            <w:tcBorders>
              <w:top w:val="single" w:color="auto" w:sz="4" w:space="0"/>
              <w:left w:val="single" w:color="auto" w:sz="4" w:space="0"/>
              <w:bottom w:val="single" w:color="auto" w:sz="4" w:space="0"/>
              <w:right w:val="single" w:color="auto" w:sz="4" w:space="0"/>
            </w:tcBorders>
          </w:tcPr>
          <w:p w14:paraId="471729EF">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2340" w:type="dxa"/>
            <w:tcBorders>
              <w:top w:val="single" w:color="auto" w:sz="4" w:space="0"/>
              <w:left w:val="single" w:color="auto" w:sz="4" w:space="0"/>
              <w:bottom w:val="single" w:color="auto" w:sz="4" w:space="0"/>
              <w:right w:val="single" w:color="auto" w:sz="4" w:space="0"/>
            </w:tcBorders>
          </w:tcPr>
          <w:p w14:paraId="663D270D">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76" w:type="dxa"/>
            <w:tcBorders>
              <w:top w:val="single" w:color="auto" w:sz="4" w:space="0"/>
              <w:left w:val="single" w:color="auto" w:sz="4" w:space="0"/>
              <w:bottom w:val="single" w:color="auto" w:sz="4" w:space="0"/>
              <w:right w:val="single" w:color="auto" w:sz="4" w:space="0"/>
            </w:tcBorders>
          </w:tcPr>
          <w:p w14:paraId="1CEA9E0D">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024" w:type="dxa"/>
            <w:tcBorders>
              <w:top w:val="single" w:color="auto" w:sz="4" w:space="0"/>
              <w:left w:val="single" w:color="auto" w:sz="4" w:space="0"/>
              <w:bottom w:val="single" w:color="auto" w:sz="4" w:space="0"/>
              <w:right w:val="single" w:color="auto" w:sz="4" w:space="0"/>
            </w:tcBorders>
          </w:tcPr>
          <w:p w14:paraId="6E8A7FF2">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r>
      <w:tr w14:paraId="7BFEC8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6E4F4B8C">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1997" w:type="dxa"/>
            <w:tcBorders>
              <w:top w:val="single" w:color="auto" w:sz="4" w:space="0"/>
              <w:left w:val="single" w:color="auto" w:sz="4" w:space="0"/>
              <w:bottom w:val="single" w:color="auto" w:sz="4" w:space="0"/>
              <w:right w:val="single" w:color="auto" w:sz="4" w:space="0"/>
            </w:tcBorders>
          </w:tcPr>
          <w:p w14:paraId="2120F307">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03" w:type="dxa"/>
            <w:tcBorders>
              <w:top w:val="single" w:color="auto" w:sz="4" w:space="0"/>
              <w:left w:val="single" w:color="auto" w:sz="4" w:space="0"/>
              <w:bottom w:val="single" w:color="auto" w:sz="4" w:space="0"/>
              <w:right w:val="single" w:color="auto" w:sz="4" w:space="0"/>
            </w:tcBorders>
          </w:tcPr>
          <w:p w14:paraId="1D118A9C">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2340" w:type="dxa"/>
            <w:tcBorders>
              <w:top w:val="single" w:color="auto" w:sz="4" w:space="0"/>
              <w:left w:val="single" w:color="auto" w:sz="4" w:space="0"/>
              <w:bottom w:val="single" w:color="auto" w:sz="4" w:space="0"/>
              <w:right w:val="single" w:color="auto" w:sz="4" w:space="0"/>
            </w:tcBorders>
          </w:tcPr>
          <w:p w14:paraId="0D793BFE">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76" w:type="dxa"/>
            <w:tcBorders>
              <w:top w:val="single" w:color="auto" w:sz="4" w:space="0"/>
              <w:left w:val="single" w:color="auto" w:sz="4" w:space="0"/>
              <w:bottom w:val="single" w:color="auto" w:sz="4" w:space="0"/>
              <w:right w:val="single" w:color="auto" w:sz="4" w:space="0"/>
            </w:tcBorders>
          </w:tcPr>
          <w:p w14:paraId="7FECDDF3">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024" w:type="dxa"/>
            <w:tcBorders>
              <w:top w:val="single" w:color="auto" w:sz="4" w:space="0"/>
              <w:left w:val="single" w:color="auto" w:sz="4" w:space="0"/>
              <w:bottom w:val="single" w:color="auto" w:sz="4" w:space="0"/>
              <w:right w:val="single" w:color="auto" w:sz="4" w:space="0"/>
            </w:tcBorders>
          </w:tcPr>
          <w:p w14:paraId="473E4AAB">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r>
      <w:tr w14:paraId="41BEA3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606EECA5">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997" w:type="dxa"/>
            <w:tcBorders>
              <w:top w:val="single" w:color="auto" w:sz="4" w:space="0"/>
              <w:left w:val="single" w:color="auto" w:sz="4" w:space="0"/>
              <w:bottom w:val="single" w:color="auto" w:sz="4" w:space="0"/>
              <w:right w:val="single" w:color="auto" w:sz="4" w:space="0"/>
            </w:tcBorders>
          </w:tcPr>
          <w:p w14:paraId="1A94BCB5">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03" w:type="dxa"/>
            <w:tcBorders>
              <w:top w:val="single" w:color="auto" w:sz="4" w:space="0"/>
              <w:left w:val="single" w:color="auto" w:sz="4" w:space="0"/>
              <w:bottom w:val="single" w:color="auto" w:sz="4" w:space="0"/>
              <w:right w:val="single" w:color="auto" w:sz="4" w:space="0"/>
            </w:tcBorders>
          </w:tcPr>
          <w:p w14:paraId="17D80BBE">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2340" w:type="dxa"/>
            <w:tcBorders>
              <w:top w:val="single" w:color="auto" w:sz="4" w:space="0"/>
              <w:left w:val="single" w:color="auto" w:sz="4" w:space="0"/>
              <w:bottom w:val="single" w:color="auto" w:sz="4" w:space="0"/>
              <w:right w:val="single" w:color="auto" w:sz="4" w:space="0"/>
            </w:tcBorders>
          </w:tcPr>
          <w:p w14:paraId="2153F7DB">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676" w:type="dxa"/>
            <w:tcBorders>
              <w:top w:val="single" w:color="auto" w:sz="4" w:space="0"/>
              <w:left w:val="single" w:color="auto" w:sz="4" w:space="0"/>
              <w:bottom w:val="single" w:color="auto" w:sz="4" w:space="0"/>
              <w:right w:val="single" w:color="auto" w:sz="4" w:space="0"/>
            </w:tcBorders>
          </w:tcPr>
          <w:p w14:paraId="0E477CE5">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c>
          <w:tcPr>
            <w:tcW w:w="1024" w:type="dxa"/>
            <w:tcBorders>
              <w:top w:val="single" w:color="auto" w:sz="4" w:space="0"/>
              <w:left w:val="single" w:color="auto" w:sz="4" w:space="0"/>
              <w:bottom w:val="single" w:color="auto" w:sz="4" w:space="0"/>
              <w:right w:val="single" w:color="auto" w:sz="4" w:space="0"/>
            </w:tcBorders>
          </w:tcPr>
          <w:p w14:paraId="2EE2B750">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eastAsia="宋体" w:cs="宋体"/>
                <w:sz w:val="24"/>
                <w:szCs w:val="24"/>
              </w:rPr>
            </w:pPr>
          </w:p>
        </w:tc>
      </w:tr>
    </w:tbl>
    <w:p w14:paraId="2C5BB784">
      <w:pPr>
        <w:ind w:firstLine="0" w:firstLineChars="0"/>
        <w:rPr>
          <w:rFonts w:hint="eastAsia" w:ascii="宋体" w:hAnsi="宋体" w:eastAsia="宋体" w:cs="宋体"/>
          <w:sz w:val="10"/>
          <w:szCs w:val="10"/>
        </w:rPr>
      </w:pPr>
    </w:p>
    <w:p w14:paraId="4DE64212">
      <w:pPr>
        <w:spacing w:line="360" w:lineRule="auto"/>
        <w:ind w:left="0" w:leftChars="0" w:firstLine="0" w:firstLineChars="0"/>
        <w:rPr>
          <w:rFonts w:hint="eastAsia" w:ascii="宋体" w:hAnsi="宋体" w:eastAsia="宋体" w:cs="宋体"/>
          <w:b/>
          <w:spacing w:val="-6"/>
          <w:sz w:val="24"/>
          <w:szCs w:val="24"/>
        </w:rPr>
      </w:pPr>
      <w:r>
        <w:rPr>
          <w:rFonts w:hint="eastAsia" w:ascii="宋体" w:hAnsi="宋体" w:eastAsia="宋体" w:cs="宋体"/>
          <w:b/>
          <w:spacing w:val="-6"/>
          <w:sz w:val="24"/>
          <w:szCs w:val="24"/>
          <w:lang w:eastAsia="zh-CN"/>
        </w:rPr>
        <w:t>注</w:t>
      </w:r>
      <w:r>
        <w:rPr>
          <w:rFonts w:hint="eastAsia" w:ascii="宋体" w:hAnsi="宋体" w:eastAsia="宋体" w:cs="宋体"/>
          <w:b/>
          <w:spacing w:val="-6"/>
          <w:sz w:val="24"/>
          <w:szCs w:val="24"/>
        </w:rPr>
        <w:t>：1</w:t>
      </w:r>
      <w:r>
        <w:rPr>
          <w:rFonts w:hint="eastAsia" w:ascii="宋体" w:hAnsi="宋体" w:eastAsia="宋体" w:cs="宋体"/>
          <w:b/>
          <w:spacing w:val="-6"/>
          <w:sz w:val="24"/>
          <w:szCs w:val="24"/>
          <w:lang w:val="en-US" w:eastAsia="zh-CN"/>
        </w:rPr>
        <w:t>.</w:t>
      </w:r>
      <w:r>
        <w:rPr>
          <w:rFonts w:hint="eastAsia" w:ascii="宋体" w:hAnsi="宋体" w:eastAsia="宋体" w:cs="宋体"/>
          <w:b/>
          <w:spacing w:val="-6"/>
          <w:sz w:val="24"/>
          <w:szCs w:val="24"/>
        </w:rPr>
        <w:t>投标人须按照评分标准要求提交相应证明材料；</w:t>
      </w:r>
    </w:p>
    <w:p w14:paraId="7C861F59">
      <w:pPr>
        <w:spacing w:line="360" w:lineRule="auto"/>
        <w:ind w:firstLine="458"/>
        <w:rPr>
          <w:rFonts w:hint="eastAsia" w:ascii="宋体" w:hAnsi="宋体" w:eastAsia="宋体" w:cs="宋体"/>
          <w:b/>
          <w:spacing w:val="-6"/>
          <w:sz w:val="24"/>
          <w:szCs w:val="24"/>
        </w:rPr>
      </w:pPr>
      <w:r>
        <w:rPr>
          <w:rFonts w:hint="eastAsia" w:ascii="宋体" w:hAnsi="宋体" w:eastAsia="宋体" w:cs="宋体"/>
          <w:b/>
          <w:spacing w:val="-6"/>
          <w:sz w:val="24"/>
          <w:szCs w:val="24"/>
        </w:rPr>
        <w:t>2</w:t>
      </w:r>
      <w:r>
        <w:rPr>
          <w:rFonts w:hint="eastAsia" w:ascii="宋体" w:hAnsi="宋体" w:eastAsia="宋体" w:cs="宋体"/>
          <w:b/>
          <w:spacing w:val="-6"/>
          <w:sz w:val="24"/>
          <w:szCs w:val="24"/>
          <w:lang w:val="en-US" w:eastAsia="zh-CN"/>
        </w:rPr>
        <w:t>.</w:t>
      </w:r>
      <w:r>
        <w:rPr>
          <w:rFonts w:hint="eastAsia" w:ascii="宋体" w:hAnsi="宋体" w:eastAsia="宋体" w:cs="宋体"/>
          <w:b/>
          <w:spacing w:val="-6"/>
          <w:sz w:val="24"/>
          <w:szCs w:val="24"/>
        </w:rPr>
        <w:t>所有证明材料复印件应清晰，应能体现签订时间、双方签字盖章等内容；</w:t>
      </w:r>
    </w:p>
    <w:p w14:paraId="128D7AA2">
      <w:pPr>
        <w:pStyle w:val="78"/>
        <w:ind w:firstLine="458" w:firstLineChars="200"/>
        <w:rPr>
          <w:rFonts w:hint="eastAsia" w:ascii="宋体" w:hAnsi="宋体" w:eastAsia="宋体" w:cs="宋体"/>
          <w:color w:val="auto"/>
        </w:rPr>
      </w:pPr>
      <w:r>
        <w:rPr>
          <w:rFonts w:hint="eastAsia" w:ascii="宋体" w:hAnsi="宋体" w:eastAsia="宋体" w:cs="宋体"/>
          <w:b/>
          <w:spacing w:val="-6"/>
          <w:sz w:val="24"/>
          <w:szCs w:val="24"/>
        </w:rPr>
        <w:t>3</w:t>
      </w:r>
      <w:r>
        <w:rPr>
          <w:rFonts w:hint="eastAsia" w:ascii="宋体" w:hAnsi="宋体" w:eastAsia="宋体" w:cs="宋体"/>
          <w:b/>
          <w:spacing w:val="-6"/>
          <w:sz w:val="24"/>
          <w:szCs w:val="24"/>
          <w:lang w:val="en-US" w:eastAsia="zh-CN"/>
        </w:rPr>
        <w:t>.</w:t>
      </w:r>
      <w:r>
        <w:rPr>
          <w:rFonts w:hint="eastAsia" w:ascii="宋体" w:hAnsi="宋体" w:eastAsia="宋体" w:cs="宋体"/>
          <w:b/>
          <w:spacing w:val="-6"/>
          <w:sz w:val="24"/>
          <w:szCs w:val="24"/>
        </w:rPr>
        <w:t>投标人应在不涉及商业秘密的前提下尽可能提供详细的复印件内容。</w:t>
      </w:r>
    </w:p>
    <w:p w14:paraId="740BD771">
      <w:pPr>
        <w:pStyle w:val="78"/>
        <w:rPr>
          <w:rFonts w:hint="eastAsia" w:ascii="宋体" w:hAnsi="宋体" w:eastAsia="宋体" w:cs="宋体"/>
          <w:color w:val="auto"/>
        </w:rPr>
      </w:pPr>
    </w:p>
    <w:p w14:paraId="716B33DF">
      <w:pPr>
        <w:pStyle w:val="78"/>
        <w:rPr>
          <w:rFonts w:hint="eastAsia" w:ascii="宋体" w:hAnsi="宋体" w:eastAsia="宋体" w:cs="宋体"/>
          <w:color w:val="auto"/>
        </w:rPr>
      </w:pPr>
    </w:p>
    <w:p w14:paraId="189BC65E">
      <w:pPr>
        <w:spacing w:line="480" w:lineRule="auto"/>
        <w:ind w:left="0" w:leftChars="0" w:firstLine="0" w:firstLineChars="0"/>
        <w:rPr>
          <w:rFonts w:hint="eastAsia" w:ascii="宋体" w:hAnsi="宋体" w:eastAsia="宋体" w:cs="宋体"/>
        </w:rPr>
      </w:pPr>
    </w:p>
    <w:p w14:paraId="34024B12">
      <w:pPr>
        <w:spacing w:line="480" w:lineRule="auto"/>
        <w:ind w:left="0" w:leftChars="0" w:firstLine="0" w:firstLineChars="0"/>
        <w:rPr>
          <w:rFonts w:hint="eastAsia" w:ascii="宋体" w:hAnsi="宋体" w:eastAsia="宋体" w:cs="宋体"/>
        </w:rPr>
      </w:pPr>
      <w:r>
        <w:rPr>
          <w:rFonts w:hint="eastAsia" w:ascii="宋体" w:hAnsi="宋体" w:eastAsia="宋体" w:cs="宋体"/>
        </w:rPr>
        <w:t>投标人名称（公章）：</w:t>
      </w:r>
    </w:p>
    <w:p w14:paraId="2E53C156">
      <w:pPr>
        <w:spacing w:line="480" w:lineRule="auto"/>
        <w:ind w:left="0" w:leftChars="0" w:firstLine="0" w:firstLineChars="0"/>
        <w:rPr>
          <w:rFonts w:hint="eastAsia" w:ascii="宋体" w:hAnsi="宋体" w:eastAsia="宋体" w:cs="宋体"/>
        </w:rPr>
      </w:pPr>
      <w:r>
        <w:rPr>
          <w:rFonts w:hint="eastAsia" w:ascii="宋体" w:hAnsi="宋体" w:eastAsia="宋体" w:cs="宋体"/>
        </w:rPr>
        <w:t>法定代表人或其</w:t>
      </w:r>
      <w:r>
        <w:rPr>
          <w:rFonts w:hint="eastAsia" w:cs="宋体"/>
          <w:lang w:eastAsia="zh-CN"/>
        </w:rPr>
        <w:t>授权代表</w:t>
      </w:r>
      <w:r>
        <w:rPr>
          <w:rFonts w:hint="eastAsia" w:ascii="宋体" w:hAnsi="宋体" w:eastAsia="宋体" w:cs="宋体"/>
        </w:rPr>
        <w:t>（签字或盖章）：</w:t>
      </w:r>
    </w:p>
    <w:p w14:paraId="38624F5C">
      <w:pPr>
        <w:keepNext w:val="0"/>
        <w:keepLines w:val="0"/>
        <w:pageBreakBefore w:val="0"/>
        <w:widowControl w:val="0"/>
        <w:numPr>
          <w:ilvl w:val="0"/>
          <w:numId w:val="0"/>
        </w:numPr>
        <w:kinsoku/>
        <w:wordWrap/>
        <w:overflowPunct/>
        <w:topLinePunct w:val="0"/>
        <w:autoSpaceDE/>
        <w:autoSpaceDN/>
        <w:bidi w:val="0"/>
        <w:spacing w:line="600" w:lineRule="auto"/>
        <w:jc w:val="both"/>
        <w:textAlignment w:val="auto"/>
        <w:rPr>
          <w:rFonts w:hint="eastAsia" w:cs="宋体"/>
          <w:b/>
          <w:bCs/>
          <w:highlight w:val="none"/>
          <w:lang w:val="en-US" w:eastAsia="zh-CN"/>
        </w:rPr>
        <w:sectPr>
          <w:pgSz w:w="11907" w:h="16840"/>
          <w:pgMar w:top="1247" w:right="1304" w:bottom="1021" w:left="1304" w:header="720" w:footer="720" w:gutter="0"/>
          <w:pgNumType w:fmt="decimal"/>
          <w:cols w:space="720" w:num="1"/>
          <w:docGrid w:linePitch="286" w:charSpace="0"/>
        </w:sectPr>
      </w:pPr>
      <w:r>
        <w:rPr>
          <w:rFonts w:hint="eastAsia" w:ascii="宋体" w:hAnsi="宋体" w:eastAsia="宋体" w:cs="宋体"/>
        </w:rPr>
        <w:t>日期：  年   月   日</w:t>
      </w:r>
    </w:p>
    <w:p w14:paraId="697024F0">
      <w:pPr>
        <w:numPr>
          <w:ilvl w:val="0"/>
          <w:numId w:val="0"/>
        </w:numPr>
        <w:spacing w:line="600" w:lineRule="auto"/>
        <w:jc w:val="center"/>
        <w:rPr>
          <w:rFonts w:hint="default" w:eastAsia="宋体" w:cs="宋体"/>
          <w:b/>
          <w:bCs/>
          <w:highlight w:val="none"/>
          <w:lang w:val="en-US" w:eastAsia="zh-CN"/>
        </w:rPr>
      </w:pPr>
      <w:r>
        <w:rPr>
          <w:rFonts w:hint="eastAsia" w:cs="宋体"/>
          <w:b/>
          <w:bCs/>
          <w:highlight w:val="none"/>
          <w:lang w:val="en-US" w:eastAsia="zh-CN"/>
        </w:rPr>
        <w:t>4.</w:t>
      </w:r>
      <w:r>
        <w:rPr>
          <w:rFonts w:hint="eastAsia" w:asciiTheme="minorEastAsia" w:hAnsiTheme="minorEastAsia" w:eastAsiaTheme="minorEastAsia" w:cstheme="minorEastAsia"/>
          <w:b/>
          <w:bCs/>
          <w:color w:val="auto"/>
          <w:kern w:val="2"/>
          <w:sz w:val="24"/>
          <w:szCs w:val="24"/>
          <w:highlight w:val="none"/>
          <w:lang w:val="en-US" w:eastAsia="zh-CN" w:bidi="ar-SA"/>
        </w:rPr>
        <w:t>项目实施方案</w:t>
      </w:r>
      <w:r>
        <w:rPr>
          <w:rFonts w:hint="eastAsia" w:cs="宋体"/>
          <w:b/>
          <w:bCs/>
          <w:highlight w:val="none"/>
          <w:lang w:val="en-US" w:eastAsia="zh-CN"/>
        </w:rPr>
        <w:t>；</w:t>
      </w:r>
    </w:p>
    <w:p w14:paraId="69277CA8">
      <w:pPr>
        <w:numPr>
          <w:ilvl w:val="0"/>
          <w:numId w:val="0"/>
        </w:numPr>
        <w:spacing w:line="600" w:lineRule="auto"/>
        <w:jc w:val="center"/>
        <w:rPr>
          <w:rFonts w:hint="default" w:cs="宋体"/>
          <w:b/>
          <w:bCs/>
          <w:highlight w:val="none"/>
          <w:lang w:val="en-US" w:eastAsia="zh-CN"/>
        </w:rPr>
      </w:pPr>
      <w:r>
        <w:rPr>
          <w:rFonts w:hint="eastAsia" w:cs="宋体"/>
          <w:b/>
          <w:bCs/>
          <w:highlight w:val="none"/>
          <w:lang w:val="en-US" w:eastAsia="zh-CN"/>
        </w:rPr>
        <w:t>5.人员技术力量；</w:t>
      </w:r>
    </w:p>
    <w:p w14:paraId="29CE0C27">
      <w:pPr>
        <w:keepNext w:val="0"/>
        <w:keepLines w:val="0"/>
        <w:pageBreakBefore w:val="0"/>
        <w:widowControl w:val="0"/>
        <w:kinsoku/>
        <w:wordWrap/>
        <w:overflowPunct/>
        <w:topLinePunct w:val="0"/>
        <w:autoSpaceDE/>
        <w:autoSpaceDN/>
        <w:bidi w:val="0"/>
        <w:adjustRightInd w:val="0"/>
        <w:snapToGrid w:val="0"/>
        <w:spacing w:line="600" w:lineRule="auto"/>
        <w:ind w:left="0" w:leftChars="0" w:firstLine="0" w:firstLineChars="0"/>
        <w:jc w:val="center"/>
        <w:textAlignment w:val="auto"/>
        <w:rPr>
          <w:rFonts w:hint="default" w:cs="宋体"/>
          <w:b/>
          <w:bCs/>
          <w:highlight w:val="none"/>
          <w:lang w:val="en-US" w:eastAsia="zh-CN"/>
        </w:rPr>
      </w:pPr>
      <w:r>
        <w:rPr>
          <w:rFonts w:hint="eastAsia" w:cs="宋体"/>
          <w:b/>
          <w:bCs/>
          <w:highlight w:val="none"/>
          <w:lang w:val="en-US" w:eastAsia="zh-CN"/>
        </w:rPr>
        <w:t>6.产品竞争力；</w:t>
      </w:r>
    </w:p>
    <w:p w14:paraId="70E2485F">
      <w:pPr>
        <w:keepNext w:val="0"/>
        <w:keepLines w:val="0"/>
        <w:pageBreakBefore w:val="0"/>
        <w:widowControl w:val="0"/>
        <w:kinsoku/>
        <w:wordWrap/>
        <w:overflowPunct/>
        <w:topLinePunct w:val="0"/>
        <w:autoSpaceDE/>
        <w:autoSpaceDN/>
        <w:bidi w:val="0"/>
        <w:adjustRightInd w:val="0"/>
        <w:snapToGrid w:val="0"/>
        <w:spacing w:line="600" w:lineRule="auto"/>
        <w:ind w:left="0" w:leftChars="0" w:firstLine="0" w:firstLineChars="0"/>
        <w:jc w:val="center"/>
        <w:textAlignment w:val="auto"/>
        <w:rPr>
          <w:rFonts w:hint="default" w:cs="宋体"/>
          <w:b/>
          <w:bCs/>
          <w:highlight w:val="none"/>
          <w:lang w:val="en-US" w:eastAsia="zh-CN"/>
        </w:rPr>
      </w:pPr>
      <w:r>
        <w:rPr>
          <w:rFonts w:hint="eastAsia" w:cs="宋体"/>
          <w:b/>
          <w:bCs/>
          <w:highlight w:val="none"/>
          <w:lang w:val="en-US" w:eastAsia="zh-CN"/>
        </w:rPr>
        <w:t>7.优惠承诺；</w:t>
      </w:r>
    </w:p>
    <w:p w14:paraId="32D697B3">
      <w:pPr>
        <w:numPr>
          <w:ilvl w:val="0"/>
          <w:numId w:val="0"/>
        </w:numPr>
        <w:spacing w:line="600" w:lineRule="auto"/>
        <w:jc w:val="center"/>
        <w:rPr>
          <w:rFonts w:hint="eastAsia" w:cs="宋体"/>
          <w:b/>
          <w:bCs/>
          <w:highlight w:val="none"/>
          <w:lang w:val="en-US" w:eastAsia="zh-CN"/>
        </w:rPr>
      </w:pPr>
      <w:r>
        <w:rPr>
          <w:rFonts w:hint="eastAsia" w:cs="宋体"/>
          <w:b/>
          <w:bCs/>
          <w:highlight w:val="none"/>
          <w:lang w:val="en-US" w:eastAsia="zh-CN"/>
        </w:rPr>
        <w:t>9.</w:t>
      </w:r>
      <w:r>
        <w:rPr>
          <w:rFonts w:hint="eastAsia" w:asciiTheme="minorEastAsia" w:hAnsiTheme="minorEastAsia" w:eastAsiaTheme="minorEastAsia" w:cstheme="minorEastAsia"/>
          <w:b/>
          <w:bCs/>
          <w:color w:val="auto"/>
          <w:sz w:val="24"/>
          <w:szCs w:val="24"/>
          <w:highlight w:val="none"/>
        </w:rPr>
        <w:t>企业认证</w:t>
      </w:r>
      <w:r>
        <w:rPr>
          <w:rFonts w:hint="eastAsia" w:cs="宋体"/>
          <w:b/>
          <w:bCs/>
          <w:highlight w:val="none"/>
          <w:lang w:val="en-US" w:eastAsia="zh-CN"/>
        </w:rPr>
        <w:t>；</w:t>
      </w:r>
    </w:p>
    <w:p w14:paraId="47B6AB85">
      <w:pPr>
        <w:numPr>
          <w:ilvl w:val="0"/>
          <w:numId w:val="0"/>
        </w:numPr>
        <w:spacing w:line="600" w:lineRule="auto"/>
        <w:jc w:val="center"/>
        <w:rPr>
          <w:rFonts w:hint="default" w:cs="宋体"/>
          <w:b/>
          <w:bCs/>
          <w:highlight w:val="none"/>
          <w:lang w:val="en-US" w:eastAsia="zh-CN"/>
        </w:rPr>
      </w:pPr>
      <w:r>
        <w:rPr>
          <w:rFonts w:hint="eastAsia" w:cs="宋体"/>
          <w:b/>
          <w:bCs/>
          <w:highlight w:val="none"/>
          <w:lang w:val="en-US" w:eastAsia="zh-CN"/>
        </w:rPr>
        <w:t>10.售后服务方案；</w:t>
      </w:r>
    </w:p>
    <w:p w14:paraId="79F5CF5A">
      <w:pPr>
        <w:numPr>
          <w:ilvl w:val="0"/>
          <w:numId w:val="0"/>
        </w:numPr>
        <w:spacing w:line="600" w:lineRule="auto"/>
        <w:jc w:val="center"/>
        <w:rPr>
          <w:rFonts w:hint="default" w:cs="宋体"/>
          <w:b/>
          <w:bCs/>
          <w:highlight w:val="none"/>
          <w:lang w:val="en-US" w:eastAsia="zh-CN"/>
        </w:rPr>
      </w:pPr>
      <w:r>
        <w:rPr>
          <w:rFonts w:hint="eastAsia" w:cs="宋体"/>
          <w:b/>
          <w:bCs/>
          <w:highlight w:val="none"/>
          <w:lang w:val="en-US" w:eastAsia="zh-CN"/>
        </w:rPr>
        <w:t>11.质保期；</w:t>
      </w:r>
    </w:p>
    <w:p w14:paraId="0FB87A72">
      <w:pPr>
        <w:spacing w:line="600" w:lineRule="auto"/>
        <w:ind w:left="-720" w:right="-965" w:firstLine="723" w:firstLineChars="300"/>
        <w:jc w:val="center"/>
        <w:rPr>
          <w:rFonts w:hint="eastAsia" w:ascii="宋体" w:hAnsi="宋体" w:eastAsia="宋体" w:cs="宋体"/>
          <w:b/>
          <w:bCs/>
          <w:spacing w:val="30"/>
        </w:rPr>
      </w:pPr>
      <w:r>
        <w:rPr>
          <w:rFonts w:hint="eastAsia" w:cs="宋体"/>
          <w:b/>
          <w:bCs/>
          <w:highlight w:val="none"/>
          <w:lang w:val="en-US" w:eastAsia="zh-CN"/>
        </w:rPr>
        <w:t>12.</w:t>
      </w:r>
      <w:r>
        <w:rPr>
          <w:rFonts w:hint="eastAsia" w:cs="宋体"/>
          <w:b/>
          <w:bCs/>
          <w:highlight w:val="none"/>
        </w:rPr>
        <w:t>其它本招标文件评分表要求提供的材料或投标人认为需要</w:t>
      </w:r>
      <w:r>
        <w:rPr>
          <w:rFonts w:hint="eastAsia" w:cs="宋体"/>
          <w:b/>
          <w:bCs/>
          <w:highlight w:val="none"/>
          <w:lang w:eastAsia="zh-CN"/>
        </w:rPr>
        <w:t>补充</w:t>
      </w:r>
      <w:r>
        <w:rPr>
          <w:rFonts w:hint="eastAsia" w:cs="宋体"/>
          <w:b/>
          <w:bCs/>
          <w:highlight w:val="none"/>
        </w:rPr>
        <w:t>的其他资料或说明。</w:t>
      </w:r>
    </w:p>
    <w:p w14:paraId="7517083A">
      <w:pPr>
        <w:ind w:left="-720" w:right="-965" w:firstLine="0" w:firstLineChars="0"/>
        <w:jc w:val="center"/>
        <w:rPr>
          <w:rFonts w:hint="eastAsia" w:ascii="宋体" w:hAnsi="宋体" w:eastAsia="宋体" w:cs="宋体"/>
          <w:b/>
          <w:bCs/>
          <w:spacing w:val="30"/>
          <w:sz w:val="28"/>
          <w:szCs w:val="28"/>
        </w:rPr>
      </w:pPr>
    </w:p>
    <w:p w14:paraId="37EC72F7">
      <w:pPr>
        <w:ind w:firstLine="0" w:firstLineChars="0"/>
        <w:rPr>
          <w:rFonts w:hint="eastAsia" w:ascii="宋体" w:hAnsi="宋体" w:eastAsia="宋体" w:cs="宋体"/>
        </w:rPr>
      </w:pPr>
    </w:p>
    <w:p w14:paraId="6DABF154">
      <w:pPr>
        <w:ind w:firstLine="0" w:firstLineChars="0"/>
        <w:rPr>
          <w:rFonts w:hint="eastAsia" w:ascii="宋体" w:hAnsi="宋体" w:eastAsia="宋体" w:cs="宋体"/>
        </w:rPr>
      </w:pPr>
      <w:r>
        <w:rPr>
          <w:rFonts w:hint="eastAsia" w:ascii="宋体" w:hAnsi="宋体" w:eastAsia="宋体" w:cs="宋体"/>
        </w:rPr>
        <w:t xml:space="preserve">              </w:t>
      </w:r>
    </w:p>
    <w:p w14:paraId="3D4723F7">
      <w:pPr>
        <w:ind w:left="0" w:leftChars="0" w:firstLine="0" w:firstLineChars="0"/>
        <w:rPr>
          <w:rFonts w:hint="eastAsia" w:ascii="宋体" w:hAnsi="宋体" w:eastAsia="宋体" w:cs="宋体"/>
        </w:rPr>
      </w:pPr>
    </w:p>
    <w:p w14:paraId="6FF7D26F">
      <w:pPr>
        <w:pStyle w:val="78"/>
        <w:rPr>
          <w:rFonts w:hint="eastAsia" w:ascii="宋体" w:hAnsi="宋体" w:eastAsia="宋体" w:cs="宋体"/>
          <w:color w:val="auto"/>
        </w:rPr>
      </w:pPr>
    </w:p>
    <w:p w14:paraId="16628E69">
      <w:pPr>
        <w:ind w:left="-720" w:right="-958" w:firstLine="0" w:firstLineChars="0"/>
        <w:rPr>
          <w:rFonts w:hint="eastAsia" w:ascii="宋体" w:hAnsi="宋体" w:eastAsia="宋体" w:cs="宋体"/>
        </w:rPr>
      </w:pPr>
      <w:r>
        <w:rPr>
          <w:rFonts w:hint="eastAsia" w:ascii="宋体" w:hAnsi="宋体" w:eastAsia="宋体" w:cs="宋体"/>
        </w:rPr>
        <w:t xml:space="preserve"> </w:t>
      </w:r>
    </w:p>
    <w:p w14:paraId="37AB82C1">
      <w:pPr>
        <w:pStyle w:val="5"/>
        <w:rPr>
          <w:rFonts w:hint="eastAsia" w:ascii="宋体" w:hAnsi="宋体" w:eastAsia="宋体" w:cs="宋体"/>
          <w:szCs w:val="24"/>
        </w:rPr>
        <w:sectPr>
          <w:pgSz w:w="11907" w:h="16840"/>
          <w:pgMar w:top="1247" w:right="1304" w:bottom="1021" w:left="1304" w:header="720" w:footer="720" w:gutter="0"/>
          <w:pgNumType w:fmt="decimal"/>
          <w:cols w:space="720" w:num="1"/>
          <w:docGrid w:linePitch="286" w:charSpace="0"/>
        </w:sectPr>
      </w:pPr>
    </w:p>
    <w:p w14:paraId="35EA0266">
      <w:pPr>
        <w:pStyle w:val="5"/>
        <w:spacing w:line="240" w:lineRule="auto"/>
        <w:rPr>
          <w:rFonts w:hint="default" w:ascii="宋体" w:hAnsi="宋体" w:eastAsia="宋体" w:cs="宋体"/>
          <w:szCs w:val="24"/>
          <w:lang w:val="en-US" w:eastAsia="zh-CN"/>
        </w:rPr>
      </w:pPr>
      <w:r>
        <w:rPr>
          <w:rFonts w:hint="eastAsia" w:ascii="宋体" w:hAnsi="宋体" w:eastAsia="宋体" w:cs="宋体"/>
          <w:szCs w:val="24"/>
        </w:rPr>
        <w:t>报价文件封面</w:t>
      </w:r>
      <w:r>
        <w:rPr>
          <w:rFonts w:hint="eastAsia" w:ascii="宋体" w:hAnsi="宋体" w:eastAsia="宋体" w:cs="宋体"/>
          <w:szCs w:val="24"/>
          <w:lang w:val="en-US" w:eastAsia="zh-CN"/>
        </w:rPr>
        <w:t xml:space="preserve">                                                    正本（副本）</w:t>
      </w:r>
    </w:p>
    <w:p w14:paraId="3123D5E2">
      <w:pPr>
        <w:ind w:firstLine="482"/>
        <w:jc w:val="center"/>
        <w:rPr>
          <w:rFonts w:hint="eastAsia" w:ascii="宋体" w:hAnsi="宋体" w:eastAsia="宋体" w:cs="宋体"/>
        </w:rPr>
      </w:pPr>
      <w:r>
        <w:rPr>
          <w:rFonts w:hint="eastAsia" w:ascii="宋体" w:hAnsi="宋体" w:eastAsia="宋体" w:cs="宋体"/>
          <w:b/>
          <w:bCs/>
        </w:rPr>
        <w:t xml:space="preserve"> </w:t>
      </w:r>
    </w:p>
    <w:p w14:paraId="6EDE22E3">
      <w:pPr>
        <w:ind w:firstLine="480"/>
        <w:rPr>
          <w:rFonts w:hint="eastAsia" w:ascii="宋体" w:hAnsi="宋体" w:eastAsia="宋体" w:cs="宋体"/>
        </w:rPr>
      </w:pPr>
    </w:p>
    <w:p w14:paraId="06E92DF5">
      <w:pPr>
        <w:ind w:left="0" w:leftChars="0" w:firstLine="0" w:firstLineChars="0"/>
        <w:jc w:val="center"/>
        <w:rPr>
          <w:rFonts w:hint="eastAsia" w:ascii="宋体" w:hAnsi="宋体" w:eastAsia="宋体" w:cs="宋体"/>
          <w:b/>
          <w:bCs/>
          <w:sz w:val="24"/>
          <w:szCs w:val="24"/>
        </w:rPr>
      </w:pPr>
      <w:r>
        <w:rPr>
          <w:rFonts w:hint="eastAsia" w:ascii="宋体" w:hAnsi="宋体" w:eastAsia="宋体" w:cs="宋体"/>
          <w:b/>
          <w:bCs/>
          <w:sz w:val="32"/>
          <w:szCs w:val="32"/>
        </w:rPr>
        <w:t>报价文件</w:t>
      </w:r>
    </w:p>
    <w:p w14:paraId="3FCA196F">
      <w:pPr>
        <w:pStyle w:val="15"/>
        <w:rPr>
          <w:rFonts w:hint="eastAsia" w:ascii="宋体" w:hAnsi="宋体" w:eastAsia="宋体" w:cs="宋体"/>
          <w:b/>
          <w:bCs/>
          <w:sz w:val="24"/>
          <w:szCs w:val="24"/>
        </w:rPr>
      </w:pPr>
    </w:p>
    <w:p w14:paraId="54BC4D5B">
      <w:pPr>
        <w:ind w:firstLine="480"/>
        <w:rPr>
          <w:rFonts w:hint="eastAsia" w:ascii="宋体" w:hAnsi="宋体" w:eastAsia="宋体" w:cs="宋体"/>
        </w:rPr>
      </w:pPr>
    </w:p>
    <w:p w14:paraId="2BF603FB">
      <w:pPr>
        <w:spacing w:line="60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招 标 人：</w:t>
      </w:r>
    </w:p>
    <w:p w14:paraId="4DA351CF">
      <w:pPr>
        <w:spacing w:line="60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项目名称：</w:t>
      </w:r>
    </w:p>
    <w:p w14:paraId="590082CF">
      <w:pPr>
        <w:spacing w:line="60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项目编号：</w:t>
      </w:r>
    </w:p>
    <w:p w14:paraId="49BBF787">
      <w:pPr>
        <w:spacing w:line="60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投标人名称（盖章）：</w:t>
      </w:r>
    </w:p>
    <w:p w14:paraId="2D990B1F">
      <w:pPr>
        <w:spacing w:line="600" w:lineRule="auto"/>
        <w:ind w:firstLine="456"/>
        <w:rPr>
          <w:rFonts w:hint="eastAsia" w:ascii="宋体" w:hAnsi="宋体" w:eastAsia="宋体" w:cs="宋体"/>
          <w:bCs/>
          <w:spacing w:val="-6"/>
          <w:sz w:val="30"/>
          <w:szCs w:val="30"/>
        </w:rPr>
      </w:pPr>
      <w:r>
        <w:rPr>
          <w:rFonts w:hint="eastAsia" w:ascii="宋体" w:hAnsi="宋体" w:eastAsia="宋体" w:cs="宋体"/>
          <w:bCs/>
          <w:spacing w:val="-6"/>
          <w:sz w:val="30"/>
          <w:szCs w:val="30"/>
        </w:rPr>
        <w:t>投标人地址：</w:t>
      </w:r>
    </w:p>
    <w:p w14:paraId="3A04F58B">
      <w:pPr>
        <w:ind w:firstLine="456"/>
        <w:rPr>
          <w:rFonts w:hint="eastAsia" w:ascii="宋体" w:hAnsi="宋体" w:eastAsia="宋体" w:cs="宋体"/>
          <w:bCs/>
          <w:spacing w:val="-6"/>
          <w:sz w:val="30"/>
          <w:szCs w:val="30"/>
        </w:rPr>
      </w:pPr>
    </w:p>
    <w:p w14:paraId="3137F0BD">
      <w:pPr>
        <w:spacing w:line="600" w:lineRule="auto"/>
        <w:ind w:firstLine="456"/>
        <w:rPr>
          <w:rFonts w:hint="eastAsia" w:ascii="宋体" w:hAnsi="宋体" w:eastAsia="宋体" w:cs="宋体"/>
          <w:bCs/>
          <w:spacing w:val="-6"/>
          <w:sz w:val="30"/>
          <w:szCs w:val="30"/>
        </w:rPr>
      </w:pPr>
      <w:r>
        <w:rPr>
          <w:rFonts w:hint="eastAsia" w:cs="宋体"/>
          <w:spacing w:val="-6"/>
          <w:sz w:val="30"/>
          <w:szCs w:val="30"/>
          <w:lang w:eastAsia="zh-CN"/>
        </w:rPr>
        <w:t>法定代表人或其授权代表（</w:t>
      </w:r>
      <w:r>
        <w:rPr>
          <w:rFonts w:hint="eastAsia" w:ascii="宋体" w:hAnsi="宋体" w:eastAsia="宋体" w:cs="宋体"/>
          <w:spacing w:val="-6"/>
          <w:sz w:val="30"/>
          <w:szCs w:val="30"/>
        </w:rPr>
        <w:t>签字</w:t>
      </w:r>
      <w:r>
        <w:rPr>
          <w:rFonts w:hint="eastAsia" w:cs="宋体"/>
          <w:spacing w:val="-6"/>
          <w:sz w:val="30"/>
          <w:szCs w:val="30"/>
          <w:lang w:eastAsia="zh-CN"/>
        </w:rPr>
        <w:t>）</w:t>
      </w:r>
      <w:r>
        <w:rPr>
          <w:rFonts w:hint="eastAsia" w:ascii="宋体" w:hAnsi="宋体" w:eastAsia="宋体" w:cs="宋体"/>
          <w:bCs/>
          <w:spacing w:val="-6"/>
          <w:sz w:val="30"/>
          <w:szCs w:val="30"/>
        </w:rPr>
        <w:t>：</w:t>
      </w:r>
    </w:p>
    <w:p w14:paraId="529F5952">
      <w:pPr>
        <w:pStyle w:val="79"/>
        <w:spacing w:line="600" w:lineRule="auto"/>
        <w:ind w:left="0" w:leftChars="0" w:firstLine="576" w:firstLineChars="200"/>
        <w:rPr>
          <w:rFonts w:hint="eastAsia"/>
        </w:rPr>
      </w:pPr>
      <w:r>
        <w:rPr>
          <w:rFonts w:hint="eastAsia" w:ascii="宋体" w:hAnsi="宋体" w:eastAsia="宋体" w:cs="宋体"/>
          <w:bCs/>
          <w:spacing w:val="-6"/>
          <w:sz w:val="30"/>
          <w:szCs w:val="30"/>
        </w:rPr>
        <w:t>日期：    年  月  日</w:t>
      </w:r>
    </w:p>
    <w:p w14:paraId="3489369E">
      <w:pPr>
        <w:pStyle w:val="78"/>
        <w:rPr>
          <w:rFonts w:hint="eastAsia" w:ascii="宋体" w:hAnsi="宋体" w:eastAsia="宋体" w:cs="宋体"/>
          <w:color w:val="auto"/>
        </w:rPr>
      </w:pPr>
    </w:p>
    <w:p w14:paraId="6408762C">
      <w:pPr>
        <w:pStyle w:val="5"/>
        <w:rPr>
          <w:rFonts w:hint="eastAsia" w:ascii="宋体" w:hAnsi="宋体" w:eastAsia="宋体" w:cs="宋体"/>
          <w:szCs w:val="24"/>
        </w:rPr>
        <w:sectPr>
          <w:pgSz w:w="11906" w:h="16838"/>
          <w:pgMar w:top="1440" w:right="1304" w:bottom="1020" w:left="1304" w:header="851" w:footer="992" w:gutter="0"/>
          <w:pgNumType w:fmt="decimal"/>
          <w:cols w:space="720" w:num="1"/>
          <w:docGrid w:type="lines" w:linePitch="312" w:charSpace="0"/>
        </w:sectPr>
      </w:pPr>
    </w:p>
    <w:p w14:paraId="44E5E174">
      <w:pPr>
        <w:bidi w:val="0"/>
        <w:spacing w:line="600" w:lineRule="auto"/>
        <w:jc w:val="center"/>
        <w:rPr>
          <w:rFonts w:hint="eastAsia" w:ascii="宋体" w:hAnsi="宋体" w:eastAsia="宋体" w:cs="宋体"/>
          <w:b/>
          <w:kern w:val="0"/>
          <w:szCs w:val="28"/>
        </w:rPr>
      </w:pPr>
      <w:r>
        <w:rPr>
          <w:rFonts w:hint="eastAsia"/>
          <w:b/>
          <w:bCs/>
          <w:sz w:val="32"/>
          <w:szCs w:val="32"/>
        </w:rPr>
        <w:t>报价文件目录</w:t>
      </w:r>
    </w:p>
    <w:p w14:paraId="4B151FE7">
      <w:pPr>
        <w:numPr>
          <w:ilvl w:val="0"/>
          <w:numId w:val="0"/>
        </w:numPr>
        <w:spacing w:line="480" w:lineRule="auto"/>
        <w:ind w:firstLine="480" w:firstLineChars="200"/>
        <w:rPr>
          <w:rFonts w:hint="eastAsia" w:ascii="宋体" w:hAnsi="宋体" w:eastAsia="宋体" w:cs="宋体"/>
        </w:rPr>
      </w:pPr>
      <w:r>
        <w:rPr>
          <w:rFonts w:hint="eastAsia" w:cs="宋体"/>
          <w:lang w:val="en-US" w:eastAsia="zh-CN"/>
        </w:rPr>
        <w:t>1.</w:t>
      </w:r>
      <w:r>
        <w:rPr>
          <w:rFonts w:hint="eastAsia" w:ascii="宋体" w:hAnsi="宋体" w:eastAsia="宋体" w:cs="宋体"/>
        </w:rPr>
        <w:t>投标响应函；（附件</w:t>
      </w:r>
      <w:r>
        <w:rPr>
          <w:rFonts w:hint="eastAsia" w:cs="宋体"/>
          <w:lang w:eastAsia="zh-CN"/>
        </w:rPr>
        <w:t>十一</w:t>
      </w:r>
      <w:r>
        <w:rPr>
          <w:rFonts w:hint="eastAsia" w:ascii="宋体" w:hAnsi="宋体" w:eastAsia="宋体" w:cs="宋体"/>
        </w:rPr>
        <w:t>）</w:t>
      </w:r>
    </w:p>
    <w:p w14:paraId="70B7FB0B">
      <w:pPr>
        <w:numPr>
          <w:ilvl w:val="0"/>
          <w:numId w:val="0"/>
        </w:numPr>
        <w:spacing w:line="480" w:lineRule="auto"/>
        <w:ind w:firstLine="480" w:firstLineChars="200"/>
        <w:jc w:val="left"/>
        <w:rPr>
          <w:rFonts w:hint="eastAsia" w:ascii="宋体" w:hAnsi="宋体" w:eastAsia="宋体" w:cs="宋体"/>
        </w:rPr>
      </w:pPr>
      <w:r>
        <w:rPr>
          <w:rFonts w:hint="eastAsia" w:cs="宋体"/>
          <w:lang w:val="en-US" w:eastAsia="zh-CN"/>
        </w:rPr>
        <w:t>2.</w:t>
      </w:r>
      <w:r>
        <w:rPr>
          <w:rFonts w:hint="eastAsia" w:ascii="宋体" w:hAnsi="宋体" w:eastAsia="宋体" w:cs="宋体"/>
        </w:rPr>
        <w:t>开标一览表；（附件</w:t>
      </w:r>
      <w:r>
        <w:rPr>
          <w:rFonts w:hint="eastAsia" w:cs="宋体"/>
          <w:lang w:eastAsia="zh-CN"/>
        </w:rPr>
        <w:t>十二</w:t>
      </w:r>
      <w:r>
        <w:rPr>
          <w:rFonts w:hint="eastAsia" w:ascii="宋体" w:hAnsi="宋体" w:eastAsia="宋体" w:cs="宋体"/>
        </w:rPr>
        <w:t>）</w:t>
      </w:r>
    </w:p>
    <w:p w14:paraId="30D676E6">
      <w:pPr>
        <w:bidi w:val="0"/>
        <w:spacing w:line="480" w:lineRule="auto"/>
        <w:rPr>
          <w:rFonts w:hint="default" w:cs="宋体"/>
          <w:b w:val="0"/>
          <w:bCs w:val="0"/>
          <w:sz w:val="24"/>
          <w:szCs w:val="24"/>
          <w:lang w:val="en-US" w:eastAsia="zh-CN"/>
        </w:rPr>
      </w:pPr>
      <w:r>
        <w:rPr>
          <w:rFonts w:hint="eastAsia" w:cs="宋体"/>
          <w:b w:val="0"/>
          <w:bCs w:val="0"/>
          <w:sz w:val="24"/>
          <w:szCs w:val="24"/>
          <w:lang w:val="en-US" w:eastAsia="zh-CN"/>
        </w:rPr>
        <w:t>3.报价明细表；（附件十三）</w:t>
      </w:r>
    </w:p>
    <w:p w14:paraId="17A72364">
      <w:pPr>
        <w:bidi w:val="0"/>
        <w:spacing w:line="480" w:lineRule="auto"/>
        <w:rPr>
          <w:rFonts w:hint="eastAsia" w:eastAsia="宋体" w:cs="宋体"/>
          <w:b w:val="0"/>
          <w:bCs w:val="0"/>
          <w:sz w:val="24"/>
          <w:szCs w:val="24"/>
          <w:lang w:val="en-US" w:eastAsia="zh-CN"/>
        </w:rPr>
      </w:pPr>
      <w:r>
        <w:rPr>
          <w:rFonts w:hint="eastAsia" w:cs="宋体"/>
          <w:b w:val="0"/>
          <w:bCs w:val="0"/>
          <w:sz w:val="24"/>
          <w:szCs w:val="24"/>
          <w:lang w:val="en-US" w:eastAsia="zh-CN"/>
        </w:rPr>
        <w:t>4.</w:t>
      </w:r>
      <w:r>
        <w:rPr>
          <w:rFonts w:hint="eastAsia" w:ascii="宋体" w:hAnsi="宋体"/>
          <w:sz w:val="24"/>
          <w:lang w:val="en-US" w:eastAsia="zh-CN"/>
        </w:rPr>
        <w:t>缴纳采购</w:t>
      </w:r>
      <w:r>
        <w:rPr>
          <w:rFonts w:hint="eastAsia" w:ascii="宋体" w:hAnsi="宋体"/>
          <w:sz w:val="24"/>
        </w:rPr>
        <w:t>代理</w:t>
      </w:r>
      <w:r>
        <w:rPr>
          <w:rFonts w:hint="eastAsia" w:ascii="宋体" w:hAnsi="宋体"/>
          <w:sz w:val="24"/>
          <w:lang w:eastAsia="zh-CN"/>
        </w:rPr>
        <w:t>服务</w:t>
      </w:r>
      <w:r>
        <w:rPr>
          <w:rFonts w:hint="eastAsia" w:ascii="宋体" w:hAnsi="宋体"/>
          <w:sz w:val="24"/>
        </w:rPr>
        <w:t>费承诺函</w:t>
      </w:r>
      <w:r>
        <w:rPr>
          <w:rFonts w:hint="eastAsia" w:ascii="宋体" w:hAnsi="宋体"/>
          <w:sz w:val="24"/>
          <w:lang w:eastAsia="zh-CN"/>
        </w:rPr>
        <w:t>；（附件十</w:t>
      </w:r>
      <w:r>
        <w:rPr>
          <w:rFonts w:hint="eastAsia"/>
          <w:sz w:val="24"/>
          <w:lang w:eastAsia="zh-CN"/>
        </w:rPr>
        <w:t>四</w:t>
      </w:r>
      <w:r>
        <w:rPr>
          <w:rFonts w:hint="eastAsia" w:ascii="宋体" w:hAnsi="宋体"/>
          <w:sz w:val="24"/>
          <w:lang w:eastAsia="zh-CN"/>
        </w:rPr>
        <w:t>）</w:t>
      </w:r>
    </w:p>
    <w:p w14:paraId="19B8A435">
      <w:pPr>
        <w:tabs>
          <w:tab w:val="left" w:pos="504"/>
        </w:tabs>
        <w:bidi w:val="0"/>
        <w:spacing w:line="480" w:lineRule="auto"/>
        <w:jc w:val="left"/>
        <w:rPr>
          <w:rFonts w:hint="default"/>
          <w:lang w:val="en-US" w:eastAsia="zh-CN"/>
        </w:rPr>
        <w:sectPr>
          <w:pgSz w:w="11906" w:h="16838"/>
          <w:pgMar w:top="1440" w:right="1304" w:bottom="1020" w:left="1304" w:header="851" w:footer="992" w:gutter="0"/>
          <w:pgNumType w:fmt="decimal"/>
          <w:cols w:space="720" w:num="1"/>
          <w:docGrid w:type="lines" w:linePitch="312" w:charSpace="0"/>
        </w:sectPr>
      </w:pPr>
      <w:r>
        <w:rPr>
          <w:rFonts w:hint="eastAsia" w:cs="宋体"/>
          <w:b w:val="0"/>
          <w:bCs w:val="0"/>
          <w:sz w:val="24"/>
          <w:szCs w:val="24"/>
          <w:lang w:val="en-US" w:eastAsia="zh-CN"/>
        </w:rPr>
        <w:t>5.</w:t>
      </w:r>
      <w:r>
        <w:rPr>
          <w:rFonts w:hint="eastAsia" w:ascii="宋体" w:hAnsi="宋体" w:eastAsia="宋体" w:cs="宋体"/>
          <w:bCs/>
          <w:color w:val="auto"/>
          <w:highlight w:val="none"/>
          <w:lang w:eastAsia="zh-CN"/>
        </w:rPr>
        <w:t>投标人</w:t>
      </w:r>
      <w:r>
        <w:rPr>
          <w:rFonts w:hint="eastAsia" w:ascii="宋体" w:hAnsi="宋体" w:eastAsia="宋体" w:cs="宋体"/>
          <w:bCs/>
          <w:color w:val="auto"/>
          <w:highlight w:val="none"/>
        </w:rPr>
        <w:t>针对</w:t>
      </w:r>
      <w:r>
        <w:rPr>
          <w:rFonts w:hint="eastAsia" w:cs="宋体"/>
          <w:bCs/>
          <w:color w:val="auto"/>
          <w:highlight w:val="none"/>
          <w:lang w:eastAsia="zh-CN"/>
        </w:rPr>
        <w:t>投标</w:t>
      </w:r>
      <w:r>
        <w:rPr>
          <w:rFonts w:hint="eastAsia" w:ascii="宋体" w:hAnsi="宋体" w:eastAsia="宋体" w:cs="宋体"/>
          <w:bCs/>
          <w:color w:val="auto"/>
          <w:highlight w:val="none"/>
        </w:rPr>
        <w:t>报价需要</w:t>
      </w:r>
      <w:r>
        <w:rPr>
          <w:rFonts w:hint="eastAsia" w:cs="宋体"/>
          <w:bCs/>
          <w:color w:val="auto"/>
          <w:highlight w:val="none"/>
          <w:lang w:eastAsia="zh-CN"/>
        </w:rPr>
        <w:t>补充</w:t>
      </w:r>
      <w:r>
        <w:rPr>
          <w:rFonts w:hint="eastAsia" w:ascii="宋体" w:hAnsi="宋体" w:eastAsia="宋体" w:cs="宋体"/>
          <w:bCs/>
          <w:color w:val="auto"/>
          <w:highlight w:val="none"/>
        </w:rPr>
        <w:t>的其他文件和说明</w:t>
      </w:r>
      <w:r>
        <w:rPr>
          <w:rFonts w:hint="eastAsia" w:ascii="宋体" w:hAnsi="宋体"/>
          <w:sz w:val="24"/>
          <w:lang w:eastAsia="zh-CN"/>
        </w:rPr>
        <w:t>。</w:t>
      </w:r>
    </w:p>
    <w:p w14:paraId="5EB157D0">
      <w:pPr>
        <w:pStyle w:val="5"/>
        <w:spacing w:line="240" w:lineRule="auto"/>
        <w:rPr>
          <w:rFonts w:hint="eastAsia" w:ascii="宋体" w:hAnsi="宋体" w:eastAsia="宋体" w:cs="宋体"/>
          <w:szCs w:val="24"/>
        </w:rPr>
      </w:pPr>
      <w:r>
        <w:rPr>
          <w:rFonts w:hint="eastAsia" w:ascii="宋体" w:hAnsi="宋体" w:eastAsia="宋体" w:cs="宋体"/>
          <w:szCs w:val="24"/>
        </w:rPr>
        <w:t>附件</w:t>
      </w:r>
      <w:r>
        <w:rPr>
          <w:rFonts w:hint="eastAsia" w:ascii="宋体" w:hAnsi="宋体" w:eastAsia="宋体" w:cs="宋体"/>
          <w:szCs w:val="24"/>
          <w:lang w:eastAsia="zh-CN"/>
        </w:rPr>
        <w:t>十</w:t>
      </w:r>
      <w:r>
        <w:rPr>
          <w:rFonts w:hint="eastAsia" w:cs="宋体"/>
          <w:szCs w:val="24"/>
          <w:lang w:eastAsia="zh-CN"/>
        </w:rPr>
        <w:t>一</w:t>
      </w:r>
      <w:r>
        <w:rPr>
          <w:rFonts w:hint="eastAsia" w:ascii="宋体" w:hAnsi="宋体" w:eastAsia="宋体" w:cs="宋体"/>
          <w:szCs w:val="24"/>
        </w:rPr>
        <w:t xml:space="preserve">    </w:t>
      </w:r>
    </w:p>
    <w:p w14:paraId="4A95EE8B">
      <w:pPr>
        <w:snapToGrid w:val="0"/>
        <w:ind w:firstLine="3935" w:firstLineChars="1400"/>
        <w:jc w:val="both"/>
        <w:rPr>
          <w:rFonts w:hint="eastAsia" w:ascii="宋体" w:hAnsi="宋体" w:eastAsia="宋体" w:cs="宋体"/>
          <w:sz w:val="28"/>
          <w:szCs w:val="28"/>
        </w:rPr>
      </w:pPr>
      <w:r>
        <w:rPr>
          <w:rFonts w:hint="eastAsia" w:ascii="宋体" w:hAnsi="宋体" w:eastAsia="宋体" w:cs="宋体"/>
          <w:b/>
          <w:kern w:val="0"/>
          <w:sz w:val="28"/>
          <w:szCs w:val="28"/>
        </w:rPr>
        <w:t>投标响应</w:t>
      </w:r>
      <w:r>
        <w:rPr>
          <w:rFonts w:hint="eastAsia" w:ascii="宋体" w:hAnsi="宋体" w:eastAsia="宋体" w:cs="宋体"/>
          <w:b/>
          <w:sz w:val="28"/>
          <w:szCs w:val="28"/>
        </w:rPr>
        <w:t>函</w:t>
      </w:r>
    </w:p>
    <w:p w14:paraId="4C4D2112">
      <w:pPr>
        <w:ind w:firstLine="0" w:firstLineChars="0"/>
        <w:rPr>
          <w:rFonts w:hint="eastAsia" w:ascii="宋体" w:hAnsi="宋体" w:eastAsia="宋体" w:cs="宋体"/>
        </w:rPr>
      </w:pPr>
      <w:r>
        <w:rPr>
          <w:rFonts w:hint="eastAsia" w:ascii="宋体" w:hAnsi="宋体" w:eastAsia="宋体" w:cs="宋体"/>
        </w:rPr>
        <w:t>致：</w:t>
      </w:r>
      <w:r>
        <w:rPr>
          <w:rFonts w:hint="eastAsia" w:cs="宋体"/>
          <w:u w:val="single"/>
          <w:lang w:eastAsia="zh-CN"/>
        </w:rPr>
        <w:t>（招标人）（代理机构）</w:t>
      </w:r>
      <w:r>
        <w:rPr>
          <w:rFonts w:hint="eastAsia" w:ascii="宋体" w:hAnsi="宋体" w:eastAsia="宋体" w:cs="宋体"/>
        </w:rPr>
        <w:t xml:space="preserve"> </w:t>
      </w:r>
    </w:p>
    <w:p w14:paraId="13A7C9A4">
      <w:pPr>
        <w:snapToGrid w:val="0"/>
        <w:ind w:firstLine="480"/>
        <w:rPr>
          <w:rFonts w:hint="eastAsia" w:ascii="宋体" w:hAnsi="宋体" w:eastAsia="宋体" w:cs="宋体"/>
        </w:rPr>
      </w:pPr>
      <w:r>
        <w:rPr>
          <w:rFonts w:hint="eastAsia" w:ascii="宋体" w:hAnsi="宋体" w:eastAsia="宋体" w:cs="宋体"/>
          <w:kern w:val="0"/>
          <w:u w:val="single"/>
          <w:lang w:val="zh-CN"/>
        </w:rPr>
        <w:t xml:space="preserve">                         </w:t>
      </w:r>
      <w:r>
        <w:rPr>
          <w:rFonts w:hint="eastAsia" w:ascii="宋体" w:hAnsi="宋体" w:eastAsia="宋体" w:cs="宋体"/>
        </w:rPr>
        <w:t>(投标人全称)授权</w:t>
      </w:r>
      <w:r>
        <w:rPr>
          <w:rFonts w:hint="eastAsia" w:ascii="宋体" w:hAnsi="宋体" w:eastAsia="宋体" w:cs="宋体"/>
          <w:kern w:val="0"/>
          <w:u w:val="single"/>
          <w:lang w:val="zh-CN"/>
        </w:rPr>
        <w:t xml:space="preserve">                    </w:t>
      </w:r>
      <w:r>
        <w:rPr>
          <w:rFonts w:hint="eastAsia" w:ascii="宋体" w:hAnsi="宋体" w:eastAsia="宋体" w:cs="宋体"/>
        </w:rPr>
        <w:t>(</w:t>
      </w:r>
      <w:r>
        <w:rPr>
          <w:rFonts w:hint="eastAsia" w:cs="宋体"/>
          <w:lang w:eastAsia="zh-CN"/>
        </w:rPr>
        <w:t>授权代表</w:t>
      </w:r>
      <w:r>
        <w:rPr>
          <w:rFonts w:hint="eastAsia" w:ascii="宋体" w:hAnsi="宋体" w:eastAsia="宋体" w:cs="宋体"/>
        </w:rPr>
        <w:t>姓名)</w:t>
      </w:r>
      <w:r>
        <w:rPr>
          <w:rFonts w:hint="eastAsia" w:ascii="宋体" w:hAnsi="宋体" w:eastAsia="宋体" w:cs="宋体"/>
          <w:kern w:val="0"/>
          <w:u w:val="single"/>
          <w:lang w:val="zh-CN"/>
        </w:rPr>
        <w:t xml:space="preserve">              </w:t>
      </w:r>
      <w:r>
        <w:rPr>
          <w:rFonts w:hint="eastAsia" w:ascii="宋体" w:hAnsi="宋体" w:eastAsia="宋体" w:cs="宋体"/>
        </w:rPr>
        <w:t>(职务、职称)为</w:t>
      </w:r>
      <w:r>
        <w:rPr>
          <w:rFonts w:hint="eastAsia" w:cs="宋体"/>
          <w:lang w:eastAsia="zh-CN"/>
        </w:rPr>
        <w:t>授权代表</w:t>
      </w:r>
      <w:r>
        <w:rPr>
          <w:rFonts w:hint="eastAsia" w:ascii="宋体" w:hAnsi="宋体" w:eastAsia="宋体" w:cs="宋体"/>
        </w:rPr>
        <w:t>，参加贵方组织的</w:t>
      </w:r>
      <w:r>
        <w:rPr>
          <w:rFonts w:hint="eastAsia" w:ascii="宋体" w:hAnsi="宋体" w:eastAsia="宋体" w:cs="宋体"/>
          <w:u w:val="single"/>
        </w:rPr>
        <w:t>（项目名称）（项目编号）</w:t>
      </w:r>
      <w:r>
        <w:rPr>
          <w:rFonts w:hint="eastAsia" w:ascii="宋体" w:hAnsi="宋体" w:eastAsia="宋体" w:cs="宋体"/>
        </w:rPr>
        <w:t>招标的有关活动，并对此项目进行投标。为此：</w:t>
      </w:r>
    </w:p>
    <w:p w14:paraId="5B7B2E24">
      <w:pPr>
        <w:snapToGrid w:val="0"/>
        <w:ind w:firstLine="480"/>
        <w:rPr>
          <w:rFonts w:hint="eastAsia" w:ascii="宋体" w:hAnsi="宋体" w:eastAsia="宋体" w:cs="宋体"/>
        </w:rPr>
      </w:pPr>
      <w:r>
        <w:rPr>
          <w:rFonts w:hint="eastAsia" w:ascii="宋体" w:hAnsi="宋体" w:eastAsia="宋体" w:cs="宋体"/>
        </w:rPr>
        <w:t>1</w:t>
      </w:r>
      <w:r>
        <w:rPr>
          <w:rFonts w:hint="eastAsia" w:cs="宋体"/>
          <w:lang w:eastAsia="zh-CN"/>
        </w:rPr>
        <w:t>.</w:t>
      </w:r>
      <w:r>
        <w:rPr>
          <w:rFonts w:hint="eastAsia" w:ascii="宋体" w:hAnsi="宋体" w:eastAsia="宋体" w:cs="宋体"/>
        </w:rPr>
        <w:t>我方同意在投标人</w:t>
      </w:r>
      <w:r>
        <w:rPr>
          <w:rFonts w:hint="eastAsia" w:ascii="宋体" w:hAnsi="宋体" w:eastAsia="宋体" w:cs="宋体"/>
          <w:kern w:val="44"/>
        </w:rPr>
        <w:t>编制和提交</w:t>
      </w:r>
      <w:r>
        <w:rPr>
          <w:rFonts w:hint="eastAsia" w:ascii="宋体" w:hAnsi="宋体" w:eastAsia="宋体" w:cs="宋体"/>
        </w:rPr>
        <w:t>招标</w:t>
      </w:r>
      <w:r>
        <w:rPr>
          <w:rFonts w:hint="eastAsia" w:ascii="宋体" w:hAnsi="宋体" w:eastAsia="宋体" w:cs="宋体"/>
          <w:kern w:val="44"/>
        </w:rPr>
        <w:t>投标文件须知</w:t>
      </w:r>
      <w:r>
        <w:rPr>
          <w:rFonts w:hint="eastAsia" w:ascii="宋体" w:hAnsi="宋体" w:eastAsia="宋体" w:cs="宋体"/>
        </w:rPr>
        <w:t>规定的开标日期起遵守本投标文件中的承诺且在投标有效期满之前均具有约束力。</w:t>
      </w:r>
    </w:p>
    <w:p w14:paraId="164FD1DF">
      <w:pPr>
        <w:snapToGrid w:val="0"/>
        <w:ind w:firstLine="480"/>
        <w:rPr>
          <w:rFonts w:hint="eastAsia" w:ascii="宋体" w:hAnsi="宋体" w:eastAsia="宋体" w:cs="宋体"/>
        </w:rPr>
      </w:pPr>
      <w:r>
        <w:rPr>
          <w:rFonts w:hint="eastAsia" w:ascii="宋体" w:hAnsi="宋体" w:eastAsia="宋体" w:cs="宋体"/>
        </w:rPr>
        <w:t>2</w:t>
      </w:r>
      <w:r>
        <w:rPr>
          <w:rFonts w:hint="eastAsia" w:cs="宋体"/>
          <w:lang w:eastAsia="zh-CN"/>
        </w:rPr>
        <w:t>.</w:t>
      </w:r>
      <w:r>
        <w:rPr>
          <w:rFonts w:hint="eastAsia" w:ascii="宋体" w:hAnsi="宋体" w:eastAsia="宋体" w:cs="宋体"/>
        </w:rPr>
        <w:t>我方承诺已经具备相关法律规定的参加招标活动的投标人应当具备的条件：</w:t>
      </w:r>
    </w:p>
    <w:p w14:paraId="4EF1C1E9">
      <w:pPr>
        <w:snapToGrid w:val="0"/>
        <w:ind w:left="0" w:leftChars="0" w:firstLine="480" w:firstLineChars="200"/>
        <w:rPr>
          <w:rFonts w:hint="eastAsia" w:ascii="宋体" w:hAnsi="宋体" w:eastAsia="宋体" w:cs="宋体"/>
        </w:rPr>
      </w:pPr>
      <w:r>
        <w:rPr>
          <w:rFonts w:hint="eastAsia" w:cs="宋体"/>
          <w:lang w:eastAsia="zh-CN"/>
        </w:rPr>
        <w:t>（</w:t>
      </w:r>
      <w:r>
        <w:rPr>
          <w:rFonts w:hint="eastAsia" w:cs="宋体"/>
          <w:lang w:val="en-US" w:eastAsia="zh-CN"/>
        </w:rPr>
        <w:t>1</w:t>
      </w:r>
      <w:r>
        <w:rPr>
          <w:rFonts w:hint="eastAsia" w:cs="宋体"/>
          <w:lang w:eastAsia="zh-CN"/>
        </w:rPr>
        <w:t>）</w:t>
      </w:r>
      <w:r>
        <w:rPr>
          <w:rFonts w:hint="eastAsia" w:ascii="宋体" w:hAnsi="宋体" w:eastAsia="宋体" w:cs="宋体"/>
        </w:rPr>
        <w:t>具有独立承担民事责任的能力；</w:t>
      </w:r>
    </w:p>
    <w:p w14:paraId="223EC46A">
      <w:pPr>
        <w:snapToGrid w:val="0"/>
        <w:ind w:left="0" w:leftChars="0" w:firstLine="480" w:firstLineChars="200"/>
        <w:rPr>
          <w:rFonts w:hint="eastAsia" w:ascii="宋体" w:hAnsi="宋体" w:eastAsia="宋体" w:cs="宋体"/>
        </w:rPr>
      </w:pPr>
      <w:r>
        <w:rPr>
          <w:rFonts w:hint="eastAsia" w:cs="宋体"/>
          <w:lang w:eastAsia="zh-CN"/>
        </w:rPr>
        <w:t>（</w:t>
      </w:r>
      <w:r>
        <w:rPr>
          <w:rFonts w:hint="eastAsia" w:cs="宋体"/>
          <w:lang w:val="en-US" w:eastAsia="zh-CN"/>
        </w:rPr>
        <w:t>2</w:t>
      </w:r>
      <w:r>
        <w:rPr>
          <w:rFonts w:hint="eastAsia" w:cs="宋体"/>
          <w:lang w:eastAsia="zh-CN"/>
        </w:rPr>
        <w:t>）</w:t>
      </w:r>
      <w:r>
        <w:rPr>
          <w:rFonts w:hint="eastAsia" w:ascii="宋体" w:hAnsi="宋体" w:eastAsia="宋体" w:cs="宋体"/>
        </w:rPr>
        <w:t>遵守国家法律、行政法规，具有良好的信誉和商业道德；</w:t>
      </w:r>
    </w:p>
    <w:p w14:paraId="078C830F">
      <w:pPr>
        <w:snapToGrid w:val="0"/>
        <w:ind w:left="0" w:leftChars="0" w:firstLine="480" w:firstLineChars="200"/>
        <w:rPr>
          <w:rFonts w:hint="eastAsia" w:ascii="宋体" w:hAnsi="宋体" w:eastAsia="宋体" w:cs="宋体"/>
        </w:rPr>
      </w:pPr>
      <w:r>
        <w:rPr>
          <w:rFonts w:hint="eastAsia" w:cs="宋体"/>
          <w:lang w:eastAsia="zh-CN"/>
        </w:rPr>
        <w:t>（</w:t>
      </w:r>
      <w:r>
        <w:rPr>
          <w:rFonts w:hint="eastAsia" w:cs="宋体"/>
          <w:lang w:val="en-US" w:eastAsia="zh-CN"/>
        </w:rPr>
        <w:t>3</w:t>
      </w:r>
      <w:r>
        <w:rPr>
          <w:rFonts w:hint="eastAsia" w:cs="宋体"/>
          <w:lang w:eastAsia="zh-CN"/>
        </w:rPr>
        <w:t>）</w:t>
      </w:r>
      <w:r>
        <w:rPr>
          <w:rFonts w:hint="eastAsia" w:ascii="宋体" w:hAnsi="宋体" w:eastAsia="宋体" w:cs="宋体"/>
        </w:rPr>
        <w:t>具有履行合同的能力和良好的履行合同记录；</w:t>
      </w:r>
    </w:p>
    <w:p w14:paraId="61540CD1">
      <w:pPr>
        <w:snapToGrid w:val="0"/>
        <w:ind w:left="0" w:leftChars="0" w:firstLine="480" w:firstLineChars="200"/>
        <w:rPr>
          <w:rFonts w:hint="eastAsia" w:ascii="宋体" w:hAnsi="宋体" w:eastAsia="宋体" w:cs="宋体"/>
        </w:rPr>
      </w:pPr>
      <w:r>
        <w:rPr>
          <w:rFonts w:hint="eastAsia" w:cs="宋体"/>
          <w:lang w:eastAsia="zh-CN"/>
        </w:rPr>
        <w:t>（</w:t>
      </w:r>
      <w:r>
        <w:rPr>
          <w:rFonts w:hint="eastAsia" w:cs="宋体"/>
          <w:lang w:val="en-US" w:eastAsia="zh-CN"/>
        </w:rPr>
        <w:t>4</w:t>
      </w:r>
      <w:r>
        <w:rPr>
          <w:rFonts w:hint="eastAsia" w:cs="宋体"/>
          <w:lang w:eastAsia="zh-CN"/>
        </w:rPr>
        <w:t>）</w:t>
      </w:r>
      <w:r>
        <w:rPr>
          <w:rFonts w:hint="eastAsia" w:ascii="宋体" w:hAnsi="宋体" w:eastAsia="宋体" w:cs="宋体"/>
        </w:rPr>
        <w:t>良好的资金、财务状况；</w:t>
      </w:r>
    </w:p>
    <w:p w14:paraId="3CAAA43E">
      <w:pPr>
        <w:snapToGrid w:val="0"/>
        <w:ind w:left="0" w:leftChars="0" w:firstLine="480" w:firstLineChars="200"/>
        <w:rPr>
          <w:rFonts w:hint="eastAsia" w:ascii="宋体" w:hAnsi="宋体" w:eastAsia="宋体" w:cs="宋体"/>
        </w:rPr>
      </w:pPr>
      <w:r>
        <w:rPr>
          <w:rFonts w:hint="eastAsia" w:cs="宋体"/>
          <w:lang w:eastAsia="zh-CN"/>
        </w:rPr>
        <w:t>（</w:t>
      </w:r>
      <w:r>
        <w:rPr>
          <w:rFonts w:hint="eastAsia" w:cs="宋体"/>
          <w:lang w:val="en-US" w:eastAsia="zh-CN"/>
        </w:rPr>
        <w:t>5</w:t>
      </w:r>
      <w:r>
        <w:rPr>
          <w:rFonts w:hint="eastAsia" w:cs="宋体"/>
          <w:lang w:eastAsia="zh-CN"/>
        </w:rPr>
        <w:t>）</w:t>
      </w:r>
      <w:r>
        <w:rPr>
          <w:rFonts w:hint="eastAsia" w:ascii="宋体" w:hAnsi="宋体" w:eastAsia="宋体" w:cs="宋体"/>
        </w:rPr>
        <w:t>产品及生产所需装备符合中国规定的相应技术标准和环保标准；</w:t>
      </w:r>
    </w:p>
    <w:p w14:paraId="462E6076">
      <w:pPr>
        <w:snapToGrid w:val="0"/>
        <w:ind w:left="0" w:leftChars="0" w:firstLine="480" w:firstLineChars="200"/>
        <w:rPr>
          <w:rFonts w:hint="eastAsia" w:ascii="宋体" w:hAnsi="宋体" w:eastAsia="宋体" w:cs="宋体"/>
        </w:rPr>
      </w:pPr>
      <w:r>
        <w:rPr>
          <w:rFonts w:hint="eastAsia" w:cs="宋体"/>
          <w:lang w:eastAsia="zh-CN"/>
        </w:rPr>
        <w:t>（</w:t>
      </w:r>
      <w:r>
        <w:rPr>
          <w:rFonts w:hint="eastAsia" w:cs="宋体"/>
          <w:lang w:val="en-US" w:eastAsia="zh-CN"/>
        </w:rPr>
        <w:t>6</w:t>
      </w:r>
      <w:r>
        <w:rPr>
          <w:rFonts w:hint="eastAsia" w:cs="宋体"/>
          <w:lang w:eastAsia="zh-CN"/>
        </w:rPr>
        <w:t>）</w:t>
      </w:r>
      <w:r>
        <w:rPr>
          <w:rFonts w:hint="eastAsia" w:ascii="宋体" w:hAnsi="宋体" w:eastAsia="宋体" w:cs="宋体"/>
        </w:rPr>
        <w:t>没有违反招标法规、政策的记录；</w:t>
      </w:r>
    </w:p>
    <w:p w14:paraId="640C3CAF">
      <w:pPr>
        <w:snapToGrid w:val="0"/>
        <w:ind w:left="0" w:leftChars="0" w:firstLine="480" w:firstLineChars="200"/>
        <w:rPr>
          <w:rFonts w:hint="eastAsia" w:ascii="宋体" w:hAnsi="宋体" w:eastAsia="宋体" w:cs="宋体"/>
        </w:rPr>
      </w:pPr>
      <w:r>
        <w:rPr>
          <w:rFonts w:hint="eastAsia" w:cs="宋体"/>
          <w:lang w:eastAsia="zh-CN"/>
        </w:rPr>
        <w:t>（</w:t>
      </w:r>
      <w:r>
        <w:rPr>
          <w:rFonts w:hint="eastAsia" w:cs="宋体"/>
          <w:lang w:val="en-US" w:eastAsia="zh-CN"/>
        </w:rPr>
        <w:t>7</w:t>
      </w:r>
      <w:r>
        <w:rPr>
          <w:rFonts w:hint="eastAsia" w:cs="宋体"/>
          <w:lang w:eastAsia="zh-CN"/>
        </w:rPr>
        <w:t>）</w:t>
      </w:r>
      <w:r>
        <w:rPr>
          <w:rFonts w:hint="eastAsia" w:ascii="宋体" w:hAnsi="宋体" w:eastAsia="宋体" w:cs="宋体"/>
        </w:rPr>
        <w:t>没有发生重大经济纠纷和走私犯罪记录。</w:t>
      </w:r>
    </w:p>
    <w:p w14:paraId="0391F0B7">
      <w:pPr>
        <w:pStyle w:val="2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hAnsi="宋体" w:cs="宋体"/>
          <w:sz w:val="24"/>
          <w:szCs w:val="24"/>
          <w:lang w:eastAsia="zh-CN"/>
        </w:rPr>
        <w:t>.</w:t>
      </w:r>
      <w:r>
        <w:rPr>
          <w:rFonts w:hint="eastAsia" w:ascii="宋体" w:hAnsi="宋体" w:eastAsia="宋体" w:cs="宋体"/>
          <w:sz w:val="24"/>
          <w:szCs w:val="24"/>
        </w:rPr>
        <w:t>提供</w:t>
      </w:r>
      <w:r>
        <w:rPr>
          <w:rFonts w:hint="eastAsia" w:ascii="宋体" w:hAnsi="宋体" w:eastAsia="宋体" w:cs="宋体"/>
          <w:kern w:val="44"/>
          <w:sz w:val="24"/>
          <w:szCs w:val="24"/>
        </w:rPr>
        <w:t>编制和提交</w:t>
      </w:r>
      <w:r>
        <w:rPr>
          <w:rFonts w:hint="eastAsia" w:ascii="宋体" w:hAnsi="宋体" w:eastAsia="宋体" w:cs="宋体"/>
          <w:sz w:val="24"/>
          <w:szCs w:val="24"/>
        </w:rPr>
        <w:t>招标</w:t>
      </w:r>
      <w:r>
        <w:rPr>
          <w:rFonts w:hint="eastAsia" w:ascii="宋体" w:hAnsi="宋体" w:eastAsia="宋体" w:cs="宋体"/>
          <w:kern w:val="44"/>
          <w:sz w:val="24"/>
          <w:szCs w:val="24"/>
        </w:rPr>
        <w:t>投标文件须知</w:t>
      </w:r>
      <w:r>
        <w:rPr>
          <w:rFonts w:hint="eastAsia" w:ascii="宋体" w:hAnsi="宋体" w:eastAsia="宋体" w:cs="宋体"/>
          <w:sz w:val="24"/>
          <w:szCs w:val="24"/>
        </w:rPr>
        <w:t>规定的全部投标文件，包括</w:t>
      </w:r>
      <w:r>
        <w:rPr>
          <w:rFonts w:hint="eastAsia" w:hAnsi="宋体" w:cs="宋体"/>
          <w:b/>
          <w:bCs/>
          <w:sz w:val="24"/>
          <w:szCs w:val="24"/>
          <w:lang w:eastAsia="zh-CN"/>
        </w:rPr>
        <w:t>《</w:t>
      </w:r>
      <w:r>
        <w:rPr>
          <w:rFonts w:hint="eastAsia" w:ascii="宋体" w:hAnsi="宋体" w:eastAsia="宋体" w:cs="宋体"/>
          <w:b/>
          <w:bCs/>
          <w:sz w:val="24"/>
          <w:szCs w:val="24"/>
        </w:rPr>
        <w:t>资格文件</w:t>
      </w:r>
      <w:r>
        <w:rPr>
          <w:rFonts w:hint="eastAsia" w:hAnsi="宋体" w:cs="宋体"/>
          <w:b/>
          <w:bCs/>
          <w:sz w:val="24"/>
          <w:szCs w:val="24"/>
          <w:lang w:eastAsia="zh-CN"/>
        </w:rPr>
        <w:t>》、《</w:t>
      </w:r>
      <w:r>
        <w:rPr>
          <w:rFonts w:hint="eastAsia" w:ascii="宋体" w:hAnsi="宋体" w:eastAsia="宋体" w:cs="宋体"/>
          <w:b/>
          <w:sz w:val="24"/>
          <w:szCs w:val="24"/>
        </w:rPr>
        <w:t>报价文件</w:t>
      </w:r>
      <w:r>
        <w:rPr>
          <w:rFonts w:hint="eastAsia" w:hAnsi="宋体" w:cs="宋体"/>
          <w:b/>
          <w:bCs/>
          <w:sz w:val="24"/>
          <w:szCs w:val="24"/>
          <w:lang w:eastAsia="zh-CN"/>
        </w:rPr>
        <w:t>》、《</w:t>
      </w:r>
      <w:r>
        <w:rPr>
          <w:rFonts w:hint="eastAsia" w:hAnsi="宋体" w:cs="宋体"/>
          <w:b/>
          <w:sz w:val="24"/>
          <w:szCs w:val="24"/>
          <w:lang w:eastAsia="zh-CN"/>
        </w:rPr>
        <w:t>商务</w:t>
      </w:r>
      <w:r>
        <w:rPr>
          <w:rFonts w:hint="eastAsia" w:ascii="宋体" w:hAnsi="宋体" w:eastAsia="宋体" w:cs="宋体"/>
          <w:b/>
          <w:sz w:val="24"/>
          <w:szCs w:val="24"/>
        </w:rPr>
        <w:t>技术文件</w:t>
      </w:r>
      <w:r>
        <w:rPr>
          <w:rFonts w:hint="eastAsia" w:hAnsi="宋体" w:cs="宋体"/>
          <w:b/>
          <w:bCs/>
          <w:sz w:val="24"/>
          <w:szCs w:val="24"/>
          <w:lang w:eastAsia="zh-CN"/>
        </w:rPr>
        <w:t>》</w:t>
      </w:r>
      <w:r>
        <w:rPr>
          <w:rFonts w:hint="eastAsia" w:ascii="宋体" w:hAnsi="宋体" w:eastAsia="宋体" w:cs="宋体"/>
          <w:b/>
          <w:sz w:val="24"/>
          <w:szCs w:val="24"/>
        </w:rPr>
        <w:t>。</w:t>
      </w:r>
      <w:r>
        <w:rPr>
          <w:rFonts w:hint="eastAsia" w:ascii="宋体" w:hAnsi="宋体" w:eastAsia="宋体" w:cs="宋体"/>
          <w:sz w:val="24"/>
          <w:szCs w:val="24"/>
        </w:rPr>
        <w:t>具体内容为：</w:t>
      </w:r>
    </w:p>
    <w:p w14:paraId="382910C9">
      <w:pPr>
        <w:snapToGrid w:val="0"/>
        <w:ind w:left="0" w:leftChars="0" w:firstLine="480" w:firstLineChars="200"/>
        <w:rPr>
          <w:rFonts w:hint="eastAsia" w:ascii="宋体" w:hAnsi="宋体" w:eastAsia="宋体" w:cs="宋体"/>
        </w:rPr>
      </w:pPr>
      <w:r>
        <w:rPr>
          <w:rFonts w:hint="eastAsia" w:cs="宋体"/>
          <w:lang w:eastAsia="zh-CN"/>
        </w:rPr>
        <w:t>（</w:t>
      </w:r>
      <w:r>
        <w:rPr>
          <w:rFonts w:hint="eastAsia" w:cs="宋体"/>
          <w:lang w:val="en-US" w:eastAsia="zh-CN"/>
        </w:rPr>
        <w:t>1</w:t>
      </w:r>
      <w:r>
        <w:rPr>
          <w:rFonts w:hint="eastAsia" w:cs="宋体"/>
          <w:lang w:eastAsia="zh-CN"/>
        </w:rPr>
        <w:t>）</w:t>
      </w:r>
      <w:r>
        <w:rPr>
          <w:rFonts w:hint="eastAsia" w:ascii="宋体" w:hAnsi="宋体" w:eastAsia="宋体" w:cs="宋体"/>
        </w:rPr>
        <w:t>开标一览表及投标报价明细清单；</w:t>
      </w:r>
    </w:p>
    <w:p w14:paraId="55634202">
      <w:pPr>
        <w:snapToGrid w:val="0"/>
        <w:ind w:left="0" w:leftChars="0" w:firstLine="480" w:firstLineChars="200"/>
        <w:rPr>
          <w:rFonts w:hint="eastAsia" w:ascii="宋体" w:hAnsi="宋体" w:eastAsia="宋体" w:cs="宋体"/>
        </w:rPr>
      </w:pPr>
      <w:r>
        <w:rPr>
          <w:rFonts w:hint="eastAsia" w:cs="宋体"/>
          <w:lang w:eastAsia="zh-CN"/>
        </w:rPr>
        <w:t>（</w:t>
      </w:r>
      <w:r>
        <w:rPr>
          <w:rFonts w:hint="eastAsia" w:cs="宋体"/>
          <w:lang w:val="en-US" w:eastAsia="zh-CN"/>
        </w:rPr>
        <w:t>2</w:t>
      </w:r>
      <w:r>
        <w:rPr>
          <w:rFonts w:hint="eastAsia" w:cs="宋体"/>
          <w:lang w:eastAsia="zh-CN"/>
        </w:rPr>
        <w:t>）</w:t>
      </w:r>
      <w:r>
        <w:rPr>
          <w:rFonts w:hint="eastAsia" w:ascii="宋体" w:hAnsi="宋体" w:eastAsia="宋体" w:cs="宋体"/>
        </w:rPr>
        <w:t>投标</w:t>
      </w:r>
      <w:r>
        <w:rPr>
          <w:rFonts w:hint="eastAsia" w:cs="宋体"/>
          <w:lang w:eastAsia="zh-CN"/>
        </w:rPr>
        <w:t>商务</w:t>
      </w:r>
      <w:r>
        <w:rPr>
          <w:rFonts w:hint="eastAsia" w:ascii="宋体" w:hAnsi="宋体" w:eastAsia="宋体" w:cs="宋体"/>
        </w:rPr>
        <w:t>技术</w:t>
      </w:r>
      <w:r>
        <w:rPr>
          <w:rFonts w:hint="eastAsia" w:ascii="宋体" w:hAnsi="宋体" w:eastAsia="宋体" w:cs="宋体"/>
          <w:kern w:val="0"/>
          <w:lang w:val="zh-CN"/>
        </w:rPr>
        <w:t>文件和</w:t>
      </w:r>
      <w:r>
        <w:rPr>
          <w:rFonts w:hint="eastAsia" w:ascii="宋体" w:hAnsi="宋体" w:eastAsia="宋体" w:cs="宋体"/>
          <w:lang w:val="zh-CN"/>
        </w:rPr>
        <w:t>资格</w:t>
      </w:r>
      <w:r>
        <w:rPr>
          <w:rFonts w:hint="eastAsia" w:ascii="宋体" w:hAnsi="宋体" w:eastAsia="宋体" w:cs="宋体"/>
        </w:rPr>
        <w:t>证明</w:t>
      </w:r>
      <w:r>
        <w:rPr>
          <w:rFonts w:hint="eastAsia" w:ascii="宋体" w:hAnsi="宋体" w:eastAsia="宋体" w:cs="宋体"/>
          <w:lang w:val="zh-CN"/>
        </w:rPr>
        <w:t>文件</w:t>
      </w:r>
      <w:r>
        <w:rPr>
          <w:rFonts w:hint="eastAsia" w:ascii="宋体" w:hAnsi="宋体" w:eastAsia="宋体" w:cs="宋体"/>
        </w:rPr>
        <w:t>；</w:t>
      </w:r>
    </w:p>
    <w:p w14:paraId="59CF7F1F">
      <w:pPr>
        <w:snapToGrid w:val="0"/>
        <w:ind w:left="0" w:leftChars="0" w:firstLine="480" w:firstLineChars="200"/>
        <w:rPr>
          <w:rFonts w:hint="eastAsia" w:ascii="宋体" w:hAnsi="宋体" w:eastAsia="宋体" w:cs="宋体"/>
        </w:rPr>
      </w:pPr>
      <w:r>
        <w:rPr>
          <w:rFonts w:hint="eastAsia" w:cs="宋体"/>
          <w:kern w:val="44"/>
          <w:lang w:eastAsia="zh-CN"/>
        </w:rPr>
        <w:t>（</w:t>
      </w:r>
      <w:r>
        <w:rPr>
          <w:rFonts w:hint="eastAsia" w:cs="宋体"/>
          <w:kern w:val="44"/>
          <w:lang w:val="en-US" w:eastAsia="zh-CN"/>
        </w:rPr>
        <w:t>3</w:t>
      </w:r>
      <w:r>
        <w:rPr>
          <w:rFonts w:hint="eastAsia" w:cs="宋体"/>
          <w:kern w:val="44"/>
          <w:lang w:eastAsia="zh-CN"/>
        </w:rPr>
        <w:t>）</w:t>
      </w:r>
      <w:r>
        <w:rPr>
          <w:rFonts w:hint="eastAsia" w:ascii="宋体" w:hAnsi="宋体" w:eastAsia="宋体" w:cs="宋体"/>
          <w:kern w:val="44"/>
        </w:rPr>
        <w:t>编制和提交</w:t>
      </w:r>
      <w:r>
        <w:rPr>
          <w:rFonts w:hint="eastAsia" w:ascii="宋体" w:hAnsi="宋体" w:eastAsia="宋体" w:cs="宋体"/>
        </w:rPr>
        <w:t>招标</w:t>
      </w:r>
      <w:r>
        <w:rPr>
          <w:rFonts w:hint="eastAsia" w:ascii="宋体" w:hAnsi="宋体" w:eastAsia="宋体" w:cs="宋体"/>
          <w:kern w:val="44"/>
        </w:rPr>
        <w:t>投标文件须知</w:t>
      </w:r>
      <w:r>
        <w:rPr>
          <w:rFonts w:hint="eastAsia" w:ascii="宋体" w:hAnsi="宋体" w:eastAsia="宋体" w:cs="宋体"/>
        </w:rPr>
        <w:t>要求投标人提交的全部文件；</w:t>
      </w:r>
    </w:p>
    <w:p w14:paraId="043377C3">
      <w:pPr>
        <w:snapToGrid w:val="0"/>
        <w:ind w:left="0" w:leftChars="0" w:firstLine="480" w:firstLineChars="200"/>
        <w:rPr>
          <w:rFonts w:hint="eastAsia" w:ascii="宋体" w:hAnsi="宋体" w:eastAsia="宋体" w:cs="宋体"/>
        </w:rPr>
      </w:pPr>
      <w:r>
        <w:rPr>
          <w:rFonts w:hint="eastAsia" w:cs="宋体"/>
          <w:lang w:eastAsia="zh-CN"/>
        </w:rPr>
        <w:t>（</w:t>
      </w:r>
      <w:r>
        <w:rPr>
          <w:rFonts w:hint="eastAsia" w:cs="宋体"/>
          <w:lang w:val="en-US" w:eastAsia="zh-CN"/>
        </w:rPr>
        <w:t>4</w:t>
      </w:r>
      <w:r>
        <w:rPr>
          <w:rFonts w:hint="eastAsia" w:cs="宋体"/>
          <w:lang w:eastAsia="zh-CN"/>
        </w:rPr>
        <w:t>）</w:t>
      </w:r>
      <w:r>
        <w:rPr>
          <w:rFonts w:hint="eastAsia" w:ascii="宋体" w:hAnsi="宋体" w:eastAsia="宋体" w:cs="宋体"/>
        </w:rPr>
        <w:t>按招标文件要求提供和交付的货物和服务的投标报价详见投标(开标)一览表；</w:t>
      </w:r>
    </w:p>
    <w:p w14:paraId="26F8A7E9">
      <w:pPr>
        <w:snapToGrid w:val="0"/>
        <w:ind w:left="0" w:leftChars="0" w:firstLine="480" w:firstLineChars="200"/>
        <w:rPr>
          <w:rFonts w:hint="eastAsia" w:ascii="宋体" w:hAnsi="宋体" w:eastAsia="宋体" w:cs="宋体"/>
        </w:rPr>
      </w:pPr>
      <w:r>
        <w:rPr>
          <w:rFonts w:hint="eastAsia" w:cs="宋体"/>
          <w:lang w:eastAsia="zh-CN"/>
        </w:rPr>
        <w:t>（</w:t>
      </w:r>
      <w:r>
        <w:rPr>
          <w:rFonts w:hint="eastAsia" w:cs="宋体"/>
          <w:lang w:val="en-US" w:eastAsia="zh-CN"/>
        </w:rPr>
        <w:t>5</w:t>
      </w:r>
      <w:r>
        <w:rPr>
          <w:rFonts w:hint="eastAsia" w:cs="宋体"/>
          <w:lang w:eastAsia="zh-CN"/>
        </w:rPr>
        <w:t>）</w:t>
      </w:r>
      <w:r>
        <w:rPr>
          <w:rFonts w:hint="eastAsia" w:ascii="宋体" w:hAnsi="宋体" w:eastAsia="宋体" w:cs="宋体"/>
        </w:rPr>
        <w:t>保证忠实地执行双方所签订的合同，并承担合同规定的责任和义务；</w:t>
      </w:r>
    </w:p>
    <w:p w14:paraId="635154EF">
      <w:pPr>
        <w:snapToGrid w:val="0"/>
        <w:ind w:left="0" w:leftChars="0" w:firstLine="480" w:firstLineChars="200"/>
        <w:rPr>
          <w:rFonts w:hint="eastAsia" w:ascii="宋体" w:hAnsi="宋体" w:eastAsia="宋体" w:cs="宋体"/>
        </w:rPr>
      </w:pPr>
      <w:r>
        <w:rPr>
          <w:rFonts w:hint="eastAsia" w:cs="宋体"/>
          <w:lang w:eastAsia="zh-CN"/>
        </w:rPr>
        <w:t>（</w:t>
      </w:r>
      <w:r>
        <w:rPr>
          <w:rFonts w:hint="eastAsia" w:cs="宋体"/>
          <w:lang w:val="en-US" w:eastAsia="zh-CN"/>
        </w:rPr>
        <w:t>6</w:t>
      </w:r>
      <w:r>
        <w:rPr>
          <w:rFonts w:hint="eastAsia" w:cs="宋体"/>
          <w:lang w:eastAsia="zh-CN"/>
        </w:rPr>
        <w:t>）</w:t>
      </w:r>
      <w:r>
        <w:rPr>
          <w:rFonts w:hint="eastAsia" w:ascii="宋体" w:hAnsi="宋体" w:eastAsia="宋体" w:cs="宋体"/>
        </w:rPr>
        <w:t>保证遵守招标文件中的其他有关规定。</w:t>
      </w:r>
    </w:p>
    <w:p w14:paraId="45022D5E">
      <w:pPr>
        <w:snapToGrid w:val="0"/>
        <w:ind w:firstLine="480"/>
        <w:rPr>
          <w:rFonts w:hint="eastAsia" w:ascii="宋体" w:hAnsi="宋体" w:eastAsia="宋体" w:cs="宋体"/>
        </w:rPr>
      </w:pPr>
      <w:r>
        <w:rPr>
          <w:rFonts w:hint="eastAsia" w:ascii="宋体" w:hAnsi="宋体" w:eastAsia="宋体" w:cs="宋体"/>
        </w:rPr>
        <w:t>4</w:t>
      </w:r>
      <w:r>
        <w:rPr>
          <w:rFonts w:hint="eastAsia" w:cs="宋体"/>
          <w:lang w:eastAsia="zh-CN"/>
        </w:rPr>
        <w:t>.</w:t>
      </w:r>
      <w:r>
        <w:rPr>
          <w:rFonts w:hint="eastAsia" w:ascii="宋体" w:hAnsi="宋体" w:eastAsia="宋体" w:cs="宋体"/>
        </w:rPr>
        <w:t>我方承诺投标有效期从提交投标文件的截止之日起</w:t>
      </w:r>
      <w:r>
        <w:rPr>
          <w:rFonts w:hint="eastAsia" w:ascii="宋体" w:hAnsi="宋体" w:eastAsia="宋体" w:cs="宋体"/>
          <w:u w:val="single"/>
        </w:rPr>
        <w:t xml:space="preserve"> 90</w:t>
      </w:r>
      <w:r>
        <w:rPr>
          <w:rFonts w:hint="eastAsia" w:ascii="宋体" w:hAnsi="宋体" w:eastAsia="宋体" w:cs="宋体"/>
        </w:rPr>
        <w:t>天，不少于招标文件中载明的投标有效期（从提交投标文件的截止之日起90天）。</w:t>
      </w:r>
    </w:p>
    <w:p w14:paraId="3985491F">
      <w:pPr>
        <w:snapToGrid w:val="0"/>
        <w:ind w:firstLine="480"/>
        <w:rPr>
          <w:rFonts w:hint="eastAsia" w:ascii="宋体" w:hAnsi="宋体" w:eastAsia="宋体" w:cs="宋体"/>
        </w:rPr>
      </w:pPr>
      <w:r>
        <w:rPr>
          <w:rFonts w:hint="eastAsia" w:ascii="宋体" w:hAnsi="宋体" w:eastAsia="宋体" w:cs="宋体"/>
        </w:rPr>
        <w:t>5</w:t>
      </w:r>
      <w:r>
        <w:rPr>
          <w:rFonts w:hint="eastAsia" w:cs="宋体"/>
          <w:lang w:eastAsia="zh-CN"/>
        </w:rPr>
        <w:t>.</w:t>
      </w:r>
      <w:r>
        <w:rPr>
          <w:rFonts w:hint="eastAsia" w:ascii="宋体" w:hAnsi="宋体" w:eastAsia="宋体" w:cs="宋体"/>
        </w:rPr>
        <w:t>我方完全理解贵方不一定要接受最低价的投标。</w:t>
      </w:r>
    </w:p>
    <w:p w14:paraId="2D5F8B49">
      <w:pPr>
        <w:snapToGrid w:val="0"/>
        <w:ind w:firstLine="480"/>
        <w:rPr>
          <w:rFonts w:hint="eastAsia" w:ascii="宋体" w:hAnsi="宋体" w:eastAsia="宋体" w:cs="宋体"/>
        </w:rPr>
      </w:pPr>
      <w:r>
        <w:rPr>
          <w:rFonts w:hint="eastAsia" w:ascii="宋体" w:hAnsi="宋体" w:eastAsia="宋体" w:cs="宋体"/>
        </w:rPr>
        <w:t>6</w:t>
      </w:r>
      <w:r>
        <w:rPr>
          <w:rFonts w:hint="eastAsia" w:cs="宋体"/>
          <w:lang w:eastAsia="zh-CN"/>
        </w:rPr>
        <w:t>.</w:t>
      </w:r>
      <w:r>
        <w:rPr>
          <w:rFonts w:hint="eastAsia" w:ascii="宋体" w:hAnsi="宋体" w:eastAsia="宋体" w:cs="宋体"/>
        </w:rPr>
        <w:t>我方愿意向贵方提供任何与该项投标有关的数据、情况和技术资料。若贵方需要，我方愿意提供我方作出的一切承诺的证明材料。</w:t>
      </w:r>
    </w:p>
    <w:p w14:paraId="25A4AC6B">
      <w:pPr>
        <w:snapToGrid w:val="0"/>
        <w:ind w:firstLine="480"/>
        <w:rPr>
          <w:rFonts w:hint="eastAsia" w:ascii="宋体" w:hAnsi="宋体" w:eastAsia="宋体" w:cs="宋体"/>
        </w:rPr>
      </w:pPr>
      <w:r>
        <w:rPr>
          <w:rFonts w:hint="eastAsia" w:ascii="宋体" w:hAnsi="宋体" w:eastAsia="宋体" w:cs="宋体"/>
        </w:rPr>
        <w:t>7</w:t>
      </w:r>
      <w:r>
        <w:rPr>
          <w:rFonts w:hint="eastAsia" w:cs="宋体"/>
          <w:lang w:eastAsia="zh-CN"/>
        </w:rPr>
        <w:t>.</w:t>
      </w:r>
      <w:r>
        <w:rPr>
          <w:rFonts w:hint="eastAsia" w:ascii="宋体" w:hAnsi="宋体" w:eastAsia="宋体" w:cs="宋体"/>
        </w:rPr>
        <w:t>我方已详细审核全部招标文件，包括招标文件修改书(如果有)、参考资料及有关附件，确认无误。</w:t>
      </w:r>
    </w:p>
    <w:p w14:paraId="4AF7D7F9">
      <w:pPr>
        <w:snapToGrid w:val="0"/>
        <w:ind w:firstLine="480"/>
        <w:rPr>
          <w:rFonts w:hint="eastAsia" w:ascii="宋体" w:hAnsi="宋体" w:eastAsia="宋体" w:cs="宋体"/>
        </w:rPr>
      </w:pPr>
      <w:r>
        <w:rPr>
          <w:rFonts w:hint="eastAsia" w:ascii="宋体" w:hAnsi="宋体" w:eastAsia="宋体" w:cs="宋体"/>
        </w:rPr>
        <w:t>8</w:t>
      </w:r>
      <w:r>
        <w:rPr>
          <w:rFonts w:hint="eastAsia" w:cs="宋体"/>
          <w:lang w:eastAsia="zh-CN"/>
        </w:rPr>
        <w:t>.</w:t>
      </w:r>
      <w:r>
        <w:rPr>
          <w:rFonts w:hint="eastAsia" w:ascii="宋体" w:hAnsi="宋体" w:eastAsia="宋体" w:cs="宋体"/>
        </w:rPr>
        <w:t>我方将严格遵守相关法律规定，投标人有下列情形之一的，处以招标金额5‰以上10‰以下的罚款，列入不良行为记录名单，在一至三年内禁止参加招标活动；有违法所得的，并处没收违法所得；情节严重的，由工商行政管理机关吊销营业执照；构成犯罪的，依法追究刑事责任：</w:t>
      </w:r>
    </w:p>
    <w:p w14:paraId="41911D6D">
      <w:pPr>
        <w:snapToGrid w:val="0"/>
        <w:ind w:firstLine="480"/>
        <w:rPr>
          <w:rFonts w:hint="eastAsia" w:ascii="宋体" w:hAnsi="宋体" w:eastAsia="宋体" w:cs="宋体"/>
        </w:rPr>
      </w:pPr>
      <w:r>
        <w:rPr>
          <w:rFonts w:hint="eastAsia" w:cs="宋体"/>
          <w:lang w:val="en-US" w:eastAsia="zh-CN"/>
        </w:rPr>
        <w:t>a）</w:t>
      </w:r>
      <w:r>
        <w:rPr>
          <w:rFonts w:hint="eastAsia" w:ascii="宋体" w:hAnsi="宋体" w:eastAsia="宋体" w:cs="宋体"/>
        </w:rPr>
        <w:t>提供虚假材料谋取中标、成交的；</w:t>
      </w:r>
    </w:p>
    <w:p w14:paraId="049CB251">
      <w:pPr>
        <w:snapToGrid w:val="0"/>
        <w:ind w:firstLine="480"/>
        <w:rPr>
          <w:rFonts w:hint="eastAsia" w:ascii="宋体" w:hAnsi="宋体" w:eastAsia="宋体" w:cs="宋体"/>
        </w:rPr>
      </w:pPr>
      <w:r>
        <w:rPr>
          <w:rFonts w:hint="eastAsia" w:cs="宋体"/>
          <w:lang w:val="en-US" w:eastAsia="zh-CN"/>
        </w:rPr>
        <w:t>b）</w:t>
      </w:r>
      <w:r>
        <w:rPr>
          <w:rFonts w:hint="eastAsia" w:ascii="宋体" w:hAnsi="宋体" w:eastAsia="宋体" w:cs="宋体"/>
        </w:rPr>
        <w:t>采取不正当手段诋毁、排挤其他投标人的；</w:t>
      </w:r>
    </w:p>
    <w:p w14:paraId="1EA2930A">
      <w:pPr>
        <w:snapToGrid w:val="0"/>
        <w:ind w:firstLine="480"/>
        <w:rPr>
          <w:rFonts w:hint="eastAsia" w:ascii="宋体" w:hAnsi="宋体" w:eastAsia="宋体" w:cs="宋体"/>
        </w:rPr>
      </w:pPr>
      <w:r>
        <w:rPr>
          <w:rFonts w:hint="eastAsia" w:cs="宋体"/>
          <w:lang w:val="en-US" w:eastAsia="zh-CN"/>
        </w:rPr>
        <w:t>c）</w:t>
      </w:r>
      <w:r>
        <w:rPr>
          <w:rFonts w:hint="eastAsia" w:ascii="宋体" w:hAnsi="宋体" w:eastAsia="宋体" w:cs="宋体"/>
        </w:rPr>
        <w:t>与招标人、其它投标人或者招标代理机构恶意串通的；</w:t>
      </w:r>
    </w:p>
    <w:p w14:paraId="23D2B8B3">
      <w:pPr>
        <w:snapToGrid w:val="0"/>
        <w:ind w:firstLine="480"/>
        <w:rPr>
          <w:rFonts w:hint="eastAsia" w:ascii="宋体" w:hAnsi="宋体" w:eastAsia="宋体" w:cs="宋体"/>
        </w:rPr>
      </w:pPr>
      <w:r>
        <w:rPr>
          <w:rFonts w:hint="eastAsia" w:cs="宋体"/>
          <w:lang w:val="en-US" w:eastAsia="zh-CN"/>
        </w:rPr>
        <w:t>d）</w:t>
      </w:r>
      <w:r>
        <w:rPr>
          <w:rFonts w:hint="eastAsia" w:ascii="宋体" w:hAnsi="宋体" w:eastAsia="宋体" w:cs="宋体"/>
        </w:rPr>
        <w:t>向招标人、招标代理机构行贿或者提供其他不正当利益的；</w:t>
      </w:r>
    </w:p>
    <w:p w14:paraId="0704777C">
      <w:pPr>
        <w:snapToGrid w:val="0"/>
        <w:ind w:firstLine="480"/>
        <w:rPr>
          <w:rFonts w:hint="eastAsia" w:ascii="宋体" w:hAnsi="宋体" w:eastAsia="宋体" w:cs="宋体"/>
        </w:rPr>
      </w:pPr>
      <w:r>
        <w:rPr>
          <w:rFonts w:hint="eastAsia" w:cs="宋体"/>
          <w:lang w:val="en-US" w:eastAsia="zh-CN"/>
        </w:rPr>
        <w:t>e）</w:t>
      </w:r>
      <w:r>
        <w:rPr>
          <w:rFonts w:hint="eastAsia" w:ascii="宋体" w:hAnsi="宋体" w:eastAsia="宋体" w:cs="宋体"/>
        </w:rPr>
        <w:t>在招标过程中与招标人进行协商谈判的；</w:t>
      </w:r>
    </w:p>
    <w:p w14:paraId="4021D649">
      <w:pPr>
        <w:snapToGrid w:val="0"/>
        <w:ind w:firstLine="480"/>
        <w:rPr>
          <w:rFonts w:hint="eastAsia" w:ascii="宋体" w:hAnsi="宋体" w:eastAsia="宋体" w:cs="宋体"/>
        </w:rPr>
      </w:pPr>
      <w:r>
        <w:rPr>
          <w:rFonts w:hint="eastAsia" w:cs="宋体"/>
          <w:lang w:val="en-US" w:eastAsia="zh-CN"/>
        </w:rPr>
        <w:t>f）</w:t>
      </w:r>
      <w:r>
        <w:rPr>
          <w:rFonts w:hint="eastAsia" w:ascii="宋体" w:hAnsi="宋体" w:eastAsia="宋体" w:cs="宋体"/>
        </w:rPr>
        <w:t>拒绝有关部门监督检查或提供虚假情况的。</w:t>
      </w:r>
    </w:p>
    <w:p w14:paraId="29DF336E">
      <w:pPr>
        <w:snapToGrid w:val="0"/>
        <w:ind w:firstLine="480"/>
        <w:rPr>
          <w:rFonts w:hint="eastAsia" w:ascii="宋体" w:hAnsi="宋体" w:eastAsia="宋体" w:cs="宋体"/>
        </w:rPr>
      </w:pPr>
      <w:r>
        <w:rPr>
          <w:rFonts w:hint="eastAsia" w:ascii="宋体" w:hAnsi="宋体" w:eastAsia="宋体" w:cs="宋体"/>
        </w:rPr>
        <w:t>投标人有前款第a</w:t>
      </w:r>
      <w:r>
        <w:rPr>
          <w:rFonts w:hint="eastAsia" w:cs="宋体"/>
          <w:lang w:eastAsia="zh-CN"/>
        </w:rPr>
        <w:t>）</w:t>
      </w:r>
      <w:r>
        <w:rPr>
          <w:rFonts w:hint="eastAsia" w:ascii="宋体" w:hAnsi="宋体" w:eastAsia="宋体" w:cs="宋体"/>
        </w:rPr>
        <w:t>至</w:t>
      </w:r>
      <w:r>
        <w:rPr>
          <w:rFonts w:hint="eastAsia" w:cs="宋体"/>
          <w:lang w:val="en-US" w:eastAsia="zh-CN"/>
        </w:rPr>
        <w:t>f</w:t>
      </w:r>
      <w:r>
        <w:rPr>
          <w:rFonts w:hint="eastAsia" w:cs="宋体"/>
          <w:lang w:eastAsia="zh-CN"/>
        </w:rPr>
        <w:t>）</w:t>
      </w:r>
      <w:r>
        <w:rPr>
          <w:rFonts w:hint="eastAsia" w:ascii="宋体" w:hAnsi="宋体" w:eastAsia="宋体" w:cs="宋体"/>
        </w:rPr>
        <w:t>项情形之一的，中标、成交无效。</w:t>
      </w:r>
    </w:p>
    <w:p w14:paraId="1ABD48AC">
      <w:pPr>
        <w:ind w:firstLine="3600" w:firstLineChars="1500"/>
        <w:rPr>
          <w:rFonts w:hint="eastAsia" w:ascii="宋体" w:hAnsi="宋体" w:eastAsia="宋体" w:cs="宋体"/>
        </w:rPr>
      </w:pPr>
    </w:p>
    <w:p w14:paraId="58F2FD17">
      <w:pPr>
        <w:pStyle w:val="78"/>
        <w:rPr>
          <w:rFonts w:hint="eastAsia" w:ascii="宋体" w:hAnsi="宋体" w:eastAsia="宋体" w:cs="宋体"/>
          <w:color w:val="auto"/>
        </w:rPr>
      </w:pPr>
    </w:p>
    <w:p w14:paraId="272E75F0">
      <w:pPr>
        <w:spacing w:line="480" w:lineRule="auto"/>
        <w:ind w:firstLine="480"/>
        <w:rPr>
          <w:rFonts w:hint="eastAsia" w:ascii="宋体" w:hAnsi="宋体" w:eastAsia="宋体" w:cs="宋体"/>
        </w:rPr>
      </w:pPr>
      <w:r>
        <w:rPr>
          <w:rFonts w:hint="eastAsia" w:ascii="宋体" w:hAnsi="宋体" w:eastAsia="宋体" w:cs="宋体"/>
        </w:rPr>
        <w:t>投标人名称（公章）：</w:t>
      </w:r>
    </w:p>
    <w:p w14:paraId="06FAFBAF">
      <w:pPr>
        <w:spacing w:line="480" w:lineRule="auto"/>
        <w:ind w:firstLine="480"/>
        <w:rPr>
          <w:rFonts w:hint="eastAsia" w:ascii="宋体" w:hAnsi="宋体" w:eastAsia="宋体" w:cs="宋体"/>
        </w:rPr>
      </w:pPr>
      <w:r>
        <w:rPr>
          <w:rFonts w:hint="eastAsia" w:ascii="宋体" w:hAnsi="宋体" w:eastAsia="宋体" w:cs="宋体"/>
        </w:rPr>
        <w:t>法定代表人或其</w:t>
      </w:r>
      <w:r>
        <w:rPr>
          <w:rFonts w:hint="eastAsia" w:cs="宋体"/>
          <w:lang w:eastAsia="zh-CN"/>
        </w:rPr>
        <w:t>授权代表</w:t>
      </w:r>
      <w:r>
        <w:rPr>
          <w:rFonts w:hint="eastAsia" w:ascii="宋体" w:hAnsi="宋体" w:eastAsia="宋体" w:cs="宋体"/>
        </w:rPr>
        <w:t>（签字或盖章）：</w:t>
      </w:r>
    </w:p>
    <w:p w14:paraId="496A4FEA">
      <w:pPr>
        <w:spacing w:line="480" w:lineRule="auto"/>
        <w:ind w:firstLine="480"/>
        <w:rPr>
          <w:rFonts w:hint="eastAsia" w:ascii="宋体" w:hAnsi="宋体" w:eastAsia="宋体" w:cs="宋体"/>
        </w:rPr>
      </w:pPr>
      <w:r>
        <w:rPr>
          <w:rFonts w:hint="eastAsia" w:ascii="宋体" w:hAnsi="宋体" w:eastAsia="宋体" w:cs="宋体"/>
        </w:rPr>
        <w:t>日期：  年   月   日</w:t>
      </w:r>
    </w:p>
    <w:p w14:paraId="33708DAE">
      <w:pPr>
        <w:pStyle w:val="5"/>
        <w:rPr>
          <w:rFonts w:hint="eastAsia" w:ascii="宋体" w:hAnsi="宋体" w:eastAsia="宋体" w:cs="宋体"/>
          <w:szCs w:val="24"/>
        </w:rPr>
      </w:pPr>
    </w:p>
    <w:p w14:paraId="552C0252">
      <w:pPr>
        <w:bidi w:val="0"/>
        <w:rPr>
          <w:rFonts w:hint="eastAsia"/>
        </w:rPr>
      </w:pPr>
    </w:p>
    <w:p w14:paraId="68777C65">
      <w:pPr>
        <w:bidi w:val="0"/>
        <w:rPr>
          <w:rFonts w:hint="eastAsia"/>
        </w:rPr>
      </w:pPr>
    </w:p>
    <w:p w14:paraId="1CCE3D78">
      <w:pPr>
        <w:bidi w:val="0"/>
        <w:rPr>
          <w:rFonts w:hint="eastAsia"/>
        </w:rPr>
      </w:pPr>
      <w:r>
        <w:rPr>
          <w:rFonts w:hint="eastAsia" w:ascii="宋体" w:hAnsi="宋体" w:eastAsia="宋体" w:cs="宋体"/>
          <w:b/>
          <w:bCs/>
          <w:lang w:val="zh-CN"/>
        </w:rPr>
        <w:t>注：未按照本投标响应函要求填报的将被视为非实质性响应投标，从而可能导致该投标被拒绝。</w:t>
      </w:r>
    </w:p>
    <w:p w14:paraId="25853F8D">
      <w:pPr>
        <w:tabs>
          <w:tab w:val="left" w:pos="545"/>
        </w:tabs>
        <w:bidi w:val="0"/>
        <w:jc w:val="left"/>
        <w:rPr>
          <w:rFonts w:hint="eastAsia" w:eastAsia="宋体"/>
          <w:lang w:eastAsia="zh-CN"/>
        </w:rPr>
        <w:sectPr>
          <w:pgSz w:w="11906" w:h="16838"/>
          <w:pgMar w:top="1440" w:right="1304" w:bottom="1020" w:left="1304" w:header="851" w:footer="992" w:gutter="0"/>
          <w:pgNumType w:fmt="decimal"/>
          <w:cols w:space="720" w:num="1"/>
          <w:docGrid w:type="lines" w:linePitch="312" w:charSpace="0"/>
        </w:sectPr>
      </w:pPr>
      <w:r>
        <w:rPr>
          <w:rFonts w:hint="eastAsia"/>
          <w:lang w:eastAsia="zh-CN"/>
        </w:rPr>
        <w:tab/>
      </w:r>
    </w:p>
    <w:p w14:paraId="60570567">
      <w:pPr>
        <w:pStyle w:val="5"/>
        <w:spacing w:line="240" w:lineRule="auto"/>
        <w:rPr>
          <w:rFonts w:hint="eastAsia" w:ascii="宋体" w:hAnsi="宋体" w:eastAsia="宋体" w:cs="宋体"/>
          <w:szCs w:val="24"/>
          <w:lang w:eastAsia="zh-CN"/>
        </w:rPr>
      </w:pPr>
      <w:r>
        <w:rPr>
          <w:rFonts w:hint="eastAsia" w:ascii="宋体" w:hAnsi="宋体" w:eastAsia="宋体" w:cs="宋体"/>
          <w:szCs w:val="24"/>
        </w:rPr>
        <w:t>附件</w:t>
      </w:r>
      <w:r>
        <w:rPr>
          <w:rFonts w:hint="eastAsia" w:ascii="宋体" w:hAnsi="宋体" w:eastAsia="宋体" w:cs="宋体"/>
          <w:szCs w:val="24"/>
          <w:lang w:eastAsia="zh-CN"/>
        </w:rPr>
        <w:t>十</w:t>
      </w:r>
      <w:r>
        <w:rPr>
          <w:rFonts w:hint="eastAsia" w:cs="宋体"/>
          <w:szCs w:val="24"/>
          <w:lang w:eastAsia="zh-CN"/>
        </w:rPr>
        <w:t>二</w:t>
      </w:r>
    </w:p>
    <w:p w14:paraId="54278F7D">
      <w:pPr>
        <w:pStyle w:val="179"/>
        <w:keepNext w:val="0"/>
        <w:pageBreakBefore w:val="0"/>
        <w:tabs>
          <w:tab w:val="clear" w:pos="720"/>
        </w:tabs>
        <w:spacing w:line="460" w:lineRule="exact"/>
        <w:ind w:firstLine="3935" w:firstLineChars="1400"/>
        <w:jc w:val="both"/>
        <w:outlineLvl w:val="9"/>
        <w:rPr>
          <w:rFonts w:hint="eastAsia" w:ascii="宋体" w:hAnsi="宋体" w:eastAsia="宋体" w:cs="宋体"/>
          <w:bCs/>
          <w:kern w:val="2"/>
          <w:sz w:val="28"/>
          <w:szCs w:val="28"/>
        </w:rPr>
      </w:pPr>
      <w:r>
        <w:rPr>
          <w:rFonts w:hint="eastAsia" w:ascii="宋体" w:hAnsi="宋体" w:eastAsia="宋体" w:cs="宋体"/>
          <w:bCs/>
          <w:kern w:val="2"/>
          <w:sz w:val="28"/>
          <w:szCs w:val="28"/>
        </w:rPr>
        <w:t>开标一览表</w:t>
      </w:r>
    </w:p>
    <w:p w14:paraId="47556521">
      <w:pPr>
        <w:spacing w:line="360" w:lineRule="auto"/>
        <w:ind w:firstLine="0" w:firstLineChars="0"/>
        <w:rPr>
          <w:rFonts w:hint="eastAsia" w:ascii="宋体" w:hAnsi="宋体" w:eastAsia="宋体" w:cs="宋体"/>
        </w:rPr>
      </w:pPr>
      <w:r>
        <w:rPr>
          <w:rFonts w:hint="eastAsia" w:ascii="宋体" w:hAnsi="宋体" w:eastAsia="宋体" w:cs="宋体"/>
        </w:rPr>
        <w:t>致：</w:t>
      </w:r>
      <w:r>
        <w:rPr>
          <w:rFonts w:hint="eastAsia" w:cs="宋体"/>
          <w:u w:val="single"/>
          <w:lang w:eastAsia="zh-CN"/>
        </w:rPr>
        <w:t>（招标人）（代理机构）</w:t>
      </w:r>
      <w:r>
        <w:rPr>
          <w:rFonts w:hint="eastAsia" w:ascii="宋体" w:hAnsi="宋体" w:eastAsia="宋体" w:cs="宋体"/>
        </w:rPr>
        <w:t xml:space="preserve"> </w:t>
      </w:r>
    </w:p>
    <w:p w14:paraId="1189602E">
      <w:pPr>
        <w:pStyle w:val="179"/>
        <w:keepNext w:val="0"/>
        <w:pageBreakBefore w:val="0"/>
        <w:tabs>
          <w:tab w:val="clear" w:pos="720"/>
        </w:tabs>
        <w:spacing w:line="360" w:lineRule="auto"/>
        <w:ind w:firstLine="480"/>
        <w:jc w:val="both"/>
        <w:outlineLvl w:val="9"/>
        <w:rPr>
          <w:rFonts w:hint="eastAsia" w:ascii="宋体" w:hAnsi="宋体" w:eastAsia="宋体" w:cs="宋体"/>
          <w:b w:val="0"/>
          <w:kern w:val="0"/>
          <w:sz w:val="24"/>
          <w:lang w:val="zh-CN"/>
        </w:rPr>
      </w:pPr>
      <w:r>
        <w:rPr>
          <w:rFonts w:hint="eastAsia" w:ascii="宋体" w:hAnsi="宋体" w:eastAsia="宋体" w:cs="宋体"/>
          <w:b w:val="0"/>
          <w:kern w:val="0"/>
          <w:sz w:val="24"/>
          <w:lang w:val="zh-CN"/>
        </w:rPr>
        <w:t>按招标文件要求，我方（</w:t>
      </w:r>
      <w:r>
        <w:rPr>
          <w:rFonts w:hint="eastAsia" w:ascii="宋体" w:hAnsi="宋体" w:eastAsia="宋体" w:cs="宋体"/>
          <w:b w:val="0"/>
          <w:kern w:val="0"/>
          <w:sz w:val="24"/>
        </w:rPr>
        <w:t>投标人</w:t>
      </w:r>
      <w:r>
        <w:rPr>
          <w:rFonts w:hint="eastAsia" w:ascii="宋体" w:hAnsi="宋体" w:eastAsia="宋体" w:cs="宋体"/>
          <w:b w:val="0"/>
          <w:kern w:val="0"/>
          <w:sz w:val="24"/>
          <w:lang w:val="zh-CN"/>
        </w:rPr>
        <w:t>）承诺按照如下开标一览表的价格完成[</w:t>
      </w:r>
      <w:r>
        <w:rPr>
          <w:rFonts w:hint="eastAsia" w:ascii="宋体" w:hAnsi="宋体" w:eastAsia="宋体" w:cs="宋体"/>
          <w:b w:val="0"/>
          <w:kern w:val="0"/>
          <w:sz w:val="24"/>
        </w:rPr>
        <w:t>项目</w:t>
      </w:r>
      <w:r>
        <w:rPr>
          <w:rFonts w:hint="eastAsia" w:ascii="宋体" w:hAnsi="宋体" w:eastAsia="宋体" w:cs="宋体"/>
          <w:b w:val="0"/>
          <w:kern w:val="0"/>
          <w:sz w:val="24"/>
          <w:lang w:val="zh-CN"/>
        </w:rPr>
        <w:t>编号：</w:t>
      </w:r>
      <w:r>
        <w:rPr>
          <w:rFonts w:hint="eastAsia" w:ascii="宋体" w:hAnsi="宋体" w:eastAsia="宋体" w:cs="宋体"/>
          <w:b w:val="0"/>
          <w:kern w:val="0"/>
          <w:sz w:val="24"/>
          <w:u w:val="single"/>
        </w:rPr>
        <w:t xml:space="preserve">       </w:t>
      </w:r>
      <w:r>
        <w:rPr>
          <w:rFonts w:hint="eastAsia" w:ascii="宋体" w:hAnsi="宋体" w:eastAsia="宋体" w:cs="宋体"/>
          <w:b w:val="0"/>
          <w:kern w:val="0"/>
          <w:sz w:val="24"/>
          <w:lang w:val="zh-CN"/>
        </w:rPr>
        <w:t>][项目名称：</w:t>
      </w:r>
      <w:r>
        <w:rPr>
          <w:rFonts w:hint="eastAsia" w:ascii="宋体" w:hAnsi="宋体" w:eastAsia="宋体" w:cs="宋体"/>
          <w:b w:val="0"/>
          <w:sz w:val="24"/>
          <w:u w:val="single"/>
        </w:rPr>
        <w:t xml:space="preserve">      </w:t>
      </w:r>
      <w:r>
        <w:rPr>
          <w:rFonts w:hint="eastAsia" w:ascii="宋体" w:hAnsi="宋体" w:eastAsia="宋体" w:cs="宋体"/>
          <w:b w:val="0"/>
          <w:kern w:val="0"/>
          <w:sz w:val="24"/>
          <w:lang w:val="zh-CN"/>
        </w:rPr>
        <w:t>]的</w:t>
      </w:r>
      <w:r>
        <w:rPr>
          <w:rFonts w:hint="eastAsia" w:ascii="宋体" w:hAnsi="宋体" w:eastAsia="宋体" w:cs="宋体"/>
          <w:b w:val="0"/>
          <w:kern w:val="0"/>
          <w:sz w:val="24"/>
        </w:rPr>
        <w:t>内容</w:t>
      </w:r>
      <w:r>
        <w:rPr>
          <w:rFonts w:hint="eastAsia" w:ascii="宋体" w:hAnsi="宋体" w:eastAsia="宋体" w:cs="宋体"/>
          <w:b w:val="0"/>
          <w:kern w:val="0"/>
          <w:sz w:val="24"/>
          <w:lang w:val="zh-CN"/>
        </w:rPr>
        <w:t>实施。</w:t>
      </w:r>
    </w:p>
    <w:tbl>
      <w:tblPr>
        <w:tblStyle w:val="45"/>
        <w:tblW w:w="9640"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30"/>
        <w:gridCol w:w="4152"/>
        <w:gridCol w:w="4458"/>
      </w:tblGrid>
      <w:tr w14:paraId="2FC3EE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1030" w:type="dxa"/>
            <w:tcBorders>
              <w:top w:val="single" w:color="auto" w:sz="4" w:space="0"/>
              <w:left w:val="single" w:color="auto" w:sz="4" w:space="0"/>
              <w:bottom w:val="single" w:color="auto" w:sz="4" w:space="0"/>
              <w:right w:val="single" w:color="auto" w:sz="4" w:space="0"/>
            </w:tcBorders>
            <w:vAlign w:val="center"/>
          </w:tcPr>
          <w:p w14:paraId="3AD2377E">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0" w:firstLineChars="0"/>
              <w:jc w:val="center"/>
              <w:textAlignment w:val="auto"/>
              <w:rPr>
                <w:rFonts w:hint="eastAsia" w:ascii="宋体" w:hAnsi="宋体" w:eastAsia="宋体" w:cs="宋体"/>
                <w:b/>
                <w:bCs/>
                <w:spacing w:val="-6"/>
                <w:u w:val="single"/>
                <w:lang w:eastAsia="zh-CN"/>
              </w:rPr>
            </w:pPr>
            <w:r>
              <w:rPr>
                <w:rFonts w:hint="eastAsia" w:cs="宋体"/>
                <w:b/>
                <w:bCs/>
                <w:spacing w:val="-6"/>
                <w:u w:val="none"/>
                <w:lang w:eastAsia="zh-CN"/>
              </w:rPr>
              <w:t>标项</w:t>
            </w:r>
          </w:p>
        </w:tc>
        <w:tc>
          <w:tcPr>
            <w:tcW w:w="4152" w:type="dxa"/>
            <w:tcBorders>
              <w:top w:val="single" w:color="auto" w:sz="4" w:space="0"/>
              <w:left w:val="single" w:color="auto" w:sz="4" w:space="0"/>
              <w:bottom w:val="single" w:color="auto" w:sz="4" w:space="0"/>
              <w:right w:val="single" w:color="auto" w:sz="4" w:space="0"/>
            </w:tcBorders>
            <w:vAlign w:val="center"/>
          </w:tcPr>
          <w:p w14:paraId="59955AE0">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0" w:firstLineChars="0"/>
              <w:jc w:val="center"/>
              <w:textAlignment w:val="auto"/>
              <w:rPr>
                <w:rFonts w:hint="eastAsia" w:ascii="宋体" w:hAnsi="宋体" w:eastAsia="宋体" w:cs="宋体"/>
                <w:b/>
                <w:bCs/>
                <w:spacing w:val="-6"/>
                <w:u w:val="single"/>
                <w:lang w:eastAsia="zh-CN"/>
              </w:rPr>
            </w:pPr>
            <w:r>
              <w:rPr>
                <w:rFonts w:hint="eastAsia" w:cs="宋体"/>
                <w:b/>
                <w:bCs/>
                <w:spacing w:val="-6"/>
                <w:u w:val="none"/>
                <w:lang w:eastAsia="zh-CN"/>
              </w:rPr>
              <w:t>标项名称</w:t>
            </w:r>
          </w:p>
        </w:tc>
        <w:tc>
          <w:tcPr>
            <w:tcW w:w="4458" w:type="dxa"/>
            <w:tcBorders>
              <w:top w:val="single" w:color="auto" w:sz="4" w:space="0"/>
              <w:left w:val="single" w:color="auto" w:sz="4" w:space="0"/>
              <w:bottom w:val="single" w:color="auto" w:sz="4" w:space="0"/>
              <w:right w:val="single" w:color="auto" w:sz="4" w:space="0"/>
            </w:tcBorders>
            <w:vAlign w:val="center"/>
          </w:tcPr>
          <w:p w14:paraId="0E3B5A45">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0" w:firstLineChars="0"/>
              <w:jc w:val="center"/>
              <w:textAlignment w:val="auto"/>
              <w:rPr>
                <w:rFonts w:hint="eastAsia" w:ascii="宋体" w:hAnsi="宋体" w:eastAsia="宋体" w:cs="宋体"/>
                <w:b/>
                <w:bCs/>
                <w:spacing w:val="-6"/>
                <w:u w:val="single"/>
                <w:lang w:eastAsia="zh-CN"/>
              </w:rPr>
            </w:pPr>
            <w:r>
              <w:rPr>
                <w:rFonts w:hint="eastAsia" w:cs="宋体"/>
                <w:b/>
                <w:bCs/>
                <w:spacing w:val="-6"/>
                <w:u w:val="none"/>
                <w:lang w:eastAsia="zh-CN"/>
              </w:rPr>
              <w:t>投标总报价</w:t>
            </w:r>
          </w:p>
        </w:tc>
      </w:tr>
      <w:tr w14:paraId="231CF4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2" w:hRule="atLeast"/>
        </w:trPr>
        <w:tc>
          <w:tcPr>
            <w:tcW w:w="1030" w:type="dxa"/>
            <w:tcBorders>
              <w:top w:val="single" w:color="auto" w:sz="4" w:space="0"/>
              <w:left w:val="single" w:color="auto" w:sz="4" w:space="0"/>
              <w:bottom w:val="single" w:color="auto" w:sz="4" w:space="0"/>
              <w:right w:val="single" w:color="auto" w:sz="4" w:space="0"/>
            </w:tcBorders>
            <w:vAlign w:val="center"/>
          </w:tcPr>
          <w:p w14:paraId="72ED89F9">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rPr>
                <w:rFonts w:hint="eastAsia" w:ascii="宋体" w:hAnsi="宋体" w:eastAsia="宋体" w:cs="宋体"/>
                <w:b/>
                <w:spacing w:val="-6"/>
                <w:lang w:eastAsia="zh-CN"/>
              </w:rPr>
            </w:pPr>
            <w:r>
              <w:rPr>
                <w:rFonts w:hint="eastAsia" w:cs="宋体"/>
                <w:b w:val="0"/>
                <w:bCs/>
                <w:spacing w:val="-6"/>
                <w:lang w:eastAsia="zh-CN"/>
              </w:rPr>
              <w:t>标项一</w:t>
            </w:r>
          </w:p>
        </w:tc>
        <w:tc>
          <w:tcPr>
            <w:tcW w:w="4152" w:type="dxa"/>
            <w:tcBorders>
              <w:top w:val="single" w:color="auto" w:sz="4" w:space="0"/>
              <w:left w:val="single" w:color="auto" w:sz="4" w:space="0"/>
              <w:bottom w:val="single" w:color="auto" w:sz="4" w:space="0"/>
              <w:right w:val="single" w:color="auto" w:sz="4" w:space="0"/>
            </w:tcBorders>
            <w:vAlign w:val="center"/>
          </w:tcPr>
          <w:p w14:paraId="74F2E3AE">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rPr>
                <w:rFonts w:hint="eastAsia" w:cs="宋体"/>
                <w:b w:val="0"/>
                <w:bCs/>
                <w:color w:val="auto"/>
                <w:kern w:val="0"/>
                <w:sz w:val="24"/>
                <w:szCs w:val="24"/>
                <w:lang w:val="en-US" w:eastAsia="zh-CN" w:bidi="ar-SA"/>
              </w:rPr>
            </w:pPr>
            <w:r>
              <w:rPr>
                <w:rFonts w:hint="eastAsia" w:cs="宋体"/>
                <w:b w:val="0"/>
                <w:bCs/>
                <w:color w:val="auto"/>
                <w:kern w:val="0"/>
                <w:sz w:val="24"/>
                <w:szCs w:val="24"/>
                <w:lang w:val="en-US" w:eastAsia="zh-CN" w:bidi="ar-SA"/>
              </w:rPr>
              <w:t>篮球、乒乓球、排球、网球、</w:t>
            </w:r>
          </w:p>
          <w:p w14:paraId="21981AA1">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rPr>
                <w:rFonts w:hint="eastAsia" w:ascii="宋体" w:hAnsi="宋体" w:eastAsia="宋体" w:cs="宋体"/>
                <w:b/>
                <w:spacing w:val="-6"/>
              </w:rPr>
            </w:pPr>
            <w:r>
              <w:rPr>
                <w:rFonts w:hint="eastAsia" w:cs="宋体"/>
                <w:b w:val="0"/>
                <w:bCs/>
                <w:color w:val="auto"/>
                <w:kern w:val="0"/>
                <w:sz w:val="24"/>
                <w:szCs w:val="24"/>
                <w:lang w:val="en-US" w:eastAsia="zh-CN" w:bidi="ar-SA"/>
              </w:rPr>
              <w:t>羽毛球馆设备</w:t>
            </w:r>
          </w:p>
        </w:tc>
        <w:tc>
          <w:tcPr>
            <w:tcW w:w="4458" w:type="dxa"/>
            <w:tcBorders>
              <w:top w:val="single" w:color="auto" w:sz="4" w:space="0"/>
              <w:left w:val="single" w:color="auto" w:sz="4" w:space="0"/>
              <w:bottom w:val="single" w:color="auto" w:sz="4" w:space="0"/>
              <w:right w:val="single" w:color="auto" w:sz="4" w:space="0"/>
            </w:tcBorders>
            <w:vAlign w:val="center"/>
          </w:tcPr>
          <w:p w14:paraId="4BBF85F2">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eastAsia="宋体"/>
                <w:lang w:val="en-US" w:eastAsia="zh-CN"/>
              </w:rPr>
            </w:pPr>
            <w:r>
              <w:rPr>
                <w:rFonts w:hint="eastAsia"/>
                <w:lang w:val="en-US" w:eastAsia="zh-CN"/>
              </w:rPr>
              <w:t>金额（小写）：</w:t>
            </w:r>
          </w:p>
          <w:p w14:paraId="44414880">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lang w:val="en-US" w:eastAsia="zh-CN"/>
              </w:rPr>
            </w:pPr>
            <w:r>
              <w:rPr>
                <w:rFonts w:hint="eastAsia"/>
                <w:lang w:val="en-US" w:eastAsia="zh-CN"/>
              </w:rPr>
              <w:t>（大写）：</w:t>
            </w:r>
          </w:p>
        </w:tc>
      </w:tr>
      <w:tr w14:paraId="6A25EC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9640" w:type="dxa"/>
            <w:gridSpan w:val="3"/>
            <w:tcBorders>
              <w:top w:val="single" w:color="auto" w:sz="4" w:space="0"/>
              <w:left w:val="single" w:color="auto" w:sz="4" w:space="0"/>
              <w:bottom w:val="single" w:color="auto" w:sz="4" w:space="0"/>
              <w:right w:val="single" w:color="auto" w:sz="4" w:space="0"/>
            </w:tcBorders>
            <w:vAlign w:val="center"/>
          </w:tcPr>
          <w:p w14:paraId="0903B0C8">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rPr>
                <w:rFonts w:hint="eastAsia" w:eastAsia="宋体"/>
                <w:lang w:eastAsia="zh-CN"/>
              </w:rPr>
            </w:pPr>
            <w:r>
              <w:rPr>
                <w:rFonts w:hint="eastAsia"/>
                <w:lang w:eastAsia="zh-CN"/>
              </w:rPr>
              <w:t>交货期限：</w:t>
            </w:r>
          </w:p>
        </w:tc>
      </w:tr>
    </w:tbl>
    <w:p w14:paraId="03153CD0">
      <w:pPr>
        <w:ind w:left="0" w:leftChars="0" w:firstLine="0" w:firstLineChars="0"/>
        <w:jc w:val="both"/>
        <w:rPr>
          <w:rFonts w:hint="eastAsia" w:ascii="宋体" w:hAnsi="宋体" w:eastAsia="宋体" w:cs="宋体"/>
          <w:b/>
          <w:kern w:val="0"/>
        </w:rPr>
      </w:pPr>
    </w:p>
    <w:tbl>
      <w:tblPr>
        <w:tblStyle w:val="45"/>
        <w:tblW w:w="9640"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30"/>
        <w:gridCol w:w="4165"/>
        <w:gridCol w:w="4445"/>
      </w:tblGrid>
      <w:tr w14:paraId="1EB748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1030" w:type="dxa"/>
            <w:tcBorders>
              <w:top w:val="single" w:color="auto" w:sz="4" w:space="0"/>
              <w:left w:val="single" w:color="auto" w:sz="4" w:space="0"/>
              <w:bottom w:val="single" w:color="auto" w:sz="4" w:space="0"/>
              <w:right w:val="single" w:color="auto" w:sz="4" w:space="0"/>
            </w:tcBorders>
            <w:vAlign w:val="center"/>
          </w:tcPr>
          <w:p w14:paraId="4FC9B9F0">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0" w:firstLineChars="0"/>
              <w:jc w:val="center"/>
              <w:textAlignment w:val="auto"/>
              <w:rPr>
                <w:rFonts w:hint="eastAsia" w:ascii="宋体" w:hAnsi="宋体" w:eastAsia="宋体" w:cs="宋体"/>
                <w:b/>
                <w:bCs/>
                <w:spacing w:val="-6"/>
                <w:u w:val="single"/>
                <w:lang w:eastAsia="zh-CN"/>
              </w:rPr>
            </w:pPr>
            <w:r>
              <w:rPr>
                <w:rFonts w:hint="eastAsia" w:cs="宋体"/>
                <w:b/>
                <w:bCs/>
                <w:spacing w:val="-6"/>
                <w:u w:val="none"/>
                <w:lang w:eastAsia="zh-CN"/>
              </w:rPr>
              <w:t>标项</w:t>
            </w:r>
          </w:p>
        </w:tc>
        <w:tc>
          <w:tcPr>
            <w:tcW w:w="4165" w:type="dxa"/>
            <w:tcBorders>
              <w:top w:val="single" w:color="auto" w:sz="4" w:space="0"/>
              <w:left w:val="single" w:color="auto" w:sz="4" w:space="0"/>
              <w:bottom w:val="single" w:color="auto" w:sz="4" w:space="0"/>
              <w:right w:val="single" w:color="auto" w:sz="4" w:space="0"/>
            </w:tcBorders>
            <w:vAlign w:val="center"/>
          </w:tcPr>
          <w:p w14:paraId="331DB0F8">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0" w:firstLineChars="0"/>
              <w:jc w:val="center"/>
              <w:textAlignment w:val="auto"/>
              <w:rPr>
                <w:rFonts w:hint="eastAsia" w:ascii="宋体" w:hAnsi="宋体" w:eastAsia="宋体" w:cs="宋体"/>
                <w:b/>
                <w:bCs/>
                <w:spacing w:val="-6"/>
                <w:u w:val="single"/>
                <w:lang w:eastAsia="zh-CN"/>
              </w:rPr>
            </w:pPr>
            <w:r>
              <w:rPr>
                <w:rFonts w:hint="eastAsia" w:cs="宋体"/>
                <w:b/>
                <w:bCs/>
                <w:spacing w:val="-6"/>
                <w:u w:val="none"/>
                <w:lang w:eastAsia="zh-CN"/>
              </w:rPr>
              <w:t>标项名称</w:t>
            </w:r>
          </w:p>
        </w:tc>
        <w:tc>
          <w:tcPr>
            <w:tcW w:w="4445" w:type="dxa"/>
            <w:tcBorders>
              <w:top w:val="single" w:color="auto" w:sz="4" w:space="0"/>
              <w:left w:val="single" w:color="auto" w:sz="4" w:space="0"/>
              <w:bottom w:val="single" w:color="auto" w:sz="4" w:space="0"/>
              <w:right w:val="single" w:color="auto" w:sz="4" w:space="0"/>
            </w:tcBorders>
            <w:vAlign w:val="center"/>
          </w:tcPr>
          <w:p w14:paraId="4DD03F1D">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0" w:firstLineChars="0"/>
              <w:jc w:val="center"/>
              <w:textAlignment w:val="auto"/>
              <w:rPr>
                <w:rFonts w:hint="eastAsia" w:ascii="宋体" w:hAnsi="宋体" w:eastAsia="宋体" w:cs="宋体"/>
                <w:b/>
                <w:bCs/>
                <w:spacing w:val="-6"/>
                <w:u w:val="single"/>
                <w:lang w:eastAsia="zh-CN"/>
              </w:rPr>
            </w:pPr>
            <w:r>
              <w:rPr>
                <w:rFonts w:hint="eastAsia" w:cs="宋体"/>
                <w:b/>
                <w:bCs/>
                <w:spacing w:val="-6"/>
                <w:u w:val="none"/>
                <w:lang w:eastAsia="zh-CN"/>
              </w:rPr>
              <w:t>投标总报价</w:t>
            </w:r>
          </w:p>
        </w:tc>
      </w:tr>
      <w:tr w14:paraId="1E59AF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2" w:hRule="atLeast"/>
        </w:trPr>
        <w:tc>
          <w:tcPr>
            <w:tcW w:w="1030" w:type="dxa"/>
            <w:tcBorders>
              <w:top w:val="single" w:color="auto" w:sz="4" w:space="0"/>
              <w:left w:val="single" w:color="auto" w:sz="4" w:space="0"/>
              <w:bottom w:val="single" w:color="auto" w:sz="4" w:space="0"/>
              <w:right w:val="single" w:color="auto" w:sz="4" w:space="0"/>
            </w:tcBorders>
            <w:vAlign w:val="center"/>
          </w:tcPr>
          <w:p w14:paraId="1578C05A">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rPr>
                <w:rFonts w:hint="eastAsia" w:ascii="宋体" w:hAnsi="宋体" w:eastAsia="宋体" w:cs="宋体"/>
                <w:b/>
                <w:spacing w:val="-6"/>
                <w:lang w:eastAsia="zh-CN"/>
              </w:rPr>
            </w:pPr>
            <w:r>
              <w:rPr>
                <w:rFonts w:hint="eastAsia" w:cs="宋体"/>
                <w:b w:val="0"/>
                <w:bCs/>
                <w:spacing w:val="-6"/>
                <w:lang w:eastAsia="zh-CN"/>
              </w:rPr>
              <w:t>标项二</w:t>
            </w:r>
          </w:p>
        </w:tc>
        <w:tc>
          <w:tcPr>
            <w:tcW w:w="4165" w:type="dxa"/>
            <w:tcBorders>
              <w:top w:val="single" w:color="auto" w:sz="4" w:space="0"/>
              <w:left w:val="single" w:color="auto" w:sz="4" w:space="0"/>
              <w:bottom w:val="single" w:color="auto" w:sz="4" w:space="0"/>
              <w:right w:val="single" w:color="auto" w:sz="4" w:space="0"/>
            </w:tcBorders>
            <w:vAlign w:val="center"/>
          </w:tcPr>
          <w:p w14:paraId="251A39BB">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rPr>
                <w:rFonts w:hint="eastAsia" w:ascii="宋体" w:hAnsi="宋体" w:eastAsia="宋体" w:cs="宋体"/>
                <w:b/>
                <w:spacing w:val="-6"/>
              </w:rPr>
            </w:pPr>
            <w:r>
              <w:rPr>
                <w:rFonts w:hint="eastAsia" w:ascii="宋体" w:hAnsi="宋体" w:eastAsia="宋体" w:cs="宋体"/>
                <w:b w:val="0"/>
                <w:bCs/>
                <w:color w:val="auto"/>
                <w:kern w:val="0"/>
                <w:sz w:val="24"/>
                <w:szCs w:val="24"/>
                <w:lang w:val="en-US" w:eastAsia="zh-CN" w:bidi="ar-SA"/>
              </w:rPr>
              <w:t>瑜伽馆、武术馆、跆拳道馆、体操馆、健美操馆、力量馆与职工之家设备</w:t>
            </w:r>
          </w:p>
        </w:tc>
        <w:tc>
          <w:tcPr>
            <w:tcW w:w="4445" w:type="dxa"/>
            <w:tcBorders>
              <w:top w:val="single" w:color="auto" w:sz="4" w:space="0"/>
              <w:left w:val="single" w:color="auto" w:sz="4" w:space="0"/>
              <w:bottom w:val="single" w:color="auto" w:sz="4" w:space="0"/>
              <w:right w:val="single" w:color="auto" w:sz="4" w:space="0"/>
            </w:tcBorders>
            <w:vAlign w:val="center"/>
          </w:tcPr>
          <w:p w14:paraId="530161EE">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eastAsia="宋体"/>
                <w:lang w:val="en-US" w:eastAsia="zh-CN"/>
              </w:rPr>
            </w:pPr>
            <w:r>
              <w:rPr>
                <w:rFonts w:hint="eastAsia"/>
                <w:lang w:val="en-US" w:eastAsia="zh-CN"/>
              </w:rPr>
              <w:t>金额（小写）：</w:t>
            </w:r>
          </w:p>
          <w:p w14:paraId="4859FA35">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lang w:val="en-US" w:eastAsia="zh-CN"/>
              </w:rPr>
            </w:pPr>
            <w:r>
              <w:rPr>
                <w:rFonts w:hint="eastAsia"/>
                <w:lang w:val="en-US" w:eastAsia="zh-CN"/>
              </w:rPr>
              <w:t>（大写）：</w:t>
            </w:r>
          </w:p>
        </w:tc>
      </w:tr>
      <w:tr w14:paraId="338029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9640" w:type="dxa"/>
            <w:gridSpan w:val="3"/>
            <w:tcBorders>
              <w:top w:val="single" w:color="auto" w:sz="4" w:space="0"/>
              <w:left w:val="single" w:color="auto" w:sz="4" w:space="0"/>
              <w:bottom w:val="single" w:color="auto" w:sz="4" w:space="0"/>
              <w:right w:val="single" w:color="auto" w:sz="4" w:space="0"/>
            </w:tcBorders>
            <w:vAlign w:val="center"/>
          </w:tcPr>
          <w:p w14:paraId="797CA3E7">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rPr>
                <w:rFonts w:hint="eastAsia" w:eastAsia="宋体"/>
                <w:lang w:eastAsia="zh-CN"/>
              </w:rPr>
            </w:pPr>
            <w:r>
              <w:rPr>
                <w:rFonts w:hint="eastAsia"/>
                <w:lang w:eastAsia="zh-CN"/>
              </w:rPr>
              <w:t>交货期限：</w:t>
            </w:r>
          </w:p>
        </w:tc>
      </w:tr>
    </w:tbl>
    <w:p w14:paraId="25358EB7">
      <w:pPr>
        <w:bidi w:val="0"/>
        <w:rPr>
          <w:rFonts w:hint="eastAsia"/>
        </w:rPr>
      </w:pPr>
    </w:p>
    <w:tbl>
      <w:tblPr>
        <w:tblStyle w:val="45"/>
        <w:tblW w:w="9640"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30"/>
        <w:gridCol w:w="4165"/>
        <w:gridCol w:w="4445"/>
      </w:tblGrid>
      <w:tr w14:paraId="784D8F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1030" w:type="dxa"/>
            <w:tcBorders>
              <w:top w:val="single" w:color="auto" w:sz="4" w:space="0"/>
              <w:left w:val="single" w:color="auto" w:sz="4" w:space="0"/>
              <w:bottom w:val="single" w:color="auto" w:sz="4" w:space="0"/>
              <w:right w:val="single" w:color="auto" w:sz="4" w:space="0"/>
            </w:tcBorders>
            <w:vAlign w:val="center"/>
          </w:tcPr>
          <w:p w14:paraId="2010F1A9">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0" w:firstLineChars="0"/>
              <w:jc w:val="center"/>
              <w:textAlignment w:val="auto"/>
              <w:rPr>
                <w:rFonts w:hint="eastAsia" w:ascii="宋体" w:hAnsi="宋体" w:eastAsia="宋体" w:cs="宋体"/>
                <w:b/>
                <w:bCs/>
                <w:spacing w:val="-6"/>
                <w:u w:val="single"/>
                <w:lang w:eastAsia="zh-CN"/>
              </w:rPr>
            </w:pPr>
            <w:r>
              <w:rPr>
                <w:rFonts w:hint="eastAsia" w:cs="宋体"/>
                <w:b/>
                <w:bCs/>
                <w:spacing w:val="-6"/>
                <w:u w:val="none"/>
                <w:lang w:eastAsia="zh-CN"/>
              </w:rPr>
              <w:t>标项</w:t>
            </w:r>
          </w:p>
        </w:tc>
        <w:tc>
          <w:tcPr>
            <w:tcW w:w="4165" w:type="dxa"/>
            <w:tcBorders>
              <w:top w:val="single" w:color="auto" w:sz="4" w:space="0"/>
              <w:left w:val="single" w:color="auto" w:sz="4" w:space="0"/>
              <w:bottom w:val="single" w:color="auto" w:sz="4" w:space="0"/>
              <w:right w:val="single" w:color="auto" w:sz="4" w:space="0"/>
            </w:tcBorders>
            <w:vAlign w:val="center"/>
          </w:tcPr>
          <w:p w14:paraId="6B46818E">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0" w:firstLineChars="0"/>
              <w:jc w:val="center"/>
              <w:textAlignment w:val="auto"/>
              <w:rPr>
                <w:rFonts w:hint="eastAsia" w:ascii="宋体" w:hAnsi="宋体" w:eastAsia="宋体" w:cs="宋体"/>
                <w:b/>
                <w:bCs/>
                <w:spacing w:val="-6"/>
                <w:u w:val="single"/>
                <w:lang w:eastAsia="zh-CN"/>
              </w:rPr>
            </w:pPr>
            <w:r>
              <w:rPr>
                <w:rFonts w:hint="eastAsia" w:cs="宋体"/>
                <w:b/>
                <w:bCs/>
                <w:spacing w:val="-6"/>
                <w:u w:val="none"/>
                <w:lang w:eastAsia="zh-CN"/>
              </w:rPr>
              <w:t>标项名称</w:t>
            </w:r>
          </w:p>
        </w:tc>
        <w:tc>
          <w:tcPr>
            <w:tcW w:w="4445" w:type="dxa"/>
            <w:tcBorders>
              <w:top w:val="single" w:color="auto" w:sz="4" w:space="0"/>
              <w:left w:val="single" w:color="auto" w:sz="4" w:space="0"/>
              <w:bottom w:val="single" w:color="auto" w:sz="4" w:space="0"/>
              <w:right w:val="single" w:color="auto" w:sz="4" w:space="0"/>
            </w:tcBorders>
            <w:vAlign w:val="center"/>
          </w:tcPr>
          <w:p w14:paraId="7791FAB2">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0" w:firstLineChars="0"/>
              <w:jc w:val="center"/>
              <w:textAlignment w:val="auto"/>
              <w:rPr>
                <w:rFonts w:hint="eastAsia" w:ascii="宋体" w:hAnsi="宋体" w:eastAsia="宋体" w:cs="宋体"/>
                <w:b/>
                <w:bCs/>
                <w:spacing w:val="-6"/>
                <w:u w:val="single"/>
                <w:lang w:eastAsia="zh-CN"/>
              </w:rPr>
            </w:pPr>
            <w:r>
              <w:rPr>
                <w:rFonts w:hint="eastAsia" w:cs="宋体"/>
                <w:b/>
                <w:bCs/>
                <w:spacing w:val="-6"/>
                <w:u w:val="none"/>
                <w:lang w:eastAsia="zh-CN"/>
              </w:rPr>
              <w:t>投标总报价</w:t>
            </w:r>
          </w:p>
        </w:tc>
      </w:tr>
      <w:tr w14:paraId="69BFB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2" w:hRule="atLeast"/>
        </w:trPr>
        <w:tc>
          <w:tcPr>
            <w:tcW w:w="1030" w:type="dxa"/>
            <w:tcBorders>
              <w:top w:val="single" w:color="auto" w:sz="4" w:space="0"/>
              <w:left w:val="single" w:color="auto" w:sz="4" w:space="0"/>
              <w:bottom w:val="single" w:color="auto" w:sz="4" w:space="0"/>
              <w:right w:val="single" w:color="auto" w:sz="4" w:space="0"/>
            </w:tcBorders>
            <w:vAlign w:val="center"/>
          </w:tcPr>
          <w:p w14:paraId="7A62B7F1">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rPr>
                <w:rFonts w:hint="eastAsia" w:ascii="宋体" w:hAnsi="宋体" w:eastAsia="宋体" w:cs="宋体"/>
                <w:b/>
                <w:spacing w:val="-6"/>
                <w:lang w:eastAsia="zh-CN"/>
              </w:rPr>
            </w:pPr>
            <w:r>
              <w:rPr>
                <w:rFonts w:hint="eastAsia" w:cs="宋体"/>
                <w:b w:val="0"/>
                <w:bCs/>
                <w:spacing w:val="-6"/>
                <w:lang w:eastAsia="zh-CN"/>
              </w:rPr>
              <w:t>标项三</w:t>
            </w:r>
          </w:p>
        </w:tc>
        <w:tc>
          <w:tcPr>
            <w:tcW w:w="4165" w:type="dxa"/>
            <w:tcBorders>
              <w:top w:val="single" w:color="auto" w:sz="4" w:space="0"/>
              <w:left w:val="single" w:color="auto" w:sz="4" w:space="0"/>
              <w:bottom w:val="single" w:color="auto" w:sz="4" w:space="0"/>
              <w:right w:val="single" w:color="auto" w:sz="4" w:space="0"/>
            </w:tcBorders>
            <w:vAlign w:val="center"/>
          </w:tcPr>
          <w:p w14:paraId="41E13AB9">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rPr>
                <w:rFonts w:hint="eastAsia" w:ascii="宋体" w:hAnsi="宋体" w:eastAsia="宋体" w:cs="宋体"/>
                <w:b/>
                <w:spacing w:val="-6"/>
              </w:rPr>
            </w:pPr>
            <w:r>
              <w:rPr>
                <w:rFonts w:hint="eastAsia" w:ascii="宋体" w:hAnsi="宋体" w:eastAsia="宋体" w:cs="宋体"/>
                <w:b w:val="0"/>
                <w:bCs w:val="0"/>
                <w:kern w:val="0"/>
                <w:sz w:val="24"/>
                <w:szCs w:val="24"/>
                <w:lang w:val="en-US" w:eastAsia="zh-CN" w:bidi="ar-SA"/>
              </w:rPr>
              <w:t>田径场设备</w:t>
            </w:r>
          </w:p>
        </w:tc>
        <w:tc>
          <w:tcPr>
            <w:tcW w:w="4445" w:type="dxa"/>
            <w:tcBorders>
              <w:top w:val="single" w:color="auto" w:sz="4" w:space="0"/>
              <w:left w:val="single" w:color="auto" w:sz="4" w:space="0"/>
              <w:bottom w:val="single" w:color="auto" w:sz="4" w:space="0"/>
              <w:right w:val="single" w:color="auto" w:sz="4" w:space="0"/>
            </w:tcBorders>
            <w:vAlign w:val="center"/>
          </w:tcPr>
          <w:p w14:paraId="44E5C41B">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eastAsia="宋体"/>
                <w:lang w:val="en-US" w:eastAsia="zh-CN"/>
              </w:rPr>
            </w:pPr>
            <w:r>
              <w:rPr>
                <w:rFonts w:hint="eastAsia"/>
                <w:lang w:val="en-US" w:eastAsia="zh-CN"/>
              </w:rPr>
              <w:t>金额（小写）：</w:t>
            </w:r>
          </w:p>
          <w:p w14:paraId="5B62534D">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lang w:val="en-US" w:eastAsia="zh-CN"/>
              </w:rPr>
            </w:pPr>
            <w:r>
              <w:rPr>
                <w:rFonts w:hint="eastAsia"/>
                <w:lang w:val="en-US" w:eastAsia="zh-CN"/>
              </w:rPr>
              <w:t>（大写）：</w:t>
            </w:r>
          </w:p>
        </w:tc>
      </w:tr>
      <w:tr w14:paraId="67CCCA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9640" w:type="dxa"/>
            <w:gridSpan w:val="3"/>
            <w:tcBorders>
              <w:top w:val="single" w:color="auto" w:sz="4" w:space="0"/>
              <w:left w:val="single" w:color="auto" w:sz="4" w:space="0"/>
              <w:bottom w:val="single" w:color="auto" w:sz="4" w:space="0"/>
              <w:right w:val="single" w:color="auto" w:sz="4" w:space="0"/>
            </w:tcBorders>
            <w:vAlign w:val="center"/>
          </w:tcPr>
          <w:p w14:paraId="52650E57">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rPr>
                <w:rFonts w:hint="eastAsia" w:eastAsia="宋体"/>
                <w:lang w:eastAsia="zh-CN"/>
              </w:rPr>
            </w:pPr>
            <w:r>
              <w:rPr>
                <w:rFonts w:hint="eastAsia"/>
                <w:lang w:eastAsia="zh-CN"/>
              </w:rPr>
              <w:t>交货期限：</w:t>
            </w:r>
          </w:p>
        </w:tc>
      </w:tr>
    </w:tbl>
    <w:p w14:paraId="160D4263">
      <w:pPr>
        <w:bidi w:val="0"/>
        <w:rPr>
          <w:rFonts w:hint="eastAsia"/>
        </w:rPr>
      </w:pPr>
    </w:p>
    <w:tbl>
      <w:tblPr>
        <w:tblStyle w:val="45"/>
        <w:tblW w:w="9640"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30"/>
        <w:gridCol w:w="4165"/>
        <w:gridCol w:w="4445"/>
      </w:tblGrid>
      <w:tr w14:paraId="0E86BC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1030" w:type="dxa"/>
            <w:tcBorders>
              <w:top w:val="single" w:color="auto" w:sz="4" w:space="0"/>
              <w:left w:val="single" w:color="auto" w:sz="4" w:space="0"/>
              <w:bottom w:val="single" w:color="auto" w:sz="4" w:space="0"/>
              <w:right w:val="single" w:color="auto" w:sz="4" w:space="0"/>
            </w:tcBorders>
            <w:vAlign w:val="center"/>
          </w:tcPr>
          <w:p w14:paraId="4A5197AA">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0" w:firstLineChars="0"/>
              <w:jc w:val="center"/>
              <w:textAlignment w:val="auto"/>
              <w:rPr>
                <w:rFonts w:hint="eastAsia" w:ascii="宋体" w:hAnsi="宋体" w:eastAsia="宋体" w:cs="宋体"/>
                <w:b/>
                <w:bCs/>
                <w:spacing w:val="-6"/>
                <w:u w:val="single"/>
                <w:lang w:eastAsia="zh-CN"/>
              </w:rPr>
            </w:pPr>
            <w:r>
              <w:rPr>
                <w:rFonts w:hint="eastAsia" w:cs="宋体"/>
                <w:b/>
                <w:bCs/>
                <w:spacing w:val="-6"/>
                <w:u w:val="none"/>
                <w:lang w:eastAsia="zh-CN"/>
              </w:rPr>
              <w:t>标项</w:t>
            </w:r>
          </w:p>
        </w:tc>
        <w:tc>
          <w:tcPr>
            <w:tcW w:w="4165" w:type="dxa"/>
            <w:tcBorders>
              <w:top w:val="single" w:color="auto" w:sz="4" w:space="0"/>
              <w:left w:val="single" w:color="auto" w:sz="4" w:space="0"/>
              <w:bottom w:val="single" w:color="auto" w:sz="4" w:space="0"/>
              <w:right w:val="single" w:color="auto" w:sz="4" w:space="0"/>
            </w:tcBorders>
            <w:vAlign w:val="center"/>
          </w:tcPr>
          <w:p w14:paraId="24CB68D2">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0" w:firstLineChars="0"/>
              <w:jc w:val="center"/>
              <w:textAlignment w:val="auto"/>
              <w:rPr>
                <w:rFonts w:hint="eastAsia" w:ascii="宋体" w:hAnsi="宋体" w:eastAsia="宋体" w:cs="宋体"/>
                <w:b/>
                <w:bCs/>
                <w:spacing w:val="-6"/>
                <w:u w:val="single"/>
                <w:lang w:eastAsia="zh-CN"/>
              </w:rPr>
            </w:pPr>
            <w:r>
              <w:rPr>
                <w:rFonts w:hint="eastAsia" w:cs="宋体"/>
                <w:b/>
                <w:bCs/>
                <w:spacing w:val="-6"/>
                <w:u w:val="none"/>
                <w:lang w:eastAsia="zh-CN"/>
              </w:rPr>
              <w:t>标项名称</w:t>
            </w:r>
          </w:p>
        </w:tc>
        <w:tc>
          <w:tcPr>
            <w:tcW w:w="4445" w:type="dxa"/>
            <w:tcBorders>
              <w:top w:val="single" w:color="auto" w:sz="4" w:space="0"/>
              <w:left w:val="single" w:color="auto" w:sz="4" w:space="0"/>
              <w:bottom w:val="single" w:color="auto" w:sz="4" w:space="0"/>
              <w:right w:val="single" w:color="auto" w:sz="4" w:space="0"/>
            </w:tcBorders>
            <w:vAlign w:val="center"/>
          </w:tcPr>
          <w:p w14:paraId="636B8317">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0" w:firstLineChars="0"/>
              <w:jc w:val="center"/>
              <w:textAlignment w:val="auto"/>
              <w:rPr>
                <w:rFonts w:hint="eastAsia" w:ascii="宋体" w:hAnsi="宋体" w:eastAsia="宋体" w:cs="宋体"/>
                <w:b/>
                <w:bCs/>
                <w:spacing w:val="-6"/>
                <w:u w:val="single"/>
                <w:lang w:eastAsia="zh-CN"/>
              </w:rPr>
            </w:pPr>
            <w:r>
              <w:rPr>
                <w:rFonts w:hint="eastAsia" w:cs="宋体"/>
                <w:b/>
                <w:bCs/>
                <w:spacing w:val="-6"/>
                <w:u w:val="none"/>
                <w:lang w:eastAsia="zh-CN"/>
              </w:rPr>
              <w:t>投标总报价</w:t>
            </w:r>
          </w:p>
        </w:tc>
      </w:tr>
      <w:tr w14:paraId="5825BC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2" w:hRule="atLeast"/>
        </w:trPr>
        <w:tc>
          <w:tcPr>
            <w:tcW w:w="1030" w:type="dxa"/>
            <w:tcBorders>
              <w:top w:val="single" w:color="auto" w:sz="4" w:space="0"/>
              <w:left w:val="single" w:color="auto" w:sz="4" w:space="0"/>
              <w:bottom w:val="single" w:color="auto" w:sz="4" w:space="0"/>
              <w:right w:val="single" w:color="auto" w:sz="4" w:space="0"/>
            </w:tcBorders>
            <w:vAlign w:val="center"/>
          </w:tcPr>
          <w:p w14:paraId="4851DBA3">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rPr>
                <w:rFonts w:hint="eastAsia" w:ascii="宋体" w:hAnsi="宋体" w:eastAsia="宋体" w:cs="宋体"/>
                <w:b/>
                <w:spacing w:val="-6"/>
                <w:lang w:eastAsia="zh-CN"/>
              </w:rPr>
            </w:pPr>
            <w:r>
              <w:rPr>
                <w:rFonts w:hint="eastAsia" w:cs="宋体"/>
                <w:b w:val="0"/>
                <w:bCs/>
                <w:spacing w:val="-6"/>
                <w:lang w:eastAsia="zh-CN"/>
              </w:rPr>
              <w:t>标项四</w:t>
            </w:r>
          </w:p>
        </w:tc>
        <w:tc>
          <w:tcPr>
            <w:tcW w:w="4165" w:type="dxa"/>
            <w:tcBorders>
              <w:top w:val="single" w:color="auto" w:sz="4" w:space="0"/>
              <w:left w:val="single" w:color="auto" w:sz="4" w:space="0"/>
              <w:bottom w:val="single" w:color="auto" w:sz="4" w:space="0"/>
              <w:right w:val="single" w:color="auto" w:sz="4" w:space="0"/>
            </w:tcBorders>
            <w:vAlign w:val="center"/>
          </w:tcPr>
          <w:p w14:paraId="657E6470">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jc w:val="center"/>
              <w:textAlignment w:val="auto"/>
              <w:rPr>
                <w:rFonts w:hint="eastAsia" w:ascii="宋体" w:hAnsi="宋体" w:eastAsia="宋体" w:cs="宋体"/>
                <w:b/>
                <w:spacing w:val="-6"/>
              </w:rPr>
            </w:pPr>
            <w:r>
              <w:rPr>
                <w:rFonts w:hint="eastAsia" w:ascii="Times New Roman" w:hAnsi="Times New Roman" w:cs="宋体"/>
                <w:color w:val="auto"/>
                <w:sz w:val="24"/>
                <w:szCs w:val="18"/>
                <w:lang w:val="en-US" w:eastAsia="zh-CN"/>
              </w:rPr>
              <w:t>体测中心设备</w:t>
            </w:r>
          </w:p>
        </w:tc>
        <w:tc>
          <w:tcPr>
            <w:tcW w:w="4445" w:type="dxa"/>
            <w:tcBorders>
              <w:top w:val="single" w:color="auto" w:sz="4" w:space="0"/>
              <w:left w:val="single" w:color="auto" w:sz="4" w:space="0"/>
              <w:bottom w:val="single" w:color="auto" w:sz="4" w:space="0"/>
              <w:right w:val="single" w:color="auto" w:sz="4" w:space="0"/>
            </w:tcBorders>
            <w:vAlign w:val="center"/>
          </w:tcPr>
          <w:p w14:paraId="03A61815">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eastAsia" w:eastAsia="宋体"/>
                <w:lang w:val="en-US" w:eastAsia="zh-CN"/>
              </w:rPr>
            </w:pPr>
            <w:r>
              <w:rPr>
                <w:rFonts w:hint="eastAsia"/>
                <w:lang w:val="en-US" w:eastAsia="zh-CN"/>
              </w:rPr>
              <w:t>金额（小写）：</w:t>
            </w:r>
          </w:p>
          <w:p w14:paraId="0F98E5F0">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lang w:val="en-US" w:eastAsia="zh-CN"/>
              </w:rPr>
            </w:pPr>
            <w:r>
              <w:rPr>
                <w:rFonts w:hint="eastAsia"/>
                <w:lang w:val="en-US" w:eastAsia="zh-CN"/>
              </w:rPr>
              <w:t>（大写）：</w:t>
            </w:r>
          </w:p>
        </w:tc>
      </w:tr>
      <w:tr w14:paraId="60F914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9640" w:type="dxa"/>
            <w:gridSpan w:val="3"/>
            <w:tcBorders>
              <w:top w:val="single" w:color="auto" w:sz="4" w:space="0"/>
              <w:left w:val="single" w:color="auto" w:sz="4" w:space="0"/>
              <w:bottom w:val="single" w:color="auto" w:sz="4" w:space="0"/>
              <w:right w:val="single" w:color="auto" w:sz="4" w:space="0"/>
            </w:tcBorders>
            <w:vAlign w:val="center"/>
          </w:tcPr>
          <w:p w14:paraId="457EE5EE">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rPr>
                <w:rFonts w:hint="eastAsia" w:eastAsia="宋体"/>
                <w:lang w:eastAsia="zh-CN"/>
              </w:rPr>
            </w:pPr>
            <w:r>
              <w:rPr>
                <w:rFonts w:hint="eastAsia"/>
                <w:lang w:eastAsia="zh-CN"/>
              </w:rPr>
              <w:t>交货期限：</w:t>
            </w:r>
          </w:p>
        </w:tc>
      </w:tr>
    </w:tbl>
    <w:p w14:paraId="25D68B34">
      <w:pPr>
        <w:bidi w:val="0"/>
        <w:rPr>
          <w:rFonts w:hint="eastAsia"/>
          <w:sz w:val="15"/>
          <w:szCs w:val="15"/>
        </w:rPr>
      </w:pPr>
    </w:p>
    <w:p w14:paraId="14DE7348">
      <w:pPr>
        <w:snapToGrid w:val="0"/>
        <w:spacing w:line="360" w:lineRule="auto"/>
        <w:ind w:firstLine="0" w:firstLineChars="0"/>
        <w:rPr>
          <w:rFonts w:hint="eastAsia" w:ascii="宋体" w:hAnsi="宋体" w:eastAsia="宋体" w:cs="宋体"/>
          <w:b/>
          <w:kern w:val="0"/>
          <w:lang w:val="zh-CN"/>
        </w:rPr>
      </w:pPr>
      <w:r>
        <w:rPr>
          <w:rFonts w:hint="eastAsia" w:ascii="宋体" w:hAnsi="宋体" w:eastAsia="宋体" w:cs="宋体"/>
          <w:b/>
          <w:sz w:val="24"/>
          <w:szCs w:val="24"/>
        </w:rPr>
        <w:t>▲</w:t>
      </w:r>
      <w:r>
        <w:rPr>
          <w:rFonts w:hint="eastAsia" w:ascii="宋体" w:hAnsi="宋体" w:eastAsia="宋体" w:cs="宋体"/>
          <w:b/>
          <w:kern w:val="0"/>
          <w:lang w:val="zh-CN"/>
        </w:rPr>
        <w:t>报价要求：</w:t>
      </w:r>
    </w:p>
    <w:p w14:paraId="4716DB6D">
      <w:pPr>
        <w:bidi w:val="0"/>
        <w:spacing w:line="360" w:lineRule="auto"/>
        <w:rPr>
          <w:rFonts w:hint="eastAsia"/>
          <w:lang w:val="en-US" w:eastAsia="zh-CN"/>
        </w:rPr>
      </w:pPr>
      <w:r>
        <w:rPr>
          <w:rFonts w:hint="eastAsia"/>
          <w:lang w:val="zh-CN"/>
        </w:rPr>
        <w:t>1</w:t>
      </w:r>
      <w:r>
        <w:rPr>
          <w:rFonts w:hint="eastAsia"/>
          <w:lang w:val="en-US" w:eastAsia="zh-CN"/>
        </w:rPr>
        <w:t>.本项目以人民币进行报价；投标总报价不得超过相应标项的最高限价，否则按无效报价处理。</w:t>
      </w:r>
    </w:p>
    <w:p w14:paraId="5BF13B06">
      <w:pPr>
        <w:bidi w:val="0"/>
        <w:spacing w:line="360" w:lineRule="auto"/>
        <w:rPr>
          <w:rFonts w:hint="eastAsia"/>
          <w:lang w:val="zh-CN"/>
        </w:rPr>
      </w:pPr>
      <w:r>
        <w:rPr>
          <w:rFonts w:hint="eastAsia"/>
          <w:lang w:val="en-US" w:eastAsia="zh-CN"/>
        </w:rPr>
        <w:t>2.</w:t>
      </w:r>
      <w:r>
        <w:rPr>
          <w:rFonts w:hint="eastAsia"/>
          <w:lang w:val="zh-CN"/>
        </w:rPr>
        <w:t>投标人需按本表格式填写，不得自行更改。</w:t>
      </w:r>
    </w:p>
    <w:p w14:paraId="6E87BF16">
      <w:pPr>
        <w:bidi w:val="0"/>
        <w:spacing w:line="360" w:lineRule="auto"/>
        <w:rPr>
          <w:rFonts w:hint="eastAsia"/>
          <w:lang w:val="en-US" w:eastAsia="zh-CN"/>
        </w:rPr>
      </w:pPr>
      <w:r>
        <w:rPr>
          <w:rFonts w:hint="eastAsia"/>
          <w:lang w:val="en-US" w:eastAsia="zh-CN"/>
        </w:rPr>
        <w:t>3.</w:t>
      </w:r>
      <w:r>
        <w:rPr>
          <w:rFonts w:hint="eastAsia"/>
          <w:lang w:val="zh-CN"/>
        </w:rPr>
        <w:t>有关本项目实施所涉及的一切费用（详见前附表）均计入报价。</w:t>
      </w:r>
    </w:p>
    <w:p w14:paraId="4A9A079F">
      <w:pPr>
        <w:bidi w:val="0"/>
        <w:spacing w:line="360" w:lineRule="auto"/>
        <w:rPr>
          <w:rFonts w:hint="default"/>
          <w:lang w:val="en-US" w:eastAsia="zh-CN"/>
        </w:rPr>
      </w:pPr>
      <w:r>
        <w:rPr>
          <w:rFonts w:hint="eastAsia"/>
          <w:lang w:val="en-US" w:eastAsia="zh-CN"/>
        </w:rPr>
        <w:t>4.投标人</w:t>
      </w:r>
      <w:r>
        <w:rPr>
          <w:rFonts w:hint="eastAsia"/>
        </w:rPr>
        <w:t>只有一次报价的机会。</w:t>
      </w:r>
      <w:r>
        <w:rPr>
          <w:rFonts w:hint="eastAsia"/>
          <w:lang w:eastAsia="zh-CN"/>
        </w:rPr>
        <w:t>投标</w:t>
      </w:r>
      <w:r>
        <w:rPr>
          <w:rFonts w:hint="eastAsia"/>
        </w:rPr>
        <w:t>报价不得有选择性报价和附有条件的报价。</w:t>
      </w:r>
    </w:p>
    <w:p w14:paraId="40EC859E">
      <w:pPr>
        <w:rPr>
          <w:rFonts w:hint="eastAsia"/>
          <w:lang w:val="zh-CN"/>
        </w:rPr>
      </w:pPr>
    </w:p>
    <w:p w14:paraId="656FF8B0">
      <w:pPr>
        <w:spacing w:line="480" w:lineRule="auto"/>
        <w:ind w:firstLine="480"/>
        <w:rPr>
          <w:rFonts w:hint="eastAsia" w:ascii="宋体" w:hAnsi="宋体" w:eastAsia="宋体" w:cs="宋体"/>
        </w:rPr>
      </w:pPr>
    </w:p>
    <w:p w14:paraId="283F78BC">
      <w:pPr>
        <w:spacing w:line="480" w:lineRule="auto"/>
        <w:ind w:firstLine="480"/>
        <w:rPr>
          <w:rFonts w:hint="eastAsia" w:ascii="宋体" w:hAnsi="宋体" w:eastAsia="宋体" w:cs="宋体"/>
        </w:rPr>
      </w:pPr>
      <w:r>
        <w:rPr>
          <w:rFonts w:hint="eastAsia" w:ascii="宋体" w:hAnsi="宋体" w:eastAsia="宋体" w:cs="宋体"/>
        </w:rPr>
        <w:t>投标人名称（公章）：</w:t>
      </w:r>
    </w:p>
    <w:p w14:paraId="6F9420D1">
      <w:pPr>
        <w:spacing w:line="480" w:lineRule="auto"/>
        <w:ind w:firstLine="480"/>
        <w:rPr>
          <w:rFonts w:hint="eastAsia" w:ascii="宋体" w:hAnsi="宋体" w:eastAsia="宋体" w:cs="宋体"/>
        </w:rPr>
      </w:pPr>
      <w:r>
        <w:rPr>
          <w:rFonts w:hint="eastAsia" w:ascii="宋体" w:hAnsi="宋体" w:eastAsia="宋体" w:cs="宋体"/>
        </w:rPr>
        <w:t>法定代表人或其</w:t>
      </w:r>
      <w:r>
        <w:rPr>
          <w:rFonts w:hint="eastAsia" w:cs="宋体"/>
          <w:lang w:eastAsia="zh-CN"/>
        </w:rPr>
        <w:t>授权代表</w:t>
      </w:r>
      <w:r>
        <w:rPr>
          <w:rFonts w:hint="eastAsia" w:ascii="宋体" w:hAnsi="宋体" w:eastAsia="宋体" w:cs="宋体"/>
        </w:rPr>
        <w:t>（签字）：</w:t>
      </w:r>
    </w:p>
    <w:p w14:paraId="258DE564">
      <w:pPr>
        <w:spacing w:line="480" w:lineRule="auto"/>
        <w:ind w:firstLine="480"/>
        <w:rPr>
          <w:rFonts w:hint="eastAsia" w:ascii="宋体" w:hAnsi="宋体" w:eastAsia="宋体" w:cs="宋体"/>
        </w:rPr>
      </w:pPr>
      <w:r>
        <w:rPr>
          <w:rFonts w:hint="eastAsia" w:ascii="宋体" w:hAnsi="宋体" w:eastAsia="宋体" w:cs="宋体"/>
        </w:rPr>
        <w:t>日期：  年   月   日</w:t>
      </w:r>
    </w:p>
    <w:p w14:paraId="18CF240F">
      <w:pPr>
        <w:pStyle w:val="5"/>
        <w:rPr>
          <w:rFonts w:hint="eastAsia" w:ascii="宋体" w:hAnsi="宋体" w:eastAsia="宋体" w:cs="宋体"/>
          <w:szCs w:val="24"/>
        </w:rPr>
        <w:sectPr>
          <w:pgSz w:w="11906" w:h="16838"/>
          <w:pgMar w:top="1440" w:right="1247" w:bottom="1020" w:left="1247" w:header="851" w:footer="992" w:gutter="0"/>
          <w:pgNumType w:fmt="decimal"/>
          <w:cols w:space="720" w:num="1"/>
          <w:docGrid w:type="lines" w:linePitch="312" w:charSpace="0"/>
        </w:sectPr>
      </w:pPr>
    </w:p>
    <w:bookmarkEnd w:id="40"/>
    <w:bookmarkEnd w:id="41"/>
    <w:bookmarkEnd w:id="42"/>
    <w:bookmarkEnd w:id="43"/>
    <w:bookmarkEnd w:id="44"/>
    <w:bookmarkEnd w:id="45"/>
    <w:bookmarkEnd w:id="46"/>
    <w:bookmarkEnd w:id="47"/>
    <w:p w14:paraId="60119832">
      <w:pPr>
        <w:bidi w:val="0"/>
        <w:spacing w:line="240" w:lineRule="auto"/>
        <w:ind w:left="0" w:leftChars="0" w:firstLine="0" w:firstLineChars="0"/>
        <w:jc w:val="left"/>
        <w:rPr>
          <w:rFonts w:hint="eastAsia" w:cs="宋体"/>
          <w:b/>
          <w:bCs/>
          <w:szCs w:val="24"/>
          <w:lang w:eastAsia="zh-CN"/>
        </w:rPr>
      </w:pPr>
      <w:r>
        <w:rPr>
          <w:rFonts w:hint="eastAsia" w:cs="宋体"/>
          <w:b/>
          <w:bCs/>
          <w:szCs w:val="24"/>
          <w:lang w:eastAsia="zh-CN"/>
        </w:rPr>
        <w:t>附件十三</w:t>
      </w:r>
    </w:p>
    <w:p w14:paraId="1218C786">
      <w:pPr>
        <w:tabs>
          <w:tab w:val="left" w:pos="1206"/>
        </w:tabs>
        <w:bidi w:val="0"/>
        <w:spacing w:line="480" w:lineRule="auto"/>
        <w:ind w:left="0" w:leftChars="0" w:firstLine="0" w:firstLineChars="0"/>
        <w:jc w:val="center"/>
        <w:rPr>
          <w:rFonts w:hint="eastAsia"/>
          <w:b/>
          <w:bCs/>
          <w:sz w:val="28"/>
          <w:szCs w:val="28"/>
          <w:lang w:val="en-US" w:eastAsia="zh-CN"/>
        </w:rPr>
      </w:pPr>
      <w:r>
        <w:rPr>
          <w:rFonts w:hint="eastAsia"/>
          <w:b/>
          <w:bCs/>
          <w:sz w:val="28"/>
          <w:szCs w:val="28"/>
          <w:lang w:val="en-US" w:eastAsia="zh-CN"/>
        </w:rPr>
        <w:t>报价明细表</w:t>
      </w:r>
    </w:p>
    <w:p w14:paraId="4456E777">
      <w:pPr>
        <w:bidi w:val="0"/>
        <w:ind w:left="0" w:leftChars="0" w:firstLine="0" w:firstLineChars="0"/>
        <w:jc w:val="left"/>
        <w:rPr>
          <w:rFonts w:hint="eastAsia" w:cs="宋体"/>
          <w:b/>
          <w:bCs w:val="0"/>
          <w:color w:val="auto"/>
          <w:kern w:val="0"/>
          <w:sz w:val="24"/>
          <w:szCs w:val="24"/>
          <w:lang w:val="en-US" w:eastAsia="zh-CN" w:bidi="ar-SA"/>
        </w:rPr>
      </w:pPr>
      <w:r>
        <w:rPr>
          <w:rFonts w:hint="eastAsia"/>
          <w:b/>
          <w:bCs/>
          <w:lang w:val="en-US" w:eastAsia="zh-CN"/>
        </w:rPr>
        <w:t>标项一：</w:t>
      </w:r>
      <w:r>
        <w:rPr>
          <w:rFonts w:hint="eastAsia" w:cs="宋体"/>
          <w:b/>
          <w:bCs w:val="0"/>
          <w:color w:val="auto"/>
          <w:kern w:val="0"/>
          <w:sz w:val="24"/>
          <w:szCs w:val="24"/>
          <w:lang w:val="en-US" w:eastAsia="zh-CN" w:bidi="ar-SA"/>
        </w:rPr>
        <w:t>篮球、乒乓球、排球、网球、羽毛球馆设备</w:t>
      </w:r>
    </w:p>
    <w:tbl>
      <w:tblPr>
        <w:tblStyle w:val="45"/>
        <w:tblW w:w="94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530"/>
        <w:gridCol w:w="802"/>
        <w:gridCol w:w="918"/>
        <w:gridCol w:w="1567"/>
        <w:gridCol w:w="1183"/>
        <w:gridCol w:w="1309"/>
        <w:gridCol w:w="1418"/>
      </w:tblGrid>
      <w:tr w14:paraId="4681F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722" w:type="dxa"/>
            <w:noWrap w:val="0"/>
            <w:vAlign w:val="center"/>
          </w:tcPr>
          <w:p w14:paraId="19EA5ACF">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序号</w:t>
            </w:r>
          </w:p>
        </w:tc>
        <w:tc>
          <w:tcPr>
            <w:tcW w:w="1530" w:type="dxa"/>
            <w:noWrap w:val="0"/>
            <w:vAlign w:val="center"/>
          </w:tcPr>
          <w:p w14:paraId="7AF2CEDE">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Cs/>
                <w:color w:val="auto"/>
                <w:sz w:val="24"/>
                <w:szCs w:val="24"/>
              </w:rPr>
            </w:pPr>
            <w:r>
              <w:rPr>
                <w:rFonts w:hint="eastAsia" w:cs="宋体"/>
                <w:bCs/>
                <w:color w:val="auto"/>
                <w:sz w:val="24"/>
                <w:szCs w:val="24"/>
                <w:lang w:eastAsia="zh-CN"/>
              </w:rPr>
              <w:t>设备</w:t>
            </w:r>
            <w:r>
              <w:rPr>
                <w:rFonts w:hint="eastAsia" w:ascii="宋体" w:hAnsi="宋体" w:eastAsia="宋体" w:cs="宋体"/>
                <w:bCs/>
                <w:color w:val="auto"/>
                <w:sz w:val="24"/>
                <w:szCs w:val="24"/>
              </w:rPr>
              <w:t>名称</w:t>
            </w:r>
          </w:p>
        </w:tc>
        <w:tc>
          <w:tcPr>
            <w:tcW w:w="802" w:type="dxa"/>
            <w:noWrap w:val="0"/>
            <w:vAlign w:val="center"/>
          </w:tcPr>
          <w:p w14:paraId="3FA077A1">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Cs/>
                <w:color w:val="auto"/>
                <w:sz w:val="24"/>
                <w:szCs w:val="24"/>
                <w:lang w:eastAsia="zh-CN"/>
              </w:rPr>
            </w:pPr>
            <w:r>
              <w:rPr>
                <w:rFonts w:hint="eastAsia" w:cs="宋体"/>
                <w:bCs/>
                <w:color w:val="auto"/>
                <w:sz w:val="24"/>
                <w:szCs w:val="24"/>
                <w:lang w:eastAsia="zh-CN"/>
              </w:rPr>
              <w:t>单位</w:t>
            </w:r>
          </w:p>
        </w:tc>
        <w:tc>
          <w:tcPr>
            <w:tcW w:w="918" w:type="dxa"/>
            <w:noWrap w:val="0"/>
            <w:vAlign w:val="center"/>
          </w:tcPr>
          <w:p w14:paraId="539EFEAA">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Cs/>
                <w:color w:val="auto"/>
                <w:sz w:val="24"/>
                <w:szCs w:val="24"/>
                <w:lang w:eastAsia="zh-CN"/>
              </w:rPr>
            </w:pPr>
            <w:r>
              <w:rPr>
                <w:rFonts w:hint="eastAsia" w:cs="宋体"/>
                <w:bCs/>
                <w:color w:val="auto"/>
                <w:sz w:val="24"/>
                <w:szCs w:val="24"/>
                <w:lang w:eastAsia="zh-CN"/>
              </w:rPr>
              <w:t>数量</w:t>
            </w:r>
          </w:p>
        </w:tc>
        <w:tc>
          <w:tcPr>
            <w:tcW w:w="1567" w:type="dxa"/>
            <w:noWrap w:val="0"/>
            <w:vAlign w:val="center"/>
          </w:tcPr>
          <w:p w14:paraId="128C7E6C">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Cs/>
                <w:color w:val="auto"/>
                <w:sz w:val="24"/>
                <w:szCs w:val="24"/>
              </w:rPr>
            </w:pPr>
            <w:r>
              <w:rPr>
                <w:rFonts w:hint="eastAsia" w:cs="宋体"/>
                <w:bCs/>
                <w:color w:val="auto"/>
                <w:sz w:val="24"/>
                <w:szCs w:val="24"/>
                <w:lang w:eastAsia="zh-CN"/>
              </w:rPr>
              <w:t>技术</w:t>
            </w:r>
            <w:r>
              <w:rPr>
                <w:rFonts w:hint="eastAsia" w:ascii="宋体" w:hAnsi="宋体" w:eastAsia="宋体" w:cs="宋体"/>
                <w:bCs/>
                <w:color w:val="auto"/>
                <w:sz w:val="24"/>
                <w:szCs w:val="24"/>
              </w:rPr>
              <w:t>参数</w:t>
            </w:r>
          </w:p>
        </w:tc>
        <w:tc>
          <w:tcPr>
            <w:tcW w:w="1183" w:type="dxa"/>
            <w:noWrap w:val="0"/>
            <w:vAlign w:val="center"/>
          </w:tcPr>
          <w:p w14:paraId="526328F5">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品牌</w:t>
            </w:r>
          </w:p>
        </w:tc>
        <w:tc>
          <w:tcPr>
            <w:tcW w:w="1309" w:type="dxa"/>
            <w:noWrap w:val="0"/>
            <w:vAlign w:val="center"/>
          </w:tcPr>
          <w:p w14:paraId="449773CA">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单价（元）</w:t>
            </w:r>
          </w:p>
        </w:tc>
        <w:tc>
          <w:tcPr>
            <w:tcW w:w="1418" w:type="dxa"/>
            <w:noWrap w:val="0"/>
            <w:vAlign w:val="center"/>
          </w:tcPr>
          <w:p w14:paraId="7A1B05BD">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Cs/>
                <w:color w:val="auto"/>
                <w:sz w:val="24"/>
                <w:szCs w:val="24"/>
              </w:rPr>
            </w:pPr>
            <w:r>
              <w:rPr>
                <w:rFonts w:hint="eastAsia" w:cs="宋体"/>
                <w:bCs/>
                <w:color w:val="auto"/>
                <w:sz w:val="24"/>
                <w:szCs w:val="24"/>
                <w:lang w:eastAsia="zh-CN"/>
              </w:rPr>
              <w:t>合计</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元）</w:t>
            </w:r>
          </w:p>
        </w:tc>
      </w:tr>
      <w:tr w14:paraId="695D9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jc w:val="center"/>
        </w:trPr>
        <w:tc>
          <w:tcPr>
            <w:tcW w:w="722" w:type="dxa"/>
            <w:noWrap w:val="0"/>
            <w:vAlign w:val="center"/>
          </w:tcPr>
          <w:p w14:paraId="2A62698E">
            <w:pPr>
              <w:spacing w:line="440" w:lineRule="exact"/>
              <w:ind w:left="0" w:leftChars="0"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w:t>
            </w:r>
          </w:p>
        </w:tc>
        <w:tc>
          <w:tcPr>
            <w:tcW w:w="1530" w:type="dxa"/>
            <w:noWrap w:val="0"/>
            <w:vAlign w:val="center"/>
          </w:tcPr>
          <w:p w14:paraId="432CF19C">
            <w:pPr>
              <w:widowControl/>
              <w:spacing w:line="440" w:lineRule="exact"/>
              <w:jc w:val="center"/>
              <w:rPr>
                <w:rFonts w:hint="eastAsia" w:ascii="宋体" w:hAnsi="宋体" w:eastAsia="宋体" w:cs="宋体"/>
                <w:color w:val="auto"/>
                <w:kern w:val="0"/>
                <w:sz w:val="24"/>
                <w:szCs w:val="24"/>
              </w:rPr>
            </w:pPr>
          </w:p>
        </w:tc>
        <w:tc>
          <w:tcPr>
            <w:tcW w:w="802" w:type="dxa"/>
            <w:noWrap w:val="0"/>
            <w:vAlign w:val="center"/>
          </w:tcPr>
          <w:p w14:paraId="6A41CE32">
            <w:pPr>
              <w:spacing w:line="440" w:lineRule="exact"/>
              <w:jc w:val="center"/>
              <w:rPr>
                <w:rFonts w:hint="eastAsia" w:ascii="宋体" w:hAnsi="宋体" w:eastAsia="宋体" w:cs="宋体"/>
                <w:bCs/>
                <w:color w:val="auto"/>
                <w:sz w:val="24"/>
                <w:szCs w:val="24"/>
              </w:rPr>
            </w:pPr>
          </w:p>
        </w:tc>
        <w:tc>
          <w:tcPr>
            <w:tcW w:w="918" w:type="dxa"/>
            <w:noWrap w:val="0"/>
            <w:vAlign w:val="center"/>
          </w:tcPr>
          <w:p w14:paraId="2954B520">
            <w:pPr>
              <w:spacing w:line="440" w:lineRule="exact"/>
              <w:jc w:val="center"/>
              <w:rPr>
                <w:rFonts w:hint="eastAsia" w:ascii="宋体" w:hAnsi="宋体" w:eastAsia="宋体" w:cs="宋体"/>
                <w:bCs/>
                <w:color w:val="auto"/>
                <w:sz w:val="24"/>
                <w:szCs w:val="24"/>
              </w:rPr>
            </w:pPr>
          </w:p>
        </w:tc>
        <w:tc>
          <w:tcPr>
            <w:tcW w:w="1567" w:type="dxa"/>
            <w:noWrap w:val="0"/>
            <w:vAlign w:val="center"/>
          </w:tcPr>
          <w:p w14:paraId="0182DDF0">
            <w:pPr>
              <w:spacing w:line="440" w:lineRule="exact"/>
              <w:jc w:val="center"/>
              <w:rPr>
                <w:rFonts w:hint="eastAsia" w:ascii="宋体" w:hAnsi="宋体" w:eastAsia="宋体" w:cs="宋体"/>
                <w:bCs/>
                <w:color w:val="auto"/>
                <w:sz w:val="24"/>
                <w:szCs w:val="24"/>
              </w:rPr>
            </w:pPr>
          </w:p>
        </w:tc>
        <w:tc>
          <w:tcPr>
            <w:tcW w:w="1183" w:type="dxa"/>
            <w:noWrap w:val="0"/>
            <w:vAlign w:val="center"/>
          </w:tcPr>
          <w:p w14:paraId="05857000">
            <w:pPr>
              <w:spacing w:line="440" w:lineRule="exact"/>
              <w:jc w:val="center"/>
              <w:rPr>
                <w:rFonts w:hint="eastAsia" w:ascii="宋体" w:hAnsi="宋体" w:eastAsia="宋体" w:cs="宋体"/>
                <w:bCs/>
                <w:color w:val="auto"/>
                <w:sz w:val="24"/>
                <w:szCs w:val="24"/>
              </w:rPr>
            </w:pPr>
          </w:p>
        </w:tc>
        <w:tc>
          <w:tcPr>
            <w:tcW w:w="1309" w:type="dxa"/>
            <w:noWrap w:val="0"/>
            <w:vAlign w:val="center"/>
          </w:tcPr>
          <w:p w14:paraId="21F10134">
            <w:pPr>
              <w:spacing w:line="440" w:lineRule="exact"/>
              <w:jc w:val="center"/>
              <w:rPr>
                <w:rFonts w:hint="eastAsia" w:ascii="宋体" w:hAnsi="宋体" w:eastAsia="宋体" w:cs="宋体"/>
                <w:bCs/>
                <w:color w:val="auto"/>
                <w:sz w:val="24"/>
                <w:szCs w:val="24"/>
              </w:rPr>
            </w:pPr>
          </w:p>
        </w:tc>
        <w:tc>
          <w:tcPr>
            <w:tcW w:w="1418" w:type="dxa"/>
            <w:noWrap w:val="0"/>
            <w:vAlign w:val="center"/>
          </w:tcPr>
          <w:p w14:paraId="3723CA0F">
            <w:pPr>
              <w:spacing w:line="440" w:lineRule="exact"/>
              <w:jc w:val="center"/>
              <w:rPr>
                <w:rFonts w:hint="eastAsia" w:ascii="宋体" w:hAnsi="宋体" w:eastAsia="宋体" w:cs="宋体"/>
                <w:bCs/>
                <w:color w:val="auto"/>
                <w:sz w:val="24"/>
                <w:szCs w:val="24"/>
              </w:rPr>
            </w:pPr>
          </w:p>
        </w:tc>
      </w:tr>
      <w:tr w14:paraId="01378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22" w:type="dxa"/>
            <w:noWrap w:val="0"/>
            <w:vAlign w:val="center"/>
          </w:tcPr>
          <w:p w14:paraId="369E05E7">
            <w:pPr>
              <w:spacing w:line="440" w:lineRule="exact"/>
              <w:ind w:left="0" w:leftChars="0"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2</w:t>
            </w:r>
          </w:p>
        </w:tc>
        <w:tc>
          <w:tcPr>
            <w:tcW w:w="1530" w:type="dxa"/>
            <w:noWrap w:val="0"/>
            <w:vAlign w:val="center"/>
          </w:tcPr>
          <w:p w14:paraId="29BF58AF">
            <w:pPr>
              <w:widowControl/>
              <w:spacing w:line="440" w:lineRule="exact"/>
              <w:jc w:val="center"/>
              <w:rPr>
                <w:rFonts w:hint="eastAsia" w:ascii="宋体" w:hAnsi="宋体" w:eastAsia="宋体" w:cs="宋体"/>
                <w:color w:val="auto"/>
                <w:kern w:val="0"/>
                <w:sz w:val="24"/>
                <w:szCs w:val="24"/>
              </w:rPr>
            </w:pPr>
          </w:p>
        </w:tc>
        <w:tc>
          <w:tcPr>
            <w:tcW w:w="802" w:type="dxa"/>
            <w:noWrap w:val="0"/>
            <w:vAlign w:val="center"/>
          </w:tcPr>
          <w:p w14:paraId="2EEC0178">
            <w:pPr>
              <w:spacing w:line="440" w:lineRule="exact"/>
              <w:jc w:val="center"/>
              <w:rPr>
                <w:rFonts w:hint="eastAsia" w:ascii="宋体" w:hAnsi="宋体" w:eastAsia="宋体" w:cs="宋体"/>
                <w:bCs/>
                <w:color w:val="auto"/>
                <w:sz w:val="24"/>
                <w:szCs w:val="24"/>
              </w:rPr>
            </w:pPr>
          </w:p>
        </w:tc>
        <w:tc>
          <w:tcPr>
            <w:tcW w:w="918" w:type="dxa"/>
            <w:noWrap w:val="0"/>
            <w:vAlign w:val="center"/>
          </w:tcPr>
          <w:p w14:paraId="088E3964">
            <w:pPr>
              <w:spacing w:line="440" w:lineRule="exact"/>
              <w:jc w:val="center"/>
              <w:rPr>
                <w:rFonts w:hint="eastAsia" w:ascii="宋体" w:hAnsi="宋体" w:eastAsia="宋体" w:cs="宋体"/>
                <w:bCs/>
                <w:color w:val="auto"/>
                <w:sz w:val="24"/>
                <w:szCs w:val="24"/>
              </w:rPr>
            </w:pPr>
          </w:p>
        </w:tc>
        <w:tc>
          <w:tcPr>
            <w:tcW w:w="1567" w:type="dxa"/>
            <w:noWrap w:val="0"/>
            <w:vAlign w:val="center"/>
          </w:tcPr>
          <w:p w14:paraId="057029FA">
            <w:pPr>
              <w:spacing w:line="440" w:lineRule="exact"/>
              <w:jc w:val="center"/>
              <w:rPr>
                <w:rFonts w:hint="eastAsia" w:ascii="宋体" w:hAnsi="宋体" w:eastAsia="宋体" w:cs="宋体"/>
                <w:bCs/>
                <w:color w:val="auto"/>
                <w:sz w:val="24"/>
                <w:szCs w:val="24"/>
              </w:rPr>
            </w:pPr>
          </w:p>
        </w:tc>
        <w:tc>
          <w:tcPr>
            <w:tcW w:w="1183" w:type="dxa"/>
            <w:noWrap w:val="0"/>
            <w:vAlign w:val="center"/>
          </w:tcPr>
          <w:p w14:paraId="5014EC94">
            <w:pPr>
              <w:spacing w:line="440" w:lineRule="exact"/>
              <w:jc w:val="center"/>
              <w:rPr>
                <w:rFonts w:hint="eastAsia" w:ascii="宋体" w:hAnsi="宋体" w:eastAsia="宋体" w:cs="宋体"/>
                <w:bCs/>
                <w:color w:val="auto"/>
                <w:sz w:val="24"/>
                <w:szCs w:val="24"/>
              </w:rPr>
            </w:pPr>
          </w:p>
        </w:tc>
        <w:tc>
          <w:tcPr>
            <w:tcW w:w="1309" w:type="dxa"/>
            <w:noWrap w:val="0"/>
            <w:vAlign w:val="center"/>
          </w:tcPr>
          <w:p w14:paraId="67D9A11C">
            <w:pPr>
              <w:spacing w:line="440" w:lineRule="exact"/>
              <w:jc w:val="center"/>
              <w:rPr>
                <w:rFonts w:hint="eastAsia" w:ascii="宋体" w:hAnsi="宋体" w:eastAsia="宋体" w:cs="宋体"/>
                <w:bCs/>
                <w:color w:val="auto"/>
                <w:sz w:val="24"/>
                <w:szCs w:val="24"/>
              </w:rPr>
            </w:pPr>
          </w:p>
        </w:tc>
        <w:tc>
          <w:tcPr>
            <w:tcW w:w="1418" w:type="dxa"/>
            <w:noWrap w:val="0"/>
            <w:vAlign w:val="center"/>
          </w:tcPr>
          <w:p w14:paraId="6F07E989">
            <w:pPr>
              <w:spacing w:line="440" w:lineRule="exact"/>
              <w:jc w:val="center"/>
              <w:rPr>
                <w:rFonts w:hint="eastAsia" w:ascii="宋体" w:hAnsi="宋体" w:eastAsia="宋体" w:cs="宋体"/>
                <w:bCs/>
                <w:color w:val="auto"/>
                <w:sz w:val="24"/>
                <w:szCs w:val="24"/>
              </w:rPr>
            </w:pPr>
          </w:p>
        </w:tc>
      </w:tr>
      <w:tr w14:paraId="3AEE9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22" w:type="dxa"/>
            <w:noWrap w:val="0"/>
            <w:vAlign w:val="center"/>
          </w:tcPr>
          <w:p w14:paraId="7C5CC13E">
            <w:pPr>
              <w:spacing w:line="440" w:lineRule="exact"/>
              <w:ind w:left="0" w:leftChars="0"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3</w:t>
            </w:r>
          </w:p>
        </w:tc>
        <w:tc>
          <w:tcPr>
            <w:tcW w:w="1530" w:type="dxa"/>
            <w:noWrap w:val="0"/>
            <w:vAlign w:val="center"/>
          </w:tcPr>
          <w:p w14:paraId="5F277011">
            <w:pPr>
              <w:spacing w:line="440" w:lineRule="exact"/>
              <w:jc w:val="center"/>
              <w:rPr>
                <w:rFonts w:hint="eastAsia" w:ascii="宋体" w:hAnsi="宋体" w:eastAsia="宋体" w:cs="宋体"/>
                <w:bCs/>
                <w:color w:val="auto"/>
                <w:sz w:val="24"/>
                <w:szCs w:val="24"/>
              </w:rPr>
            </w:pPr>
          </w:p>
        </w:tc>
        <w:tc>
          <w:tcPr>
            <w:tcW w:w="802" w:type="dxa"/>
            <w:noWrap w:val="0"/>
            <w:vAlign w:val="center"/>
          </w:tcPr>
          <w:p w14:paraId="11913D6A">
            <w:pPr>
              <w:spacing w:line="440" w:lineRule="exact"/>
              <w:jc w:val="center"/>
              <w:rPr>
                <w:rFonts w:hint="eastAsia" w:ascii="宋体" w:hAnsi="宋体" w:eastAsia="宋体" w:cs="宋体"/>
                <w:bCs/>
                <w:color w:val="auto"/>
                <w:sz w:val="24"/>
                <w:szCs w:val="24"/>
              </w:rPr>
            </w:pPr>
          </w:p>
        </w:tc>
        <w:tc>
          <w:tcPr>
            <w:tcW w:w="918" w:type="dxa"/>
            <w:noWrap w:val="0"/>
            <w:vAlign w:val="center"/>
          </w:tcPr>
          <w:p w14:paraId="6B836AD1">
            <w:pPr>
              <w:spacing w:line="440" w:lineRule="exact"/>
              <w:jc w:val="center"/>
              <w:rPr>
                <w:rFonts w:hint="eastAsia" w:ascii="宋体" w:hAnsi="宋体" w:eastAsia="宋体" w:cs="宋体"/>
                <w:bCs/>
                <w:color w:val="auto"/>
                <w:sz w:val="24"/>
                <w:szCs w:val="24"/>
              </w:rPr>
            </w:pPr>
          </w:p>
        </w:tc>
        <w:tc>
          <w:tcPr>
            <w:tcW w:w="1567" w:type="dxa"/>
            <w:noWrap w:val="0"/>
            <w:vAlign w:val="center"/>
          </w:tcPr>
          <w:p w14:paraId="53F4B72E">
            <w:pPr>
              <w:spacing w:line="440" w:lineRule="exact"/>
              <w:jc w:val="center"/>
              <w:rPr>
                <w:rFonts w:hint="eastAsia" w:ascii="宋体" w:hAnsi="宋体" w:eastAsia="宋体" w:cs="宋体"/>
                <w:bCs/>
                <w:color w:val="auto"/>
                <w:sz w:val="24"/>
                <w:szCs w:val="24"/>
              </w:rPr>
            </w:pPr>
          </w:p>
        </w:tc>
        <w:tc>
          <w:tcPr>
            <w:tcW w:w="1183" w:type="dxa"/>
            <w:noWrap w:val="0"/>
            <w:vAlign w:val="center"/>
          </w:tcPr>
          <w:p w14:paraId="5F394D34">
            <w:pPr>
              <w:spacing w:line="440" w:lineRule="exact"/>
              <w:jc w:val="center"/>
              <w:rPr>
                <w:rFonts w:hint="eastAsia" w:ascii="宋体" w:hAnsi="宋体" w:eastAsia="宋体" w:cs="宋体"/>
                <w:bCs/>
                <w:color w:val="auto"/>
                <w:sz w:val="24"/>
                <w:szCs w:val="24"/>
              </w:rPr>
            </w:pPr>
          </w:p>
        </w:tc>
        <w:tc>
          <w:tcPr>
            <w:tcW w:w="1309" w:type="dxa"/>
            <w:noWrap w:val="0"/>
            <w:vAlign w:val="center"/>
          </w:tcPr>
          <w:p w14:paraId="51793763">
            <w:pPr>
              <w:spacing w:line="440" w:lineRule="exact"/>
              <w:jc w:val="center"/>
              <w:rPr>
                <w:rFonts w:hint="eastAsia" w:ascii="宋体" w:hAnsi="宋体" w:eastAsia="宋体" w:cs="宋体"/>
                <w:bCs/>
                <w:color w:val="auto"/>
                <w:sz w:val="24"/>
                <w:szCs w:val="24"/>
              </w:rPr>
            </w:pPr>
          </w:p>
        </w:tc>
        <w:tc>
          <w:tcPr>
            <w:tcW w:w="1418" w:type="dxa"/>
            <w:noWrap w:val="0"/>
            <w:vAlign w:val="center"/>
          </w:tcPr>
          <w:p w14:paraId="454681BE">
            <w:pPr>
              <w:spacing w:line="440" w:lineRule="exact"/>
              <w:jc w:val="center"/>
              <w:rPr>
                <w:rFonts w:hint="eastAsia" w:ascii="宋体" w:hAnsi="宋体" w:eastAsia="宋体" w:cs="宋体"/>
                <w:bCs/>
                <w:color w:val="auto"/>
                <w:sz w:val="24"/>
                <w:szCs w:val="24"/>
              </w:rPr>
            </w:pPr>
          </w:p>
        </w:tc>
      </w:tr>
      <w:tr w14:paraId="4270F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722" w:type="dxa"/>
            <w:noWrap w:val="0"/>
            <w:vAlign w:val="center"/>
          </w:tcPr>
          <w:p w14:paraId="311CBE65">
            <w:pPr>
              <w:spacing w:line="440" w:lineRule="exact"/>
              <w:ind w:left="0" w:leftChars="0"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4</w:t>
            </w:r>
          </w:p>
        </w:tc>
        <w:tc>
          <w:tcPr>
            <w:tcW w:w="1530" w:type="dxa"/>
            <w:noWrap w:val="0"/>
            <w:vAlign w:val="center"/>
          </w:tcPr>
          <w:p w14:paraId="1F7DF809">
            <w:pPr>
              <w:spacing w:line="440" w:lineRule="exact"/>
              <w:jc w:val="center"/>
              <w:rPr>
                <w:rFonts w:hint="eastAsia" w:ascii="宋体" w:hAnsi="宋体" w:eastAsia="宋体" w:cs="宋体"/>
                <w:bCs/>
                <w:color w:val="auto"/>
                <w:sz w:val="24"/>
                <w:szCs w:val="24"/>
              </w:rPr>
            </w:pPr>
          </w:p>
        </w:tc>
        <w:tc>
          <w:tcPr>
            <w:tcW w:w="802" w:type="dxa"/>
            <w:noWrap w:val="0"/>
            <w:vAlign w:val="center"/>
          </w:tcPr>
          <w:p w14:paraId="31FE1786">
            <w:pPr>
              <w:spacing w:line="440" w:lineRule="exact"/>
              <w:jc w:val="center"/>
              <w:rPr>
                <w:rFonts w:hint="eastAsia" w:ascii="宋体" w:hAnsi="宋体" w:eastAsia="宋体" w:cs="宋体"/>
                <w:bCs/>
                <w:color w:val="auto"/>
                <w:sz w:val="24"/>
                <w:szCs w:val="24"/>
              </w:rPr>
            </w:pPr>
          </w:p>
        </w:tc>
        <w:tc>
          <w:tcPr>
            <w:tcW w:w="918" w:type="dxa"/>
            <w:noWrap w:val="0"/>
            <w:vAlign w:val="center"/>
          </w:tcPr>
          <w:p w14:paraId="232CE08E">
            <w:pPr>
              <w:spacing w:line="440" w:lineRule="exact"/>
              <w:jc w:val="center"/>
              <w:rPr>
                <w:rFonts w:hint="eastAsia" w:ascii="宋体" w:hAnsi="宋体" w:eastAsia="宋体" w:cs="宋体"/>
                <w:bCs/>
                <w:color w:val="auto"/>
                <w:sz w:val="24"/>
                <w:szCs w:val="24"/>
              </w:rPr>
            </w:pPr>
          </w:p>
        </w:tc>
        <w:tc>
          <w:tcPr>
            <w:tcW w:w="1567" w:type="dxa"/>
            <w:noWrap w:val="0"/>
            <w:vAlign w:val="center"/>
          </w:tcPr>
          <w:p w14:paraId="1E438434">
            <w:pPr>
              <w:spacing w:line="440" w:lineRule="exact"/>
              <w:jc w:val="center"/>
              <w:rPr>
                <w:rFonts w:hint="eastAsia" w:ascii="宋体" w:hAnsi="宋体" w:eastAsia="宋体" w:cs="宋体"/>
                <w:bCs/>
                <w:color w:val="auto"/>
                <w:sz w:val="24"/>
                <w:szCs w:val="24"/>
              </w:rPr>
            </w:pPr>
          </w:p>
        </w:tc>
        <w:tc>
          <w:tcPr>
            <w:tcW w:w="1183" w:type="dxa"/>
            <w:noWrap w:val="0"/>
            <w:vAlign w:val="center"/>
          </w:tcPr>
          <w:p w14:paraId="016C7CF8">
            <w:pPr>
              <w:spacing w:line="440" w:lineRule="exact"/>
              <w:jc w:val="center"/>
              <w:rPr>
                <w:rFonts w:hint="eastAsia" w:ascii="宋体" w:hAnsi="宋体" w:eastAsia="宋体" w:cs="宋体"/>
                <w:bCs/>
                <w:color w:val="auto"/>
                <w:sz w:val="24"/>
                <w:szCs w:val="24"/>
              </w:rPr>
            </w:pPr>
          </w:p>
        </w:tc>
        <w:tc>
          <w:tcPr>
            <w:tcW w:w="1309" w:type="dxa"/>
            <w:noWrap w:val="0"/>
            <w:vAlign w:val="center"/>
          </w:tcPr>
          <w:p w14:paraId="6747AF6A">
            <w:pPr>
              <w:spacing w:line="440" w:lineRule="exact"/>
              <w:jc w:val="center"/>
              <w:rPr>
                <w:rFonts w:hint="eastAsia" w:ascii="宋体" w:hAnsi="宋体" w:eastAsia="宋体" w:cs="宋体"/>
                <w:bCs/>
                <w:color w:val="auto"/>
                <w:sz w:val="24"/>
                <w:szCs w:val="24"/>
              </w:rPr>
            </w:pPr>
          </w:p>
        </w:tc>
        <w:tc>
          <w:tcPr>
            <w:tcW w:w="1418" w:type="dxa"/>
            <w:noWrap w:val="0"/>
            <w:vAlign w:val="center"/>
          </w:tcPr>
          <w:p w14:paraId="56553987">
            <w:pPr>
              <w:spacing w:line="440" w:lineRule="exact"/>
              <w:jc w:val="center"/>
              <w:rPr>
                <w:rFonts w:hint="eastAsia" w:ascii="宋体" w:hAnsi="宋体" w:eastAsia="宋体" w:cs="宋体"/>
                <w:bCs/>
                <w:color w:val="auto"/>
                <w:sz w:val="24"/>
                <w:szCs w:val="24"/>
              </w:rPr>
            </w:pPr>
          </w:p>
        </w:tc>
      </w:tr>
      <w:tr w14:paraId="7A853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22" w:type="dxa"/>
            <w:noWrap w:val="0"/>
            <w:vAlign w:val="center"/>
          </w:tcPr>
          <w:p w14:paraId="20FA5C31">
            <w:pPr>
              <w:spacing w:line="440" w:lineRule="exact"/>
              <w:ind w:left="0" w:leftChars="0"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5</w:t>
            </w:r>
          </w:p>
        </w:tc>
        <w:tc>
          <w:tcPr>
            <w:tcW w:w="1530" w:type="dxa"/>
            <w:noWrap w:val="0"/>
            <w:vAlign w:val="center"/>
          </w:tcPr>
          <w:p w14:paraId="08D3ACB9">
            <w:pPr>
              <w:spacing w:line="440" w:lineRule="exact"/>
              <w:jc w:val="center"/>
              <w:rPr>
                <w:rFonts w:hint="eastAsia" w:ascii="宋体" w:hAnsi="宋体" w:eastAsia="宋体" w:cs="宋体"/>
                <w:bCs/>
                <w:color w:val="auto"/>
                <w:sz w:val="24"/>
                <w:szCs w:val="24"/>
              </w:rPr>
            </w:pPr>
          </w:p>
        </w:tc>
        <w:tc>
          <w:tcPr>
            <w:tcW w:w="802" w:type="dxa"/>
            <w:noWrap w:val="0"/>
            <w:vAlign w:val="center"/>
          </w:tcPr>
          <w:p w14:paraId="63BA85E6">
            <w:pPr>
              <w:spacing w:line="440" w:lineRule="exact"/>
              <w:jc w:val="center"/>
              <w:rPr>
                <w:rFonts w:hint="eastAsia" w:ascii="宋体" w:hAnsi="宋体" w:eastAsia="宋体" w:cs="宋体"/>
                <w:bCs/>
                <w:color w:val="auto"/>
                <w:sz w:val="24"/>
                <w:szCs w:val="24"/>
              </w:rPr>
            </w:pPr>
          </w:p>
        </w:tc>
        <w:tc>
          <w:tcPr>
            <w:tcW w:w="918" w:type="dxa"/>
            <w:noWrap w:val="0"/>
            <w:vAlign w:val="center"/>
          </w:tcPr>
          <w:p w14:paraId="3B03B4EC">
            <w:pPr>
              <w:spacing w:line="440" w:lineRule="exact"/>
              <w:jc w:val="center"/>
              <w:rPr>
                <w:rFonts w:hint="eastAsia" w:ascii="宋体" w:hAnsi="宋体" w:eastAsia="宋体" w:cs="宋体"/>
                <w:bCs/>
                <w:color w:val="auto"/>
                <w:sz w:val="24"/>
                <w:szCs w:val="24"/>
              </w:rPr>
            </w:pPr>
          </w:p>
        </w:tc>
        <w:tc>
          <w:tcPr>
            <w:tcW w:w="1567" w:type="dxa"/>
            <w:noWrap w:val="0"/>
            <w:vAlign w:val="center"/>
          </w:tcPr>
          <w:p w14:paraId="5C549888">
            <w:pPr>
              <w:spacing w:line="440" w:lineRule="exact"/>
              <w:jc w:val="center"/>
              <w:rPr>
                <w:rFonts w:hint="eastAsia" w:ascii="宋体" w:hAnsi="宋体" w:eastAsia="宋体" w:cs="宋体"/>
                <w:bCs/>
                <w:color w:val="auto"/>
                <w:sz w:val="24"/>
                <w:szCs w:val="24"/>
              </w:rPr>
            </w:pPr>
          </w:p>
        </w:tc>
        <w:tc>
          <w:tcPr>
            <w:tcW w:w="1183" w:type="dxa"/>
            <w:noWrap w:val="0"/>
            <w:vAlign w:val="center"/>
          </w:tcPr>
          <w:p w14:paraId="43C6BF96">
            <w:pPr>
              <w:spacing w:line="440" w:lineRule="exact"/>
              <w:jc w:val="center"/>
              <w:rPr>
                <w:rFonts w:hint="eastAsia" w:ascii="宋体" w:hAnsi="宋体" w:eastAsia="宋体" w:cs="宋体"/>
                <w:bCs/>
                <w:color w:val="auto"/>
                <w:sz w:val="24"/>
                <w:szCs w:val="24"/>
              </w:rPr>
            </w:pPr>
          </w:p>
        </w:tc>
        <w:tc>
          <w:tcPr>
            <w:tcW w:w="1309" w:type="dxa"/>
            <w:noWrap w:val="0"/>
            <w:vAlign w:val="center"/>
          </w:tcPr>
          <w:p w14:paraId="12A37849">
            <w:pPr>
              <w:spacing w:line="440" w:lineRule="exact"/>
              <w:jc w:val="center"/>
              <w:rPr>
                <w:rFonts w:hint="eastAsia" w:ascii="宋体" w:hAnsi="宋体" w:eastAsia="宋体" w:cs="宋体"/>
                <w:bCs/>
                <w:color w:val="auto"/>
                <w:sz w:val="24"/>
                <w:szCs w:val="24"/>
              </w:rPr>
            </w:pPr>
          </w:p>
        </w:tc>
        <w:tc>
          <w:tcPr>
            <w:tcW w:w="1418" w:type="dxa"/>
            <w:noWrap w:val="0"/>
            <w:vAlign w:val="center"/>
          </w:tcPr>
          <w:p w14:paraId="41D09456">
            <w:pPr>
              <w:spacing w:line="440" w:lineRule="exact"/>
              <w:jc w:val="center"/>
              <w:rPr>
                <w:rFonts w:hint="eastAsia" w:ascii="宋体" w:hAnsi="宋体" w:eastAsia="宋体" w:cs="宋体"/>
                <w:bCs/>
                <w:color w:val="auto"/>
                <w:sz w:val="24"/>
                <w:szCs w:val="24"/>
              </w:rPr>
            </w:pPr>
          </w:p>
        </w:tc>
      </w:tr>
      <w:tr w14:paraId="4C2D4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722" w:type="dxa"/>
            <w:noWrap w:val="0"/>
            <w:vAlign w:val="center"/>
          </w:tcPr>
          <w:p w14:paraId="735E6E37">
            <w:pPr>
              <w:spacing w:line="440" w:lineRule="exact"/>
              <w:ind w:left="0" w:leftChars="0"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6</w:t>
            </w:r>
          </w:p>
        </w:tc>
        <w:tc>
          <w:tcPr>
            <w:tcW w:w="1530" w:type="dxa"/>
            <w:noWrap w:val="0"/>
            <w:vAlign w:val="center"/>
          </w:tcPr>
          <w:p w14:paraId="2CAEFCC6">
            <w:pPr>
              <w:spacing w:line="440" w:lineRule="exact"/>
              <w:jc w:val="center"/>
              <w:rPr>
                <w:rFonts w:hint="eastAsia" w:ascii="宋体" w:hAnsi="宋体" w:eastAsia="宋体" w:cs="宋体"/>
                <w:bCs/>
                <w:color w:val="auto"/>
                <w:sz w:val="24"/>
                <w:szCs w:val="24"/>
              </w:rPr>
            </w:pPr>
          </w:p>
        </w:tc>
        <w:tc>
          <w:tcPr>
            <w:tcW w:w="802" w:type="dxa"/>
            <w:noWrap w:val="0"/>
            <w:vAlign w:val="center"/>
          </w:tcPr>
          <w:p w14:paraId="3104A3F4">
            <w:pPr>
              <w:spacing w:line="440" w:lineRule="exact"/>
              <w:jc w:val="center"/>
              <w:rPr>
                <w:rFonts w:hint="eastAsia" w:ascii="宋体" w:hAnsi="宋体" w:eastAsia="宋体" w:cs="宋体"/>
                <w:bCs/>
                <w:color w:val="auto"/>
                <w:sz w:val="24"/>
                <w:szCs w:val="24"/>
              </w:rPr>
            </w:pPr>
          </w:p>
        </w:tc>
        <w:tc>
          <w:tcPr>
            <w:tcW w:w="918" w:type="dxa"/>
            <w:noWrap w:val="0"/>
            <w:vAlign w:val="center"/>
          </w:tcPr>
          <w:p w14:paraId="09F2ACFA">
            <w:pPr>
              <w:spacing w:line="440" w:lineRule="exact"/>
              <w:jc w:val="center"/>
              <w:rPr>
                <w:rFonts w:hint="eastAsia" w:ascii="宋体" w:hAnsi="宋体" w:eastAsia="宋体" w:cs="宋体"/>
                <w:bCs/>
                <w:color w:val="auto"/>
                <w:sz w:val="24"/>
                <w:szCs w:val="24"/>
              </w:rPr>
            </w:pPr>
          </w:p>
        </w:tc>
        <w:tc>
          <w:tcPr>
            <w:tcW w:w="1567" w:type="dxa"/>
            <w:noWrap w:val="0"/>
            <w:vAlign w:val="center"/>
          </w:tcPr>
          <w:p w14:paraId="3BCF343B">
            <w:pPr>
              <w:spacing w:line="440" w:lineRule="exact"/>
              <w:jc w:val="center"/>
              <w:rPr>
                <w:rFonts w:hint="eastAsia" w:ascii="宋体" w:hAnsi="宋体" w:eastAsia="宋体" w:cs="宋体"/>
                <w:bCs/>
                <w:color w:val="auto"/>
                <w:sz w:val="24"/>
                <w:szCs w:val="24"/>
              </w:rPr>
            </w:pPr>
          </w:p>
        </w:tc>
        <w:tc>
          <w:tcPr>
            <w:tcW w:w="1183" w:type="dxa"/>
            <w:noWrap w:val="0"/>
            <w:vAlign w:val="center"/>
          </w:tcPr>
          <w:p w14:paraId="49259973">
            <w:pPr>
              <w:spacing w:line="440" w:lineRule="exact"/>
              <w:jc w:val="center"/>
              <w:rPr>
                <w:rFonts w:hint="eastAsia" w:ascii="宋体" w:hAnsi="宋体" w:eastAsia="宋体" w:cs="宋体"/>
                <w:bCs/>
                <w:color w:val="auto"/>
                <w:sz w:val="24"/>
                <w:szCs w:val="24"/>
              </w:rPr>
            </w:pPr>
          </w:p>
        </w:tc>
        <w:tc>
          <w:tcPr>
            <w:tcW w:w="1309" w:type="dxa"/>
            <w:noWrap w:val="0"/>
            <w:vAlign w:val="center"/>
          </w:tcPr>
          <w:p w14:paraId="554EC02F">
            <w:pPr>
              <w:spacing w:line="440" w:lineRule="exact"/>
              <w:jc w:val="center"/>
              <w:rPr>
                <w:rFonts w:hint="eastAsia" w:ascii="宋体" w:hAnsi="宋体" w:eastAsia="宋体" w:cs="宋体"/>
                <w:bCs/>
                <w:color w:val="auto"/>
                <w:sz w:val="24"/>
                <w:szCs w:val="24"/>
              </w:rPr>
            </w:pPr>
          </w:p>
        </w:tc>
        <w:tc>
          <w:tcPr>
            <w:tcW w:w="1418" w:type="dxa"/>
            <w:noWrap w:val="0"/>
            <w:vAlign w:val="center"/>
          </w:tcPr>
          <w:p w14:paraId="6A942977">
            <w:pPr>
              <w:spacing w:line="440" w:lineRule="exact"/>
              <w:jc w:val="center"/>
              <w:rPr>
                <w:rFonts w:hint="eastAsia" w:ascii="宋体" w:hAnsi="宋体" w:eastAsia="宋体" w:cs="宋体"/>
                <w:bCs/>
                <w:color w:val="auto"/>
                <w:sz w:val="24"/>
                <w:szCs w:val="24"/>
              </w:rPr>
            </w:pPr>
          </w:p>
        </w:tc>
      </w:tr>
      <w:tr w14:paraId="19366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722" w:type="dxa"/>
            <w:noWrap w:val="0"/>
            <w:vAlign w:val="center"/>
          </w:tcPr>
          <w:p w14:paraId="54EE3EF1">
            <w:pPr>
              <w:spacing w:line="440" w:lineRule="exact"/>
              <w:ind w:left="0" w:leftChars="0"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7</w:t>
            </w:r>
          </w:p>
        </w:tc>
        <w:tc>
          <w:tcPr>
            <w:tcW w:w="1530" w:type="dxa"/>
            <w:noWrap w:val="0"/>
            <w:vAlign w:val="center"/>
          </w:tcPr>
          <w:p w14:paraId="594BEFBA">
            <w:pPr>
              <w:spacing w:line="440" w:lineRule="exact"/>
              <w:jc w:val="center"/>
              <w:rPr>
                <w:rFonts w:hint="eastAsia" w:ascii="宋体" w:hAnsi="宋体" w:eastAsia="宋体" w:cs="宋体"/>
                <w:bCs/>
                <w:color w:val="auto"/>
                <w:sz w:val="24"/>
                <w:szCs w:val="24"/>
              </w:rPr>
            </w:pPr>
          </w:p>
        </w:tc>
        <w:tc>
          <w:tcPr>
            <w:tcW w:w="802" w:type="dxa"/>
            <w:noWrap w:val="0"/>
            <w:vAlign w:val="center"/>
          </w:tcPr>
          <w:p w14:paraId="6F49D615">
            <w:pPr>
              <w:spacing w:line="440" w:lineRule="exact"/>
              <w:jc w:val="center"/>
              <w:rPr>
                <w:rFonts w:hint="eastAsia" w:ascii="宋体" w:hAnsi="宋体" w:eastAsia="宋体" w:cs="宋体"/>
                <w:bCs/>
                <w:color w:val="auto"/>
                <w:sz w:val="24"/>
                <w:szCs w:val="24"/>
              </w:rPr>
            </w:pPr>
          </w:p>
        </w:tc>
        <w:tc>
          <w:tcPr>
            <w:tcW w:w="918" w:type="dxa"/>
            <w:noWrap w:val="0"/>
            <w:vAlign w:val="center"/>
          </w:tcPr>
          <w:p w14:paraId="42497453">
            <w:pPr>
              <w:spacing w:line="440" w:lineRule="exact"/>
              <w:jc w:val="center"/>
              <w:rPr>
                <w:rFonts w:hint="eastAsia" w:ascii="宋体" w:hAnsi="宋体" w:eastAsia="宋体" w:cs="宋体"/>
                <w:bCs/>
                <w:color w:val="auto"/>
                <w:sz w:val="24"/>
                <w:szCs w:val="24"/>
              </w:rPr>
            </w:pPr>
          </w:p>
        </w:tc>
        <w:tc>
          <w:tcPr>
            <w:tcW w:w="1567" w:type="dxa"/>
            <w:noWrap w:val="0"/>
            <w:vAlign w:val="center"/>
          </w:tcPr>
          <w:p w14:paraId="3DE2E0A1">
            <w:pPr>
              <w:spacing w:line="440" w:lineRule="exact"/>
              <w:jc w:val="center"/>
              <w:rPr>
                <w:rFonts w:hint="eastAsia" w:ascii="宋体" w:hAnsi="宋体" w:eastAsia="宋体" w:cs="宋体"/>
                <w:bCs/>
                <w:color w:val="auto"/>
                <w:sz w:val="24"/>
                <w:szCs w:val="24"/>
              </w:rPr>
            </w:pPr>
          </w:p>
        </w:tc>
        <w:tc>
          <w:tcPr>
            <w:tcW w:w="1183" w:type="dxa"/>
            <w:noWrap w:val="0"/>
            <w:vAlign w:val="center"/>
          </w:tcPr>
          <w:p w14:paraId="627675C0">
            <w:pPr>
              <w:spacing w:line="440" w:lineRule="exact"/>
              <w:jc w:val="center"/>
              <w:rPr>
                <w:rFonts w:hint="eastAsia" w:ascii="宋体" w:hAnsi="宋体" w:eastAsia="宋体" w:cs="宋体"/>
                <w:bCs/>
                <w:color w:val="auto"/>
                <w:sz w:val="24"/>
                <w:szCs w:val="24"/>
              </w:rPr>
            </w:pPr>
          </w:p>
        </w:tc>
        <w:tc>
          <w:tcPr>
            <w:tcW w:w="1309" w:type="dxa"/>
            <w:noWrap w:val="0"/>
            <w:vAlign w:val="center"/>
          </w:tcPr>
          <w:p w14:paraId="73B321B0">
            <w:pPr>
              <w:spacing w:line="440" w:lineRule="exact"/>
              <w:jc w:val="center"/>
              <w:rPr>
                <w:rFonts w:hint="eastAsia" w:ascii="宋体" w:hAnsi="宋体" w:eastAsia="宋体" w:cs="宋体"/>
                <w:bCs/>
                <w:color w:val="auto"/>
                <w:sz w:val="24"/>
                <w:szCs w:val="24"/>
              </w:rPr>
            </w:pPr>
          </w:p>
        </w:tc>
        <w:tc>
          <w:tcPr>
            <w:tcW w:w="1418" w:type="dxa"/>
            <w:noWrap w:val="0"/>
            <w:vAlign w:val="center"/>
          </w:tcPr>
          <w:p w14:paraId="1CDA4324">
            <w:pPr>
              <w:spacing w:line="440" w:lineRule="exact"/>
              <w:jc w:val="center"/>
              <w:rPr>
                <w:rFonts w:hint="eastAsia" w:ascii="宋体" w:hAnsi="宋体" w:eastAsia="宋体" w:cs="宋体"/>
                <w:bCs/>
                <w:color w:val="auto"/>
                <w:sz w:val="24"/>
                <w:szCs w:val="24"/>
              </w:rPr>
            </w:pPr>
          </w:p>
        </w:tc>
      </w:tr>
      <w:tr w14:paraId="2D783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722" w:type="dxa"/>
            <w:noWrap w:val="0"/>
            <w:vAlign w:val="center"/>
          </w:tcPr>
          <w:p w14:paraId="6CFA89A1">
            <w:pPr>
              <w:spacing w:line="440" w:lineRule="exact"/>
              <w:ind w:left="0" w:leftChars="0"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w:t>
            </w:r>
          </w:p>
        </w:tc>
        <w:tc>
          <w:tcPr>
            <w:tcW w:w="1530" w:type="dxa"/>
            <w:noWrap w:val="0"/>
            <w:vAlign w:val="center"/>
          </w:tcPr>
          <w:p w14:paraId="74D81F95">
            <w:pPr>
              <w:spacing w:line="440" w:lineRule="exact"/>
              <w:jc w:val="center"/>
              <w:rPr>
                <w:rFonts w:hint="eastAsia" w:ascii="宋体" w:hAnsi="宋体" w:eastAsia="宋体" w:cs="宋体"/>
                <w:bCs/>
                <w:color w:val="auto"/>
                <w:sz w:val="24"/>
                <w:szCs w:val="24"/>
              </w:rPr>
            </w:pPr>
          </w:p>
        </w:tc>
        <w:tc>
          <w:tcPr>
            <w:tcW w:w="802" w:type="dxa"/>
            <w:noWrap w:val="0"/>
            <w:vAlign w:val="center"/>
          </w:tcPr>
          <w:p w14:paraId="341A08F0">
            <w:pPr>
              <w:spacing w:line="440" w:lineRule="exact"/>
              <w:jc w:val="center"/>
              <w:rPr>
                <w:rFonts w:hint="eastAsia" w:ascii="宋体" w:hAnsi="宋体" w:eastAsia="宋体" w:cs="宋体"/>
                <w:bCs/>
                <w:color w:val="auto"/>
                <w:sz w:val="24"/>
                <w:szCs w:val="24"/>
              </w:rPr>
            </w:pPr>
          </w:p>
        </w:tc>
        <w:tc>
          <w:tcPr>
            <w:tcW w:w="918" w:type="dxa"/>
            <w:noWrap w:val="0"/>
            <w:vAlign w:val="center"/>
          </w:tcPr>
          <w:p w14:paraId="6C767E69">
            <w:pPr>
              <w:spacing w:line="440" w:lineRule="exact"/>
              <w:jc w:val="center"/>
              <w:rPr>
                <w:rFonts w:hint="eastAsia" w:ascii="宋体" w:hAnsi="宋体" w:eastAsia="宋体" w:cs="宋体"/>
                <w:bCs/>
                <w:color w:val="auto"/>
                <w:sz w:val="24"/>
                <w:szCs w:val="24"/>
              </w:rPr>
            </w:pPr>
          </w:p>
        </w:tc>
        <w:tc>
          <w:tcPr>
            <w:tcW w:w="1567" w:type="dxa"/>
            <w:noWrap w:val="0"/>
            <w:vAlign w:val="center"/>
          </w:tcPr>
          <w:p w14:paraId="13A6CC36">
            <w:pPr>
              <w:spacing w:line="440" w:lineRule="exact"/>
              <w:jc w:val="center"/>
              <w:rPr>
                <w:rFonts w:hint="eastAsia" w:ascii="宋体" w:hAnsi="宋体" w:eastAsia="宋体" w:cs="宋体"/>
                <w:bCs/>
                <w:color w:val="auto"/>
                <w:sz w:val="24"/>
                <w:szCs w:val="24"/>
              </w:rPr>
            </w:pPr>
          </w:p>
        </w:tc>
        <w:tc>
          <w:tcPr>
            <w:tcW w:w="1183" w:type="dxa"/>
            <w:noWrap w:val="0"/>
            <w:vAlign w:val="center"/>
          </w:tcPr>
          <w:p w14:paraId="6219A65B">
            <w:pPr>
              <w:spacing w:line="440" w:lineRule="exact"/>
              <w:jc w:val="center"/>
              <w:rPr>
                <w:rFonts w:hint="eastAsia" w:ascii="宋体" w:hAnsi="宋体" w:eastAsia="宋体" w:cs="宋体"/>
                <w:bCs/>
                <w:color w:val="auto"/>
                <w:sz w:val="24"/>
                <w:szCs w:val="24"/>
              </w:rPr>
            </w:pPr>
          </w:p>
        </w:tc>
        <w:tc>
          <w:tcPr>
            <w:tcW w:w="1309" w:type="dxa"/>
            <w:noWrap w:val="0"/>
            <w:vAlign w:val="center"/>
          </w:tcPr>
          <w:p w14:paraId="5959852D">
            <w:pPr>
              <w:spacing w:line="440" w:lineRule="exact"/>
              <w:jc w:val="center"/>
              <w:rPr>
                <w:rFonts w:hint="eastAsia" w:ascii="宋体" w:hAnsi="宋体" w:eastAsia="宋体" w:cs="宋体"/>
                <w:bCs/>
                <w:color w:val="auto"/>
                <w:sz w:val="24"/>
                <w:szCs w:val="24"/>
              </w:rPr>
            </w:pPr>
          </w:p>
        </w:tc>
        <w:tc>
          <w:tcPr>
            <w:tcW w:w="1418" w:type="dxa"/>
            <w:noWrap w:val="0"/>
            <w:vAlign w:val="center"/>
          </w:tcPr>
          <w:p w14:paraId="1EB95BCF">
            <w:pPr>
              <w:spacing w:line="440" w:lineRule="exact"/>
              <w:jc w:val="center"/>
              <w:rPr>
                <w:rFonts w:hint="eastAsia" w:ascii="宋体" w:hAnsi="宋体" w:eastAsia="宋体" w:cs="宋体"/>
                <w:bCs/>
                <w:color w:val="auto"/>
                <w:sz w:val="24"/>
                <w:szCs w:val="24"/>
              </w:rPr>
            </w:pPr>
          </w:p>
        </w:tc>
      </w:tr>
      <w:tr w14:paraId="40380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9449" w:type="dxa"/>
            <w:gridSpan w:val="8"/>
            <w:noWrap w:val="0"/>
            <w:vAlign w:val="center"/>
          </w:tcPr>
          <w:p w14:paraId="50D6B425">
            <w:pPr>
              <w:spacing w:line="440" w:lineRule="exact"/>
              <w:ind w:left="0" w:leftChars="0" w:firstLine="0" w:firstLineChars="0"/>
              <w:jc w:val="left"/>
              <w:rPr>
                <w:rFonts w:hint="eastAsia" w:ascii="宋体" w:hAnsi="宋体" w:eastAsia="宋体" w:cs="宋体"/>
                <w:bCs/>
                <w:color w:val="auto"/>
                <w:sz w:val="24"/>
                <w:szCs w:val="24"/>
                <w:lang w:val="en-US" w:eastAsia="zh-CN"/>
              </w:rPr>
            </w:pPr>
            <w:r>
              <w:rPr>
                <w:rFonts w:hint="eastAsia" w:cs="宋体"/>
                <w:bCs/>
                <w:color w:val="auto"/>
                <w:sz w:val="24"/>
                <w:szCs w:val="24"/>
                <w:lang w:val="en-US" w:eastAsia="zh-CN"/>
              </w:rPr>
              <w:t>总报价</w:t>
            </w:r>
            <w:r>
              <w:rPr>
                <w:rFonts w:hint="eastAsia" w:ascii="宋体" w:hAnsi="宋体" w:eastAsia="宋体" w:cs="宋体"/>
                <w:bCs/>
                <w:color w:val="auto"/>
                <w:sz w:val="24"/>
                <w:szCs w:val="24"/>
                <w:lang w:val="en-US" w:eastAsia="zh-CN"/>
              </w:rPr>
              <w:t>：（大写）</w:t>
            </w:r>
            <w:r>
              <w:rPr>
                <w:rFonts w:hint="eastAsia" w:ascii="宋体" w:hAnsi="宋体" w:eastAsia="宋体" w:cs="宋体"/>
                <w:bCs/>
                <w:color w:val="auto"/>
                <w:sz w:val="24"/>
                <w:szCs w:val="24"/>
                <w:u w:val="single"/>
                <w:lang w:val="en-US" w:eastAsia="zh-CN"/>
              </w:rPr>
              <w:t xml:space="preserve">       </w:t>
            </w:r>
            <w:r>
              <w:rPr>
                <w:rFonts w:hint="eastAsia" w:ascii="宋体" w:hAnsi="宋体" w:eastAsia="宋体" w:cs="宋体"/>
                <w:bCs/>
                <w:color w:val="auto"/>
                <w:sz w:val="24"/>
                <w:szCs w:val="24"/>
                <w:lang w:val="en-US" w:eastAsia="zh-CN"/>
              </w:rPr>
              <w:t>元；（小写）：</w:t>
            </w:r>
            <w:r>
              <w:rPr>
                <w:rFonts w:hint="eastAsia" w:ascii="宋体" w:hAnsi="宋体" w:eastAsia="宋体" w:cs="宋体"/>
                <w:bCs/>
                <w:color w:val="auto"/>
                <w:sz w:val="24"/>
                <w:szCs w:val="24"/>
                <w:u w:val="single"/>
                <w:lang w:val="en-US" w:eastAsia="zh-CN"/>
              </w:rPr>
              <w:t xml:space="preserve">       </w:t>
            </w:r>
            <w:r>
              <w:rPr>
                <w:rFonts w:hint="eastAsia" w:ascii="宋体" w:hAnsi="宋体" w:eastAsia="宋体" w:cs="宋体"/>
                <w:bCs/>
                <w:color w:val="auto"/>
                <w:sz w:val="24"/>
                <w:szCs w:val="24"/>
                <w:lang w:val="en-US" w:eastAsia="zh-CN"/>
              </w:rPr>
              <w:t>元</w:t>
            </w:r>
          </w:p>
        </w:tc>
      </w:tr>
    </w:tbl>
    <w:p w14:paraId="72155CA4">
      <w:pPr>
        <w:bidi w:val="0"/>
        <w:jc w:val="left"/>
        <w:rPr>
          <w:rFonts w:hint="eastAsia"/>
          <w:b/>
          <w:bCs/>
          <w:lang w:val="en-US" w:eastAsia="zh-CN"/>
        </w:rPr>
      </w:pPr>
    </w:p>
    <w:p w14:paraId="7CE79467">
      <w:pPr>
        <w:bidi w:val="0"/>
        <w:ind w:left="0" w:leftChars="0" w:firstLine="0" w:firstLineChars="0"/>
        <w:jc w:val="left"/>
        <w:rPr>
          <w:rFonts w:hint="eastAsia" w:ascii="宋体" w:hAnsi="宋体" w:eastAsia="宋体" w:cs="宋体"/>
          <w:b/>
          <w:bCs w:val="0"/>
          <w:color w:val="auto"/>
          <w:kern w:val="0"/>
          <w:sz w:val="24"/>
          <w:szCs w:val="24"/>
          <w:lang w:val="en-US" w:eastAsia="zh-CN" w:bidi="ar-SA"/>
        </w:rPr>
      </w:pPr>
      <w:r>
        <w:rPr>
          <w:rFonts w:hint="eastAsia"/>
          <w:b/>
          <w:bCs/>
          <w:lang w:val="en-US" w:eastAsia="zh-CN"/>
        </w:rPr>
        <w:t>标项二：</w:t>
      </w:r>
      <w:r>
        <w:rPr>
          <w:rFonts w:hint="eastAsia" w:ascii="宋体" w:hAnsi="宋体" w:eastAsia="宋体" w:cs="宋体"/>
          <w:b/>
          <w:bCs w:val="0"/>
          <w:color w:val="auto"/>
          <w:kern w:val="0"/>
          <w:sz w:val="24"/>
          <w:szCs w:val="24"/>
          <w:lang w:val="en-US" w:eastAsia="zh-CN" w:bidi="ar-SA"/>
        </w:rPr>
        <w:t>瑜伽馆、武术馆、跆拳道馆、体操馆、健美操馆、力量馆与职工之家设备</w:t>
      </w:r>
    </w:p>
    <w:tbl>
      <w:tblPr>
        <w:tblStyle w:val="45"/>
        <w:tblW w:w="94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530"/>
        <w:gridCol w:w="802"/>
        <w:gridCol w:w="918"/>
        <w:gridCol w:w="1567"/>
        <w:gridCol w:w="1183"/>
        <w:gridCol w:w="1309"/>
        <w:gridCol w:w="1418"/>
      </w:tblGrid>
      <w:tr w14:paraId="76247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722" w:type="dxa"/>
            <w:noWrap w:val="0"/>
            <w:vAlign w:val="center"/>
          </w:tcPr>
          <w:p w14:paraId="4A3DBAC7">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序号</w:t>
            </w:r>
          </w:p>
        </w:tc>
        <w:tc>
          <w:tcPr>
            <w:tcW w:w="1530" w:type="dxa"/>
            <w:noWrap w:val="0"/>
            <w:vAlign w:val="center"/>
          </w:tcPr>
          <w:p w14:paraId="161E68FB">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Cs/>
                <w:color w:val="auto"/>
                <w:sz w:val="24"/>
                <w:szCs w:val="24"/>
              </w:rPr>
            </w:pPr>
            <w:r>
              <w:rPr>
                <w:rFonts w:hint="eastAsia" w:cs="宋体"/>
                <w:bCs/>
                <w:color w:val="auto"/>
                <w:sz w:val="24"/>
                <w:szCs w:val="24"/>
                <w:lang w:eastAsia="zh-CN"/>
              </w:rPr>
              <w:t>设备</w:t>
            </w:r>
            <w:r>
              <w:rPr>
                <w:rFonts w:hint="eastAsia" w:ascii="宋体" w:hAnsi="宋体" w:eastAsia="宋体" w:cs="宋体"/>
                <w:bCs/>
                <w:color w:val="auto"/>
                <w:sz w:val="24"/>
                <w:szCs w:val="24"/>
              </w:rPr>
              <w:t>名称</w:t>
            </w:r>
          </w:p>
        </w:tc>
        <w:tc>
          <w:tcPr>
            <w:tcW w:w="802" w:type="dxa"/>
            <w:noWrap w:val="0"/>
            <w:vAlign w:val="center"/>
          </w:tcPr>
          <w:p w14:paraId="11CCDC34">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Cs/>
                <w:color w:val="auto"/>
                <w:sz w:val="24"/>
                <w:szCs w:val="24"/>
                <w:lang w:eastAsia="zh-CN"/>
              </w:rPr>
            </w:pPr>
            <w:r>
              <w:rPr>
                <w:rFonts w:hint="eastAsia" w:cs="宋体"/>
                <w:bCs/>
                <w:color w:val="auto"/>
                <w:sz w:val="24"/>
                <w:szCs w:val="24"/>
                <w:lang w:eastAsia="zh-CN"/>
              </w:rPr>
              <w:t>单位</w:t>
            </w:r>
          </w:p>
        </w:tc>
        <w:tc>
          <w:tcPr>
            <w:tcW w:w="918" w:type="dxa"/>
            <w:noWrap w:val="0"/>
            <w:vAlign w:val="center"/>
          </w:tcPr>
          <w:p w14:paraId="7C976661">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Cs/>
                <w:color w:val="auto"/>
                <w:sz w:val="24"/>
                <w:szCs w:val="24"/>
                <w:lang w:eastAsia="zh-CN"/>
              </w:rPr>
            </w:pPr>
            <w:r>
              <w:rPr>
                <w:rFonts w:hint="eastAsia" w:cs="宋体"/>
                <w:bCs/>
                <w:color w:val="auto"/>
                <w:sz w:val="24"/>
                <w:szCs w:val="24"/>
                <w:lang w:eastAsia="zh-CN"/>
              </w:rPr>
              <w:t>数量</w:t>
            </w:r>
          </w:p>
        </w:tc>
        <w:tc>
          <w:tcPr>
            <w:tcW w:w="1567" w:type="dxa"/>
            <w:noWrap w:val="0"/>
            <w:vAlign w:val="center"/>
          </w:tcPr>
          <w:p w14:paraId="7F57807B">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Cs/>
                <w:color w:val="auto"/>
                <w:sz w:val="24"/>
                <w:szCs w:val="24"/>
              </w:rPr>
            </w:pPr>
            <w:r>
              <w:rPr>
                <w:rFonts w:hint="eastAsia" w:cs="宋体"/>
                <w:bCs/>
                <w:color w:val="auto"/>
                <w:sz w:val="24"/>
                <w:szCs w:val="24"/>
                <w:lang w:eastAsia="zh-CN"/>
              </w:rPr>
              <w:t>技术</w:t>
            </w:r>
            <w:r>
              <w:rPr>
                <w:rFonts w:hint="eastAsia" w:ascii="宋体" w:hAnsi="宋体" w:eastAsia="宋体" w:cs="宋体"/>
                <w:bCs/>
                <w:color w:val="auto"/>
                <w:sz w:val="24"/>
                <w:szCs w:val="24"/>
              </w:rPr>
              <w:t>参数</w:t>
            </w:r>
          </w:p>
        </w:tc>
        <w:tc>
          <w:tcPr>
            <w:tcW w:w="1183" w:type="dxa"/>
            <w:noWrap w:val="0"/>
            <w:vAlign w:val="center"/>
          </w:tcPr>
          <w:p w14:paraId="6E48060C">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品牌</w:t>
            </w:r>
          </w:p>
        </w:tc>
        <w:tc>
          <w:tcPr>
            <w:tcW w:w="1309" w:type="dxa"/>
            <w:noWrap w:val="0"/>
            <w:vAlign w:val="center"/>
          </w:tcPr>
          <w:p w14:paraId="3131ADFA">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单价（元）</w:t>
            </w:r>
          </w:p>
        </w:tc>
        <w:tc>
          <w:tcPr>
            <w:tcW w:w="1418" w:type="dxa"/>
            <w:noWrap w:val="0"/>
            <w:vAlign w:val="center"/>
          </w:tcPr>
          <w:p w14:paraId="410E6690">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Cs/>
                <w:color w:val="auto"/>
                <w:sz w:val="24"/>
                <w:szCs w:val="24"/>
              </w:rPr>
            </w:pPr>
            <w:r>
              <w:rPr>
                <w:rFonts w:hint="eastAsia" w:cs="宋体"/>
                <w:bCs/>
                <w:color w:val="auto"/>
                <w:sz w:val="24"/>
                <w:szCs w:val="24"/>
                <w:lang w:eastAsia="zh-CN"/>
              </w:rPr>
              <w:t>合计</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元）</w:t>
            </w:r>
          </w:p>
        </w:tc>
      </w:tr>
      <w:tr w14:paraId="46A06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722" w:type="dxa"/>
            <w:noWrap w:val="0"/>
            <w:vAlign w:val="center"/>
          </w:tcPr>
          <w:p w14:paraId="72B80C3A">
            <w:pPr>
              <w:spacing w:line="440" w:lineRule="exact"/>
              <w:ind w:left="0" w:leftChars="0"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w:t>
            </w:r>
          </w:p>
        </w:tc>
        <w:tc>
          <w:tcPr>
            <w:tcW w:w="1530" w:type="dxa"/>
            <w:noWrap w:val="0"/>
            <w:vAlign w:val="center"/>
          </w:tcPr>
          <w:p w14:paraId="183C62B5">
            <w:pPr>
              <w:widowControl/>
              <w:spacing w:line="440" w:lineRule="exact"/>
              <w:jc w:val="center"/>
              <w:rPr>
                <w:rFonts w:hint="eastAsia" w:ascii="宋体" w:hAnsi="宋体" w:eastAsia="宋体" w:cs="宋体"/>
                <w:color w:val="auto"/>
                <w:kern w:val="0"/>
                <w:sz w:val="24"/>
                <w:szCs w:val="24"/>
              </w:rPr>
            </w:pPr>
          </w:p>
        </w:tc>
        <w:tc>
          <w:tcPr>
            <w:tcW w:w="802" w:type="dxa"/>
            <w:noWrap w:val="0"/>
            <w:vAlign w:val="center"/>
          </w:tcPr>
          <w:p w14:paraId="5B301B2F">
            <w:pPr>
              <w:spacing w:line="440" w:lineRule="exact"/>
              <w:jc w:val="center"/>
              <w:rPr>
                <w:rFonts w:hint="eastAsia" w:ascii="宋体" w:hAnsi="宋体" w:eastAsia="宋体" w:cs="宋体"/>
                <w:bCs/>
                <w:color w:val="auto"/>
                <w:sz w:val="24"/>
                <w:szCs w:val="24"/>
              </w:rPr>
            </w:pPr>
          </w:p>
        </w:tc>
        <w:tc>
          <w:tcPr>
            <w:tcW w:w="918" w:type="dxa"/>
            <w:noWrap w:val="0"/>
            <w:vAlign w:val="center"/>
          </w:tcPr>
          <w:p w14:paraId="22044EE0">
            <w:pPr>
              <w:spacing w:line="440" w:lineRule="exact"/>
              <w:jc w:val="center"/>
              <w:rPr>
                <w:rFonts w:hint="eastAsia" w:ascii="宋体" w:hAnsi="宋体" w:eastAsia="宋体" w:cs="宋体"/>
                <w:bCs/>
                <w:color w:val="auto"/>
                <w:sz w:val="24"/>
                <w:szCs w:val="24"/>
              </w:rPr>
            </w:pPr>
          </w:p>
        </w:tc>
        <w:tc>
          <w:tcPr>
            <w:tcW w:w="1567" w:type="dxa"/>
            <w:noWrap w:val="0"/>
            <w:vAlign w:val="center"/>
          </w:tcPr>
          <w:p w14:paraId="01C4828A">
            <w:pPr>
              <w:spacing w:line="440" w:lineRule="exact"/>
              <w:jc w:val="center"/>
              <w:rPr>
                <w:rFonts w:hint="eastAsia" w:ascii="宋体" w:hAnsi="宋体" w:eastAsia="宋体" w:cs="宋体"/>
                <w:bCs/>
                <w:color w:val="auto"/>
                <w:sz w:val="24"/>
                <w:szCs w:val="24"/>
              </w:rPr>
            </w:pPr>
          </w:p>
        </w:tc>
        <w:tc>
          <w:tcPr>
            <w:tcW w:w="1183" w:type="dxa"/>
            <w:noWrap w:val="0"/>
            <w:vAlign w:val="center"/>
          </w:tcPr>
          <w:p w14:paraId="37676164">
            <w:pPr>
              <w:spacing w:line="440" w:lineRule="exact"/>
              <w:jc w:val="center"/>
              <w:rPr>
                <w:rFonts w:hint="eastAsia" w:ascii="宋体" w:hAnsi="宋体" w:eastAsia="宋体" w:cs="宋体"/>
                <w:bCs/>
                <w:color w:val="auto"/>
                <w:sz w:val="24"/>
                <w:szCs w:val="24"/>
              </w:rPr>
            </w:pPr>
          </w:p>
        </w:tc>
        <w:tc>
          <w:tcPr>
            <w:tcW w:w="1309" w:type="dxa"/>
            <w:noWrap w:val="0"/>
            <w:vAlign w:val="center"/>
          </w:tcPr>
          <w:p w14:paraId="2A6891BD">
            <w:pPr>
              <w:spacing w:line="440" w:lineRule="exact"/>
              <w:jc w:val="center"/>
              <w:rPr>
                <w:rFonts w:hint="eastAsia" w:ascii="宋体" w:hAnsi="宋体" w:eastAsia="宋体" w:cs="宋体"/>
                <w:bCs/>
                <w:color w:val="auto"/>
                <w:sz w:val="24"/>
                <w:szCs w:val="24"/>
              </w:rPr>
            </w:pPr>
          </w:p>
        </w:tc>
        <w:tc>
          <w:tcPr>
            <w:tcW w:w="1418" w:type="dxa"/>
            <w:noWrap w:val="0"/>
            <w:vAlign w:val="center"/>
          </w:tcPr>
          <w:p w14:paraId="0495A730">
            <w:pPr>
              <w:spacing w:line="440" w:lineRule="exact"/>
              <w:jc w:val="center"/>
              <w:rPr>
                <w:rFonts w:hint="eastAsia" w:ascii="宋体" w:hAnsi="宋体" w:eastAsia="宋体" w:cs="宋体"/>
                <w:bCs/>
                <w:color w:val="auto"/>
                <w:sz w:val="24"/>
                <w:szCs w:val="24"/>
              </w:rPr>
            </w:pPr>
          </w:p>
        </w:tc>
      </w:tr>
      <w:tr w14:paraId="4F68F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722" w:type="dxa"/>
            <w:noWrap w:val="0"/>
            <w:vAlign w:val="center"/>
          </w:tcPr>
          <w:p w14:paraId="18D6F9BA">
            <w:pPr>
              <w:spacing w:line="440" w:lineRule="exact"/>
              <w:ind w:left="0" w:leftChars="0"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2</w:t>
            </w:r>
          </w:p>
        </w:tc>
        <w:tc>
          <w:tcPr>
            <w:tcW w:w="1530" w:type="dxa"/>
            <w:noWrap w:val="0"/>
            <w:vAlign w:val="center"/>
          </w:tcPr>
          <w:p w14:paraId="5844DFD3">
            <w:pPr>
              <w:widowControl/>
              <w:spacing w:line="440" w:lineRule="exact"/>
              <w:jc w:val="center"/>
              <w:rPr>
                <w:rFonts w:hint="eastAsia" w:ascii="宋体" w:hAnsi="宋体" w:eastAsia="宋体" w:cs="宋体"/>
                <w:color w:val="auto"/>
                <w:kern w:val="0"/>
                <w:sz w:val="24"/>
                <w:szCs w:val="24"/>
              </w:rPr>
            </w:pPr>
          </w:p>
        </w:tc>
        <w:tc>
          <w:tcPr>
            <w:tcW w:w="802" w:type="dxa"/>
            <w:noWrap w:val="0"/>
            <w:vAlign w:val="center"/>
          </w:tcPr>
          <w:p w14:paraId="5E4831A3">
            <w:pPr>
              <w:spacing w:line="440" w:lineRule="exact"/>
              <w:jc w:val="center"/>
              <w:rPr>
                <w:rFonts w:hint="eastAsia" w:ascii="宋体" w:hAnsi="宋体" w:eastAsia="宋体" w:cs="宋体"/>
                <w:bCs/>
                <w:color w:val="auto"/>
                <w:sz w:val="24"/>
                <w:szCs w:val="24"/>
              </w:rPr>
            </w:pPr>
          </w:p>
        </w:tc>
        <w:tc>
          <w:tcPr>
            <w:tcW w:w="918" w:type="dxa"/>
            <w:noWrap w:val="0"/>
            <w:vAlign w:val="center"/>
          </w:tcPr>
          <w:p w14:paraId="7FA5015A">
            <w:pPr>
              <w:spacing w:line="440" w:lineRule="exact"/>
              <w:jc w:val="center"/>
              <w:rPr>
                <w:rFonts w:hint="eastAsia" w:ascii="宋体" w:hAnsi="宋体" w:eastAsia="宋体" w:cs="宋体"/>
                <w:bCs/>
                <w:color w:val="auto"/>
                <w:sz w:val="24"/>
                <w:szCs w:val="24"/>
              </w:rPr>
            </w:pPr>
          </w:p>
        </w:tc>
        <w:tc>
          <w:tcPr>
            <w:tcW w:w="1567" w:type="dxa"/>
            <w:noWrap w:val="0"/>
            <w:vAlign w:val="center"/>
          </w:tcPr>
          <w:p w14:paraId="4F011FA2">
            <w:pPr>
              <w:spacing w:line="440" w:lineRule="exact"/>
              <w:jc w:val="center"/>
              <w:rPr>
                <w:rFonts w:hint="eastAsia" w:ascii="宋体" w:hAnsi="宋体" w:eastAsia="宋体" w:cs="宋体"/>
                <w:bCs/>
                <w:color w:val="auto"/>
                <w:sz w:val="24"/>
                <w:szCs w:val="24"/>
              </w:rPr>
            </w:pPr>
          </w:p>
        </w:tc>
        <w:tc>
          <w:tcPr>
            <w:tcW w:w="1183" w:type="dxa"/>
            <w:noWrap w:val="0"/>
            <w:vAlign w:val="center"/>
          </w:tcPr>
          <w:p w14:paraId="42DA4736">
            <w:pPr>
              <w:spacing w:line="440" w:lineRule="exact"/>
              <w:jc w:val="center"/>
              <w:rPr>
                <w:rFonts w:hint="eastAsia" w:ascii="宋体" w:hAnsi="宋体" w:eastAsia="宋体" w:cs="宋体"/>
                <w:bCs/>
                <w:color w:val="auto"/>
                <w:sz w:val="24"/>
                <w:szCs w:val="24"/>
              </w:rPr>
            </w:pPr>
          </w:p>
        </w:tc>
        <w:tc>
          <w:tcPr>
            <w:tcW w:w="1309" w:type="dxa"/>
            <w:noWrap w:val="0"/>
            <w:vAlign w:val="center"/>
          </w:tcPr>
          <w:p w14:paraId="4BB71D1F">
            <w:pPr>
              <w:spacing w:line="440" w:lineRule="exact"/>
              <w:jc w:val="center"/>
              <w:rPr>
                <w:rFonts w:hint="eastAsia" w:ascii="宋体" w:hAnsi="宋体" w:eastAsia="宋体" w:cs="宋体"/>
                <w:bCs/>
                <w:color w:val="auto"/>
                <w:sz w:val="24"/>
                <w:szCs w:val="24"/>
              </w:rPr>
            </w:pPr>
          </w:p>
        </w:tc>
        <w:tc>
          <w:tcPr>
            <w:tcW w:w="1418" w:type="dxa"/>
            <w:noWrap w:val="0"/>
            <w:vAlign w:val="center"/>
          </w:tcPr>
          <w:p w14:paraId="7ACEDBEB">
            <w:pPr>
              <w:spacing w:line="440" w:lineRule="exact"/>
              <w:jc w:val="center"/>
              <w:rPr>
                <w:rFonts w:hint="eastAsia" w:ascii="宋体" w:hAnsi="宋体" w:eastAsia="宋体" w:cs="宋体"/>
                <w:bCs/>
                <w:color w:val="auto"/>
                <w:sz w:val="24"/>
                <w:szCs w:val="24"/>
              </w:rPr>
            </w:pPr>
          </w:p>
        </w:tc>
      </w:tr>
      <w:tr w14:paraId="61EA4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22" w:type="dxa"/>
            <w:noWrap w:val="0"/>
            <w:vAlign w:val="center"/>
          </w:tcPr>
          <w:p w14:paraId="3F03E12A">
            <w:pPr>
              <w:spacing w:line="440" w:lineRule="exact"/>
              <w:ind w:left="0" w:leftChars="0"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3</w:t>
            </w:r>
          </w:p>
        </w:tc>
        <w:tc>
          <w:tcPr>
            <w:tcW w:w="1530" w:type="dxa"/>
            <w:noWrap w:val="0"/>
            <w:vAlign w:val="center"/>
          </w:tcPr>
          <w:p w14:paraId="6CD8DCA2">
            <w:pPr>
              <w:spacing w:line="440" w:lineRule="exact"/>
              <w:jc w:val="center"/>
              <w:rPr>
                <w:rFonts w:hint="eastAsia" w:ascii="宋体" w:hAnsi="宋体" w:eastAsia="宋体" w:cs="宋体"/>
                <w:bCs/>
                <w:color w:val="auto"/>
                <w:sz w:val="24"/>
                <w:szCs w:val="24"/>
              </w:rPr>
            </w:pPr>
          </w:p>
        </w:tc>
        <w:tc>
          <w:tcPr>
            <w:tcW w:w="802" w:type="dxa"/>
            <w:noWrap w:val="0"/>
            <w:vAlign w:val="center"/>
          </w:tcPr>
          <w:p w14:paraId="2FF94314">
            <w:pPr>
              <w:spacing w:line="440" w:lineRule="exact"/>
              <w:jc w:val="center"/>
              <w:rPr>
                <w:rFonts w:hint="eastAsia" w:ascii="宋体" w:hAnsi="宋体" w:eastAsia="宋体" w:cs="宋体"/>
                <w:bCs/>
                <w:color w:val="auto"/>
                <w:sz w:val="24"/>
                <w:szCs w:val="24"/>
              </w:rPr>
            </w:pPr>
          </w:p>
        </w:tc>
        <w:tc>
          <w:tcPr>
            <w:tcW w:w="918" w:type="dxa"/>
            <w:noWrap w:val="0"/>
            <w:vAlign w:val="center"/>
          </w:tcPr>
          <w:p w14:paraId="05033376">
            <w:pPr>
              <w:spacing w:line="440" w:lineRule="exact"/>
              <w:jc w:val="center"/>
              <w:rPr>
                <w:rFonts w:hint="eastAsia" w:ascii="宋体" w:hAnsi="宋体" w:eastAsia="宋体" w:cs="宋体"/>
                <w:bCs/>
                <w:color w:val="auto"/>
                <w:sz w:val="24"/>
                <w:szCs w:val="24"/>
              </w:rPr>
            </w:pPr>
          </w:p>
        </w:tc>
        <w:tc>
          <w:tcPr>
            <w:tcW w:w="1567" w:type="dxa"/>
            <w:noWrap w:val="0"/>
            <w:vAlign w:val="center"/>
          </w:tcPr>
          <w:p w14:paraId="3E703D91">
            <w:pPr>
              <w:spacing w:line="440" w:lineRule="exact"/>
              <w:jc w:val="center"/>
              <w:rPr>
                <w:rFonts w:hint="eastAsia" w:ascii="宋体" w:hAnsi="宋体" w:eastAsia="宋体" w:cs="宋体"/>
                <w:bCs/>
                <w:color w:val="auto"/>
                <w:sz w:val="24"/>
                <w:szCs w:val="24"/>
              </w:rPr>
            </w:pPr>
          </w:p>
        </w:tc>
        <w:tc>
          <w:tcPr>
            <w:tcW w:w="1183" w:type="dxa"/>
            <w:noWrap w:val="0"/>
            <w:vAlign w:val="center"/>
          </w:tcPr>
          <w:p w14:paraId="4A4FE4D8">
            <w:pPr>
              <w:spacing w:line="440" w:lineRule="exact"/>
              <w:jc w:val="center"/>
              <w:rPr>
                <w:rFonts w:hint="eastAsia" w:ascii="宋体" w:hAnsi="宋体" w:eastAsia="宋体" w:cs="宋体"/>
                <w:bCs/>
                <w:color w:val="auto"/>
                <w:sz w:val="24"/>
                <w:szCs w:val="24"/>
              </w:rPr>
            </w:pPr>
          </w:p>
        </w:tc>
        <w:tc>
          <w:tcPr>
            <w:tcW w:w="1309" w:type="dxa"/>
            <w:noWrap w:val="0"/>
            <w:vAlign w:val="center"/>
          </w:tcPr>
          <w:p w14:paraId="621AFC3D">
            <w:pPr>
              <w:spacing w:line="440" w:lineRule="exact"/>
              <w:jc w:val="center"/>
              <w:rPr>
                <w:rFonts w:hint="eastAsia" w:ascii="宋体" w:hAnsi="宋体" w:eastAsia="宋体" w:cs="宋体"/>
                <w:bCs/>
                <w:color w:val="auto"/>
                <w:sz w:val="24"/>
                <w:szCs w:val="24"/>
              </w:rPr>
            </w:pPr>
          </w:p>
        </w:tc>
        <w:tc>
          <w:tcPr>
            <w:tcW w:w="1418" w:type="dxa"/>
            <w:noWrap w:val="0"/>
            <w:vAlign w:val="center"/>
          </w:tcPr>
          <w:p w14:paraId="4420605F">
            <w:pPr>
              <w:spacing w:line="440" w:lineRule="exact"/>
              <w:jc w:val="center"/>
              <w:rPr>
                <w:rFonts w:hint="eastAsia" w:ascii="宋体" w:hAnsi="宋体" w:eastAsia="宋体" w:cs="宋体"/>
                <w:bCs/>
                <w:color w:val="auto"/>
                <w:sz w:val="24"/>
                <w:szCs w:val="24"/>
              </w:rPr>
            </w:pPr>
          </w:p>
        </w:tc>
      </w:tr>
      <w:tr w14:paraId="08FA4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722" w:type="dxa"/>
            <w:noWrap w:val="0"/>
            <w:vAlign w:val="center"/>
          </w:tcPr>
          <w:p w14:paraId="15162E56">
            <w:pPr>
              <w:spacing w:line="440" w:lineRule="exact"/>
              <w:ind w:left="0" w:leftChars="0"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4</w:t>
            </w:r>
          </w:p>
        </w:tc>
        <w:tc>
          <w:tcPr>
            <w:tcW w:w="1530" w:type="dxa"/>
            <w:noWrap w:val="0"/>
            <w:vAlign w:val="center"/>
          </w:tcPr>
          <w:p w14:paraId="6F8B89CE">
            <w:pPr>
              <w:spacing w:line="440" w:lineRule="exact"/>
              <w:jc w:val="center"/>
              <w:rPr>
                <w:rFonts w:hint="eastAsia" w:ascii="宋体" w:hAnsi="宋体" w:eastAsia="宋体" w:cs="宋体"/>
                <w:bCs/>
                <w:color w:val="auto"/>
                <w:sz w:val="24"/>
                <w:szCs w:val="24"/>
              </w:rPr>
            </w:pPr>
          </w:p>
        </w:tc>
        <w:tc>
          <w:tcPr>
            <w:tcW w:w="802" w:type="dxa"/>
            <w:noWrap w:val="0"/>
            <w:vAlign w:val="center"/>
          </w:tcPr>
          <w:p w14:paraId="2BD73502">
            <w:pPr>
              <w:spacing w:line="440" w:lineRule="exact"/>
              <w:jc w:val="center"/>
              <w:rPr>
                <w:rFonts w:hint="eastAsia" w:ascii="宋体" w:hAnsi="宋体" w:eastAsia="宋体" w:cs="宋体"/>
                <w:bCs/>
                <w:color w:val="auto"/>
                <w:sz w:val="24"/>
                <w:szCs w:val="24"/>
              </w:rPr>
            </w:pPr>
          </w:p>
        </w:tc>
        <w:tc>
          <w:tcPr>
            <w:tcW w:w="918" w:type="dxa"/>
            <w:noWrap w:val="0"/>
            <w:vAlign w:val="center"/>
          </w:tcPr>
          <w:p w14:paraId="7910EF68">
            <w:pPr>
              <w:spacing w:line="440" w:lineRule="exact"/>
              <w:jc w:val="center"/>
              <w:rPr>
                <w:rFonts w:hint="eastAsia" w:ascii="宋体" w:hAnsi="宋体" w:eastAsia="宋体" w:cs="宋体"/>
                <w:bCs/>
                <w:color w:val="auto"/>
                <w:sz w:val="24"/>
                <w:szCs w:val="24"/>
              </w:rPr>
            </w:pPr>
          </w:p>
        </w:tc>
        <w:tc>
          <w:tcPr>
            <w:tcW w:w="1567" w:type="dxa"/>
            <w:noWrap w:val="0"/>
            <w:vAlign w:val="center"/>
          </w:tcPr>
          <w:p w14:paraId="36C08F81">
            <w:pPr>
              <w:spacing w:line="440" w:lineRule="exact"/>
              <w:jc w:val="center"/>
              <w:rPr>
                <w:rFonts w:hint="eastAsia" w:ascii="宋体" w:hAnsi="宋体" w:eastAsia="宋体" w:cs="宋体"/>
                <w:bCs/>
                <w:color w:val="auto"/>
                <w:sz w:val="24"/>
                <w:szCs w:val="24"/>
              </w:rPr>
            </w:pPr>
          </w:p>
        </w:tc>
        <w:tc>
          <w:tcPr>
            <w:tcW w:w="1183" w:type="dxa"/>
            <w:noWrap w:val="0"/>
            <w:vAlign w:val="center"/>
          </w:tcPr>
          <w:p w14:paraId="57ADABF9">
            <w:pPr>
              <w:spacing w:line="440" w:lineRule="exact"/>
              <w:jc w:val="center"/>
              <w:rPr>
                <w:rFonts w:hint="eastAsia" w:ascii="宋体" w:hAnsi="宋体" w:eastAsia="宋体" w:cs="宋体"/>
                <w:bCs/>
                <w:color w:val="auto"/>
                <w:sz w:val="24"/>
                <w:szCs w:val="24"/>
              </w:rPr>
            </w:pPr>
          </w:p>
        </w:tc>
        <w:tc>
          <w:tcPr>
            <w:tcW w:w="1309" w:type="dxa"/>
            <w:noWrap w:val="0"/>
            <w:vAlign w:val="center"/>
          </w:tcPr>
          <w:p w14:paraId="649FEDB5">
            <w:pPr>
              <w:spacing w:line="440" w:lineRule="exact"/>
              <w:jc w:val="center"/>
              <w:rPr>
                <w:rFonts w:hint="eastAsia" w:ascii="宋体" w:hAnsi="宋体" w:eastAsia="宋体" w:cs="宋体"/>
                <w:bCs/>
                <w:color w:val="auto"/>
                <w:sz w:val="24"/>
                <w:szCs w:val="24"/>
              </w:rPr>
            </w:pPr>
          </w:p>
        </w:tc>
        <w:tc>
          <w:tcPr>
            <w:tcW w:w="1418" w:type="dxa"/>
            <w:noWrap w:val="0"/>
            <w:vAlign w:val="center"/>
          </w:tcPr>
          <w:p w14:paraId="589E18A9">
            <w:pPr>
              <w:spacing w:line="440" w:lineRule="exact"/>
              <w:jc w:val="center"/>
              <w:rPr>
                <w:rFonts w:hint="eastAsia" w:ascii="宋体" w:hAnsi="宋体" w:eastAsia="宋体" w:cs="宋体"/>
                <w:bCs/>
                <w:color w:val="auto"/>
                <w:sz w:val="24"/>
                <w:szCs w:val="24"/>
              </w:rPr>
            </w:pPr>
          </w:p>
        </w:tc>
      </w:tr>
      <w:tr w14:paraId="2C04D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22" w:type="dxa"/>
            <w:noWrap w:val="0"/>
            <w:vAlign w:val="center"/>
          </w:tcPr>
          <w:p w14:paraId="79B1976B">
            <w:pPr>
              <w:spacing w:line="440" w:lineRule="exact"/>
              <w:ind w:left="0" w:leftChars="0"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5</w:t>
            </w:r>
          </w:p>
        </w:tc>
        <w:tc>
          <w:tcPr>
            <w:tcW w:w="1530" w:type="dxa"/>
            <w:noWrap w:val="0"/>
            <w:vAlign w:val="center"/>
          </w:tcPr>
          <w:p w14:paraId="715034BE">
            <w:pPr>
              <w:spacing w:line="440" w:lineRule="exact"/>
              <w:jc w:val="center"/>
              <w:rPr>
                <w:rFonts w:hint="eastAsia" w:ascii="宋体" w:hAnsi="宋体" w:eastAsia="宋体" w:cs="宋体"/>
                <w:bCs/>
                <w:color w:val="auto"/>
                <w:sz w:val="24"/>
                <w:szCs w:val="24"/>
              </w:rPr>
            </w:pPr>
          </w:p>
        </w:tc>
        <w:tc>
          <w:tcPr>
            <w:tcW w:w="802" w:type="dxa"/>
            <w:noWrap w:val="0"/>
            <w:vAlign w:val="center"/>
          </w:tcPr>
          <w:p w14:paraId="6BD92AFE">
            <w:pPr>
              <w:spacing w:line="440" w:lineRule="exact"/>
              <w:jc w:val="center"/>
              <w:rPr>
                <w:rFonts w:hint="eastAsia" w:ascii="宋体" w:hAnsi="宋体" w:eastAsia="宋体" w:cs="宋体"/>
                <w:bCs/>
                <w:color w:val="auto"/>
                <w:sz w:val="24"/>
                <w:szCs w:val="24"/>
              </w:rPr>
            </w:pPr>
          </w:p>
        </w:tc>
        <w:tc>
          <w:tcPr>
            <w:tcW w:w="918" w:type="dxa"/>
            <w:noWrap w:val="0"/>
            <w:vAlign w:val="center"/>
          </w:tcPr>
          <w:p w14:paraId="70BCD0A2">
            <w:pPr>
              <w:spacing w:line="440" w:lineRule="exact"/>
              <w:jc w:val="center"/>
              <w:rPr>
                <w:rFonts w:hint="eastAsia" w:ascii="宋体" w:hAnsi="宋体" w:eastAsia="宋体" w:cs="宋体"/>
                <w:bCs/>
                <w:color w:val="auto"/>
                <w:sz w:val="24"/>
                <w:szCs w:val="24"/>
              </w:rPr>
            </w:pPr>
          </w:p>
        </w:tc>
        <w:tc>
          <w:tcPr>
            <w:tcW w:w="1567" w:type="dxa"/>
            <w:noWrap w:val="0"/>
            <w:vAlign w:val="center"/>
          </w:tcPr>
          <w:p w14:paraId="152448D7">
            <w:pPr>
              <w:spacing w:line="440" w:lineRule="exact"/>
              <w:jc w:val="center"/>
              <w:rPr>
                <w:rFonts w:hint="eastAsia" w:ascii="宋体" w:hAnsi="宋体" w:eastAsia="宋体" w:cs="宋体"/>
                <w:bCs/>
                <w:color w:val="auto"/>
                <w:sz w:val="24"/>
                <w:szCs w:val="24"/>
              </w:rPr>
            </w:pPr>
          </w:p>
        </w:tc>
        <w:tc>
          <w:tcPr>
            <w:tcW w:w="1183" w:type="dxa"/>
            <w:noWrap w:val="0"/>
            <w:vAlign w:val="center"/>
          </w:tcPr>
          <w:p w14:paraId="463BF2F2">
            <w:pPr>
              <w:spacing w:line="440" w:lineRule="exact"/>
              <w:jc w:val="center"/>
              <w:rPr>
                <w:rFonts w:hint="eastAsia" w:ascii="宋体" w:hAnsi="宋体" w:eastAsia="宋体" w:cs="宋体"/>
                <w:bCs/>
                <w:color w:val="auto"/>
                <w:sz w:val="24"/>
                <w:szCs w:val="24"/>
              </w:rPr>
            </w:pPr>
          </w:p>
        </w:tc>
        <w:tc>
          <w:tcPr>
            <w:tcW w:w="1309" w:type="dxa"/>
            <w:noWrap w:val="0"/>
            <w:vAlign w:val="center"/>
          </w:tcPr>
          <w:p w14:paraId="065FA429">
            <w:pPr>
              <w:spacing w:line="440" w:lineRule="exact"/>
              <w:jc w:val="center"/>
              <w:rPr>
                <w:rFonts w:hint="eastAsia" w:ascii="宋体" w:hAnsi="宋体" w:eastAsia="宋体" w:cs="宋体"/>
                <w:bCs/>
                <w:color w:val="auto"/>
                <w:sz w:val="24"/>
                <w:szCs w:val="24"/>
              </w:rPr>
            </w:pPr>
          </w:p>
        </w:tc>
        <w:tc>
          <w:tcPr>
            <w:tcW w:w="1418" w:type="dxa"/>
            <w:noWrap w:val="0"/>
            <w:vAlign w:val="center"/>
          </w:tcPr>
          <w:p w14:paraId="38E99DD9">
            <w:pPr>
              <w:spacing w:line="440" w:lineRule="exact"/>
              <w:jc w:val="center"/>
              <w:rPr>
                <w:rFonts w:hint="eastAsia" w:ascii="宋体" w:hAnsi="宋体" w:eastAsia="宋体" w:cs="宋体"/>
                <w:bCs/>
                <w:color w:val="auto"/>
                <w:sz w:val="24"/>
                <w:szCs w:val="24"/>
              </w:rPr>
            </w:pPr>
          </w:p>
        </w:tc>
      </w:tr>
      <w:tr w14:paraId="631C2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722" w:type="dxa"/>
            <w:noWrap w:val="0"/>
            <w:vAlign w:val="center"/>
          </w:tcPr>
          <w:p w14:paraId="5B32259C">
            <w:pPr>
              <w:spacing w:line="440" w:lineRule="exact"/>
              <w:ind w:left="0" w:leftChars="0"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6</w:t>
            </w:r>
          </w:p>
        </w:tc>
        <w:tc>
          <w:tcPr>
            <w:tcW w:w="1530" w:type="dxa"/>
            <w:noWrap w:val="0"/>
            <w:vAlign w:val="center"/>
          </w:tcPr>
          <w:p w14:paraId="6F6E6110">
            <w:pPr>
              <w:spacing w:line="440" w:lineRule="exact"/>
              <w:jc w:val="center"/>
              <w:rPr>
                <w:rFonts w:hint="eastAsia" w:ascii="宋体" w:hAnsi="宋体" w:eastAsia="宋体" w:cs="宋体"/>
                <w:bCs/>
                <w:color w:val="auto"/>
                <w:sz w:val="24"/>
                <w:szCs w:val="24"/>
              </w:rPr>
            </w:pPr>
          </w:p>
        </w:tc>
        <w:tc>
          <w:tcPr>
            <w:tcW w:w="802" w:type="dxa"/>
            <w:noWrap w:val="0"/>
            <w:vAlign w:val="center"/>
          </w:tcPr>
          <w:p w14:paraId="0F6BDD0C">
            <w:pPr>
              <w:spacing w:line="440" w:lineRule="exact"/>
              <w:jc w:val="center"/>
              <w:rPr>
                <w:rFonts w:hint="eastAsia" w:ascii="宋体" w:hAnsi="宋体" w:eastAsia="宋体" w:cs="宋体"/>
                <w:bCs/>
                <w:color w:val="auto"/>
                <w:sz w:val="24"/>
                <w:szCs w:val="24"/>
              </w:rPr>
            </w:pPr>
          </w:p>
        </w:tc>
        <w:tc>
          <w:tcPr>
            <w:tcW w:w="918" w:type="dxa"/>
            <w:noWrap w:val="0"/>
            <w:vAlign w:val="center"/>
          </w:tcPr>
          <w:p w14:paraId="1EB9FC5E">
            <w:pPr>
              <w:spacing w:line="440" w:lineRule="exact"/>
              <w:jc w:val="center"/>
              <w:rPr>
                <w:rFonts w:hint="eastAsia" w:ascii="宋体" w:hAnsi="宋体" w:eastAsia="宋体" w:cs="宋体"/>
                <w:bCs/>
                <w:color w:val="auto"/>
                <w:sz w:val="24"/>
                <w:szCs w:val="24"/>
              </w:rPr>
            </w:pPr>
          </w:p>
        </w:tc>
        <w:tc>
          <w:tcPr>
            <w:tcW w:w="1567" w:type="dxa"/>
            <w:noWrap w:val="0"/>
            <w:vAlign w:val="center"/>
          </w:tcPr>
          <w:p w14:paraId="664EB68F">
            <w:pPr>
              <w:spacing w:line="440" w:lineRule="exact"/>
              <w:jc w:val="center"/>
              <w:rPr>
                <w:rFonts w:hint="eastAsia" w:ascii="宋体" w:hAnsi="宋体" w:eastAsia="宋体" w:cs="宋体"/>
                <w:bCs/>
                <w:color w:val="auto"/>
                <w:sz w:val="24"/>
                <w:szCs w:val="24"/>
              </w:rPr>
            </w:pPr>
          </w:p>
        </w:tc>
        <w:tc>
          <w:tcPr>
            <w:tcW w:w="1183" w:type="dxa"/>
            <w:noWrap w:val="0"/>
            <w:vAlign w:val="center"/>
          </w:tcPr>
          <w:p w14:paraId="2552003F">
            <w:pPr>
              <w:spacing w:line="440" w:lineRule="exact"/>
              <w:jc w:val="center"/>
              <w:rPr>
                <w:rFonts w:hint="eastAsia" w:ascii="宋体" w:hAnsi="宋体" w:eastAsia="宋体" w:cs="宋体"/>
                <w:bCs/>
                <w:color w:val="auto"/>
                <w:sz w:val="24"/>
                <w:szCs w:val="24"/>
              </w:rPr>
            </w:pPr>
          </w:p>
        </w:tc>
        <w:tc>
          <w:tcPr>
            <w:tcW w:w="1309" w:type="dxa"/>
            <w:noWrap w:val="0"/>
            <w:vAlign w:val="center"/>
          </w:tcPr>
          <w:p w14:paraId="5FF14F89">
            <w:pPr>
              <w:spacing w:line="440" w:lineRule="exact"/>
              <w:jc w:val="center"/>
              <w:rPr>
                <w:rFonts w:hint="eastAsia" w:ascii="宋体" w:hAnsi="宋体" w:eastAsia="宋体" w:cs="宋体"/>
                <w:bCs/>
                <w:color w:val="auto"/>
                <w:sz w:val="24"/>
                <w:szCs w:val="24"/>
              </w:rPr>
            </w:pPr>
          </w:p>
        </w:tc>
        <w:tc>
          <w:tcPr>
            <w:tcW w:w="1418" w:type="dxa"/>
            <w:noWrap w:val="0"/>
            <w:vAlign w:val="center"/>
          </w:tcPr>
          <w:p w14:paraId="38024FB1">
            <w:pPr>
              <w:spacing w:line="440" w:lineRule="exact"/>
              <w:jc w:val="center"/>
              <w:rPr>
                <w:rFonts w:hint="eastAsia" w:ascii="宋体" w:hAnsi="宋体" w:eastAsia="宋体" w:cs="宋体"/>
                <w:bCs/>
                <w:color w:val="auto"/>
                <w:sz w:val="24"/>
                <w:szCs w:val="24"/>
              </w:rPr>
            </w:pPr>
          </w:p>
        </w:tc>
      </w:tr>
      <w:tr w14:paraId="754F2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722" w:type="dxa"/>
            <w:noWrap w:val="0"/>
            <w:vAlign w:val="center"/>
          </w:tcPr>
          <w:p w14:paraId="2CD35B40">
            <w:pPr>
              <w:spacing w:line="440" w:lineRule="exact"/>
              <w:ind w:left="0" w:leftChars="0"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7</w:t>
            </w:r>
          </w:p>
        </w:tc>
        <w:tc>
          <w:tcPr>
            <w:tcW w:w="1530" w:type="dxa"/>
            <w:noWrap w:val="0"/>
            <w:vAlign w:val="center"/>
          </w:tcPr>
          <w:p w14:paraId="012C12AA">
            <w:pPr>
              <w:spacing w:line="440" w:lineRule="exact"/>
              <w:jc w:val="center"/>
              <w:rPr>
                <w:rFonts w:hint="eastAsia" w:ascii="宋体" w:hAnsi="宋体" w:eastAsia="宋体" w:cs="宋体"/>
                <w:bCs/>
                <w:color w:val="auto"/>
                <w:sz w:val="24"/>
                <w:szCs w:val="24"/>
              </w:rPr>
            </w:pPr>
          </w:p>
        </w:tc>
        <w:tc>
          <w:tcPr>
            <w:tcW w:w="802" w:type="dxa"/>
            <w:noWrap w:val="0"/>
            <w:vAlign w:val="center"/>
          </w:tcPr>
          <w:p w14:paraId="31E0BE29">
            <w:pPr>
              <w:spacing w:line="440" w:lineRule="exact"/>
              <w:jc w:val="center"/>
              <w:rPr>
                <w:rFonts w:hint="eastAsia" w:ascii="宋体" w:hAnsi="宋体" w:eastAsia="宋体" w:cs="宋体"/>
                <w:bCs/>
                <w:color w:val="auto"/>
                <w:sz w:val="24"/>
                <w:szCs w:val="24"/>
              </w:rPr>
            </w:pPr>
          </w:p>
        </w:tc>
        <w:tc>
          <w:tcPr>
            <w:tcW w:w="918" w:type="dxa"/>
            <w:noWrap w:val="0"/>
            <w:vAlign w:val="center"/>
          </w:tcPr>
          <w:p w14:paraId="6D9213A8">
            <w:pPr>
              <w:spacing w:line="440" w:lineRule="exact"/>
              <w:jc w:val="center"/>
              <w:rPr>
                <w:rFonts w:hint="eastAsia" w:ascii="宋体" w:hAnsi="宋体" w:eastAsia="宋体" w:cs="宋体"/>
                <w:bCs/>
                <w:color w:val="auto"/>
                <w:sz w:val="24"/>
                <w:szCs w:val="24"/>
              </w:rPr>
            </w:pPr>
          </w:p>
        </w:tc>
        <w:tc>
          <w:tcPr>
            <w:tcW w:w="1567" w:type="dxa"/>
            <w:noWrap w:val="0"/>
            <w:vAlign w:val="center"/>
          </w:tcPr>
          <w:p w14:paraId="4B004E5A">
            <w:pPr>
              <w:spacing w:line="440" w:lineRule="exact"/>
              <w:jc w:val="center"/>
              <w:rPr>
                <w:rFonts w:hint="eastAsia" w:ascii="宋体" w:hAnsi="宋体" w:eastAsia="宋体" w:cs="宋体"/>
                <w:bCs/>
                <w:color w:val="auto"/>
                <w:sz w:val="24"/>
                <w:szCs w:val="24"/>
              </w:rPr>
            </w:pPr>
          </w:p>
        </w:tc>
        <w:tc>
          <w:tcPr>
            <w:tcW w:w="1183" w:type="dxa"/>
            <w:noWrap w:val="0"/>
            <w:vAlign w:val="center"/>
          </w:tcPr>
          <w:p w14:paraId="69FC565B">
            <w:pPr>
              <w:spacing w:line="440" w:lineRule="exact"/>
              <w:jc w:val="center"/>
              <w:rPr>
                <w:rFonts w:hint="eastAsia" w:ascii="宋体" w:hAnsi="宋体" w:eastAsia="宋体" w:cs="宋体"/>
                <w:bCs/>
                <w:color w:val="auto"/>
                <w:sz w:val="24"/>
                <w:szCs w:val="24"/>
              </w:rPr>
            </w:pPr>
          </w:p>
        </w:tc>
        <w:tc>
          <w:tcPr>
            <w:tcW w:w="1309" w:type="dxa"/>
            <w:noWrap w:val="0"/>
            <w:vAlign w:val="center"/>
          </w:tcPr>
          <w:p w14:paraId="4648AE69">
            <w:pPr>
              <w:spacing w:line="440" w:lineRule="exact"/>
              <w:jc w:val="center"/>
              <w:rPr>
                <w:rFonts w:hint="eastAsia" w:ascii="宋体" w:hAnsi="宋体" w:eastAsia="宋体" w:cs="宋体"/>
                <w:bCs/>
                <w:color w:val="auto"/>
                <w:sz w:val="24"/>
                <w:szCs w:val="24"/>
              </w:rPr>
            </w:pPr>
          </w:p>
        </w:tc>
        <w:tc>
          <w:tcPr>
            <w:tcW w:w="1418" w:type="dxa"/>
            <w:noWrap w:val="0"/>
            <w:vAlign w:val="center"/>
          </w:tcPr>
          <w:p w14:paraId="725F9F5F">
            <w:pPr>
              <w:spacing w:line="440" w:lineRule="exact"/>
              <w:jc w:val="center"/>
              <w:rPr>
                <w:rFonts w:hint="eastAsia" w:ascii="宋体" w:hAnsi="宋体" w:eastAsia="宋体" w:cs="宋体"/>
                <w:bCs/>
                <w:color w:val="auto"/>
                <w:sz w:val="24"/>
                <w:szCs w:val="24"/>
              </w:rPr>
            </w:pPr>
          </w:p>
        </w:tc>
      </w:tr>
      <w:tr w14:paraId="28734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722" w:type="dxa"/>
            <w:noWrap w:val="0"/>
            <w:vAlign w:val="center"/>
          </w:tcPr>
          <w:p w14:paraId="01D9D8E2">
            <w:pPr>
              <w:spacing w:line="440" w:lineRule="exact"/>
              <w:ind w:left="0" w:leftChars="0"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w:t>
            </w:r>
          </w:p>
        </w:tc>
        <w:tc>
          <w:tcPr>
            <w:tcW w:w="1530" w:type="dxa"/>
            <w:noWrap w:val="0"/>
            <w:vAlign w:val="center"/>
          </w:tcPr>
          <w:p w14:paraId="5A8597F3">
            <w:pPr>
              <w:spacing w:line="440" w:lineRule="exact"/>
              <w:jc w:val="center"/>
              <w:rPr>
                <w:rFonts w:hint="eastAsia" w:ascii="宋体" w:hAnsi="宋体" w:eastAsia="宋体" w:cs="宋体"/>
                <w:bCs/>
                <w:color w:val="auto"/>
                <w:sz w:val="24"/>
                <w:szCs w:val="24"/>
              </w:rPr>
            </w:pPr>
          </w:p>
        </w:tc>
        <w:tc>
          <w:tcPr>
            <w:tcW w:w="802" w:type="dxa"/>
            <w:noWrap w:val="0"/>
            <w:vAlign w:val="center"/>
          </w:tcPr>
          <w:p w14:paraId="0336F42B">
            <w:pPr>
              <w:spacing w:line="440" w:lineRule="exact"/>
              <w:jc w:val="center"/>
              <w:rPr>
                <w:rFonts w:hint="eastAsia" w:ascii="宋体" w:hAnsi="宋体" w:eastAsia="宋体" w:cs="宋体"/>
                <w:bCs/>
                <w:color w:val="auto"/>
                <w:sz w:val="24"/>
                <w:szCs w:val="24"/>
              </w:rPr>
            </w:pPr>
          </w:p>
        </w:tc>
        <w:tc>
          <w:tcPr>
            <w:tcW w:w="918" w:type="dxa"/>
            <w:noWrap w:val="0"/>
            <w:vAlign w:val="center"/>
          </w:tcPr>
          <w:p w14:paraId="5F20E7FE">
            <w:pPr>
              <w:spacing w:line="440" w:lineRule="exact"/>
              <w:jc w:val="center"/>
              <w:rPr>
                <w:rFonts w:hint="eastAsia" w:ascii="宋体" w:hAnsi="宋体" w:eastAsia="宋体" w:cs="宋体"/>
                <w:bCs/>
                <w:color w:val="auto"/>
                <w:sz w:val="24"/>
                <w:szCs w:val="24"/>
              </w:rPr>
            </w:pPr>
          </w:p>
        </w:tc>
        <w:tc>
          <w:tcPr>
            <w:tcW w:w="1567" w:type="dxa"/>
            <w:noWrap w:val="0"/>
            <w:vAlign w:val="center"/>
          </w:tcPr>
          <w:p w14:paraId="7A707855">
            <w:pPr>
              <w:spacing w:line="440" w:lineRule="exact"/>
              <w:jc w:val="center"/>
              <w:rPr>
                <w:rFonts w:hint="eastAsia" w:ascii="宋体" w:hAnsi="宋体" w:eastAsia="宋体" w:cs="宋体"/>
                <w:bCs/>
                <w:color w:val="auto"/>
                <w:sz w:val="24"/>
                <w:szCs w:val="24"/>
              </w:rPr>
            </w:pPr>
          </w:p>
        </w:tc>
        <w:tc>
          <w:tcPr>
            <w:tcW w:w="1183" w:type="dxa"/>
            <w:noWrap w:val="0"/>
            <w:vAlign w:val="center"/>
          </w:tcPr>
          <w:p w14:paraId="2C0DB287">
            <w:pPr>
              <w:spacing w:line="440" w:lineRule="exact"/>
              <w:jc w:val="center"/>
              <w:rPr>
                <w:rFonts w:hint="eastAsia" w:ascii="宋体" w:hAnsi="宋体" w:eastAsia="宋体" w:cs="宋体"/>
                <w:bCs/>
                <w:color w:val="auto"/>
                <w:sz w:val="24"/>
                <w:szCs w:val="24"/>
              </w:rPr>
            </w:pPr>
          </w:p>
        </w:tc>
        <w:tc>
          <w:tcPr>
            <w:tcW w:w="1309" w:type="dxa"/>
            <w:noWrap w:val="0"/>
            <w:vAlign w:val="center"/>
          </w:tcPr>
          <w:p w14:paraId="4CB165F9">
            <w:pPr>
              <w:spacing w:line="440" w:lineRule="exact"/>
              <w:jc w:val="center"/>
              <w:rPr>
                <w:rFonts w:hint="eastAsia" w:ascii="宋体" w:hAnsi="宋体" w:eastAsia="宋体" w:cs="宋体"/>
                <w:bCs/>
                <w:color w:val="auto"/>
                <w:sz w:val="24"/>
                <w:szCs w:val="24"/>
              </w:rPr>
            </w:pPr>
          </w:p>
        </w:tc>
        <w:tc>
          <w:tcPr>
            <w:tcW w:w="1418" w:type="dxa"/>
            <w:noWrap w:val="0"/>
            <w:vAlign w:val="center"/>
          </w:tcPr>
          <w:p w14:paraId="44514995">
            <w:pPr>
              <w:spacing w:line="440" w:lineRule="exact"/>
              <w:jc w:val="center"/>
              <w:rPr>
                <w:rFonts w:hint="eastAsia" w:ascii="宋体" w:hAnsi="宋体" w:eastAsia="宋体" w:cs="宋体"/>
                <w:bCs/>
                <w:color w:val="auto"/>
                <w:sz w:val="24"/>
                <w:szCs w:val="24"/>
              </w:rPr>
            </w:pPr>
          </w:p>
        </w:tc>
      </w:tr>
      <w:tr w14:paraId="02C66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9449" w:type="dxa"/>
            <w:gridSpan w:val="8"/>
            <w:noWrap w:val="0"/>
            <w:vAlign w:val="center"/>
          </w:tcPr>
          <w:p w14:paraId="421B7F68">
            <w:pPr>
              <w:spacing w:line="440" w:lineRule="exact"/>
              <w:ind w:left="0" w:leftChars="0" w:firstLine="0" w:firstLineChars="0"/>
              <w:jc w:val="left"/>
              <w:rPr>
                <w:rFonts w:hint="eastAsia" w:ascii="宋体" w:hAnsi="宋体" w:eastAsia="宋体" w:cs="宋体"/>
                <w:bCs/>
                <w:color w:val="auto"/>
                <w:sz w:val="24"/>
                <w:szCs w:val="24"/>
                <w:lang w:val="en-US" w:eastAsia="zh-CN"/>
              </w:rPr>
            </w:pPr>
            <w:r>
              <w:rPr>
                <w:rFonts w:hint="eastAsia" w:cs="宋体"/>
                <w:bCs/>
                <w:color w:val="auto"/>
                <w:sz w:val="24"/>
                <w:szCs w:val="24"/>
                <w:lang w:val="en-US" w:eastAsia="zh-CN"/>
              </w:rPr>
              <w:t>总报价</w:t>
            </w:r>
            <w:r>
              <w:rPr>
                <w:rFonts w:hint="eastAsia" w:ascii="宋体" w:hAnsi="宋体" w:eastAsia="宋体" w:cs="宋体"/>
                <w:bCs/>
                <w:color w:val="auto"/>
                <w:sz w:val="24"/>
                <w:szCs w:val="24"/>
                <w:lang w:val="en-US" w:eastAsia="zh-CN"/>
              </w:rPr>
              <w:t>：（大写）</w:t>
            </w:r>
            <w:r>
              <w:rPr>
                <w:rFonts w:hint="eastAsia" w:ascii="宋体" w:hAnsi="宋体" w:eastAsia="宋体" w:cs="宋体"/>
                <w:bCs/>
                <w:color w:val="auto"/>
                <w:sz w:val="24"/>
                <w:szCs w:val="24"/>
                <w:u w:val="single"/>
                <w:lang w:val="en-US" w:eastAsia="zh-CN"/>
              </w:rPr>
              <w:t xml:space="preserve">       </w:t>
            </w:r>
            <w:r>
              <w:rPr>
                <w:rFonts w:hint="eastAsia" w:ascii="宋体" w:hAnsi="宋体" w:eastAsia="宋体" w:cs="宋体"/>
                <w:bCs/>
                <w:color w:val="auto"/>
                <w:sz w:val="24"/>
                <w:szCs w:val="24"/>
                <w:u w:val="none"/>
                <w:lang w:val="en-US" w:eastAsia="zh-CN"/>
              </w:rPr>
              <w:t>元</w:t>
            </w:r>
            <w:r>
              <w:rPr>
                <w:rFonts w:hint="eastAsia" w:ascii="宋体" w:hAnsi="宋体" w:eastAsia="宋体" w:cs="宋体"/>
                <w:bCs/>
                <w:color w:val="auto"/>
                <w:sz w:val="24"/>
                <w:szCs w:val="24"/>
                <w:lang w:val="en-US" w:eastAsia="zh-CN"/>
              </w:rPr>
              <w:t>；（小写）：</w:t>
            </w:r>
            <w:r>
              <w:rPr>
                <w:rFonts w:hint="eastAsia" w:ascii="宋体" w:hAnsi="宋体" w:eastAsia="宋体" w:cs="宋体"/>
                <w:bCs/>
                <w:color w:val="auto"/>
                <w:sz w:val="24"/>
                <w:szCs w:val="24"/>
                <w:u w:val="single"/>
                <w:lang w:val="en-US" w:eastAsia="zh-CN"/>
              </w:rPr>
              <w:t xml:space="preserve">       </w:t>
            </w:r>
            <w:r>
              <w:rPr>
                <w:rFonts w:hint="eastAsia" w:ascii="宋体" w:hAnsi="宋体" w:eastAsia="宋体" w:cs="宋体"/>
                <w:bCs/>
                <w:color w:val="auto"/>
                <w:sz w:val="24"/>
                <w:szCs w:val="24"/>
                <w:lang w:val="en-US" w:eastAsia="zh-CN"/>
              </w:rPr>
              <w:t>元</w:t>
            </w:r>
          </w:p>
        </w:tc>
      </w:tr>
    </w:tbl>
    <w:p w14:paraId="1E111231">
      <w:pPr>
        <w:bidi w:val="0"/>
        <w:jc w:val="left"/>
        <w:rPr>
          <w:rFonts w:hint="eastAsia"/>
          <w:lang w:val="en-US" w:eastAsia="zh-CN"/>
        </w:rPr>
        <w:sectPr>
          <w:pgSz w:w="11906" w:h="16838"/>
          <w:pgMar w:top="1440" w:right="1304" w:bottom="1020" w:left="1304" w:header="851" w:footer="992" w:gutter="0"/>
          <w:pgNumType w:fmt="decimal"/>
          <w:cols w:space="720" w:num="1"/>
          <w:docGrid w:type="lines" w:linePitch="312" w:charSpace="0"/>
        </w:sectPr>
      </w:pPr>
    </w:p>
    <w:p w14:paraId="4F42F9A5">
      <w:pPr>
        <w:bidi w:val="0"/>
        <w:spacing w:line="240" w:lineRule="auto"/>
        <w:ind w:left="0" w:leftChars="0" w:firstLine="0" w:firstLineChars="0"/>
        <w:jc w:val="left"/>
        <w:rPr>
          <w:rFonts w:hint="eastAsia" w:cs="宋体"/>
          <w:b/>
          <w:bCs/>
          <w:szCs w:val="24"/>
          <w:lang w:eastAsia="zh-CN"/>
        </w:rPr>
      </w:pPr>
      <w:r>
        <w:rPr>
          <w:rFonts w:hint="eastAsia" w:cs="宋体"/>
          <w:b/>
          <w:bCs/>
          <w:szCs w:val="24"/>
          <w:lang w:eastAsia="zh-CN"/>
        </w:rPr>
        <w:t>标项三：</w:t>
      </w:r>
      <w:r>
        <w:rPr>
          <w:rFonts w:hint="eastAsia" w:ascii="宋体" w:hAnsi="宋体" w:eastAsia="宋体" w:cs="宋体"/>
          <w:b/>
          <w:bCs/>
          <w:kern w:val="0"/>
          <w:sz w:val="24"/>
          <w:szCs w:val="24"/>
          <w:lang w:val="en-US" w:eastAsia="zh-CN" w:bidi="ar-SA"/>
        </w:rPr>
        <w:t>田径场设备</w:t>
      </w:r>
    </w:p>
    <w:tbl>
      <w:tblPr>
        <w:tblStyle w:val="45"/>
        <w:tblW w:w="94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530"/>
        <w:gridCol w:w="802"/>
        <w:gridCol w:w="918"/>
        <w:gridCol w:w="1567"/>
        <w:gridCol w:w="1183"/>
        <w:gridCol w:w="1309"/>
        <w:gridCol w:w="1418"/>
      </w:tblGrid>
      <w:tr w14:paraId="111D0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722" w:type="dxa"/>
            <w:noWrap w:val="0"/>
            <w:vAlign w:val="center"/>
          </w:tcPr>
          <w:p w14:paraId="0FA0209A">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序号</w:t>
            </w:r>
          </w:p>
        </w:tc>
        <w:tc>
          <w:tcPr>
            <w:tcW w:w="1530" w:type="dxa"/>
            <w:noWrap w:val="0"/>
            <w:vAlign w:val="center"/>
          </w:tcPr>
          <w:p w14:paraId="0F975832">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Cs/>
                <w:color w:val="auto"/>
                <w:sz w:val="24"/>
                <w:szCs w:val="24"/>
              </w:rPr>
            </w:pPr>
            <w:r>
              <w:rPr>
                <w:rFonts w:hint="eastAsia" w:cs="宋体"/>
                <w:bCs/>
                <w:color w:val="auto"/>
                <w:sz w:val="24"/>
                <w:szCs w:val="24"/>
                <w:lang w:eastAsia="zh-CN"/>
              </w:rPr>
              <w:t>设备</w:t>
            </w:r>
            <w:r>
              <w:rPr>
                <w:rFonts w:hint="eastAsia" w:ascii="宋体" w:hAnsi="宋体" w:eastAsia="宋体" w:cs="宋体"/>
                <w:bCs/>
                <w:color w:val="auto"/>
                <w:sz w:val="24"/>
                <w:szCs w:val="24"/>
              </w:rPr>
              <w:t>名称</w:t>
            </w:r>
          </w:p>
        </w:tc>
        <w:tc>
          <w:tcPr>
            <w:tcW w:w="802" w:type="dxa"/>
            <w:noWrap w:val="0"/>
            <w:vAlign w:val="center"/>
          </w:tcPr>
          <w:p w14:paraId="6EBAD774">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Cs/>
                <w:color w:val="auto"/>
                <w:sz w:val="24"/>
                <w:szCs w:val="24"/>
                <w:lang w:eastAsia="zh-CN"/>
              </w:rPr>
            </w:pPr>
            <w:r>
              <w:rPr>
                <w:rFonts w:hint="eastAsia" w:cs="宋体"/>
                <w:bCs/>
                <w:color w:val="auto"/>
                <w:sz w:val="24"/>
                <w:szCs w:val="24"/>
                <w:lang w:eastAsia="zh-CN"/>
              </w:rPr>
              <w:t>单位</w:t>
            </w:r>
          </w:p>
        </w:tc>
        <w:tc>
          <w:tcPr>
            <w:tcW w:w="918" w:type="dxa"/>
            <w:noWrap w:val="0"/>
            <w:vAlign w:val="center"/>
          </w:tcPr>
          <w:p w14:paraId="0BF6059B">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Cs/>
                <w:color w:val="auto"/>
                <w:sz w:val="24"/>
                <w:szCs w:val="24"/>
                <w:lang w:eastAsia="zh-CN"/>
              </w:rPr>
            </w:pPr>
            <w:r>
              <w:rPr>
                <w:rFonts w:hint="eastAsia" w:cs="宋体"/>
                <w:bCs/>
                <w:color w:val="auto"/>
                <w:sz w:val="24"/>
                <w:szCs w:val="24"/>
                <w:lang w:eastAsia="zh-CN"/>
              </w:rPr>
              <w:t>数量</w:t>
            </w:r>
          </w:p>
        </w:tc>
        <w:tc>
          <w:tcPr>
            <w:tcW w:w="1567" w:type="dxa"/>
            <w:noWrap w:val="0"/>
            <w:vAlign w:val="center"/>
          </w:tcPr>
          <w:p w14:paraId="1CD6B39E">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Cs/>
                <w:color w:val="auto"/>
                <w:sz w:val="24"/>
                <w:szCs w:val="24"/>
              </w:rPr>
            </w:pPr>
            <w:r>
              <w:rPr>
                <w:rFonts w:hint="eastAsia" w:cs="宋体"/>
                <w:bCs/>
                <w:color w:val="auto"/>
                <w:sz w:val="24"/>
                <w:szCs w:val="24"/>
                <w:lang w:eastAsia="zh-CN"/>
              </w:rPr>
              <w:t>技术</w:t>
            </w:r>
            <w:r>
              <w:rPr>
                <w:rFonts w:hint="eastAsia" w:ascii="宋体" w:hAnsi="宋体" w:eastAsia="宋体" w:cs="宋体"/>
                <w:bCs/>
                <w:color w:val="auto"/>
                <w:sz w:val="24"/>
                <w:szCs w:val="24"/>
              </w:rPr>
              <w:t>参数</w:t>
            </w:r>
          </w:p>
        </w:tc>
        <w:tc>
          <w:tcPr>
            <w:tcW w:w="1183" w:type="dxa"/>
            <w:noWrap w:val="0"/>
            <w:vAlign w:val="center"/>
          </w:tcPr>
          <w:p w14:paraId="5CCA2F59">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品牌</w:t>
            </w:r>
          </w:p>
        </w:tc>
        <w:tc>
          <w:tcPr>
            <w:tcW w:w="1309" w:type="dxa"/>
            <w:noWrap w:val="0"/>
            <w:vAlign w:val="center"/>
          </w:tcPr>
          <w:p w14:paraId="75C9D50D">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单价（元）</w:t>
            </w:r>
          </w:p>
        </w:tc>
        <w:tc>
          <w:tcPr>
            <w:tcW w:w="1418" w:type="dxa"/>
            <w:noWrap w:val="0"/>
            <w:vAlign w:val="center"/>
          </w:tcPr>
          <w:p w14:paraId="1B8CC3C2">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Cs/>
                <w:color w:val="auto"/>
                <w:sz w:val="24"/>
                <w:szCs w:val="24"/>
              </w:rPr>
            </w:pPr>
            <w:r>
              <w:rPr>
                <w:rFonts w:hint="eastAsia" w:cs="宋体"/>
                <w:bCs/>
                <w:color w:val="auto"/>
                <w:sz w:val="24"/>
                <w:szCs w:val="24"/>
                <w:lang w:eastAsia="zh-CN"/>
              </w:rPr>
              <w:t>合计</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元）</w:t>
            </w:r>
          </w:p>
        </w:tc>
      </w:tr>
      <w:tr w14:paraId="41159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722" w:type="dxa"/>
            <w:noWrap w:val="0"/>
            <w:vAlign w:val="center"/>
          </w:tcPr>
          <w:p w14:paraId="19F79626">
            <w:pPr>
              <w:spacing w:line="440" w:lineRule="exact"/>
              <w:ind w:left="0" w:leftChars="0"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w:t>
            </w:r>
          </w:p>
        </w:tc>
        <w:tc>
          <w:tcPr>
            <w:tcW w:w="1530" w:type="dxa"/>
            <w:noWrap w:val="0"/>
            <w:vAlign w:val="center"/>
          </w:tcPr>
          <w:p w14:paraId="4FF8A940">
            <w:pPr>
              <w:widowControl/>
              <w:spacing w:line="440" w:lineRule="exact"/>
              <w:jc w:val="center"/>
              <w:rPr>
                <w:rFonts w:hint="eastAsia" w:ascii="宋体" w:hAnsi="宋体" w:eastAsia="宋体" w:cs="宋体"/>
                <w:color w:val="auto"/>
                <w:kern w:val="0"/>
                <w:sz w:val="24"/>
                <w:szCs w:val="24"/>
              </w:rPr>
            </w:pPr>
          </w:p>
        </w:tc>
        <w:tc>
          <w:tcPr>
            <w:tcW w:w="802" w:type="dxa"/>
            <w:noWrap w:val="0"/>
            <w:vAlign w:val="center"/>
          </w:tcPr>
          <w:p w14:paraId="42183661">
            <w:pPr>
              <w:spacing w:line="440" w:lineRule="exact"/>
              <w:jc w:val="center"/>
              <w:rPr>
                <w:rFonts w:hint="eastAsia" w:ascii="宋体" w:hAnsi="宋体" w:eastAsia="宋体" w:cs="宋体"/>
                <w:bCs/>
                <w:color w:val="auto"/>
                <w:sz w:val="24"/>
                <w:szCs w:val="24"/>
              </w:rPr>
            </w:pPr>
          </w:p>
        </w:tc>
        <w:tc>
          <w:tcPr>
            <w:tcW w:w="918" w:type="dxa"/>
            <w:noWrap w:val="0"/>
            <w:vAlign w:val="center"/>
          </w:tcPr>
          <w:p w14:paraId="2C85645A">
            <w:pPr>
              <w:spacing w:line="440" w:lineRule="exact"/>
              <w:jc w:val="center"/>
              <w:rPr>
                <w:rFonts w:hint="eastAsia" w:ascii="宋体" w:hAnsi="宋体" w:eastAsia="宋体" w:cs="宋体"/>
                <w:bCs/>
                <w:color w:val="auto"/>
                <w:sz w:val="24"/>
                <w:szCs w:val="24"/>
              </w:rPr>
            </w:pPr>
          </w:p>
        </w:tc>
        <w:tc>
          <w:tcPr>
            <w:tcW w:w="1567" w:type="dxa"/>
            <w:noWrap w:val="0"/>
            <w:vAlign w:val="center"/>
          </w:tcPr>
          <w:p w14:paraId="049D7261">
            <w:pPr>
              <w:spacing w:line="440" w:lineRule="exact"/>
              <w:jc w:val="center"/>
              <w:rPr>
                <w:rFonts w:hint="eastAsia" w:ascii="宋体" w:hAnsi="宋体" w:eastAsia="宋体" w:cs="宋体"/>
                <w:bCs/>
                <w:color w:val="auto"/>
                <w:sz w:val="24"/>
                <w:szCs w:val="24"/>
              </w:rPr>
            </w:pPr>
          </w:p>
        </w:tc>
        <w:tc>
          <w:tcPr>
            <w:tcW w:w="1183" w:type="dxa"/>
            <w:noWrap w:val="0"/>
            <w:vAlign w:val="center"/>
          </w:tcPr>
          <w:p w14:paraId="0AF61553">
            <w:pPr>
              <w:spacing w:line="440" w:lineRule="exact"/>
              <w:jc w:val="center"/>
              <w:rPr>
                <w:rFonts w:hint="eastAsia" w:ascii="宋体" w:hAnsi="宋体" w:eastAsia="宋体" w:cs="宋体"/>
                <w:bCs/>
                <w:color w:val="auto"/>
                <w:sz w:val="24"/>
                <w:szCs w:val="24"/>
              </w:rPr>
            </w:pPr>
          </w:p>
        </w:tc>
        <w:tc>
          <w:tcPr>
            <w:tcW w:w="1309" w:type="dxa"/>
            <w:noWrap w:val="0"/>
            <w:vAlign w:val="center"/>
          </w:tcPr>
          <w:p w14:paraId="7F004DCA">
            <w:pPr>
              <w:spacing w:line="440" w:lineRule="exact"/>
              <w:jc w:val="center"/>
              <w:rPr>
                <w:rFonts w:hint="eastAsia" w:ascii="宋体" w:hAnsi="宋体" w:eastAsia="宋体" w:cs="宋体"/>
                <w:bCs/>
                <w:color w:val="auto"/>
                <w:sz w:val="24"/>
                <w:szCs w:val="24"/>
              </w:rPr>
            </w:pPr>
          </w:p>
        </w:tc>
        <w:tc>
          <w:tcPr>
            <w:tcW w:w="1418" w:type="dxa"/>
            <w:noWrap w:val="0"/>
            <w:vAlign w:val="center"/>
          </w:tcPr>
          <w:p w14:paraId="00ECDFA1">
            <w:pPr>
              <w:spacing w:line="440" w:lineRule="exact"/>
              <w:jc w:val="center"/>
              <w:rPr>
                <w:rFonts w:hint="eastAsia" w:ascii="宋体" w:hAnsi="宋体" w:eastAsia="宋体" w:cs="宋体"/>
                <w:bCs/>
                <w:color w:val="auto"/>
                <w:sz w:val="24"/>
                <w:szCs w:val="24"/>
              </w:rPr>
            </w:pPr>
          </w:p>
        </w:tc>
      </w:tr>
      <w:tr w14:paraId="5D6E0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722" w:type="dxa"/>
            <w:noWrap w:val="0"/>
            <w:vAlign w:val="center"/>
          </w:tcPr>
          <w:p w14:paraId="2C55A953">
            <w:pPr>
              <w:spacing w:line="440" w:lineRule="exact"/>
              <w:ind w:left="0" w:leftChars="0"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2</w:t>
            </w:r>
          </w:p>
        </w:tc>
        <w:tc>
          <w:tcPr>
            <w:tcW w:w="1530" w:type="dxa"/>
            <w:noWrap w:val="0"/>
            <w:vAlign w:val="center"/>
          </w:tcPr>
          <w:p w14:paraId="33D3AE62">
            <w:pPr>
              <w:widowControl/>
              <w:spacing w:line="440" w:lineRule="exact"/>
              <w:jc w:val="center"/>
              <w:rPr>
                <w:rFonts w:hint="eastAsia" w:ascii="宋体" w:hAnsi="宋体" w:eastAsia="宋体" w:cs="宋体"/>
                <w:color w:val="auto"/>
                <w:kern w:val="0"/>
                <w:sz w:val="24"/>
                <w:szCs w:val="24"/>
              </w:rPr>
            </w:pPr>
          </w:p>
        </w:tc>
        <w:tc>
          <w:tcPr>
            <w:tcW w:w="802" w:type="dxa"/>
            <w:noWrap w:val="0"/>
            <w:vAlign w:val="center"/>
          </w:tcPr>
          <w:p w14:paraId="6222C6AB">
            <w:pPr>
              <w:spacing w:line="440" w:lineRule="exact"/>
              <w:jc w:val="center"/>
              <w:rPr>
                <w:rFonts w:hint="eastAsia" w:ascii="宋体" w:hAnsi="宋体" w:eastAsia="宋体" w:cs="宋体"/>
                <w:bCs/>
                <w:color w:val="auto"/>
                <w:sz w:val="24"/>
                <w:szCs w:val="24"/>
              </w:rPr>
            </w:pPr>
          </w:p>
        </w:tc>
        <w:tc>
          <w:tcPr>
            <w:tcW w:w="918" w:type="dxa"/>
            <w:noWrap w:val="0"/>
            <w:vAlign w:val="center"/>
          </w:tcPr>
          <w:p w14:paraId="0A6EBC6D">
            <w:pPr>
              <w:spacing w:line="440" w:lineRule="exact"/>
              <w:jc w:val="center"/>
              <w:rPr>
                <w:rFonts w:hint="eastAsia" w:ascii="宋体" w:hAnsi="宋体" w:eastAsia="宋体" w:cs="宋体"/>
                <w:bCs/>
                <w:color w:val="auto"/>
                <w:sz w:val="24"/>
                <w:szCs w:val="24"/>
              </w:rPr>
            </w:pPr>
          </w:p>
        </w:tc>
        <w:tc>
          <w:tcPr>
            <w:tcW w:w="1567" w:type="dxa"/>
            <w:noWrap w:val="0"/>
            <w:vAlign w:val="center"/>
          </w:tcPr>
          <w:p w14:paraId="61E9AB96">
            <w:pPr>
              <w:spacing w:line="440" w:lineRule="exact"/>
              <w:jc w:val="center"/>
              <w:rPr>
                <w:rFonts w:hint="eastAsia" w:ascii="宋体" w:hAnsi="宋体" w:eastAsia="宋体" w:cs="宋体"/>
                <w:bCs/>
                <w:color w:val="auto"/>
                <w:sz w:val="24"/>
                <w:szCs w:val="24"/>
              </w:rPr>
            </w:pPr>
          </w:p>
        </w:tc>
        <w:tc>
          <w:tcPr>
            <w:tcW w:w="1183" w:type="dxa"/>
            <w:noWrap w:val="0"/>
            <w:vAlign w:val="center"/>
          </w:tcPr>
          <w:p w14:paraId="09DCB776">
            <w:pPr>
              <w:spacing w:line="440" w:lineRule="exact"/>
              <w:jc w:val="center"/>
              <w:rPr>
                <w:rFonts w:hint="eastAsia" w:ascii="宋体" w:hAnsi="宋体" w:eastAsia="宋体" w:cs="宋体"/>
                <w:bCs/>
                <w:color w:val="auto"/>
                <w:sz w:val="24"/>
                <w:szCs w:val="24"/>
              </w:rPr>
            </w:pPr>
          </w:p>
        </w:tc>
        <w:tc>
          <w:tcPr>
            <w:tcW w:w="1309" w:type="dxa"/>
            <w:noWrap w:val="0"/>
            <w:vAlign w:val="center"/>
          </w:tcPr>
          <w:p w14:paraId="2911F35B">
            <w:pPr>
              <w:spacing w:line="440" w:lineRule="exact"/>
              <w:jc w:val="center"/>
              <w:rPr>
                <w:rFonts w:hint="eastAsia" w:ascii="宋体" w:hAnsi="宋体" w:eastAsia="宋体" w:cs="宋体"/>
                <w:bCs/>
                <w:color w:val="auto"/>
                <w:sz w:val="24"/>
                <w:szCs w:val="24"/>
              </w:rPr>
            </w:pPr>
          </w:p>
        </w:tc>
        <w:tc>
          <w:tcPr>
            <w:tcW w:w="1418" w:type="dxa"/>
            <w:noWrap w:val="0"/>
            <w:vAlign w:val="center"/>
          </w:tcPr>
          <w:p w14:paraId="5BAB82DD">
            <w:pPr>
              <w:spacing w:line="440" w:lineRule="exact"/>
              <w:jc w:val="center"/>
              <w:rPr>
                <w:rFonts w:hint="eastAsia" w:ascii="宋体" w:hAnsi="宋体" w:eastAsia="宋体" w:cs="宋体"/>
                <w:bCs/>
                <w:color w:val="auto"/>
                <w:sz w:val="24"/>
                <w:szCs w:val="24"/>
              </w:rPr>
            </w:pPr>
          </w:p>
        </w:tc>
      </w:tr>
      <w:tr w14:paraId="241EC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722" w:type="dxa"/>
            <w:noWrap w:val="0"/>
            <w:vAlign w:val="center"/>
          </w:tcPr>
          <w:p w14:paraId="7F8715E6">
            <w:pPr>
              <w:spacing w:line="440" w:lineRule="exact"/>
              <w:ind w:left="0" w:leftChars="0"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3</w:t>
            </w:r>
          </w:p>
        </w:tc>
        <w:tc>
          <w:tcPr>
            <w:tcW w:w="1530" w:type="dxa"/>
            <w:noWrap w:val="0"/>
            <w:vAlign w:val="center"/>
          </w:tcPr>
          <w:p w14:paraId="45B866DB">
            <w:pPr>
              <w:spacing w:line="440" w:lineRule="exact"/>
              <w:jc w:val="center"/>
              <w:rPr>
                <w:rFonts w:hint="eastAsia" w:ascii="宋体" w:hAnsi="宋体" w:eastAsia="宋体" w:cs="宋体"/>
                <w:bCs/>
                <w:color w:val="auto"/>
                <w:sz w:val="24"/>
                <w:szCs w:val="24"/>
              </w:rPr>
            </w:pPr>
          </w:p>
        </w:tc>
        <w:tc>
          <w:tcPr>
            <w:tcW w:w="802" w:type="dxa"/>
            <w:noWrap w:val="0"/>
            <w:vAlign w:val="center"/>
          </w:tcPr>
          <w:p w14:paraId="17EEDFCB">
            <w:pPr>
              <w:spacing w:line="440" w:lineRule="exact"/>
              <w:jc w:val="center"/>
              <w:rPr>
                <w:rFonts w:hint="eastAsia" w:ascii="宋体" w:hAnsi="宋体" w:eastAsia="宋体" w:cs="宋体"/>
                <w:bCs/>
                <w:color w:val="auto"/>
                <w:sz w:val="24"/>
                <w:szCs w:val="24"/>
              </w:rPr>
            </w:pPr>
          </w:p>
        </w:tc>
        <w:tc>
          <w:tcPr>
            <w:tcW w:w="918" w:type="dxa"/>
            <w:noWrap w:val="0"/>
            <w:vAlign w:val="center"/>
          </w:tcPr>
          <w:p w14:paraId="41C4C502">
            <w:pPr>
              <w:spacing w:line="440" w:lineRule="exact"/>
              <w:jc w:val="center"/>
              <w:rPr>
                <w:rFonts w:hint="eastAsia" w:ascii="宋体" w:hAnsi="宋体" w:eastAsia="宋体" w:cs="宋体"/>
                <w:bCs/>
                <w:color w:val="auto"/>
                <w:sz w:val="24"/>
                <w:szCs w:val="24"/>
              </w:rPr>
            </w:pPr>
          </w:p>
        </w:tc>
        <w:tc>
          <w:tcPr>
            <w:tcW w:w="1567" w:type="dxa"/>
            <w:noWrap w:val="0"/>
            <w:vAlign w:val="center"/>
          </w:tcPr>
          <w:p w14:paraId="4B8800F4">
            <w:pPr>
              <w:spacing w:line="440" w:lineRule="exact"/>
              <w:jc w:val="center"/>
              <w:rPr>
                <w:rFonts w:hint="eastAsia" w:ascii="宋体" w:hAnsi="宋体" w:eastAsia="宋体" w:cs="宋体"/>
                <w:bCs/>
                <w:color w:val="auto"/>
                <w:sz w:val="24"/>
                <w:szCs w:val="24"/>
              </w:rPr>
            </w:pPr>
          </w:p>
        </w:tc>
        <w:tc>
          <w:tcPr>
            <w:tcW w:w="1183" w:type="dxa"/>
            <w:noWrap w:val="0"/>
            <w:vAlign w:val="center"/>
          </w:tcPr>
          <w:p w14:paraId="5EB5F375">
            <w:pPr>
              <w:spacing w:line="440" w:lineRule="exact"/>
              <w:jc w:val="center"/>
              <w:rPr>
                <w:rFonts w:hint="eastAsia" w:ascii="宋体" w:hAnsi="宋体" w:eastAsia="宋体" w:cs="宋体"/>
                <w:bCs/>
                <w:color w:val="auto"/>
                <w:sz w:val="24"/>
                <w:szCs w:val="24"/>
              </w:rPr>
            </w:pPr>
          </w:p>
        </w:tc>
        <w:tc>
          <w:tcPr>
            <w:tcW w:w="1309" w:type="dxa"/>
            <w:noWrap w:val="0"/>
            <w:vAlign w:val="center"/>
          </w:tcPr>
          <w:p w14:paraId="5A6343EA">
            <w:pPr>
              <w:spacing w:line="440" w:lineRule="exact"/>
              <w:jc w:val="center"/>
              <w:rPr>
                <w:rFonts w:hint="eastAsia" w:ascii="宋体" w:hAnsi="宋体" w:eastAsia="宋体" w:cs="宋体"/>
                <w:bCs/>
                <w:color w:val="auto"/>
                <w:sz w:val="24"/>
                <w:szCs w:val="24"/>
              </w:rPr>
            </w:pPr>
          </w:p>
        </w:tc>
        <w:tc>
          <w:tcPr>
            <w:tcW w:w="1418" w:type="dxa"/>
            <w:noWrap w:val="0"/>
            <w:vAlign w:val="center"/>
          </w:tcPr>
          <w:p w14:paraId="219BF3DE">
            <w:pPr>
              <w:spacing w:line="440" w:lineRule="exact"/>
              <w:jc w:val="center"/>
              <w:rPr>
                <w:rFonts w:hint="eastAsia" w:ascii="宋体" w:hAnsi="宋体" w:eastAsia="宋体" w:cs="宋体"/>
                <w:bCs/>
                <w:color w:val="auto"/>
                <w:sz w:val="24"/>
                <w:szCs w:val="24"/>
              </w:rPr>
            </w:pPr>
          </w:p>
        </w:tc>
      </w:tr>
      <w:tr w14:paraId="3D2A4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722" w:type="dxa"/>
            <w:noWrap w:val="0"/>
            <w:vAlign w:val="center"/>
          </w:tcPr>
          <w:p w14:paraId="557D83BF">
            <w:pPr>
              <w:spacing w:line="440" w:lineRule="exact"/>
              <w:ind w:left="0" w:leftChars="0"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4</w:t>
            </w:r>
          </w:p>
        </w:tc>
        <w:tc>
          <w:tcPr>
            <w:tcW w:w="1530" w:type="dxa"/>
            <w:noWrap w:val="0"/>
            <w:vAlign w:val="center"/>
          </w:tcPr>
          <w:p w14:paraId="732BE0C2">
            <w:pPr>
              <w:spacing w:line="440" w:lineRule="exact"/>
              <w:jc w:val="center"/>
              <w:rPr>
                <w:rFonts w:hint="eastAsia" w:ascii="宋体" w:hAnsi="宋体" w:eastAsia="宋体" w:cs="宋体"/>
                <w:bCs/>
                <w:color w:val="auto"/>
                <w:sz w:val="24"/>
                <w:szCs w:val="24"/>
              </w:rPr>
            </w:pPr>
          </w:p>
        </w:tc>
        <w:tc>
          <w:tcPr>
            <w:tcW w:w="802" w:type="dxa"/>
            <w:noWrap w:val="0"/>
            <w:vAlign w:val="center"/>
          </w:tcPr>
          <w:p w14:paraId="4AAD2515">
            <w:pPr>
              <w:spacing w:line="440" w:lineRule="exact"/>
              <w:jc w:val="center"/>
              <w:rPr>
                <w:rFonts w:hint="eastAsia" w:ascii="宋体" w:hAnsi="宋体" w:eastAsia="宋体" w:cs="宋体"/>
                <w:bCs/>
                <w:color w:val="auto"/>
                <w:sz w:val="24"/>
                <w:szCs w:val="24"/>
              </w:rPr>
            </w:pPr>
          </w:p>
        </w:tc>
        <w:tc>
          <w:tcPr>
            <w:tcW w:w="918" w:type="dxa"/>
            <w:noWrap w:val="0"/>
            <w:vAlign w:val="center"/>
          </w:tcPr>
          <w:p w14:paraId="293298D6">
            <w:pPr>
              <w:spacing w:line="440" w:lineRule="exact"/>
              <w:jc w:val="center"/>
              <w:rPr>
                <w:rFonts w:hint="eastAsia" w:ascii="宋体" w:hAnsi="宋体" w:eastAsia="宋体" w:cs="宋体"/>
                <w:bCs/>
                <w:color w:val="auto"/>
                <w:sz w:val="24"/>
                <w:szCs w:val="24"/>
              </w:rPr>
            </w:pPr>
          </w:p>
        </w:tc>
        <w:tc>
          <w:tcPr>
            <w:tcW w:w="1567" w:type="dxa"/>
            <w:noWrap w:val="0"/>
            <w:vAlign w:val="center"/>
          </w:tcPr>
          <w:p w14:paraId="17F5F4DF">
            <w:pPr>
              <w:spacing w:line="440" w:lineRule="exact"/>
              <w:jc w:val="center"/>
              <w:rPr>
                <w:rFonts w:hint="eastAsia" w:ascii="宋体" w:hAnsi="宋体" w:eastAsia="宋体" w:cs="宋体"/>
                <w:bCs/>
                <w:color w:val="auto"/>
                <w:sz w:val="24"/>
                <w:szCs w:val="24"/>
              </w:rPr>
            </w:pPr>
          </w:p>
        </w:tc>
        <w:tc>
          <w:tcPr>
            <w:tcW w:w="1183" w:type="dxa"/>
            <w:noWrap w:val="0"/>
            <w:vAlign w:val="center"/>
          </w:tcPr>
          <w:p w14:paraId="5B6FF3E0">
            <w:pPr>
              <w:spacing w:line="440" w:lineRule="exact"/>
              <w:jc w:val="center"/>
              <w:rPr>
                <w:rFonts w:hint="eastAsia" w:ascii="宋体" w:hAnsi="宋体" w:eastAsia="宋体" w:cs="宋体"/>
                <w:bCs/>
                <w:color w:val="auto"/>
                <w:sz w:val="24"/>
                <w:szCs w:val="24"/>
              </w:rPr>
            </w:pPr>
          </w:p>
        </w:tc>
        <w:tc>
          <w:tcPr>
            <w:tcW w:w="1309" w:type="dxa"/>
            <w:noWrap w:val="0"/>
            <w:vAlign w:val="center"/>
          </w:tcPr>
          <w:p w14:paraId="6EAE7CEE">
            <w:pPr>
              <w:spacing w:line="440" w:lineRule="exact"/>
              <w:jc w:val="center"/>
              <w:rPr>
                <w:rFonts w:hint="eastAsia" w:ascii="宋体" w:hAnsi="宋体" w:eastAsia="宋体" w:cs="宋体"/>
                <w:bCs/>
                <w:color w:val="auto"/>
                <w:sz w:val="24"/>
                <w:szCs w:val="24"/>
              </w:rPr>
            </w:pPr>
          </w:p>
        </w:tc>
        <w:tc>
          <w:tcPr>
            <w:tcW w:w="1418" w:type="dxa"/>
            <w:noWrap w:val="0"/>
            <w:vAlign w:val="center"/>
          </w:tcPr>
          <w:p w14:paraId="7150CE44">
            <w:pPr>
              <w:spacing w:line="440" w:lineRule="exact"/>
              <w:jc w:val="center"/>
              <w:rPr>
                <w:rFonts w:hint="eastAsia" w:ascii="宋体" w:hAnsi="宋体" w:eastAsia="宋体" w:cs="宋体"/>
                <w:bCs/>
                <w:color w:val="auto"/>
                <w:sz w:val="24"/>
                <w:szCs w:val="24"/>
              </w:rPr>
            </w:pPr>
          </w:p>
        </w:tc>
      </w:tr>
      <w:tr w14:paraId="77580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722" w:type="dxa"/>
            <w:noWrap w:val="0"/>
            <w:vAlign w:val="center"/>
          </w:tcPr>
          <w:p w14:paraId="0FCD906D">
            <w:pPr>
              <w:spacing w:line="440" w:lineRule="exact"/>
              <w:ind w:left="0" w:leftChars="0"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5</w:t>
            </w:r>
          </w:p>
        </w:tc>
        <w:tc>
          <w:tcPr>
            <w:tcW w:w="1530" w:type="dxa"/>
            <w:noWrap w:val="0"/>
            <w:vAlign w:val="center"/>
          </w:tcPr>
          <w:p w14:paraId="53BF42A1">
            <w:pPr>
              <w:spacing w:line="440" w:lineRule="exact"/>
              <w:jc w:val="center"/>
              <w:rPr>
                <w:rFonts w:hint="eastAsia" w:ascii="宋体" w:hAnsi="宋体" w:eastAsia="宋体" w:cs="宋体"/>
                <w:bCs/>
                <w:color w:val="auto"/>
                <w:sz w:val="24"/>
                <w:szCs w:val="24"/>
              </w:rPr>
            </w:pPr>
          </w:p>
        </w:tc>
        <w:tc>
          <w:tcPr>
            <w:tcW w:w="802" w:type="dxa"/>
            <w:noWrap w:val="0"/>
            <w:vAlign w:val="center"/>
          </w:tcPr>
          <w:p w14:paraId="1D4FEAF7">
            <w:pPr>
              <w:spacing w:line="440" w:lineRule="exact"/>
              <w:jc w:val="center"/>
              <w:rPr>
                <w:rFonts w:hint="eastAsia" w:ascii="宋体" w:hAnsi="宋体" w:eastAsia="宋体" w:cs="宋体"/>
                <w:bCs/>
                <w:color w:val="auto"/>
                <w:sz w:val="24"/>
                <w:szCs w:val="24"/>
              </w:rPr>
            </w:pPr>
          </w:p>
        </w:tc>
        <w:tc>
          <w:tcPr>
            <w:tcW w:w="918" w:type="dxa"/>
            <w:noWrap w:val="0"/>
            <w:vAlign w:val="center"/>
          </w:tcPr>
          <w:p w14:paraId="0047F75B">
            <w:pPr>
              <w:spacing w:line="440" w:lineRule="exact"/>
              <w:jc w:val="center"/>
              <w:rPr>
                <w:rFonts w:hint="eastAsia" w:ascii="宋体" w:hAnsi="宋体" w:eastAsia="宋体" w:cs="宋体"/>
                <w:bCs/>
                <w:color w:val="auto"/>
                <w:sz w:val="24"/>
                <w:szCs w:val="24"/>
              </w:rPr>
            </w:pPr>
          </w:p>
        </w:tc>
        <w:tc>
          <w:tcPr>
            <w:tcW w:w="1567" w:type="dxa"/>
            <w:noWrap w:val="0"/>
            <w:vAlign w:val="center"/>
          </w:tcPr>
          <w:p w14:paraId="73B1F34A">
            <w:pPr>
              <w:spacing w:line="440" w:lineRule="exact"/>
              <w:jc w:val="center"/>
              <w:rPr>
                <w:rFonts w:hint="eastAsia" w:ascii="宋体" w:hAnsi="宋体" w:eastAsia="宋体" w:cs="宋体"/>
                <w:bCs/>
                <w:color w:val="auto"/>
                <w:sz w:val="24"/>
                <w:szCs w:val="24"/>
              </w:rPr>
            </w:pPr>
          </w:p>
        </w:tc>
        <w:tc>
          <w:tcPr>
            <w:tcW w:w="1183" w:type="dxa"/>
            <w:noWrap w:val="0"/>
            <w:vAlign w:val="center"/>
          </w:tcPr>
          <w:p w14:paraId="54CBA44F">
            <w:pPr>
              <w:spacing w:line="440" w:lineRule="exact"/>
              <w:jc w:val="center"/>
              <w:rPr>
                <w:rFonts w:hint="eastAsia" w:ascii="宋体" w:hAnsi="宋体" w:eastAsia="宋体" w:cs="宋体"/>
                <w:bCs/>
                <w:color w:val="auto"/>
                <w:sz w:val="24"/>
                <w:szCs w:val="24"/>
              </w:rPr>
            </w:pPr>
          </w:p>
        </w:tc>
        <w:tc>
          <w:tcPr>
            <w:tcW w:w="1309" w:type="dxa"/>
            <w:noWrap w:val="0"/>
            <w:vAlign w:val="center"/>
          </w:tcPr>
          <w:p w14:paraId="168A19C5">
            <w:pPr>
              <w:spacing w:line="440" w:lineRule="exact"/>
              <w:jc w:val="center"/>
              <w:rPr>
                <w:rFonts w:hint="eastAsia" w:ascii="宋体" w:hAnsi="宋体" w:eastAsia="宋体" w:cs="宋体"/>
                <w:bCs/>
                <w:color w:val="auto"/>
                <w:sz w:val="24"/>
                <w:szCs w:val="24"/>
              </w:rPr>
            </w:pPr>
          </w:p>
        </w:tc>
        <w:tc>
          <w:tcPr>
            <w:tcW w:w="1418" w:type="dxa"/>
            <w:noWrap w:val="0"/>
            <w:vAlign w:val="center"/>
          </w:tcPr>
          <w:p w14:paraId="7BF0D13E">
            <w:pPr>
              <w:spacing w:line="440" w:lineRule="exact"/>
              <w:jc w:val="center"/>
              <w:rPr>
                <w:rFonts w:hint="eastAsia" w:ascii="宋体" w:hAnsi="宋体" w:eastAsia="宋体" w:cs="宋体"/>
                <w:bCs/>
                <w:color w:val="auto"/>
                <w:sz w:val="24"/>
                <w:szCs w:val="24"/>
              </w:rPr>
            </w:pPr>
          </w:p>
        </w:tc>
      </w:tr>
      <w:tr w14:paraId="3DEB7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722" w:type="dxa"/>
            <w:noWrap w:val="0"/>
            <w:vAlign w:val="center"/>
          </w:tcPr>
          <w:p w14:paraId="20892E44">
            <w:pPr>
              <w:spacing w:line="440" w:lineRule="exact"/>
              <w:ind w:left="0" w:leftChars="0"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6</w:t>
            </w:r>
          </w:p>
        </w:tc>
        <w:tc>
          <w:tcPr>
            <w:tcW w:w="1530" w:type="dxa"/>
            <w:noWrap w:val="0"/>
            <w:vAlign w:val="center"/>
          </w:tcPr>
          <w:p w14:paraId="0AD2F53B">
            <w:pPr>
              <w:spacing w:line="440" w:lineRule="exact"/>
              <w:jc w:val="center"/>
              <w:rPr>
                <w:rFonts w:hint="eastAsia" w:ascii="宋体" w:hAnsi="宋体" w:eastAsia="宋体" w:cs="宋体"/>
                <w:bCs/>
                <w:color w:val="auto"/>
                <w:sz w:val="24"/>
                <w:szCs w:val="24"/>
              </w:rPr>
            </w:pPr>
          </w:p>
        </w:tc>
        <w:tc>
          <w:tcPr>
            <w:tcW w:w="802" w:type="dxa"/>
            <w:noWrap w:val="0"/>
            <w:vAlign w:val="center"/>
          </w:tcPr>
          <w:p w14:paraId="3D267E7A">
            <w:pPr>
              <w:spacing w:line="440" w:lineRule="exact"/>
              <w:jc w:val="center"/>
              <w:rPr>
                <w:rFonts w:hint="eastAsia" w:ascii="宋体" w:hAnsi="宋体" w:eastAsia="宋体" w:cs="宋体"/>
                <w:bCs/>
                <w:color w:val="auto"/>
                <w:sz w:val="24"/>
                <w:szCs w:val="24"/>
              </w:rPr>
            </w:pPr>
          </w:p>
        </w:tc>
        <w:tc>
          <w:tcPr>
            <w:tcW w:w="918" w:type="dxa"/>
            <w:noWrap w:val="0"/>
            <w:vAlign w:val="center"/>
          </w:tcPr>
          <w:p w14:paraId="4710F864">
            <w:pPr>
              <w:spacing w:line="440" w:lineRule="exact"/>
              <w:jc w:val="center"/>
              <w:rPr>
                <w:rFonts w:hint="eastAsia" w:ascii="宋体" w:hAnsi="宋体" w:eastAsia="宋体" w:cs="宋体"/>
                <w:bCs/>
                <w:color w:val="auto"/>
                <w:sz w:val="24"/>
                <w:szCs w:val="24"/>
              </w:rPr>
            </w:pPr>
          </w:p>
        </w:tc>
        <w:tc>
          <w:tcPr>
            <w:tcW w:w="1567" w:type="dxa"/>
            <w:noWrap w:val="0"/>
            <w:vAlign w:val="center"/>
          </w:tcPr>
          <w:p w14:paraId="4326350B">
            <w:pPr>
              <w:spacing w:line="440" w:lineRule="exact"/>
              <w:jc w:val="center"/>
              <w:rPr>
                <w:rFonts w:hint="eastAsia" w:ascii="宋体" w:hAnsi="宋体" w:eastAsia="宋体" w:cs="宋体"/>
                <w:bCs/>
                <w:color w:val="auto"/>
                <w:sz w:val="24"/>
                <w:szCs w:val="24"/>
              </w:rPr>
            </w:pPr>
          </w:p>
        </w:tc>
        <w:tc>
          <w:tcPr>
            <w:tcW w:w="1183" w:type="dxa"/>
            <w:noWrap w:val="0"/>
            <w:vAlign w:val="center"/>
          </w:tcPr>
          <w:p w14:paraId="4A4DF3D9">
            <w:pPr>
              <w:spacing w:line="440" w:lineRule="exact"/>
              <w:jc w:val="center"/>
              <w:rPr>
                <w:rFonts w:hint="eastAsia" w:ascii="宋体" w:hAnsi="宋体" w:eastAsia="宋体" w:cs="宋体"/>
                <w:bCs/>
                <w:color w:val="auto"/>
                <w:sz w:val="24"/>
                <w:szCs w:val="24"/>
              </w:rPr>
            </w:pPr>
          </w:p>
        </w:tc>
        <w:tc>
          <w:tcPr>
            <w:tcW w:w="1309" w:type="dxa"/>
            <w:noWrap w:val="0"/>
            <w:vAlign w:val="center"/>
          </w:tcPr>
          <w:p w14:paraId="1F1823D0">
            <w:pPr>
              <w:spacing w:line="440" w:lineRule="exact"/>
              <w:jc w:val="center"/>
              <w:rPr>
                <w:rFonts w:hint="eastAsia" w:ascii="宋体" w:hAnsi="宋体" w:eastAsia="宋体" w:cs="宋体"/>
                <w:bCs/>
                <w:color w:val="auto"/>
                <w:sz w:val="24"/>
                <w:szCs w:val="24"/>
              </w:rPr>
            </w:pPr>
          </w:p>
        </w:tc>
        <w:tc>
          <w:tcPr>
            <w:tcW w:w="1418" w:type="dxa"/>
            <w:noWrap w:val="0"/>
            <w:vAlign w:val="center"/>
          </w:tcPr>
          <w:p w14:paraId="7F9446E3">
            <w:pPr>
              <w:spacing w:line="440" w:lineRule="exact"/>
              <w:jc w:val="center"/>
              <w:rPr>
                <w:rFonts w:hint="eastAsia" w:ascii="宋体" w:hAnsi="宋体" w:eastAsia="宋体" w:cs="宋体"/>
                <w:bCs/>
                <w:color w:val="auto"/>
                <w:sz w:val="24"/>
                <w:szCs w:val="24"/>
              </w:rPr>
            </w:pPr>
          </w:p>
        </w:tc>
      </w:tr>
      <w:tr w14:paraId="51F1A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722" w:type="dxa"/>
            <w:noWrap w:val="0"/>
            <w:vAlign w:val="center"/>
          </w:tcPr>
          <w:p w14:paraId="687B27E0">
            <w:pPr>
              <w:spacing w:line="440" w:lineRule="exact"/>
              <w:ind w:left="0" w:leftChars="0"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7</w:t>
            </w:r>
          </w:p>
        </w:tc>
        <w:tc>
          <w:tcPr>
            <w:tcW w:w="1530" w:type="dxa"/>
            <w:noWrap w:val="0"/>
            <w:vAlign w:val="center"/>
          </w:tcPr>
          <w:p w14:paraId="31892432">
            <w:pPr>
              <w:spacing w:line="440" w:lineRule="exact"/>
              <w:jc w:val="center"/>
              <w:rPr>
                <w:rFonts w:hint="eastAsia" w:ascii="宋体" w:hAnsi="宋体" w:eastAsia="宋体" w:cs="宋体"/>
                <w:bCs/>
                <w:color w:val="auto"/>
                <w:sz w:val="24"/>
                <w:szCs w:val="24"/>
              </w:rPr>
            </w:pPr>
          </w:p>
        </w:tc>
        <w:tc>
          <w:tcPr>
            <w:tcW w:w="802" w:type="dxa"/>
            <w:noWrap w:val="0"/>
            <w:vAlign w:val="center"/>
          </w:tcPr>
          <w:p w14:paraId="17F2529B">
            <w:pPr>
              <w:spacing w:line="440" w:lineRule="exact"/>
              <w:jc w:val="center"/>
              <w:rPr>
                <w:rFonts w:hint="eastAsia" w:ascii="宋体" w:hAnsi="宋体" w:eastAsia="宋体" w:cs="宋体"/>
                <w:bCs/>
                <w:color w:val="auto"/>
                <w:sz w:val="24"/>
                <w:szCs w:val="24"/>
              </w:rPr>
            </w:pPr>
          </w:p>
        </w:tc>
        <w:tc>
          <w:tcPr>
            <w:tcW w:w="918" w:type="dxa"/>
            <w:noWrap w:val="0"/>
            <w:vAlign w:val="center"/>
          </w:tcPr>
          <w:p w14:paraId="05364B20">
            <w:pPr>
              <w:spacing w:line="440" w:lineRule="exact"/>
              <w:jc w:val="center"/>
              <w:rPr>
                <w:rFonts w:hint="eastAsia" w:ascii="宋体" w:hAnsi="宋体" w:eastAsia="宋体" w:cs="宋体"/>
                <w:bCs/>
                <w:color w:val="auto"/>
                <w:sz w:val="24"/>
                <w:szCs w:val="24"/>
              </w:rPr>
            </w:pPr>
          </w:p>
        </w:tc>
        <w:tc>
          <w:tcPr>
            <w:tcW w:w="1567" w:type="dxa"/>
            <w:noWrap w:val="0"/>
            <w:vAlign w:val="center"/>
          </w:tcPr>
          <w:p w14:paraId="71812D7B">
            <w:pPr>
              <w:spacing w:line="440" w:lineRule="exact"/>
              <w:jc w:val="center"/>
              <w:rPr>
                <w:rFonts w:hint="eastAsia" w:ascii="宋体" w:hAnsi="宋体" w:eastAsia="宋体" w:cs="宋体"/>
                <w:bCs/>
                <w:color w:val="auto"/>
                <w:sz w:val="24"/>
                <w:szCs w:val="24"/>
              </w:rPr>
            </w:pPr>
          </w:p>
        </w:tc>
        <w:tc>
          <w:tcPr>
            <w:tcW w:w="1183" w:type="dxa"/>
            <w:noWrap w:val="0"/>
            <w:vAlign w:val="center"/>
          </w:tcPr>
          <w:p w14:paraId="6CFAAC60">
            <w:pPr>
              <w:spacing w:line="440" w:lineRule="exact"/>
              <w:jc w:val="center"/>
              <w:rPr>
                <w:rFonts w:hint="eastAsia" w:ascii="宋体" w:hAnsi="宋体" w:eastAsia="宋体" w:cs="宋体"/>
                <w:bCs/>
                <w:color w:val="auto"/>
                <w:sz w:val="24"/>
                <w:szCs w:val="24"/>
              </w:rPr>
            </w:pPr>
          </w:p>
        </w:tc>
        <w:tc>
          <w:tcPr>
            <w:tcW w:w="1309" w:type="dxa"/>
            <w:noWrap w:val="0"/>
            <w:vAlign w:val="center"/>
          </w:tcPr>
          <w:p w14:paraId="3D06DD24">
            <w:pPr>
              <w:spacing w:line="440" w:lineRule="exact"/>
              <w:jc w:val="center"/>
              <w:rPr>
                <w:rFonts w:hint="eastAsia" w:ascii="宋体" w:hAnsi="宋体" w:eastAsia="宋体" w:cs="宋体"/>
                <w:bCs/>
                <w:color w:val="auto"/>
                <w:sz w:val="24"/>
                <w:szCs w:val="24"/>
              </w:rPr>
            </w:pPr>
          </w:p>
        </w:tc>
        <w:tc>
          <w:tcPr>
            <w:tcW w:w="1418" w:type="dxa"/>
            <w:noWrap w:val="0"/>
            <w:vAlign w:val="center"/>
          </w:tcPr>
          <w:p w14:paraId="2C5F828D">
            <w:pPr>
              <w:spacing w:line="440" w:lineRule="exact"/>
              <w:jc w:val="center"/>
              <w:rPr>
                <w:rFonts w:hint="eastAsia" w:ascii="宋体" w:hAnsi="宋体" w:eastAsia="宋体" w:cs="宋体"/>
                <w:bCs/>
                <w:color w:val="auto"/>
                <w:sz w:val="24"/>
                <w:szCs w:val="24"/>
              </w:rPr>
            </w:pPr>
          </w:p>
        </w:tc>
      </w:tr>
      <w:tr w14:paraId="7DE08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722" w:type="dxa"/>
            <w:noWrap w:val="0"/>
            <w:vAlign w:val="center"/>
          </w:tcPr>
          <w:p w14:paraId="458D8219">
            <w:pPr>
              <w:spacing w:line="440" w:lineRule="exact"/>
              <w:ind w:left="0" w:leftChars="0"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w:t>
            </w:r>
          </w:p>
        </w:tc>
        <w:tc>
          <w:tcPr>
            <w:tcW w:w="1530" w:type="dxa"/>
            <w:noWrap w:val="0"/>
            <w:vAlign w:val="center"/>
          </w:tcPr>
          <w:p w14:paraId="1F3A629F">
            <w:pPr>
              <w:spacing w:line="440" w:lineRule="exact"/>
              <w:jc w:val="center"/>
              <w:rPr>
                <w:rFonts w:hint="eastAsia" w:ascii="宋体" w:hAnsi="宋体" w:eastAsia="宋体" w:cs="宋体"/>
                <w:bCs/>
                <w:color w:val="auto"/>
                <w:sz w:val="24"/>
                <w:szCs w:val="24"/>
              </w:rPr>
            </w:pPr>
          </w:p>
        </w:tc>
        <w:tc>
          <w:tcPr>
            <w:tcW w:w="802" w:type="dxa"/>
            <w:noWrap w:val="0"/>
            <w:vAlign w:val="center"/>
          </w:tcPr>
          <w:p w14:paraId="35101CB2">
            <w:pPr>
              <w:spacing w:line="440" w:lineRule="exact"/>
              <w:jc w:val="center"/>
              <w:rPr>
                <w:rFonts w:hint="eastAsia" w:ascii="宋体" w:hAnsi="宋体" w:eastAsia="宋体" w:cs="宋体"/>
                <w:bCs/>
                <w:color w:val="auto"/>
                <w:sz w:val="24"/>
                <w:szCs w:val="24"/>
              </w:rPr>
            </w:pPr>
          </w:p>
        </w:tc>
        <w:tc>
          <w:tcPr>
            <w:tcW w:w="918" w:type="dxa"/>
            <w:noWrap w:val="0"/>
            <w:vAlign w:val="center"/>
          </w:tcPr>
          <w:p w14:paraId="46F9E597">
            <w:pPr>
              <w:spacing w:line="440" w:lineRule="exact"/>
              <w:jc w:val="center"/>
              <w:rPr>
                <w:rFonts w:hint="eastAsia" w:ascii="宋体" w:hAnsi="宋体" w:eastAsia="宋体" w:cs="宋体"/>
                <w:bCs/>
                <w:color w:val="auto"/>
                <w:sz w:val="24"/>
                <w:szCs w:val="24"/>
              </w:rPr>
            </w:pPr>
          </w:p>
        </w:tc>
        <w:tc>
          <w:tcPr>
            <w:tcW w:w="1567" w:type="dxa"/>
            <w:noWrap w:val="0"/>
            <w:vAlign w:val="center"/>
          </w:tcPr>
          <w:p w14:paraId="582D3DB2">
            <w:pPr>
              <w:spacing w:line="440" w:lineRule="exact"/>
              <w:jc w:val="center"/>
              <w:rPr>
                <w:rFonts w:hint="eastAsia" w:ascii="宋体" w:hAnsi="宋体" w:eastAsia="宋体" w:cs="宋体"/>
                <w:bCs/>
                <w:color w:val="auto"/>
                <w:sz w:val="24"/>
                <w:szCs w:val="24"/>
              </w:rPr>
            </w:pPr>
          </w:p>
        </w:tc>
        <w:tc>
          <w:tcPr>
            <w:tcW w:w="1183" w:type="dxa"/>
            <w:noWrap w:val="0"/>
            <w:vAlign w:val="center"/>
          </w:tcPr>
          <w:p w14:paraId="7AA6AA7B">
            <w:pPr>
              <w:spacing w:line="440" w:lineRule="exact"/>
              <w:jc w:val="center"/>
              <w:rPr>
                <w:rFonts w:hint="eastAsia" w:ascii="宋体" w:hAnsi="宋体" w:eastAsia="宋体" w:cs="宋体"/>
                <w:bCs/>
                <w:color w:val="auto"/>
                <w:sz w:val="24"/>
                <w:szCs w:val="24"/>
              </w:rPr>
            </w:pPr>
          </w:p>
        </w:tc>
        <w:tc>
          <w:tcPr>
            <w:tcW w:w="1309" w:type="dxa"/>
            <w:noWrap w:val="0"/>
            <w:vAlign w:val="center"/>
          </w:tcPr>
          <w:p w14:paraId="41F434EB">
            <w:pPr>
              <w:spacing w:line="440" w:lineRule="exact"/>
              <w:jc w:val="center"/>
              <w:rPr>
                <w:rFonts w:hint="eastAsia" w:ascii="宋体" w:hAnsi="宋体" w:eastAsia="宋体" w:cs="宋体"/>
                <w:bCs/>
                <w:color w:val="auto"/>
                <w:sz w:val="24"/>
                <w:szCs w:val="24"/>
              </w:rPr>
            </w:pPr>
          </w:p>
        </w:tc>
        <w:tc>
          <w:tcPr>
            <w:tcW w:w="1418" w:type="dxa"/>
            <w:noWrap w:val="0"/>
            <w:vAlign w:val="center"/>
          </w:tcPr>
          <w:p w14:paraId="6F5EADD6">
            <w:pPr>
              <w:spacing w:line="440" w:lineRule="exact"/>
              <w:jc w:val="center"/>
              <w:rPr>
                <w:rFonts w:hint="eastAsia" w:ascii="宋体" w:hAnsi="宋体" w:eastAsia="宋体" w:cs="宋体"/>
                <w:bCs/>
                <w:color w:val="auto"/>
                <w:sz w:val="24"/>
                <w:szCs w:val="24"/>
              </w:rPr>
            </w:pPr>
          </w:p>
        </w:tc>
      </w:tr>
      <w:tr w14:paraId="1C3BE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9449" w:type="dxa"/>
            <w:gridSpan w:val="8"/>
            <w:noWrap w:val="0"/>
            <w:vAlign w:val="center"/>
          </w:tcPr>
          <w:p w14:paraId="2A21AE3B">
            <w:pPr>
              <w:spacing w:line="440" w:lineRule="exact"/>
              <w:ind w:left="0" w:leftChars="0" w:firstLine="0" w:firstLineChars="0"/>
              <w:jc w:val="left"/>
              <w:rPr>
                <w:rFonts w:hint="eastAsia" w:ascii="宋体" w:hAnsi="宋体" w:eastAsia="宋体" w:cs="宋体"/>
                <w:bCs/>
                <w:color w:val="auto"/>
                <w:sz w:val="24"/>
                <w:szCs w:val="24"/>
                <w:lang w:val="en-US" w:eastAsia="zh-CN"/>
              </w:rPr>
            </w:pPr>
            <w:r>
              <w:rPr>
                <w:rFonts w:hint="eastAsia" w:cs="宋体"/>
                <w:bCs/>
                <w:color w:val="auto"/>
                <w:sz w:val="24"/>
                <w:szCs w:val="24"/>
                <w:lang w:val="en-US" w:eastAsia="zh-CN"/>
              </w:rPr>
              <w:t>总报价</w:t>
            </w:r>
            <w:r>
              <w:rPr>
                <w:rFonts w:hint="eastAsia" w:ascii="宋体" w:hAnsi="宋体" w:eastAsia="宋体" w:cs="宋体"/>
                <w:bCs/>
                <w:color w:val="auto"/>
                <w:sz w:val="24"/>
                <w:szCs w:val="24"/>
                <w:lang w:val="en-US" w:eastAsia="zh-CN"/>
              </w:rPr>
              <w:t>：（大写）</w:t>
            </w:r>
            <w:r>
              <w:rPr>
                <w:rFonts w:hint="eastAsia" w:ascii="宋体" w:hAnsi="宋体" w:eastAsia="宋体" w:cs="宋体"/>
                <w:bCs/>
                <w:color w:val="auto"/>
                <w:sz w:val="24"/>
                <w:szCs w:val="24"/>
                <w:u w:val="single"/>
                <w:lang w:val="en-US" w:eastAsia="zh-CN"/>
              </w:rPr>
              <w:t xml:space="preserve">       </w:t>
            </w:r>
            <w:r>
              <w:rPr>
                <w:rFonts w:hint="eastAsia" w:ascii="宋体" w:hAnsi="宋体" w:eastAsia="宋体" w:cs="宋体"/>
                <w:bCs/>
                <w:color w:val="auto"/>
                <w:sz w:val="24"/>
                <w:szCs w:val="24"/>
                <w:lang w:val="en-US" w:eastAsia="zh-CN"/>
              </w:rPr>
              <w:t>元；（小写）：</w:t>
            </w:r>
            <w:r>
              <w:rPr>
                <w:rFonts w:hint="eastAsia" w:ascii="宋体" w:hAnsi="宋体" w:eastAsia="宋体" w:cs="宋体"/>
                <w:bCs/>
                <w:color w:val="auto"/>
                <w:sz w:val="24"/>
                <w:szCs w:val="24"/>
                <w:u w:val="single"/>
                <w:lang w:val="en-US" w:eastAsia="zh-CN"/>
              </w:rPr>
              <w:t xml:space="preserve">       </w:t>
            </w:r>
            <w:r>
              <w:rPr>
                <w:rFonts w:hint="eastAsia" w:ascii="宋体" w:hAnsi="宋体" w:eastAsia="宋体" w:cs="宋体"/>
                <w:bCs/>
                <w:color w:val="auto"/>
                <w:sz w:val="24"/>
                <w:szCs w:val="24"/>
                <w:lang w:val="en-US" w:eastAsia="zh-CN"/>
              </w:rPr>
              <w:t>元</w:t>
            </w:r>
          </w:p>
        </w:tc>
      </w:tr>
    </w:tbl>
    <w:p w14:paraId="2905FAD8">
      <w:pPr>
        <w:bidi w:val="0"/>
        <w:ind w:left="0" w:leftChars="0" w:firstLine="0" w:firstLineChars="0"/>
        <w:rPr>
          <w:rFonts w:hint="eastAsia"/>
          <w:b/>
          <w:bCs/>
          <w:lang w:eastAsia="zh-CN"/>
        </w:rPr>
      </w:pPr>
    </w:p>
    <w:p w14:paraId="2B274438">
      <w:pPr>
        <w:bidi w:val="0"/>
        <w:ind w:left="0" w:leftChars="0" w:firstLine="0" w:firstLineChars="0"/>
        <w:rPr>
          <w:rFonts w:hint="eastAsia"/>
          <w:lang w:eastAsia="zh-CN"/>
        </w:rPr>
      </w:pPr>
      <w:r>
        <w:rPr>
          <w:rFonts w:hint="eastAsia"/>
          <w:b/>
          <w:bCs/>
          <w:lang w:eastAsia="zh-CN"/>
        </w:rPr>
        <w:t>标项四：</w:t>
      </w:r>
      <w:r>
        <w:rPr>
          <w:rFonts w:hint="eastAsia" w:ascii="Times New Roman" w:hAnsi="Times New Roman" w:cs="宋体"/>
          <w:b/>
          <w:bCs/>
          <w:color w:val="auto"/>
          <w:sz w:val="24"/>
          <w:szCs w:val="18"/>
          <w:lang w:val="en-US" w:eastAsia="zh-CN"/>
        </w:rPr>
        <w:t>体测中心设备</w:t>
      </w:r>
    </w:p>
    <w:tbl>
      <w:tblPr>
        <w:tblStyle w:val="45"/>
        <w:tblW w:w="94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530"/>
        <w:gridCol w:w="802"/>
        <w:gridCol w:w="918"/>
        <w:gridCol w:w="1567"/>
        <w:gridCol w:w="1183"/>
        <w:gridCol w:w="1309"/>
        <w:gridCol w:w="1418"/>
      </w:tblGrid>
      <w:tr w14:paraId="78C46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722" w:type="dxa"/>
            <w:noWrap w:val="0"/>
            <w:vAlign w:val="center"/>
          </w:tcPr>
          <w:p w14:paraId="3C8FD8DF">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Cs/>
                <w:color w:val="auto"/>
                <w:sz w:val="24"/>
                <w:szCs w:val="24"/>
              </w:rPr>
            </w:pPr>
            <w:r>
              <w:rPr>
                <w:rFonts w:hint="eastAsia" w:ascii="宋体" w:hAnsi="宋体" w:eastAsia="宋体" w:cs="宋体"/>
                <w:color w:val="auto"/>
                <w:sz w:val="24"/>
                <w:szCs w:val="24"/>
              </w:rPr>
              <w:t>序号</w:t>
            </w:r>
          </w:p>
        </w:tc>
        <w:tc>
          <w:tcPr>
            <w:tcW w:w="1530" w:type="dxa"/>
            <w:noWrap w:val="0"/>
            <w:vAlign w:val="center"/>
          </w:tcPr>
          <w:p w14:paraId="671BBFD1">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Cs/>
                <w:color w:val="auto"/>
                <w:sz w:val="24"/>
                <w:szCs w:val="24"/>
              </w:rPr>
            </w:pPr>
            <w:r>
              <w:rPr>
                <w:rFonts w:hint="eastAsia" w:cs="宋体"/>
                <w:bCs/>
                <w:color w:val="auto"/>
                <w:sz w:val="24"/>
                <w:szCs w:val="24"/>
                <w:lang w:eastAsia="zh-CN"/>
              </w:rPr>
              <w:t>设备</w:t>
            </w:r>
            <w:r>
              <w:rPr>
                <w:rFonts w:hint="eastAsia" w:ascii="宋体" w:hAnsi="宋体" w:eastAsia="宋体" w:cs="宋体"/>
                <w:bCs/>
                <w:color w:val="auto"/>
                <w:sz w:val="24"/>
                <w:szCs w:val="24"/>
              </w:rPr>
              <w:t>名称</w:t>
            </w:r>
          </w:p>
        </w:tc>
        <w:tc>
          <w:tcPr>
            <w:tcW w:w="802" w:type="dxa"/>
            <w:noWrap w:val="0"/>
            <w:vAlign w:val="center"/>
          </w:tcPr>
          <w:p w14:paraId="4EDD5112">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Cs/>
                <w:color w:val="auto"/>
                <w:sz w:val="24"/>
                <w:szCs w:val="24"/>
                <w:lang w:eastAsia="zh-CN"/>
              </w:rPr>
            </w:pPr>
            <w:r>
              <w:rPr>
                <w:rFonts w:hint="eastAsia" w:cs="宋体"/>
                <w:bCs/>
                <w:color w:val="auto"/>
                <w:sz w:val="24"/>
                <w:szCs w:val="24"/>
                <w:lang w:eastAsia="zh-CN"/>
              </w:rPr>
              <w:t>单位</w:t>
            </w:r>
          </w:p>
        </w:tc>
        <w:tc>
          <w:tcPr>
            <w:tcW w:w="918" w:type="dxa"/>
            <w:noWrap w:val="0"/>
            <w:vAlign w:val="center"/>
          </w:tcPr>
          <w:p w14:paraId="11307BDA">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Cs/>
                <w:color w:val="auto"/>
                <w:sz w:val="24"/>
                <w:szCs w:val="24"/>
                <w:lang w:eastAsia="zh-CN"/>
              </w:rPr>
            </w:pPr>
            <w:r>
              <w:rPr>
                <w:rFonts w:hint="eastAsia" w:cs="宋体"/>
                <w:bCs/>
                <w:color w:val="auto"/>
                <w:sz w:val="24"/>
                <w:szCs w:val="24"/>
                <w:lang w:eastAsia="zh-CN"/>
              </w:rPr>
              <w:t>数量</w:t>
            </w:r>
          </w:p>
        </w:tc>
        <w:tc>
          <w:tcPr>
            <w:tcW w:w="1567" w:type="dxa"/>
            <w:noWrap w:val="0"/>
            <w:vAlign w:val="center"/>
          </w:tcPr>
          <w:p w14:paraId="33B902DB">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Cs/>
                <w:color w:val="auto"/>
                <w:sz w:val="24"/>
                <w:szCs w:val="24"/>
              </w:rPr>
            </w:pPr>
            <w:r>
              <w:rPr>
                <w:rFonts w:hint="eastAsia" w:cs="宋体"/>
                <w:bCs/>
                <w:color w:val="auto"/>
                <w:sz w:val="24"/>
                <w:szCs w:val="24"/>
                <w:lang w:eastAsia="zh-CN"/>
              </w:rPr>
              <w:t>技术</w:t>
            </w:r>
            <w:r>
              <w:rPr>
                <w:rFonts w:hint="eastAsia" w:ascii="宋体" w:hAnsi="宋体" w:eastAsia="宋体" w:cs="宋体"/>
                <w:bCs/>
                <w:color w:val="auto"/>
                <w:sz w:val="24"/>
                <w:szCs w:val="24"/>
              </w:rPr>
              <w:t>参数</w:t>
            </w:r>
          </w:p>
        </w:tc>
        <w:tc>
          <w:tcPr>
            <w:tcW w:w="1183" w:type="dxa"/>
            <w:noWrap w:val="0"/>
            <w:vAlign w:val="center"/>
          </w:tcPr>
          <w:p w14:paraId="2A34F3F4">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品牌</w:t>
            </w:r>
          </w:p>
        </w:tc>
        <w:tc>
          <w:tcPr>
            <w:tcW w:w="1309" w:type="dxa"/>
            <w:noWrap w:val="0"/>
            <w:vAlign w:val="center"/>
          </w:tcPr>
          <w:p w14:paraId="298E2405">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单价（元）</w:t>
            </w:r>
          </w:p>
        </w:tc>
        <w:tc>
          <w:tcPr>
            <w:tcW w:w="1418" w:type="dxa"/>
            <w:noWrap w:val="0"/>
            <w:vAlign w:val="center"/>
          </w:tcPr>
          <w:p w14:paraId="19670071">
            <w:pPr>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jc w:val="center"/>
              <w:textAlignment w:val="auto"/>
              <w:rPr>
                <w:rFonts w:hint="eastAsia" w:ascii="宋体" w:hAnsi="宋体" w:eastAsia="宋体" w:cs="宋体"/>
                <w:bCs/>
                <w:color w:val="auto"/>
                <w:sz w:val="24"/>
                <w:szCs w:val="24"/>
              </w:rPr>
            </w:pPr>
            <w:r>
              <w:rPr>
                <w:rFonts w:hint="eastAsia" w:cs="宋体"/>
                <w:bCs/>
                <w:color w:val="auto"/>
                <w:sz w:val="24"/>
                <w:szCs w:val="24"/>
                <w:lang w:eastAsia="zh-CN"/>
              </w:rPr>
              <w:t>合计</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元）</w:t>
            </w:r>
          </w:p>
        </w:tc>
      </w:tr>
      <w:tr w14:paraId="6AB1D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722" w:type="dxa"/>
            <w:noWrap w:val="0"/>
            <w:vAlign w:val="center"/>
          </w:tcPr>
          <w:p w14:paraId="2BC7A9A7">
            <w:pPr>
              <w:spacing w:line="440" w:lineRule="exact"/>
              <w:ind w:left="0" w:leftChars="0"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1</w:t>
            </w:r>
          </w:p>
        </w:tc>
        <w:tc>
          <w:tcPr>
            <w:tcW w:w="1530" w:type="dxa"/>
            <w:noWrap w:val="0"/>
            <w:vAlign w:val="center"/>
          </w:tcPr>
          <w:p w14:paraId="79B6F669">
            <w:pPr>
              <w:widowControl/>
              <w:spacing w:line="440" w:lineRule="exact"/>
              <w:jc w:val="center"/>
              <w:rPr>
                <w:rFonts w:hint="eastAsia" w:ascii="宋体" w:hAnsi="宋体" w:eastAsia="宋体" w:cs="宋体"/>
                <w:color w:val="auto"/>
                <w:kern w:val="0"/>
                <w:sz w:val="24"/>
                <w:szCs w:val="24"/>
              </w:rPr>
            </w:pPr>
          </w:p>
        </w:tc>
        <w:tc>
          <w:tcPr>
            <w:tcW w:w="802" w:type="dxa"/>
            <w:noWrap w:val="0"/>
            <w:vAlign w:val="center"/>
          </w:tcPr>
          <w:p w14:paraId="2ED83A45">
            <w:pPr>
              <w:spacing w:line="440" w:lineRule="exact"/>
              <w:jc w:val="center"/>
              <w:rPr>
                <w:rFonts w:hint="eastAsia" w:ascii="宋体" w:hAnsi="宋体" w:eastAsia="宋体" w:cs="宋体"/>
                <w:bCs/>
                <w:color w:val="auto"/>
                <w:sz w:val="24"/>
                <w:szCs w:val="24"/>
              </w:rPr>
            </w:pPr>
          </w:p>
        </w:tc>
        <w:tc>
          <w:tcPr>
            <w:tcW w:w="918" w:type="dxa"/>
            <w:noWrap w:val="0"/>
            <w:vAlign w:val="center"/>
          </w:tcPr>
          <w:p w14:paraId="3475037A">
            <w:pPr>
              <w:spacing w:line="440" w:lineRule="exact"/>
              <w:jc w:val="center"/>
              <w:rPr>
                <w:rFonts w:hint="eastAsia" w:ascii="宋体" w:hAnsi="宋体" w:eastAsia="宋体" w:cs="宋体"/>
                <w:bCs/>
                <w:color w:val="auto"/>
                <w:sz w:val="24"/>
                <w:szCs w:val="24"/>
              </w:rPr>
            </w:pPr>
          </w:p>
        </w:tc>
        <w:tc>
          <w:tcPr>
            <w:tcW w:w="1567" w:type="dxa"/>
            <w:noWrap w:val="0"/>
            <w:vAlign w:val="center"/>
          </w:tcPr>
          <w:p w14:paraId="2A6F268F">
            <w:pPr>
              <w:spacing w:line="440" w:lineRule="exact"/>
              <w:jc w:val="center"/>
              <w:rPr>
                <w:rFonts w:hint="eastAsia" w:ascii="宋体" w:hAnsi="宋体" w:eastAsia="宋体" w:cs="宋体"/>
                <w:bCs/>
                <w:color w:val="auto"/>
                <w:sz w:val="24"/>
                <w:szCs w:val="24"/>
              </w:rPr>
            </w:pPr>
          </w:p>
        </w:tc>
        <w:tc>
          <w:tcPr>
            <w:tcW w:w="1183" w:type="dxa"/>
            <w:noWrap w:val="0"/>
            <w:vAlign w:val="center"/>
          </w:tcPr>
          <w:p w14:paraId="487DF42E">
            <w:pPr>
              <w:spacing w:line="440" w:lineRule="exact"/>
              <w:jc w:val="center"/>
              <w:rPr>
                <w:rFonts w:hint="eastAsia" w:ascii="宋体" w:hAnsi="宋体" w:eastAsia="宋体" w:cs="宋体"/>
                <w:bCs/>
                <w:color w:val="auto"/>
                <w:sz w:val="24"/>
                <w:szCs w:val="24"/>
              </w:rPr>
            </w:pPr>
          </w:p>
        </w:tc>
        <w:tc>
          <w:tcPr>
            <w:tcW w:w="1309" w:type="dxa"/>
            <w:noWrap w:val="0"/>
            <w:vAlign w:val="center"/>
          </w:tcPr>
          <w:p w14:paraId="527DB9CE">
            <w:pPr>
              <w:spacing w:line="440" w:lineRule="exact"/>
              <w:jc w:val="center"/>
              <w:rPr>
                <w:rFonts w:hint="eastAsia" w:ascii="宋体" w:hAnsi="宋体" w:eastAsia="宋体" w:cs="宋体"/>
                <w:bCs/>
                <w:color w:val="auto"/>
                <w:sz w:val="24"/>
                <w:szCs w:val="24"/>
              </w:rPr>
            </w:pPr>
          </w:p>
        </w:tc>
        <w:tc>
          <w:tcPr>
            <w:tcW w:w="1418" w:type="dxa"/>
            <w:noWrap w:val="0"/>
            <w:vAlign w:val="center"/>
          </w:tcPr>
          <w:p w14:paraId="1EAE7CF9">
            <w:pPr>
              <w:spacing w:line="440" w:lineRule="exact"/>
              <w:jc w:val="center"/>
              <w:rPr>
                <w:rFonts w:hint="eastAsia" w:ascii="宋体" w:hAnsi="宋体" w:eastAsia="宋体" w:cs="宋体"/>
                <w:bCs/>
                <w:color w:val="auto"/>
                <w:sz w:val="24"/>
                <w:szCs w:val="24"/>
              </w:rPr>
            </w:pPr>
          </w:p>
        </w:tc>
      </w:tr>
      <w:tr w14:paraId="59F9D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722" w:type="dxa"/>
            <w:noWrap w:val="0"/>
            <w:vAlign w:val="center"/>
          </w:tcPr>
          <w:p w14:paraId="7F39C7DE">
            <w:pPr>
              <w:spacing w:line="440" w:lineRule="exact"/>
              <w:ind w:left="0" w:leftChars="0"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2</w:t>
            </w:r>
          </w:p>
        </w:tc>
        <w:tc>
          <w:tcPr>
            <w:tcW w:w="1530" w:type="dxa"/>
            <w:noWrap w:val="0"/>
            <w:vAlign w:val="center"/>
          </w:tcPr>
          <w:p w14:paraId="6D10DCC6">
            <w:pPr>
              <w:widowControl/>
              <w:spacing w:line="440" w:lineRule="exact"/>
              <w:jc w:val="center"/>
              <w:rPr>
                <w:rFonts w:hint="eastAsia" w:ascii="宋体" w:hAnsi="宋体" w:eastAsia="宋体" w:cs="宋体"/>
                <w:color w:val="auto"/>
                <w:kern w:val="0"/>
                <w:sz w:val="24"/>
                <w:szCs w:val="24"/>
              </w:rPr>
            </w:pPr>
          </w:p>
        </w:tc>
        <w:tc>
          <w:tcPr>
            <w:tcW w:w="802" w:type="dxa"/>
            <w:noWrap w:val="0"/>
            <w:vAlign w:val="center"/>
          </w:tcPr>
          <w:p w14:paraId="3335E1D1">
            <w:pPr>
              <w:spacing w:line="440" w:lineRule="exact"/>
              <w:jc w:val="center"/>
              <w:rPr>
                <w:rFonts w:hint="eastAsia" w:ascii="宋体" w:hAnsi="宋体" w:eastAsia="宋体" w:cs="宋体"/>
                <w:bCs/>
                <w:color w:val="auto"/>
                <w:sz w:val="24"/>
                <w:szCs w:val="24"/>
              </w:rPr>
            </w:pPr>
          </w:p>
        </w:tc>
        <w:tc>
          <w:tcPr>
            <w:tcW w:w="918" w:type="dxa"/>
            <w:noWrap w:val="0"/>
            <w:vAlign w:val="center"/>
          </w:tcPr>
          <w:p w14:paraId="4502D6BF">
            <w:pPr>
              <w:spacing w:line="440" w:lineRule="exact"/>
              <w:jc w:val="center"/>
              <w:rPr>
                <w:rFonts w:hint="eastAsia" w:ascii="宋体" w:hAnsi="宋体" w:eastAsia="宋体" w:cs="宋体"/>
                <w:bCs/>
                <w:color w:val="auto"/>
                <w:sz w:val="24"/>
                <w:szCs w:val="24"/>
              </w:rPr>
            </w:pPr>
          </w:p>
        </w:tc>
        <w:tc>
          <w:tcPr>
            <w:tcW w:w="1567" w:type="dxa"/>
            <w:noWrap w:val="0"/>
            <w:vAlign w:val="center"/>
          </w:tcPr>
          <w:p w14:paraId="7E480199">
            <w:pPr>
              <w:spacing w:line="440" w:lineRule="exact"/>
              <w:jc w:val="center"/>
              <w:rPr>
                <w:rFonts w:hint="eastAsia" w:ascii="宋体" w:hAnsi="宋体" w:eastAsia="宋体" w:cs="宋体"/>
                <w:bCs/>
                <w:color w:val="auto"/>
                <w:sz w:val="24"/>
                <w:szCs w:val="24"/>
              </w:rPr>
            </w:pPr>
          </w:p>
        </w:tc>
        <w:tc>
          <w:tcPr>
            <w:tcW w:w="1183" w:type="dxa"/>
            <w:noWrap w:val="0"/>
            <w:vAlign w:val="center"/>
          </w:tcPr>
          <w:p w14:paraId="624BFB22">
            <w:pPr>
              <w:spacing w:line="440" w:lineRule="exact"/>
              <w:jc w:val="center"/>
              <w:rPr>
                <w:rFonts w:hint="eastAsia" w:ascii="宋体" w:hAnsi="宋体" w:eastAsia="宋体" w:cs="宋体"/>
                <w:bCs/>
                <w:color w:val="auto"/>
                <w:sz w:val="24"/>
                <w:szCs w:val="24"/>
              </w:rPr>
            </w:pPr>
          </w:p>
        </w:tc>
        <w:tc>
          <w:tcPr>
            <w:tcW w:w="1309" w:type="dxa"/>
            <w:noWrap w:val="0"/>
            <w:vAlign w:val="center"/>
          </w:tcPr>
          <w:p w14:paraId="7E876A8D">
            <w:pPr>
              <w:spacing w:line="440" w:lineRule="exact"/>
              <w:jc w:val="center"/>
              <w:rPr>
                <w:rFonts w:hint="eastAsia" w:ascii="宋体" w:hAnsi="宋体" w:eastAsia="宋体" w:cs="宋体"/>
                <w:bCs/>
                <w:color w:val="auto"/>
                <w:sz w:val="24"/>
                <w:szCs w:val="24"/>
              </w:rPr>
            </w:pPr>
          </w:p>
        </w:tc>
        <w:tc>
          <w:tcPr>
            <w:tcW w:w="1418" w:type="dxa"/>
            <w:noWrap w:val="0"/>
            <w:vAlign w:val="center"/>
          </w:tcPr>
          <w:p w14:paraId="46F32A20">
            <w:pPr>
              <w:spacing w:line="440" w:lineRule="exact"/>
              <w:jc w:val="center"/>
              <w:rPr>
                <w:rFonts w:hint="eastAsia" w:ascii="宋体" w:hAnsi="宋体" w:eastAsia="宋体" w:cs="宋体"/>
                <w:bCs/>
                <w:color w:val="auto"/>
                <w:sz w:val="24"/>
                <w:szCs w:val="24"/>
              </w:rPr>
            </w:pPr>
          </w:p>
        </w:tc>
      </w:tr>
      <w:tr w14:paraId="706DE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22" w:type="dxa"/>
            <w:noWrap w:val="0"/>
            <w:vAlign w:val="center"/>
          </w:tcPr>
          <w:p w14:paraId="090BAF6C">
            <w:pPr>
              <w:spacing w:line="440" w:lineRule="exact"/>
              <w:ind w:left="0" w:leftChars="0"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3</w:t>
            </w:r>
          </w:p>
        </w:tc>
        <w:tc>
          <w:tcPr>
            <w:tcW w:w="1530" w:type="dxa"/>
            <w:noWrap w:val="0"/>
            <w:vAlign w:val="center"/>
          </w:tcPr>
          <w:p w14:paraId="726846CC">
            <w:pPr>
              <w:spacing w:line="440" w:lineRule="exact"/>
              <w:jc w:val="center"/>
              <w:rPr>
                <w:rFonts w:hint="eastAsia" w:ascii="宋体" w:hAnsi="宋体" w:eastAsia="宋体" w:cs="宋体"/>
                <w:bCs/>
                <w:color w:val="auto"/>
                <w:sz w:val="24"/>
                <w:szCs w:val="24"/>
              </w:rPr>
            </w:pPr>
          </w:p>
        </w:tc>
        <w:tc>
          <w:tcPr>
            <w:tcW w:w="802" w:type="dxa"/>
            <w:noWrap w:val="0"/>
            <w:vAlign w:val="center"/>
          </w:tcPr>
          <w:p w14:paraId="062111BA">
            <w:pPr>
              <w:spacing w:line="440" w:lineRule="exact"/>
              <w:jc w:val="center"/>
              <w:rPr>
                <w:rFonts w:hint="eastAsia" w:ascii="宋体" w:hAnsi="宋体" w:eastAsia="宋体" w:cs="宋体"/>
                <w:bCs/>
                <w:color w:val="auto"/>
                <w:sz w:val="24"/>
                <w:szCs w:val="24"/>
              </w:rPr>
            </w:pPr>
          </w:p>
        </w:tc>
        <w:tc>
          <w:tcPr>
            <w:tcW w:w="918" w:type="dxa"/>
            <w:noWrap w:val="0"/>
            <w:vAlign w:val="center"/>
          </w:tcPr>
          <w:p w14:paraId="457881C7">
            <w:pPr>
              <w:spacing w:line="440" w:lineRule="exact"/>
              <w:jc w:val="center"/>
              <w:rPr>
                <w:rFonts w:hint="eastAsia" w:ascii="宋体" w:hAnsi="宋体" w:eastAsia="宋体" w:cs="宋体"/>
                <w:bCs/>
                <w:color w:val="auto"/>
                <w:sz w:val="24"/>
                <w:szCs w:val="24"/>
              </w:rPr>
            </w:pPr>
          </w:p>
        </w:tc>
        <w:tc>
          <w:tcPr>
            <w:tcW w:w="1567" w:type="dxa"/>
            <w:noWrap w:val="0"/>
            <w:vAlign w:val="center"/>
          </w:tcPr>
          <w:p w14:paraId="5D799549">
            <w:pPr>
              <w:spacing w:line="440" w:lineRule="exact"/>
              <w:jc w:val="center"/>
              <w:rPr>
                <w:rFonts w:hint="eastAsia" w:ascii="宋体" w:hAnsi="宋体" w:eastAsia="宋体" w:cs="宋体"/>
                <w:bCs/>
                <w:color w:val="auto"/>
                <w:sz w:val="24"/>
                <w:szCs w:val="24"/>
              </w:rPr>
            </w:pPr>
          </w:p>
        </w:tc>
        <w:tc>
          <w:tcPr>
            <w:tcW w:w="1183" w:type="dxa"/>
            <w:noWrap w:val="0"/>
            <w:vAlign w:val="center"/>
          </w:tcPr>
          <w:p w14:paraId="015AD5B1">
            <w:pPr>
              <w:spacing w:line="440" w:lineRule="exact"/>
              <w:jc w:val="center"/>
              <w:rPr>
                <w:rFonts w:hint="eastAsia" w:ascii="宋体" w:hAnsi="宋体" w:eastAsia="宋体" w:cs="宋体"/>
                <w:bCs/>
                <w:color w:val="auto"/>
                <w:sz w:val="24"/>
                <w:szCs w:val="24"/>
              </w:rPr>
            </w:pPr>
          </w:p>
        </w:tc>
        <w:tc>
          <w:tcPr>
            <w:tcW w:w="1309" w:type="dxa"/>
            <w:noWrap w:val="0"/>
            <w:vAlign w:val="center"/>
          </w:tcPr>
          <w:p w14:paraId="7BFA5D2F">
            <w:pPr>
              <w:spacing w:line="440" w:lineRule="exact"/>
              <w:jc w:val="center"/>
              <w:rPr>
                <w:rFonts w:hint="eastAsia" w:ascii="宋体" w:hAnsi="宋体" w:eastAsia="宋体" w:cs="宋体"/>
                <w:bCs/>
                <w:color w:val="auto"/>
                <w:sz w:val="24"/>
                <w:szCs w:val="24"/>
              </w:rPr>
            </w:pPr>
          </w:p>
        </w:tc>
        <w:tc>
          <w:tcPr>
            <w:tcW w:w="1418" w:type="dxa"/>
            <w:noWrap w:val="0"/>
            <w:vAlign w:val="center"/>
          </w:tcPr>
          <w:p w14:paraId="269CFC22">
            <w:pPr>
              <w:spacing w:line="440" w:lineRule="exact"/>
              <w:jc w:val="center"/>
              <w:rPr>
                <w:rFonts w:hint="eastAsia" w:ascii="宋体" w:hAnsi="宋体" w:eastAsia="宋体" w:cs="宋体"/>
                <w:bCs/>
                <w:color w:val="auto"/>
                <w:sz w:val="24"/>
                <w:szCs w:val="24"/>
              </w:rPr>
            </w:pPr>
          </w:p>
        </w:tc>
      </w:tr>
      <w:tr w14:paraId="07471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722" w:type="dxa"/>
            <w:noWrap w:val="0"/>
            <w:vAlign w:val="center"/>
          </w:tcPr>
          <w:p w14:paraId="55F93FF2">
            <w:pPr>
              <w:spacing w:line="440" w:lineRule="exact"/>
              <w:ind w:left="0" w:leftChars="0"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4</w:t>
            </w:r>
          </w:p>
        </w:tc>
        <w:tc>
          <w:tcPr>
            <w:tcW w:w="1530" w:type="dxa"/>
            <w:noWrap w:val="0"/>
            <w:vAlign w:val="center"/>
          </w:tcPr>
          <w:p w14:paraId="172D1AA3">
            <w:pPr>
              <w:spacing w:line="440" w:lineRule="exact"/>
              <w:jc w:val="center"/>
              <w:rPr>
                <w:rFonts w:hint="eastAsia" w:ascii="宋体" w:hAnsi="宋体" w:eastAsia="宋体" w:cs="宋体"/>
                <w:bCs/>
                <w:color w:val="auto"/>
                <w:sz w:val="24"/>
                <w:szCs w:val="24"/>
              </w:rPr>
            </w:pPr>
          </w:p>
        </w:tc>
        <w:tc>
          <w:tcPr>
            <w:tcW w:w="802" w:type="dxa"/>
            <w:noWrap w:val="0"/>
            <w:vAlign w:val="center"/>
          </w:tcPr>
          <w:p w14:paraId="60A288F9">
            <w:pPr>
              <w:spacing w:line="440" w:lineRule="exact"/>
              <w:jc w:val="center"/>
              <w:rPr>
                <w:rFonts w:hint="eastAsia" w:ascii="宋体" w:hAnsi="宋体" w:eastAsia="宋体" w:cs="宋体"/>
                <w:bCs/>
                <w:color w:val="auto"/>
                <w:sz w:val="24"/>
                <w:szCs w:val="24"/>
              </w:rPr>
            </w:pPr>
          </w:p>
        </w:tc>
        <w:tc>
          <w:tcPr>
            <w:tcW w:w="918" w:type="dxa"/>
            <w:noWrap w:val="0"/>
            <w:vAlign w:val="center"/>
          </w:tcPr>
          <w:p w14:paraId="321DC051">
            <w:pPr>
              <w:spacing w:line="440" w:lineRule="exact"/>
              <w:jc w:val="center"/>
              <w:rPr>
                <w:rFonts w:hint="eastAsia" w:ascii="宋体" w:hAnsi="宋体" w:eastAsia="宋体" w:cs="宋体"/>
                <w:bCs/>
                <w:color w:val="auto"/>
                <w:sz w:val="24"/>
                <w:szCs w:val="24"/>
              </w:rPr>
            </w:pPr>
          </w:p>
        </w:tc>
        <w:tc>
          <w:tcPr>
            <w:tcW w:w="1567" w:type="dxa"/>
            <w:noWrap w:val="0"/>
            <w:vAlign w:val="center"/>
          </w:tcPr>
          <w:p w14:paraId="3042069C">
            <w:pPr>
              <w:spacing w:line="440" w:lineRule="exact"/>
              <w:jc w:val="center"/>
              <w:rPr>
                <w:rFonts w:hint="eastAsia" w:ascii="宋体" w:hAnsi="宋体" w:eastAsia="宋体" w:cs="宋体"/>
                <w:bCs/>
                <w:color w:val="auto"/>
                <w:sz w:val="24"/>
                <w:szCs w:val="24"/>
              </w:rPr>
            </w:pPr>
          </w:p>
        </w:tc>
        <w:tc>
          <w:tcPr>
            <w:tcW w:w="1183" w:type="dxa"/>
            <w:noWrap w:val="0"/>
            <w:vAlign w:val="center"/>
          </w:tcPr>
          <w:p w14:paraId="54AB63FC">
            <w:pPr>
              <w:spacing w:line="440" w:lineRule="exact"/>
              <w:jc w:val="center"/>
              <w:rPr>
                <w:rFonts w:hint="eastAsia" w:ascii="宋体" w:hAnsi="宋体" w:eastAsia="宋体" w:cs="宋体"/>
                <w:bCs/>
                <w:color w:val="auto"/>
                <w:sz w:val="24"/>
                <w:szCs w:val="24"/>
              </w:rPr>
            </w:pPr>
          </w:p>
        </w:tc>
        <w:tc>
          <w:tcPr>
            <w:tcW w:w="1309" w:type="dxa"/>
            <w:noWrap w:val="0"/>
            <w:vAlign w:val="center"/>
          </w:tcPr>
          <w:p w14:paraId="5ABD1C33">
            <w:pPr>
              <w:spacing w:line="440" w:lineRule="exact"/>
              <w:jc w:val="center"/>
              <w:rPr>
                <w:rFonts w:hint="eastAsia" w:ascii="宋体" w:hAnsi="宋体" w:eastAsia="宋体" w:cs="宋体"/>
                <w:bCs/>
                <w:color w:val="auto"/>
                <w:sz w:val="24"/>
                <w:szCs w:val="24"/>
              </w:rPr>
            </w:pPr>
          </w:p>
        </w:tc>
        <w:tc>
          <w:tcPr>
            <w:tcW w:w="1418" w:type="dxa"/>
            <w:noWrap w:val="0"/>
            <w:vAlign w:val="center"/>
          </w:tcPr>
          <w:p w14:paraId="010D693C">
            <w:pPr>
              <w:spacing w:line="440" w:lineRule="exact"/>
              <w:jc w:val="center"/>
              <w:rPr>
                <w:rFonts w:hint="eastAsia" w:ascii="宋体" w:hAnsi="宋体" w:eastAsia="宋体" w:cs="宋体"/>
                <w:bCs/>
                <w:color w:val="auto"/>
                <w:sz w:val="24"/>
                <w:szCs w:val="24"/>
              </w:rPr>
            </w:pPr>
          </w:p>
        </w:tc>
      </w:tr>
      <w:tr w14:paraId="01DBE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jc w:val="center"/>
        </w:trPr>
        <w:tc>
          <w:tcPr>
            <w:tcW w:w="722" w:type="dxa"/>
            <w:noWrap w:val="0"/>
            <w:vAlign w:val="center"/>
          </w:tcPr>
          <w:p w14:paraId="74049CF0">
            <w:pPr>
              <w:spacing w:line="440" w:lineRule="exact"/>
              <w:ind w:left="0" w:leftChars="0"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5</w:t>
            </w:r>
          </w:p>
        </w:tc>
        <w:tc>
          <w:tcPr>
            <w:tcW w:w="1530" w:type="dxa"/>
            <w:noWrap w:val="0"/>
            <w:vAlign w:val="center"/>
          </w:tcPr>
          <w:p w14:paraId="4BBB0977">
            <w:pPr>
              <w:spacing w:line="440" w:lineRule="exact"/>
              <w:jc w:val="center"/>
              <w:rPr>
                <w:rFonts w:hint="eastAsia" w:ascii="宋体" w:hAnsi="宋体" w:eastAsia="宋体" w:cs="宋体"/>
                <w:bCs/>
                <w:color w:val="auto"/>
                <w:sz w:val="24"/>
                <w:szCs w:val="24"/>
              </w:rPr>
            </w:pPr>
          </w:p>
        </w:tc>
        <w:tc>
          <w:tcPr>
            <w:tcW w:w="802" w:type="dxa"/>
            <w:noWrap w:val="0"/>
            <w:vAlign w:val="center"/>
          </w:tcPr>
          <w:p w14:paraId="3BC9478F">
            <w:pPr>
              <w:spacing w:line="440" w:lineRule="exact"/>
              <w:jc w:val="center"/>
              <w:rPr>
                <w:rFonts w:hint="eastAsia" w:ascii="宋体" w:hAnsi="宋体" w:eastAsia="宋体" w:cs="宋体"/>
                <w:bCs/>
                <w:color w:val="auto"/>
                <w:sz w:val="24"/>
                <w:szCs w:val="24"/>
              </w:rPr>
            </w:pPr>
          </w:p>
        </w:tc>
        <w:tc>
          <w:tcPr>
            <w:tcW w:w="918" w:type="dxa"/>
            <w:noWrap w:val="0"/>
            <w:vAlign w:val="center"/>
          </w:tcPr>
          <w:p w14:paraId="1F3017B0">
            <w:pPr>
              <w:spacing w:line="440" w:lineRule="exact"/>
              <w:jc w:val="center"/>
              <w:rPr>
                <w:rFonts w:hint="eastAsia" w:ascii="宋体" w:hAnsi="宋体" w:eastAsia="宋体" w:cs="宋体"/>
                <w:bCs/>
                <w:color w:val="auto"/>
                <w:sz w:val="24"/>
                <w:szCs w:val="24"/>
              </w:rPr>
            </w:pPr>
          </w:p>
        </w:tc>
        <w:tc>
          <w:tcPr>
            <w:tcW w:w="1567" w:type="dxa"/>
            <w:noWrap w:val="0"/>
            <w:vAlign w:val="center"/>
          </w:tcPr>
          <w:p w14:paraId="1D296D3D">
            <w:pPr>
              <w:spacing w:line="440" w:lineRule="exact"/>
              <w:jc w:val="center"/>
              <w:rPr>
                <w:rFonts w:hint="eastAsia" w:ascii="宋体" w:hAnsi="宋体" w:eastAsia="宋体" w:cs="宋体"/>
                <w:bCs/>
                <w:color w:val="auto"/>
                <w:sz w:val="24"/>
                <w:szCs w:val="24"/>
              </w:rPr>
            </w:pPr>
          </w:p>
        </w:tc>
        <w:tc>
          <w:tcPr>
            <w:tcW w:w="1183" w:type="dxa"/>
            <w:noWrap w:val="0"/>
            <w:vAlign w:val="center"/>
          </w:tcPr>
          <w:p w14:paraId="794065F4">
            <w:pPr>
              <w:spacing w:line="440" w:lineRule="exact"/>
              <w:jc w:val="center"/>
              <w:rPr>
                <w:rFonts w:hint="eastAsia" w:ascii="宋体" w:hAnsi="宋体" w:eastAsia="宋体" w:cs="宋体"/>
                <w:bCs/>
                <w:color w:val="auto"/>
                <w:sz w:val="24"/>
                <w:szCs w:val="24"/>
              </w:rPr>
            </w:pPr>
          </w:p>
        </w:tc>
        <w:tc>
          <w:tcPr>
            <w:tcW w:w="1309" w:type="dxa"/>
            <w:noWrap w:val="0"/>
            <w:vAlign w:val="center"/>
          </w:tcPr>
          <w:p w14:paraId="40759068">
            <w:pPr>
              <w:spacing w:line="440" w:lineRule="exact"/>
              <w:jc w:val="center"/>
              <w:rPr>
                <w:rFonts w:hint="eastAsia" w:ascii="宋体" w:hAnsi="宋体" w:eastAsia="宋体" w:cs="宋体"/>
                <w:bCs/>
                <w:color w:val="auto"/>
                <w:sz w:val="24"/>
                <w:szCs w:val="24"/>
              </w:rPr>
            </w:pPr>
          </w:p>
        </w:tc>
        <w:tc>
          <w:tcPr>
            <w:tcW w:w="1418" w:type="dxa"/>
            <w:noWrap w:val="0"/>
            <w:vAlign w:val="center"/>
          </w:tcPr>
          <w:p w14:paraId="095476D2">
            <w:pPr>
              <w:spacing w:line="440" w:lineRule="exact"/>
              <w:jc w:val="center"/>
              <w:rPr>
                <w:rFonts w:hint="eastAsia" w:ascii="宋体" w:hAnsi="宋体" w:eastAsia="宋体" w:cs="宋体"/>
                <w:bCs/>
                <w:color w:val="auto"/>
                <w:sz w:val="24"/>
                <w:szCs w:val="24"/>
              </w:rPr>
            </w:pPr>
          </w:p>
        </w:tc>
      </w:tr>
      <w:tr w14:paraId="3862C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722" w:type="dxa"/>
            <w:noWrap w:val="0"/>
            <w:vAlign w:val="center"/>
          </w:tcPr>
          <w:p w14:paraId="65245601">
            <w:pPr>
              <w:spacing w:line="440" w:lineRule="exact"/>
              <w:ind w:left="0" w:leftChars="0"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6</w:t>
            </w:r>
          </w:p>
        </w:tc>
        <w:tc>
          <w:tcPr>
            <w:tcW w:w="1530" w:type="dxa"/>
            <w:noWrap w:val="0"/>
            <w:vAlign w:val="center"/>
          </w:tcPr>
          <w:p w14:paraId="5806807C">
            <w:pPr>
              <w:spacing w:line="440" w:lineRule="exact"/>
              <w:jc w:val="center"/>
              <w:rPr>
                <w:rFonts w:hint="eastAsia" w:ascii="宋体" w:hAnsi="宋体" w:eastAsia="宋体" w:cs="宋体"/>
                <w:bCs/>
                <w:color w:val="auto"/>
                <w:sz w:val="24"/>
                <w:szCs w:val="24"/>
              </w:rPr>
            </w:pPr>
          </w:p>
        </w:tc>
        <w:tc>
          <w:tcPr>
            <w:tcW w:w="802" w:type="dxa"/>
            <w:noWrap w:val="0"/>
            <w:vAlign w:val="center"/>
          </w:tcPr>
          <w:p w14:paraId="48DE859E">
            <w:pPr>
              <w:spacing w:line="440" w:lineRule="exact"/>
              <w:jc w:val="center"/>
              <w:rPr>
                <w:rFonts w:hint="eastAsia" w:ascii="宋体" w:hAnsi="宋体" w:eastAsia="宋体" w:cs="宋体"/>
                <w:bCs/>
                <w:color w:val="auto"/>
                <w:sz w:val="24"/>
                <w:szCs w:val="24"/>
              </w:rPr>
            </w:pPr>
          </w:p>
        </w:tc>
        <w:tc>
          <w:tcPr>
            <w:tcW w:w="918" w:type="dxa"/>
            <w:noWrap w:val="0"/>
            <w:vAlign w:val="center"/>
          </w:tcPr>
          <w:p w14:paraId="5781879D">
            <w:pPr>
              <w:spacing w:line="440" w:lineRule="exact"/>
              <w:jc w:val="center"/>
              <w:rPr>
                <w:rFonts w:hint="eastAsia" w:ascii="宋体" w:hAnsi="宋体" w:eastAsia="宋体" w:cs="宋体"/>
                <w:bCs/>
                <w:color w:val="auto"/>
                <w:sz w:val="24"/>
                <w:szCs w:val="24"/>
              </w:rPr>
            </w:pPr>
          </w:p>
        </w:tc>
        <w:tc>
          <w:tcPr>
            <w:tcW w:w="1567" w:type="dxa"/>
            <w:noWrap w:val="0"/>
            <w:vAlign w:val="center"/>
          </w:tcPr>
          <w:p w14:paraId="4816FA1D">
            <w:pPr>
              <w:spacing w:line="440" w:lineRule="exact"/>
              <w:jc w:val="center"/>
              <w:rPr>
                <w:rFonts w:hint="eastAsia" w:ascii="宋体" w:hAnsi="宋体" w:eastAsia="宋体" w:cs="宋体"/>
                <w:bCs/>
                <w:color w:val="auto"/>
                <w:sz w:val="24"/>
                <w:szCs w:val="24"/>
              </w:rPr>
            </w:pPr>
          </w:p>
        </w:tc>
        <w:tc>
          <w:tcPr>
            <w:tcW w:w="1183" w:type="dxa"/>
            <w:noWrap w:val="0"/>
            <w:vAlign w:val="center"/>
          </w:tcPr>
          <w:p w14:paraId="2ACCF421">
            <w:pPr>
              <w:spacing w:line="440" w:lineRule="exact"/>
              <w:jc w:val="center"/>
              <w:rPr>
                <w:rFonts w:hint="eastAsia" w:ascii="宋体" w:hAnsi="宋体" w:eastAsia="宋体" w:cs="宋体"/>
                <w:bCs/>
                <w:color w:val="auto"/>
                <w:sz w:val="24"/>
                <w:szCs w:val="24"/>
              </w:rPr>
            </w:pPr>
          </w:p>
        </w:tc>
        <w:tc>
          <w:tcPr>
            <w:tcW w:w="1309" w:type="dxa"/>
            <w:noWrap w:val="0"/>
            <w:vAlign w:val="center"/>
          </w:tcPr>
          <w:p w14:paraId="116DC965">
            <w:pPr>
              <w:spacing w:line="440" w:lineRule="exact"/>
              <w:jc w:val="center"/>
              <w:rPr>
                <w:rFonts w:hint="eastAsia" w:ascii="宋体" w:hAnsi="宋体" w:eastAsia="宋体" w:cs="宋体"/>
                <w:bCs/>
                <w:color w:val="auto"/>
                <w:sz w:val="24"/>
                <w:szCs w:val="24"/>
              </w:rPr>
            </w:pPr>
          </w:p>
        </w:tc>
        <w:tc>
          <w:tcPr>
            <w:tcW w:w="1418" w:type="dxa"/>
            <w:noWrap w:val="0"/>
            <w:vAlign w:val="center"/>
          </w:tcPr>
          <w:p w14:paraId="700BCF5A">
            <w:pPr>
              <w:spacing w:line="440" w:lineRule="exact"/>
              <w:jc w:val="center"/>
              <w:rPr>
                <w:rFonts w:hint="eastAsia" w:ascii="宋体" w:hAnsi="宋体" w:eastAsia="宋体" w:cs="宋体"/>
                <w:bCs/>
                <w:color w:val="auto"/>
                <w:sz w:val="24"/>
                <w:szCs w:val="24"/>
              </w:rPr>
            </w:pPr>
          </w:p>
        </w:tc>
      </w:tr>
      <w:tr w14:paraId="4DBA4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22" w:type="dxa"/>
            <w:noWrap w:val="0"/>
            <w:vAlign w:val="center"/>
          </w:tcPr>
          <w:p w14:paraId="481B51A3">
            <w:pPr>
              <w:spacing w:line="440" w:lineRule="exact"/>
              <w:ind w:left="0" w:leftChars="0"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7</w:t>
            </w:r>
          </w:p>
        </w:tc>
        <w:tc>
          <w:tcPr>
            <w:tcW w:w="1530" w:type="dxa"/>
            <w:noWrap w:val="0"/>
            <w:vAlign w:val="center"/>
          </w:tcPr>
          <w:p w14:paraId="2E354575">
            <w:pPr>
              <w:spacing w:line="440" w:lineRule="exact"/>
              <w:jc w:val="center"/>
              <w:rPr>
                <w:rFonts w:hint="eastAsia" w:ascii="宋体" w:hAnsi="宋体" w:eastAsia="宋体" w:cs="宋体"/>
                <w:bCs/>
                <w:color w:val="auto"/>
                <w:sz w:val="24"/>
                <w:szCs w:val="24"/>
              </w:rPr>
            </w:pPr>
          </w:p>
        </w:tc>
        <w:tc>
          <w:tcPr>
            <w:tcW w:w="802" w:type="dxa"/>
            <w:noWrap w:val="0"/>
            <w:vAlign w:val="center"/>
          </w:tcPr>
          <w:p w14:paraId="1E3A0B87">
            <w:pPr>
              <w:spacing w:line="440" w:lineRule="exact"/>
              <w:jc w:val="center"/>
              <w:rPr>
                <w:rFonts w:hint="eastAsia" w:ascii="宋体" w:hAnsi="宋体" w:eastAsia="宋体" w:cs="宋体"/>
                <w:bCs/>
                <w:color w:val="auto"/>
                <w:sz w:val="24"/>
                <w:szCs w:val="24"/>
              </w:rPr>
            </w:pPr>
          </w:p>
        </w:tc>
        <w:tc>
          <w:tcPr>
            <w:tcW w:w="918" w:type="dxa"/>
            <w:noWrap w:val="0"/>
            <w:vAlign w:val="center"/>
          </w:tcPr>
          <w:p w14:paraId="0C460452">
            <w:pPr>
              <w:spacing w:line="440" w:lineRule="exact"/>
              <w:jc w:val="center"/>
              <w:rPr>
                <w:rFonts w:hint="eastAsia" w:ascii="宋体" w:hAnsi="宋体" w:eastAsia="宋体" w:cs="宋体"/>
                <w:bCs/>
                <w:color w:val="auto"/>
                <w:sz w:val="24"/>
                <w:szCs w:val="24"/>
              </w:rPr>
            </w:pPr>
          </w:p>
        </w:tc>
        <w:tc>
          <w:tcPr>
            <w:tcW w:w="1567" w:type="dxa"/>
            <w:noWrap w:val="0"/>
            <w:vAlign w:val="center"/>
          </w:tcPr>
          <w:p w14:paraId="0C910202">
            <w:pPr>
              <w:spacing w:line="440" w:lineRule="exact"/>
              <w:jc w:val="center"/>
              <w:rPr>
                <w:rFonts w:hint="eastAsia" w:ascii="宋体" w:hAnsi="宋体" w:eastAsia="宋体" w:cs="宋体"/>
                <w:bCs/>
                <w:color w:val="auto"/>
                <w:sz w:val="24"/>
                <w:szCs w:val="24"/>
              </w:rPr>
            </w:pPr>
          </w:p>
        </w:tc>
        <w:tc>
          <w:tcPr>
            <w:tcW w:w="1183" w:type="dxa"/>
            <w:noWrap w:val="0"/>
            <w:vAlign w:val="center"/>
          </w:tcPr>
          <w:p w14:paraId="72FF42E9">
            <w:pPr>
              <w:spacing w:line="440" w:lineRule="exact"/>
              <w:jc w:val="center"/>
              <w:rPr>
                <w:rFonts w:hint="eastAsia" w:ascii="宋体" w:hAnsi="宋体" w:eastAsia="宋体" w:cs="宋体"/>
                <w:bCs/>
                <w:color w:val="auto"/>
                <w:sz w:val="24"/>
                <w:szCs w:val="24"/>
              </w:rPr>
            </w:pPr>
          </w:p>
        </w:tc>
        <w:tc>
          <w:tcPr>
            <w:tcW w:w="1309" w:type="dxa"/>
            <w:noWrap w:val="0"/>
            <w:vAlign w:val="center"/>
          </w:tcPr>
          <w:p w14:paraId="0C0E840F">
            <w:pPr>
              <w:spacing w:line="440" w:lineRule="exact"/>
              <w:jc w:val="center"/>
              <w:rPr>
                <w:rFonts w:hint="eastAsia" w:ascii="宋体" w:hAnsi="宋体" w:eastAsia="宋体" w:cs="宋体"/>
                <w:bCs/>
                <w:color w:val="auto"/>
                <w:sz w:val="24"/>
                <w:szCs w:val="24"/>
              </w:rPr>
            </w:pPr>
          </w:p>
        </w:tc>
        <w:tc>
          <w:tcPr>
            <w:tcW w:w="1418" w:type="dxa"/>
            <w:noWrap w:val="0"/>
            <w:vAlign w:val="center"/>
          </w:tcPr>
          <w:p w14:paraId="51C56EC5">
            <w:pPr>
              <w:spacing w:line="440" w:lineRule="exact"/>
              <w:jc w:val="center"/>
              <w:rPr>
                <w:rFonts w:hint="eastAsia" w:ascii="宋体" w:hAnsi="宋体" w:eastAsia="宋体" w:cs="宋体"/>
                <w:bCs/>
                <w:color w:val="auto"/>
                <w:sz w:val="24"/>
                <w:szCs w:val="24"/>
              </w:rPr>
            </w:pPr>
          </w:p>
        </w:tc>
      </w:tr>
      <w:tr w14:paraId="54867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722" w:type="dxa"/>
            <w:noWrap w:val="0"/>
            <w:vAlign w:val="center"/>
          </w:tcPr>
          <w:p w14:paraId="529B5AC3">
            <w:pPr>
              <w:spacing w:line="440" w:lineRule="exact"/>
              <w:ind w:left="0" w:leftChars="0"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w:t>
            </w:r>
          </w:p>
        </w:tc>
        <w:tc>
          <w:tcPr>
            <w:tcW w:w="1530" w:type="dxa"/>
            <w:noWrap w:val="0"/>
            <w:vAlign w:val="center"/>
          </w:tcPr>
          <w:p w14:paraId="783D61C6">
            <w:pPr>
              <w:spacing w:line="440" w:lineRule="exact"/>
              <w:jc w:val="center"/>
              <w:rPr>
                <w:rFonts w:hint="eastAsia" w:ascii="宋体" w:hAnsi="宋体" w:eastAsia="宋体" w:cs="宋体"/>
                <w:bCs/>
                <w:color w:val="auto"/>
                <w:sz w:val="24"/>
                <w:szCs w:val="24"/>
              </w:rPr>
            </w:pPr>
          </w:p>
        </w:tc>
        <w:tc>
          <w:tcPr>
            <w:tcW w:w="802" w:type="dxa"/>
            <w:noWrap w:val="0"/>
            <w:vAlign w:val="center"/>
          </w:tcPr>
          <w:p w14:paraId="3B28E99B">
            <w:pPr>
              <w:spacing w:line="440" w:lineRule="exact"/>
              <w:jc w:val="center"/>
              <w:rPr>
                <w:rFonts w:hint="eastAsia" w:ascii="宋体" w:hAnsi="宋体" w:eastAsia="宋体" w:cs="宋体"/>
                <w:bCs/>
                <w:color w:val="auto"/>
                <w:sz w:val="24"/>
                <w:szCs w:val="24"/>
              </w:rPr>
            </w:pPr>
          </w:p>
        </w:tc>
        <w:tc>
          <w:tcPr>
            <w:tcW w:w="918" w:type="dxa"/>
            <w:noWrap w:val="0"/>
            <w:vAlign w:val="center"/>
          </w:tcPr>
          <w:p w14:paraId="33A3DFD0">
            <w:pPr>
              <w:spacing w:line="440" w:lineRule="exact"/>
              <w:jc w:val="center"/>
              <w:rPr>
                <w:rFonts w:hint="eastAsia" w:ascii="宋体" w:hAnsi="宋体" w:eastAsia="宋体" w:cs="宋体"/>
                <w:bCs/>
                <w:color w:val="auto"/>
                <w:sz w:val="24"/>
                <w:szCs w:val="24"/>
              </w:rPr>
            </w:pPr>
          </w:p>
        </w:tc>
        <w:tc>
          <w:tcPr>
            <w:tcW w:w="1567" w:type="dxa"/>
            <w:noWrap w:val="0"/>
            <w:vAlign w:val="center"/>
          </w:tcPr>
          <w:p w14:paraId="35237380">
            <w:pPr>
              <w:spacing w:line="440" w:lineRule="exact"/>
              <w:jc w:val="center"/>
              <w:rPr>
                <w:rFonts w:hint="eastAsia" w:ascii="宋体" w:hAnsi="宋体" w:eastAsia="宋体" w:cs="宋体"/>
                <w:bCs/>
                <w:color w:val="auto"/>
                <w:sz w:val="24"/>
                <w:szCs w:val="24"/>
              </w:rPr>
            </w:pPr>
          </w:p>
        </w:tc>
        <w:tc>
          <w:tcPr>
            <w:tcW w:w="1183" w:type="dxa"/>
            <w:noWrap w:val="0"/>
            <w:vAlign w:val="center"/>
          </w:tcPr>
          <w:p w14:paraId="5F39F5BE">
            <w:pPr>
              <w:spacing w:line="440" w:lineRule="exact"/>
              <w:jc w:val="center"/>
              <w:rPr>
                <w:rFonts w:hint="eastAsia" w:ascii="宋体" w:hAnsi="宋体" w:eastAsia="宋体" w:cs="宋体"/>
                <w:bCs/>
                <w:color w:val="auto"/>
                <w:sz w:val="24"/>
                <w:szCs w:val="24"/>
              </w:rPr>
            </w:pPr>
          </w:p>
        </w:tc>
        <w:tc>
          <w:tcPr>
            <w:tcW w:w="1309" w:type="dxa"/>
            <w:noWrap w:val="0"/>
            <w:vAlign w:val="center"/>
          </w:tcPr>
          <w:p w14:paraId="45A59D02">
            <w:pPr>
              <w:spacing w:line="440" w:lineRule="exact"/>
              <w:jc w:val="center"/>
              <w:rPr>
                <w:rFonts w:hint="eastAsia" w:ascii="宋体" w:hAnsi="宋体" w:eastAsia="宋体" w:cs="宋体"/>
                <w:bCs/>
                <w:color w:val="auto"/>
                <w:sz w:val="24"/>
                <w:szCs w:val="24"/>
              </w:rPr>
            </w:pPr>
          </w:p>
        </w:tc>
        <w:tc>
          <w:tcPr>
            <w:tcW w:w="1418" w:type="dxa"/>
            <w:noWrap w:val="0"/>
            <w:vAlign w:val="center"/>
          </w:tcPr>
          <w:p w14:paraId="41B48CDC">
            <w:pPr>
              <w:spacing w:line="440" w:lineRule="exact"/>
              <w:jc w:val="center"/>
              <w:rPr>
                <w:rFonts w:hint="eastAsia" w:ascii="宋体" w:hAnsi="宋体" w:eastAsia="宋体" w:cs="宋体"/>
                <w:bCs/>
                <w:color w:val="auto"/>
                <w:sz w:val="24"/>
                <w:szCs w:val="24"/>
              </w:rPr>
            </w:pPr>
          </w:p>
        </w:tc>
      </w:tr>
      <w:tr w14:paraId="4B773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9449" w:type="dxa"/>
            <w:gridSpan w:val="8"/>
            <w:noWrap w:val="0"/>
            <w:vAlign w:val="center"/>
          </w:tcPr>
          <w:p w14:paraId="54AE4EEC">
            <w:pPr>
              <w:spacing w:line="440" w:lineRule="exact"/>
              <w:ind w:left="0" w:leftChars="0" w:firstLine="0" w:firstLineChars="0"/>
              <w:jc w:val="left"/>
              <w:rPr>
                <w:rFonts w:hint="eastAsia" w:ascii="宋体" w:hAnsi="宋体" w:eastAsia="宋体" w:cs="宋体"/>
                <w:bCs/>
                <w:color w:val="auto"/>
                <w:sz w:val="24"/>
                <w:szCs w:val="24"/>
                <w:lang w:val="en-US" w:eastAsia="zh-CN"/>
              </w:rPr>
            </w:pPr>
            <w:r>
              <w:rPr>
                <w:rFonts w:hint="eastAsia" w:cs="宋体"/>
                <w:bCs/>
                <w:color w:val="auto"/>
                <w:sz w:val="24"/>
                <w:szCs w:val="24"/>
                <w:lang w:val="en-US" w:eastAsia="zh-CN"/>
              </w:rPr>
              <w:t>总报价</w:t>
            </w:r>
            <w:r>
              <w:rPr>
                <w:rFonts w:hint="eastAsia" w:ascii="宋体" w:hAnsi="宋体" w:eastAsia="宋体" w:cs="宋体"/>
                <w:bCs/>
                <w:color w:val="auto"/>
                <w:sz w:val="24"/>
                <w:szCs w:val="24"/>
                <w:lang w:val="en-US" w:eastAsia="zh-CN"/>
              </w:rPr>
              <w:t>：（大写）</w:t>
            </w:r>
            <w:r>
              <w:rPr>
                <w:rFonts w:hint="eastAsia" w:ascii="宋体" w:hAnsi="宋体" w:eastAsia="宋体" w:cs="宋体"/>
                <w:bCs/>
                <w:color w:val="auto"/>
                <w:sz w:val="24"/>
                <w:szCs w:val="24"/>
                <w:u w:val="single"/>
                <w:lang w:val="en-US" w:eastAsia="zh-CN"/>
              </w:rPr>
              <w:t xml:space="preserve">       </w:t>
            </w:r>
            <w:r>
              <w:rPr>
                <w:rFonts w:hint="eastAsia" w:ascii="宋体" w:hAnsi="宋体" w:eastAsia="宋体" w:cs="宋体"/>
                <w:bCs/>
                <w:color w:val="auto"/>
                <w:sz w:val="24"/>
                <w:szCs w:val="24"/>
                <w:lang w:val="en-US" w:eastAsia="zh-CN"/>
              </w:rPr>
              <w:t>元；（小写）：</w:t>
            </w:r>
            <w:r>
              <w:rPr>
                <w:rFonts w:hint="eastAsia" w:ascii="宋体" w:hAnsi="宋体" w:eastAsia="宋体" w:cs="宋体"/>
                <w:bCs/>
                <w:color w:val="auto"/>
                <w:sz w:val="24"/>
                <w:szCs w:val="24"/>
                <w:u w:val="single"/>
                <w:lang w:val="en-US" w:eastAsia="zh-CN"/>
              </w:rPr>
              <w:t xml:space="preserve">       </w:t>
            </w:r>
            <w:r>
              <w:rPr>
                <w:rFonts w:hint="eastAsia" w:ascii="宋体" w:hAnsi="宋体" w:eastAsia="宋体" w:cs="宋体"/>
                <w:bCs/>
                <w:color w:val="auto"/>
                <w:sz w:val="24"/>
                <w:szCs w:val="24"/>
                <w:lang w:val="en-US" w:eastAsia="zh-CN"/>
              </w:rPr>
              <w:t>元</w:t>
            </w:r>
          </w:p>
        </w:tc>
      </w:tr>
    </w:tbl>
    <w:p w14:paraId="22870B67">
      <w:pPr>
        <w:spacing w:line="360" w:lineRule="auto"/>
        <w:ind w:left="0" w:leftChars="0" w:firstLine="0" w:firstLineChars="0"/>
        <w:rPr>
          <w:rFonts w:hint="default"/>
          <w:lang w:val="en-US" w:eastAsia="zh-CN"/>
        </w:rPr>
      </w:pPr>
      <w:r>
        <w:rPr>
          <w:rFonts w:hint="eastAsia"/>
          <w:lang w:val="en-US" w:eastAsia="zh-CN"/>
        </w:rPr>
        <w:t>注：1）报价明细表内容须严格按照“第二章-采购需求-</w:t>
      </w:r>
      <w:r>
        <w:rPr>
          <w:rFonts w:hint="eastAsia"/>
          <w:b w:val="0"/>
          <w:bCs w:val="0"/>
          <w:lang w:eastAsia="zh-CN"/>
        </w:rPr>
        <w:t>各标项采购内容清单</w:t>
      </w:r>
      <w:r>
        <w:rPr>
          <w:rFonts w:hint="eastAsia"/>
          <w:lang w:val="en-US" w:eastAsia="zh-CN"/>
        </w:rPr>
        <w:t>”逐一对应填写，不得缺项；</w:t>
      </w:r>
    </w:p>
    <w:p w14:paraId="24C382FB">
      <w:pPr>
        <w:spacing w:line="360" w:lineRule="auto"/>
        <w:ind w:left="0" w:leftChars="0" w:firstLine="480" w:firstLineChars="200"/>
        <w:rPr>
          <w:rFonts w:hint="eastAsia"/>
          <w:lang w:val="en-US" w:eastAsia="zh-CN"/>
        </w:rPr>
      </w:pPr>
      <w:r>
        <w:rPr>
          <w:rFonts w:hint="eastAsia"/>
          <w:lang w:val="en-US" w:eastAsia="zh-CN"/>
        </w:rPr>
        <w:t>2）各标项总报价须与“开标一览表”中相对应标项的投标总报价保持一致。</w:t>
      </w:r>
    </w:p>
    <w:p w14:paraId="1B4CD490">
      <w:pPr>
        <w:spacing w:line="360" w:lineRule="auto"/>
        <w:ind w:left="0" w:leftChars="0" w:firstLine="0" w:firstLineChars="0"/>
        <w:rPr>
          <w:rFonts w:hint="eastAsia" w:ascii="宋体" w:hAnsi="宋体" w:eastAsia="宋体" w:cs="宋体"/>
        </w:rPr>
      </w:pPr>
    </w:p>
    <w:p w14:paraId="2E171AC5">
      <w:pPr>
        <w:spacing w:line="360" w:lineRule="auto"/>
        <w:ind w:left="0" w:leftChars="0" w:firstLine="0" w:firstLineChars="0"/>
        <w:rPr>
          <w:rFonts w:hint="eastAsia" w:ascii="宋体" w:hAnsi="宋体" w:eastAsia="宋体" w:cs="宋体"/>
        </w:rPr>
      </w:pPr>
      <w:r>
        <w:rPr>
          <w:rFonts w:hint="eastAsia" w:ascii="宋体" w:hAnsi="宋体" w:eastAsia="宋体" w:cs="宋体"/>
        </w:rPr>
        <w:t>投标人名称（盖章）：</w:t>
      </w:r>
    </w:p>
    <w:p w14:paraId="0F9F1536">
      <w:pPr>
        <w:spacing w:line="360" w:lineRule="auto"/>
        <w:ind w:left="0" w:leftChars="0" w:firstLine="0" w:firstLineChars="0"/>
        <w:rPr>
          <w:rFonts w:hint="eastAsia" w:ascii="宋体" w:hAnsi="宋体" w:eastAsia="宋体" w:cs="宋体"/>
        </w:rPr>
      </w:pPr>
      <w:r>
        <w:rPr>
          <w:rFonts w:hint="eastAsia" w:ascii="宋体" w:hAnsi="宋体" w:eastAsia="宋体" w:cs="宋体"/>
        </w:rPr>
        <w:t>法定代表人或</w:t>
      </w:r>
      <w:r>
        <w:rPr>
          <w:rFonts w:hint="eastAsia" w:ascii="宋体" w:hAnsi="宋体" w:eastAsia="宋体" w:cs="宋体"/>
          <w:lang w:eastAsia="zh-CN"/>
        </w:rPr>
        <w:t>其</w:t>
      </w:r>
      <w:r>
        <w:rPr>
          <w:rFonts w:hint="eastAsia" w:cs="宋体"/>
          <w:lang w:eastAsia="zh-CN"/>
        </w:rPr>
        <w:t>授权代表</w:t>
      </w:r>
      <w:r>
        <w:rPr>
          <w:rFonts w:hint="eastAsia" w:ascii="宋体" w:hAnsi="宋体" w:eastAsia="宋体" w:cs="宋体"/>
        </w:rPr>
        <w:t>（签字）：</w:t>
      </w:r>
    </w:p>
    <w:p w14:paraId="7CCE170F">
      <w:pPr>
        <w:bidi w:val="0"/>
        <w:spacing w:line="360" w:lineRule="auto"/>
        <w:ind w:left="0" w:leftChars="0" w:firstLine="0" w:firstLineChars="0"/>
        <w:rPr>
          <w:rFonts w:hint="eastAsia" w:cs="宋体"/>
          <w:b/>
          <w:bCs/>
          <w:szCs w:val="24"/>
          <w:lang w:eastAsia="zh-CN"/>
        </w:rPr>
      </w:pPr>
      <w:r>
        <w:rPr>
          <w:rFonts w:hint="eastAsia"/>
        </w:rPr>
        <w:t>日期：    年   月   日</w:t>
      </w:r>
    </w:p>
    <w:p w14:paraId="03FA4478">
      <w:pPr>
        <w:pStyle w:val="14"/>
        <w:rPr>
          <w:rFonts w:hint="eastAsia" w:cs="宋体"/>
          <w:b/>
          <w:bCs/>
          <w:szCs w:val="24"/>
          <w:lang w:eastAsia="zh-CN"/>
        </w:rPr>
        <w:sectPr>
          <w:pgSz w:w="11906" w:h="16838"/>
          <w:pgMar w:top="1440" w:right="1304" w:bottom="1020" w:left="1304" w:header="851" w:footer="992" w:gutter="0"/>
          <w:pgNumType w:fmt="decimal"/>
          <w:cols w:space="720" w:num="1"/>
          <w:docGrid w:type="lines" w:linePitch="312" w:charSpace="0"/>
        </w:sectPr>
      </w:pPr>
    </w:p>
    <w:p w14:paraId="7DB17B05">
      <w:pPr>
        <w:bidi w:val="0"/>
        <w:spacing w:line="240" w:lineRule="auto"/>
        <w:ind w:left="0" w:leftChars="0" w:firstLine="0" w:firstLineChars="0"/>
        <w:jc w:val="left"/>
        <w:rPr>
          <w:rFonts w:hint="eastAsia" w:ascii="宋体" w:hAnsi="宋体" w:eastAsia="宋体" w:cs="宋体"/>
          <w:b/>
          <w:bCs/>
          <w:szCs w:val="24"/>
          <w:lang w:eastAsia="zh-CN"/>
        </w:rPr>
      </w:pPr>
      <w:r>
        <w:rPr>
          <w:rFonts w:hint="eastAsia" w:cs="宋体"/>
          <w:b/>
          <w:bCs/>
          <w:szCs w:val="24"/>
          <w:lang w:eastAsia="zh-CN"/>
        </w:rPr>
        <w:t>附件十四</w:t>
      </w:r>
    </w:p>
    <w:p w14:paraId="31720B6F">
      <w:pPr>
        <w:bidi w:val="0"/>
        <w:spacing w:line="480" w:lineRule="auto"/>
        <w:ind w:left="0" w:leftChars="0" w:firstLine="0" w:firstLineChars="0"/>
        <w:jc w:val="center"/>
        <w:rPr>
          <w:rFonts w:hint="eastAsia"/>
        </w:rPr>
      </w:pPr>
      <w:r>
        <w:rPr>
          <w:rFonts w:hint="eastAsia"/>
          <w:b/>
          <w:bCs/>
          <w:sz w:val="28"/>
          <w:szCs w:val="28"/>
          <w:lang w:val="en-US" w:eastAsia="zh-CN"/>
        </w:rPr>
        <w:t>缴纳采购</w:t>
      </w:r>
      <w:r>
        <w:rPr>
          <w:rFonts w:hint="eastAsia"/>
          <w:b/>
          <w:bCs/>
          <w:sz w:val="28"/>
          <w:szCs w:val="28"/>
        </w:rPr>
        <w:t>代理</w:t>
      </w:r>
      <w:r>
        <w:rPr>
          <w:rFonts w:hint="eastAsia"/>
          <w:b/>
          <w:bCs/>
          <w:sz w:val="28"/>
          <w:szCs w:val="28"/>
          <w:lang w:eastAsia="zh-CN"/>
        </w:rPr>
        <w:t>服务</w:t>
      </w:r>
      <w:r>
        <w:rPr>
          <w:rFonts w:hint="eastAsia"/>
          <w:b/>
          <w:bCs/>
          <w:sz w:val="28"/>
          <w:szCs w:val="28"/>
        </w:rPr>
        <w:t>费承诺函</w:t>
      </w:r>
    </w:p>
    <w:p w14:paraId="132925F4">
      <w:pPr>
        <w:bidi w:val="0"/>
        <w:spacing w:line="480" w:lineRule="auto"/>
        <w:ind w:left="0" w:leftChars="0" w:firstLine="0" w:firstLineChars="0"/>
        <w:rPr>
          <w:rFonts w:hint="eastAsia"/>
          <w:lang w:eastAsia="zh-CN"/>
        </w:rPr>
      </w:pPr>
      <w:r>
        <w:rPr>
          <w:rFonts w:hint="eastAsia"/>
          <w:u w:val="single"/>
          <w:lang w:eastAsia="zh-CN"/>
        </w:rPr>
        <w:t>浙江致信招标代理有限公司</w:t>
      </w:r>
      <w:r>
        <w:rPr>
          <w:rFonts w:hint="eastAsia"/>
          <w:lang w:eastAsia="zh-CN"/>
        </w:rPr>
        <w:t>：</w:t>
      </w:r>
    </w:p>
    <w:p w14:paraId="4BF4FCC9">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我方在你公司组织的</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lang w:val="en-US" w:eastAsia="zh-CN"/>
        </w:rPr>
        <w:t>项目名称</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lang w:val="en-US" w:eastAsia="zh-CN"/>
        </w:rPr>
        <w:t>项目编号</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rPr>
        <w:t>的采购活动中若获成交，我方保证</w:t>
      </w:r>
      <w:r>
        <w:rPr>
          <w:rFonts w:hint="eastAsia" w:ascii="宋体" w:hAnsi="宋体" w:eastAsia="宋体" w:cs="宋体"/>
          <w:color w:val="auto"/>
          <w:sz w:val="24"/>
          <w:szCs w:val="24"/>
          <w:lang w:val="en-US" w:eastAsia="zh-CN"/>
        </w:rPr>
        <w:t>于</w:t>
      </w:r>
      <w:r>
        <w:rPr>
          <w:rFonts w:hint="eastAsia" w:ascii="宋体" w:hAnsi="宋体" w:eastAsia="宋体" w:cs="宋体"/>
          <w:color w:val="auto"/>
          <w:sz w:val="24"/>
          <w:szCs w:val="24"/>
        </w:rPr>
        <w:t>中标后，按采购文件</w:t>
      </w:r>
      <w:r>
        <w:rPr>
          <w:rFonts w:hint="eastAsia" w:ascii="宋体" w:hAnsi="宋体" w:eastAsia="宋体" w:cs="宋体"/>
          <w:b/>
          <w:color w:val="auto"/>
          <w:sz w:val="24"/>
          <w:szCs w:val="24"/>
        </w:rPr>
        <w:t>“响应</w:t>
      </w:r>
      <w:r>
        <w:rPr>
          <w:rFonts w:hint="eastAsia" w:ascii="宋体" w:hAnsi="宋体" w:eastAsia="宋体" w:cs="宋体"/>
          <w:b/>
          <w:color w:val="auto"/>
          <w:sz w:val="24"/>
          <w:szCs w:val="24"/>
          <w:lang w:val="en-US" w:eastAsia="zh-CN"/>
        </w:rPr>
        <w:t>/投标</w:t>
      </w:r>
      <w:r>
        <w:rPr>
          <w:rFonts w:hint="eastAsia" w:ascii="宋体" w:hAnsi="宋体" w:eastAsia="宋体" w:cs="宋体"/>
          <w:b/>
          <w:color w:val="auto"/>
          <w:sz w:val="24"/>
          <w:szCs w:val="24"/>
        </w:rPr>
        <w:t>人须知前附表”</w:t>
      </w:r>
      <w:r>
        <w:rPr>
          <w:rFonts w:hint="eastAsia" w:ascii="宋体" w:hAnsi="宋体" w:eastAsia="宋体" w:cs="宋体"/>
          <w:color w:val="auto"/>
          <w:sz w:val="24"/>
          <w:szCs w:val="24"/>
        </w:rPr>
        <w:t>规定</w:t>
      </w:r>
      <w:r>
        <w:rPr>
          <w:rFonts w:hint="eastAsia" w:ascii="宋体" w:hAnsi="宋体" w:eastAsia="宋体" w:cs="宋体"/>
          <w:color w:val="auto"/>
          <w:sz w:val="24"/>
          <w:szCs w:val="24"/>
          <w:lang w:val="en-US" w:eastAsia="zh-CN"/>
        </w:rPr>
        <w:t>的</w:t>
      </w:r>
      <w:r>
        <w:rPr>
          <w:rFonts w:hint="eastAsia" w:ascii="宋体" w:hAnsi="宋体" w:eastAsia="宋体" w:cs="宋体"/>
          <w:sz w:val="24"/>
          <w:szCs w:val="24"/>
          <w:lang w:val="en-US" w:eastAsia="zh-CN"/>
        </w:rPr>
        <w:t>采购代理服务费缴纳标准及方式</w:t>
      </w:r>
      <w:r>
        <w:rPr>
          <w:rFonts w:hint="eastAsia" w:ascii="宋体" w:hAnsi="宋体" w:eastAsia="宋体" w:cs="宋体"/>
          <w:color w:val="auto"/>
          <w:sz w:val="24"/>
          <w:szCs w:val="24"/>
        </w:rPr>
        <w:t>，向你公司支付采购代理服务费。</w:t>
      </w:r>
    </w:p>
    <w:p w14:paraId="72CDFAAC">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我方</w:t>
      </w:r>
      <w:r>
        <w:rPr>
          <w:rFonts w:hint="eastAsia" w:ascii="宋体" w:hAnsi="宋体" w:eastAsia="宋体" w:cs="宋体"/>
          <w:color w:val="auto"/>
          <w:sz w:val="24"/>
          <w:szCs w:val="24"/>
          <w:lang w:val="en-US" w:eastAsia="zh-CN"/>
        </w:rPr>
        <w:t>理解并承诺，若</w:t>
      </w:r>
      <w:r>
        <w:rPr>
          <w:rFonts w:hint="eastAsia" w:ascii="宋体" w:hAnsi="宋体" w:eastAsia="宋体" w:cs="宋体"/>
          <w:color w:val="auto"/>
          <w:sz w:val="24"/>
          <w:szCs w:val="24"/>
        </w:rPr>
        <w:t>未能按时缴纳采购代理服务费将被视为放弃中标资格，</w:t>
      </w:r>
      <w:r>
        <w:rPr>
          <w:rFonts w:hint="eastAsia" w:ascii="宋体" w:hAnsi="宋体" w:eastAsia="宋体" w:cs="宋体"/>
          <w:color w:val="auto"/>
          <w:sz w:val="24"/>
          <w:szCs w:val="24"/>
          <w:lang w:val="en-US" w:eastAsia="zh-CN"/>
        </w:rPr>
        <w:t>由此产生的</w:t>
      </w:r>
      <w:r>
        <w:rPr>
          <w:rFonts w:hint="eastAsia" w:ascii="宋体" w:hAnsi="宋体" w:eastAsia="宋体" w:cs="宋体"/>
          <w:color w:val="auto"/>
          <w:sz w:val="24"/>
          <w:szCs w:val="24"/>
        </w:rPr>
        <w:t>法律责任</w:t>
      </w:r>
      <w:r>
        <w:rPr>
          <w:rFonts w:hint="eastAsia" w:ascii="宋体" w:hAnsi="宋体" w:eastAsia="宋体" w:cs="宋体"/>
          <w:color w:val="auto"/>
          <w:sz w:val="24"/>
          <w:szCs w:val="24"/>
          <w:lang w:val="en-US" w:eastAsia="zh-CN"/>
        </w:rPr>
        <w:t>我方自行承担。我方承诺，本承诺书一旦签署，即具有法律效力，我方将严格按照承诺书的内容执行</w:t>
      </w:r>
      <w:r>
        <w:rPr>
          <w:rFonts w:hint="eastAsia" w:ascii="宋体" w:hAnsi="宋体" w:eastAsia="宋体" w:cs="宋体"/>
          <w:color w:val="auto"/>
          <w:sz w:val="24"/>
          <w:szCs w:val="24"/>
        </w:rPr>
        <w:t>。</w:t>
      </w:r>
    </w:p>
    <w:p w14:paraId="08979437">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lang w:eastAsia="zh-CN"/>
        </w:rPr>
      </w:pPr>
      <w:r>
        <w:rPr>
          <w:rFonts w:hint="eastAsia" w:ascii="宋体" w:hAnsi="宋体" w:eastAsia="宋体" w:cs="宋体"/>
          <w:color w:val="auto"/>
          <w:sz w:val="24"/>
          <w:szCs w:val="24"/>
        </w:rPr>
        <w:t>特此承诺。</w:t>
      </w:r>
    </w:p>
    <w:p w14:paraId="6B9B5451">
      <w:pPr>
        <w:pStyle w:val="20"/>
        <w:snapToGrid w:val="0"/>
        <w:spacing w:beforeLines="0" w:afterLines="0" w:line="360" w:lineRule="auto"/>
      </w:pPr>
    </w:p>
    <w:p w14:paraId="0BA85970">
      <w:pPr>
        <w:spacing w:line="360" w:lineRule="auto"/>
        <w:ind w:firstLine="480" w:firstLineChars="200"/>
        <w:rPr>
          <w:sz w:val="24"/>
        </w:rPr>
      </w:pPr>
    </w:p>
    <w:p w14:paraId="7B7002EB">
      <w:pPr>
        <w:spacing w:line="480" w:lineRule="auto"/>
        <w:ind w:left="0" w:leftChars="0" w:firstLine="0" w:firstLineChars="0"/>
        <w:rPr>
          <w:rFonts w:hint="eastAsia" w:ascii="宋体" w:hAnsi="宋体" w:eastAsia="宋体" w:cs="宋体"/>
          <w:sz w:val="24"/>
          <w:szCs w:val="24"/>
        </w:rPr>
      </w:pPr>
    </w:p>
    <w:p w14:paraId="7C5F5752">
      <w:pPr>
        <w:spacing w:line="48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投标人名称（公章）：</w:t>
      </w:r>
    </w:p>
    <w:p w14:paraId="61A75577">
      <w:pPr>
        <w:spacing w:line="48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法定代表人或其</w:t>
      </w:r>
      <w:r>
        <w:rPr>
          <w:rFonts w:hint="eastAsia" w:ascii="宋体" w:hAnsi="宋体" w:eastAsia="宋体" w:cs="宋体"/>
          <w:sz w:val="24"/>
          <w:szCs w:val="24"/>
          <w:lang w:eastAsia="zh-CN"/>
        </w:rPr>
        <w:t>授权代表</w:t>
      </w:r>
      <w:r>
        <w:rPr>
          <w:rFonts w:hint="eastAsia" w:ascii="宋体" w:hAnsi="宋体" w:eastAsia="宋体" w:cs="宋体"/>
          <w:sz w:val="24"/>
          <w:szCs w:val="24"/>
        </w:rPr>
        <w:t>（签字）：</w:t>
      </w:r>
    </w:p>
    <w:p w14:paraId="398097FE">
      <w:pPr>
        <w:spacing w:line="480" w:lineRule="auto"/>
        <w:ind w:left="0" w:leftChars="0" w:firstLine="0" w:firstLineChars="0"/>
        <w:rPr>
          <w:sz w:val="24"/>
        </w:rPr>
      </w:pPr>
      <w:r>
        <w:rPr>
          <w:rFonts w:hint="eastAsia" w:ascii="宋体" w:hAnsi="宋体" w:eastAsia="宋体" w:cs="宋体"/>
          <w:sz w:val="24"/>
          <w:szCs w:val="24"/>
        </w:rPr>
        <w:t>日期：  年   月   日</w:t>
      </w:r>
    </w:p>
    <w:p w14:paraId="7C540660">
      <w:pPr>
        <w:bidi w:val="0"/>
        <w:ind w:left="0" w:leftChars="0" w:firstLine="0" w:firstLineChars="0"/>
        <w:jc w:val="left"/>
        <w:rPr>
          <w:rFonts w:hint="eastAsia" w:ascii="宋体" w:hAnsi="宋体" w:eastAsia="宋体" w:cs="宋体"/>
          <w:szCs w:val="24"/>
        </w:rPr>
        <w:sectPr>
          <w:pgSz w:w="11906" w:h="16838"/>
          <w:pgMar w:top="1440" w:right="1304" w:bottom="1020" w:left="1304" w:header="851" w:footer="992" w:gutter="0"/>
          <w:pgNumType w:fmt="decimal"/>
          <w:cols w:space="720" w:num="1"/>
          <w:docGrid w:type="lines" w:linePitch="312" w:charSpace="0"/>
        </w:sectPr>
      </w:pPr>
    </w:p>
    <w:p w14:paraId="46CCCA4A">
      <w:pPr>
        <w:bidi w:val="0"/>
        <w:ind w:left="0" w:leftChars="0" w:firstLine="0" w:firstLineChars="0"/>
        <w:jc w:val="center"/>
        <w:rPr>
          <w:rFonts w:hint="eastAsia" w:cs="宋体"/>
          <w:b/>
          <w:bCs/>
          <w:sz w:val="24"/>
          <w:szCs w:val="24"/>
          <w:lang w:val="en-US" w:eastAsia="zh-CN"/>
        </w:rPr>
      </w:pPr>
    </w:p>
    <w:p w14:paraId="20D74B4E">
      <w:pPr>
        <w:bidi w:val="0"/>
        <w:ind w:left="0" w:leftChars="0" w:firstLine="0" w:firstLineChars="0"/>
        <w:jc w:val="center"/>
        <w:rPr>
          <w:lang w:val="en-US" w:eastAsia="zh-CN"/>
        </w:rPr>
      </w:pPr>
      <w:r>
        <w:rPr>
          <w:rFonts w:hint="eastAsia" w:cs="宋体"/>
          <w:b/>
          <w:bCs/>
          <w:sz w:val="24"/>
          <w:szCs w:val="24"/>
          <w:lang w:val="en-US" w:eastAsia="zh-CN"/>
        </w:rPr>
        <w:t>5.</w:t>
      </w:r>
      <w:r>
        <w:rPr>
          <w:rFonts w:hint="eastAsia" w:ascii="宋体" w:hAnsi="宋体" w:eastAsia="宋体" w:cs="宋体"/>
          <w:b/>
          <w:bCs/>
          <w:color w:val="auto"/>
          <w:highlight w:val="none"/>
          <w:lang w:eastAsia="zh-CN"/>
        </w:rPr>
        <w:t>投标人</w:t>
      </w:r>
      <w:r>
        <w:rPr>
          <w:rFonts w:hint="eastAsia" w:ascii="宋体" w:hAnsi="宋体" w:eastAsia="宋体" w:cs="宋体"/>
          <w:b/>
          <w:bCs/>
          <w:color w:val="auto"/>
          <w:highlight w:val="none"/>
        </w:rPr>
        <w:t>针对</w:t>
      </w:r>
      <w:r>
        <w:rPr>
          <w:rFonts w:hint="eastAsia" w:cs="宋体"/>
          <w:b/>
          <w:bCs/>
          <w:color w:val="auto"/>
          <w:highlight w:val="none"/>
          <w:lang w:eastAsia="zh-CN"/>
        </w:rPr>
        <w:t>投标</w:t>
      </w:r>
      <w:r>
        <w:rPr>
          <w:rFonts w:hint="eastAsia" w:ascii="宋体" w:hAnsi="宋体" w:eastAsia="宋体" w:cs="宋体"/>
          <w:b/>
          <w:bCs/>
          <w:color w:val="auto"/>
          <w:highlight w:val="none"/>
        </w:rPr>
        <w:t>报价需要</w:t>
      </w:r>
      <w:r>
        <w:rPr>
          <w:rFonts w:hint="eastAsia" w:cs="宋体"/>
          <w:b/>
          <w:bCs/>
          <w:color w:val="auto"/>
          <w:highlight w:val="none"/>
          <w:lang w:eastAsia="zh-CN"/>
        </w:rPr>
        <w:t>补充</w:t>
      </w:r>
      <w:r>
        <w:rPr>
          <w:rFonts w:hint="eastAsia" w:ascii="宋体" w:hAnsi="宋体" w:eastAsia="宋体" w:cs="宋体"/>
          <w:b/>
          <w:bCs/>
          <w:color w:val="auto"/>
          <w:highlight w:val="none"/>
        </w:rPr>
        <w:t>的其他文件和说明</w:t>
      </w:r>
      <w:r>
        <w:rPr>
          <w:rFonts w:hint="eastAsia" w:ascii="宋体" w:hAnsi="宋体"/>
          <w:b/>
          <w:bCs/>
          <w:sz w:val="24"/>
          <w:lang w:eastAsia="zh-CN"/>
        </w:rPr>
        <w:t>。</w:t>
      </w:r>
    </w:p>
    <w:p w14:paraId="08B03A6B">
      <w:pPr>
        <w:bidi w:val="0"/>
        <w:spacing w:line="240" w:lineRule="auto"/>
        <w:ind w:left="0" w:leftChars="0" w:firstLine="0" w:firstLineChars="0"/>
        <w:jc w:val="left"/>
        <w:rPr>
          <w:rFonts w:hint="eastAsia" w:ascii="宋体" w:hAnsi="宋体" w:eastAsia="宋体" w:cs="宋体"/>
          <w:b/>
          <w:bCs/>
          <w:szCs w:val="24"/>
        </w:rPr>
        <w:sectPr>
          <w:pgSz w:w="11906" w:h="16838"/>
          <w:pgMar w:top="1440" w:right="1304" w:bottom="1020" w:left="1304" w:header="851" w:footer="992" w:gutter="0"/>
          <w:pgNumType w:fmt="decimal"/>
          <w:cols w:space="720" w:num="1"/>
          <w:docGrid w:type="lines" w:linePitch="312" w:charSpace="0"/>
        </w:sectPr>
      </w:pPr>
    </w:p>
    <w:p w14:paraId="66242E2F">
      <w:pPr>
        <w:bidi w:val="0"/>
        <w:spacing w:line="240" w:lineRule="auto"/>
        <w:ind w:left="0" w:leftChars="0" w:firstLine="0" w:firstLineChars="0"/>
        <w:jc w:val="left"/>
        <w:rPr>
          <w:rFonts w:hint="eastAsia" w:ascii="宋体" w:hAnsi="宋体" w:eastAsia="宋体" w:cs="宋体"/>
          <w:szCs w:val="24"/>
          <w:lang w:eastAsia="zh-CN"/>
        </w:rPr>
      </w:pPr>
      <w:r>
        <w:rPr>
          <w:rFonts w:hint="eastAsia" w:ascii="宋体" w:hAnsi="宋体" w:eastAsia="宋体" w:cs="宋体"/>
          <w:b/>
          <w:bCs/>
          <w:szCs w:val="24"/>
        </w:rPr>
        <w:t>附件十</w:t>
      </w:r>
      <w:r>
        <w:rPr>
          <w:rFonts w:hint="eastAsia" w:cs="宋体"/>
          <w:b/>
          <w:bCs/>
          <w:szCs w:val="24"/>
          <w:lang w:eastAsia="zh-CN"/>
        </w:rPr>
        <w:t>五</w:t>
      </w:r>
    </w:p>
    <w:p w14:paraId="7653297C">
      <w:pPr>
        <w:ind w:firstLine="0" w:firstLineChars="0"/>
        <w:jc w:val="center"/>
        <w:rPr>
          <w:rFonts w:hint="eastAsia" w:ascii="宋体" w:hAnsi="宋体" w:eastAsia="宋体" w:cs="宋体"/>
          <w:b/>
          <w:bCs/>
          <w:sz w:val="28"/>
          <w:szCs w:val="28"/>
        </w:rPr>
      </w:pPr>
      <w:r>
        <w:rPr>
          <w:rFonts w:hint="eastAsia" w:ascii="宋体" w:hAnsi="宋体" w:eastAsia="宋体" w:cs="宋体"/>
          <w:b/>
          <w:bCs/>
          <w:sz w:val="28"/>
          <w:szCs w:val="28"/>
        </w:rPr>
        <w:t>弃标函</w:t>
      </w:r>
    </w:p>
    <w:p w14:paraId="0236E68D">
      <w:pPr>
        <w:ind w:firstLine="480"/>
        <w:rPr>
          <w:rFonts w:hint="eastAsia" w:ascii="宋体" w:hAnsi="宋体" w:eastAsia="宋体" w:cs="宋体"/>
        </w:rPr>
      </w:pPr>
    </w:p>
    <w:p w14:paraId="21E75547">
      <w:pPr>
        <w:ind w:left="0" w:leftChars="0" w:firstLine="0" w:firstLineChars="0"/>
        <w:rPr>
          <w:rFonts w:hint="eastAsia" w:ascii="宋体" w:hAnsi="宋体" w:eastAsia="宋体" w:cs="宋体"/>
          <w:b/>
        </w:rPr>
      </w:pPr>
      <w:r>
        <w:rPr>
          <w:rFonts w:hint="eastAsia" w:cs="宋体"/>
          <w:u w:val="single"/>
          <w:lang w:eastAsia="zh-CN"/>
        </w:rPr>
        <w:t>（代理机构）</w:t>
      </w:r>
      <w:r>
        <w:rPr>
          <w:rFonts w:hint="eastAsia" w:ascii="宋体" w:hAnsi="宋体" w:eastAsia="宋体" w:cs="宋体"/>
        </w:rPr>
        <w:t>：</w:t>
      </w:r>
    </w:p>
    <w:p w14:paraId="560A3ABB">
      <w:pPr>
        <w:ind w:firstLine="480"/>
        <w:rPr>
          <w:rFonts w:hint="eastAsia" w:ascii="宋体" w:hAnsi="宋体" w:eastAsia="宋体" w:cs="宋体"/>
        </w:rPr>
      </w:pPr>
    </w:p>
    <w:p w14:paraId="643CE6B3">
      <w:pPr>
        <w:spacing w:line="480" w:lineRule="auto"/>
        <w:rPr>
          <w:rFonts w:hint="eastAsia"/>
        </w:rPr>
      </w:pPr>
      <w:r>
        <w:rPr>
          <w:rFonts w:hint="eastAsia"/>
        </w:rPr>
        <w:t>我公司</w:t>
      </w:r>
      <w:r>
        <w:rPr>
          <w:rFonts w:hint="eastAsia"/>
          <w:u w:val="single"/>
          <w:lang w:val="en-US" w:eastAsia="zh-CN"/>
        </w:rPr>
        <w:t xml:space="preserve">              </w:t>
      </w:r>
      <w:r>
        <w:rPr>
          <w:rFonts w:hint="eastAsia"/>
        </w:rPr>
        <w:t>，于202</w:t>
      </w:r>
      <w:r>
        <w:rPr>
          <w:rFonts w:hint="eastAsia"/>
          <w:lang w:val="en-US" w:eastAsia="zh-CN"/>
        </w:rPr>
        <w:t>5</w:t>
      </w:r>
      <w:r>
        <w:rPr>
          <w:rFonts w:hint="eastAsia"/>
        </w:rPr>
        <w:t>年</w:t>
      </w:r>
      <w:r>
        <w:rPr>
          <w:rFonts w:hint="eastAsia"/>
          <w:u w:val="single"/>
          <w:lang w:val="en-US" w:eastAsia="zh-CN"/>
        </w:rPr>
        <w:t xml:space="preserve">   </w:t>
      </w:r>
      <w:r>
        <w:rPr>
          <w:rFonts w:hint="eastAsia"/>
        </w:rPr>
        <w:t>月</w:t>
      </w:r>
      <w:r>
        <w:rPr>
          <w:rFonts w:hint="eastAsia"/>
          <w:u w:val="single"/>
          <w:lang w:val="en-US" w:eastAsia="zh-CN"/>
        </w:rPr>
        <w:t xml:space="preserve">   </w:t>
      </w:r>
      <w:r>
        <w:rPr>
          <w:rFonts w:hint="eastAsia"/>
        </w:rPr>
        <w:t>日报名参与</w:t>
      </w:r>
      <w:r>
        <w:rPr>
          <w:rFonts w:hint="eastAsia"/>
          <w:u w:val="single"/>
          <w:lang w:val="en-US" w:eastAsia="zh-CN"/>
        </w:rPr>
        <w:t xml:space="preserve">    </w:t>
      </w:r>
      <w:r>
        <w:rPr>
          <w:rFonts w:hint="eastAsia"/>
          <w:u w:val="single"/>
        </w:rPr>
        <w:t>（项目名称）</w:t>
      </w:r>
      <w:r>
        <w:rPr>
          <w:rFonts w:hint="eastAsia"/>
          <w:u w:val="single"/>
          <w:lang w:val="en-US" w:eastAsia="zh-CN"/>
        </w:rPr>
        <w:t xml:space="preserve">     </w:t>
      </w:r>
      <w:r>
        <w:rPr>
          <w:rFonts w:hint="eastAsia"/>
        </w:rPr>
        <w:t>项目，由于</w:t>
      </w:r>
      <w:r>
        <w:rPr>
          <w:rFonts w:hint="eastAsia"/>
          <w:u w:val="single"/>
          <w:lang w:val="en-US" w:eastAsia="zh-CN"/>
        </w:rPr>
        <w:t xml:space="preserve">                </w:t>
      </w:r>
      <w:r>
        <w:rPr>
          <w:rFonts w:hint="eastAsia"/>
        </w:rPr>
        <w:t>原因，经研究决定放弃投标。特此声明。</w:t>
      </w:r>
    </w:p>
    <w:p w14:paraId="5C2A6DE0">
      <w:pPr>
        <w:ind w:firstLine="480"/>
        <w:rPr>
          <w:rFonts w:hint="eastAsia" w:ascii="宋体" w:hAnsi="宋体" w:eastAsia="宋体" w:cs="宋体"/>
        </w:rPr>
      </w:pPr>
    </w:p>
    <w:p w14:paraId="19E61239">
      <w:pPr>
        <w:ind w:firstLine="480"/>
        <w:rPr>
          <w:rFonts w:hint="eastAsia" w:ascii="宋体" w:hAnsi="宋体" w:eastAsia="宋体" w:cs="宋体"/>
        </w:rPr>
      </w:pPr>
    </w:p>
    <w:p w14:paraId="4E110AEE">
      <w:pPr>
        <w:ind w:firstLine="480"/>
        <w:rPr>
          <w:rFonts w:hint="eastAsia" w:ascii="宋体" w:hAnsi="宋体" w:eastAsia="宋体" w:cs="宋体"/>
        </w:rPr>
      </w:pPr>
    </w:p>
    <w:p w14:paraId="06351A2B">
      <w:pPr>
        <w:ind w:firstLine="480"/>
        <w:rPr>
          <w:rFonts w:hint="eastAsia" w:ascii="宋体" w:hAnsi="宋体" w:eastAsia="宋体" w:cs="宋体"/>
        </w:rPr>
      </w:pPr>
    </w:p>
    <w:p w14:paraId="1CB425E2">
      <w:pPr>
        <w:ind w:firstLine="480"/>
        <w:rPr>
          <w:rFonts w:hint="eastAsia" w:ascii="宋体" w:hAnsi="宋体" w:eastAsia="宋体" w:cs="宋体"/>
        </w:rPr>
      </w:pPr>
    </w:p>
    <w:p w14:paraId="77FEA1FA">
      <w:pPr>
        <w:spacing w:line="480" w:lineRule="auto"/>
        <w:ind w:firstLine="480"/>
        <w:rPr>
          <w:rFonts w:hint="eastAsia" w:ascii="宋体" w:hAnsi="宋体" w:eastAsia="宋体" w:cs="宋体"/>
        </w:rPr>
      </w:pPr>
      <w:r>
        <w:rPr>
          <w:rFonts w:hint="eastAsia" w:ascii="宋体" w:hAnsi="宋体" w:eastAsia="宋体" w:cs="宋体"/>
        </w:rPr>
        <w:t>投标人名称（公章）：</w:t>
      </w:r>
    </w:p>
    <w:p w14:paraId="1C75F676">
      <w:pPr>
        <w:spacing w:line="480" w:lineRule="auto"/>
        <w:ind w:firstLine="480"/>
        <w:rPr>
          <w:rFonts w:hint="eastAsia" w:ascii="宋体" w:hAnsi="宋体" w:eastAsia="宋体" w:cs="宋体"/>
        </w:rPr>
      </w:pPr>
      <w:r>
        <w:rPr>
          <w:rFonts w:hint="eastAsia" w:ascii="宋体" w:hAnsi="宋体" w:eastAsia="宋体" w:cs="宋体"/>
        </w:rPr>
        <w:t>日期：  年   月   日</w:t>
      </w:r>
    </w:p>
    <w:p w14:paraId="2AC7F995">
      <w:pPr>
        <w:ind w:firstLine="480"/>
        <w:rPr>
          <w:rFonts w:hint="eastAsia" w:ascii="宋体" w:hAnsi="宋体" w:eastAsia="宋体" w:cs="宋体"/>
        </w:rPr>
      </w:pPr>
    </w:p>
    <w:p w14:paraId="4477475F">
      <w:pPr>
        <w:ind w:firstLine="480"/>
        <w:rPr>
          <w:rFonts w:hint="eastAsia" w:ascii="宋体" w:hAnsi="宋体" w:eastAsia="宋体" w:cs="宋体"/>
        </w:rPr>
      </w:pPr>
    </w:p>
    <w:p w14:paraId="25077E23">
      <w:pPr>
        <w:ind w:firstLine="480"/>
        <w:rPr>
          <w:rFonts w:hint="default" w:ascii="宋体" w:hAnsi="宋体" w:eastAsia="宋体" w:cs="宋体"/>
          <w:u w:val="single"/>
          <w:lang w:val="en-US" w:eastAsia="zh-CN"/>
        </w:rPr>
      </w:pPr>
      <w:r>
        <w:rPr>
          <w:rFonts w:hint="eastAsia" w:ascii="宋体" w:hAnsi="宋体" w:eastAsia="宋体" w:cs="宋体"/>
        </w:rPr>
        <w:t>注：报名单位若不参与该项目的投标，请于开标截止前3个工作日将弃标函盖章发送至我公司邮箱。</w:t>
      </w:r>
      <w:r>
        <w:rPr>
          <w:rFonts w:hint="eastAsia" w:cs="宋体"/>
          <w:lang w:eastAsia="zh-CN"/>
        </w:rPr>
        <w:t>邮箱地址：</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hzzx@zxbidding.cn</w:t>
      </w:r>
      <w:r>
        <w:rPr>
          <w:rFonts w:hint="eastAsia" w:cs="宋体"/>
          <w:u w:val="single"/>
          <w:lang w:val="en-US" w:eastAsia="zh-CN"/>
        </w:rPr>
        <w:t xml:space="preserve">             </w:t>
      </w:r>
    </w:p>
    <w:p w14:paraId="5E9AFD14">
      <w:pPr>
        <w:ind w:firstLine="480"/>
        <w:rPr>
          <w:rStyle w:val="53"/>
          <w:rFonts w:hint="eastAsia" w:ascii="宋体" w:hAnsi="宋体" w:eastAsia="宋体" w:cs="宋体"/>
          <w:color w:val="auto"/>
        </w:rPr>
      </w:pPr>
      <w:r>
        <w:rPr>
          <w:rFonts w:hint="eastAsia" w:ascii="宋体" w:hAnsi="宋体" w:eastAsia="宋体" w:cs="宋体"/>
        </w:rPr>
        <w:fldChar w:fldCharType="begin"/>
      </w:r>
      <w:r>
        <w:rPr>
          <w:rFonts w:hint="eastAsia" w:ascii="宋体" w:hAnsi="宋体" w:eastAsia="宋体" w:cs="宋体"/>
        </w:rPr>
        <w:instrText xml:space="preserve"> HYPERLINK "mailto:2810140286@qq.com。" </w:instrText>
      </w:r>
      <w:r>
        <w:rPr>
          <w:rFonts w:hint="eastAsia" w:ascii="宋体" w:hAnsi="宋体" w:eastAsia="宋体" w:cs="宋体"/>
        </w:rPr>
        <w:fldChar w:fldCharType="separate"/>
      </w:r>
    </w:p>
    <w:p w14:paraId="05380860">
      <w:pPr>
        <w:pStyle w:val="5"/>
        <w:rPr>
          <w:rFonts w:hint="eastAsia" w:ascii="宋体" w:hAnsi="宋体" w:eastAsia="宋体" w:cs="宋体"/>
          <w:szCs w:val="24"/>
        </w:rPr>
        <w:sectPr>
          <w:pgSz w:w="11906" w:h="16838"/>
          <w:pgMar w:top="1440" w:right="1304" w:bottom="1020" w:left="1304" w:header="851" w:footer="992" w:gutter="0"/>
          <w:pgNumType w:fmt="decimal"/>
          <w:cols w:space="720" w:num="1"/>
          <w:docGrid w:type="lines" w:linePitch="312" w:charSpace="0"/>
        </w:sectPr>
      </w:pPr>
    </w:p>
    <w:p w14:paraId="09FB9195">
      <w:pPr>
        <w:ind w:firstLine="0" w:firstLineChars="0"/>
        <w:rPr>
          <w:rFonts w:hint="eastAsia" w:ascii="宋体" w:hAnsi="宋体" w:eastAsia="宋体" w:cs="宋体"/>
          <w:b/>
          <w:bCs/>
        </w:rPr>
      </w:pPr>
      <w:r>
        <w:rPr>
          <w:rFonts w:hint="eastAsia" w:ascii="宋体" w:hAnsi="宋体" w:eastAsia="宋体" w:cs="宋体"/>
        </w:rPr>
        <w:fldChar w:fldCharType="end"/>
      </w:r>
      <w:r>
        <w:rPr>
          <w:rFonts w:hint="eastAsia" w:ascii="宋体" w:hAnsi="宋体" w:eastAsia="宋体" w:cs="宋体"/>
          <w:b/>
          <w:bCs/>
        </w:rPr>
        <w:t>附件十</w:t>
      </w:r>
      <w:r>
        <w:rPr>
          <w:rFonts w:hint="eastAsia" w:cs="宋体"/>
          <w:b/>
          <w:bCs/>
          <w:lang w:eastAsia="zh-CN"/>
        </w:rPr>
        <w:t>六</w:t>
      </w:r>
      <w:r>
        <w:rPr>
          <w:rFonts w:hint="eastAsia" w:ascii="宋体" w:hAnsi="宋体" w:eastAsia="宋体" w:cs="宋体"/>
          <w:b/>
          <w:bCs/>
        </w:rPr>
        <w:t>：质疑函范本及制作说明</w:t>
      </w:r>
    </w:p>
    <w:p w14:paraId="34CCCC6F">
      <w:pPr>
        <w:ind w:firstLine="4103" w:firstLineChars="1400"/>
        <w:jc w:val="both"/>
        <w:rPr>
          <w:rFonts w:hint="eastAsia" w:ascii="宋体" w:hAnsi="宋体" w:eastAsia="宋体" w:cs="宋体"/>
          <w:b/>
          <w:spacing w:val="6"/>
          <w:sz w:val="28"/>
          <w:szCs w:val="28"/>
        </w:rPr>
      </w:pPr>
      <w:r>
        <w:rPr>
          <w:rFonts w:hint="eastAsia" w:ascii="宋体" w:hAnsi="宋体" w:eastAsia="宋体" w:cs="宋体"/>
          <w:b/>
          <w:spacing w:val="6"/>
          <w:sz w:val="28"/>
          <w:szCs w:val="28"/>
        </w:rPr>
        <w:t>质疑函范本</w:t>
      </w:r>
    </w:p>
    <w:p w14:paraId="423EA608">
      <w:pPr>
        <w:snapToGrid w:val="0"/>
        <w:spacing w:before="312" w:beforeLines="100"/>
        <w:ind w:firstLine="480"/>
        <w:rPr>
          <w:rFonts w:hint="eastAsia" w:ascii="宋体" w:hAnsi="宋体" w:eastAsia="宋体" w:cs="宋体"/>
          <w:bCs/>
        </w:rPr>
      </w:pPr>
      <w:r>
        <w:rPr>
          <w:rFonts w:hint="eastAsia" w:ascii="宋体" w:hAnsi="宋体" w:eastAsia="宋体" w:cs="宋体"/>
          <w:bCs/>
        </w:rPr>
        <w:t>一、质疑投标人基本信息</w:t>
      </w:r>
    </w:p>
    <w:p w14:paraId="6D264986">
      <w:pPr>
        <w:snapToGrid w:val="0"/>
        <w:ind w:firstLine="480"/>
        <w:rPr>
          <w:rFonts w:hint="eastAsia" w:ascii="宋体" w:hAnsi="宋体" w:eastAsia="宋体" w:cs="宋体"/>
          <w:u w:val="dotted"/>
        </w:rPr>
      </w:pPr>
      <w:r>
        <w:rPr>
          <w:rFonts w:hint="eastAsia" w:ascii="宋体" w:hAnsi="宋体" w:eastAsia="宋体" w:cs="宋体"/>
        </w:rPr>
        <w:t>质疑投标人：</w:t>
      </w:r>
      <w:r>
        <w:rPr>
          <w:rFonts w:hint="eastAsia" w:ascii="宋体" w:hAnsi="宋体" w:eastAsia="宋体" w:cs="宋体"/>
          <w:u w:val="dotted"/>
        </w:rPr>
        <w:t xml:space="preserve">                                        </w:t>
      </w:r>
    </w:p>
    <w:p w14:paraId="4C5B7B2D">
      <w:pPr>
        <w:snapToGrid w:val="0"/>
        <w:ind w:firstLine="480"/>
        <w:rPr>
          <w:rFonts w:hint="eastAsia" w:ascii="宋体" w:hAnsi="宋体" w:eastAsia="宋体" w:cs="宋体"/>
        </w:rPr>
      </w:pPr>
      <w:r>
        <w:rPr>
          <w:rFonts w:hint="eastAsia" w:ascii="宋体" w:hAnsi="宋体" w:eastAsia="宋体" w:cs="宋体"/>
        </w:rPr>
        <w:t>地址：</w:t>
      </w:r>
      <w:r>
        <w:rPr>
          <w:rFonts w:hint="eastAsia" w:ascii="宋体" w:hAnsi="宋体" w:eastAsia="宋体" w:cs="宋体"/>
          <w:u w:val="dotted"/>
        </w:rPr>
        <w:t xml:space="preserve">                          </w:t>
      </w:r>
      <w:r>
        <w:rPr>
          <w:rFonts w:hint="eastAsia" w:ascii="宋体" w:hAnsi="宋体" w:eastAsia="宋体" w:cs="宋体"/>
        </w:rPr>
        <w:t>邮编：</w:t>
      </w:r>
      <w:r>
        <w:rPr>
          <w:rFonts w:hint="eastAsia" w:ascii="宋体" w:hAnsi="宋体" w:eastAsia="宋体" w:cs="宋体"/>
          <w:u w:val="dotted"/>
        </w:rPr>
        <w:t xml:space="preserve">               </w:t>
      </w:r>
    </w:p>
    <w:p w14:paraId="29050EB3">
      <w:pPr>
        <w:snapToGrid w:val="0"/>
        <w:ind w:firstLine="480"/>
        <w:rPr>
          <w:rFonts w:hint="eastAsia" w:ascii="宋体" w:hAnsi="宋体" w:eastAsia="宋体" w:cs="宋体"/>
        </w:rPr>
      </w:pPr>
      <w:r>
        <w:rPr>
          <w:rFonts w:hint="eastAsia" w:ascii="宋体" w:hAnsi="宋体" w:eastAsia="宋体" w:cs="宋体"/>
        </w:rPr>
        <w:t>联系人：</w:t>
      </w:r>
      <w:r>
        <w:rPr>
          <w:rFonts w:hint="eastAsia" w:ascii="宋体" w:hAnsi="宋体" w:eastAsia="宋体" w:cs="宋体"/>
          <w:u w:val="dotted"/>
        </w:rPr>
        <w:t xml:space="preserve">                      </w:t>
      </w:r>
      <w:r>
        <w:rPr>
          <w:rFonts w:hint="eastAsia" w:ascii="宋体" w:hAnsi="宋体" w:eastAsia="宋体" w:cs="宋体"/>
        </w:rPr>
        <w:t>联系电话：</w:t>
      </w:r>
      <w:r>
        <w:rPr>
          <w:rFonts w:hint="eastAsia" w:ascii="宋体" w:hAnsi="宋体" w:eastAsia="宋体" w:cs="宋体"/>
          <w:u w:val="dotted"/>
        </w:rPr>
        <w:t xml:space="preserve">             </w:t>
      </w:r>
    </w:p>
    <w:p w14:paraId="6A6E7E2B">
      <w:pPr>
        <w:snapToGrid w:val="0"/>
        <w:ind w:firstLine="480"/>
        <w:rPr>
          <w:rFonts w:hint="eastAsia" w:ascii="宋体" w:hAnsi="宋体" w:eastAsia="宋体" w:cs="宋体"/>
          <w:u w:val="dotted"/>
        </w:rPr>
      </w:pPr>
      <w:r>
        <w:rPr>
          <w:rFonts w:hint="eastAsia" w:cs="宋体"/>
          <w:lang w:eastAsia="zh-CN"/>
        </w:rPr>
        <w:t>授权代表</w:t>
      </w:r>
      <w:r>
        <w:rPr>
          <w:rFonts w:hint="eastAsia" w:ascii="宋体" w:hAnsi="宋体" w:eastAsia="宋体" w:cs="宋体"/>
        </w:rPr>
        <w:t>：</w:t>
      </w:r>
      <w:r>
        <w:rPr>
          <w:rFonts w:hint="eastAsia" w:ascii="宋体" w:hAnsi="宋体" w:eastAsia="宋体" w:cs="宋体"/>
          <w:u w:val="dotted"/>
        </w:rPr>
        <w:t xml:space="preserve">                                          </w:t>
      </w:r>
    </w:p>
    <w:p w14:paraId="6AC7D7ED">
      <w:pPr>
        <w:snapToGrid w:val="0"/>
        <w:ind w:firstLine="480"/>
        <w:rPr>
          <w:rFonts w:hint="eastAsia" w:ascii="宋体" w:hAnsi="宋体" w:eastAsia="宋体" w:cs="宋体"/>
        </w:rPr>
      </w:pPr>
      <w:r>
        <w:rPr>
          <w:rFonts w:hint="eastAsia" w:ascii="宋体" w:hAnsi="宋体" w:eastAsia="宋体" w:cs="宋体"/>
        </w:rPr>
        <w:t>联系电话：</w:t>
      </w:r>
      <w:r>
        <w:rPr>
          <w:rFonts w:hint="eastAsia" w:ascii="宋体" w:hAnsi="宋体" w:eastAsia="宋体" w:cs="宋体"/>
          <w:u w:val="dotted"/>
        </w:rPr>
        <w:t xml:space="preserve">                                           </w:t>
      </w:r>
      <w:r>
        <w:rPr>
          <w:rFonts w:hint="eastAsia" w:ascii="宋体" w:hAnsi="宋体" w:eastAsia="宋体" w:cs="宋体"/>
        </w:rPr>
        <w:t xml:space="preserve"> </w:t>
      </w:r>
    </w:p>
    <w:p w14:paraId="52D3CB65">
      <w:pPr>
        <w:snapToGrid w:val="0"/>
        <w:ind w:firstLine="480"/>
        <w:rPr>
          <w:rFonts w:hint="eastAsia" w:ascii="宋体" w:hAnsi="宋体" w:eastAsia="宋体" w:cs="宋体"/>
        </w:rPr>
      </w:pPr>
      <w:r>
        <w:rPr>
          <w:rFonts w:hint="eastAsia" w:ascii="宋体" w:hAnsi="宋体" w:eastAsia="宋体" w:cs="宋体"/>
        </w:rPr>
        <w:t xml:space="preserve">地址： </w:t>
      </w:r>
      <w:r>
        <w:rPr>
          <w:rFonts w:hint="eastAsia" w:ascii="宋体" w:hAnsi="宋体" w:eastAsia="宋体" w:cs="宋体"/>
          <w:u w:val="dotted"/>
        </w:rPr>
        <w:t xml:space="preserve">                        </w:t>
      </w:r>
      <w:r>
        <w:rPr>
          <w:rFonts w:hint="eastAsia" w:ascii="宋体" w:hAnsi="宋体" w:eastAsia="宋体" w:cs="宋体"/>
        </w:rPr>
        <w:t>邮编：</w:t>
      </w:r>
      <w:r>
        <w:rPr>
          <w:rFonts w:hint="eastAsia" w:ascii="宋体" w:hAnsi="宋体" w:eastAsia="宋体" w:cs="宋体"/>
          <w:u w:val="dotted"/>
        </w:rPr>
        <w:t xml:space="preserve">                </w:t>
      </w:r>
    </w:p>
    <w:p w14:paraId="2C2EA766">
      <w:pPr>
        <w:snapToGrid w:val="0"/>
        <w:ind w:firstLine="480"/>
        <w:rPr>
          <w:rFonts w:hint="eastAsia" w:ascii="宋体" w:hAnsi="宋体" w:eastAsia="宋体" w:cs="宋体"/>
          <w:bCs/>
        </w:rPr>
      </w:pPr>
      <w:r>
        <w:rPr>
          <w:rFonts w:hint="eastAsia" w:ascii="宋体" w:hAnsi="宋体" w:eastAsia="宋体" w:cs="宋体"/>
          <w:bCs/>
        </w:rPr>
        <w:t>二、质疑项目基本情况</w:t>
      </w:r>
    </w:p>
    <w:p w14:paraId="6DC38EA8">
      <w:pPr>
        <w:snapToGrid w:val="0"/>
        <w:ind w:firstLine="480"/>
        <w:rPr>
          <w:rFonts w:hint="eastAsia" w:ascii="宋体" w:hAnsi="宋体" w:eastAsia="宋体" w:cs="宋体"/>
        </w:rPr>
      </w:pPr>
      <w:r>
        <w:rPr>
          <w:rFonts w:hint="eastAsia" w:ascii="宋体" w:hAnsi="宋体" w:eastAsia="宋体" w:cs="宋体"/>
        </w:rPr>
        <w:t>质疑项目的名称：</w:t>
      </w:r>
      <w:r>
        <w:rPr>
          <w:rFonts w:hint="eastAsia" w:ascii="宋体" w:hAnsi="宋体" w:eastAsia="宋体" w:cs="宋体"/>
          <w:u w:val="dotted"/>
        </w:rPr>
        <w:t xml:space="preserve">                                      </w:t>
      </w:r>
    </w:p>
    <w:p w14:paraId="4BFA372A">
      <w:pPr>
        <w:snapToGrid w:val="0"/>
        <w:ind w:firstLine="480"/>
        <w:rPr>
          <w:rFonts w:hint="eastAsia" w:ascii="宋体" w:hAnsi="宋体" w:eastAsia="宋体" w:cs="宋体"/>
        </w:rPr>
      </w:pPr>
      <w:r>
        <w:rPr>
          <w:rFonts w:hint="eastAsia" w:ascii="宋体" w:hAnsi="宋体" w:eastAsia="宋体" w:cs="宋体"/>
        </w:rPr>
        <w:t>质疑项目的编号：</w:t>
      </w:r>
      <w:r>
        <w:rPr>
          <w:rFonts w:hint="eastAsia" w:ascii="宋体" w:hAnsi="宋体" w:eastAsia="宋体" w:cs="宋体"/>
          <w:u w:val="dotted"/>
        </w:rPr>
        <w:t xml:space="preserve">               </w:t>
      </w:r>
      <w:r>
        <w:rPr>
          <w:rFonts w:hint="eastAsia" w:ascii="宋体" w:hAnsi="宋体" w:eastAsia="宋体" w:cs="宋体"/>
        </w:rPr>
        <w:t>包号：</w:t>
      </w:r>
      <w:r>
        <w:rPr>
          <w:rFonts w:hint="eastAsia" w:ascii="宋体" w:hAnsi="宋体" w:eastAsia="宋体" w:cs="宋体"/>
          <w:u w:val="dotted"/>
        </w:rPr>
        <w:t xml:space="preserve">                 </w:t>
      </w:r>
    </w:p>
    <w:p w14:paraId="45B7D5F3">
      <w:pPr>
        <w:snapToGrid w:val="0"/>
        <w:ind w:firstLine="480"/>
        <w:rPr>
          <w:rFonts w:hint="eastAsia" w:ascii="宋体" w:hAnsi="宋体" w:eastAsia="宋体" w:cs="宋体"/>
          <w:u w:val="dotted"/>
        </w:rPr>
      </w:pPr>
      <w:r>
        <w:rPr>
          <w:rFonts w:hint="eastAsia" w:ascii="宋体" w:hAnsi="宋体" w:eastAsia="宋体" w:cs="宋体"/>
        </w:rPr>
        <w:t>招标人名称：</w:t>
      </w:r>
      <w:r>
        <w:rPr>
          <w:rFonts w:hint="eastAsia" w:ascii="宋体" w:hAnsi="宋体" w:eastAsia="宋体" w:cs="宋体"/>
          <w:u w:val="dotted"/>
        </w:rPr>
        <w:t xml:space="preserve">                                         </w:t>
      </w:r>
    </w:p>
    <w:p w14:paraId="66AD16EE">
      <w:pPr>
        <w:snapToGrid w:val="0"/>
        <w:ind w:firstLine="480"/>
        <w:rPr>
          <w:rFonts w:hint="eastAsia" w:ascii="宋体" w:hAnsi="宋体" w:eastAsia="宋体" w:cs="宋体"/>
        </w:rPr>
      </w:pPr>
      <w:r>
        <w:rPr>
          <w:rFonts w:hint="eastAsia" w:ascii="宋体" w:hAnsi="宋体" w:eastAsia="宋体" w:cs="宋体"/>
          <w:lang w:val="en-US" w:eastAsia="zh-CN"/>
        </w:rPr>
        <w:t>招标</w:t>
      </w:r>
      <w:r>
        <w:rPr>
          <w:rFonts w:hint="eastAsia" w:ascii="宋体" w:hAnsi="宋体" w:eastAsia="宋体" w:cs="宋体"/>
        </w:rPr>
        <w:t>文件获取日期：</w:t>
      </w:r>
      <w:r>
        <w:rPr>
          <w:rFonts w:hint="eastAsia" w:ascii="宋体" w:hAnsi="宋体" w:eastAsia="宋体" w:cs="宋体"/>
          <w:u w:val="dotted"/>
        </w:rPr>
        <w:t xml:space="preserve">                                    </w:t>
      </w:r>
    </w:p>
    <w:p w14:paraId="23016C88">
      <w:pPr>
        <w:snapToGrid w:val="0"/>
        <w:ind w:firstLine="480"/>
        <w:rPr>
          <w:rFonts w:hint="eastAsia" w:ascii="宋体" w:hAnsi="宋体" w:eastAsia="宋体" w:cs="宋体"/>
          <w:bCs/>
        </w:rPr>
      </w:pPr>
      <w:r>
        <w:rPr>
          <w:rFonts w:hint="eastAsia" w:ascii="宋体" w:hAnsi="宋体" w:eastAsia="宋体" w:cs="宋体"/>
          <w:bCs/>
        </w:rPr>
        <w:t>三、质疑事项具体内容</w:t>
      </w:r>
    </w:p>
    <w:p w14:paraId="584303BD">
      <w:pPr>
        <w:snapToGrid w:val="0"/>
        <w:ind w:firstLine="480"/>
        <w:rPr>
          <w:rFonts w:hint="eastAsia" w:ascii="宋体" w:hAnsi="宋体" w:eastAsia="宋体" w:cs="宋体"/>
          <w:u w:val="dotted"/>
        </w:rPr>
      </w:pPr>
      <w:r>
        <w:rPr>
          <w:rFonts w:hint="eastAsia" w:ascii="宋体" w:hAnsi="宋体" w:eastAsia="宋体" w:cs="宋体"/>
        </w:rPr>
        <w:t>质疑事项1：</w:t>
      </w:r>
      <w:r>
        <w:rPr>
          <w:rFonts w:hint="eastAsia" w:ascii="宋体" w:hAnsi="宋体" w:eastAsia="宋体" w:cs="宋体"/>
          <w:u w:val="dotted"/>
        </w:rPr>
        <w:t xml:space="preserve">                                         </w:t>
      </w:r>
    </w:p>
    <w:p w14:paraId="7B6285E6">
      <w:pPr>
        <w:snapToGrid w:val="0"/>
        <w:ind w:firstLine="480"/>
        <w:rPr>
          <w:rFonts w:hint="eastAsia" w:ascii="宋体" w:hAnsi="宋体" w:eastAsia="宋体" w:cs="宋体"/>
          <w:u w:val="dotted"/>
        </w:rPr>
      </w:pPr>
      <w:r>
        <w:rPr>
          <w:rFonts w:hint="eastAsia" w:ascii="宋体" w:hAnsi="宋体" w:eastAsia="宋体" w:cs="宋体"/>
        </w:rPr>
        <w:t>事实依据：</w:t>
      </w:r>
      <w:r>
        <w:rPr>
          <w:rFonts w:hint="eastAsia" w:ascii="宋体" w:hAnsi="宋体" w:eastAsia="宋体" w:cs="宋体"/>
          <w:u w:val="dotted"/>
        </w:rPr>
        <w:t xml:space="preserve">                                          </w:t>
      </w:r>
    </w:p>
    <w:p w14:paraId="237877CF">
      <w:pPr>
        <w:snapToGrid w:val="0"/>
        <w:ind w:firstLine="480"/>
        <w:rPr>
          <w:rFonts w:hint="eastAsia" w:ascii="宋体" w:hAnsi="宋体" w:eastAsia="宋体" w:cs="宋体"/>
        </w:rPr>
      </w:pPr>
      <w:r>
        <w:rPr>
          <w:rFonts w:hint="eastAsia" w:ascii="宋体" w:hAnsi="宋体" w:eastAsia="宋体" w:cs="宋体"/>
          <w:u w:val="dotted"/>
        </w:rPr>
        <w:t xml:space="preserve">                                                       </w:t>
      </w:r>
    </w:p>
    <w:p w14:paraId="62B9CCE2">
      <w:pPr>
        <w:snapToGrid w:val="0"/>
        <w:ind w:firstLine="480"/>
        <w:rPr>
          <w:rFonts w:hint="eastAsia" w:ascii="宋体" w:hAnsi="宋体" w:eastAsia="宋体" w:cs="宋体"/>
          <w:u w:val="dotted"/>
        </w:rPr>
      </w:pPr>
      <w:r>
        <w:rPr>
          <w:rFonts w:hint="eastAsia" w:ascii="宋体" w:hAnsi="宋体" w:eastAsia="宋体" w:cs="宋体"/>
        </w:rPr>
        <w:t>法律依据：</w:t>
      </w:r>
      <w:r>
        <w:rPr>
          <w:rFonts w:hint="eastAsia" w:ascii="宋体" w:hAnsi="宋体" w:eastAsia="宋体" w:cs="宋体"/>
          <w:u w:val="dotted"/>
        </w:rPr>
        <w:t xml:space="preserve">                                          </w:t>
      </w:r>
    </w:p>
    <w:p w14:paraId="224E614A">
      <w:pPr>
        <w:snapToGrid w:val="0"/>
        <w:ind w:firstLine="480"/>
        <w:rPr>
          <w:rFonts w:hint="eastAsia" w:ascii="宋体" w:hAnsi="宋体" w:eastAsia="宋体" w:cs="宋体"/>
          <w:u w:val="dotted"/>
        </w:rPr>
      </w:pPr>
      <w:r>
        <w:rPr>
          <w:rFonts w:hint="eastAsia" w:ascii="宋体" w:hAnsi="宋体" w:eastAsia="宋体" w:cs="宋体"/>
          <w:u w:val="dotted"/>
        </w:rPr>
        <w:t xml:space="preserve">                                                     </w:t>
      </w:r>
    </w:p>
    <w:p w14:paraId="61D04377">
      <w:pPr>
        <w:snapToGrid w:val="0"/>
        <w:ind w:firstLine="480"/>
        <w:rPr>
          <w:rFonts w:hint="eastAsia" w:ascii="宋体" w:hAnsi="宋体" w:eastAsia="宋体" w:cs="宋体"/>
          <w:u w:val="dotted"/>
        </w:rPr>
      </w:pPr>
      <w:r>
        <w:rPr>
          <w:rFonts w:hint="eastAsia" w:ascii="宋体" w:hAnsi="宋体" w:eastAsia="宋体" w:cs="宋体"/>
        </w:rPr>
        <w:t>质疑事项2</w:t>
      </w:r>
    </w:p>
    <w:p w14:paraId="1C3157FE">
      <w:pPr>
        <w:snapToGrid w:val="0"/>
        <w:ind w:firstLine="480"/>
        <w:rPr>
          <w:rFonts w:hint="eastAsia" w:ascii="宋体" w:hAnsi="宋体" w:eastAsia="宋体" w:cs="宋体"/>
        </w:rPr>
      </w:pPr>
      <w:r>
        <w:rPr>
          <w:rFonts w:hint="eastAsia" w:ascii="宋体" w:hAnsi="宋体" w:eastAsia="宋体" w:cs="宋体"/>
        </w:rPr>
        <w:t>……</w:t>
      </w:r>
    </w:p>
    <w:p w14:paraId="7298D2FF">
      <w:pPr>
        <w:snapToGrid w:val="0"/>
        <w:ind w:firstLine="480"/>
        <w:rPr>
          <w:rFonts w:hint="eastAsia" w:ascii="宋体" w:hAnsi="宋体" w:eastAsia="宋体" w:cs="宋体"/>
          <w:bCs/>
        </w:rPr>
      </w:pPr>
      <w:r>
        <w:rPr>
          <w:rFonts w:hint="eastAsia" w:ascii="宋体" w:hAnsi="宋体" w:eastAsia="宋体" w:cs="宋体"/>
          <w:bCs/>
        </w:rPr>
        <w:t>四、与质疑事项相关的质疑请求</w:t>
      </w:r>
    </w:p>
    <w:p w14:paraId="58A1D88A">
      <w:pPr>
        <w:snapToGrid w:val="0"/>
        <w:ind w:firstLine="480"/>
        <w:rPr>
          <w:rFonts w:hint="eastAsia" w:ascii="宋体" w:hAnsi="宋体" w:eastAsia="宋体" w:cs="宋体"/>
          <w:u w:val="dotted"/>
        </w:rPr>
      </w:pPr>
      <w:r>
        <w:rPr>
          <w:rFonts w:hint="eastAsia" w:ascii="宋体" w:hAnsi="宋体" w:eastAsia="宋体" w:cs="宋体"/>
        </w:rPr>
        <w:t>请求：</w:t>
      </w:r>
      <w:r>
        <w:rPr>
          <w:rFonts w:hint="eastAsia" w:ascii="宋体" w:hAnsi="宋体" w:eastAsia="宋体" w:cs="宋体"/>
          <w:u w:val="dotted"/>
        </w:rPr>
        <w:t xml:space="preserve">                                               </w:t>
      </w:r>
    </w:p>
    <w:p w14:paraId="697AD9A1">
      <w:pPr>
        <w:pStyle w:val="3"/>
        <w:rPr>
          <w:rFonts w:hint="eastAsia"/>
        </w:rPr>
      </w:pPr>
    </w:p>
    <w:p w14:paraId="46CDA12A">
      <w:pPr>
        <w:ind w:firstLine="480"/>
        <w:rPr>
          <w:rFonts w:hint="eastAsia" w:ascii="宋体" w:hAnsi="宋体" w:eastAsia="宋体" w:cs="宋体"/>
        </w:rPr>
      </w:pPr>
      <w:r>
        <w:rPr>
          <w:rFonts w:hint="eastAsia" w:ascii="宋体" w:hAnsi="宋体" w:eastAsia="宋体" w:cs="宋体"/>
        </w:rPr>
        <w:t xml:space="preserve">签字(签章)：                公章：                      </w:t>
      </w:r>
    </w:p>
    <w:p w14:paraId="13D3967F">
      <w:pPr>
        <w:ind w:firstLine="480"/>
        <w:rPr>
          <w:rFonts w:hint="eastAsia" w:ascii="宋体" w:hAnsi="宋体" w:eastAsia="宋体" w:cs="宋体"/>
        </w:rPr>
      </w:pPr>
      <w:r>
        <w:rPr>
          <w:rFonts w:hint="eastAsia" w:ascii="宋体" w:hAnsi="宋体" w:eastAsia="宋体" w:cs="宋体"/>
        </w:rPr>
        <w:t xml:space="preserve">日期：    </w:t>
      </w:r>
    </w:p>
    <w:p w14:paraId="12279233">
      <w:pPr>
        <w:ind w:firstLine="482"/>
        <w:jc w:val="center"/>
        <w:rPr>
          <w:rFonts w:hint="eastAsia" w:ascii="宋体" w:hAnsi="宋体" w:eastAsia="宋体" w:cs="宋体"/>
          <w:b/>
          <w:bCs/>
        </w:rPr>
      </w:pPr>
    </w:p>
    <w:p w14:paraId="683808BA">
      <w:pPr>
        <w:ind w:firstLine="482"/>
        <w:rPr>
          <w:rFonts w:hint="eastAsia" w:ascii="宋体" w:hAnsi="宋体" w:eastAsia="宋体" w:cs="宋体"/>
          <w:b/>
        </w:rPr>
      </w:pPr>
    </w:p>
    <w:p w14:paraId="217478D6">
      <w:pPr>
        <w:ind w:firstLine="482"/>
        <w:rPr>
          <w:rFonts w:hint="eastAsia" w:ascii="宋体" w:hAnsi="宋体" w:eastAsia="宋体" w:cs="宋体"/>
          <w:b/>
        </w:rPr>
      </w:pPr>
      <w:r>
        <w:rPr>
          <w:rFonts w:hint="eastAsia" w:ascii="宋体" w:hAnsi="宋体" w:eastAsia="宋体" w:cs="宋体"/>
          <w:b/>
        </w:rPr>
        <w:t>质疑函制作说明：</w:t>
      </w:r>
    </w:p>
    <w:p w14:paraId="7A9B6D5E">
      <w:pPr>
        <w:widowControl/>
        <w:ind w:firstLine="480"/>
        <w:jc w:val="left"/>
        <w:rPr>
          <w:rFonts w:hint="eastAsia" w:ascii="宋体" w:hAnsi="宋体" w:eastAsia="宋体" w:cs="宋体"/>
        </w:rPr>
      </w:pPr>
      <w:r>
        <w:rPr>
          <w:rFonts w:hint="eastAsia" w:ascii="宋体" w:hAnsi="宋体" w:eastAsia="宋体" w:cs="宋体"/>
        </w:rPr>
        <w:t>1.投标人提出质疑时，应提交质疑函和必要的证明材料。</w:t>
      </w:r>
    </w:p>
    <w:p w14:paraId="1F4DFDFA">
      <w:pPr>
        <w:widowControl/>
        <w:ind w:firstLine="480"/>
        <w:jc w:val="left"/>
        <w:rPr>
          <w:rFonts w:hint="eastAsia" w:ascii="宋体" w:hAnsi="宋体" w:eastAsia="宋体" w:cs="宋体"/>
        </w:rPr>
      </w:pPr>
      <w:r>
        <w:rPr>
          <w:rFonts w:hint="eastAsia" w:ascii="宋体" w:hAnsi="宋体" w:eastAsia="宋体" w:cs="宋体"/>
        </w:rPr>
        <w:t>2.质疑投标人若委托代理人进行质疑的，质疑函应按要求列明“</w:t>
      </w:r>
      <w:r>
        <w:rPr>
          <w:rFonts w:hint="eastAsia" w:cs="宋体"/>
          <w:lang w:eastAsia="zh-CN"/>
        </w:rPr>
        <w:t>授权代表</w:t>
      </w:r>
      <w:r>
        <w:rPr>
          <w:rFonts w:hint="eastAsia" w:ascii="宋体" w:hAnsi="宋体" w:eastAsia="宋体" w:cs="宋体"/>
        </w:rPr>
        <w:t>”的有关内容，并在附件中提交由质疑</w:t>
      </w:r>
      <w:r>
        <w:rPr>
          <w:rFonts w:hint="eastAsia" w:ascii="宋体" w:hAnsi="宋体" w:eastAsia="宋体" w:cs="宋体"/>
          <w:kern w:val="0"/>
        </w:rPr>
        <w:t>投标人签署的授权委托书。授权委托书应载明代理人的姓名或者名称、代理事项、具体权限、期限和相关事项。</w:t>
      </w:r>
    </w:p>
    <w:p w14:paraId="40ED48E8">
      <w:pPr>
        <w:widowControl/>
        <w:ind w:firstLine="480"/>
        <w:jc w:val="left"/>
        <w:rPr>
          <w:rFonts w:hint="eastAsia" w:ascii="宋体" w:hAnsi="宋体" w:eastAsia="宋体" w:cs="宋体"/>
        </w:rPr>
      </w:pPr>
      <w:r>
        <w:rPr>
          <w:rFonts w:hint="eastAsia" w:ascii="宋体" w:hAnsi="宋体" w:eastAsia="宋体" w:cs="宋体"/>
        </w:rPr>
        <w:t>3.质疑函的质疑事项应具体、明确，并有必要的事实依据和法律依据。</w:t>
      </w:r>
    </w:p>
    <w:p w14:paraId="46EDB228">
      <w:pPr>
        <w:widowControl/>
        <w:ind w:firstLine="480"/>
        <w:jc w:val="left"/>
        <w:rPr>
          <w:rFonts w:hint="eastAsia" w:ascii="宋体" w:hAnsi="宋体" w:eastAsia="宋体" w:cs="宋体"/>
        </w:rPr>
      </w:pPr>
      <w:r>
        <w:rPr>
          <w:rFonts w:hint="eastAsia" w:ascii="宋体" w:hAnsi="宋体" w:eastAsia="宋体" w:cs="宋体"/>
        </w:rPr>
        <w:t>4.质疑函的质疑请求应与质疑事项相关。</w:t>
      </w:r>
    </w:p>
    <w:p w14:paraId="26DD1D6E">
      <w:pPr>
        <w:widowControl/>
        <w:ind w:firstLine="480"/>
        <w:jc w:val="left"/>
        <w:rPr>
          <w:rFonts w:hint="eastAsia" w:ascii="宋体" w:hAnsi="宋体" w:eastAsia="宋体" w:cs="宋体"/>
        </w:rPr>
      </w:pPr>
      <w:r>
        <w:rPr>
          <w:rFonts w:hint="eastAsia" w:ascii="宋体" w:hAnsi="宋体" w:eastAsia="宋体" w:cs="宋体"/>
        </w:rPr>
        <w:t>5.质疑投标人为自然人的，质疑函应由本人签字；质疑投标人为法人或者其他组织的，质疑函应由法定代表人、主要负责人，或者其</w:t>
      </w:r>
      <w:r>
        <w:rPr>
          <w:rFonts w:hint="eastAsia" w:cs="宋体"/>
          <w:lang w:eastAsia="zh-CN"/>
        </w:rPr>
        <w:t>授权代表</w:t>
      </w:r>
      <w:r>
        <w:rPr>
          <w:rFonts w:hint="eastAsia" w:ascii="宋体" w:hAnsi="宋体" w:eastAsia="宋体" w:cs="宋体"/>
        </w:rPr>
        <w:t>签字或者盖章，并加盖公章。</w:t>
      </w:r>
    </w:p>
    <w:p w14:paraId="1DAF9202">
      <w:pPr>
        <w:widowControl/>
        <w:ind w:firstLine="600"/>
        <w:jc w:val="left"/>
        <w:rPr>
          <w:rFonts w:hint="eastAsia" w:ascii="宋体" w:hAnsi="宋体" w:eastAsia="宋体" w:cs="宋体"/>
          <w:sz w:val="30"/>
          <w:szCs w:val="30"/>
        </w:rPr>
      </w:pPr>
    </w:p>
    <w:p w14:paraId="204407D5">
      <w:pPr>
        <w:ind w:firstLine="667"/>
        <w:jc w:val="center"/>
        <w:rPr>
          <w:rFonts w:hint="eastAsia" w:ascii="宋体" w:hAnsi="宋体" w:eastAsia="宋体" w:cs="宋体"/>
          <w:b/>
          <w:spacing w:val="6"/>
          <w:sz w:val="32"/>
          <w:szCs w:val="32"/>
        </w:rPr>
      </w:pPr>
    </w:p>
    <w:p w14:paraId="1A4380D2">
      <w:pPr>
        <w:ind w:firstLine="667"/>
        <w:jc w:val="center"/>
        <w:rPr>
          <w:rFonts w:hint="eastAsia" w:ascii="宋体" w:hAnsi="宋体" w:eastAsia="宋体" w:cs="宋体"/>
          <w:b/>
          <w:spacing w:val="6"/>
          <w:sz w:val="32"/>
          <w:szCs w:val="32"/>
        </w:rPr>
      </w:pPr>
    </w:p>
    <w:p w14:paraId="0B70BB64">
      <w:pPr>
        <w:ind w:firstLine="667"/>
        <w:jc w:val="center"/>
        <w:rPr>
          <w:rFonts w:hint="eastAsia" w:ascii="宋体" w:hAnsi="宋体" w:eastAsia="宋体" w:cs="宋体"/>
          <w:b/>
          <w:spacing w:val="6"/>
          <w:sz w:val="32"/>
          <w:szCs w:val="32"/>
        </w:rPr>
      </w:pPr>
    </w:p>
    <w:p w14:paraId="5F908EB3">
      <w:pPr>
        <w:ind w:firstLine="667"/>
        <w:jc w:val="center"/>
        <w:rPr>
          <w:rFonts w:hint="eastAsia" w:ascii="宋体" w:hAnsi="宋体" w:eastAsia="宋体" w:cs="宋体"/>
          <w:b/>
          <w:spacing w:val="6"/>
          <w:sz w:val="32"/>
          <w:szCs w:val="32"/>
        </w:rPr>
      </w:pPr>
    </w:p>
    <w:p w14:paraId="6FCD5802">
      <w:pPr>
        <w:ind w:firstLine="667"/>
        <w:jc w:val="center"/>
        <w:rPr>
          <w:rFonts w:hint="eastAsia" w:ascii="宋体" w:hAnsi="宋体" w:eastAsia="宋体" w:cs="宋体"/>
          <w:b/>
          <w:spacing w:val="6"/>
          <w:sz w:val="32"/>
          <w:szCs w:val="32"/>
        </w:rPr>
      </w:pPr>
    </w:p>
    <w:p w14:paraId="5BA5D7F3">
      <w:pPr>
        <w:ind w:firstLine="667"/>
        <w:jc w:val="center"/>
        <w:rPr>
          <w:rFonts w:hint="eastAsia" w:ascii="宋体" w:hAnsi="宋体" w:eastAsia="宋体" w:cs="宋体"/>
          <w:b/>
          <w:spacing w:val="6"/>
          <w:sz w:val="32"/>
          <w:szCs w:val="32"/>
        </w:rPr>
      </w:pPr>
    </w:p>
    <w:p w14:paraId="7CDE8521">
      <w:pPr>
        <w:ind w:firstLine="667"/>
        <w:jc w:val="center"/>
        <w:rPr>
          <w:rFonts w:hint="eastAsia" w:ascii="宋体" w:hAnsi="宋体" w:eastAsia="宋体" w:cs="宋体"/>
          <w:b/>
          <w:spacing w:val="6"/>
          <w:sz w:val="32"/>
          <w:szCs w:val="32"/>
        </w:rPr>
      </w:pPr>
    </w:p>
    <w:p w14:paraId="4EFD8389">
      <w:pPr>
        <w:ind w:firstLine="667"/>
        <w:jc w:val="center"/>
        <w:rPr>
          <w:rFonts w:hint="eastAsia" w:ascii="宋体" w:hAnsi="宋体" w:eastAsia="宋体" w:cs="宋体"/>
          <w:b/>
          <w:spacing w:val="6"/>
          <w:sz w:val="32"/>
          <w:szCs w:val="32"/>
        </w:rPr>
      </w:pPr>
    </w:p>
    <w:p w14:paraId="02AA34A3">
      <w:pPr>
        <w:ind w:firstLine="667"/>
        <w:jc w:val="center"/>
        <w:rPr>
          <w:rFonts w:hint="eastAsia" w:ascii="宋体" w:hAnsi="宋体" w:eastAsia="宋体" w:cs="宋体"/>
          <w:b/>
          <w:spacing w:val="6"/>
          <w:sz w:val="32"/>
          <w:szCs w:val="32"/>
        </w:rPr>
      </w:pPr>
    </w:p>
    <w:p w14:paraId="65F07579">
      <w:pPr>
        <w:ind w:firstLine="667"/>
        <w:jc w:val="center"/>
        <w:rPr>
          <w:rFonts w:hint="eastAsia" w:ascii="宋体" w:hAnsi="宋体" w:eastAsia="宋体" w:cs="宋体"/>
          <w:b/>
          <w:spacing w:val="6"/>
          <w:sz w:val="32"/>
          <w:szCs w:val="32"/>
        </w:rPr>
      </w:pPr>
    </w:p>
    <w:p w14:paraId="6176B68F">
      <w:pPr>
        <w:ind w:firstLine="0" w:firstLineChars="0"/>
        <w:jc w:val="left"/>
        <w:rPr>
          <w:rFonts w:hint="eastAsia" w:ascii="宋体" w:hAnsi="宋体" w:eastAsia="宋体" w:cs="宋体"/>
          <w:b/>
          <w:spacing w:val="6"/>
          <w:sz w:val="32"/>
          <w:szCs w:val="32"/>
        </w:rPr>
      </w:pPr>
    </w:p>
    <w:p w14:paraId="64EB9784">
      <w:pPr>
        <w:pStyle w:val="15"/>
        <w:rPr>
          <w:rFonts w:hint="eastAsia" w:ascii="宋体" w:hAnsi="宋体" w:eastAsia="宋体" w:cs="宋体"/>
          <w:b/>
          <w:spacing w:val="6"/>
          <w:sz w:val="32"/>
          <w:szCs w:val="32"/>
        </w:rPr>
      </w:pPr>
    </w:p>
    <w:p w14:paraId="560D19D9">
      <w:pPr>
        <w:ind w:firstLine="667"/>
        <w:rPr>
          <w:rFonts w:hint="eastAsia" w:ascii="宋体" w:hAnsi="宋体" w:eastAsia="宋体" w:cs="宋体"/>
          <w:b/>
          <w:spacing w:val="6"/>
          <w:sz w:val="32"/>
          <w:szCs w:val="32"/>
        </w:rPr>
      </w:pPr>
    </w:p>
    <w:p w14:paraId="401571D5">
      <w:pPr>
        <w:pStyle w:val="3"/>
        <w:rPr>
          <w:rFonts w:hint="eastAsia"/>
        </w:rPr>
      </w:pPr>
    </w:p>
    <w:p w14:paraId="37D7367D">
      <w:pPr>
        <w:pStyle w:val="15"/>
        <w:rPr>
          <w:rFonts w:hint="eastAsia" w:ascii="宋体" w:hAnsi="宋体" w:eastAsia="宋体" w:cs="宋体"/>
        </w:rPr>
      </w:pPr>
    </w:p>
    <w:p w14:paraId="297B96CD">
      <w:pPr>
        <w:ind w:left="0" w:leftChars="0" w:firstLine="0" w:firstLineChars="0"/>
        <w:jc w:val="left"/>
        <w:rPr>
          <w:rFonts w:hint="eastAsia" w:ascii="宋体" w:hAnsi="宋体" w:eastAsia="宋体" w:cs="宋体"/>
          <w:b/>
          <w:bCs/>
        </w:rPr>
      </w:pPr>
      <w:r>
        <w:rPr>
          <w:rFonts w:hint="eastAsia" w:ascii="宋体" w:hAnsi="宋体" w:eastAsia="宋体" w:cs="宋体"/>
          <w:b/>
          <w:bCs/>
        </w:rPr>
        <w:t>附件十</w:t>
      </w:r>
      <w:r>
        <w:rPr>
          <w:rFonts w:hint="eastAsia" w:cs="宋体"/>
          <w:b/>
          <w:bCs/>
          <w:lang w:eastAsia="zh-CN"/>
        </w:rPr>
        <w:t>七</w:t>
      </w:r>
      <w:r>
        <w:rPr>
          <w:rFonts w:hint="eastAsia" w:ascii="宋体" w:hAnsi="宋体" w:eastAsia="宋体" w:cs="宋体"/>
          <w:b/>
          <w:bCs/>
        </w:rPr>
        <w:t>：投诉书范本及制作说明</w:t>
      </w:r>
    </w:p>
    <w:p w14:paraId="07EAE281">
      <w:pPr>
        <w:ind w:firstLine="4103" w:firstLineChars="1400"/>
        <w:jc w:val="both"/>
        <w:rPr>
          <w:rFonts w:hint="eastAsia" w:ascii="宋体" w:hAnsi="宋体" w:eastAsia="宋体" w:cs="宋体"/>
          <w:b/>
          <w:spacing w:val="6"/>
          <w:sz w:val="28"/>
          <w:szCs w:val="28"/>
        </w:rPr>
      </w:pPr>
      <w:r>
        <w:rPr>
          <w:rFonts w:hint="eastAsia" w:ascii="宋体" w:hAnsi="宋体" w:eastAsia="宋体" w:cs="宋体"/>
          <w:b/>
          <w:spacing w:val="6"/>
          <w:sz w:val="28"/>
          <w:szCs w:val="28"/>
        </w:rPr>
        <w:t>投诉书范本</w:t>
      </w:r>
    </w:p>
    <w:p w14:paraId="1FDDCB9A">
      <w:pPr>
        <w:ind w:firstLine="480"/>
        <w:rPr>
          <w:rFonts w:hint="eastAsia" w:ascii="宋体" w:hAnsi="宋体" w:eastAsia="宋体" w:cs="宋体"/>
        </w:rPr>
      </w:pPr>
      <w:r>
        <w:rPr>
          <w:rFonts w:hint="eastAsia" w:ascii="宋体" w:hAnsi="宋体" w:eastAsia="宋体" w:cs="宋体"/>
        </w:rPr>
        <w:t>一、投诉相关主体基本情况</w:t>
      </w:r>
    </w:p>
    <w:p w14:paraId="5EBE4577">
      <w:pPr>
        <w:ind w:firstLine="480"/>
        <w:rPr>
          <w:rFonts w:hint="eastAsia" w:ascii="宋体" w:hAnsi="宋体" w:eastAsia="宋体" w:cs="宋体"/>
          <w:u w:val="dotted"/>
        </w:rPr>
      </w:pPr>
      <w:r>
        <w:rPr>
          <w:rFonts w:hint="eastAsia" w:ascii="宋体" w:hAnsi="宋体" w:eastAsia="宋体" w:cs="宋体"/>
        </w:rPr>
        <w:t>投诉人：</w:t>
      </w:r>
      <w:r>
        <w:rPr>
          <w:rFonts w:hint="eastAsia" w:ascii="宋体" w:hAnsi="宋体" w:eastAsia="宋体" w:cs="宋体"/>
          <w:u w:val="dotted"/>
        </w:rPr>
        <w:t xml:space="preserve">                                               </w:t>
      </w:r>
    </w:p>
    <w:p w14:paraId="36B9C709">
      <w:pPr>
        <w:ind w:firstLine="480"/>
        <w:rPr>
          <w:rFonts w:hint="eastAsia" w:ascii="宋体" w:hAnsi="宋体" w:eastAsia="宋体" w:cs="宋体"/>
          <w:u w:val="single"/>
        </w:rPr>
      </w:pPr>
      <w:r>
        <w:rPr>
          <w:rFonts w:hint="eastAsia" w:ascii="宋体" w:hAnsi="宋体" w:eastAsia="宋体" w:cs="宋体"/>
        </w:rPr>
        <w:t>地     址：</w:t>
      </w:r>
      <w:r>
        <w:rPr>
          <w:rFonts w:hint="eastAsia" w:ascii="宋体" w:hAnsi="宋体" w:eastAsia="宋体" w:cs="宋体"/>
          <w:u w:val="dotted"/>
        </w:rPr>
        <w:t xml:space="preserve">                             </w:t>
      </w:r>
      <w:r>
        <w:rPr>
          <w:rFonts w:hint="eastAsia" w:ascii="宋体" w:hAnsi="宋体" w:eastAsia="宋体" w:cs="宋体"/>
        </w:rPr>
        <w:t>邮编：</w:t>
      </w:r>
      <w:r>
        <w:rPr>
          <w:rFonts w:hint="eastAsia" w:ascii="宋体" w:hAnsi="宋体" w:eastAsia="宋体" w:cs="宋体"/>
          <w:u w:val="dotted"/>
        </w:rPr>
        <w:t xml:space="preserve">         </w:t>
      </w:r>
    </w:p>
    <w:p w14:paraId="080CC10A">
      <w:pPr>
        <w:tabs>
          <w:tab w:val="left" w:pos="6510"/>
        </w:tabs>
        <w:ind w:firstLine="480"/>
        <w:jc w:val="left"/>
        <w:rPr>
          <w:rFonts w:hint="eastAsia" w:ascii="宋体" w:hAnsi="宋体" w:eastAsia="宋体" w:cs="宋体"/>
        </w:rPr>
      </w:pPr>
      <w:r>
        <w:rPr>
          <w:rFonts w:hint="eastAsia" w:ascii="宋体" w:hAnsi="宋体" w:eastAsia="宋体" w:cs="宋体"/>
        </w:rPr>
        <w:t>法定代表人/主要负责人：</w:t>
      </w:r>
      <w:r>
        <w:rPr>
          <w:rFonts w:hint="eastAsia" w:ascii="宋体" w:hAnsi="宋体" w:eastAsia="宋体" w:cs="宋体"/>
          <w:u w:val="dotted"/>
        </w:rPr>
        <w:t xml:space="preserve">                                   </w:t>
      </w:r>
      <w:r>
        <w:rPr>
          <w:rFonts w:hint="eastAsia" w:ascii="宋体" w:hAnsi="宋体" w:eastAsia="宋体" w:cs="宋体"/>
        </w:rPr>
        <w:t xml:space="preserve">  </w:t>
      </w:r>
    </w:p>
    <w:p w14:paraId="1A4C14A5">
      <w:pPr>
        <w:tabs>
          <w:tab w:val="left" w:pos="6510"/>
        </w:tabs>
        <w:ind w:firstLine="480"/>
        <w:rPr>
          <w:rFonts w:hint="eastAsia" w:ascii="宋体" w:hAnsi="宋体" w:eastAsia="宋体" w:cs="宋体"/>
          <w:u w:val="dotted"/>
        </w:rPr>
      </w:pPr>
      <w:r>
        <w:rPr>
          <w:rFonts w:hint="eastAsia" w:ascii="宋体" w:hAnsi="宋体" w:eastAsia="宋体" w:cs="宋体"/>
        </w:rPr>
        <w:t>联系电话：</w:t>
      </w:r>
      <w:r>
        <w:rPr>
          <w:rFonts w:hint="eastAsia" w:ascii="宋体" w:hAnsi="宋体" w:eastAsia="宋体" w:cs="宋体"/>
          <w:u w:val="dotted"/>
        </w:rPr>
        <w:t xml:space="preserve">                                             </w:t>
      </w:r>
    </w:p>
    <w:p w14:paraId="2AB73950">
      <w:pPr>
        <w:ind w:firstLine="480"/>
        <w:rPr>
          <w:rFonts w:hint="eastAsia" w:ascii="宋体" w:hAnsi="宋体" w:eastAsia="宋体" w:cs="宋体"/>
          <w:u w:val="dotted"/>
        </w:rPr>
      </w:pPr>
      <w:r>
        <w:rPr>
          <w:rFonts w:hint="eastAsia" w:cs="宋体"/>
          <w:lang w:eastAsia="zh-CN"/>
        </w:rPr>
        <w:t>授权代表</w:t>
      </w:r>
      <w:r>
        <w:rPr>
          <w:rFonts w:hint="eastAsia" w:ascii="宋体" w:hAnsi="宋体" w:eastAsia="宋体" w:cs="宋体"/>
        </w:rPr>
        <w:t>：</w:t>
      </w:r>
      <w:r>
        <w:rPr>
          <w:rFonts w:hint="eastAsia" w:ascii="宋体" w:hAnsi="宋体" w:eastAsia="宋体" w:cs="宋体"/>
          <w:u w:val="dotted"/>
        </w:rPr>
        <w:t xml:space="preserve">             </w:t>
      </w:r>
      <w:r>
        <w:rPr>
          <w:rFonts w:hint="eastAsia" w:ascii="宋体" w:hAnsi="宋体" w:eastAsia="宋体" w:cs="宋体"/>
        </w:rPr>
        <w:t>联系电话</w:t>
      </w:r>
      <w:r>
        <w:rPr>
          <w:rFonts w:hint="eastAsia" w:ascii="宋体" w:hAnsi="宋体" w:eastAsia="宋体" w:cs="宋体"/>
          <w:u w:val="dotted"/>
        </w:rPr>
        <w:t xml:space="preserve">：                  </w:t>
      </w:r>
    </w:p>
    <w:p w14:paraId="2AD1E83B">
      <w:pPr>
        <w:ind w:firstLine="480"/>
        <w:rPr>
          <w:rFonts w:hint="eastAsia" w:ascii="宋体" w:hAnsi="宋体" w:eastAsia="宋体" w:cs="宋体"/>
          <w:u w:val="dotted"/>
        </w:rPr>
      </w:pPr>
      <w:r>
        <w:rPr>
          <w:rFonts w:hint="eastAsia" w:ascii="宋体" w:hAnsi="宋体" w:eastAsia="宋体" w:cs="宋体"/>
        </w:rPr>
        <w:t>地     址：</w:t>
      </w:r>
      <w:r>
        <w:rPr>
          <w:rFonts w:hint="eastAsia" w:ascii="宋体" w:hAnsi="宋体" w:eastAsia="宋体" w:cs="宋体"/>
          <w:u w:val="dotted"/>
        </w:rPr>
        <w:t xml:space="preserve">                             </w:t>
      </w:r>
      <w:r>
        <w:rPr>
          <w:rFonts w:hint="eastAsia" w:ascii="宋体" w:hAnsi="宋体" w:eastAsia="宋体" w:cs="宋体"/>
        </w:rPr>
        <w:t>邮编：</w:t>
      </w:r>
      <w:r>
        <w:rPr>
          <w:rFonts w:hint="eastAsia" w:ascii="宋体" w:hAnsi="宋体" w:eastAsia="宋体" w:cs="宋体"/>
          <w:u w:val="dotted"/>
        </w:rPr>
        <w:t xml:space="preserve">         </w:t>
      </w:r>
    </w:p>
    <w:p w14:paraId="14DD50E8">
      <w:pPr>
        <w:ind w:firstLine="480"/>
        <w:rPr>
          <w:rFonts w:hint="eastAsia" w:ascii="宋体" w:hAnsi="宋体" w:eastAsia="宋体" w:cs="宋体"/>
          <w:u w:val="single"/>
        </w:rPr>
      </w:pPr>
      <w:r>
        <w:rPr>
          <w:rFonts w:hint="eastAsia" w:ascii="宋体" w:hAnsi="宋体" w:eastAsia="宋体" w:cs="宋体"/>
        </w:rPr>
        <w:t>被投诉人1：</w:t>
      </w:r>
      <w:r>
        <w:rPr>
          <w:rFonts w:hint="eastAsia" w:ascii="宋体" w:hAnsi="宋体" w:eastAsia="宋体" w:cs="宋体"/>
          <w:u w:val="dotted"/>
        </w:rPr>
        <w:t xml:space="preserve">                                           </w:t>
      </w:r>
    </w:p>
    <w:p w14:paraId="0C8E93CA">
      <w:pPr>
        <w:ind w:firstLine="480"/>
        <w:rPr>
          <w:rFonts w:hint="eastAsia" w:ascii="宋体" w:hAnsi="宋体" w:eastAsia="宋体" w:cs="宋体"/>
          <w:u w:val="single"/>
        </w:rPr>
      </w:pPr>
      <w:r>
        <w:rPr>
          <w:rFonts w:hint="eastAsia" w:ascii="宋体" w:hAnsi="宋体" w:eastAsia="宋体" w:cs="宋体"/>
        </w:rPr>
        <w:t>地     址：</w:t>
      </w:r>
      <w:r>
        <w:rPr>
          <w:rFonts w:hint="eastAsia" w:ascii="宋体" w:hAnsi="宋体" w:eastAsia="宋体" w:cs="宋体"/>
          <w:u w:val="dotted"/>
        </w:rPr>
        <w:t xml:space="preserve">                             </w:t>
      </w:r>
      <w:r>
        <w:rPr>
          <w:rFonts w:hint="eastAsia" w:ascii="宋体" w:hAnsi="宋体" w:eastAsia="宋体" w:cs="宋体"/>
        </w:rPr>
        <w:t>邮编：</w:t>
      </w:r>
      <w:r>
        <w:rPr>
          <w:rFonts w:hint="eastAsia" w:ascii="宋体" w:hAnsi="宋体" w:eastAsia="宋体" w:cs="宋体"/>
          <w:u w:val="dotted"/>
        </w:rPr>
        <w:t xml:space="preserve">         </w:t>
      </w:r>
    </w:p>
    <w:p w14:paraId="35AE3A92">
      <w:pPr>
        <w:ind w:firstLine="480"/>
        <w:rPr>
          <w:rFonts w:hint="eastAsia" w:ascii="宋体" w:hAnsi="宋体" w:eastAsia="宋体" w:cs="宋体"/>
          <w:u w:val="single"/>
        </w:rPr>
      </w:pPr>
      <w:r>
        <w:rPr>
          <w:rFonts w:hint="eastAsia" w:ascii="宋体" w:hAnsi="宋体" w:eastAsia="宋体" w:cs="宋体"/>
        </w:rPr>
        <w:t>联系人：</w:t>
      </w:r>
      <w:r>
        <w:rPr>
          <w:rFonts w:hint="eastAsia" w:ascii="宋体" w:hAnsi="宋体" w:eastAsia="宋体" w:cs="宋体"/>
          <w:u w:val="dotted"/>
        </w:rPr>
        <w:t xml:space="preserve">               </w:t>
      </w:r>
      <w:r>
        <w:rPr>
          <w:rFonts w:hint="eastAsia" w:ascii="宋体" w:hAnsi="宋体" w:eastAsia="宋体" w:cs="宋体"/>
        </w:rPr>
        <w:t>联系电话：</w:t>
      </w:r>
      <w:r>
        <w:rPr>
          <w:rFonts w:hint="eastAsia" w:ascii="宋体" w:hAnsi="宋体" w:eastAsia="宋体" w:cs="宋体"/>
          <w:u w:val="dotted"/>
        </w:rPr>
        <w:t xml:space="preserve">                      </w:t>
      </w:r>
    </w:p>
    <w:p w14:paraId="69A6D695">
      <w:pPr>
        <w:ind w:firstLine="480"/>
        <w:rPr>
          <w:rFonts w:hint="eastAsia" w:ascii="宋体" w:hAnsi="宋体" w:eastAsia="宋体" w:cs="宋体"/>
        </w:rPr>
      </w:pPr>
      <w:r>
        <w:rPr>
          <w:rFonts w:hint="eastAsia" w:ascii="宋体" w:hAnsi="宋体" w:eastAsia="宋体" w:cs="宋体"/>
        </w:rPr>
        <w:t>被投诉人2</w:t>
      </w:r>
    </w:p>
    <w:p w14:paraId="51052FF5">
      <w:pPr>
        <w:ind w:firstLine="480"/>
        <w:rPr>
          <w:rFonts w:hint="eastAsia" w:ascii="宋体" w:hAnsi="宋体" w:eastAsia="宋体" w:cs="宋体"/>
          <w:u w:val="dotted"/>
        </w:rPr>
      </w:pPr>
      <w:r>
        <w:rPr>
          <w:rFonts w:hint="eastAsia" w:ascii="宋体" w:hAnsi="宋体" w:eastAsia="宋体" w:cs="宋体"/>
        </w:rPr>
        <w:t>……</w:t>
      </w:r>
    </w:p>
    <w:p w14:paraId="39FA0E1C">
      <w:pPr>
        <w:ind w:firstLine="480"/>
        <w:rPr>
          <w:rFonts w:hint="eastAsia" w:ascii="宋体" w:hAnsi="宋体" w:eastAsia="宋体" w:cs="宋体"/>
          <w:u w:val="single"/>
        </w:rPr>
      </w:pPr>
      <w:r>
        <w:rPr>
          <w:rFonts w:hint="eastAsia" w:ascii="宋体" w:hAnsi="宋体" w:eastAsia="宋体" w:cs="宋体"/>
        </w:rPr>
        <w:t>相关投标人：</w:t>
      </w:r>
      <w:r>
        <w:rPr>
          <w:rFonts w:hint="eastAsia" w:ascii="宋体" w:hAnsi="宋体" w:eastAsia="宋体" w:cs="宋体"/>
          <w:u w:val="dotted"/>
        </w:rPr>
        <w:t xml:space="preserve">                                           </w:t>
      </w:r>
    </w:p>
    <w:p w14:paraId="46966CA8">
      <w:pPr>
        <w:ind w:firstLine="480"/>
        <w:rPr>
          <w:rFonts w:hint="eastAsia" w:ascii="宋体" w:hAnsi="宋体" w:eastAsia="宋体" w:cs="宋体"/>
          <w:u w:val="single"/>
        </w:rPr>
      </w:pPr>
      <w:r>
        <w:rPr>
          <w:rFonts w:hint="eastAsia" w:ascii="宋体" w:hAnsi="宋体" w:eastAsia="宋体" w:cs="宋体"/>
        </w:rPr>
        <w:t>地     址：</w:t>
      </w:r>
      <w:r>
        <w:rPr>
          <w:rFonts w:hint="eastAsia" w:ascii="宋体" w:hAnsi="宋体" w:eastAsia="宋体" w:cs="宋体"/>
          <w:u w:val="dotted"/>
        </w:rPr>
        <w:t xml:space="preserve">                             </w:t>
      </w:r>
      <w:r>
        <w:rPr>
          <w:rFonts w:hint="eastAsia" w:ascii="宋体" w:hAnsi="宋体" w:eastAsia="宋体" w:cs="宋体"/>
        </w:rPr>
        <w:t>邮编：</w:t>
      </w:r>
      <w:r>
        <w:rPr>
          <w:rFonts w:hint="eastAsia" w:ascii="宋体" w:hAnsi="宋体" w:eastAsia="宋体" w:cs="宋体"/>
          <w:u w:val="dotted"/>
        </w:rPr>
        <w:t xml:space="preserve">          </w:t>
      </w:r>
    </w:p>
    <w:p w14:paraId="725368B8">
      <w:pPr>
        <w:ind w:firstLine="480"/>
        <w:rPr>
          <w:rFonts w:hint="eastAsia" w:ascii="宋体" w:hAnsi="宋体" w:eastAsia="宋体" w:cs="宋体"/>
          <w:u w:val="single"/>
          <w:lang w:eastAsia="zh-CN"/>
        </w:rPr>
      </w:pPr>
      <w:r>
        <w:rPr>
          <w:rFonts w:hint="eastAsia" w:ascii="宋体" w:hAnsi="宋体" w:eastAsia="宋体" w:cs="宋体"/>
        </w:rPr>
        <w:t>联系人：</w:t>
      </w:r>
      <w:r>
        <w:rPr>
          <w:rFonts w:hint="eastAsia" w:ascii="宋体" w:hAnsi="宋体" w:eastAsia="宋体" w:cs="宋体"/>
          <w:u w:val="dotted"/>
        </w:rPr>
        <w:t xml:space="preserve">               </w:t>
      </w:r>
      <w:r>
        <w:rPr>
          <w:rFonts w:hint="eastAsia" w:ascii="宋体" w:hAnsi="宋体" w:eastAsia="宋体" w:cs="宋体"/>
        </w:rPr>
        <w:t>联系电话：</w:t>
      </w:r>
      <w:r>
        <w:rPr>
          <w:rFonts w:hint="eastAsia" w:ascii="宋体" w:hAnsi="宋体" w:eastAsia="宋体" w:cs="宋体"/>
          <w:u w:val="dotted"/>
        </w:rPr>
        <w:t xml:space="preserve">                      </w:t>
      </w:r>
    </w:p>
    <w:p w14:paraId="58FAA4D7">
      <w:pPr>
        <w:ind w:firstLine="480"/>
        <w:rPr>
          <w:rFonts w:hint="eastAsia" w:ascii="宋体" w:hAnsi="宋体" w:eastAsia="宋体" w:cs="宋体"/>
        </w:rPr>
      </w:pPr>
      <w:r>
        <w:rPr>
          <w:rFonts w:hint="eastAsia" w:ascii="宋体" w:hAnsi="宋体" w:eastAsia="宋体" w:cs="宋体"/>
        </w:rPr>
        <w:t>二、投诉项目基本情况</w:t>
      </w:r>
    </w:p>
    <w:p w14:paraId="38484BFC">
      <w:pPr>
        <w:ind w:firstLine="480"/>
        <w:rPr>
          <w:rFonts w:hint="eastAsia" w:ascii="宋体" w:hAnsi="宋体" w:eastAsia="宋体" w:cs="宋体"/>
          <w:u w:val="dotted"/>
        </w:rPr>
      </w:pPr>
      <w:r>
        <w:rPr>
          <w:rFonts w:hint="eastAsia" w:ascii="宋体" w:hAnsi="宋体" w:eastAsia="宋体" w:cs="宋体"/>
        </w:rPr>
        <w:t>采购项目名称：</w:t>
      </w:r>
      <w:r>
        <w:rPr>
          <w:rFonts w:hint="eastAsia" w:ascii="宋体" w:hAnsi="宋体" w:eastAsia="宋体" w:cs="宋体"/>
          <w:u w:val="dotted"/>
        </w:rPr>
        <w:t xml:space="preserve">                                        </w:t>
      </w:r>
    </w:p>
    <w:p w14:paraId="742248A7">
      <w:pPr>
        <w:ind w:firstLine="480"/>
        <w:rPr>
          <w:rFonts w:hint="eastAsia" w:ascii="宋体" w:hAnsi="宋体" w:eastAsia="宋体" w:cs="宋体"/>
          <w:u w:val="single"/>
        </w:rPr>
      </w:pPr>
      <w:r>
        <w:rPr>
          <w:rFonts w:hint="eastAsia" w:ascii="宋体" w:hAnsi="宋体" w:eastAsia="宋体" w:cs="宋体"/>
        </w:rPr>
        <w:t>采购项目编号：</w:t>
      </w:r>
      <w:r>
        <w:rPr>
          <w:rFonts w:hint="eastAsia" w:ascii="宋体" w:hAnsi="宋体" w:eastAsia="宋体" w:cs="宋体"/>
          <w:u w:val="dotted"/>
        </w:rPr>
        <w:t xml:space="preserve">                 </w:t>
      </w:r>
      <w:r>
        <w:rPr>
          <w:rFonts w:hint="eastAsia" w:ascii="宋体" w:hAnsi="宋体" w:eastAsia="宋体" w:cs="宋体"/>
        </w:rPr>
        <w:t>包号：</w:t>
      </w:r>
      <w:r>
        <w:rPr>
          <w:rFonts w:hint="eastAsia" w:ascii="宋体" w:hAnsi="宋体" w:eastAsia="宋体" w:cs="宋体"/>
          <w:u w:val="dotted"/>
        </w:rPr>
        <w:t xml:space="preserve">              </w:t>
      </w:r>
    </w:p>
    <w:p w14:paraId="690CD088">
      <w:pPr>
        <w:ind w:firstLine="480"/>
        <w:rPr>
          <w:rFonts w:hint="eastAsia" w:ascii="宋体" w:hAnsi="宋体" w:eastAsia="宋体" w:cs="宋体"/>
        </w:rPr>
      </w:pPr>
      <w:r>
        <w:rPr>
          <w:rFonts w:hint="eastAsia" w:ascii="宋体" w:hAnsi="宋体" w:eastAsia="宋体" w:cs="宋体"/>
        </w:rPr>
        <w:t>招标人名称：</w:t>
      </w:r>
      <w:r>
        <w:rPr>
          <w:rFonts w:hint="eastAsia" w:ascii="宋体" w:hAnsi="宋体" w:eastAsia="宋体" w:cs="宋体"/>
          <w:u w:val="dotted"/>
        </w:rPr>
        <w:t xml:space="preserve">                                           </w:t>
      </w:r>
    </w:p>
    <w:p w14:paraId="4604941B">
      <w:pPr>
        <w:ind w:firstLine="480"/>
        <w:rPr>
          <w:rFonts w:hint="eastAsia" w:ascii="宋体" w:hAnsi="宋体" w:eastAsia="宋体" w:cs="宋体"/>
          <w:u w:val="single"/>
        </w:rPr>
      </w:pPr>
      <w:r>
        <w:rPr>
          <w:rFonts w:hint="eastAsia" w:ascii="宋体" w:hAnsi="宋体" w:eastAsia="宋体" w:cs="宋体"/>
        </w:rPr>
        <w:t>招标代理机构名称：</w:t>
      </w:r>
      <w:r>
        <w:rPr>
          <w:rFonts w:hint="eastAsia" w:ascii="宋体" w:hAnsi="宋体" w:eastAsia="宋体" w:cs="宋体"/>
          <w:u w:val="dotted"/>
        </w:rPr>
        <w:t xml:space="preserve">                                         </w:t>
      </w:r>
    </w:p>
    <w:p w14:paraId="5840F729">
      <w:pPr>
        <w:ind w:firstLine="480"/>
        <w:rPr>
          <w:rFonts w:hint="eastAsia" w:ascii="宋体" w:hAnsi="宋体" w:eastAsia="宋体" w:cs="宋体"/>
          <w:u w:val="dotted"/>
        </w:rPr>
      </w:pPr>
      <w:r>
        <w:rPr>
          <w:rFonts w:hint="eastAsia" w:ascii="宋体" w:hAnsi="宋体" w:eastAsia="宋体" w:cs="宋体"/>
          <w:lang w:val="en-US" w:eastAsia="zh-CN"/>
        </w:rPr>
        <w:t>招标</w:t>
      </w:r>
      <w:r>
        <w:rPr>
          <w:rFonts w:hint="eastAsia" w:ascii="宋体" w:hAnsi="宋体" w:eastAsia="宋体" w:cs="宋体"/>
        </w:rPr>
        <w:t>文件公告:</w:t>
      </w:r>
      <w:r>
        <w:rPr>
          <w:rFonts w:hint="eastAsia" w:ascii="宋体" w:hAnsi="宋体" w:eastAsia="宋体" w:cs="宋体"/>
          <w:u w:val="dotted"/>
        </w:rPr>
        <w:t xml:space="preserve">是/否 </w:t>
      </w:r>
      <w:r>
        <w:rPr>
          <w:rFonts w:hint="eastAsia" w:ascii="宋体" w:hAnsi="宋体" w:eastAsia="宋体" w:cs="宋体"/>
        </w:rPr>
        <w:t>公告期限：</w:t>
      </w:r>
      <w:r>
        <w:rPr>
          <w:rFonts w:hint="eastAsia" w:ascii="宋体" w:hAnsi="宋体" w:eastAsia="宋体" w:cs="宋体"/>
          <w:u w:val="dotted"/>
        </w:rPr>
        <w:t xml:space="preserve">                                 </w:t>
      </w:r>
    </w:p>
    <w:p w14:paraId="74307A95">
      <w:pPr>
        <w:ind w:firstLine="480"/>
        <w:rPr>
          <w:rFonts w:hint="eastAsia" w:ascii="宋体" w:hAnsi="宋体" w:eastAsia="宋体" w:cs="宋体"/>
          <w:u w:val="single"/>
        </w:rPr>
      </w:pPr>
      <w:r>
        <w:rPr>
          <w:rFonts w:hint="eastAsia" w:ascii="宋体" w:hAnsi="宋体" w:eastAsia="宋体" w:cs="宋体"/>
          <w:lang w:val="en-US" w:eastAsia="zh-CN"/>
        </w:rPr>
        <w:t>招标</w:t>
      </w:r>
      <w:r>
        <w:rPr>
          <w:rFonts w:hint="eastAsia" w:ascii="宋体" w:hAnsi="宋体" w:eastAsia="宋体" w:cs="宋体"/>
        </w:rPr>
        <w:t>结果公告:</w:t>
      </w:r>
      <w:r>
        <w:rPr>
          <w:rFonts w:hint="eastAsia" w:ascii="宋体" w:hAnsi="宋体" w:eastAsia="宋体" w:cs="宋体"/>
          <w:u w:val="dotted"/>
        </w:rPr>
        <w:t xml:space="preserve">是/否 </w:t>
      </w:r>
      <w:r>
        <w:rPr>
          <w:rFonts w:hint="eastAsia" w:ascii="宋体" w:hAnsi="宋体" w:eastAsia="宋体" w:cs="宋体"/>
        </w:rPr>
        <w:t>公告期限：</w:t>
      </w:r>
      <w:r>
        <w:rPr>
          <w:rFonts w:hint="eastAsia" w:ascii="宋体" w:hAnsi="宋体" w:eastAsia="宋体" w:cs="宋体"/>
          <w:u w:val="dotted"/>
        </w:rPr>
        <w:t xml:space="preserve">                        </w:t>
      </w:r>
    </w:p>
    <w:p w14:paraId="57FCAEDB">
      <w:pPr>
        <w:ind w:firstLine="480"/>
        <w:rPr>
          <w:rFonts w:hint="eastAsia" w:ascii="宋体" w:hAnsi="宋体" w:eastAsia="宋体" w:cs="宋体"/>
        </w:rPr>
      </w:pPr>
      <w:r>
        <w:rPr>
          <w:rFonts w:hint="eastAsia" w:ascii="宋体" w:hAnsi="宋体" w:eastAsia="宋体" w:cs="宋体"/>
        </w:rPr>
        <w:t>三、质疑基本情况</w:t>
      </w:r>
    </w:p>
    <w:p w14:paraId="667D253D">
      <w:pPr>
        <w:ind w:firstLine="480"/>
        <w:rPr>
          <w:rFonts w:hint="eastAsia" w:ascii="宋体" w:hAnsi="宋体" w:eastAsia="宋体" w:cs="宋体"/>
          <w:u w:val="dotted"/>
        </w:rPr>
      </w:pPr>
      <w:r>
        <w:rPr>
          <w:rFonts w:hint="eastAsia" w:ascii="宋体" w:hAnsi="宋体" w:eastAsia="宋体" w:cs="宋体"/>
        </w:rPr>
        <w:t>投诉人于</w:t>
      </w:r>
      <w:r>
        <w:rPr>
          <w:rFonts w:hint="eastAsia" w:ascii="宋体" w:hAnsi="宋体" w:eastAsia="宋体" w:cs="宋体"/>
          <w:u w:val="dotted"/>
        </w:rPr>
        <w:t xml:space="preserve">   </w:t>
      </w:r>
      <w:r>
        <w:rPr>
          <w:rFonts w:hint="eastAsia" w:ascii="宋体" w:hAnsi="宋体" w:eastAsia="宋体" w:cs="宋体"/>
        </w:rPr>
        <w:t>年</w:t>
      </w:r>
      <w:r>
        <w:rPr>
          <w:rFonts w:hint="eastAsia" w:ascii="宋体" w:hAnsi="宋体" w:eastAsia="宋体" w:cs="宋体"/>
          <w:u w:val="dotted"/>
        </w:rPr>
        <w:t xml:space="preserve">   </w:t>
      </w:r>
      <w:r>
        <w:rPr>
          <w:rFonts w:hint="eastAsia" w:ascii="宋体" w:hAnsi="宋体" w:eastAsia="宋体" w:cs="宋体"/>
        </w:rPr>
        <w:t>月</w:t>
      </w:r>
      <w:r>
        <w:rPr>
          <w:rFonts w:hint="eastAsia" w:ascii="宋体" w:hAnsi="宋体" w:eastAsia="宋体" w:cs="宋体"/>
          <w:u w:val="dotted"/>
        </w:rPr>
        <w:t xml:space="preserve">  </w:t>
      </w:r>
      <w:r>
        <w:rPr>
          <w:rFonts w:hint="eastAsia" w:ascii="宋体" w:hAnsi="宋体" w:eastAsia="宋体" w:cs="宋体"/>
        </w:rPr>
        <w:t>日</w:t>
      </w:r>
      <w:r>
        <w:rPr>
          <w:rFonts w:hint="eastAsia" w:cs="宋体"/>
          <w:lang w:eastAsia="zh-CN"/>
        </w:rPr>
        <w:t>，</w:t>
      </w:r>
      <w:r>
        <w:rPr>
          <w:rFonts w:hint="eastAsia" w:ascii="宋体" w:hAnsi="宋体" w:eastAsia="宋体" w:cs="宋体"/>
        </w:rPr>
        <w:t>向</w:t>
      </w:r>
      <w:r>
        <w:rPr>
          <w:rFonts w:hint="eastAsia" w:ascii="宋体" w:hAnsi="宋体" w:eastAsia="宋体" w:cs="宋体"/>
          <w:u w:val="dotted"/>
        </w:rPr>
        <w:t xml:space="preserve">                   </w:t>
      </w:r>
      <w:r>
        <w:rPr>
          <w:rFonts w:hint="eastAsia" w:ascii="宋体" w:hAnsi="宋体" w:eastAsia="宋体" w:cs="宋体"/>
        </w:rPr>
        <w:t>提出质疑，质疑事项为：</w:t>
      </w:r>
      <w:r>
        <w:rPr>
          <w:rFonts w:hint="eastAsia" w:ascii="宋体" w:hAnsi="宋体" w:eastAsia="宋体" w:cs="宋体"/>
          <w:u w:val="dotted"/>
        </w:rPr>
        <w:t xml:space="preserve">                                </w:t>
      </w:r>
    </w:p>
    <w:p w14:paraId="0937D44D">
      <w:pPr>
        <w:ind w:firstLine="480"/>
        <w:rPr>
          <w:rFonts w:hint="eastAsia" w:ascii="宋体" w:hAnsi="宋体" w:eastAsia="宋体" w:cs="宋体"/>
          <w:u w:val="dotted"/>
        </w:rPr>
      </w:pPr>
      <w:r>
        <w:rPr>
          <w:rFonts w:hint="eastAsia" w:ascii="宋体" w:hAnsi="宋体" w:eastAsia="宋体" w:cs="宋体"/>
          <w:u w:val="dotted"/>
        </w:rPr>
        <w:t xml:space="preserve">                                                     </w:t>
      </w:r>
      <w:r>
        <w:rPr>
          <w:rFonts w:hint="eastAsia" w:ascii="宋体" w:hAnsi="宋体" w:eastAsia="宋体" w:cs="宋体"/>
        </w:rPr>
        <w:t xml:space="preserve">  </w:t>
      </w:r>
    </w:p>
    <w:p w14:paraId="06471382">
      <w:pPr>
        <w:ind w:firstLine="360" w:firstLineChars="150"/>
        <w:rPr>
          <w:rFonts w:hint="eastAsia" w:ascii="宋体" w:hAnsi="宋体" w:eastAsia="宋体" w:cs="宋体"/>
        </w:rPr>
      </w:pPr>
      <w:r>
        <w:rPr>
          <w:rFonts w:hint="eastAsia" w:ascii="宋体" w:hAnsi="宋体" w:eastAsia="宋体" w:cs="宋体"/>
          <w:u w:val="dotted"/>
        </w:rPr>
        <w:t>招标人/招标代理机构</w:t>
      </w:r>
      <w:r>
        <w:rPr>
          <w:rFonts w:hint="eastAsia" w:ascii="宋体" w:hAnsi="宋体" w:eastAsia="宋体" w:cs="宋体"/>
        </w:rPr>
        <w:t>于</w:t>
      </w:r>
      <w:r>
        <w:rPr>
          <w:rFonts w:hint="eastAsia" w:ascii="宋体" w:hAnsi="宋体" w:eastAsia="宋体" w:cs="宋体"/>
          <w:u w:val="dotted"/>
        </w:rPr>
        <w:t xml:space="preserve">   </w:t>
      </w:r>
      <w:r>
        <w:rPr>
          <w:rFonts w:hint="eastAsia" w:ascii="宋体" w:hAnsi="宋体" w:eastAsia="宋体" w:cs="宋体"/>
        </w:rPr>
        <w:t>年</w:t>
      </w:r>
      <w:r>
        <w:rPr>
          <w:rFonts w:hint="eastAsia" w:ascii="宋体" w:hAnsi="宋体" w:eastAsia="宋体" w:cs="宋体"/>
          <w:u w:val="dotted"/>
        </w:rPr>
        <w:t xml:space="preserve">   </w:t>
      </w:r>
      <w:r>
        <w:rPr>
          <w:rFonts w:hint="eastAsia" w:ascii="宋体" w:hAnsi="宋体" w:eastAsia="宋体" w:cs="宋体"/>
        </w:rPr>
        <w:t>月</w:t>
      </w:r>
      <w:r>
        <w:rPr>
          <w:rFonts w:hint="eastAsia" w:ascii="宋体" w:hAnsi="宋体" w:eastAsia="宋体" w:cs="宋体"/>
          <w:u w:val="dotted"/>
        </w:rPr>
        <w:t xml:space="preserve">   </w:t>
      </w:r>
      <w:r>
        <w:rPr>
          <w:rFonts w:hint="eastAsia" w:ascii="宋体" w:hAnsi="宋体" w:eastAsia="宋体" w:cs="宋体"/>
        </w:rPr>
        <w:t>日,就质疑事项作出了答复/没有在法定期限内作出答复。</w:t>
      </w:r>
    </w:p>
    <w:p w14:paraId="38CE80CB">
      <w:pPr>
        <w:ind w:firstLine="480"/>
        <w:rPr>
          <w:rFonts w:hint="eastAsia" w:ascii="宋体" w:hAnsi="宋体" w:eastAsia="宋体" w:cs="宋体"/>
        </w:rPr>
      </w:pPr>
      <w:r>
        <w:rPr>
          <w:rFonts w:hint="eastAsia" w:ascii="宋体" w:hAnsi="宋体" w:eastAsia="宋体" w:cs="宋体"/>
        </w:rPr>
        <w:t>四、投诉事项具体内容</w:t>
      </w:r>
    </w:p>
    <w:p w14:paraId="195D6B17">
      <w:pPr>
        <w:ind w:firstLine="480"/>
        <w:rPr>
          <w:rFonts w:hint="eastAsia" w:ascii="宋体" w:hAnsi="宋体" w:eastAsia="宋体" w:cs="宋体"/>
          <w:u w:val="single"/>
        </w:rPr>
      </w:pPr>
      <w:r>
        <w:rPr>
          <w:rFonts w:hint="eastAsia" w:ascii="宋体" w:hAnsi="宋体" w:eastAsia="宋体" w:cs="宋体"/>
        </w:rPr>
        <w:t>投诉事项 1：</w:t>
      </w:r>
      <w:r>
        <w:rPr>
          <w:rFonts w:hint="eastAsia" w:ascii="宋体" w:hAnsi="宋体" w:eastAsia="宋体" w:cs="宋体"/>
          <w:u w:val="dotted"/>
        </w:rPr>
        <w:t xml:space="preserve">                                       </w:t>
      </w:r>
    </w:p>
    <w:p w14:paraId="7E9F3A59">
      <w:pPr>
        <w:ind w:firstLine="480"/>
        <w:rPr>
          <w:rFonts w:hint="eastAsia" w:ascii="宋体" w:hAnsi="宋体" w:eastAsia="宋体" w:cs="宋体"/>
        </w:rPr>
      </w:pPr>
      <w:r>
        <w:rPr>
          <w:rFonts w:hint="eastAsia" w:ascii="宋体" w:hAnsi="宋体" w:eastAsia="宋体" w:cs="宋体"/>
        </w:rPr>
        <w:t>事实依据：</w:t>
      </w:r>
      <w:r>
        <w:rPr>
          <w:rFonts w:hint="eastAsia" w:ascii="宋体" w:hAnsi="宋体" w:eastAsia="宋体" w:cs="宋体"/>
          <w:u w:val="dotted"/>
        </w:rPr>
        <w:t xml:space="preserve">                                         </w:t>
      </w:r>
    </w:p>
    <w:p w14:paraId="627DCC8D">
      <w:pPr>
        <w:ind w:firstLine="480"/>
        <w:rPr>
          <w:rFonts w:hint="eastAsia" w:ascii="宋体" w:hAnsi="宋体" w:eastAsia="宋体" w:cs="宋体"/>
          <w:u w:val="dotted"/>
        </w:rPr>
      </w:pPr>
      <w:r>
        <w:rPr>
          <w:rFonts w:hint="eastAsia" w:ascii="宋体" w:hAnsi="宋体" w:eastAsia="宋体" w:cs="宋体"/>
          <w:u w:val="dotted"/>
        </w:rPr>
        <w:t xml:space="preserve">                                                      </w:t>
      </w:r>
    </w:p>
    <w:p w14:paraId="311A0372">
      <w:pPr>
        <w:ind w:firstLine="480"/>
        <w:rPr>
          <w:rFonts w:hint="eastAsia" w:ascii="宋体" w:hAnsi="宋体" w:eastAsia="宋体" w:cs="宋体"/>
          <w:u w:val="single"/>
        </w:rPr>
      </w:pPr>
      <w:r>
        <w:rPr>
          <w:rFonts w:hint="eastAsia" w:ascii="宋体" w:hAnsi="宋体" w:eastAsia="宋体" w:cs="宋体"/>
        </w:rPr>
        <w:t>法律依据：</w:t>
      </w:r>
      <w:r>
        <w:rPr>
          <w:rFonts w:hint="eastAsia" w:ascii="宋体" w:hAnsi="宋体" w:eastAsia="宋体" w:cs="宋体"/>
          <w:u w:val="dotted"/>
        </w:rPr>
        <w:t xml:space="preserve">                                          </w:t>
      </w:r>
    </w:p>
    <w:p w14:paraId="20B20002">
      <w:pPr>
        <w:ind w:firstLine="480"/>
        <w:rPr>
          <w:rFonts w:hint="eastAsia" w:ascii="宋体" w:hAnsi="宋体" w:eastAsia="宋体" w:cs="宋体"/>
          <w:u w:val="dotted"/>
        </w:rPr>
      </w:pPr>
      <w:r>
        <w:rPr>
          <w:rFonts w:hint="eastAsia" w:ascii="宋体" w:hAnsi="宋体" w:eastAsia="宋体" w:cs="宋体"/>
          <w:u w:val="dotted"/>
        </w:rPr>
        <w:t xml:space="preserve">                                                      </w:t>
      </w:r>
    </w:p>
    <w:p w14:paraId="4C50D4BC">
      <w:pPr>
        <w:ind w:firstLine="480"/>
        <w:rPr>
          <w:rFonts w:hint="eastAsia" w:ascii="宋体" w:hAnsi="宋体" w:eastAsia="宋体" w:cs="宋体"/>
        </w:rPr>
      </w:pPr>
      <w:r>
        <w:rPr>
          <w:rFonts w:hint="eastAsia" w:ascii="宋体" w:hAnsi="宋体" w:eastAsia="宋体" w:cs="宋体"/>
        </w:rPr>
        <w:t>投诉事项2</w:t>
      </w:r>
    </w:p>
    <w:p w14:paraId="5CEB8C8E">
      <w:pPr>
        <w:ind w:firstLine="480"/>
        <w:rPr>
          <w:rFonts w:hint="eastAsia" w:ascii="宋体" w:hAnsi="宋体" w:eastAsia="宋体" w:cs="宋体"/>
          <w:u w:val="dotted"/>
        </w:rPr>
      </w:pPr>
      <w:r>
        <w:rPr>
          <w:rFonts w:hint="eastAsia" w:ascii="宋体" w:hAnsi="宋体" w:eastAsia="宋体" w:cs="宋体"/>
        </w:rPr>
        <w:t>……</w:t>
      </w:r>
    </w:p>
    <w:p w14:paraId="3385E611">
      <w:pPr>
        <w:ind w:firstLine="480"/>
        <w:rPr>
          <w:rFonts w:hint="eastAsia" w:ascii="宋体" w:hAnsi="宋体" w:eastAsia="宋体" w:cs="宋体"/>
        </w:rPr>
      </w:pPr>
      <w:r>
        <w:rPr>
          <w:rFonts w:hint="eastAsia" w:ascii="宋体" w:hAnsi="宋体" w:eastAsia="宋体" w:cs="宋体"/>
        </w:rPr>
        <w:t>五、与投诉事项相关的投诉请求</w:t>
      </w:r>
    </w:p>
    <w:p w14:paraId="050F5B9C">
      <w:pPr>
        <w:ind w:firstLine="480"/>
        <w:rPr>
          <w:rFonts w:hint="eastAsia" w:ascii="宋体" w:hAnsi="宋体" w:eastAsia="宋体" w:cs="宋体"/>
        </w:rPr>
      </w:pPr>
      <w:r>
        <w:rPr>
          <w:rFonts w:hint="eastAsia" w:ascii="宋体" w:hAnsi="宋体" w:eastAsia="宋体" w:cs="宋体"/>
        </w:rPr>
        <w:t>请求：</w:t>
      </w:r>
      <w:r>
        <w:rPr>
          <w:rFonts w:hint="eastAsia" w:ascii="宋体" w:hAnsi="宋体" w:eastAsia="宋体" w:cs="宋体"/>
          <w:u w:val="dotted"/>
        </w:rPr>
        <w:t xml:space="preserve">                                              </w:t>
      </w:r>
      <w:r>
        <w:rPr>
          <w:rFonts w:hint="eastAsia" w:ascii="宋体" w:hAnsi="宋体" w:eastAsia="宋体" w:cs="宋体"/>
        </w:rPr>
        <w:t xml:space="preserve"> </w:t>
      </w:r>
    </w:p>
    <w:p w14:paraId="361C1886">
      <w:pPr>
        <w:ind w:firstLine="480"/>
        <w:rPr>
          <w:rFonts w:hint="eastAsia" w:ascii="宋体" w:hAnsi="宋体" w:eastAsia="宋体" w:cs="宋体"/>
          <w:u w:val="single"/>
        </w:rPr>
      </w:pPr>
      <w:r>
        <w:rPr>
          <w:rFonts w:hint="eastAsia" w:ascii="宋体" w:hAnsi="宋体" w:eastAsia="宋体" w:cs="宋体"/>
        </w:rPr>
        <w:t xml:space="preserve">                                                                                                    </w:t>
      </w:r>
    </w:p>
    <w:p w14:paraId="1BA970A3">
      <w:pPr>
        <w:ind w:firstLine="480"/>
        <w:rPr>
          <w:rFonts w:hint="eastAsia" w:ascii="宋体" w:hAnsi="宋体" w:eastAsia="宋体" w:cs="宋体"/>
        </w:rPr>
      </w:pPr>
      <w:r>
        <w:rPr>
          <w:rFonts w:hint="eastAsia" w:ascii="宋体" w:hAnsi="宋体" w:eastAsia="宋体" w:cs="宋体"/>
        </w:rPr>
        <w:t xml:space="preserve">签字(签章)：                   公章：                      </w:t>
      </w:r>
    </w:p>
    <w:p w14:paraId="6DA78DD6">
      <w:pPr>
        <w:ind w:firstLine="480"/>
        <w:rPr>
          <w:rFonts w:hint="eastAsia" w:ascii="宋体" w:hAnsi="宋体" w:eastAsia="宋体" w:cs="宋体"/>
        </w:rPr>
      </w:pPr>
      <w:r>
        <w:rPr>
          <w:rFonts w:hint="eastAsia" w:ascii="宋体" w:hAnsi="宋体" w:eastAsia="宋体" w:cs="宋体"/>
        </w:rPr>
        <w:t xml:space="preserve">日期：    </w:t>
      </w:r>
    </w:p>
    <w:p w14:paraId="7A4C5A6D">
      <w:pPr>
        <w:ind w:firstLine="482"/>
        <w:rPr>
          <w:rFonts w:hint="eastAsia" w:ascii="宋体" w:hAnsi="宋体" w:eastAsia="宋体" w:cs="宋体"/>
          <w:b/>
        </w:rPr>
      </w:pPr>
    </w:p>
    <w:p w14:paraId="6830B419">
      <w:pPr>
        <w:ind w:firstLine="482"/>
        <w:rPr>
          <w:rFonts w:hint="eastAsia" w:ascii="宋体" w:hAnsi="宋体" w:eastAsia="宋体" w:cs="宋体"/>
          <w:b/>
        </w:rPr>
      </w:pPr>
    </w:p>
    <w:p w14:paraId="6F244DFA">
      <w:pPr>
        <w:ind w:firstLine="482"/>
        <w:rPr>
          <w:rFonts w:hint="eastAsia" w:ascii="宋体" w:hAnsi="宋体" w:eastAsia="宋体" w:cs="宋体"/>
          <w:b/>
        </w:rPr>
      </w:pPr>
      <w:r>
        <w:rPr>
          <w:rFonts w:hint="eastAsia" w:ascii="宋体" w:hAnsi="宋体" w:eastAsia="宋体" w:cs="宋体"/>
          <w:b/>
        </w:rPr>
        <w:t>投诉书制作说明：</w:t>
      </w:r>
    </w:p>
    <w:p w14:paraId="08E4D4E6">
      <w:pPr>
        <w:widowControl/>
        <w:ind w:firstLine="480"/>
        <w:rPr>
          <w:rFonts w:hint="eastAsia" w:ascii="宋体" w:hAnsi="宋体" w:eastAsia="宋体" w:cs="宋体"/>
          <w:kern w:val="0"/>
        </w:rPr>
      </w:pPr>
      <w:r>
        <w:rPr>
          <w:rFonts w:hint="eastAsia" w:ascii="宋体" w:hAnsi="宋体" w:eastAsia="宋体" w:cs="宋体"/>
        </w:rPr>
        <w:t>1.投诉人提起投诉时，应当提交投诉书和必要的证明材料，并按照被投诉人和与投诉事项有关的投标人数量提供投诉书副本。</w:t>
      </w:r>
    </w:p>
    <w:p w14:paraId="0A051BCD">
      <w:pPr>
        <w:widowControl/>
        <w:ind w:firstLine="480"/>
        <w:jc w:val="left"/>
        <w:rPr>
          <w:rFonts w:hint="eastAsia" w:ascii="宋体" w:hAnsi="宋体" w:eastAsia="宋体" w:cs="宋体"/>
          <w:kern w:val="0"/>
        </w:rPr>
      </w:pPr>
      <w:r>
        <w:rPr>
          <w:rFonts w:hint="eastAsia" w:ascii="宋体" w:hAnsi="宋体" w:eastAsia="宋体" w:cs="宋体"/>
        </w:rPr>
        <w:t>2.投诉人若委托代理人进行投诉的，投诉书应按照要求列明“</w:t>
      </w:r>
      <w:r>
        <w:rPr>
          <w:rFonts w:hint="eastAsia" w:cs="宋体"/>
          <w:lang w:eastAsia="zh-CN"/>
        </w:rPr>
        <w:t>授权代表</w:t>
      </w:r>
      <w:r>
        <w:rPr>
          <w:rFonts w:hint="eastAsia" w:ascii="宋体" w:hAnsi="宋体" w:eastAsia="宋体" w:cs="宋体"/>
        </w:rPr>
        <w:t>”的有关内容，并在附件中提交由</w:t>
      </w:r>
      <w:r>
        <w:rPr>
          <w:rFonts w:hint="eastAsia" w:ascii="宋体" w:hAnsi="宋体" w:eastAsia="宋体" w:cs="宋体"/>
          <w:kern w:val="0"/>
        </w:rPr>
        <w:t>投诉人签署的授权委托书。授权委托书应当载明代理人的姓名或者名称、代理事项、具体权限、期限和相关事项。</w:t>
      </w:r>
    </w:p>
    <w:p w14:paraId="57FF6E67">
      <w:pPr>
        <w:widowControl/>
        <w:ind w:firstLine="480"/>
        <w:jc w:val="left"/>
        <w:rPr>
          <w:rFonts w:hint="eastAsia" w:ascii="宋体" w:hAnsi="宋体" w:eastAsia="宋体" w:cs="宋体"/>
        </w:rPr>
      </w:pPr>
      <w:r>
        <w:rPr>
          <w:rFonts w:hint="eastAsia" w:ascii="宋体" w:hAnsi="宋体" w:eastAsia="宋体" w:cs="宋体"/>
        </w:rPr>
        <w:t>3.投诉书应简要列明质疑事项，质疑函、质疑答复等作为附件材料提供。</w:t>
      </w:r>
    </w:p>
    <w:p w14:paraId="419322D0">
      <w:pPr>
        <w:widowControl/>
        <w:ind w:firstLine="480"/>
        <w:jc w:val="left"/>
        <w:rPr>
          <w:rFonts w:hint="eastAsia" w:ascii="宋体" w:hAnsi="宋体" w:eastAsia="宋体" w:cs="宋体"/>
        </w:rPr>
      </w:pPr>
      <w:r>
        <w:rPr>
          <w:rFonts w:hint="eastAsia" w:ascii="宋体" w:hAnsi="宋体" w:eastAsia="宋体" w:cs="宋体"/>
        </w:rPr>
        <w:t>4.投诉书的投诉事项应具体、明确，并有必要的事实依据和法律依据。</w:t>
      </w:r>
    </w:p>
    <w:p w14:paraId="0995F202">
      <w:pPr>
        <w:widowControl/>
        <w:ind w:firstLine="480"/>
        <w:jc w:val="left"/>
        <w:rPr>
          <w:rFonts w:hint="eastAsia" w:ascii="宋体" w:hAnsi="宋体" w:eastAsia="宋体" w:cs="宋体"/>
        </w:rPr>
      </w:pPr>
      <w:r>
        <w:rPr>
          <w:rFonts w:hint="eastAsia" w:ascii="宋体" w:hAnsi="宋体" w:eastAsia="宋体" w:cs="宋体"/>
        </w:rPr>
        <w:t>5.投诉书的投诉请求应与投诉事项相关。</w:t>
      </w:r>
    </w:p>
    <w:p w14:paraId="0F23F3FE">
      <w:pPr>
        <w:widowControl/>
        <w:ind w:firstLine="480"/>
        <w:jc w:val="left"/>
        <w:rPr>
          <w:rFonts w:hint="eastAsia" w:ascii="宋体" w:hAnsi="宋体" w:eastAsia="宋体" w:cs="宋体"/>
          <w:kern w:val="0"/>
        </w:rPr>
      </w:pPr>
      <w:r>
        <w:rPr>
          <w:rFonts w:hint="eastAsia" w:ascii="宋体" w:hAnsi="宋体" w:eastAsia="宋体" w:cs="宋体"/>
        </w:rPr>
        <w:t>6.投诉人为自然人的，投诉书应当由本人签字；投诉人为法人或者其他组织的，投诉书应当由法定代表人、主要负责人，或者其</w:t>
      </w:r>
      <w:r>
        <w:rPr>
          <w:rFonts w:hint="eastAsia" w:cs="宋体"/>
          <w:lang w:eastAsia="zh-CN"/>
        </w:rPr>
        <w:t>授权代表</w:t>
      </w:r>
      <w:r>
        <w:rPr>
          <w:rFonts w:hint="eastAsia" w:ascii="宋体" w:hAnsi="宋体" w:eastAsia="宋体" w:cs="宋体"/>
        </w:rPr>
        <w:t>签字或者盖章，并加盖公章。</w:t>
      </w:r>
    </w:p>
    <w:p w14:paraId="135920AC">
      <w:pPr>
        <w:ind w:firstLine="482"/>
        <w:rPr>
          <w:rFonts w:hint="eastAsia" w:ascii="宋体" w:hAnsi="宋体" w:eastAsia="宋体" w:cs="宋体"/>
          <w:b/>
          <w:color w:val="FF0000"/>
        </w:rPr>
      </w:pPr>
    </w:p>
    <w:sectPr>
      <w:headerReference r:id="rId21" w:type="default"/>
      <w:footerReference r:id="rId22" w:type="default"/>
      <w:pgSz w:w="11906" w:h="16838"/>
      <w:pgMar w:top="1440" w:right="1304" w:bottom="1020" w:left="1304"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金山简黑体">
    <w:altName w:val="宋体"/>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MT Extra">
    <w:panose1 w:val="05050102010205020202"/>
    <w:charset w:val="02"/>
    <w:family w:val="roman"/>
    <w:pitch w:val="default"/>
    <w:sig w:usb0="80000000" w:usb1="00000000" w:usb2="00000000" w:usb3="00000000" w:csb0="00000000" w:csb1="00000000"/>
  </w:font>
  <w:font w:name="ScalaSansLF-Regular">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BAEC3">
    <w:pPr>
      <w:pStyle w:val="26"/>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1BEDF">
    <w:pPr>
      <w:pStyle w:val="26"/>
      <w:ind w:firstLine="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105ECB">
                          <w:pPr>
                            <w:pStyle w:val="26"/>
                          </w:pPr>
                          <w:r>
                            <w:t xml:space="preserve">第 </w:t>
                          </w:r>
                          <w:r>
                            <w:fldChar w:fldCharType="begin"/>
                          </w:r>
                          <w:r>
                            <w:instrText xml:space="preserve"> PAGE  \* MERGEFORMAT </w:instrText>
                          </w:r>
                          <w:r>
                            <w:fldChar w:fldCharType="separate"/>
                          </w:r>
                          <w:r>
                            <w:t>117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8105ECB">
                    <w:pPr>
                      <w:pStyle w:val="26"/>
                    </w:pPr>
                    <w:r>
                      <w:t xml:space="preserve">第 </w:t>
                    </w:r>
                    <w:r>
                      <w:fldChar w:fldCharType="begin"/>
                    </w:r>
                    <w:r>
                      <w:instrText xml:space="preserve"> PAGE  \* MERGEFORMAT </w:instrText>
                    </w:r>
                    <w:r>
                      <w:fldChar w:fldCharType="separate"/>
                    </w:r>
                    <w:r>
                      <w:t>117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67547">
    <w:pPr>
      <w:pStyle w:val="2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72EF9">
    <w:pPr>
      <w:pStyle w:val="2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935E1">
    <w:pPr>
      <w:pStyle w:val="26"/>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5616F">
    <w:pPr>
      <w:pStyle w:val="26"/>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56B34">
    <w:pPr>
      <w:pStyle w:val="26"/>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71F139">
                          <w:pPr>
                            <w:pStyle w:val="26"/>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471F139">
                    <w:pPr>
                      <w:pStyle w:val="26"/>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F01CF">
    <w:pPr>
      <w:pStyle w:val="26"/>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F9A03A">
                          <w:pPr>
                            <w:pStyle w:val="26"/>
                          </w:pPr>
                          <w:r>
                            <w:t xml:space="preserve">第 </w:t>
                          </w:r>
                          <w:r>
                            <w:fldChar w:fldCharType="begin"/>
                          </w:r>
                          <w:r>
                            <w:instrText xml:space="preserve"> PAGE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4F9A03A">
                    <w:pPr>
                      <w:pStyle w:val="26"/>
                    </w:pPr>
                    <w:r>
                      <w:t xml:space="preserve">第 </w:t>
                    </w:r>
                    <w:r>
                      <w:fldChar w:fldCharType="begin"/>
                    </w:r>
                    <w:r>
                      <w:instrText xml:space="preserve"> PAGE  \* MERGEFORMAT </w:instrText>
                    </w:r>
                    <w:r>
                      <w:fldChar w:fldCharType="separate"/>
                    </w:r>
                    <w:r>
                      <w:t>6</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1C839">
    <w:pPr>
      <w:pStyle w:val="26"/>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A20DBE">
                          <w:pPr>
                            <w:pStyle w:val="26"/>
                          </w:pPr>
                          <w:r>
                            <w:t xml:space="preserve">第 </w:t>
                          </w:r>
                          <w:r>
                            <w:fldChar w:fldCharType="begin"/>
                          </w:r>
                          <w:r>
                            <w:instrText xml:space="preserve"> PAGE  \* MERGEFORMAT </w:instrText>
                          </w:r>
                          <w:r>
                            <w:fldChar w:fldCharType="separate"/>
                          </w:r>
                          <w:r>
                            <w:t>96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AA20DBE">
                    <w:pPr>
                      <w:pStyle w:val="26"/>
                    </w:pPr>
                    <w:r>
                      <w:t xml:space="preserve">第 </w:t>
                    </w:r>
                    <w:r>
                      <w:fldChar w:fldCharType="begin"/>
                    </w:r>
                    <w:r>
                      <w:instrText xml:space="preserve"> PAGE  \* MERGEFORMAT </w:instrText>
                    </w:r>
                    <w:r>
                      <w:fldChar w:fldCharType="separate"/>
                    </w:r>
                    <w:r>
                      <w:t>96</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A5FFC">
    <w:pPr>
      <w:pStyle w:val="26"/>
      <w:ind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4BC3B6">
                          <w:pPr>
                            <w:pStyle w:val="26"/>
                          </w:pPr>
                          <w:r>
                            <w:t xml:space="preserve">第 </w:t>
                          </w:r>
                          <w:r>
                            <w:fldChar w:fldCharType="begin"/>
                          </w:r>
                          <w:r>
                            <w:instrText xml:space="preserve"> PAGE  \* MERGEFORMAT </w:instrText>
                          </w:r>
                          <w:r>
                            <w:fldChar w:fldCharType="separate"/>
                          </w:r>
                          <w:r>
                            <w:t>97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B4BC3B6">
                    <w:pPr>
                      <w:pStyle w:val="26"/>
                    </w:pPr>
                    <w:r>
                      <w:t xml:space="preserve">第 </w:t>
                    </w:r>
                    <w:r>
                      <w:fldChar w:fldCharType="begin"/>
                    </w:r>
                    <w:r>
                      <w:instrText xml:space="preserve"> PAGE  \* MERGEFORMAT </w:instrText>
                    </w:r>
                    <w:r>
                      <w:fldChar w:fldCharType="separate"/>
                    </w:r>
                    <w:r>
                      <w:t>97</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3D995">
    <w:pPr>
      <w:pStyle w:val="28"/>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321A2">
    <w:pPr>
      <w:pStyle w:val="2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81F41">
    <w:pPr>
      <w:pStyle w:val="2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BF57D">
    <w:pPr>
      <w:pStyle w:val="28"/>
      <w:pBdr>
        <w:bottom w:val="none" w:color="auto" w:sz="0" w:space="1"/>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33ECB">
    <w:pPr>
      <w:pStyle w:val="28"/>
      <w:pBdr>
        <w:bottom w:val="none" w:color="auto" w:sz="0" w:space="1"/>
      </w:pBdr>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EA095">
    <w:pPr>
      <w:pStyle w:val="28"/>
      <w:pBdr>
        <w:bottom w:val="none" w:color="auto" w:sz="0" w:space="1"/>
      </w:pBdr>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333FB">
    <w:pPr>
      <w:pStyle w:val="28"/>
      <w:pBdr>
        <w:bottom w:val="none" w:color="auto" w:sz="0" w:space="1"/>
      </w:pBdr>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3E2CB">
    <w:pPr>
      <w:pStyle w:val="28"/>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4130BF"/>
    <w:multiLevelType w:val="singleLevel"/>
    <w:tmpl w:val="C84130BF"/>
    <w:lvl w:ilvl="0" w:tentative="0">
      <w:start w:val="1"/>
      <w:numFmt w:val="decimal"/>
      <w:lvlText w:val="%1."/>
      <w:lvlJc w:val="left"/>
      <w:pPr>
        <w:tabs>
          <w:tab w:val="left" w:pos="312"/>
        </w:tabs>
      </w:pPr>
    </w:lvl>
  </w:abstractNum>
  <w:abstractNum w:abstractNumId="1">
    <w:nsid w:val="E21998DF"/>
    <w:multiLevelType w:val="singleLevel"/>
    <w:tmpl w:val="E21998DF"/>
    <w:lvl w:ilvl="0" w:tentative="0">
      <w:start w:val="1"/>
      <w:numFmt w:val="chineseCounting"/>
      <w:suff w:val="space"/>
      <w:lvlText w:val="第%1章"/>
      <w:lvlJc w:val="left"/>
      <w:rPr>
        <w:rFonts w:hint="eastAsia"/>
      </w:rPr>
    </w:lvl>
  </w:abstractNum>
  <w:abstractNum w:abstractNumId="2">
    <w:nsid w:val="E451AFB4"/>
    <w:multiLevelType w:val="singleLevel"/>
    <w:tmpl w:val="E451AFB4"/>
    <w:lvl w:ilvl="0" w:tentative="0">
      <w:start w:val="10"/>
      <w:numFmt w:val="chineseCounting"/>
      <w:suff w:val="space"/>
      <w:lvlText w:val="第%1节"/>
      <w:lvlJc w:val="left"/>
      <w:rPr>
        <w:rFonts w:hint="eastAsia"/>
      </w:rPr>
    </w:lvl>
  </w:abstractNum>
  <w:abstractNum w:abstractNumId="3">
    <w:nsid w:val="00000006"/>
    <w:multiLevelType w:val="multilevel"/>
    <w:tmpl w:val="00000006"/>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00000009"/>
    <w:multiLevelType w:val="multilevel"/>
    <w:tmpl w:val="00000009"/>
    <w:lvl w:ilvl="0" w:tentative="0">
      <w:start w:val="1"/>
      <w:numFmt w:val="decimal"/>
      <w:lvlText w:val="%1."/>
      <w:lvlJc w:val="left"/>
      <w:pPr>
        <w:ind w:left="420" w:hanging="420"/>
      </w:pPr>
    </w:lvl>
    <w:lvl w:ilvl="1" w:tentative="0">
      <w:start w:val="1"/>
      <w:numFmt w:val="lowerLetter"/>
      <w:pStyle w:val="127"/>
      <w:lvlText w:val="%2)"/>
      <w:lvlJc w:val="left"/>
      <w:pPr>
        <w:ind w:left="840" w:hanging="420"/>
      </w:pPr>
    </w:lvl>
    <w:lvl w:ilvl="2" w:tentative="0">
      <w:start w:val="1"/>
      <w:numFmt w:val="lowerRoman"/>
      <w:pStyle w:val="172"/>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F"/>
    <w:multiLevelType w:val="multilevel"/>
    <w:tmpl w:val="0000000F"/>
    <w:lvl w:ilvl="0" w:tentative="0">
      <w:start w:val="1"/>
      <w:numFmt w:val="decimal"/>
      <w:pStyle w:val="13"/>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00000010"/>
    <w:multiLevelType w:val="multilevel"/>
    <w:tmpl w:val="00000010"/>
    <w:lvl w:ilvl="0" w:tentative="0">
      <w:start w:val="1"/>
      <w:numFmt w:val="decimal"/>
      <w:pStyle w:val="17"/>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4BFDDBFF"/>
    <w:multiLevelType w:val="singleLevel"/>
    <w:tmpl w:val="4BFDDBFF"/>
    <w:lvl w:ilvl="0" w:tentative="0">
      <w:start w:val="1"/>
      <w:numFmt w:val="decimal"/>
      <w:suff w:val="nothing"/>
      <w:lvlText w:val="（%1）"/>
      <w:lvlJc w:val="left"/>
    </w:lvl>
  </w:abstractNum>
  <w:num w:numId="1">
    <w:abstractNumId w:val="5"/>
  </w:num>
  <w:num w:numId="2">
    <w:abstractNumId w:val="6"/>
  </w:num>
  <w:num w:numId="3">
    <w:abstractNumId w:val="4"/>
  </w:num>
  <w:num w:numId="4">
    <w:abstractNumId w:val="1"/>
  </w:num>
  <w:num w:numId="5">
    <w:abstractNumId w:val="0"/>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kNjA2YzQ4YjM4MzJhY2FhNjQwYzcxZGFmNTE5NWUifQ=="/>
  </w:docVars>
  <w:rsids>
    <w:rsidRoot w:val="00172A27"/>
    <w:rsid w:val="0000025A"/>
    <w:rsid w:val="00001CC1"/>
    <w:rsid w:val="000035F4"/>
    <w:rsid w:val="000037F0"/>
    <w:rsid w:val="00011721"/>
    <w:rsid w:val="000138E8"/>
    <w:rsid w:val="00015136"/>
    <w:rsid w:val="0001591E"/>
    <w:rsid w:val="0001599C"/>
    <w:rsid w:val="00015D46"/>
    <w:rsid w:val="00017060"/>
    <w:rsid w:val="00017A9F"/>
    <w:rsid w:val="000203D3"/>
    <w:rsid w:val="00020CF8"/>
    <w:rsid w:val="00025F4A"/>
    <w:rsid w:val="00026A02"/>
    <w:rsid w:val="00030E74"/>
    <w:rsid w:val="00031467"/>
    <w:rsid w:val="0003254D"/>
    <w:rsid w:val="00032E39"/>
    <w:rsid w:val="00034AF2"/>
    <w:rsid w:val="00035A54"/>
    <w:rsid w:val="00036D69"/>
    <w:rsid w:val="000404A4"/>
    <w:rsid w:val="00041C10"/>
    <w:rsid w:val="00042B4E"/>
    <w:rsid w:val="00042EB3"/>
    <w:rsid w:val="00044BCE"/>
    <w:rsid w:val="00045487"/>
    <w:rsid w:val="000466DF"/>
    <w:rsid w:val="000501FA"/>
    <w:rsid w:val="00050C78"/>
    <w:rsid w:val="000522E6"/>
    <w:rsid w:val="0005297E"/>
    <w:rsid w:val="000559D6"/>
    <w:rsid w:val="00055E6D"/>
    <w:rsid w:val="00056173"/>
    <w:rsid w:val="0005637F"/>
    <w:rsid w:val="00057D5B"/>
    <w:rsid w:val="000604C8"/>
    <w:rsid w:val="00060EE0"/>
    <w:rsid w:val="00060F38"/>
    <w:rsid w:val="000613C9"/>
    <w:rsid w:val="00061709"/>
    <w:rsid w:val="00061751"/>
    <w:rsid w:val="0006421C"/>
    <w:rsid w:val="00064331"/>
    <w:rsid w:val="0006488C"/>
    <w:rsid w:val="00066FF5"/>
    <w:rsid w:val="0007147A"/>
    <w:rsid w:val="00071D0C"/>
    <w:rsid w:val="00073925"/>
    <w:rsid w:val="000745F6"/>
    <w:rsid w:val="0007498A"/>
    <w:rsid w:val="00080A0E"/>
    <w:rsid w:val="000839F9"/>
    <w:rsid w:val="00084E75"/>
    <w:rsid w:val="00085C83"/>
    <w:rsid w:val="00087CAA"/>
    <w:rsid w:val="00090D1F"/>
    <w:rsid w:val="00090FF6"/>
    <w:rsid w:val="0009249B"/>
    <w:rsid w:val="00092B40"/>
    <w:rsid w:val="00093E97"/>
    <w:rsid w:val="000943A3"/>
    <w:rsid w:val="00094405"/>
    <w:rsid w:val="00094BA4"/>
    <w:rsid w:val="00097898"/>
    <w:rsid w:val="000979EB"/>
    <w:rsid w:val="000A04CF"/>
    <w:rsid w:val="000A06EB"/>
    <w:rsid w:val="000A1C87"/>
    <w:rsid w:val="000A1CDE"/>
    <w:rsid w:val="000A1D3B"/>
    <w:rsid w:val="000A2B27"/>
    <w:rsid w:val="000A5003"/>
    <w:rsid w:val="000A587C"/>
    <w:rsid w:val="000A7A8F"/>
    <w:rsid w:val="000B1739"/>
    <w:rsid w:val="000B18F5"/>
    <w:rsid w:val="000B3801"/>
    <w:rsid w:val="000B46DF"/>
    <w:rsid w:val="000B58E3"/>
    <w:rsid w:val="000C250F"/>
    <w:rsid w:val="000C2DAF"/>
    <w:rsid w:val="000C30E1"/>
    <w:rsid w:val="000C37C9"/>
    <w:rsid w:val="000C5DBD"/>
    <w:rsid w:val="000D2071"/>
    <w:rsid w:val="000D331A"/>
    <w:rsid w:val="000D4D96"/>
    <w:rsid w:val="000D57D1"/>
    <w:rsid w:val="000D788C"/>
    <w:rsid w:val="000D7C23"/>
    <w:rsid w:val="000D7FEC"/>
    <w:rsid w:val="000E1852"/>
    <w:rsid w:val="000E1EAA"/>
    <w:rsid w:val="000E1EEA"/>
    <w:rsid w:val="000E3154"/>
    <w:rsid w:val="000E77D9"/>
    <w:rsid w:val="000F12CA"/>
    <w:rsid w:val="000F3297"/>
    <w:rsid w:val="000F444F"/>
    <w:rsid w:val="000F4473"/>
    <w:rsid w:val="000F58E0"/>
    <w:rsid w:val="000F6102"/>
    <w:rsid w:val="000F64D5"/>
    <w:rsid w:val="000F7916"/>
    <w:rsid w:val="0010080A"/>
    <w:rsid w:val="0010157A"/>
    <w:rsid w:val="00103897"/>
    <w:rsid w:val="0011181B"/>
    <w:rsid w:val="0011211A"/>
    <w:rsid w:val="00112B47"/>
    <w:rsid w:val="001148C6"/>
    <w:rsid w:val="00115094"/>
    <w:rsid w:val="001200F0"/>
    <w:rsid w:val="00123CE3"/>
    <w:rsid w:val="0012516A"/>
    <w:rsid w:val="001266F7"/>
    <w:rsid w:val="00127E3B"/>
    <w:rsid w:val="00130D49"/>
    <w:rsid w:val="00134E45"/>
    <w:rsid w:val="001354D5"/>
    <w:rsid w:val="0013792B"/>
    <w:rsid w:val="00140519"/>
    <w:rsid w:val="001443A3"/>
    <w:rsid w:val="0014477F"/>
    <w:rsid w:val="00144E22"/>
    <w:rsid w:val="00145FC1"/>
    <w:rsid w:val="00153938"/>
    <w:rsid w:val="00154FA3"/>
    <w:rsid w:val="00155BCC"/>
    <w:rsid w:val="001568D6"/>
    <w:rsid w:val="001603BB"/>
    <w:rsid w:val="00160F1A"/>
    <w:rsid w:val="001613F6"/>
    <w:rsid w:val="00162AC7"/>
    <w:rsid w:val="00163CF5"/>
    <w:rsid w:val="00163D3F"/>
    <w:rsid w:val="00164038"/>
    <w:rsid w:val="0016454E"/>
    <w:rsid w:val="00164B17"/>
    <w:rsid w:val="00165D8D"/>
    <w:rsid w:val="00166F73"/>
    <w:rsid w:val="0017056C"/>
    <w:rsid w:val="00170665"/>
    <w:rsid w:val="00170679"/>
    <w:rsid w:val="001719C5"/>
    <w:rsid w:val="0017260C"/>
    <w:rsid w:val="0017509E"/>
    <w:rsid w:val="00176C19"/>
    <w:rsid w:val="00181D19"/>
    <w:rsid w:val="00182B31"/>
    <w:rsid w:val="00182C1C"/>
    <w:rsid w:val="0018410D"/>
    <w:rsid w:val="001843C6"/>
    <w:rsid w:val="0018455B"/>
    <w:rsid w:val="00184735"/>
    <w:rsid w:val="00184FB7"/>
    <w:rsid w:val="001858A6"/>
    <w:rsid w:val="00186FFB"/>
    <w:rsid w:val="00187352"/>
    <w:rsid w:val="00187590"/>
    <w:rsid w:val="00187674"/>
    <w:rsid w:val="00190477"/>
    <w:rsid w:val="00194B73"/>
    <w:rsid w:val="00195532"/>
    <w:rsid w:val="00195534"/>
    <w:rsid w:val="00195F5B"/>
    <w:rsid w:val="001967ED"/>
    <w:rsid w:val="001A0A45"/>
    <w:rsid w:val="001A1F36"/>
    <w:rsid w:val="001A24A9"/>
    <w:rsid w:val="001A5AD8"/>
    <w:rsid w:val="001A6304"/>
    <w:rsid w:val="001B0AEC"/>
    <w:rsid w:val="001B223C"/>
    <w:rsid w:val="001B4607"/>
    <w:rsid w:val="001B6084"/>
    <w:rsid w:val="001B68D8"/>
    <w:rsid w:val="001C031F"/>
    <w:rsid w:val="001C09CF"/>
    <w:rsid w:val="001C42CD"/>
    <w:rsid w:val="001C441C"/>
    <w:rsid w:val="001C4DD1"/>
    <w:rsid w:val="001C4DE4"/>
    <w:rsid w:val="001C6E99"/>
    <w:rsid w:val="001C78A7"/>
    <w:rsid w:val="001D0433"/>
    <w:rsid w:val="001D25B6"/>
    <w:rsid w:val="001D2793"/>
    <w:rsid w:val="001D3200"/>
    <w:rsid w:val="001D6435"/>
    <w:rsid w:val="001D67D5"/>
    <w:rsid w:val="001E45D9"/>
    <w:rsid w:val="001E4700"/>
    <w:rsid w:val="001E6BA1"/>
    <w:rsid w:val="001F1D58"/>
    <w:rsid w:val="001F2B86"/>
    <w:rsid w:val="001F2C3F"/>
    <w:rsid w:val="001F30F7"/>
    <w:rsid w:val="001F3E81"/>
    <w:rsid w:val="001F4CF7"/>
    <w:rsid w:val="001F6B29"/>
    <w:rsid w:val="001F72A2"/>
    <w:rsid w:val="001F7AB6"/>
    <w:rsid w:val="00200203"/>
    <w:rsid w:val="00200224"/>
    <w:rsid w:val="00201004"/>
    <w:rsid w:val="00202DB8"/>
    <w:rsid w:val="00204B71"/>
    <w:rsid w:val="00207178"/>
    <w:rsid w:val="002122DB"/>
    <w:rsid w:val="00213792"/>
    <w:rsid w:val="00213994"/>
    <w:rsid w:val="00213B07"/>
    <w:rsid w:val="002152F0"/>
    <w:rsid w:val="00216D32"/>
    <w:rsid w:val="00216EB4"/>
    <w:rsid w:val="00221913"/>
    <w:rsid w:val="00221953"/>
    <w:rsid w:val="00226E86"/>
    <w:rsid w:val="00226F50"/>
    <w:rsid w:val="00230A4E"/>
    <w:rsid w:val="00232602"/>
    <w:rsid w:val="00232F13"/>
    <w:rsid w:val="00233085"/>
    <w:rsid w:val="0023344E"/>
    <w:rsid w:val="00234F46"/>
    <w:rsid w:val="00237051"/>
    <w:rsid w:val="002372E3"/>
    <w:rsid w:val="002408C8"/>
    <w:rsid w:val="002416E9"/>
    <w:rsid w:val="0024232D"/>
    <w:rsid w:val="00242A24"/>
    <w:rsid w:val="002434B6"/>
    <w:rsid w:val="002447B7"/>
    <w:rsid w:val="002452ED"/>
    <w:rsid w:val="00245594"/>
    <w:rsid w:val="002510A9"/>
    <w:rsid w:val="0025343D"/>
    <w:rsid w:val="002539A2"/>
    <w:rsid w:val="00254E25"/>
    <w:rsid w:val="0026022B"/>
    <w:rsid w:val="002621F0"/>
    <w:rsid w:val="002631AE"/>
    <w:rsid w:val="002662A3"/>
    <w:rsid w:val="0026685D"/>
    <w:rsid w:val="0026688A"/>
    <w:rsid w:val="00266937"/>
    <w:rsid w:val="00267608"/>
    <w:rsid w:val="00267CCE"/>
    <w:rsid w:val="00270528"/>
    <w:rsid w:val="0027327B"/>
    <w:rsid w:val="00277B3D"/>
    <w:rsid w:val="00281B19"/>
    <w:rsid w:val="00282430"/>
    <w:rsid w:val="00283762"/>
    <w:rsid w:val="00283A95"/>
    <w:rsid w:val="00283DBA"/>
    <w:rsid w:val="00284F2C"/>
    <w:rsid w:val="00287043"/>
    <w:rsid w:val="00290DB3"/>
    <w:rsid w:val="002A0D60"/>
    <w:rsid w:val="002A1458"/>
    <w:rsid w:val="002A2966"/>
    <w:rsid w:val="002A2D74"/>
    <w:rsid w:val="002A350A"/>
    <w:rsid w:val="002A5605"/>
    <w:rsid w:val="002A6116"/>
    <w:rsid w:val="002B1E3C"/>
    <w:rsid w:val="002B4EEF"/>
    <w:rsid w:val="002B510A"/>
    <w:rsid w:val="002B5196"/>
    <w:rsid w:val="002B5982"/>
    <w:rsid w:val="002B6139"/>
    <w:rsid w:val="002C1486"/>
    <w:rsid w:val="002C44B8"/>
    <w:rsid w:val="002C549E"/>
    <w:rsid w:val="002C55D2"/>
    <w:rsid w:val="002D39A3"/>
    <w:rsid w:val="002D3BB1"/>
    <w:rsid w:val="002D4566"/>
    <w:rsid w:val="002D4C27"/>
    <w:rsid w:val="002D4D08"/>
    <w:rsid w:val="002D6292"/>
    <w:rsid w:val="002D6B47"/>
    <w:rsid w:val="002D73CD"/>
    <w:rsid w:val="002E2BEE"/>
    <w:rsid w:val="002E3121"/>
    <w:rsid w:val="002E3D90"/>
    <w:rsid w:val="002E41DB"/>
    <w:rsid w:val="002E5135"/>
    <w:rsid w:val="002E5D7F"/>
    <w:rsid w:val="002F1165"/>
    <w:rsid w:val="002F2D4B"/>
    <w:rsid w:val="002F3D28"/>
    <w:rsid w:val="002F603A"/>
    <w:rsid w:val="003032C9"/>
    <w:rsid w:val="003034D2"/>
    <w:rsid w:val="00305221"/>
    <w:rsid w:val="00306305"/>
    <w:rsid w:val="0030784B"/>
    <w:rsid w:val="00311320"/>
    <w:rsid w:val="00311A5F"/>
    <w:rsid w:val="00312109"/>
    <w:rsid w:val="00313655"/>
    <w:rsid w:val="0031380D"/>
    <w:rsid w:val="00313C6B"/>
    <w:rsid w:val="00314DA9"/>
    <w:rsid w:val="00317FBE"/>
    <w:rsid w:val="0032495C"/>
    <w:rsid w:val="00325B6A"/>
    <w:rsid w:val="0032613D"/>
    <w:rsid w:val="0032700C"/>
    <w:rsid w:val="00327F94"/>
    <w:rsid w:val="00330393"/>
    <w:rsid w:val="0033149C"/>
    <w:rsid w:val="00331EDE"/>
    <w:rsid w:val="00335987"/>
    <w:rsid w:val="00337586"/>
    <w:rsid w:val="00345C73"/>
    <w:rsid w:val="00345F39"/>
    <w:rsid w:val="0034601A"/>
    <w:rsid w:val="00347C07"/>
    <w:rsid w:val="00350C68"/>
    <w:rsid w:val="00353396"/>
    <w:rsid w:val="00354041"/>
    <w:rsid w:val="00355FD0"/>
    <w:rsid w:val="00356AA8"/>
    <w:rsid w:val="003578D6"/>
    <w:rsid w:val="003618CD"/>
    <w:rsid w:val="003625D8"/>
    <w:rsid w:val="003630D0"/>
    <w:rsid w:val="00366D40"/>
    <w:rsid w:val="00367ED7"/>
    <w:rsid w:val="003751EF"/>
    <w:rsid w:val="00375E93"/>
    <w:rsid w:val="00394765"/>
    <w:rsid w:val="003977AF"/>
    <w:rsid w:val="00397FCB"/>
    <w:rsid w:val="003A118C"/>
    <w:rsid w:val="003A17D7"/>
    <w:rsid w:val="003A21C4"/>
    <w:rsid w:val="003A3CE9"/>
    <w:rsid w:val="003A52B2"/>
    <w:rsid w:val="003A699A"/>
    <w:rsid w:val="003B0382"/>
    <w:rsid w:val="003C0650"/>
    <w:rsid w:val="003C0693"/>
    <w:rsid w:val="003C399C"/>
    <w:rsid w:val="003C430F"/>
    <w:rsid w:val="003C6FB6"/>
    <w:rsid w:val="003C70A4"/>
    <w:rsid w:val="003D111D"/>
    <w:rsid w:val="003D1A1D"/>
    <w:rsid w:val="003D441F"/>
    <w:rsid w:val="003D655A"/>
    <w:rsid w:val="003D71E5"/>
    <w:rsid w:val="003D7511"/>
    <w:rsid w:val="003D77DA"/>
    <w:rsid w:val="003D79E7"/>
    <w:rsid w:val="003E20EF"/>
    <w:rsid w:val="003E284D"/>
    <w:rsid w:val="003E2AB8"/>
    <w:rsid w:val="003E5143"/>
    <w:rsid w:val="003E69EF"/>
    <w:rsid w:val="003E7AC3"/>
    <w:rsid w:val="003F281F"/>
    <w:rsid w:val="003F310F"/>
    <w:rsid w:val="003F34D7"/>
    <w:rsid w:val="003F440F"/>
    <w:rsid w:val="003F491A"/>
    <w:rsid w:val="003F6B3A"/>
    <w:rsid w:val="003F7C56"/>
    <w:rsid w:val="00403094"/>
    <w:rsid w:val="00405EBF"/>
    <w:rsid w:val="004076A6"/>
    <w:rsid w:val="00407BB7"/>
    <w:rsid w:val="004105ED"/>
    <w:rsid w:val="004120D4"/>
    <w:rsid w:val="00412FF5"/>
    <w:rsid w:val="004137FE"/>
    <w:rsid w:val="0041720E"/>
    <w:rsid w:val="00423C6D"/>
    <w:rsid w:val="00427C54"/>
    <w:rsid w:val="00427CA5"/>
    <w:rsid w:val="0043001F"/>
    <w:rsid w:val="004341AA"/>
    <w:rsid w:val="004345EE"/>
    <w:rsid w:val="00434685"/>
    <w:rsid w:val="00434C28"/>
    <w:rsid w:val="0043524F"/>
    <w:rsid w:val="00435437"/>
    <w:rsid w:val="00437350"/>
    <w:rsid w:val="0043763D"/>
    <w:rsid w:val="004376E4"/>
    <w:rsid w:val="00440896"/>
    <w:rsid w:val="00443217"/>
    <w:rsid w:val="00445CFD"/>
    <w:rsid w:val="004468DE"/>
    <w:rsid w:val="00447492"/>
    <w:rsid w:val="00447A63"/>
    <w:rsid w:val="0045047B"/>
    <w:rsid w:val="004537CA"/>
    <w:rsid w:val="0045693A"/>
    <w:rsid w:val="004574CF"/>
    <w:rsid w:val="0045750D"/>
    <w:rsid w:val="00460B52"/>
    <w:rsid w:val="0046116C"/>
    <w:rsid w:val="00461887"/>
    <w:rsid w:val="0046220A"/>
    <w:rsid w:val="00462D41"/>
    <w:rsid w:val="00462EDE"/>
    <w:rsid w:val="00464FB5"/>
    <w:rsid w:val="00465A03"/>
    <w:rsid w:val="00465C7B"/>
    <w:rsid w:val="004673A3"/>
    <w:rsid w:val="004700E2"/>
    <w:rsid w:val="00470586"/>
    <w:rsid w:val="00470BCA"/>
    <w:rsid w:val="00471405"/>
    <w:rsid w:val="004725F2"/>
    <w:rsid w:val="00475E8A"/>
    <w:rsid w:val="00477053"/>
    <w:rsid w:val="00477109"/>
    <w:rsid w:val="004825DD"/>
    <w:rsid w:val="00483296"/>
    <w:rsid w:val="0048641F"/>
    <w:rsid w:val="00486775"/>
    <w:rsid w:val="00487BD0"/>
    <w:rsid w:val="0049040C"/>
    <w:rsid w:val="00492413"/>
    <w:rsid w:val="00492B7F"/>
    <w:rsid w:val="00492C6B"/>
    <w:rsid w:val="00492E09"/>
    <w:rsid w:val="00493CA6"/>
    <w:rsid w:val="004943E8"/>
    <w:rsid w:val="00495E2B"/>
    <w:rsid w:val="00495E3C"/>
    <w:rsid w:val="004A020F"/>
    <w:rsid w:val="004A4AEB"/>
    <w:rsid w:val="004A62DD"/>
    <w:rsid w:val="004B067B"/>
    <w:rsid w:val="004B2E62"/>
    <w:rsid w:val="004B5EC6"/>
    <w:rsid w:val="004B6762"/>
    <w:rsid w:val="004B6CFF"/>
    <w:rsid w:val="004B7F6E"/>
    <w:rsid w:val="004C16D5"/>
    <w:rsid w:val="004C199B"/>
    <w:rsid w:val="004C1B9D"/>
    <w:rsid w:val="004C216A"/>
    <w:rsid w:val="004C32D6"/>
    <w:rsid w:val="004C3684"/>
    <w:rsid w:val="004C60E9"/>
    <w:rsid w:val="004D0206"/>
    <w:rsid w:val="004D048E"/>
    <w:rsid w:val="004D0C51"/>
    <w:rsid w:val="004D0DD6"/>
    <w:rsid w:val="004D150A"/>
    <w:rsid w:val="004D29FF"/>
    <w:rsid w:val="004D4AEB"/>
    <w:rsid w:val="004D626B"/>
    <w:rsid w:val="004D6905"/>
    <w:rsid w:val="004D6F27"/>
    <w:rsid w:val="004D7553"/>
    <w:rsid w:val="004D7C4C"/>
    <w:rsid w:val="004E0F9A"/>
    <w:rsid w:val="004E21F5"/>
    <w:rsid w:val="004E4CB6"/>
    <w:rsid w:val="004E6BA4"/>
    <w:rsid w:val="004E7787"/>
    <w:rsid w:val="004E7B1A"/>
    <w:rsid w:val="004F0B26"/>
    <w:rsid w:val="004F0FCE"/>
    <w:rsid w:val="004F1662"/>
    <w:rsid w:val="004F202B"/>
    <w:rsid w:val="004F3507"/>
    <w:rsid w:val="004F36B4"/>
    <w:rsid w:val="004F3EE4"/>
    <w:rsid w:val="004F42C4"/>
    <w:rsid w:val="004F5477"/>
    <w:rsid w:val="004F7E99"/>
    <w:rsid w:val="004F7FE8"/>
    <w:rsid w:val="0050000D"/>
    <w:rsid w:val="00500645"/>
    <w:rsid w:val="00503042"/>
    <w:rsid w:val="00503AA5"/>
    <w:rsid w:val="00504E09"/>
    <w:rsid w:val="0050638A"/>
    <w:rsid w:val="005165AB"/>
    <w:rsid w:val="00516B63"/>
    <w:rsid w:val="005206C3"/>
    <w:rsid w:val="00521C7F"/>
    <w:rsid w:val="00522102"/>
    <w:rsid w:val="00522CAF"/>
    <w:rsid w:val="00524C9D"/>
    <w:rsid w:val="00526755"/>
    <w:rsid w:val="00526C59"/>
    <w:rsid w:val="00530109"/>
    <w:rsid w:val="005307BC"/>
    <w:rsid w:val="00530BB1"/>
    <w:rsid w:val="00530CDC"/>
    <w:rsid w:val="0053248E"/>
    <w:rsid w:val="00532B43"/>
    <w:rsid w:val="00533248"/>
    <w:rsid w:val="005345B3"/>
    <w:rsid w:val="00537959"/>
    <w:rsid w:val="0054009A"/>
    <w:rsid w:val="00541249"/>
    <w:rsid w:val="00541A28"/>
    <w:rsid w:val="00543072"/>
    <w:rsid w:val="00546782"/>
    <w:rsid w:val="005507B7"/>
    <w:rsid w:val="005527B8"/>
    <w:rsid w:val="005548A9"/>
    <w:rsid w:val="005561D8"/>
    <w:rsid w:val="00557FFD"/>
    <w:rsid w:val="005618A8"/>
    <w:rsid w:val="00561DC5"/>
    <w:rsid w:val="005630BA"/>
    <w:rsid w:val="005661C0"/>
    <w:rsid w:val="00566D88"/>
    <w:rsid w:val="005701DE"/>
    <w:rsid w:val="0057111D"/>
    <w:rsid w:val="0057269B"/>
    <w:rsid w:val="005731F7"/>
    <w:rsid w:val="00574EF9"/>
    <w:rsid w:val="00576E2C"/>
    <w:rsid w:val="005770DF"/>
    <w:rsid w:val="00577127"/>
    <w:rsid w:val="00580F00"/>
    <w:rsid w:val="005827EF"/>
    <w:rsid w:val="00583761"/>
    <w:rsid w:val="0058503E"/>
    <w:rsid w:val="0058622B"/>
    <w:rsid w:val="00587A9A"/>
    <w:rsid w:val="005964EA"/>
    <w:rsid w:val="005A002A"/>
    <w:rsid w:val="005A010C"/>
    <w:rsid w:val="005A130D"/>
    <w:rsid w:val="005A1600"/>
    <w:rsid w:val="005A1ACF"/>
    <w:rsid w:val="005A1B31"/>
    <w:rsid w:val="005A6194"/>
    <w:rsid w:val="005A6EA3"/>
    <w:rsid w:val="005A7C49"/>
    <w:rsid w:val="005B06FB"/>
    <w:rsid w:val="005B6142"/>
    <w:rsid w:val="005B681E"/>
    <w:rsid w:val="005B7300"/>
    <w:rsid w:val="005C0C63"/>
    <w:rsid w:val="005C0E04"/>
    <w:rsid w:val="005C0E74"/>
    <w:rsid w:val="005C19C0"/>
    <w:rsid w:val="005C6B3F"/>
    <w:rsid w:val="005D2854"/>
    <w:rsid w:val="005D46CD"/>
    <w:rsid w:val="005D4A96"/>
    <w:rsid w:val="005D4C9B"/>
    <w:rsid w:val="005D5E1B"/>
    <w:rsid w:val="005E2155"/>
    <w:rsid w:val="005E2B9A"/>
    <w:rsid w:val="005E654C"/>
    <w:rsid w:val="005E7132"/>
    <w:rsid w:val="005F108D"/>
    <w:rsid w:val="005F26B4"/>
    <w:rsid w:val="005F2D62"/>
    <w:rsid w:val="005F2D88"/>
    <w:rsid w:val="005F4D1B"/>
    <w:rsid w:val="005F4FB8"/>
    <w:rsid w:val="005F69F6"/>
    <w:rsid w:val="005F6C39"/>
    <w:rsid w:val="005F79FD"/>
    <w:rsid w:val="006000B7"/>
    <w:rsid w:val="00600341"/>
    <w:rsid w:val="00602E21"/>
    <w:rsid w:val="00602F17"/>
    <w:rsid w:val="00603612"/>
    <w:rsid w:val="0060380C"/>
    <w:rsid w:val="00603FC0"/>
    <w:rsid w:val="0060545C"/>
    <w:rsid w:val="00605AF4"/>
    <w:rsid w:val="00606A27"/>
    <w:rsid w:val="00606E06"/>
    <w:rsid w:val="00607AAE"/>
    <w:rsid w:val="00613372"/>
    <w:rsid w:val="0062425C"/>
    <w:rsid w:val="00624392"/>
    <w:rsid w:val="006259C0"/>
    <w:rsid w:val="006262D0"/>
    <w:rsid w:val="00626C87"/>
    <w:rsid w:val="006270E1"/>
    <w:rsid w:val="00633F76"/>
    <w:rsid w:val="00635A21"/>
    <w:rsid w:val="006371A6"/>
    <w:rsid w:val="00640C70"/>
    <w:rsid w:val="006411C0"/>
    <w:rsid w:val="006444C5"/>
    <w:rsid w:val="00644AED"/>
    <w:rsid w:val="006457E3"/>
    <w:rsid w:val="00646067"/>
    <w:rsid w:val="00646D28"/>
    <w:rsid w:val="00647592"/>
    <w:rsid w:val="0065067F"/>
    <w:rsid w:val="006506AA"/>
    <w:rsid w:val="00652FD2"/>
    <w:rsid w:val="006531B2"/>
    <w:rsid w:val="006542CD"/>
    <w:rsid w:val="006544E3"/>
    <w:rsid w:val="00654780"/>
    <w:rsid w:val="00655B0E"/>
    <w:rsid w:val="006566B1"/>
    <w:rsid w:val="0065716B"/>
    <w:rsid w:val="0065776D"/>
    <w:rsid w:val="0066048B"/>
    <w:rsid w:val="006607A7"/>
    <w:rsid w:val="00664BDC"/>
    <w:rsid w:val="00665DFD"/>
    <w:rsid w:val="006672C1"/>
    <w:rsid w:val="006766BF"/>
    <w:rsid w:val="00676964"/>
    <w:rsid w:val="00682742"/>
    <w:rsid w:val="0068504F"/>
    <w:rsid w:val="006876EE"/>
    <w:rsid w:val="00690CFF"/>
    <w:rsid w:val="00690F83"/>
    <w:rsid w:val="0069131A"/>
    <w:rsid w:val="006923E4"/>
    <w:rsid w:val="00693444"/>
    <w:rsid w:val="006938F3"/>
    <w:rsid w:val="00694E7B"/>
    <w:rsid w:val="006A06BA"/>
    <w:rsid w:val="006A31FD"/>
    <w:rsid w:val="006A482E"/>
    <w:rsid w:val="006A594F"/>
    <w:rsid w:val="006A68D0"/>
    <w:rsid w:val="006A7262"/>
    <w:rsid w:val="006A778E"/>
    <w:rsid w:val="006B1CA2"/>
    <w:rsid w:val="006B5B1F"/>
    <w:rsid w:val="006B608F"/>
    <w:rsid w:val="006B6A8F"/>
    <w:rsid w:val="006C059F"/>
    <w:rsid w:val="006C0C12"/>
    <w:rsid w:val="006C3BD9"/>
    <w:rsid w:val="006C5238"/>
    <w:rsid w:val="006C641F"/>
    <w:rsid w:val="006D0972"/>
    <w:rsid w:val="006D09C6"/>
    <w:rsid w:val="006D3640"/>
    <w:rsid w:val="006D64A1"/>
    <w:rsid w:val="006D65A8"/>
    <w:rsid w:val="006D73CA"/>
    <w:rsid w:val="006E086A"/>
    <w:rsid w:val="006E2A3C"/>
    <w:rsid w:val="006E4E59"/>
    <w:rsid w:val="006E5367"/>
    <w:rsid w:val="006E6155"/>
    <w:rsid w:val="006E67C2"/>
    <w:rsid w:val="006F033A"/>
    <w:rsid w:val="006F4513"/>
    <w:rsid w:val="006F5547"/>
    <w:rsid w:val="00701BD2"/>
    <w:rsid w:val="00703DFE"/>
    <w:rsid w:val="0070413B"/>
    <w:rsid w:val="007066D4"/>
    <w:rsid w:val="00706F94"/>
    <w:rsid w:val="00711281"/>
    <w:rsid w:val="0071168F"/>
    <w:rsid w:val="007133A7"/>
    <w:rsid w:val="00714297"/>
    <w:rsid w:val="00714D40"/>
    <w:rsid w:val="0071607F"/>
    <w:rsid w:val="00716992"/>
    <w:rsid w:val="00717FBE"/>
    <w:rsid w:val="00720A4F"/>
    <w:rsid w:val="00721700"/>
    <w:rsid w:val="0072377B"/>
    <w:rsid w:val="007238B9"/>
    <w:rsid w:val="007256CA"/>
    <w:rsid w:val="00731786"/>
    <w:rsid w:val="00733E26"/>
    <w:rsid w:val="00740830"/>
    <w:rsid w:val="00741369"/>
    <w:rsid w:val="007420A7"/>
    <w:rsid w:val="00742819"/>
    <w:rsid w:val="00742F45"/>
    <w:rsid w:val="007454AA"/>
    <w:rsid w:val="00746A57"/>
    <w:rsid w:val="00747F36"/>
    <w:rsid w:val="00751D07"/>
    <w:rsid w:val="00751D77"/>
    <w:rsid w:val="007543CB"/>
    <w:rsid w:val="00754AB3"/>
    <w:rsid w:val="00756186"/>
    <w:rsid w:val="00756D95"/>
    <w:rsid w:val="007647EC"/>
    <w:rsid w:val="00765986"/>
    <w:rsid w:val="00765AAB"/>
    <w:rsid w:val="00770034"/>
    <w:rsid w:val="00771DDD"/>
    <w:rsid w:val="0077232D"/>
    <w:rsid w:val="00772782"/>
    <w:rsid w:val="00772943"/>
    <w:rsid w:val="00772DBD"/>
    <w:rsid w:val="0077469F"/>
    <w:rsid w:val="00774992"/>
    <w:rsid w:val="007805C7"/>
    <w:rsid w:val="00781678"/>
    <w:rsid w:val="0078362A"/>
    <w:rsid w:val="00790F04"/>
    <w:rsid w:val="00791C63"/>
    <w:rsid w:val="0079359D"/>
    <w:rsid w:val="007941ED"/>
    <w:rsid w:val="00794800"/>
    <w:rsid w:val="007949C9"/>
    <w:rsid w:val="00795E7E"/>
    <w:rsid w:val="007A02ED"/>
    <w:rsid w:val="007A0B2E"/>
    <w:rsid w:val="007A117E"/>
    <w:rsid w:val="007A1406"/>
    <w:rsid w:val="007A17EB"/>
    <w:rsid w:val="007A1D06"/>
    <w:rsid w:val="007A1E93"/>
    <w:rsid w:val="007A2211"/>
    <w:rsid w:val="007A3CB2"/>
    <w:rsid w:val="007A492F"/>
    <w:rsid w:val="007A4BE9"/>
    <w:rsid w:val="007A4DCD"/>
    <w:rsid w:val="007A4FBC"/>
    <w:rsid w:val="007A5E90"/>
    <w:rsid w:val="007A7FF2"/>
    <w:rsid w:val="007B0B00"/>
    <w:rsid w:val="007B67A3"/>
    <w:rsid w:val="007C15BB"/>
    <w:rsid w:val="007C2C88"/>
    <w:rsid w:val="007C39DB"/>
    <w:rsid w:val="007C3B8F"/>
    <w:rsid w:val="007C4D0F"/>
    <w:rsid w:val="007C505D"/>
    <w:rsid w:val="007C5A6B"/>
    <w:rsid w:val="007C6A54"/>
    <w:rsid w:val="007C6DEE"/>
    <w:rsid w:val="007C797E"/>
    <w:rsid w:val="007D0365"/>
    <w:rsid w:val="007D3F32"/>
    <w:rsid w:val="007D40E3"/>
    <w:rsid w:val="007D42F2"/>
    <w:rsid w:val="007D4474"/>
    <w:rsid w:val="007D56F8"/>
    <w:rsid w:val="007D6B9C"/>
    <w:rsid w:val="007E0CC3"/>
    <w:rsid w:val="007E1506"/>
    <w:rsid w:val="007E1B9A"/>
    <w:rsid w:val="007E410D"/>
    <w:rsid w:val="007E59B5"/>
    <w:rsid w:val="007E6012"/>
    <w:rsid w:val="007E6600"/>
    <w:rsid w:val="007F215E"/>
    <w:rsid w:val="007F5E73"/>
    <w:rsid w:val="007F622F"/>
    <w:rsid w:val="007F7FBD"/>
    <w:rsid w:val="00800A78"/>
    <w:rsid w:val="008020EC"/>
    <w:rsid w:val="008045A8"/>
    <w:rsid w:val="0080561C"/>
    <w:rsid w:val="00813D5B"/>
    <w:rsid w:val="008143A5"/>
    <w:rsid w:val="008153C6"/>
    <w:rsid w:val="00816BC7"/>
    <w:rsid w:val="00816D37"/>
    <w:rsid w:val="00817EFC"/>
    <w:rsid w:val="00820225"/>
    <w:rsid w:val="00824D2A"/>
    <w:rsid w:val="00825638"/>
    <w:rsid w:val="00831D3E"/>
    <w:rsid w:val="00834967"/>
    <w:rsid w:val="00835A5B"/>
    <w:rsid w:val="00836D1E"/>
    <w:rsid w:val="00837C31"/>
    <w:rsid w:val="0084192B"/>
    <w:rsid w:val="00841B4E"/>
    <w:rsid w:val="00841DFE"/>
    <w:rsid w:val="00841F1F"/>
    <w:rsid w:val="0084228A"/>
    <w:rsid w:val="008447E2"/>
    <w:rsid w:val="00845A18"/>
    <w:rsid w:val="0084601B"/>
    <w:rsid w:val="00850352"/>
    <w:rsid w:val="00850D6C"/>
    <w:rsid w:val="00852693"/>
    <w:rsid w:val="008527E2"/>
    <w:rsid w:val="00852A18"/>
    <w:rsid w:val="00853B02"/>
    <w:rsid w:val="008540D8"/>
    <w:rsid w:val="00854DBF"/>
    <w:rsid w:val="00854F0A"/>
    <w:rsid w:val="008562A3"/>
    <w:rsid w:val="00856D3F"/>
    <w:rsid w:val="008571D4"/>
    <w:rsid w:val="00860099"/>
    <w:rsid w:val="00860F92"/>
    <w:rsid w:val="00861DAB"/>
    <w:rsid w:val="00862E74"/>
    <w:rsid w:val="008630CF"/>
    <w:rsid w:val="00863205"/>
    <w:rsid w:val="00863AA6"/>
    <w:rsid w:val="0086405A"/>
    <w:rsid w:val="00865708"/>
    <w:rsid w:val="00866030"/>
    <w:rsid w:val="0086685B"/>
    <w:rsid w:val="00873F7F"/>
    <w:rsid w:val="00875802"/>
    <w:rsid w:val="008767C2"/>
    <w:rsid w:val="00876FE0"/>
    <w:rsid w:val="00881677"/>
    <w:rsid w:val="00881B22"/>
    <w:rsid w:val="00883AF0"/>
    <w:rsid w:val="00884CE1"/>
    <w:rsid w:val="00885632"/>
    <w:rsid w:val="008863D7"/>
    <w:rsid w:val="0088691B"/>
    <w:rsid w:val="008879E8"/>
    <w:rsid w:val="00887D37"/>
    <w:rsid w:val="00892D18"/>
    <w:rsid w:val="008937FF"/>
    <w:rsid w:val="00893E20"/>
    <w:rsid w:val="00895CE2"/>
    <w:rsid w:val="00897974"/>
    <w:rsid w:val="008A35CC"/>
    <w:rsid w:val="008A389F"/>
    <w:rsid w:val="008A52F9"/>
    <w:rsid w:val="008B14D4"/>
    <w:rsid w:val="008B1740"/>
    <w:rsid w:val="008B36B7"/>
    <w:rsid w:val="008B3A60"/>
    <w:rsid w:val="008B3DCC"/>
    <w:rsid w:val="008B3EE4"/>
    <w:rsid w:val="008B4E9D"/>
    <w:rsid w:val="008B5614"/>
    <w:rsid w:val="008B5DE4"/>
    <w:rsid w:val="008B5F28"/>
    <w:rsid w:val="008B63ED"/>
    <w:rsid w:val="008B72F5"/>
    <w:rsid w:val="008B7CD5"/>
    <w:rsid w:val="008B7DC8"/>
    <w:rsid w:val="008C3CCF"/>
    <w:rsid w:val="008C63E2"/>
    <w:rsid w:val="008D0DFF"/>
    <w:rsid w:val="008D11C5"/>
    <w:rsid w:val="008D1CA5"/>
    <w:rsid w:val="008D2B04"/>
    <w:rsid w:val="008D3DC8"/>
    <w:rsid w:val="008D4A85"/>
    <w:rsid w:val="008D761B"/>
    <w:rsid w:val="008E071B"/>
    <w:rsid w:val="008E0F66"/>
    <w:rsid w:val="008E1797"/>
    <w:rsid w:val="008E62C8"/>
    <w:rsid w:val="008F0A38"/>
    <w:rsid w:val="008F2CC1"/>
    <w:rsid w:val="008F488E"/>
    <w:rsid w:val="008F5610"/>
    <w:rsid w:val="008F5A54"/>
    <w:rsid w:val="008F7594"/>
    <w:rsid w:val="0090119A"/>
    <w:rsid w:val="00901E6E"/>
    <w:rsid w:val="0090228C"/>
    <w:rsid w:val="00902733"/>
    <w:rsid w:val="00903B2E"/>
    <w:rsid w:val="0090571D"/>
    <w:rsid w:val="00906DFB"/>
    <w:rsid w:val="009073FB"/>
    <w:rsid w:val="0091112C"/>
    <w:rsid w:val="0091169D"/>
    <w:rsid w:val="009145A2"/>
    <w:rsid w:val="009153BC"/>
    <w:rsid w:val="00915E4E"/>
    <w:rsid w:val="0091775E"/>
    <w:rsid w:val="009178D0"/>
    <w:rsid w:val="00917E73"/>
    <w:rsid w:val="00917EF0"/>
    <w:rsid w:val="00921EB3"/>
    <w:rsid w:val="0092282C"/>
    <w:rsid w:val="00923A58"/>
    <w:rsid w:val="009249F8"/>
    <w:rsid w:val="00926BC7"/>
    <w:rsid w:val="00930BA8"/>
    <w:rsid w:val="0093785D"/>
    <w:rsid w:val="00940BBF"/>
    <w:rsid w:val="00943BC8"/>
    <w:rsid w:val="00944741"/>
    <w:rsid w:val="00946A18"/>
    <w:rsid w:val="00950FF3"/>
    <w:rsid w:val="00951580"/>
    <w:rsid w:val="009539A2"/>
    <w:rsid w:val="009539F3"/>
    <w:rsid w:val="009550F2"/>
    <w:rsid w:val="0095737E"/>
    <w:rsid w:val="00957BA4"/>
    <w:rsid w:val="00957F04"/>
    <w:rsid w:val="00960D9D"/>
    <w:rsid w:val="00962F90"/>
    <w:rsid w:val="00965393"/>
    <w:rsid w:val="00965885"/>
    <w:rsid w:val="00965F40"/>
    <w:rsid w:val="00966CEF"/>
    <w:rsid w:val="00971572"/>
    <w:rsid w:val="00973266"/>
    <w:rsid w:val="009743FD"/>
    <w:rsid w:val="0097483F"/>
    <w:rsid w:val="00974FBE"/>
    <w:rsid w:val="00975A8E"/>
    <w:rsid w:val="0097668C"/>
    <w:rsid w:val="009766A1"/>
    <w:rsid w:val="00976A77"/>
    <w:rsid w:val="0097746C"/>
    <w:rsid w:val="00977776"/>
    <w:rsid w:val="00980747"/>
    <w:rsid w:val="00980C44"/>
    <w:rsid w:val="00983278"/>
    <w:rsid w:val="0098366F"/>
    <w:rsid w:val="00983806"/>
    <w:rsid w:val="0098475D"/>
    <w:rsid w:val="00984782"/>
    <w:rsid w:val="009856E0"/>
    <w:rsid w:val="00986CB3"/>
    <w:rsid w:val="0099174A"/>
    <w:rsid w:val="009946C9"/>
    <w:rsid w:val="00994B9D"/>
    <w:rsid w:val="00995EBC"/>
    <w:rsid w:val="00997A29"/>
    <w:rsid w:val="009A0068"/>
    <w:rsid w:val="009A1124"/>
    <w:rsid w:val="009A1381"/>
    <w:rsid w:val="009A21A8"/>
    <w:rsid w:val="009A22B8"/>
    <w:rsid w:val="009A3005"/>
    <w:rsid w:val="009A5355"/>
    <w:rsid w:val="009A627B"/>
    <w:rsid w:val="009A638F"/>
    <w:rsid w:val="009A6797"/>
    <w:rsid w:val="009A6D84"/>
    <w:rsid w:val="009A7882"/>
    <w:rsid w:val="009B22B7"/>
    <w:rsid w:val="009B3A51"/>
    <w:rsid w:val="009B45ED"/>
    <w:rsid w:val="009B5462"/>
    <w:rsid w:val="009B7465"/>
    <w:rsid w:val="009C512B"/>
    <w:rsid w:val="009C6164"/>
    <w:rsid w:val="009C6AB8"/>
    <w:rsid w:val="009C6EC4"/>
    <w:rsid w:val="009C761C"/>
    <w:rsid w:val="009D0232"/>
    <w:rsid w:val="009D0EC8"/>
    <w:rsid w:val="009D34ED"/>
    <w:rsid w:val="009D436A"/>
    <w:rsid w:val="009D4F8D"/>
    <w:rsid w:val="009D7FCF"/>
    <w:rsid w:val="009E0760"/>
    <w:rsid w:val="009E09CB"/>
    <w:rsid w:val="009E25ED"/>
    <w:rsid w:val="009E3BB3"/>
    <w:rsid w:val="009E4587"/>
    <w:rsid w:val="009E5E84"/>
    <w:rsid w:val="009E6073"/>
    <w:rsid w:val="009F1945"/>
    <w:rsid w:val="009F1FBA"/>
    <w:rsid w:val="009F2A5C"/>
    <w:rsid w:val="009F4B23"/>
    <w:rsid w:val="009F4DCC"/>
    <w:rsid w:val="009F51EC"/>
    <w:rsid w:val="009F5A70"/>
    <w:rsid w:val="009F636D"/>
    <w:rsid w:val="009F63CA"/>
    <w:rsid w:val="00A007F1"/>
    <w:rsid w:val="00A02599"/>
    <w:rsid w:val="00A0280C"/>
    <w:rsid w:val="00A03400"/>
    <w:rsid w:val="00A06D5A"/>
    <w:rsid w:val="00A07964"/>
    <w:rsid w:val="00A1043F"/>
    <w:rsid w:val="00A12827"/>
    <w:rsid w:val="00A153C9"/>
    <w:rsid w:val="00A15FDB"/>
    <w:rsid w:val="00A208F6"/>
    <w:rsid w:val="00A20C64"/>
    <w:rsid w:val="00A242D8"/>
    <w:rsid w:val="00A26FA5"/>
    <w:rsid w:val="00A27D3E"/>
    <w:rsid w:val="00A27F2E"/>
    <w:rsid w:val="00A31392"/>
    <w:rsid w:val="00A33955"/>
    <w:rsid w:val="00A35E28"/>
    <w:rsid w:val="00A40EA1"/>
    <w:rsid w:val="00A416A5"/>
    <w:rsid w:val="00A41CDC"/>
    <w:rsid w:val="00A42231"/>
    <w:rsid w:val="00A4648E"/>
    <w:rsid w:val="00A46692"/>
    <w:rsid w:val="00A4669B"/>
    <w:rsid w:val="00A4744B"/>
    <w:rsid w:val="00A47B0E"/>
    <w:rsid w:val="00A52FA5"/>
    <w:rsid w:val="00A558DC"/>
    <w:rsid w:val="00A6086B"/>
    <w:rsid w:val="00A60970"/>
    <w:rsid w:val="00A61171"/>
    <w:rsid w:val="00A6337F"/>
    <w:rsid w:val="00A64FF4"/>
    <w:rsid w:val="00A71092"/>
    <w:rsid w:val="00A72D91"/>
    <w:rsid w:val="00A767E4"/>
    <w:rsid w:val="00A775F2"/>
    <w:rsid w:val="00A7767F"/>
    <w:rsid w:val="00A825C8"/>
    <w:rsid w:val="00A82E91"/>
    <w:rsid w:val="00A82F39"/>
    <w:rsid w:val="00A83F86"/>
    <w:rsid w:val="00A851FF"/>
    <w:rsid w:val="00A852A7"/>
    <w:rsid w:val="00A8628D"/>
    <w:rsid w:val="00A87B94"/>
    <w:rsid w:val="00A92DEE"/>
    <w:rsid w:val="00A93771"/>
    <w:rsid w:val="00A941EE"/>
    <w:rsid w:val="00A97026"/>
    <w:rsid w:val="00AA0F8D"/>
    <w:rsid w:val="00AA14B3"/>
    <w:rsid w:val="00AA36B8"/>
    <w:rsid w:val="00AA587A"/>
    <w:rsid w:val="00AB202E"/>
    <w:rsid w:val="00AB20E9"/>
    <w:rsid w:val="00AB52D8"/>
    <w:rsid w:val="00AB590A"/>
    <w:rsid w:val="00AB5926"/>
    <w:rsid w:val="00AB6F47"/>
    <w:rsid w:val="00AC0B0F"/>
    <w:rsid w:val="00AC2070"/>
    <w:rsid w:val="00AC44A1"/>
    <w:rsid w:val="00AC44F6"/>
    <w:rsid w:val="00AC4A05"/>
    <w:rsid w:val="00AC5F87"/>
    <w:rsid w:val="00AC6830"/>
    <w:rsid w:val="00AC7DFE"/>
    <w:rsid w:val="00AD14B2"/>
    <w:rsid w:val="00AD1EAD"/>
    <w:rsid w:val="00AD2938"/>
    <w:rsid w:val="00AD5ADE"/>
    <w:rsid w:val="00AD6AD1"/>
    <w:rsid w:val="00AD71F6"/>
    <w:rsid w:val="00AD7C5A"/>
    <w:rsid w:val="00AE169A"/>
    <w:rsid w:val="00AE2626"/>
    <w:rsid w:val="00AE2C2A"/>
    <w:rsid w:val="00AE4371"/>
    <w:rsid w:val="00AE44AF"/>
    <w:rsid w:val="00AE45F5"/>
    <w:rsid w:val="00AE5166"/>
    <w:rsid w:val="00AE5BFD"/>
    <w:rsid w:val="00AE6075"/>
    <w:rsid w:val="00AE6F8F"/>
    <w:rsid w:val="00AE73AD"/>
    <w:rsid w:val="00AE755A"/>
    <w:rsid w:val="00AF2013"/>
    <w:rsid w:val="00AF3DB1"/>
    <w:rsid w:val="00AF3E73"/>
    <w:rsid w:val="00AF4BAE"/>
    <w:rsid w:val="00AF70AD"/>
    <w:rsid w:val="00B00312"/>
    <w:rsid w:val="00B01703"/>
    <w:rsid w:val="00B04D98"/>
    <w:rsid w:val="00B05578"/>
    <w:rsid w:val="00B06906"/>
    <w:rsid w:val="00B06B5E"/>
    <w:rsid w:val="00B06F67"/>
    <w:rsid w:val="00B07230"/>
    <w:rsid w:val="00B076F8"/>
    <w:rsid w:val="00B10FCB"/>
    <w:rsid w:val="00B11F97"/>
    <w:rsid w:val="00B16BAF"/>
    <w:rsid w:val="00B21805"/>
    <w:rsid w:val="00B23137"/>
    <w:rsid w:val="00B234F6"/>
    <w:rsid w:val="00B2387A"/>
    <w:rsid w:val="00B24D66"/>
    <w:rsid w:val="00B25010"/>
    <w:rsid w:val="00B25637"/>
    <w:rsid w:val="00B26DF0"/>
    <w:rsid w:val="00B273CA"/>
    <w:rsid w:val="00B27E1C"/>
    <w:rsid w:val="00B27E49"/>
    <w:rsid w:val="00B303E7"/>
    <w:rsid w:val="00B333BE"/>
    <w:rsid w:val="00B339BA"/>
    <w:rsid w:val="00B35FE2"/>
    <w:rsid w:val="00B3632A"/>
    <w:rsid w:val="00B3712B"/>
    <w:rsid w:val="00B4367A"/>
    <w:rsid w:val="00B440A3"/>
    <w:rsid w:val="00B45C49"/>
    <w:rsid w:val="00B46ACC"/>
    <w:rsid w:val="00B46E85"/>
    <w:rsid w:val="00B47A71"/>
    <w:rsid w:val="00B51B99"/>
    <w:rsid w:val="00B56F8E"/>
    <w:rsid w:val="00B57506"/>
    <w:rsid w:val="00B57683"/>
    <w:rsid w:val="00B613C7"/>
    <w:rsid w:val="00B627FD"/>
    <w:rsid w:val="00B65613"/>
    <w:rsid w:val="00B7027F"/>
    <w:rsid w:val="00B72636"/>
    <w:rsid w:val="00B72B6B"/>
    <w:rsid w:val="00B734A3"/>
    <w:rsid w:val="00B74E07"/>
    <w:rsid w:val="00B757B0"/>
    <w:rsid w:val="00B7754F"/>
    <w:rsid w:val="00B81E5E"/>
    <w:rsid w:val="00B8205F"/>
    <w:rsid w:val="00B83A8F"/>
    <w:rsid w:val="00B84D2E"/>
    <w:rsid w:val="00B9324A"/>
    <w:rsid w:val="00B93255"/>
    <w:rsid w:val="00B939AC"/>
    <w:rsid w:val="00B948A0"/>
    <w:rsid w:val="00B954D6"/>
    <w:rsid w:val="00B972D7"/>
    <w:rsid w:val="00B97E4A"/>
    <w:rsid w:val="00BA1774"/>
    <w:rsid w:val="00BA3161"/>
    <w:rsid w:val="00BA31C9"/>
    <w:rsid w:val="00BA5BA6"/>
    <w:rsid w:val="00BB033B"/>
    <w:rsid w:val="00BB2CD1"/>
    <w:rsid w:val="00BB3FF1"/>
    <w:rsid w:val="00BB4B19"/>
    <w:rsid w:val="00BB4E29"/>
    <w:rsid w:val="00BB534A"/>
    <w:rsid w:val="00BB68FF"/>
    <w:rsid w:val="00BB6D81"/>
    <w:rsid w:val="00BB7868"/>
    <w:rsid w:val="00BC0B4A"/>
    <w:rsid w:val="00BC3172"/>
    <w:rsid w:val="00BC588C"/>
    <w:rsid w:val="00BC710C"/>
    <w:rsid w:val="00BD224C"/>
    <w:rsid w:val="00BD23F2"/>
    <w:rsid w:val="00BD4341"/>
    <w:rsid w:val="00BD6EF0"/>
    <w:rsid w:val="00BE073B"/>
    <w:rsid w:val="00BE1E83"/>
    <w:rsid w:val="00BE2CD7"/>
    <w:rsid w:val="00BE30C3"/>
    <w:rsid w:val="00BE3E96"/>
    <w:rsid w:val="00BE4293"/>
    <w:rsid w:val="00BF16B9"/>
    <w:rsid w:val="00BF3167"/>
    <w:rsid w:val="00BF4E44"/>
    <w:rsid w:val="00BF5EF7"/>
    <w:rsid w:val="00BF6E9F"/>
    <w:rsid w:val="00C028CC"/>
    <w:rsid w:val="00C02E8B"/>
    <w:rsid w:val="00C05B68"/>
    <w:rsid w:val="00C12049"/>
    <w:rsid w:val="00C1235B"/>
    <w:rsid w:val="00C13BEA"/>
    <w:rsid w:val="00C1406E"/>
    <w:rsid w:val="00C1483A"/>
    <w:rsid w:val="00C14A02"/>
    <w:rsid w:val="00C14B1B"/>
    <w:rsid w:val="00C15DA0"/>
    <w:rsid w:val="00C16FE9"/>
    <w:rsid w:val="00C178DB"/>
    <w:rsid w:val="00C201E6"/>
    <w:rsid w:val="00C22097"/>
    <w:rsid w:val="00C228FA"/>
    <w:rsid w:val="00C23B23"/>
    <w:rsid w:val="00C25B05"/>
    <w:rsid w:val="00C26519"/>
    <w:rsid w:val="00C26FC4"/>
    <w:rsid w:val="00C2766D"/>
    <w:rsid w:val="00C27CFE"/>
    <w:rsid w:val="00C30EEC"/>
    <w:rsid w:val="00C3196C"/>
    <w:rsid w:val="00C34B63"/>
    <w:rsid w:val="00C369E9"/>
    <w:rsid w:val="00C376AD"/>
    <w:rsid w:val="00C37E7D"/>
    <w:rsid w:val="00C416C2"/>
    <w:rsid w:val="00C423A8"/>
    <w:rsid w:val="00C426AE"/>
    <w:rsid w:val="00C43374"/>
    <w:rsid w:val="00C433DB"/>
    <w:rsid w:val="00C438F0"/>
    <w:rsid w:val="00C44291"/>
    <w:rsid w:val="00C45722"/>
    <w:rsid w:val="00C47B02"/>
    <w:rsid w:val="00C53349"/>
    <w:rsid w:val="00C54AAD"/>
    <w:rsid w:val="00C564FA"/>
    <w:rsid w:val="00C5747E"/>
    <w:rsid w:val="00C57981"/>
    <w:rsid w:val="00C62C73"/>
    <w:rsid w:val="00C63C80"/>
    <w:rsid w:val="00C6573F"/>
    <w:rsid w:val="00C66F21"/>
    <w:rsid w:val="00C713DA"/>
    <w:rsid w:val="00C72AF5"/>
    <w:rsid w:val="00C75619"/>
    <w:rsid w:val="00C75EF1"/>
    <w:rsid w:val="00C7782D"/>
    <w:rsid w:val="00C80DFF"/>
    <w:rsid w:val="00C82B0E"/>
    <w:rsid w:val="00C82F96"/>
    <w:rsid w:val="00C8440C"/>
    <w:rsid w:val="00C85F20"/>
    <w:rsid w:val="00C860FF"/>
    <w:rsid w:val="00C902F1"/>
    <w:rsid w:val="00C90A69"/>
    <w:rsid w:val="00C91706"/>
    <w:rsid w:val="00C92EBB"/>
    <w:rsid w:val="00C94CCC"/>
    <w:rsid w:val="00C951F9"/>
    <w:rsid w:val="00C96BA0"/>
    <w:rsid w:val="00C96BAC"/>
    <w:rsid w:val="00C96C28"/>
    <w:rsid w:val="00C97DD4"/>
    <w:rsid w:val="00C97FDC"/>
    <w:rsid w:val="00CA15E8"/>
    <w:rsid w:val="00CA2440"/>
    <w:rsid w:val="00CA3316"/>
    <w:rsid w:val="00CA42DF"/>
    <w:rsid w:val="00CA621E"/>
    <w:rsid w:val="00CA6E64"/>
    <w:rsid w:val="00CA7433"/>
    <w:rsid w:val="00CB0E34"/>
    <w:rsid w:val="00CB15A0"/>
    <w:rsid w:val="00CB1F87"/>
    <w:rsid w:val="00CB6D94"/>
    <w:rsid w:val="00CB6F74"/>
    <w:rsid w:val="00CB716F"/>
    <w:rsid w:val="00CC1016"/>
    <w:rsid w:val="00CC1641"/>
    <w:rsid w:val="00CC1A04"/>
    <w:rsid w:val="00CC1B34"/>
    <w:rsid w:val="00CC1B6E"/>
    <w:rsid w:val="00CC38DF"/>
    <w:rsid w:val="00CC3E73"/>
    <w:rsid w:val="00CC4133"/>
    <w:rsid w:val="00CC5CB8"/>
    <w:rsid w:val="00CC6722"/>
    <w:rsid w:val="00CC6FE4"/>
    <w:rsid w:val="00CC70BF"/>
    <w:rsid w:val="00CD134A"/>
    <w:rsid w:val="00CD1628"/>
    <w:rsid w:val="00CD2193"/>
    <w:rsid w:val="00CD23DE"/>
    <w:rsid w:val="00CD269D"/>
    <w:rsid w:val="00CD7E0E"/>
    <w:rsid w:val="00CE068C"/>
    <w:rsid w:val="00CE144F"/>
    <w:rsid w:val="00CE2597"/>
    <w:rsid w:val="00CE2A93"/>
    <w:rsid w:val="00CE359D"/>
    <w:rsid w:val="00CE3795"/>
    <w:rsid w:val="00CE4D92"/>
    <w:rsid w:val="00CE61FB"/>
    <w:rsid w:val="00CF1033"/>
    <w:rsid w:val="00CF1865"/>
    <w:rsid w:val="00CF393D"/>
    <w:rsid w:val="00CF393E"/>
    <w:rsid w:val="00CF4448"/>
    <w:rsid w:val="00CF4526"/>
    <w:rsid w:val="00CF5760"/>
    <w:rsid w:val="00CF7C79"/>
    <w:rsid w:val="00D00BCA"/>
    <w:rsid w:val="00D00FE8"/>
    <w:rsid w:val="00D026AE"/>
    <w:rsid w:val="00D02ABF"/>
    <w:rsid w:val="00D0412A"/>
    <w:rsid w:val="00D044BD"/>
    <w:rsid w:val="00D05127"/>
    <w:rsid w:val="00D0616B"/>
    <w:rsid w:val="00D10DE4"/>
    <w:rsid w:val="00D115A1"/>
    <w:rsid w:val="00D116A9"/>
    <w:rsid w:val="00D15295"/>
    <w:rsid w:val="00D15437"/>
    <w:rsid w:val="00D1591F"/>
    <w:rsid w:val="00D16044"/>
    <w:rsid w:val="00D1689A"/>
    <w:rsid w:val="00D2256C"/>
    <w:rsid w:val="00D259BA"/>
    <w:rsid w:val="00D25AC3"/>
    <w:rsid w:val="00D27E7B"/>
    <w:rsid w:val="00D3031A"/>
    <w:rsid w:val="00D322C5"/>
    <w:rsid w:val="00D32582"/>
    <w:rsid w:val="00D32FF1"/>
    <w:rsid w:val="00D33AEF"/>
    <w:rsid w:val="00D374F5"/>
    <w:rsid w:val="00D37542"/>
    <w:rsid w:val="00D37D1D"/>
    <w:rsid w:val="00D405B7"/>
    <w:rsid w:val="00D40CB0"/>
    <w:rsid w:val="00D42FF4"/>
    <w:rsid w:val="00D438DD"/>
    <w:rsid w:val="00D45B1C"/>
    <w:rsid w:val="00D45F49"/>
    <w:rsid w:val="00D46B36"/>
    <w:rsid w:val="00D477C1"/>
    <w:rsid w:val="00D50258"/>
    <w:rsid w:val="00D51912"/>
    <w:rsid w:val="00D51D81"/>
    <w:rsid w:val="00D5294D"/>
    <w:rsid w:val="00D551C7"/>
    <w:rsid w:val="00D55BB8"/>
    <w:rsid w:val="00D56D8B"/>
    <w:rsid w:val="00D57109"/>
    <w:rsid w:val="00D57421"/>
    <w:rsid w:val="00D575E6"/>
    <w:rsid w:val="00D61D10"/>
    <w:rsid w:val="00D62454"/>
    <w:rsid w:val="00D65D0C"/>
    <w:rsid w:val="00D70AC4"/>
    <w:rsid w:val="00D718ED"/>
    <w:rsid w:val="00D71D46"/>
    <w:rsid w:val="00D74CF3"/>
    <w:rsid w:val="00D75DB5"/>
    <w:rsid w:val="00D7611F"/>
    <w:rsid w:val="00D77E6B"/>
    <w:rsid w:val="00D818E5"/>
    <w:rsid w:val="00D822A3"/>
    <w:rsid w:val="00D8342B"/>
    <w:rsid w:val="00D83B39"/>
    <w:rsid w:val="00D84923"/>
    <w:rsid w:val="00D865C6"/>
    <w:rsid w:val="00D870D4"/>
    <w:rsid w:val="00D9046D"/>
    <w:rsid w:val="00D927F2"/>
    <w:rsid w:val="00D93B3F"/>
    <w:rsid w:val="00D9574A"/>
    <w:rsid w:val="00D95D1E"/>
    <w:rsid w:val="00D979A1"/>
    <w:rsid w:val="00DA2CF3"/>
    <w:rsid w:val="00DA49E9"/>
    <w:rsid w:val="00DA5D97"/>
    <w:rsid w:val="00DA5FD3"/>
    <w:rsid w:val="00DB082A"/>
    <w:rsid w:val="00DB0F0C"/>
    <w:rsid w:val="00DB28BD"/>
    <w:rsid w:val="00DB34B5"/>
    <w:rsid w:val="00DB45A5"/>
    <w:rsid w:val="00DB4CA6"/>
    <w:rsid w:val="00DB5C8D"/>
    <w:rsid w:val="00DB65A0"/>
    <w:rsid w:val="00DC1397"/>
    <w:rsid w:val="00DC3403"/>
    <w:rsid w:val="00DC4019"/>
    <w:rsid w:val="00DC78F1"/>
    <w:rsid w:val="00DD0004"/>
    <w:rsid w:val="00DD07CE"/>
    <w:rsid w:val="00DD53ED"/>
    <w:rsid w:val="00DD5C78"/>
    <w:rsid w:val="00DD7428"/>
    <w:rsid w:val="00DE0130"/>
    <w:rsid w:val="00DE0DB4"/>
    <w:rsid w:val="00DE2D30"/>
    <w:rsid w:val="00DE3012"/>
    <w:rsid w:val="00DE338A"/>
    <w:rsid w:val="00DE3636"/>
    <w:rsid w:val="00DE3C16"/>
    <w:rsid w:val="00DE49AD"/>
    <w:rsid w:val="00DE4CFC"/>
    <w:rsid w:val="00DE5E1C"/>
    <w:rsid w:val="00DE6680"/>
    <w:rsid w:val="00DE7EBE"/>
    <w:rsid w:val="00DF2D86"/>
    <w:rsid w:val="00DF4044"/>
    <w:rsid w:val="00DF6A10"/>
    <w:rsid w:val="00E00EA5"/>
    <w:rsid w:val="00E0462E"/>
    <w:rsid w:val="00E059D1"/>
    <w:rsid w:val="00E061C1"/>
    <w:rsid w:val="00E06CCA"/>
    <w:rsid w:val="00E116B6"/>
    <w:rsid w:val="00E127AF"/>
    <w:rsid w:val="00E13ABE"/>
    <w:rsid w:val="00E1516B"/>
    <w:rsid w:val="00E16DE7"/>
    <w:rsid w:val="00E16F67"/>
    <w:rsid w:val="00E20612"/>
    <w:rsid w:val="00E221EF"/>
    <w:rsid w:val="00E27ED1"/>
    <w:rsid w:val="00E30ACB"/>
    <w:rsid w:val="00E32B9F"/>
    <w:rsid w:val="00E32D5A"/>
    <w:rsid w:val="00E3363C"/>
    <w:rsid w:val="00E33708"/>
    <w:rsid w:val="00E35027"/>
    <w:rsid w:val="00E35714"/>
    <w:rsid w:val="00E36879"/>
    <w:rsid w:val="00E36B29"/>
    <w:rsid w:val="00E37772"/>
    <w:rsid w:val="00E37FA9"/>
    <w:rsid w:val="00E40758"/>
    <w:rsid w:val="00E40BBF"/>
    <w:rsid w:val="00E40F88"/>
    <w:rsid w:val="00E45E27"/>
    <w:rsid w:val="00E4698C"/>
    <w:rsid w:val="00E479F6"/>
    <w:rsid w:val="00E50C26"/>
    <w:rsid w:val="00E51177"/>
    <w:rsid w:val="00E521C8"/>
    <w:rsid w:val="00E52BDA"/>
    <w:rsid w:val="00E544B2"/>
    <w:rsid w:val="00E57012"/>
    <w:rsid w:val="00E611BD"/>
    <w:rsid w:val="00E666C3"/>
    <w:rsid w:val="00E66AD8"/>
    <w:rsid w:val="00E67979"/>
    <w:rsid w:val="00E714B1"/>
    <w:rsid w:val="00E721E4"/>
    <w:rsid w:val="00E74F68"/>
    <w:rsid w:val="00E75727"/>
    <w:rsid w:val="00E80206"/>
    <w:rsid w:val="00E8068A"/>
    <w:rsid w:val="00E8172F"/>
    <w:rsid w:val="00E830B3"/>
    <w:rsid w:val="00E84C31"/>
    <w:rsid w:val="00E8502D"/>
    <w:rsid w:val="00E8545D"/>
    <w:rsid w:val="00E864DD"/>
    <w:rsid w:val="00E86E4B"/>
    <w:rsid w:val="00E873D5"/>
    <w:rsid w:val="00E90B0A"/>
    <w:rsid w:val="00E91010"/>
    <w:rsid w:val="00E926BB"/>
    <w:rsid w:val="00E93C39"/>
    <w:rsid w:val="00E93D5E"/>
    <w:rsid w:val="00E945CE"/>
    <w:rsid w:val="00E946AD"/>
    <w:rsid w:val="00E9697F"/>
    <w:rsid w:val="00E96E50"/>
    <w:rsid w:val="00E97BB5"/>
    <w:rsid w:val="00EA0DA7"/>
    <w:rsid w:val="00EA1CCD"/>
    <w:rsid w:val="00EA3335"/>
    <w:rsid w:val="00EA33AB"/>
    <w:rsid w:val="00EA3643"/>
    <w:rsid w:val="00EA3A6C"/>
    <w:rsid w:val="00EA773C"/>
    <w:rsid w:val="00EA78B6"/>
    <w:rsid w:val="00EA7950"/>
    <w:rsid w:val="00EA79AF"/>
    <w:rsid w:val="00EA7F50"/>
    <w:rsid w:val="00EB16A5"/>
    <w:rsid w:val="00EB20B1"/>
    <w:rsid w:val="00EB713F"/>
    <w:rsid w:val="00EC00ED"/>
    <w:rsid w:val="00EC1034"/>
    <w:rsid w:val="00EC1F1A"/>
    <w:rsid w:val="00EC5011"/>
    <w:rsid w:val="00EC5F12"/>
    <w:rsid w:val="00EC62EE"/>
    <w:rsid w:val="00EC7AFD"/>
    <w:rsid w:val="00ED1089"/>
    <w:rsid w:val="00ED25DF"/>
    <w:rsid w:val="00ED315D"/>
    <w:rsid w:val="00ED70EB"/>
    <w:rsid w:val="00EE08B0"/>
    <w:rsid w:val="00EE1A84"/>
    <w:rsid w:val="00EE265E"/>
    <w:rsid w:val="00EE4578"/>
    <w:rsid w:val="00EE47DC"/>
    <w:rsid w:val="00EE5B1E"/>
    <w:rsid w:val="00EE6FE7"/>
    <w:rsid w:val="00EF0786"/>
    <w:rsid w:val="00EF0B21"/>
    <w:rsid w:val="00EF2236"/>
    <w:rsid w:val="00EF34D3"/>
    <w:rsid w:val="00EF3E8B"/>
    <w:rsid w:val="00EF4179"/>
    <w:rsid w:val="00EF4F5D"/>
    <w:rsid w:val="00EF5BA2"/>
    <w:rsid w:val="00EF736F"/>
    <w:rsid w:val="00EF78A8"/>
    <w:rsid w:val="00F000C6"/>
    <w:rsid w:val="00F006BD"/>
    <w:rsid w:val="00F013B5"/>
    <w:rsid w:val="00F01936"/>
    <w:rsid w:val="00F02A37"/>
    <w:rsid w:val="00F04F95"/>
    <w:rsid w:val="00F05EC5"/>
    <w:rsid w:val="00F10401"/>
    <w:rsid w:val="00F15AAE"/>
    <w:rsid w:val="00F15BDE"/>
    <w:rsid w:val="00F16CB9"/>
    <w:rsid w:val="00F17DAE"/>
    <w:rsid w:val="00F20EFD"/>
    <w:rsid w:val="00F25157"/>
    <w:rsid w:val="00F266D4"/>
    <w:rsid w:val="00F31F60"/>
    <w:rsid w:val="00F33890"/>
    <w:rsid w:val="00F33B48"/>
    <w:rsid w:val="00F34962"/>
    <w:rsid w:val="00F408D3"/>
    <w:rsid w:val="00F40F18"/>
    <w:rsid w:val="00F4120E"/>
    <w:rsid w:val="00F41536"/>
    <w:rsid w:val="00F418DF"/>
    <w:rsid w:val="00F44001"/>
    <w:rsid w:val="00F46C8C"/>
    <w:rsid w:val="00F46F3A"/>
    <w:rsid w:val="00F47E49"/>
    <w:rsid w:val="00F51A4B"/>
    <w:rsid w:val="00F524F2"/>
    <w:rsid w:val="00F5451B"/>
    <w:rsid w:val="00F54B05"/>
    <w:rsid w:val="00F54B6A"/>
    <w:rsid w:val="00F555FF"/>
    <w:rsid w:val="00F57BC7"/>
    <w:rsid w:val="00F57ED1"/>
    <w:rsid w:val="00F609CD"/>
    <w:rsid w:val="00F61148"/>
    <w:rsid w:val="00F627DC"/>
    <w:rsid w:val="00F629C7"/>
    <w:rsid w:val="00F63C23"/>
    <w:rsid w:val="00F655E3"/>
    <w:rsid w:val="00F663AD"/>
    <w:rsid w:val="00F715F2"/>
    <w:rsid w:val="00F721E7"/>
    <w:rsid w:val="00F72CA9"/>
    <w:rsid w:val="00F756C6"/>
    <w:rsid w:val="00F77980"/>
    <w:rsid w:val="00F779AA"/>
    <w:rsid w:val="00F82AF1"/>
    <w:rsid w:val="00F83187"/>
    <w:rsid w:val="00F84082"/>
    <w:rsid w:val="00F86BA5"/>
    <w:rsid w:val="00F87C39"/>
    <w:rsid w:val="00F902D3"/>
    <w:rsid w:val="00F905B6"/>
    <w:rsid w:val="00F93D63"/>
    <w:rsid w:val="00F93DBA"/>
    <w:rsid w:val="00F954E4"/>
    <w:rsid w:val="00F95872"/>
    <w:rsid w:val="00F95F2A"/>
    <w:rsid w:val="00F96C4E"/>
    <w:rsid w:val="00F97D52"/>
    <w:rsid w:val="00FA0F8B"/>
    <w:rsid w:val="00FA262F"/>
    <w:rsid w:val="00FA3492"/>
    <w:rsid w:val="00FA3AE1"/>
    <w:rsid w:val="00FA49C0"/>
    <w:rsid w:val="00FA5B10"/>
    <w:rsid w:val="00FA5CD7"/>
    <w:rsid w:val="00FA688C"/>
    <w:rsid w:val="00FB08B6"/>
    <w:rsid w:val="00FB1CC5"/>
    <w:rsid w:val="00FB43F1"/>
    <w:rsid w:val="00FB5216"/>
    <w:rsid w:val="00FB76D3"/>
    <w:rsid w:val="00FC0FE8"/>
    <w:rsid w:val="00FC2217"/>
    <w:rsid w:val="00FC25B9"/>
    <w:rsid w:val="00FC2CE1"/>
    <w:rsid w:val="00FC3A91"/>
    <w:rsid w:val="00FC3F8F"/>
    <w:rsid w:val="00FC7C01"/>
    <w:rsid w:val="00FD0855"/>
    <w:rsid w:val="00FD0ED0"/>
    <w:rsid w:val="00FD1990"/>
    <w:rsid w:val="00FD1EC4"/>
    <w:rsid w:val="00FD5B33"/>
    <w:rsid w:val="00FD76AE"/>
    <w:rsid w:val="00FE166B"/>
    <w:rsid w:val="00FE1A60"/>
    <w:rsid w:val="00FE34AF"/>
    <w:rsid w:val="00FE6CE4"/>
    <w:rsid w:val="00FF1927"/>
    <w:rsid w:val="00FF1B75"/>
    <w:rsid w:val="00FF2A23"/>
    <w:rsid w:val="00FF2EAE"/>
    <w:rsid w:val="00FF3154"/>
    <w:rsid w:val="00FF5002"/>
    <w:rsid w:val="00FF60BC"/>
    <w:rsid w:val="00FF6519"/>
    <w:rsid w:val="01017684"/>
    <w:rsid w:val="01026F17"/>
    <w:rsid w:val="01090B48"/>
    <w:rsid w:val="010B6B80"/>
    <w:rsid w:val="01115B19"/>
    <w:rsid w:val="01170BF2"/>
    <w:rsid w:val="0120743C"/>
    <w:rsid w:val="01214D97"/>
    <w:rsid w:val="012275AF"/>
    <w:rsid w:val="012A0698"/>
    <w:rsid w:val="012F1384"/>
    <w:rsid w:val="01312D03"/>
    <w:rsid w:val="01366D4C"/>
    <w:rsid w:val="014001AC"/>
    <w:rsid w:val="01583748"/>
    <w:rsid w:val="016013A4"/>
    <w:rsid w:val="01713612"/>
    <w:rsid w:val="01721EAA"/>
    <w:rsid w:val="017240DE"/>
    <w:rsid w:val="017460A8"/>
    <w:rsid w:val="01852063"/>
    <w:rsid w:val="01973B44"/>
    <w:rsid w:val="01A01AFA"/>
    <w:rsid w:val="01A56261"/>
    <w:rsid w:val="01A73D87"/>
    <w:rsid w:val="01A9153E"/>
    <w:rsid w:val="01AE15BA"/>
    <w:rsid w:val="01AF70E0"/>
    <w:rsid w:val="01B110AA"/>
    <w:rsid w:val="01B45801"/>
    <w:rsid w:val="01CB5453"/>
    <w:rsid w:val="01D22D0C"/>
    <w:rsid w:val="01D803E5"/>
    <w:rsid w:val="01E55EEF"/>
    <w:rsid w:val="01EA636A"/>
    <w:rsid w:val="01F1594A"/>
    <w:rsid w:val="01F66F81"/>
    <w:rsid w:val="01FA5625"/>
    <w:rsid w:val="01FF1E15"/>
    <w:rsid w:val="02076F1C"/>
    <w:rsid w:val="02094A42"/>
    <w:rsid w:val="020F70C0"/>
    <w:rsid w:val="021307A7"/>
    <w:rsid w:val="02132159"/>
    <w:rsid w:val="0213766F"/>
    <w:rsid w:val="02145195"/>
    <w:rsid w:val="02184C85"/>
    <w:rsid w:val="021A09FD"/>
    <w:rsid w:val="021F4F27"/>
    <w:rsid w:val="02225B04"/>
    <w:rsid w:val="02261AE8"/>
    <w:rsid w:val="0227311A"/>
    <w:rsid w:val="022A49B8"/>
    <w:rsid w:val="022E6257"/>
    <w:rsid w:val="023F16E3"/>
    <w:rsid w:val="024261A6"/>
    <w:rsid w:val="02467A44"/>
    <w:rsid w:val="02506732"/>
    <w:rsid w:val="02551A35"/>
    <w:rsid w:val="02557A8D"/>
    <w:rsid w:val="025D4D8E"/>
    <w:rsid w:val="025F5776"/>
    <w:rsid w:val="02627F17"/>
    <w:rsid w:val="02644C33"/>
    <w:rsid w:val="0269067C"/>
    <w:rsid w:val="0273635F"/>
    <w:rsid w:val="02752C82"/>
    <w:rsid w:val="02786099"/>
    <w:rsid w:val="027866EB"/>
    <w:rsid w:val="027C1216"/>
    <w:rsid w:val="027C16B8"/>
    <w:rsid w:val="027C3466"/>
    <w:rsid w:val="028247F4"/>
    <w:rsid w:val="02902A6D"/>
    <w:rsid w:val="029307AF"/>
    <w:rsid w:val="02964532"/>
    <w:rsid w:val="029C1412"/>
    <w:rsid w:val="02A70258"/>
    <w:rsid w:val="02A97FD3"/>
    <w:rsid w:val="02B726F0"/>
    <w:rsid w:val="02B97A9C"/>
    <w:rsid w:val="02C32E43"/>
    <w:rsid w:val="02D70676"/>
    <w:rsid w:val="02DB6B5E"/>
    <w:rsid w:val="02DF1863"/>
    <w:rsid w:val="02EF1804"/>
    <w:rsid w:val="02F01C71"/>
    <w:rsid w:val="02F23728"/>
    <w:rsid w:val="02F95629"/>
    <w:rsid w:val="02F96864"/>
    <w:rsid w:val="02FB5F58"/>
    <w:rsid w:val="02FF7BF3"/>
    <w:rsid w:val="030169EC"/>
    <w:rsid w:val="03045296"/>
    <w:rsid w:val="0315748B"/>
    <w:rsid w:val="03172312"/>
    <w:rsid w:val="03210061"/>
    <w:rsid w:val="03261624"/>
    <w:rsid w:val="03265180"/>
    <w:rsid w:val="032F5B4B"/>
    <w:rsid w:val="034A3564"/>
    <w:rsid w:val="034D691F"/>
    <w:rsid w:val="035A307B"/>
    <w:rsid w:val="037A7CCB"/>
    <w:rsid w:val="037B196F"/>
    <w:rsid w:val="037D56E7"/>
    <w:rsid w:val="037E21EA"/>
    <w:rsid w:val="03820A53"/>
    <w:rsid w:val="039667A9"/>
    <w:rsid w:val="039D7B38"/>
    <w:rsid w:val="039E565E"/>
    <w:rsid w:val="03B22EB7"/>
    <w:rsid w:val="03B30E76"/>
    <w:rsid w:val="03B327EA"/>
    <w:rsid w:val="03B94CE8"/>
    <w:rsid w:val="03BD1A8A"/>
    <w:rsid w:val="03C2134C"/>
    <w:rsid w:val="03D04B5D"/>
    <w:rsid w:val="03D21196"/>
    <w:rsid w:val="03DD33B8"/>
    <w:rsid w:val="03DD7F34"/>
    <w:rsid w:val="03E034D9"/>
    <w:rsid w:val="03EA2651"/>
    <w:rsid w:val="03F907DC"/>
    <w:rsid w:val="04115E30"/>
    <w:rsid w:val="0419673B"/>
    <w:rsid w:val="041A2F36"/>
    <w:rsid w:val="041B2E0E"/>
    <w:rsid w:val="04216F92"/>
    <w:rsid w:val="042651A1"/>
    <w:rsid w:val="042A2109"/>
    <w:rsid w:val="042C0EBC"/>
    <w:rsid w:val="04322762"/>
    <w:rsid w:val="043B11C4"/>
    <w:rsid w:val="043F299D"/>
    <w:rsid w:val="04415EE3"/>
    <w:rsid w:val="04461F7D"/>
    <w:rsid w:val="044C50BA"/>
    <w:rsid w:val="044F0706"/>
    <w:rsid w:val="045126D0"/>
    <w:rsid w:val="04583A5F"/>
    <w:rsid w:val="04614F31"/>
    <w:rsid w:val="046643CE"/>
    <w:rsid w:val="046B6B89"/>
    <w:rsid w:val="0474056D"/>
    <w:rsid w:val="047775AF"/>
    <w:rsid w:val="04796C45"/>
    <w:rsid w:val="047A0F03"/>
    <w:rsid w:val="047A445E"/>
    <w:rsid w:val="0487697C"/>
    <w:rsid w:val="048A774A"/>
    <w:rsid w:val="04981258"/>
    <w:rsid w:val="04A15406"/>
    <w:rsid w:val="04A42800"/>
    <w:rsid w:val="04A50EF5"/>
    <w:rsid w:val="04B54A0D"/>
    <w:rsid w:val="04B87DBA"/>
    <w:rsid w:val="04BB625C"/>
    <w:rsid w:val="04BC08B4"/>
    <w:rsid w:val="04BD72DF"/>
    <w:rsid w:val="04BE782C"/>
    <w:rsid w:val="04BF763A"/>
    <w:rsid w:val="04C335CE"/>
    <w:rsid w:val="04C441DA"/>
    <w:rsid w:val="04C60B97"/>
    <w:rsid w:val="04CC2591"/>
    <w:rsid w:val="04CD7FA9"/>
    <w:rsid w:val="04CE27B5"/>
    <w:rsid w:val="04D12AAC"/>
    <w:rsid w:val="04D24492"/>
    <w:rsid w:val="04DD2267"/>
    <w:rsid w:val="04E978D1"/>
    <w:rsid w:val="04EA6DAD"/>
    <w:rsid w:val="050D396D"/>
    <w:rsid w:val="051040E9"/>
    <w:rsid w:val="051D2795"/>
    <w:rsid w:val="05253F13"/>
    <w:rsid w:val="05273450"/>
    <w:rsid w:val="05345B40"/>
    <w:rsid w:val="05350AC1"/>
    <w:rsid w:val="053A13B6"/>
    <w:rsid w:val="053C512E"/>
    <w:rsid w:val="05407B21"/>
    <w:rsid w:val="054B15E0"/>
    <w:rsid w:val="054B5371"/>
    <w:rsid w:val="05523F70"/>
    <w:rsid w:val="05551D4C"/>
    <w:rsid w:val="05573D16"/>
    <w:rsid w:val="055B1BE8"/>
    <w:rsid w:val="05610656"/>
    <w:rsid w:val="056401E1"/>
    <w:rsid w:val="056A57F8"/>
    <w:rsid w:val="056F500B"/>
    <w:rsid w:val="05760640"/>
    <w:rsid w:val="058645FB"/>
    <w:rsid w:val="058A5E9A"/>
    <w:rsid w:val="058F525E"/>
    <w:rsid w:val="0591284D"/>
    <w:rsid w:val="05917228"/>
    <w:rsid w:val="05982B82"/>
    <w:rsid w:val="059C0170"/>
    <w:rsid w:val="05A3035A"/>
    <w:rsid w:val="05AA02EA"/>
    <w:rsid w:val="05B01605"/>
    <w:rsid w:val="05B42F17"/>
    <w:rsid w:val="05BE3D95"/>
    <w:rsid w:val="05C20CAE"/>
    <w:rsid w:val="05CE0AF4"/>
    <w:rsid w:val="05D021CE"/>
    <w:rsid w:val="05D215EF"/>
    <w:rsid w:val="05D67331"/>
    <w:rsid w:val="05E41A4E"/>
    <w:rsid w:val="05EF21A1"/>
    <w:rsid w:val="060A1391"/>
    <w:rsid w:val="060C2F7B"/>
    <w:rsid w:val="06190FCC"/>
    <w:rsid w:val="0620235A"/>
    <w:rsid w:val="062F259D"/>
    <w:rsid w:val="063103D5"/>
    <w:rsid w:val="063E4C5A"/>
    <w:rsid w:val="06407893"/>
    <w:rsid w:val="064B31FA"/>
    <w:rsid w:val="064D3A02"/>
    <w:rsid w:val="065169B7"/>
    <w:rsid w:val="065344DE"/>
    <w:rsid w:val="0658414F"/>
    <w:rsid w:val="065B2A94"/>
    <w:rsid w:val="066A7233"/>
    <w:rsid w:val="066F5090"/>
    <w:rsid w:val="0671265E"/>
    <w:rsid w:val="067A1D26"/>
    <w:rsid w:val="067C06B2"/>
    <w:rsid w:val="067D77AC"/>
    <w:rsid w:val="067F52D3"/>
    <w:rsid w:val="06844B0F"/>
    <w:rsid w:val="068D647E"/>
    <w:rsid w:val="06930D7E"/>
    <w:rsid w:val="069906DD"/>
    <w:rsid w:val="06A25624"/>
    <w:rsid w:val="06B21BFC"/>
    <w:rsid w:val="06B50CF4"/>
    <w:rsid w:val="06BA455D"/>
    <w:rsid w:val="06BA630B"/>
    <w:rsid w:val="06BC02D5"/>
    <w:rsid w:val="06BD229F"/>
    <w:rsid w:val="06C705E9"/>
    <w:rsid w:val="06CE625A"/>
    <w:rsid w:val="06D962A2"/>
    <w:rsid w:val="06DB44A7"/>
    <w:rsid w:val="06E415DA"/>
    <w:rsid w:val="06E70564"/>
    <w:rsid w:val="06F04422"/>
    <w:rsid w:val="06F32C4C"/>
    <w:rsid w:val="06F832D7"/>
    <w:rsid w:val="06FC7E63"/>
    <w:rsid w:val="06FE6E39"/>
    <w:rsid w:val="07006D77"/>
    <w:rsid w:val="07015758"/>
    <w:rsid w:val="07035F04"/>
    <w:rsid w:val="070365AA"/>
    <w:rsid w:val="070659F4"/>
    <w:rsid w:val="070D6D82"/>
    <w:rsid w:val="07111D78"/>
    <w:rsid w:val="07113D89"/>
    <w:rsid w:val="071708A1"/>
    <w:rsid w:val="0717375D"/>
    <w:rsid w:val="071828A5"/>
    <w:rsid w:val="07221759"/>
    <w:rsid w:val="07247C28"/>
    <w:rsid w:val="07257354"/>
    <w:rsid w:val="072E5B90"/>
    <w:rsid w:val="073360BD"/>
    <w:rsid w:val="07351E35"/>
    <w:rsid w:val="07391EF0"/>
    <w:rsid w:val="073C1416"/>
    <w:rsid w:val="0745526F"/>
    <w:rsid w:val="07457A64"/>
    <w:rsid w:val="074B1659"/>
    <w:rsid w:val="074E161D"/>
    <w:rsid w:val="074E2EF7"/>
    <w:rsid w:val="07540148"/>
    <w:rsid w:val="075C73C2"/>
    <w:rsid w:val="075E16C2"/>
    <w:rsid w:val="076C7767"/>
    <w:rsid w:val="077C3131"/>
    <w:rsid w:val="077E1A2E"/>
    <w:rsid w:val="07845EBA"/>
    <w:rsid w:val="078A2181"/>
    <w:rsid w:val="078D3A1F"/>
    <w:rsid w:val="078E7909"/>
    <w:rsid w:val="07996EB4"/>
    <w:rsid w:val="079E733B"/>
    <w:rsid w:val="079F684B"/>
    <w:rsid w:val="07A94598"/>
    <w:rsid w:val="07B207DE"/>
    <w:rsid w:val="07BC2B7A"/>
    <w:rsid w:val="07C562F9"/>
    <w:rsid w:val="07CA4C73"/>
    <w:rsid w:val="07D17DB0"/>
    <w:rsid w:val="07D57174"/>
    <w:rsid w:val="07D91D1C"/>
    <w:rsid w:val="07D945DC"/>
    <w:rsid w:val="07DC0D8D"/>
    <w:rsid w:val="07E01966"/>
    <w:rsid w:val="07EF46DA"/>
    <w:rsid w:val="07EF6488"/>
    <w:rsid w:val="07F65A68"/>
    <w:rsid w:val="080965E5"/>
    <w:rsid w:val="080B6354"/>
    <w:rsid w:val="080C528C"/>
    <w:rsid w:val="0810301B"/>
    <w:rsid w:val="08107785"/>
    <w:rsid w:val="08114650"/>
    <w:rsid w:val="08171283"/>
    <w:rsid w:val="0817778D"/>
    <w:rsid w:val="081F0F94"/>
    <w:rsid w:val="08236132"/>
    <w:rsid w:val="08283748"/>
    <w:rsid w:val="082D669C"/>
    <w:rsid w:val="083C30E3"/>
    <w:rsid w:val="08471E20"/>
    <w:rsid w:val="08563ADB"/>
    <w:rsid w:val="085A4F7E"/>
    <w:rsid w:val="085B1D6F"/>
    <w:rsid w:val="08646E76"/>
    <w:rsid w:val="08674270"/>
    <w:rsid w:val="086A1FB2"/>
    <w:rsid w:val="086A5B0F"/>
    <w:rsid w:val="08713341"/>
    <w:rsid w:val="087370B9"/>
    <w:rsid w:val="08762705"/>
    <w:rsid w:val="0878647D"/>
    <w:rsid w:val="087E4CB6"/>
    <w:rsid w:val="08814108"/>
    <w:rsid w:val="08836BD0"/>
    <w:rsid w:val="08855AD6"/>
    <w:rsid w:val="088E3EF3"/>
    <w:rsid w:val="08986B20"/>
    <w:rsid w:val="08A560B2"/>
    <w:rsid w:val="08B5096B"/>
    <w:rsid w:val="08C44AB9"/>
    <w:rsid w:val="08D12D6E"/>
    <w:rsid w:val="08DA7138"/>
    <w:rsid w:val="08DD79D8"/>
    <w:rsid w:val="08E15D8E"/>
    <w:rsid w:val="08F02F36"/>
    <w:rsid w:val="08F11066"/>
    <w:rsid w:val="08F31FA8"/>
    <w:rsid w:val="08F33D56"/>
    <w:rsid w:val="08FD4BD5"/>
    <w:rsid w:val="09070A03"/>
    <w:rsid w:val="090B5543"/>
    <w:rsid w:val="090D502E"/>
    <w:rsid w:val="09200A13"/>
    <w:rsid w:val="092C1016"/>
    <w:rsid w:val="092D4ADB"/>
    <w:rsid w:val="09300B06"/>
    <w:rsid w:val="0935611C"/>
    <w:rsid w:val="093978B5"/>
    <w:rsid w:val="093F343F"/>
    <w:rsid w:val="094B0040"/>
    <w:rsid w:val="0952674B"/>
    <w:rsid w:val="0966277A"/>
    <w:rsid w:val="0967211C"/>
    <w:rsid w:val="096B7ED1"/>
    <w:rsid w:val="096D0679"/>
    <w:rsid w:val="09735C6C"/>
    <w:rsid w:val="097C3D4B"/>
    <w:rsid w:val="098A544D"/>
    <w:rsid w:val="09991B6A"/>
    <w:rsid w:val="09A13A7B"/>
    <w:rsid w:val="09A84B40"/>
    <w:rsid w:val="09A908B8"/>
    <w:rsid w:val="09AB0DDA"/>
    <w:rsid w:val="09AB2883"/>
    <w:rsid w:val="09B13AC3"/>
    <w:rsid w:val="09B93488"/>
    <w:rsid w:val="09B94817"/>
    <w:rsid w:val="09BA2AC6"/>
    <w:rsid w:val="09C2683B"/>
    <w:rsid w:val="09C3247E"/>
    <w:rsid w:val="09C758AE"/>
    <w:rsid w:val="09C943AD"/>
    <w:rsid w:val="09D122E9"/>
    <w:rsid w:val="09D51869"/>
    <w:rsid w:val="09DF70B8"/>
    <w:rsid w:val="09E244F6"/>
    <w:rsid w:val="09E33DCA"/>
    <w:rsid w:val="09F00DFE"/>
    <w:rsid w:val="09F61D50"/>
    <w:rsid w:val="09F9539C"/>
    <w:rsid w:val="09FF5296"/>
    <w:rsid w:val="0A03621B"/>
    <w:rsid w:val="0A171CC6"/>
    <w:rsid w:val="0A200B7B"/>
    <w:rsid w:val="0A265419"/>
    <w:rsid w:val="0A276B2A"/>
    <w:rsid w:val="0A2C751F"/>
    <w:rsid w:val="0A2F7010"/>
    <w:rsid w:val="0A301A70"/>
    <w:rsid w:val="0A322A2E"/>
    <w:rsid w:val="0A3B3C06"/>
    <w:rsid w:val="0A3E36F7"/>
    <w:rsid w:val="0A3F75E5"/>
    <w:rsid w:val="0A474359"/>
    <w:rsid w:val="0A486318"/>
    <w:rsid w:val="0A4F28BA"/>
    <w:rsid w:val="0A526E2C"/>
    <w:rsid w:val="0A5A0A93"/>
    <w:rsid w:val="0A676977"/>
    <w:rsid w:val="0A710A18"/>
    <w:rsid w:val="0A7315F2"/>
    <w:rsid w:val="0A746570"/>
    <w:rsid w:val="0A7669ED"/>
    <w:rsid w:val="0A79472F"/>
    <w:rsid w:val="0A834AB9"/>
    <w:rsid w:val="0A913826"/>
    <w:rsid w:val="0A917CCA"/>
    <w:rsid w:val="0AA07F0D"/>
    <w:rsid w:val="0AA51080"/>
    <w:rsid w:val="0AB17A25"/>
    <w:rsid w:val="0ABA4A34"/>
    <w:rsid w:val="0AC05EBA"/>
    <w:rsid w:val="0AC06B0B"/>
    <w:rsid w:val="0AC92FC0"/>
    <w:rsid w:val="0ACB5B1C"/>
    <w:rsid w:val="0ACC0D02"/>
    <w:rsid w:val="0AD11E75"/>
    <w:rsid w:val="0AD12118"/>
    <w:rsid w:val="0AD32091"/>
    <w:rsid w:val="0AD759C8"/>
    <w:rsid w:val="0AE918B4"/>
    <w:rsid w:val="0AEA1189"/>
    <w:rsid w:val="0AED75C5"/>
    <w:rsid w:val="0AF461CA"/>
    <w:rsid w:val="0AFD2C6A"/>
    <w:rsid w:val="0AFE662A"/>
    <w:rsid w:val="0B04224A"/>
    <w:rsid w:val="0B08474F"/>
    <w:rsid w:val="0B156206"/>
    <w:rsid w:val="0B1C57E6"/>
    <w:rsid w:val="0B234241"/>
    <w:rsid w:val="0B2621C1"/>
    <w:rsid w:val="0B380146"/>
    <w:rsid w:val="0B3B3792"/>
    <w:rsid w:val="0B4968BC"/>
    <w:rsid w:val="0B4B0BC0"/>
    <w:rsid w:val="0B504A69"/>
    <w:rsid w:val="0B505490"/>
    <w:rsid w:val="0B541106"/>
    <w:rsid w:val="0B550CF8"/>
    <w:rsid w:val="0B55760E"/>
    <w:rsid w:val="0B5673B8"/>
    <w:rsid w:val="0B58265A"/>
    <w:rsid w:val="0B811AED"/>
    <w:rsid w:val="0B845139"/>
    <w:rsid w:val="0B8B296C"/>
    <w:rsid w:val="0B8D66E4"/>
    <w:rsid w:val="0BA33880"/>
    <w:rsid w:val="0BA76046"/>
    <w:rsid w:val="0BAB761D"/>
    <w:rsid w:val="0BAF708A"/>
    <w:rsid w:val="0BB61997"/>
    <w:rsid w:val="0BB63DAF"/>
    <w:rsid w:val="0BB75D2B"/>
    <w:rsid w:val="0BBA5BBB"/>
    <w:rsid w:val="0BBB741F"/>
    <w:rsid w:val="0BD827AC"/>
    <w:rsid w:val="0BD95485"/>
    <w:rsid w:val="0BE76511"/>
    <w:rsid w:val="0BEF750E"/>
    <w:rsid w:val="0BF00A21"/>
    <w:rsid w:val="0BF53ECA"/>
    <w:rsid w:val="0C012C2E"/>
    <w:rsid w:val="0C054E2C"/>
    <w:rsid w:val="0C0F534B"/>
    <w:rsid w:val="0C0F70F9"/>
    <w:rsid w:val="0C123827"/>
    <w:rsid w:val="0C1464BD"/>
    <w:rsid w:val="0C2169D7"/>
    <w:rsid w:val="0C317937"/>
    <w:rsid w:val="0C3703FE"/>
    <w:rsid w:val="0C3923C8"/>
    <w:rsid w:val="0C39369B"/>
    <w:rsid w:val="0C41127C"/>
    <w:rsid w:val="0C430B50"/>
    <w:rsid w:val="0C670EE5"/>
    <w:rsid w:val="0C6F4513"/>
    <w:rsid w:val="0C770F15"/>
    <w:rsid w:val="0C7B29E0"/>
    <w:rsid w:val="0C7D0506"/>
    <w:rsid w:val="0C882A07"/>
    <w:rsid w:val="0C88488C"/>
    <w:rsid w:val="0C8A677F"/>
    <w:rsid w:val="0C915BFB"/>
    <w:rsid w:val="0C94198B"/>
    <w:rsid w:val="0C943AA2"/>
    <w:rsid w:val="0C9B098C"/>
    <w:rsid w:val="0CA8083B"/>
    <w:rsid w:val="0CA83953"/>
    <w:rsid w:val="0CA84E57"/>
    <w:rsid w:val="0CB87790"/>
    <w:rsid w:val="0CB90E13"/>
    <w:rsid w:val="0CC463BD"/>
    <w:rsid w:val="0CD26A47"/>
    <w:rsid w:val="0CD914B5"/>
    <w:rsid w:val="0CE64047"/>
    <w:rsid w:val="0CE65A03"/>
    <w:rsid w:val="0CF63E15"/>
    <w:rsid w:val="0CF85DDF"/>
    <w:rsid w:val="0CF972AE"/>
    <w:rsid w:val="0D006A41"/>
    <w:rsid w:val="0D046532"/>
    <w:rsid w:val="0D097FEC"/>
    <w:rsid w:val="0D0C3638"/>
    <w:rsid w:val="0D10137A"/>
    <w:rsid w:val="0D1349C7"/>
    <w:rsid w:val="0D183789"/>
    <w:rsid w:val="0D244299"/>
    <w:rsid w:val="0D2758D8"/>
    <w:rsid w:val="0D3938D4"/>
    <w:rsid w:val="0D3F756A"/>
    <w:rsid w:val="0D434D12"/>
    <w:rsid w:val="0D464D9C"/>
    <w:rsid w:val="0D4B3979"/>
    <w:rsid w:val="0D520D84"/>
    <w:rsid w:val="0D523741"/>
    <w:rsid w:val="0D582A8B"/>
    <w:rsid w:val="0D643474"/>
    <w:rsid w:val="0D6B1203"/>
    <w:rsid w:val="0D6B7814"/>
    <w:rsid w:val="0D6E011C"/>
    <w:rsid w:val="0D725B91"/>
    <w:rsid w:val="0D853282"/>
    <w:rsid w:val="0D892EDB"/>
    <w:rsid w:val="0D8B27AF"/>
    <w:rsid w:val="0D907DC5"/>
    <w:rsid w:val="0D933D59"/>
    <w:rsid w:val="0D9A6E96"/>
    <w:rsid w:val="0DA12654"/>
    <w:rsid w:val="0DA675E9"/>
    <w:rsid w:val="0DB00467"/>
    <w:rsid w:val="0DBB5789"/>
    <w:rsid w:val="0DC22040"/>
    <w:rsid w:val="0DCA3859"/>
    <w:rsid w:val="0DCA5C92"/>
    <w:rsid w:val="0DDA4FD1"/>
    <w:rsid w:val="0DDB2E19"/>
    <w:rsid w:val="0DDE177A"/>
    <w:rsid w:val="0DE65231"/>
    <w:rsid w:val="0DF20A80"/>
    <w:rsid w:val="0DF648A0"/>
    <w:rsid w:val="0DF90060"/>
    <w:rsid w:val="0E0457D8"/>
    <w:rsid w:val="0E084E26"/>
    <w:rsid w:val="0E1359FA"/>
    <w:rsid w:val="0E19549D"/>
    <w:rsid w:val="0E25660A"/>
    <w:rsid w:val="0E285C93"/>
    <w:rsid w:val="0E325320"/>
    <w:rsid w:val="0E3777BE"/>
    <w:rsid w:val="0E3A41D5"/>
    <w:rsid w:val="0E3A5F83"/>
    <w:rsid w:val="0E4140E1"/>
    <w:rsid w:val="0E43308A"/>
    <w:rsid w:val="0E52151F"/>
    <w:rsid w:val="0E553AB9"/>
    <w:rsid w:val="0E574D87"/>
    <w:rsid w:val="0E655F3E"/>
    <w:rsid w:val="0E796AAB"/>
    <w:rsid w:val="0E7D2A40"/>
    <w:rsid w:val="0E8518F4"/>
    <w:rsid w:val="0E8D23F9"/>
    <w:rsid w:val="0E8D69FB"/>
    <w:rsid w:val="0E9B4C74"/>
    <w:rsid w:val="0E9C061A"/>
    <w:rsid w:val="0E9E53ED"/>
    <w:rsid w:val="0EAC50D3"/>
    <w:rsid w:val="0EAD49A7"/>
    <w:rsid w:val="0EB05D52"/>
    <w:rsid w:val="0EB67D00"/>
    <w:rsid w:val="0EC341CA"/>
    <w:rsid w:val="0ED0372F"/>
    <w:rsid w:val="0ED9579C"/>
    <w:rsid w:val="0EE43718"/>
    <w:rsid w:val="0EE90B68"/>
    <w:rsid w:val="0EF34C60"/>
    <w:rsid w:val="0EF702B3"/>
    <w:rsid w:val="0EFB5712"/>
    <w:rsid w:val="0F00541F"/>
    <w:rsid w:val="0F064208"/>
    <w:rsid w:val="0F0B4AD1"/>
    <w:rsid w:val="0F0C142F"/>
    <w:rsid w:val="0F0E2F32"/>
    <w:rsid w:val="0F162637"/>
    <w:rsid w:val="0F1B4006"/>
    <w:rsid w:val="0F225395"/>
    <w:rsid w:val="0F2E7896"/>
    <w:rsid w:val="0F333C8A"/>
    <w:rsid w:val="0F375915"/>
    <w:rsid w:val="0F441053"/>
    <w:rsid w:val="0F475ED1"/>
    <w:rsid w:val="0F4A0448"/>
    <w:rsid w:val="0F4A0704"/>
    <w:rsid w:val="0F545BF4"/>
    <w:rsid w:val="0F5F3EF3"/>
    <w:rsid w:val="0F6605CC"/>
    <w:rsid w:val="0F6B5ADC"/>
    <w:rsid w:val="0F6C4862"/>
    <w:rsid w:val="0F6D01FB"/>
    <w:rsid w:val="0F706100"/>
    <w:rsid w:val="0F7A0D2D"/>
    <w:rsid w:val="0F7A5202"/>
    <w:rsid w:val="0F8171C9"/>
    <w:rsid w:val="0F824086"/>
    <w:rsid w:val="0F84395A"/>
    <w:rsid w:val="0F957915"/>
    <w:rsid w:val="0F9C04A9"/>
    <w:rsid w:val="0F9E1CC2"/>
    <w:rsid w:val="0FA61B22"/>
    <w:rsid w:val="0FA638D0"/>
    <w:rsid w:val="0FA94FB4"/>
    <w:rsid w:val="0FB10A42"/>
    <w:rsid w:val="0FB12275"/>
    <w:rsid w:val="0FB87AA7"/>
    <w:rsid w:val="0FB90D84"/>
    <w:rsid w:val="0FBC0D1A"/>
    <w:rsid w:val="0FC93A62"/>
    <w:rsid w:val="0FCC70AF"/>
    <w:rsid w:val="0FD301EE"/>
    <w:rsid w:val="0FF07241"/>
    <w:rsid w:val="0FF1693E"/>
    <w:rsid w:val="0FF860F6"/>
    <w:rsid w:val="0FFA6B94"/>
    <w:rsid w:val="10014FAA"/>
    <w:rsid w:val="10066A65"/>
    <w:rsid w:val="101747CE"/>
    <w:rsid w:val="101822F4"/>
    <w:rsid w:val="10245DEE"/>
    <w:rsid w:val="10255C82"/>
    <w:rsid w:val="102927A5"/>
    <w:rsid w:val="102942B6"/>
    <w:rsid w:val="1031606C"/>
    <w:rsid w:val="10377139"/>
    <w:rsid w:val="103A04BC"/>
    <w:rsid w:val="103C7D7B"/>
    <w:rsid w:val="103F7234"/>
    <w:rsid w:val="104135F9"/>
    <w:rsid w:val="104355C3"/>
    <w:rsid w:val="10475F34"/>
    <w:rsid w:val="1049459B"/>
    <w:rsid w:val="104B26C9"/>
    <w:rsid w:val="104C58A2"/>
    <w:rsid w:val="104F21BA"/>
    <w:rsid w:val="105832FC"/>
    <w:rsid w:val="105C48D7"/>
    <w:rsid w:val="10625108"/>
    <w:rsid w:val="10675755"/>
    <w:rsid w:val="10710382"/>
    <w:rsid w:val="10790711"/>
    <w:rsid w:val="108160EB"/>
    <w:rsid w:val="1085082C"/>
    <w:rsid w:val="1088747A"/>
    <w:rsid w:val="108F6A5A"/>
    <w:rsid w:val="10961B97"/>
    <w:rsid w:val="10A06571"/>
    <w:rsid w:val="10A94CBF"/>
    <w:rsid w:val="10AF4A06"/>
    <w:rsid w:val="10B14C22"/>
    <w:rsid w:val="10B740C7"/>
    <w:rsid w:val="10BE6725"/>
    <w:rsid w:val="10C05F28"/>
    <w:rsid w:val="10C770AD"/>
    <w:rsid w:val="10C90198"/>
    <w:rsid w:val="10CD4AC6"/>
    <w:rsid w:val="10E558CF"/>
    <w:rsid w:val="10F20D97"/>
    <w:rsid w:val="10F87069"/>
    <w:rsid w:val="10F93ED3"/>
    <w:rsid w:val="10FE679F"/>
    <w:rsid w:val="110A4333"/>
    <w:rsid w:val="110D797F"/>
    <w:rsid w:val="111156C1"/>
    <w:rsid w:val="111A666F"/>
    <w:rsid w:val="111B28D9"/>
    <w:rsid w:val="11253D0E"/>
    <w:rsid w:val="112C2155"/>
    <w:rsid w:val="11366ED6"/>
    <w:rsid w:val="11477335"/>
    <w:rsid w:val="114F7F97"/>
    <w:rsid w:val="11561326"/>
    <w:rsid w:val="115D26B4"/>
    <w:rsid w:val="11611BCB"/>
    <w:rsid w:val="11652D60"/>
    <w:rsid w:val="116A6B7F"/>
    <w:rsid w:val="116B3023"/>
    <w:rsid w:val="11731ED8"/>
    <w:rsid w:val="118006F3"/>
    <w:rsid w:val="118440E5"/>
    <w:rsid w:val="1185289A"/>
    <w:rsid w:val="118C11EC"/>
    <w:rsid w:val="118E3A13"/>
    <w:rsid w:val="11902A8A"/>
    <w:rsid w:val="119971FF"/>
    <w:rsid w:val="11A16A45"/>
    <w:rsid w:val="11A448F7"/>
    <w:rsid w:val="11A842FF"/>
    <w:rsid w:val="11B00A36"/>
    <w:rsid w:val="11B5429E"/>
    <w:rsid w:val="11B91F74"/>
    <w:rsid w:val="11C113C0"/>
    <w:rsid w:val="11C646FD"/>
    <w:rsid w:val="11C72224"/>
    <w:rsid w:val="11C95F9C"/>
    <w:rsid w:val="11D6242F"/>
    <w:rsid w:val="11D706B9"/>
    <w:rsid w:val="11DA72E4"/>
    <w:rsid w:val="11DD37F5"/>
    <w:rsid w:val="11E93F48"/>
    <w:rsid w:val="11EF35A8"/>
    <w:rsid w:val="11F34DC7"/>
    <w:rsid w:val="11F808F6"/>
    <w:rsid w:val="11FF376C"/>
    <w:rsid w:val="12001018"/>
    <w:rsid w:val="12023AE6"/>
    <w:rsid w:val="120314AE"/>
    <w:rsid w:val="12040D82"/>
    <w:rsid w:val="12072620"/>
    <w:rsid w:val="120B1F32"/>
    <w:rsid w:val="120E0E48"/>
    <w:rsid w:val="12170AB5"/>
    <w:rsid w:val="121805F1"/>
    <w:rsid w:val="121D3BF2"/>
    <w:rsid w:val="122724A7"/>
    <w:rsid w:val="122B27B2"/>
    <w:rsid w:val="12331667"/>
    <w:rsid w:val="123553DF"/>
    <w:rsid w:val="123756BE"/>
    <w:rsid w:val="123F4C14"/>
    <w:rsid w:val="124473D0"/>
    <w:rsid w:val="124949E7"/>
    <w:rsid w:val="12532C90"/>
    <w:rsid w:val="12575356"/>
    <w:rsid w:val="12635AA8"/>
    <w:rsid w:val="12747F48"/>
    <w:rsid w:val="127A3EA4"/>
    <w:rsid w:val="128B1C28"/>
    <w:rsid w:val="128E689D"/>
    <w:rsid w:val="128F2D41"/>
    <w:rsid w:val="128F2E97"/>
    <w:rsid w:val="12942106"/>
    <w:rsid w:val="129E4D32"/>
    <w:rsid w:val="12A04982"/>
    <w:rsid w:val="12B1627A"/>
    <w:rsid w:val="12B675EB"/>
    <w:rsid w:val="12CB1F54"/>
    <w:rsid w:val="12CD23B6"/>
    <w:rsid w:val="12CF6372"/>
    <w:rsid w:val="12DB4D4F"/>
    <w:rsid w:val="12DE15D3"/>
    <w:rsid w:val="12E46319"/>
    <w:rsid w:val="12EC5084"/>
    <w:rsid w:val="12ED5CBA"/>
    <w:rsid w:val="12F12AA5"/>
    <w:rsid w:val="12F2507E"/>
    <w:rsid w:val="130E25D9"/>
    <w:rsid w:val="13160D6D"/>
    <w:rsid w:val="13217712"/>
    <w:rsid w:val="13225964"/>
    <w:rsid w:val="13314543"/>
    <w:rsid w:val="133912C6"/>
    <w:rsid w:val="133E6515"/>
    <w:rsid w:val="13424BEA"/>
    <w:rsid w:val="13465C7A"/>
    <w:rsid w:val="13474ECD"/>
    <w:rsid w:val="1347603A"/>
    <w:rsid w:val="13477178"/>
    <w:rsid w:val="134A310C"/>
    <w:rsid w:val="136715C8"/>
    <w:rsid w:val="136C4BC6"/>
    <w:rsid w:val="13710699"/>
    <w:rsid w:val="137C620C"/>
    <w:rsid w:val="137D05A4"/>
    <w:rsid w:val="13855EF2"/>
    <w:rsid w:val="13897791"/>
    <w:rsid w:val="138E4DA7"/>
    <w:rsid w:val="13950B2E"/>
    <w:rsid w:val="139A199E"/>
    <w:rsid w:val="139A7BF0"/>
    <w:rsid w:val="139B78EC"/>
    <w:rsid w:val="13A22600"/>
    <w:rsid w:val="13A75277"/>
    <w:rsid w:val="13AD0145"/>
    <w:rsid w:val="13B11DF8"/>
    <w:rsid w:val="13B3480E"/>
    <w:rsid w:val="13B54A2A"/>
    <w:rsid w:val="13BF7656"/>
    <w:rsid w:val="13D053C0"/>
    <w:rsid w:val="13D34B93"/>
    <w:rsid w:val="13DA5E2D"/>
    <w:rsid w:val="13E316E0"/>
    <w:rsid w:val="13E417B9"/>
    <w:rsid w:val="13EB3FA7"/>
    <w:rsid w:val="13F0437C"/>
    <w:rsid w:val="13F61959"/>
    <w:rsid w:val="13F70032"/>
    <w:rsid w:val="13F74118"/>
    <w:rsid w:val="13F866C4"/>
    <w:rsid w:val="13FD67D7"/>
    <w:rsid w:val="14000B3D"/>
    <w:rsid w:val="1402655C"/>
    <w:rsid w:val="1403238B"/>
    <w:rsid w:val="14067033"/>
    <w:rsid w:val="140D728C"/>
    <w:rsid w:val="14100369"/>
    <w:rsid w:val="14180622"/>
    <w:rsid w:val="141A42B8"/>
    <w:rsid w:val="142213DA"/>
    <w:rsid w:val="14252BF2"/>
    <w:rsid w:val="143516C6"/>
    <w:rsid w:val="143C2C0A"/>
    <w:rsid w:val="14424C33"/>
    <w:rsid w:val="14495172"/>
    <w:rsid w:val="144F3B57"/>
    <w:rsid w:val="14673E28"/>
    <w:rsid w:val="147524AF"/>
    <w:rsid w:val="147A2410"/>
    <w:rsid w:val="14852C6F"/>
    <w:rsid w:val="148F2F85"/>
    <w:rsid w:val="14961298"/>
    <w:rsid w:val="1497412F"/>
    <w:rsid w:val="149A5BA6"/>
    <w:rsid w:val="14A05F9F"/>
    <w:rsid w:val="14A502EF"/>
    <w:rsid w:val="14A5684C"/>
    <w:rsid w:val="14B163DC"/>
    <w:rsid w:val="14B24AC5"/>
    <w:rsid w:val="14C111AC"/>
    <w:rsid w:val="14C34F24"/>
    <w:rsid w:val="14D2188D"/>
    <w:rsid w:val="14D8425B"/>
    <w:rsid w:val="14DE617B"/>
    <w:rsid w:val="14E82F29"/>
    <w:rsid w:val="14F926F4"/>
    <w:rsid w:val="14FE7D0A"/>
    <w:rsid w:val="15035321"/>
    <w:rsid w:val="15095EDF"/>
    <w:rsid w:val="15244FBD"/>
    <w:rsid w:val="152A6D51"/>
    <w:rsid w:val="152B4878"/>
    <w:rsid w:val="152B4D84"/>
    <w:rsid w:val="152F1D82"/>
    <w:rsid w:val="1534197E"/>
    <w:rsid w:val="15363948"/>
    <w:rsid w:val="15372517"/>
    <w:rsid w:val="153866E8"/>
    <w:rsid w:val="153C6A85"/>
    <w:rsid w:val="154A0C01"/>
    <w:rsid w:val="154D0C92"/>
    <w:rsid w:val="155301FE"/>
    <w:rsid w:val="155E2586"/>
    <w:rsid w:val="15681628"/>
    <w:rsid w:val="156A1D3D"/>
    <w:rsid w:val="157439B7"/>
    <w:rsid w:val="157F3975"/>
    <w:rsid w:val="15871E93"/>
    <w:rsid w:val="158D108E"/>
    <w:rsid w:val="158F3058"/>
    <w:rsid w:val="15930009"/>
    <w:rsid w:val="159643E7"/>
    <w:rsid w:val="15AA23E4"/>
    <w:rsid w:val="15B211A0"/>
    <w:rsid w:val="15B36916"/>
    <w:rsid w:val="15C076B6"/>
    <w:rsid w:val="15CD0226"/>
    <w:rsid w:val="15D4104B"/>
    <w:rsid w:val="15F003C1"/>
    <w:rsid w:val="15F61009"/>
    <w:rsid w:val="15F65644"/>
    <w:rsid w:val="15FB0588"/>
    <w:rsid w:val="15FB249C"/>
    <w:rsid w:val="15FC3115"/>
    <w:rsid w:val="15FF3D3A"/>
    <w:rsid w:val="16133C89"/>
    <w:rsid w:val="1618304E"/>
    <w:rsid w:val="16184DFC"/>
    <w:rsid w:val="16225C7A"/>
    <w:rsid w:val="16264AED"/>
    <w:rsid w:val="162B4D52"/>
    <w:rsid w:val="164125A5"/>
    <w:rsid w:val="164400AE"/>
    <w:rsid w:val="16491459"/>
    <w:rsid w:val="164E4CC1"/>
    <w:rsid w:val="16573B76"/>
    <w:rsid w:val="165A5414"/>
    <w:rsid w:val="166234A0"/>
    <w:rsid w:val="1666200B"/>
    <w:rsid w:val="166D2513"/>
    <w:rsid w:val="16726C02"/>
    <w:rsid w:val="16770685"/>
    <w:rsid w:val="167C182F"/>
    <w:rsid w:val="167F42A3"/>
    <w:rsid w:val="16810BF3"/>
    <w:rsid w:val="1686345A"/>
    <w:rsid w:val="16956E5A"/>
    <w:rsid w:val="16A27000"/>
    <w:rsid w:val="16A44B2E"/>
    <w:rsid w:val="16A6504A"/>
    <w:rsid w:val="16A97E9C"/>
    <w:rsid w:val="16AC36B8"/>
    <w:rsid w:val="16AD7067"/>
    <w:rsid w:val="16AD74D6"/>
    <w:rsid w:val="16B014D8"/>
    <w:rsid w:val="16C83D17"/>
    <w:rsid w:val="16DF591A"/>
    <w:rsid w:val="16E11692"/>
    <w:rsid w:val="17057BF5"/>
    <w:rsid w:val="170959CD"/>
    <w:rsid w:val="170C7344"/>
    <w:rsid w:val="171D2C7F"/>
    <w:rsid w:val="172F68A1"/>
    <w:rsid w:val="17343EB7"/>
    <w:rsid w:val="173619DD"/>
    <w:rsid w:val="174340FA"/>
    <w:rsid w:val="17445402"/>
    <w:rsid w:val="174561CC"/>
    <w:rsid w:val="17546308"/>
    <w:rsid w:val="17581BDA"/>
    <w:rsid w:val="17614565"/>
    <w:rsid w:val="17626C76"/>
    <w:rsid w:val="17630885"/>
    <w:rsid w:val="1773299C"/>
    <w:rsid w:val="17785D56"/>
    <w:rsid w:val="17793C92"/>
    <w:rsid w:val="177E0DEC"/>
    <w:rsid w:val="17822E75"/>
    <w:rsid w:val="1787335F"/>
    <w:rsid w:val="17876721"/>
    <w:rsid w:val="17885FB1"/>
    <w:rsid w:val="1798546C"/>
    <w:rsid w:val="179F5F07"/>
    <w:rsid w:val="17A7618E"/>
    <w:rsid w:val="17A76437"/>
    <w:rsid w:val="17A8092A"/>
    <w:rsid w:val="17AA1892"/>
    <w:rsid w:val="17C37E9D"/>
    <w:rsid w:val="17C53665"/>
    <w:rsid w:val="17C57205"/>
    <w:rsid w:val="17C84600"/>
    <w:rsid w:val="17CA2B8F"/>
    <w:rsid w:val="17D11706"/>
    <w:rsid w:val="17E0741E"/>
    <w:rsid w:val="17E21B65"/>
    <w:rsid w:val="17E504A9"/>
    <w:rsid w:val="17EE22B8"/>
    <w:rsid w:val="17F72AB1"/>
    <w:rsid w:val="17FA3821"/>
    <w:rsid w:val="18130773"/>
    <w:rsid w:val="182A0E16"/>
    <w:rsid w:val="182C1032"/>
    <w:rsid w:val="182F377B"/>
    <w:rsid w:val="1833416F"/>
    <w:rsid w:val="18354C40"/>
    <w:rsid w:val="184D0DFC"/>
    <w:rsid w:val="18556009"/>
    <w:rsid w:val="185E284C"/>
    <w:rsid w:val="186407CC"/>
    <w:rsid w:val="186A5109"/>
    <w:rsid w:val="186D1754"/>
    <w:rsid w:val="18786026"/>
    <w:rsid w:val="187C10D7"/>
    <w:rsid w:val="187D188E"/>
    <w:rsid w:val="188569AA"/>
    <w:rsid w:val="18893D8F"/>
    <w:rsid w:val="18934C0E"/>
    <w:rsid w:val="189656EE"/>
    <w:rsid w:val="189F1804"/>
    <w:rsid w:val="18A65A0A"/>
    <w:rsid w:val="18AD0BC4"/>
    <w:rsid w:val="18B03A11"/>
    <w:rsid w:val="18B81109"/>
    <w:rsid w:val="18BC198A"/>
    <w:rsid w:val="18BD6D95"/>
    <w:rsid w:val="18C43019"/>
    <w:rsid w:val="18E00489"/>
    <w:rsid w:val="18EA17CE"/>
    <w:rsid w:val="18EB259A"/>
    <w:rsid w:val="18EB4A4A"/>
    <w:rsid w:val="19067AD5"/>
    <w:rsid w:val="19093EEF"/>
    <w:rsid w:val="1910625E"/>
    <w:rsid w:val="19141227"/>
    <w:rsid w:val="19173A91"/>
    <w:rsid w:val="191826FE"/>
    <w:rsid w:val="19197809"/>
    <w:rsid w:val="19212219"/>
    <w:rsid w:val="19282791"/>
    <w:rsid w:val="192C2D7A"/>
    <w:rsid w:val="19322678"/>
    <w:rsid w:val="194D74B2"/>
    <w:rsid w:val="195125DD"/>
    <w:rsid w:val="19544A48"/>
    <w:rsid w:val="19566367"/>
    <w:rsid w:val="19585862"/>
    <w:rsid w:val="195A572B"/>
    <w:rsid w:val="196A1E12"/>
    <w:rsid w:val="19722A75"/>
    <w:rsid w:val="197D7D98"/>
    <w:rsid w:val="197E58BE"/>
    <w:rsid w:val="19810432"/>
    <w:rsid w:val="198C1E2A"/>
    <w:rsid w:val="198F3627"/>
    <w:rsid w:val="199571A7"/>
    <w:rsid w:val="199C2DB7"/>
    <w:rsid w:val="19A05834"/>
    <w:rsid w:val="19A1335A"/>
    <w:rsid w:val="19A3586C"/>
    <w:rsid w:val="19A417DA"/>
    <w:rsid w:val="19AF139A"/>
    <w:rsid w:val="19BA2109"/>
    <w:rsid w:val="19BE5CBA"/>
    <w:rsid w:val="19C02DA9"/>
    <w:rsid w:val="19C332D1"/>
    <w:rsid w:val="19C40560"/>
    <w:rsid w:val="19C534ED"/>
    <w:rsid w:val="19C808E7"/>
    <w:rsid w:val="19CA465F"/>
    <w:rsid w:val="19CD5721"/>
    <w:rsid w:val="19CF6BA8"/>
    <w:rsid w:val="19D674A8"/>
    <w:rsid w:val="19DB061A"/>
    <w:rsid w:val="19DB686C"/>
    <w:rsid w:val="19EA6AAF"/>
    <w:rsid w:val="19F45009"/>
    <w:rsid w:val="19F90CCD"/>
    <w:rsid w:val="19FD61E8"/>
    <w:rsid w:val="1A100136"/>
    <w:rsid w:val="1A125CC5"/>
    <w:rsid w:val="1A2226ED"/>
    <w:rsid w:val="1A271C9F"/>
    <w:rsid w:val="1A2A3350"/>
    <w:rsid w:val="1A304FA1"/>
    <w:rsid w:val="1A335B12"/>
    <w:rsid w:val="1A361CF4"/>
    <w:rsid w:val="1A3B624B"/>
    <w:rsid w:val="1A3D12AA"/>
    <w:rsid w:val="1A450640"/>
    <w:rsid w:val="1A530AF8"/>
    <w:rsid w:val="1A5E1863"/>
    <w:rsid w:val="1A7B3BAB"/>
    <w:rsid w:val="1A7F369B"/>
    <w:rsid w:val="1A7F5449"/>
    <w:rsid w:val="1A815666"/>
    <w:rsid w:val="1A82318C"/>
    <w:rsid w:val="1A8354B6"/>
    <w:rsid w:val="1A937147"/>
    <w:rsid w:val="1A9A09EA"/>
    <w:rsid w:val="1AA41354"/>
    <w:rsid w:val="1AA50EEE"/>
    <w:rsid w:val="1AAB1E43"/>
    <w:rsid w:val="1AAC1FB7"/>
    <w:rsid w:val="1AB83062"/>
    <w:rsid w:val="1AC27A2C"/>
    <w:rsid w:val="1AC75042"/>
    <w:rsid w:val="1ACB4B33"/>
    <w:rsid w:val="1ACB68E1"/>
    <w:rsid w:val="1AD556B8"/>
    <w:rsid w:val="1ADF238C"/>
    <w:rsid w:val="1AE55118"/>
    <w:rsid w:val="1AE96D67"/>
    <w:rsid w:val="1AEC7D11"/>
    <w:rsid w:val="1AED2CFB"/>
    <w:rsid w:val="1AF57E02"/>
    <w:rsid w:val="1AFA0F74"/>
    <w:rsid w:val="1AFD0A64"/>
    <w:rsid w:val="1B03218F"/>
    <w:rsid w:val="1B0818E3"/>
    <w:rsid w:val="1B0B13D3"/>
    <w:rsid w:val="1B0C1B5C"/>
    <w:rsid w:val="1B0E4A1F"/>
    <w:rsid w:val="1B0F2763"/>
    <w:rsid w:val="1B200375"/>
    <w:rsid w:val="1B26620D"/>
    <w:rsid w:val="1B284CAF"/>
    <w:rsid w:val="1B28788F"/>
    <w:rsid w:val="1B34092A"/>
    <w:rsid w:val="1B3A3A66"/>
    <w:rsid w:val="1B3B1CB8"/>
    <w:rsid w:val="1B44565F"/>
    <w:rsid w:val="1B460738"/>
    <w:rsid w:val="1B487BDF"/>
    <w:rsid w:val="1B4B3AAE"/>
    <w:rsid w:val="1B4E306E"/>
    <w:rsid w:val="1B532C99"/>
    <w:rsid w:val="1B535AAD"/>
    <w:rsid w:val="1B61466C"/>
    <w:rsid w:val="1B642891"/>
    <w:rsid w:val="1B6A61A2"/>
    <w:rsid w:val="1B721452"/>
    <w:rsid w:val="1B7879AA"/>
    <w:rsid w:val="1B7900EB"/>
    <w:rsid w:val="1B7E0BC0"/>
    <w:rsid w:val="1B855EFD"/>
    <w:rsid w:val="1B87118E"/>
    <w:rsid w:val="1B8A679C"/>
    <w:rsid w:val="1B8A6930"/>
    <w:rsid w:val="1B8C6D94"/>
    <w:rsid w:val="1B8D413C"/>
    <w:rsid w:val="1B9E2247"/>
    <w:rsid w:val="1B9E607F"/>
    <w:rsid w:val="1BA3160C"/>
    <w:rsid w:val="1BA535D6"/>
    <w:rsid w:val="1BB40118"/>
    <w:rsid w:val="1BBC26CD"/>
    <w:rsid w:val="1BC51582"/>
    <w:rsid w:val="1BC872C4"/>
    <w:rsid w:val="1BCF2401"/>
    <w:rsid w:val="1BE802F9"/>
    <w:rsid w:val="1BE90439"/>
    <w:rsid w:val="1BF9122C"/>
    <w:rsid w:val="1BFF3FFC"/>
    <w:rsid w:val="1C026332"/>
    <w:rsid w:val="1C0C027B"/>
    <w:rsid w:val="1C0F23B1"/>
    <w:rsid w:val="1C1B5646"/>
    <w:rsid w:val="1C275D99"/>
    <w:rsid w:val="1C2C33AF"/>
    <w:rsid w:val="1C35495A"/>
    <w:rsid w:val="1C382442"/>
    <w:rsid w:val="1C387FA6"/>
    <w:rsid w:val="1C3E1334"/>
    <w:rsid w:val="1C402578"/>
    <w:rsid w:val="1C42747C"/>
    <w:rsid w:val="1C473E9F"/>
    <w:rsid w:val="1C5A0F49"/>
    <w:rsid w:val="1C600B5E"/>
    <w:rsid w:val="1C672639"/>
    <w:rsid w:val="1C6F7740"/>
    <w:rsid w:val="1C7002B8"/>
    <w:rsid w:val="1C70153A"/>
    <w:rsid w:val="1C734C79"/>
    <w:rsid w:val="1C766D20"/>
    <w:rsid w:val="1C7869D6"/>
    <w:rsid w:val="1C8256C5"/>
    <w:rsid w:val="1C8C02F2"/>
    <w:rsid w:val="1C981059"/>
    <w:rsid w:val="1C984EE8"/>
    <w:rsid w:val="1C9A47BD"/>
    <w:rsid w:val="1C9D085E"/>
    <w:rsid w:val="1C9D605B"/>
    <w:rsid w:val="1C9F1DD3"/>
    <w:rsid w:val="1CA266AD"/>
    <w:rsid w:val="1CA90EA4"/>
    <w:rsid w:val="1CAE2016"/>
    <w:rsid w:val="1CB975FE"/>
    <w:rsid w:val="1CBB4733"/>
    <w:rsid w:val="1CC02E89"/>
    <w:rsid w:val="1CC74C88"/>
    <w:rsid w:val="1CCA129F"/>
    <w:rsid w:val="1CD001DE"/>
    <w:rsid w:val="1CD6156D"/>
    <w:rsid w:val="1CD67DAB"/>
    <w:rsid w:val="1CDD604F"/>
    <w:rsid w:val="1CE4012E"/>
    <w:rsid w:val="1CE444E1"/>
    <w:rsid w:val="1CE65C54"/>
    <w:rsid w:val="1CEC0AC3"/>
    <w:rsid w:val="1CF57C45"/>
    <w:rsid w:val="1CF85987"/>
    <w:rsid w:val="1CFF6D16"/>
    <w:rsid w:val="1D012A8E"/>
    <w:rsid w:val="1D0245C4"/>
    <w:rsid w:val="1D077978"/>
    <w:rsid w:val="1D0B1216"/>
    <w:rsid w:val="1D187DD7"/>
    <w:rsid w:val="1D2422D8"/>
    <w:rsid w:val="1D2C66ED"/>
    <w:rsid w:val="1D2D11BD"/>
    <w:rsid w:val="1D2E13A9"/>
    <w:rsid w:val="1D35029E"/>
    <w:rsid w:val="1D3A0BF1"/>
    <w:rsid w:val="1D496AC7"/>
    <w:rsid w:val="1D66649D"/>
    <w:rsid w:val="1D6A0633"/>
    <w:rsid w:val="1D6B6BFB"/>
    <w:rsid w:val="1D74500E"/>
    <w:rsid w:val="1D750A90"/>
    <w:rsid w:val="1D7A7CFD"/>
    <w:rsid w:val="1D7C153E"/>
    <w:rsid w:val="1D8109A8"/>
    <w:rsid w:val="1D8316F5"/>
    <w:rsid w:val="1D8410A5"/>
    <w:rsid w:val="1D844C2F"/>
    <w:rsid w:val="1D84721B"/>
    <w:rsid w:val="1D864D41"/>
    <w:rsid w:val="1D886D0B"/>
    <w:rsid w:val="1D897121"/>
    <w:rsid w:val="1D994A74"/>
    <w:rsid w:val="1D9E208B"/>
    <w:rsid w:val="1DB45AE2"/>
    <w:rsid w:val="1DD737EE"/>
    <w:rsid w:val="1DD753AF"/>
    <w:rsid w:val="1DDC2BB3"/>
    <w:rsid w:val="1DE23F8D"/>
    <w:rsid w:val="1DE35CF5"/>
    <w:rsid w:val="1DEC706D"/>
    <w:rsid w:val="1DEE6320"/>
    <w:rsid w:val="1DFA0484"/>
    <w:rsid w:val="1E055C9E"/>
    <w:rsid w:val="1E0A7720"/>
    <w:rsid w:val="1E0D0FF4"/>
    <w:rsid w:val="1E0F0A85"/>
    <w:rsid w:val="1E1C7453"/>
    <w:rsid w:val="1E207B73"/>
    <w:rsid w:val="1E2D4F49"/>
    <w:rsid w:val="1E334B2F"/>
    <w:rsid w:val="1E397B74"/>
    <w:rsid w:val="1E3D7AF5"/>
    <w:rsid w:val="1E42510C"/>
    <w:rsid w:val="1E470974"/>
    <w:rsid w:val="1E4862CB"/>
    <w:rsid w:val="1E562965"/>
    <w:rsid w:val="1E5B04CD"/>
    <w:rsid w:val="1E601A36"/>
    <w:rsid w:val="1E635082"/>
    <w:rsid w:val="1E646060"/>
    <w:rsid w:val="1E6A74EE"/>
    <w:rsid w:val="1E6C3F37"/>
    <w:rsid w:val="1E6E72FA"/>
    <w:rsid w:val="1E82375A"/>
    <w:rsid w:val="1E895CEE"/>
    <w:rsid w:val="1E8C6387"/>
    <w:rsid w:val="1E8D072E"/>
    <w:rsid w:val="1E91399D"/>
    <w:rsid w:val="1E990AA4"/>
    <w:rsid w:val="1E9952FE"/>
    <w:rsid w:val="1E9A4F48"/>
    <w:rsid w:val="1EA57D91"/>
    <w:rsid w:val="1EAA3478"/>
    <w:rsid w:val="1EB07A86"/>
    <w:rsid w:val="1EB2279E"/>
    <w:rsid w:val="1EB4768C"/>
    <w:rsid w:val="1EC13614"/>
    <w:rsid w:val="1EC43D73"/>
    <w:rsid w:val="1ECE699F"/>
    <w:rsid w:val="1ED41526"/>
    <w:rsid w:val="1EFC175F"/>
    <w:rsid w:val="1F0136F8"/>
    <w:rsid w:val="1F01795F"/>
    <w:rsid w:val="1F1C1A13"/>
    <w:rsid w:val="1F1C595D"/>
    <w:rsid w:val="1F255754"/>
    <w:rsid w:val="1F274302"/>
    <w:rsid w:val="1F2D3DB4"/>
    <w:rsid w:val="1F3233D2"/>
    <w:rsid w:val="1F3C0C78"/>
    <w:rsid w:val="1F4A727D"/>
    <w:rsid w:val="1F550E6F"/>
    <w:rsid w:val="1F5C044F"/>
    <w:rsid w:val="1F6B2440"/>
    <w:rsid w:val="1F6B68E4"/>
    <w:rsid w:val="1F6F0AF9"/>
    <w:rsid w:val="1F7C63FB"/>
    <w:rsid w:val="1F804DC6"/>
    <w:rsid w:val="1F8A0112"/>
    <w:rsid w:val="1F8A4FBC"/>
    <w:rsid w:val="1F8B7238"/>
    <w:rsid w:val="1F9562A9"/>
    <w:rsid w:val="1F985608"/>
    <w:rsid w:val="1FA12306"/>
    <w:rsid w:val="1FA13A24"/>
    <w:rsid w:val="1FA62BF3"/>
    <w:rsid w:val="1FB27DE5"/>
    <w:rsid w:val="1FB65DB1"/>
    <w:rsid w:val="1FB77434"/>
    <w:rsid w:val="1FB84B14"/>
    <w:rsid w:val="1FC02472"/>
    <w:rsid w:val="1FC2787D"/>
    <w:rsid w:val="1FCA360B"/>
    <w:rsid w:val="1FCC4AAA"/>
    <w:rsid w:val="1FCD71AC"/>
    <w:rsid w:val="1FD55B0C"/>
    <w:rsid w:val="1FEF3071"/>
    <w:rsid w:val="1FFC7CC2"/>
    <w:rsid w:val="2000527E"/>
    <w:rsid w:val="20015A6D"/>
    <w:rsid w:val="200C3AA1"/>
    <w:rsid w:val="200D34F7"/>
    <w:rsid w:val="20126D60"/>
    <w:rsid w:val="20140D2A"/>
    <w:rsid w:val="20166850"/>
    <w:rsid w:val="201D477E"/>
    <w:rsid w:val="2029533F"/>
    <w:rsid w:val="202A5E57"/>
    <w:rsid w:val="2031368A"/>
    <w:rsid w:val="20313E68"/>
    <w:rsid w:val="20401B1F"/>
    <w:rsid w:val="20457135"/>
    <w:rsid w:val="20464691"/>
    <w:rsid w:val="204D5FEA"/>
    <w:rsid w:val="205253AE"/>
    <w:rsid w:val="20541126"/>
    <w:rsid w:val="20547378"/>
    <w:rsid w:val="205B4263"/>
    <w:rsid w:val="205B4D16"/>
    <w:rsid w:val="20654C19"/>
    <w:rsid w:val="20692E24"/>
    <w:rsid w:val="206A26F8"/>
    <w:rsid w:val="206A30D6"/>
    <w:rsid w:val="206B546A"/>
    <w:rsid w:val="20713A86"/>
    <w:rsid w:val="20782AFD"/>
    <w:rsid w:val="2079142E"/>
    <w:rsid w:val="207E61A3"/>
    <w:rsid w:val="20801F1B"/>
    <w:rsid w:val="20825C93"/>
    <w:rsid w:val="208732AA"/>
    <w:rsid w:val="208927A0"/>
    <w:rsid w:val="20951ECE"/>
    <w:rsid w:val="20974516"/>
    <w:rsid w:val="20A96A99"/>
    <w:rsid w:val="20AC34E7"/>
    <w:rsid w:val="20AE211E"/>
    <w:rsid w:val="20AE4CDA"/>
    <w:rsid w:val="20B16F4C"/>
    <w:rsid w:val="20B5492D"/>
    <w:rsid w:val="20B83D70"/>
    <w:rsid w:val="20BE2C20"/>
    <w:rsid w:val="20C004F1"/>
    <w:rsid w:val="20C1210B"/>
    <w:rsid w:val="20C14C32"/>
    <w:rsid w:val="20C31E08"/>
    <w:rsid w:val="20C52024"/>
    <w:rsid w:val="20CB3924"/>
    <w:rsid w:val="20D90628"/>
    <w:rsid w:val="20DB2FF3"/>
    <w:rsid w:val="20E10703"/>
    <w:rsid w:val="20E24D63"/>
    <w:rsid w:val="20E56222"/>
    <w:rsid w:val="20E60F42"/>
    <w:rsid w:val="20EC75B1"/>
    <w:rsid w:val="20F31288"/>
    <w:rsid w:val="20F6042F"/>
    <w:rsid w:val="20FF594C"/>
    <w:rsid w:val="21004E0A"/>
    <w:rsid w:val="21034850"/>
    <w:rsid w:val="210C37AF"/>
    <w:rsid w:val="2110329F"/>
    <w:rsid w:val="2119526B"/>
    <w:rsid w:val="21220D3E"/>
    <w:rsid w:val="212A1E36"/>
    <w:rsid w:val="21332739"/>
    <w:rsid w:val="21350F58"/>
    <w:rsid w:val="21364C79"/>
    <w:rsid w:val="21387E7B"/>
    <w:rsid w:val="21464F13"/>
    <w:rsid w:val="214A3DCF"/>
    <w:rsid w:val="21535882"/>
    <w:rsid w:val="215F4227"/>
    <w:rsid w:val="21611D4D"/>
    <w:rsid w:val="21751354"/>
    <w:rsid w:val="21752A69"/>
    <w:rsid w:val="217A0240"/>
    <w:rsid w:val="217C182D"/>
    <w:rsid w:val="218461CF"/>
    <w:rsid w:val="2190618E"/>
    <w:rsid w:val="21934186"/>
    <w:rsid w:val="21974C34"/>
    <w:rsid w:val="219C5412"/>
    <w:rsid w:val="21A954A2"/>
    <w:rsid w:val="21AB00E8"/>
    <w:rsid w:val="21AB205E"/>
    <w:rsid w:val="21B87493"/>
    <w:rsid w:val="21BF1049"/>
    <w:rsid w:val="21BF72A1"/>
    <w:rsid w:val="21C02800"/>
    <w:rsid w:val="21C3592D"/>
    <w:rsid w:val="21C55F53"/>
    <w:rsid w:val="21C739A4"/>
    <w:rsid w:val="21CB5418"/>
    <w:rsid w:val="21D405CF"/>
    <w:rsid w:val="21DB6E7F"/>
    <w:rsid w:val="21DC50B7"/>
    <w:rsid w:val="21E861CC"/>
    <w:rsid w:val="21FC530F"/>
    <w:rsid w:val="22120EF4"/>
    <w:rsid w:val="222B78BA"/>
    <w:rsid w:val="223236E9"/>
    <w:rsid w:val="22356D36"/>
    <w:rsid w:val="224156DA"/>
    <w:rsid w:val="224A0A33"/>
    <w:rsid w:val="224D0EBF"/>
    <w:rsid w:val="224E6146"/>
    <w:rsid w:val="22563FE2"/>
    <w:rsid w:val="225818BF"/>
    <w:rsid w:val="225A2932"/>
    <w:rsid w:val="22600A35"/>
    <w:rsid w:val="22617B2B"/>
    <w:rsid w:val="226F6BC0"/>
    <w:rsid w:val="22851A6B"/>
    <w:rsid w:val="22863542"/>
    <w:rsid w:val="228A7081"/>
    <w:rsid w:val="2299772B"/>
    <w:rsid w:val="229A263B"/>
    <w:rsid w:val="22A60671"/>
    <w:rsid w:val="22A84E37"/>
    <w:rsid w:val="22B4304D"/>
    <w:rsid w:val="22BF5A51"/>
    <w:rsid w:val="22C7400A"/>
    <w:rsid w:val="22C95DFC"/>
    <w:rsid w:val="22CC769A"/>
    <w:rsid w:val="22D63E70"/>
    <w:rsid w:val="22E64C5B"/>
    <w:rsid w:val="22E90B51"/>
    <w:rsid w:val="22EB5599"/>
    <w:rsid w:val="22F44F68"/>
    <w:rsid w:val="230010F2"/>
    <w:rsid w:val="23021720"/>
    <w:rsid w:val="230230BC"/>
    <w:rsid w:val="230D784D"/>
    <w:rsid w:val="231064EB"/>
    <w:rsid w:val="23130E25"/>
    <w:rsid w:val="231C6D05"/>
    <w:rsid w:val="231F3C6E"/>
    <w:rsid w:val="232272BA"/>
    <w:rsid w:val="232741BD"/>
    <w:rsid w:val="232A616E"/>
    <w:rsid w:val="232B2612"/>
    <w:rsid w:val="233A2E59"/>
    <w:rsid w:val="233E0596"/>
    <w:rsid w:val="233F60BE"/>
    <w:rsid w:val="23403BE4"/>
    <w:rsid w:val="234447CD"/>
    <w:rsid w:val="234A68AA"/>
    <w:rsid w:val="2352623A"/>
    <w:rsid w:val="23571C84"/>
    <w:rsid w:val="235949C4"/>
    <w:rsid w:val="23594B35"/>
    <w:rsid w:val="23655DFC"/>
    <w:rsid w:val="236E69A3"/>
    <w:rsid w:val="237240DB"/>
    <w:rsid w:val="237C2E6E"/>
    <w:rsid w:val="23815AAD"/>
    <w:rsid w:val="2382654D"/>
    <w:rsid w:val="23843AD1"/>
    <w:rsid w:val="238B30B1"/>
    <w:rsid w:val="238B509A"/>
    <w:rsid w:val="2398757C"/>
    <w:rsid w:val="23A81EB5"/>
    <w:rsid w:val="23A83C63"/>
    <w:rsid w:val="23B1063E"/>
    <w:rsid w:val="23B4085A"/>
    <w:rsid w:val="23BD591B"/>
    <w:rsid w:val="23C24F7E"/>
    <w:rsid w:val="23D20CE0"/>
    <w:rsid w:val="23DE58D7"/>
    <w:rsid w:val="23E71185"/>
    <w:rsid w:val="23E80503"/>
    <w:rsid w:val="23EA5690"/>
    <w:rsid w:val="23F437C8"/>
    <w:rsid w:val="240032D4"/>
    <w:rsid w:val="24064BC6"/>
    <w:rsid w:val="24092228"/>
    <w:rsid w:val="240E2941"/>
    <w:rsid w:val="24100D5B"/>
    <w:rsid w:val="241035B6"/>
    <w:rsid w:val="242332EA"/>
    <w:rsid w:val="24233AAA"/>
    <w:rsid w:val="2432352D"/>
    <w:rsid w:val="243F4D56"/>
    <w:rsid w:val="24401886"/>
    <w:rsid w:val="244157BB"/>
    <w:rsid w:val="244A6AC8"/>
    <w:rsid w:val="24537BF4"/>
    <w:rsid w:val="2455546D"/>
    <w:rsid w:val="24596D0B"/>
    <w:rsid w:val="245B76D1"/>
    <w:rsid w:val="246A42CA"/>
    <w:rsid w:val="246D68B4"/>
    <w:rsid w:val="246D6C5B"/>
    <w:rsid w:val="247240E4"/>
    <w:rsid w:val="247F5D13"/>
    <w:rsid w:val="24883A94"/>
    <w:rsid w:val="248F4E23"/>
    <w:rsid w:val="24A00092"/>
    <w:rsid w:val="24A106B2"/>
    <w:rsid w:val="24A20CE8"/>
    <w:rsid w:val="24A563F4"/>
    <w:rsid w:val="24A73F1B"/>
    <w:rsid w:val="24AA2584"/>
    <w:rsid w:val="24AE2274"/>
    <w:rsid w:val="24B16B47"/>
    <w:rsid w:val="24BF7AF3"/>
    <w:rsid w:val="24C26FA6"/>
    <w:rsid w:val="24D2380E"/>
    <w:rsid w:val="24D54DB0"/>
    <w:rsid w:val="24DD44A9"/>
    <w:rsid w:val="24E0216B"/>
    <w:rsid w:val="24E46F1D"/>
    <w:rsid w:val="24E625D6"/>
    <w:rsid w:val="24E9072C"/>
    <w:rsid w:val="24EA2059"/>
    <w:rsid w:val="24EC5DD1"/>
    <w:rsid w:val="24F82B87"/>
    <w:rsid w:val="24FD7FDE"/>
    <w:rsid w:val="25056E93"/>
    <w:rsid w:val="25072C0B"/>
    <w:rsid w:val="25105740"/>
    <w:rsid w:val="2514705E"/>
    <w:rsid w:val="2524556B"/>
    <w:rsid w:val="25407ECB"/>
    <w:rsid w:val="25441769"/>
    <w:rsid w:val="254A1B42"/>
    <w:rsid w:val="254C1482"/>
    <w:rsid w:val="25511EB6"/>
    <w:rsid w:val="257F61AC"/>
    <w:rsid w:val="25900E53"/>
    <w:rsid w:val="25922D54"/>
    <w:rsid w:val="2595516C"/>
    <w:rsid w:val="259879AE"/>
    <w:rsid w:val="25A272D2"/>
    <w:rsid w:val="25AA7CDE"/>
    <w:rsid w:val="25AE12D9"/>
    <w:rsid w:val="25B82C5F"/>
    <w:rsid w:val="25BD2CE7"/>
    <w:rsid w:val="25C05DF8"/>
    <w:rsid w:val="25C66622"/>
    <w:rsid w:val="25C90E6F"/>
    <w:rsid w:val="25D27E7B"/>
    <w:rsid w:val="25D80104"/>
    <w:rsid w:val="25E76599"/>
    <w:rsid w:val="25E777B3"/>
    <w:rsid w:val="25EF3DCB"/>
    <w:rsid w:val="25F86609"/>
    <w:rsid w:val="260B04D9"/>
    <w:rsid w:val="261965FA"/>
    <w:rsid w:val="261A696E"/>
    <w:rsid w:val="261F5D33"/>
    <w:rsid w:val="26207390"/>
    <w:rsid w:val="2629095F"/>
    <w:rsid w:val="262D48F3"/>
    <w:rsid w:val="262F6807"/>
    <w:rsid w:val="263C3A44"/>
    <w:rsid w:val="26492DAF"/>
    <w:rsid w:val="264A1001"/>
    <w:rsid w:val="264D6441"/>
    <w:rsid w:val="265E685B"/>
    <w:rsid w:val="26700C16"/>
    <w:rsid w:val="267918E7"/>
    <w:rsid w:val="268A7650"/>
    <w:rsid w:val="268F4C66"/>
    <w:rsid w:val="26926505"/>
    <w:rsid w:val="2696419A"/>
    <w:rsid w:val="269815C4"/>
    <w:rsid w:val="269F173D"/>
    <w:rsid w:val="26A1499A"/>
    <w:rsid w:val="26A56238"/>
    <w:rsid w:val="26AD56A2"/>
    <w:rsid w:val="26BA730E"/>
    <w:rsid w:val="26BD14E9"/>
    <w:rsid w:val="26DB434F"/>
    <w:rsid w:val="26E53F53"/>
    <w:rsid w:val="26E61628"/>
    <w:rsid w:val="26EB1117"/>
    <w:rsid w:val="26F3796C"/>
    <w:rsid w:val="26F937E6"/>
    <w:rsid w:val="26FE1DEC"/>
    <w:rsid w:val="2705317A"/>
    <w:rsid w:val="270964D5"/>
    <w:rsid w:val="270B3433"/>
    <w:rsid w:val="27140311"/>
    <w:rsid w:val="27141BEE"/>
    <w:rsid w:val="27144105"/>
    <w:rsid w:val="271A6966"/>
    <w:rsid w:val="271B299E"/>
    <w:rsid w:val="27217726"/>
    <w:rsid w:val="272D1633"/>
    <w:rsid w:val="273E5664"/>
    <w:rsid w:val="274076DB"/>
    <w:rsid w:val="274C0DA9"/>
    <w:rsid w:val="274D41DE"/>
    <w:rsid w:val="274F2171"/>
    <w:rsid w:val="27514612"/>
    <w:rsid w:val="27532138"/>
    <w:rsid w:val="27576182"/>
    <w:rsid w:val="275E0F3C"/>
    <w:rsid w:val="27644345"/>
    <w:rsid w:val="27656BD3"/>
    <w:rsid w:val="27693709"/>
    <w:rsid w:val="27693B39"/>
    <w:rsid w:val="27694F1D"/>
    <w:rsid w:val="276F7DBD"/>
    <w:rsid w:val="27724B77"/>
    <w:rsid w:val="27772CF5"/>
    <w:rsid w:val="27797DE0"/>
    <w:rsid w:val="277A238F"/>
    <w:rsid w:val="27836B4A"/>
    <w:rsid w:val="27870033"/>
    <w:rsid w:val="278D208C"/>
    <w:rsid w:val="27922E3B"/>
    <w:rsid w:val="279271FC"/>
    <w:rsid w:val="27956CD8"/>
    <w:rsid w:val="27965B8B"/>
    <w:rsid w:val="27983FEE"/>
    <w:rsid w:val="279D1605"/>
    <w:rsid w:val="279D33B3"/>
    <w:rsid w:val="279F712B"/>
    <w:rsid w:val="27AF5F7F"/>
    <w:rsid w:val="27C90259"/>
    <w:rsid w:val="27D33279"/>
    <w:rsid w:val="27D8263D"/>
    <w:rsid w:val="27DD7C53"/>
    <w:rsid w:val="27E923A6"/>
    <w:rsid w:val="27EA3E51"/>
    <w:rsid w:val="27F05935"/>
    <w:rsid w:val="27F51441"/>
    <w:rsid w:val="27F632DD"/>
    <w:rsid w:val="27F975CB"/>
    <w:rsid w:val="27FA0805"/>
    <w:rsid w:val="27FA6A57"/>
    <w:rsid w:val="2801093C"/>
    <w:rsid w:val="280C265D"/>
    <w:rsid w:val="280F02B1"/>
    <w:rsid w:val="28186EDD"/>
    <w:rsid w:val="28247630"/>
    <w:rsid w:val="282657F7"/>
    <w:rsid w:val="282D4176"/>
    <w:rsid w:val="283F5857"/>
    <w:rsid w:val="28514BDE"/>
    <w:rsid w:val="2858552C"/>
    <w:rsid w:val="2859377E"/>
    <w:rsid w:val="285C14C0"/>
    <w:rsid w:val="285C326E"/>
    <w:rsid w:val="285C7BC6"/>
    <w:rsid w:val="285D2B42"/>
    <w:rsid w:val="285F1B20"/>
    <w:rsid w:val="285F68BA"/>
    <w:rsid w:val="286861C3"/>
    <w:rsid w:val="286E52A5"/>
    <w:rsid w:val="28710B0E"/>
    <w:rsid w:val="28732DD2"/>
    <w:rsid w:val="28754330"/>
    <w:rsid w:val="287C01BD"/>
    <w:rsid w:val="287C4933"/>
    <w:rsid w:val="287F59EE"/>
    <w:rsid w:val="28812CD5"/>
    <w:rsid w:val="288610ED"/>
    <w:rsid w:val="2887456A"/>
    <w:rsid w:val="28920A3E"/>
    <w:rsid w:val="28940C5A"/>
    <w:rsid w:val="28990AF5"/>
    <w:rsid w:val="28AC7146"/>
    <w:rsid w:val="28C30148"/>
    <w:rsid w:val="28C452EB"/>
    <w:rsid w:val="28CE5BC0"/>
    <w:rsid w:val="28D86C53"/>
    <w:rsid w:val="28D9041B"/>
    <w:rsid w:val="28E12EEC"/>
    <w:rsid w:val="28E219C5"/>
    <w:rsid w:val="28EB3D47"/>
    <w:rsid w:val="28F039B6"/>
    <w:rsid w:val="28F05B32"/>
    <w:rsid w:val="28F74D45"/>
    <w:rsid w:val="28FB5714"/>
    <w:rsid w:val="28FC2B68"/>
    <w:rsid w:val="29080D00"/>
    <w:rsid w:val="290B259E"/>
    <w:rsid w:val="290D27BA"/>
    <w:rsid w:val="290F42BC"/>
    <w:rsid w:val="29106245"/>
    <w:rsid w:val="291131F8"/>
    <w:rsid w:val="291204B3"/>
    <w:rsid w:val="29147CD7"/>
    <w:rsid w:val="29172B11"/>
    <w:rsid w:val="291853E7"/>
    <w:rsid w:val="29223179"/>
    <w:rsid w:val="292313E1"/>
    <w:rsid w:val="29237292"/>
    <w:rsid w:val="29256EDA"/>
    <w:rsid w:val="292F2731"/>
    <w:rsid w:val="29395AD1"/>
    <w:rsid w:val="29415547"/>
    <w:rsid w:val="294A768D"/>
    <w:rsid w:val="294B33A8"/>
    <w:rsid w:val="29523F82"/>
    <w:rsid w:val="29607ADA"/>
    <w:rsid w:val="29712D49"/>
    <w:rsid w:val="29730EAB"/>
    <w:rsid w:val="297529B6"/>
    <w:rsid w:val="29780EC3"/>
    <w:rsid w:val="297F63E2"/>
    <w:rsid w:val="29811004"/>
    <w:rsid w:val="29824F56"/>
    <w:rsid w:val="298B39A7"/>
    <w:rsid w:val="29997386"/>
    <w:rsid w:val="299D3B3E"/>
    <w:rsid w:val="29AA4023"/>
    <w:rsid w:val="29B029E9"/>
    <w:rsid w:val="29B10B3F"/>
    <w:rsid w:val="29B80978"/>
    <w:rsid w:val="29BA649E"/>
    <w:rsid w:val="29CA2459"/>
    <w:rsid w:val="29D506B9"/>
    <w:rsid w:val="29D532D8"/>
    <w:rsid w:val="29DB4666"/>
    <w:rsid w:val="29DD218D"/>
    <w:rsid w:val="29DE55FF"/>
    <w:rsid w:val="29DF3D43"/>
    <w:rsid w:val="29EC23D0"/>
    <w:rsid w:val="29FF498C"/>
    <w:rsid w:val="2A00613A"/>
    <w:rsid w:val="2A0D0CC4"/>
    <w:rsid w:val="2A0F172D"/>
    <w:rsid w:val="2A1536D4"/>
    <w:rsid w:val="2A1A6F3D"/>
    <w:rsid w:val="2A1C2CB5"/>
    <w:rsid w:val="2A241B69"/>
    <w:rsid w:val="2A3B1864"/>
    <w:rsid w:val="2A456589"/>
    <w:rsid w:val="2A4A6D03"/>
    <w:rsid w:val="2A5B4807"/>
    <w:rsid w:val="2A652B1C"/>
    <w:rsid w:val="2A7C4806"/>
    <w:rsid w:val="2A7E5CC0"/>
    <w:rsid w:val="2A7F4FF2"/>
    <w:rsid w:val="2A82385B"/>
    <w:rsid w:val="2A837B23"/>
    <w:rsid w:val="2A845E7D"/>
    <w:rsid w:val="2A985DA7"/>
    <w:rsid w:val="2AAB4039"/>
    <w:rsid w:val="2AB63109"/>
    <w:rsid w:val="2AB66F6B"/>
    <w:rsid w:val="2AB7478C"/>
    <w:rsid w:val="2ABB3459"/>
    <w:rsid w:val="2ABC7FF4"/>
    <w:rsid w:val="2ABF7AE4"/>
    <w:rsid w:val="2AC46B39"/>
    <w:rsid w:val="2AC5334C"/>
    <w:rsid w:val="2AC62C21"/>
    <w:rsid w:val="2AC944BF"/>
    <w:rsid w:val="2ADA3B97"/>
    <w:rsid w:val="2ADE0C2E"/>
    <w:rsid w:val="2AF21C68"/>
    <w:rsid w:val="2AF33558"/>
    <w:rsid w:val="2AF51085"/>
    <w:rsid w:val="2AF754D0"/>
    <w:rsid w:val="2AFF1E1F"/>
    <w:rsid w:val="2B0717DF"/>
    <w:rsid w:val="2B0A5203"/>
    <w:rsid w:val="2B16314B"/>
    <w:rsid w:val="2B175A2B"/>
    <w:rsid w:val="2B230073"/>
    <w:rsid w:val="2B287437"/>
    <w:rsid w:val="2B2A1401"/>
    <w:rsid w:val="2B4008AA"/>
    <w:rsid w:val="2B45623B"/>
    <w:rsid w:val="2B4D4A0F"/>
    <w:rsid w:val="2B4F3C9D"/>
    <w:rsid w:val="2B512E32"/>
    <w:rsid w:val="2B53670E"/>
    <w:rsid w:val="2B591CE7"/>
    <w:rsid w:val="2B613833"/>
    <w:rsid w:val="2B620B9B"/>
    <w:rsid w:val="2B622B1C"/>
    <w:rsid w:val="2B667F60"/>
    <w:rsid w:val="2B710DDE"/>
    <w:rsid w:val="2B77780F"/>
    <w:rsid w:val="2B7B1662"/>
    <w:rsid w:val="2B8054C5"/>
    <w:rsid w:val="2B8C17C6"/>
    <w:rsid w:val="2B911481"/>
    <w:rsid w:val="2BA024ED"/>
    <w:rsid w:val="2BAF4C77"/>
    <w:rsid w:val="2BB92785"/>
    <w:rsid w:val="2BBD2055"/>
    <w:rsid w:val="2BC5737C"/>
    <w:rsid w:val="2BD001FB"/>
    <w:rsid w:val="2BDA2E28"/>
    <w:rsid w:val="2BE85785"/>
    <w:rsid w:val="2BEC66B7"/>
    <w:rsid w:val="2C09185D"/>
    <w:rsid w:val="2C0B7DF0"/>
    <w:rsid w:val="2C0E274C"/>
    <w:rsid w:val="2C1864B9"/>
    <w:rsid w:val="2C297C48"/>
    <w:rsid w:val="2C3042EA"/>
    <w:rsid w:val="2C4B162F"/>
    <w:rsid w:val="2C5466FC"/>
    <w:rsid w:val="2C5801F0"/>
    <w:rsid w:val="2C597F25"/>
    <w:rsid w:val="2C5B3022"/>
    <w:rsid w:val="2C5C4E15"/>
    <w:rsid w:val="2C5C5FE3"/>
    <w:rsid w:val="2C680433"/>
    <w:rsid w:val="2C701096"/>
    <w:rsid w:val="2C714E0E"/>
    <w:rsid w:val="2C7F39CF"/>
    <w:rsid w:val="2C8B6E08"/>
    <w:rsid w:val="2CA70830"/>
    <w:rsid w:val="2CB12100"/>
    <w:rsid w:val="2CB5119F"/>
    <w:rsid w:val="2CB573F1"/>
    <w:rsid w:val="2CBC6189"/>
    <w:rsid w:val="2CC64572"/>
    <w:rsid w:val="2CC66F08"/>
    <w:rsid w:val="2CD14882"/>
    <w:rsid w:val="2CE93835"/>
    <w:rsid w:val="2CF05003"/>
    <w:rsid w:val="2CF3753A"/>
    <w:rsid w:val="2D045637"/>
    <w:rsid w:val="2D09306A"/>
    <w:rsid w:val="2D143511"/>
    <w:rsid w:val="2D1F5163"/>
    <w:rsid w:val="2D2760DA"/>
    <w:rsid w:val="2D320A41"/>
    <w:rsid w:val="2D3E73E6"/>
    <w:rsid w:val="2D41036A"/>
    <w:rsid w:val="2D4477EE"/>
    <w:rsid w:val="2D455343"/>
    <w:rsid w:val="2D482D83"/>
    <w:rsid w:val="2D4F19D0"/>
    <w:rsid w:val="2D566DA8"/>
    <w:rsid w:val="2D597D7C"/>
    <w:rsid w:val="2D7352E2"/>
    <w:rsid w:val="2D7B000F"/>
    <w:rsid w:val="2D7D77CA"/>
    <w:rsid w:val="2D7E7EA2"/>
    <w:rsid w:val="2D806488"/>
    <w:rsid w:val="2D83129D"/>
    <w:rsid w:val="2D8C0151"/>
    <w:rsid w:val="2DAE6D54"/>
    <w:rsid w:val="2DB11BBA"/>
    <w:rsid w:val="2DB906C1"/>
    <w:rsid w:val="2DB94CBF"/>
    <w:rsid w:val="2DC41DAC"/>
    <w:rsid w:val="2DC53269"/>
    <w:rsid w:val="2DC5361A"/>
    <w:rsid w:val="2DC84F02"/>
    <w:rsid w:val="2DD108D9"/>
    <w:rsid w:val="2DD41AF8"/>
    <w:rsid w:val="2DD4300E"/>
    <w:rsid w:val="2DDF7346"/>
    <w:rsid w:val="2DE0049D"/>
    <w:rsid w:val="2DF91807"/>
    <w:rsid w:val="2DFD104F"/>
    <w:rsid w:val="2E024503"/>
    <w:rsid w:val="2E057F04"/>
    <w:rsid w:val="2E093550"/>
    <w:rsid w:val="2E097F8A"/>
    <w:rsid w:val="2E0A551A"/>
    <w:rsid w:val="2E175D83"/>
    <w:rsid w:val="2E1819E5"/>
    <w:rsid w:val="2E214A56"/>
    <w:rsid w:val="2E3014D6"/>
    <w:rsid w:val="2E373AE6"/>
    <w:rsid w:val="2E3747BF"/>
    <w:rsid w:val="2E3D636F"/>
    <w:rsid w:val="2E413F38"/>
    <w:rsid w:val="2E5642BC"/>
    <w:rsid w:val="2E652751"/>
    <w:rsid w:val="2E666BF4"/>
    <w:rsid w:val="2E666CF2"/>
    <w:rsid w:val="2E74441E"/>
    <w:rsid w:val="2E7B2A71"/>
    <w:rsid w:val="2E7D0881"/>
    <w:rsid w:val="2E823302"/>
    <w:rsid w:val="2E876B6B"/>
    <w:rsid w:val="2E896CB0"/>
    <w:rsid w:val="2EA161B8"/>
    <w:rsid w:val="2EA2662E"/>
    <w:rsid w:val="2EA8720D"/>
    <w:rsid w:val="2EAE7056"/>
    <w:rsid w:val="2EB931C8"/>
    <w:rsid w:val="2EBF00B3"/>
    <w:rsid w:val="2EBF6A4D"/>
    <w:rsid w:val="2EC14611"/>
    <w:rsid w:val="2EC93613"/>
    <w:rsid w:val="2EC97183"/>
    <w:rsid w:val="2ECA6749"/>
    <w:rsid w:val="2ED469B6"/>
    <w:rsid w:val="2ED81ADC"/>
    <w:rsid w:val="2EE47B19"/>
    <w:rsid w:val="2EE852E1"/>
    <w:rsid w:val="2EED4AA2"/>
    <w:rsid w:val="2EFC4E63"/>
    <w:rsid w:val="2EFD54E9"/>
    <w:rsid w:val="2F01649B"/>
    <w:rsid w:val="2F1403FE"/>
    <w:rsid w:val="2F152242"/>
    <w:rsid w:val="2F1D7684"/>
    <w:rsid w:val="2F1F4CE5"/>
    <w:rsid w:val="2F1F63D3"/>
    <w:rsid w:val="2F215A85"/>
    <w:rsid w:val="2F285C58"/>
    <w:rsid w:val="2F34294E"/>
    <w:rsid w:val="2F3565C7"/>
    <w:rsid w:val="2F3D07E8"/>
    <w:rsid w:val="2F3D0E38"/>
    <w:rsid w:val="2F4131BE"/>
    <w:rsid w:val="2F566C69"/>
    <w:rsid w:val="2F58148F"/>
    <w:rsid w:val="2F6173BC"/>
    <w:rsid w:val="2F642A08"/>
    <w:rsid w:val="2F6442A6"/>
    <w:rsid w:val="2F65220E"/>
    <w:rsid w:val="2F663BF8"/>
    <w:rsid w:val="2F68699C"/>
    <w:rsid w:val="2F6F45FC"/>
    <w:rsid w:val="2F7013AD"/>
    <w:rsid w:val="2F792957"/>
    <w:rsid w:val="2F794705"/>
    <w:rsid w:val="2F7964B4"/>
    <w:rsid w:val="2F854E58"/>
    <w:rsid w:val="2F860BD0"/>
    <w:rsid w:val="2F994DA8"/>
    <w:rsid w:val="2F9F4A06"/>
    <w:rsid w:val="2FA0007A"/>
    <w:rsid w:val="2FA15CAB"/>
    <w:rsid w:val="2FA36539"/>
    <w:rsid w:val="2FAF1ED5"/>
    <w:rsid w:val="2FB715F3"/>
    <w:rsid w:val="2FB9471D"/>
    <w:rsid w:val="2FC16D53"/>
    <w:rsid w:val="2FC57B6E"/>
    <w:rsid w:val="2FCC0CD9"/>
    <w:rsid w:val="2FD30FB9"/>
    <w:rsid w:val="2FDE27BA"/>
    <w:rsid w:val="2FE25779"/>
    <w:rsid w:val="2FED78BE"/>
    <w:rsid w:val="2FF535C3"/>
    <w:rsid w:val="2FFB4856"/>
    <w:rsid w:val="30030473"/>
    <w:rsid w:val="300E2CF5"/>
    <w:rsid w:val="30122CCE"/>
    <w:rsid w:val="301508B6"/>
    <w:rsid w:val="301D33E3"/>
    <w:rsid w:val="30204B81"/>
    <w:rsid w:val="302132D1"/>
    <w:rsid w:val="30300320"/>
    <w:rsid w:val="3038636F"/>
    <w:rsid w:val="304940D8"/>
    <w:rsid w:val="3050788F"/>
    <w:rsid w:val="30542A7D"/>
    <w:rsid w:val="305667F5"/>
    <w:rsid w:val="305D0430"/>
    <w:rsid w:val="305E4CC4"/>
    <w:rsid w:val="305F3029"/>
    <w:rsid w:val="30696528"/>
    <w:rsid w:val="307B15A7"/>
    <w:rsid w:val="307C26FF"/>
    <w:rsid w:val="307D6477"/>
    <w:rsid w:val="30847A39"/>
    <w:rsid w:val="308C66BA"/>
    <w:rsid w:val="308D1A99"/>
    <w:rsid w:val="308E5F8F"/>
    <w:rsid w:val="30963095"/>
    <w:rsid w:val="30A34066"/>
    <w:rsid w:val="30AE52FE"/>
    <w:rsid w:val="30C85B92"/>
    <w:rsid w:val="30CE5DA2"/>
    <w:rsid w:val="30DF47AA"/>
    <w:rsid w:val="31055EAD"/>
    <w:rsid w:val="31091D0B"/>
    <w:rsid w:val="311A734D"/>
    <w:rsid w:val="31216E03"/>
    <w:rsid w:val="31244B7C"/>
    <w:rsid w:val="31264419"/>
    <w:rsid w:val="31293F09"/>
    <w:rsid w:val="312A215B"/>
    <w:rsid w:val="313528AE"/>
    <w:rsid w:val="31402388"/>
    <w:rsid w:val="31436D79"/>
    <w:rsid w:val="31496359"/>
    <w:rsid w:val="314D7BF8"/>
    <w:rsid w:val="315009A2"/>
    <w:rsid w:val="3157644A"/>
    <w:rsid w:val="31592A40"/>
    <w:rsid w:val="315F792B"/>
    <w:rsid w:val="31605B7D"/>
    <w:rsid w:val="3166494C"/>
    <w:rsid w:val="31682C84"/>
    <w:rsid w:val="316B2774"/>
    <w:rsid w:val="31703B9E"/>
    <w:rsid w:val="31744DC4"/>
    <w:rsid w:val="31750EFD"/>
    <w:rsid w:val="31774C75"/>
    <w:rsid w:val="3183186B"/>
    <w:rsid w:val="3192385D"/>
    <w:rsid w:val="31984B67"/>
    <w:rsid w:val="319C46DB"/>
    <w:rsid w:val="31A517E2"/>
    <w:rsid w:val="31AA0972"/>
    <w:rsid w:val="31AA504A"/>
    <w:rsid w:val="31B1462B"/>
    <w:rsid w:val="31B47C77"/>
    <w:rsid w:val="31B9703B"/>
    <w:rsid w:val="31BF0C8F"/>
    <w:rsid w:val="31BF543B"/>
    <w:rsid w:val="31C0661C"/>
    <w:rsid w:val="31D16A7B"/>
    <w:rsid w:val="31D803A4"/>
    <w:rsid w:val="31E367AE"/>
    <w:rsid w:val="31EE4BAA"/>
    <w:rsid w:val="31F5436E"/>
    <w:rsid w:val="320107D3"/>
    <w:rsid w:val="32017CE3"/>
    <w:rsid w:val="32047242"/>
    <w:rsid w:val="32090D5E"/>
    <w:rsid w:val="320E1310"/>
    <w:rsid w:val="322272D6"/>
    <w:rsid w:val="32243194"/>
    <w:rsid w:val="32293461"/>
    <w:rsid w:val="323668DE"/>
    <w:rsid w:val="3239017C"/>
    <w:rsid w:val="323E38D2"/>
    <w:rsid w:val="32470AEB"/>
    <w:rsid w:val="324C4353"/>
    <w:rsid w:val="324E00CB"/>
    <w:rsid w:val="32562ADC"/>
    <w:rsid w:val="32630C08"/>
    <w:rsid w:val="3263631F"/>
    <w:rsid w:val="32650F71"/>
    <w:rsid w:val="326E7E26"/>
    <w:rsid w:val="32700E61"/>
    <w:rsid w:val="32717916"/>
    <w:rsid w:val="327242F9"/>
    <w:rsid w:val="32747406"/>
    <w:rsid w:val="32751552"/>
    <w:rsid w:val="32911D66"/>
    <w:rsid w:val="329449DE"/>
    <w:rsid w:val="32952EAB"/>
    <w:rsid w:val="32957AA8"/>
    <w:rsid w:val="329E2C95"/>
    <w:rsid w:val="329F394D"/>
    <w:rsid w:val="329F5FB7"/>
    <w:rsid w:val="32A0644D"/>
    <w:rsid w:val="32A355BC"/>
    <w:rsid w:val="32A93554"/>
    <w:rsid w:val="32A95302"/>
    <w:rsid w:val="32AE0B6A"/>
    <w:rsid w:val="32BA750F"/>
    <w:rsid w:val="32C00D78"/>
    <w:rsid w:val="32C4213C"/>
    <w:rsid w:val="32D11EE7"/>
    <w:rsid w:val="32D53264"/>
    <w:rsid w:val="32D54349"/>
    <w:rsid w:val="32D61E6F"/>
    <w:rsid w:val="32F742BF"/>
    <w:rsid w:val="32F81DE5"/>
    <w:rsid w:val="33064502"/>
    <w:rsid w:val="330C5891"/>
    <w:rsid w:val="330F1D33"/>
    <w:rsid w:val="330F350A"/>
    <w:rsid w:val="331A1D5C"/>
    <w:rsid w:val="331F3816"/>
    <w:rsid w:val="33222A9A"/>
    <w:rsid w:val="332570B0"/>
    <w:rsid w:val="3328091C"/>
    <w:rsid w:val="332D1CBE"/>
    <w:rsid w:val="33311883"/>
    <w:rsid w:val="3333106F"/>
    <w:rsid w:val="333332E1"/>
    <w:rsid w:val="33347687"/>
    <w:rsid w:val="33354DE7"/>
    <w:rsid w:val="33386686"/>
    <w:rsid w:val="333E48AD"/>
    <w:rsid w:val="33435D00"/>
    <w:rsid w:val="33480719"/>
    <w:rsid w:val="335A65FC"/>
    <w:rsid w:val="335C05C6"/>
    <w:rsid w:val="336B7E4A"/>
    <w:rsid w:val="336D27D3"/>
    <w:rsid w:val="336F38F7"/>
    <w:rsid w:val="3370375F"/>
    <w:rsid w:val="337A6C9E"/>
    <w:rsid w:val="337E053C"/>
    <w:rsid w:val="33823315"/>
    <w:rsid w:val="338673F1"/>
    <w:rsid w:val="3393648E"/>
    <w:rsid w:val="339A10EE"/>
    <w:rsid w:val="339C412A"/>
    <w:rsid w:val="339D5261"/>
    <w:rsid w:val="33A24189"/>
    <w:rsid w:val="33B0446E"/>
    <w:rsid w:val="33B062B8"/>
    <w:rsid w:val="33B213D9"/>
    <w:rsid w:val="33C82790"/>
    <w:rsid w:val="33CA19D4"/>
    <w:rsid w:val="33CB1E46"/>
    <w:rsid w:val="33CC47F2"/>
    <w:rsid w:val="33D33385"/>
    <w:rsid w:val="33DC34B5"/>
    <w:rsid w:val="33DC5263"/>
    <w:rsid w:val="33E12879"/>
    <w:rsid w:val="33E365F1"/>
    <w:rsid w:val="33F26834"/>
    <w:rsid w:val="340F5638"/>
    <w:rsid w:val="341A704C"/>
    <w:rsid w:val="341C0ACF"/>
    <w:rsid w:val="341E3ACD"/>
    <w:rsid w:val="3422536C"/>
    <w:rsid w:val="3428494C"/>
    <w:rsid w:val="342C7F98"/>
    <w:rsid w:val="342E2692"/>
    <w:rsid w:val="343243ED"/>
    <w:rsid w:val="343432F1"/>
    <w:rsid w:val="343469C4"/>
    <w:rsid w:val="344057F2"/>
    <w:rsid w:val="344165C4"/>
    <w:rsid w:val="344D6D76"/>
    <w:rsid w:val="344D7F0F"/>
    <w:rsid w:val="345E211C"/>
    <w:rsid w:val="346239BA"/>
    <w:rsid w:val="34624864"/>
    <w:rsid w:val="346A6D13"/>
    <w:rsid w:val="34790D04"/>
    <w:rsid w:val="34802092"/>
    <w:rsid w:val="348801BE"/>
    <w:rsid w:val="3489363D"/>
    <w:rsid w:val="34897199"/>
    <w:rsid w:val="34937C60"/>
    <w:rsid w:val="34943D90"/>
    <w:rsid w:val="34955EDA"/>
    <w:rsid w:val="349A334C"/>
    <w:rsid w:val="349B511E"/>
    <w:rsid w:val="349D0E96"/>
    <w:rsid w:val="34B00BC9"/>
    <w:rsid w:val="34BA37F6"/>
    <w:rsid w:val="34CA78C0"/>
    <w:rsid w:val="34D0301A"/>
    <w:rsid w:val="34D32B0A"/>
    <w:rsid w:val="34D643A8"/>
    <w:rsid w:val="34E062AB"/>
    <w:rsid w:val="34E15227"/>
    <w:rsid w:val="34E24AFB"/>
    <w:rsid w:val="34E97C37"/>
    <w:rsid w:val="34F463A2"/>
    <w:rsid w:val="34FD397E"/>
    <w:rsid w:val="350155EE"/>
    <w:rsid w:val="35066C35"/>
    <w:rsid w:val="35175DFE"/>
    <w:rsid w:val="35224584"/>
    <w:rsid w:val="35270097"/>
    <w:rsid w:val="35284C04"/>
    <w:rsid w:val="352E7D40"/>
    <w:rsid w:val="353C420B"/>
    <w:rsid w:val="35411821"/>
    <w:rsid w:val="354A0A0E"/>
    <w:rsid w:val="354D466A"/>
    <w:rsid w:val="35586223"/>
    <w:rsid w:val="355C343D"/>
    <w:rsid w:val="356D6ABA"/>
    <w:rsid w:val="356E2833"/>
    <w:rsid w:val="35830C72"/>
    <w:rsid w:val="35832DF3"/>
    <w:rsid w:val="35843E04"/>
    <w:rsid w:val="35867B7C"/>
    <w:rsid w:val="358D6981"/>
    <w:rsid w:val="359140AD"/>
    <w:rsid w:val="3592207D"/>
    <w:rsid w:val="35A418C4"/>
    <w:rsid w:val="35AF70D3"/>
    <w:rsid w:val="35B34B48"/>
    <w:rsid w:val="35B446E9"/>
    <w:rsid w:val="35C04C98"/>
    <w:rsid w:val="35D86C1A"/>
    <w:rsid w:val="35E10D4E"/>
    <w:rsid w:val="35ED30EC"/>
    <w:rsid w:val="35F25212"/>
    <w:rsid w:val="35F40911"/>
    <w:rsid w:val="35FA5E74"/>
    <w:rsid w:val="36015455"/>
    <w:rsid w:val="36017203"/>
    <w:rsid w:val="360D1791"/>
    <w:rsid w:val="360D204B"/>
    <w:rsid w:val="360D425A"/>
    <w:rsid w:val="3614778B"/>
    <w:rsid w:val="36160F00"/>
    <w:rsid w:val="361E6007"/>
    <w:rsid w:val="36253B84"/>
    <w:rsid w:val="362A49AB"/>
    <w:rsid w:val="362E4D60"/>
    <w:rsid w:val="36315D3A"/>
    <w:rsid w:val="36321AB2"/>
    <w:rsid w:val="363C3B87"/>
    <w:rsid w:val="363F240E"/>
    <w:rsid w:val="36401A4A"/>
    <w:rsid w:val="36513CE6"/>
    <w:rsid w:val="36556CDD"/>
    <w:rsid w:val="3656754F"/>
    <w:rsid w:val="36645DCC"/>
    <w:rsid w:val="366652B8"/>
    <w:rsid w:val="36767721"/>
    <w:rsid w:val="368447D1"/>
    <w:rsid w:val="368920CF"/>
    <w:rsid w:val="369313B0"/>
    <w:rsid w:val="36A5114D"/>
    <w:rsid w:val="36A93B22"/>
    <w:rsid w:val="36AC716F"/>
    <w:rsid w:val="36AE738B"/>
    <w:rsid w:val="36AF4EB1"/>
    <w:rsid w:val="36B44275"/>
    <w:rsid w:val="36B97ADD"/>
    <w:rsid w:val="36C73FA8"/>
    <w:rsid w:val="36CC3F1F"/>
    <w:rsid w:val="36D36DF1"/>
    <w:rsid w:val="36D92E29"/>
    <w:rsid w:val="36DC66B2"/>
    <w:rsid w:val="36DF5796"/>
    <w:rsid w:val="36F079A3"/>
    <w:rsid w:val="36F51074"/>
    <w:rsid w:val="36FA437E"/>
    <w:rsid w:val="36FE5573"/>
    <w:rsid w:val="371A67CE"/>
    <w:rsid w:val="372238D5"/>
    <w:rsid w:val="3724764D"/>
    <w:rsid w:val="372F1B4E"/>
    <w:rsid w:val="373E065A"/>
    <w:rsid w:val="374E277E"/>
    <w:rsid w:val="3756526F"/>
    <w:rsid w:val="375810A4"/>
    <w:rsid w:val="375A5436"/>
    <w:rsid w:val="375E0F6A"/>
    <w:rsid w:val="37627328"/>
    <w:rsid w:val="376B527C"/>
    <w:rsid w:val="376D2DA2"/>
    <w:rsid w:val="37774F80"/>
    <w:rsid w:val="37797999"/>
    <w:rsid w:val="377F3E14"/>
    <w:rsid w:val="378325C5"/>
    <w:rsid w:val="378B3228"/>
    <w:rsid w:val="379426EC"/>
    <w:rsid w:val="379F6CD3"/>
    <w:rsid w:val="37A676C7"/>
    <w:rsid w:val="37A95DA4"/>
    <w:rsid w:val="37B45894"/>
    <w:rsid w:val="37B54749"/>
    <w:rsid w:val="37C53281"/>
    <w:rsid w:val="37C60704"/>
    <w:rsid w:val="37CA21FC"/>
    <w:rsid w:val="37D078F7"/>
    <w:rsid w:val="37E1553E"/>
    <w:rsid w:val="37E34E12"/>
    <w:rsid w:val="37EF6A22"/>
    <w:rsid w:val="37F76452"/>
    <w:rsid w:val="37F76B0F"/>
    <w:rsid w:val="37FC5ED4"/>
    <w:rsid w:val="38013533"/>
    <w:rsid w:val="38033706"/>
    <w:rsid w:val="380354B4"/>
    <w:rsid w:val="38042FDA"/>
    <w:rsid w:val="38091915"/>
    <w:rsid w:val="380E52E1"/>
    <w:rsid w:val="3814014A"/>
    <w:rsid w:val="38196A86"/>
    <w:rsid w:val="381F0D0F"/>
    <w:rsid w:val="38305B7D"/>
    <w:rsid w:val="383C0BAF"/>
    <w:rsid w:val="38402264"/>
    <w:rsid w:val="38653A79"/>
    <w:rsid w:val="38660EF8"/>
    <w:rsid w:val="386817BB"/>
    <w:rsid w:val="386C1BC7"/>
    <w:rsid w:val="3870241E"/>
    <w:rsid w:val="38735C94"/>
    <w:rsid w:val="387437CA"/>
    <w:rsid w:val="387F20BB"/>
    <w:rsid w:val="38846074"/>
    <w:rsid w:val="38883C0B"/>
    <w:rsid w:val="388C5876"/>
    <w:rsid w:val="389035A6"/>
    <w:rsid w:val="389D1465"/>
    <w:rsid w:val="38A345A1"/>
    <w:rsid w:val="38A54269"/>
    <w:rsid w:val="38AF2F46"/>
    <w:rsid w:val="38BA34C1"/>
    <w:rsid w:val="38BE762D"/>
    <w:rsid w:val="38BF32F0"/>
    <w:rsid w:val="38C05153"/>
    <w:rsid w:val="38C84008"/>
    <w:rsid w:val="38CE707C"/>
    <w:rsid w:val="38D0176E"/>
    <w:rsid w:val="38DA69E4"/>
    <w:rsid w:val="38E766C8"/>
    <w:rsid w:val="38ED4DE0"/>
    <w:rsid w:val="38EE7F12"/>
    <w:rsid w:val="38F66192"/>
    <w:rsid w:val="38F80D91"/>
    <w:rsid w:val="38FB4AF5"/>
    <w:rsid w:val="39072D82"/>
    <w:rsid w:val="39094D4C"/>
    <w:rsid w:val="390A460D"/>
    <w:rsid w:val="390F665A"/>
    <w:rsid w:val="39104B12"/>
    <w:rsid w:val="3914724D"/>
    <w:rsid w:val="39175051"/>
    <w:rsid w:val="391F1DEA"/>
    <w:rsid w:val="39202096"/>
    <w:rsid w:val="39253208"/>
    <w:rsid w:val="39273424"/>
    <w:rsid w:val="393128FC"/>
    <w:rsid w:val="39347724"/>
    <w:rsid w:val="39371423"/>
    <w:rsid w:val="393A3157"/>
    <w:rsid w:val="393D0552"/>
    <w:rsid w:val="394B7113"/>
    <w:rsid w:val="39517FD6"/>
    <w:rsid w:val="395858F1"/>
    <w:rsid w:val="39627FB8"/>
    <w:rsid w:val="398C14D9"/>
    <w:rsid w:val="399B34CA"/>
    <w:rsid w:val="399D5494"/>
    <w:rsid w:val="399F1857"/>
    <w:rsid w:val="399F2FBB"/>
    <w:rsid w:val="39A93E39"/>
    <w:rsid w:val="39C10DEA"/>
    <w:rsid w:val="39C12F31"/>
    <w:rsid w:val="39C16CB7"/>
    <w:rsid w:val="39C328D0"/>
    <w:rsid w:val="39D215E2"/>
    <w:rsid w:val="39E11825"/>
    <w:rsid w:val="39E52F7A"/>
    <w:rsid w:val="39E743E6"/>
    <w:rsid w:val="39E9692C"/>
    <w:rsid w:val="39ED01CA"/>
    <w:rsid w:val="39ED0E67"/>
    <w:rsid w:val="39F51FB5"/>
    <w:rsid w:val="39F64605"/>
    <w:rsid w:val="39FD5F33"/>
    <w:rsid w:val="3A015A23"/>
    <w:rsid w:val="3A145757"/>
    <w:rsid w:val="3A176FF5"/>
    <w:rsid w:val="3A1B760C"/>
    <w:rsid w:val="3A1D3EBE"/>
    <w:rsid w:val="3A287CE7"/>
    <w:rsid w:val="3A331955"/>
    <w:rsid w:val="3A3E4582"/>
    <w:rsid w:val="3A3F4401"/>
    <w:rsid w:val="3A426D04"/>
    <w:rsid w:val="3A5244D1"/>
    <w:rsid w:val="3A5913BB"/>
    <w:rsid w:val="3A6D62B1"/>
    <w:rsid w:val="3A726421"/>
    <w:rsid w:val="3A74136D"/>
    <w:rsid w:val="3A7C748B"/>
    <w:rsid w:val="3A7D171B"/>
    <w:rsid w:val="3A881CA1"/>
    <w:rsid w:val="3A8A5D21"/>
    <w:rsid w:val="3A8D5509"/>
    <w:rsid w:val="3A960861"/>
    <w:rsid w:val="3A983753"/>
    <w:rsid w:val="3A992100"/>
    <w:rsid w:val="3A9E7716"/>
    <w:rsid w:val="3AA54601"/>
    <w:rsid w:val="3AAC1E33"/>
    <w:rsid w:val="3AAC2A57"/>
    <w:rsid w:val="3AAF38E7"/>
    <w:rsid w:val="3AB15AD2"/>
    <w:rsid w:val="3AC0768C"/>
    <w:rsid w:val="3AC14026"/>
    <w:rsid w:val="3AC151B3"/>
    <w:rsid w:val="3ACD10F0"/>
    <w:rsid w:val="3AD36319"/>
    <w:rsid w:val="3AD94F10"/>
    <w:rsid w:val="3AD969A0"/>
    <w:rsid w:val="3ADB1608"/>
    <w:rsid w:val="3ADC3D9A"/>
    <w:rsid w:val="3AEC222F"/>
    <w:rsid w:val="3AF0613B"/>
    <w:rsid w:val="3AF47336"/>
    <w:rsid w:val="3B005CDB"/>
    <w:rsid w:val="3B014BDD"/>
    <w:rsid w:val="3B0925AD"/>
    <w:rsid w:val="3B0F1778"/>
    <w:rsid w:val="3B131EB2"/>
    <w:rsid w:val="3B1672AC"/>
    <w:rsid w:val="3B196D9D"/>
    <w:rsid w:val="3B1D4ADF"/>
    <w:rsid w:val="3B20637D"/>
    <w:rsid w:val="3B216441"/>
    <w:rsid w:val="3B2C087E"/>
    <w:rsid w:val="3B307F9B"/>
    <w:rsid w:val="3B3B1402"/>
    <w:rsid w:val="3B3B3EAA"/>
    <w:rsid w:val="3B3F4A55"/>
    <w:rsid w:val="3B437B88"/>
    <w:rsid w:val="3B46796D"/>
    <w:rsid w:val="3B4D7BE0"/>
    <w:rsid w:val="3B4E14F1"/>
    <w:rsid w:val="3B503883"/>
    <w:rsid w:val="3B615C43"/>
    <w:rsid w:val="3B6444BC"/>
    <w:rsid w:val="3B691AD2"/>
    <w:rsid w:val="3B6B3A9C"/>
    <w:rsid w:val="3B7172BA"/>
    <w:rsid w:val="3B7C6EA7"/>
    <w:rsid w:val="3B863350"/>
    <w:rsid w:val="3B866206"/>
    <w:rsid w:val="3B8909D3"/>
    <w:rsid w:val="3B892174"/>
    <w:rsid w:val="3B9D79CE"/>
    <w:rsid w:val="3BA0301A"/>
    <w:rsid w:val="3BA15D36"/>
    <w:rsid w:val="3BA62195"/>
    <w:rsid w:val="3BB54D17"/>
    <w:rsid w:val="3BBA36FA"/>
    <w:rsid w:val="3BBD597A"/>
    <w:rsid w:val="3BCA6C26"/>
    <w:rsid w:val="3BCC3E0F"/>
    <w:rsid w:val="3BD03E27"/>
    <w:rsid w:val="3BD30538"/>
    <w:rsid w:val="3BD749B5"/>
    <w:rsid w:val="3BE50E37"/>
    <w:rsid w:val="3BED1476"/>
    <w:rsid w:val="3BF45F34"/>
    <w:rsid w:val="3BFB40D3"/>
    <w:rsid w:val="3BFB42C7"/>
    <w:rsid w:val="3BFC2946"/>
    <w:rsid w:val="3C012E3F"/>
    <w:rsid w:val="3C0346C4"/>
    <w:rsid w:val="3C065573"/>
    <w:rsid w:val="3C096E11"/>
    <w:rsid w:val="3C1351AF"/>
    <w:rsid w:val="3C1A101E"/>
    <w:rsid w:val="3C1A7270"/>
    <w:rsid w:val="3C202D31"/>
    <w:rsid w:val="3C2D6E50"/>
    <w:rsid w:val="3C2F2A38"/>
    <w:rsid w:val="3C3079FF"/>
    <w:rsid w:val="3C37572C"/>
    <w:rsid w:val="3C3F0A85"/>
    <w:rsid w:val="3C3F2833"/>
    <w:rsid w:val="3C414954"/>
    <w:rsid w:val="3C4427C8"/>
    <w:rsid w:val="3C463BC1"/>
    <w:rsid w:val="3C4F7A3D"/>
    <w:rsid w:val="3C513234"/>
    <w:rsid w:val="3C6504EB"/>
    <w:rsid w:val="3C7C5134"/>
    <w:rsid w:val="3C7E77FF"/>
    <w:rsid w:val="3C7F6E5C"/>
    <w:rsid w:val="3C8D17F0"/>
    <w:rsid w:val="3C8D7E78"/>
    <w:rsid w:val="3C905FB9"/>
    <w:rsid w:val="3C9938BC"/>
    <w:rsid w:val="3CA134EE"/>
    <w:rsid w:val="3CA671C4"/>
    <w:rsid w:val="3CAA46F7"/>
    <w:rsid w:val="3CB00D50"/>
    <w:rsid w:val="3CB2325A"/>
    <w:rsid w:val="3CB64857"/>
    <w:rsid w:val="3CC52D38"/>
    <w:rsid w:val="3CCA65A0"/>
    <w:rsid w:val="3CCD6091"/>
    <w:rsid w:val="3CD967E3"/>
    <w:rsid w:val="3CDD2778"/>
    <w:rsid w:val="3CDE3DFA"/>
    <w:rsid w:val="3CE417D3"/>
    <w:rsid w:val="3CE57D2D"/>
    <w:rsid w:val="3CE77BA9"/>
    <w:rsid w:val="3CE8111C"/>
    <w:rsid w:val="3CEA09F1"/>
    <w:rsid w:val="3CED04E1"/>
    <w:rsid w:val="3CED228F"/>
    <w:rsid w:val="3CF8135F"/>
    <w:rsid w:val="3CFD7AAA"/>
    <w:rsid w:val="3D023F8C"/>
    <w:rsid w:val="3D024CDB"/>
    <w:rsid w:val="3D07311F"/>
    <w:rsid w:val="3D08531B"/>
    <w:rsid w:val="3D0F48FB"/>
    <w:rsid w:val="3D163594"/>
    <w:rsid w:val="3D1837B0"/>
    <w:rsid w:val="3D2E3C81"/>
    <w:rsid w:val="3D3028D3"/>
    <w:rsid w:val="3D3A30F4"/>
    <w:rsid w:val="3D3D3216"/>
    <w:rsid w:val="3D3D4FC4"/>
    <w:rsid w:val="3D3E1294"/>
    <w:rsid w:val="3D3E5251"/>
    <w:rsid w:val="3D485717"/>
    <w:rsid w:val="3D4A6E81"/>
    <w:rsid w:val="3D4C3459"/>
    <w:rsid w:val="3D507EE7"/>
    <w:rsid w:val="3D5170E9"/>
    <w:rsid w:val="3D6B1F10"/>
    <w:rsid w:val="3D711112"/>
    <w:rsid w:val="3D83453A"/>
    <w:rsid w:val="3D846543"/>
    <w:rsid w:val="3D864BBD"/>
    <w:rsid w:val="3D88002B"/>
    <w:rsid w:val="3D88120B"/>
    <w:rsid w:val="3D8E5820"/>
    <w:rsid w:val="3D8F1598"/>
    <w:rsid w:val="3D934BE4"/>
    <w:rsid w:val="3DAC6706"/>
    <w:rsid w:val="3DAD475F"/>
    <w:rsid w:val="3DC01751"/>
    <w:rsid w:val="3DC77B39"/>
    <w:rsid w:val="3DCE1A6F"/>
    <w:rsid w:val="3DE10046"/>
    <w:rsid w:val="3DF74D1B"/>
    <w:rsid w:val="3E067AAC"/>
    <w:rsid w:val="3E0930F8"/>
    <w:rsid w:val="3E097C2A"/>
    <w:rsid w:val="3E0E070F"/>
    <w:rsid w:val="3E151A9D"/>
    <w:rsid w:val="3E1C69D9"/>
    <w:rsid w:val="3E217459"/>
    <w:rsid w:val="3E217DC9"/>
    <w:rsid w:val="3E261EFC"/>
    <w:rsid w:val="3E2805F5"/>
    <w:rsid w:val="3E2A4E15"/>
    <w:rsid w:val="3E392EA0"/>
    <w:rsid w:val="3E3E3028"/>
    <w:rsid w:val="3E3F2444"/>
    <w:rsid w:val="3E497999"/>
    <w:rsid w:val="3E4B54BF"/>
    <w:rsid w:val="3E4D1F1B"/>
    <w:rsid w:val="3E5B27BE"/>
    <w:rsid w:val="3E6B5A1B"/>
    <w:rsid w:val="3E6F00C0"/>
    <w:rsid w:val="3E6F27D4"/>
    <w:rsid w:val="3E75253C"/>
    <w:rsid w:val="3E7D50BC"/>
    <w:rsid w:val="3E7E7642"/>
    <w:rsid w:val="3E88226F"/>
    <w:rsid w:val="3E885F20"/>
    <w:rsid w:val="3E8D1F7B"/>
    <w:rsid w:val="3E9317F5"/>
    <w:rsid w:val="3E9A6446"/>
    <w:rsid w:val="3E9C1E20"/>
    <w:rsid w:val="3E9E1A93"/>
    <w:rsid w:val="3EB968CD"/>
    <w:rsid w:val="3EBD79D8"/>
    <w:rsid w:val="3ED656D0"/>
    <w:rsid w:val="3EDC25BB"/>
    <w:rsid w:val="3EFA2D23"/>
    <w:rsid w:val="3EFC2C5D"/>
    <w:rsid w:val="3F125FDD"/>
    <w:rsid w:val="3F1B1335"/>
    <w:rsid w:val="3F1E7077"/>
    <w:rsid w:val="3F255D56"/>
    <w:rsid w:val="3F2F67AA"/>
    <w:rsid w:val="3F324F50"/>
    <w:rsid w:val="3F397A0D"/>
    <w:rsid w:val="3F3D74FE"/>
    <w:rsid w:val="3F416A26"/>
    <w:rsid w:val="3F52287D"/>
    <w:rsid w:val="3F536D21"/>
    <w:rsid w:val="3F5518B5"/>
    <w:rsid w:val="3F5869C0"/>
    <w:rsid w:val="3F6F1681"/>
    <w:rsid w:val="3F760C61"/>
    <w:rsid w:val="3F780536"/>
    <w:rsid w:val="3F79215C"/>
    <w:rsid w:val="3F852C53"/>
    <w:rsid w:val="3F870779"/>
    <w:rsid w:val="3F8844F1"/>
    <w:rsid w:val="3F8A2017"/>
    <w:rsid w:val="3F900EAE"/>
    <w:rsid w:val="3F920365"/>
    <w:rsid w:val="3F995ACE"/>
    <w:rsid w:val="3FA0183A"/>
    <w:rsid w:val="3FA05CDE"/>
    <w:rsid w:val="3FA532F5"/>
    <w:rsid w:val="3FAE3F57"/>
    <w:rsid w:val="3FB27839"/>
    <w:rsid w:val="3FB5178A"/>
    <w:rsid w:val="3FB9006E"/>
    <w:rsid w:val="3FC75019"/>
    <w:rsid w:val="3FC94A89"/>
    <w:rsid w:val="3FDA2F9E"/>
    <w:rsid w:val="3FE57DDC"/>
    <w:rsid w:val="3FE67B95"/>
    <w:rsid w:val="3FEB618B"/>
    <w:rsid w:val="3FEF631E"/>
    <w:rsid w:val="40041DC9"/>
    <w:rsid w:val="400A1411"/>
    <w:rsid w:val="400A245B"/>
    <w:rsid w:val="400B1FA5"/>
    <w:rsid w:val="4012098A"/>
    <w:rsid w:val="4013200C"/>
    <w:rsid w:val="40137591"/>
    <w:rsid w:val="40167D4F"/>
    <w:rsid w:val="40210BCD"/>
    <w:rsid w:val="40223FBC"/>
    <w:rsid w:val="40282828"/>
    <w:rsid w:val="40291830"/>
    <w:rsid w:val="402C5E5F"/>
    <w:rsid w:val="403A57EB"/>
    <w:rsid w:val="40466AD2"/>
    <w:rsid w:val="40491ED2"/>
    <w:rsid w:val="404B2046"/>
    <w:rsid w:val="405868B6"/>
    <w:rsid w:val="405956F8"/>
    <w:rsid w:val="406867FC"/>
    <w:rsid w:val="406960D0"/>
    <w:rsid w:val="406D3E12"/>
    <w:rsid w:val="406D5BC1"/>
    <w:rsid w:val="407231D7"/>
    <w:rsid w:val="407927B7"/>
    <w:rsid w:val="407E7A8A"/>
    <w:rsid w:val="4081341A"/>
    <w:rsid w:val="4082593F"/>
    <w:rsid w:val="4093314D"/>
    <w:rsid w:val="40A11D0E"/>
    <w:rsid w:val="40A62E81"/>
    <w:rsid w:val="40A9471F"/>
    <w:rsid w:val="40AB66E9"/>
    <w:rsid w:val="40AC28AF"/>
    <w:rsid w:val="40B732E0"/>
    <w:rsid w:val="40BD028F"/>
    <w:rsid w:val="40BF3F42"/>
    <w:rsid w:val="40CA1167"/>
    <w:rsid w:val="40CB7856"/>
    <w:rsid w:val="40D81D6B"/>
    <w:rsid w:val="40E21D0B"/>
    <w:rsid w:val="40E30CEE"/>
    <w:rsid w:val="40E340D5"/>
    <w:rsid w:val="40EF2A79"/>
    <w:rsid w:val="40F005A0"/>
    <w:rsid w:val="40F462E2"/>
    <w:rsid w:val="40F954CC"/>
    <w:rsid w:val="40FB141E"/>
    <w:rsid w:val="40FB5F01"/>
    <w:rsid w:val="410A47C8"/>
    <w:rsid w:val="410E5281"/>
    <w:rsid w:val="410F4ECA"/>
    <w:rsid w:val="4112467C"/>
    <w:rsid w:val="41164A69"/>
    <w:rsid w:val="411918A4"/>
    <w:rsid w:val="41200E85"/>
    <w:rsid w:val="41203230"/>
    <w:rsid w:val="412070D7"/>
    <w:rsid w:val="412344D1"/>
    <w:rsid w:val="41271C26"/>
    <w:rsid w:val="41351907"/>
    <w:rsid w:val="413B5CBF"/>
    <w:rsid w:val="414508EB"/>
    <w:rsid w:val="4146702D"/>
    <w:rsid w:val="41474308"/>
    <w:rsid w:val="4148218A"/>
    <w:rsid w:val="414A5F02"/>
    <w:rsid w:val="414D59F2"/>
    <w:rsid w:val="41627555"/>
    <w:rsid w:val="41630D72"/>
    <w:rsid w:val="41662985"/>
    <w:rsid w:val="41681941"/>
    <w:rsid w:val="41796CC4"/>
    <w:rsid w:val="417E7512"/>
    <w:rsid w:val="418331C2"/>
    <w:rsid w:val="418D5DEE"/>
    <w:rsid w:val="418F1B67"/>
    <w:rsid w:val="41917D44"/>
    <w:rsid w:val="41923405"/>
    <w:rsid w:val="41941EBC"/>
    <w:rsid w:val="41990C37"/>
    <w:rsid w:val="419F7B26"/>
    <w:rsid w:val="41A02E29"/>
    <w:rsid w:val="41A27AEC"/>
    <w:rsid w:val="41A75102"/>
    <w:rsid w:val="41AF045B"/>
    <w:rsid w:val="41B31CF9"/>
    <w:rsid w:val="41B8730F"/>
    <w:rsid w:val="41B96BE3"/>
    <w:rsid w:val="41BD66D4"/>
    <w:rsid w:val="41C23074"/>
    <w:rsid w:val="41D25B23"/>
    <w:rsid w:val="41E47D60"/>
    <w:rsid w:val="41E579D9"/>
    <w:rsid w:val="41E73615"/>
    <w:rsid w:val="41E73751"/>
    <w:rsid w:val="41EB04EA"/>
    <w:rsid w:val="42042555"/>
    <w:rsid w:val="42072045"/>
    <w:rsid w:val="421107CE"/>
    <w:rsid w:val="42164036"/>
    <w:rsid w:val="421A58D4"/>
    <w:rsid w:val="421E7906"/>
    <w:rsid w:val="422024E8"/>
    <w:rsid w:val="422624CB"/>
    <w:rsid w:val="42357FBE"/>
    <w:rsid w:val="423840AC"/>
    <w:rsid w:val="423D5A66"/>
    <w:rsid w:val="423D6569"/>
    <w:rsid w:val="42415557"/>
    <w:rsid w:val="4253528A"/>
    <w:rsid w:val="425911DE"/>
    <w:rsid w:val="42627827"/>
    <w:rsid w:val="426D00FA"/>
    <w:rsid w:val="42707BEA"/>
    <w:rsid w:val="42786A9F"/>
    <w:rsid w:val="42802F50"/>
    <w:rsid w:val="428D254A"/>
    <w:rsid w:val="428E3B91"/>
    <w:rsid w:val="42980EEF"/>
    <w:rsid w:val="429B4C6D"/>
    <w:rsid w:val="42A258CA"/>
    <w:rsid w:val="42B0448A"/>
    <w:rsid w:val="42B6123C"/>
    <w:rsid w:val="42BA2C13"/>
    <w:rsid w:val="42BA7ADD"/>
    <w:rsid w:val="42D3512D"/>
    <w:rsid w:val="42D77C69"/>
    <w:rsid w:val="42D834C8"/>
    <w:rsid w:val="42DA5063"/>
    <w:rsid w:val="42E74159"/>
    <w:rsid w:val="42EB101F"/>
    <w:rsid w:val="42F500EF"/>
    <w:rsid w:val="42FE7B16"/>
    <w:rsid w:val="4303280C"/>
    <w:rsid w:val="430B16C1"/>
    <w:rsid w:val="4320516C"/>
    <w:rsid w:val="43236A0A"/>
    <w:rsid w:val="433C7ACC"/>
    <w:rsid w:val="43410AEC"/>
    <w:rsid w:val="435337DD"/>
    <w:rsid w:val="4355563F"/>
    <w:rsid w:val="435E4B1C"/>
    <w:rsid w:val="436C6603"/>
    <w:rsid w:val="43713C1A"/>
    <w:rsid w:val="437B3C36"/>
    <w:rsid w:val="438301FC"/>
    <w:rsid w:val="43853221"/>
    <w:rsid w:val="438B6EC5"/>
    <w:rsid w:val="43982D20"/>
    <w:rsid w:val="439E2535"/>
    <w:rsid w:val="43A22025"/>
    <w:rsid w:val="43A6733A"/>
    <w:rsid w:val="43A86B9A"/>
    <w:rsid w:val="43C57AC2"/>
    <w:rsid w:val="43D146B8"/>
    <w:rsid w:val="43D45F57"/>
    <w:rsid w:val="43DB21A0"/>
    <w:rsid w:val="43F71164"/>
    <w:rsid w:val="43FD725B"/>
    <w:rsid w:val="44006D4C"/>
    <w:rsid w:val="442073EE"/>
    <w:rsid w:val="44226CC2"/>
    <w:rsid w:val="442C5D93"/>
    <w:rsid w:val="443B5FD6"/>
    <w:rsid w:val="44405FFD"/>
    <w:rsid w:val="444A6219"/>
    <w:rsid w:val="444E7B57"/>
    <w:rsid w:val="445157F9"/>
    <w:rsid w:val="44560F40"/>
    <w:rsid w:val="445D419E"/>
    <w:rsid w:val="446217B4"/>
    <w:rsid w:val="446F25CF"/>
    <w:rsid w:val="447119F7"/>
    <w:rsid w:val="44720E16"/>
    <w:rsid w:val="44806671"/>
    <w:rsid w:val="44896D41"/>
    <w:rsid w:val="449000D0"/>
    <w:rsid w:val="4496320C"/>
    <w:rsid w:val="449C6C72"/>
    <w:rsid w:val="44A122DD"/>
    <w:rsid w:val="44A75419"/>
    <w:rsid w:val="44AD6ED3"/>
    <w:rsid w:val="44B40707"/>
    <w:rsid w:val="44BC349B"/>
    <w:rsid w:val="44BF2763"/>
    <w:rsid w:val="44C41913"/>
    <w:rsid w:val="44C449AF"/>
    <w:rsid w:val="44D619FA"/>
    <w:rsid w:val="44D86B0F"/>
    <w:rsid w:val="44E4666D"/>
    <w:rsid w:val="44EB3558"/>
    <w:rsid w:val="44F43EB0"/>
    <w:rsid w:val="44F56185"/>
    <w:rsid w:val="44F86822"/>
    <w:rsid w:val="44FF6697"/>
    <w:rsid w:val="450D2191"/>
    <w:rsid w:val="450F36EA"/>
    <w:rsid w:val="45102FBE"/>
    <w:rsid w:val="45274B16"/>
    <w:rsid w:val="452B429C"/>
    <w:rsid w:val="452B604A"/>
    <w:rsid w:val="452D197F"/>
    <w:rsid w:val="45317451"/>
    <w:rsid w:val="45365AFE"/>
    <w:rsid w:val="45401AF6"/>
    <w:rsid w:val="45465FBE"/>
    <w:rsid w:val="454D5FC1"/>
    <w:rsid w:val="454D7D6F"/>
    <w:rsid w:val="4555735F"/>
    <w:rsid w:val="455A06DD"/>
    <w:rsid w:val="455A248C"/>
    <w:rsid w:val="45602FFB"/>
    <w:rsid w:val="4565108C"/>
    <w:rsid w:val="45701CAF"/>
    <w:rsid w:val="45703A5D"/>
    <w:rsid w:val="45745BF8"/>
    <w:rsid w:val="457572C5"/>
    <w:rsid w:val="45796DB6"/>
    <w:rsid w:val="4585431B"/>
    <w:rsid w:val="4588349D"/>
    <w:rsid w:val="4590396C"/>
    <w:rsid w:val="459C2AA4"/>
    <w:rsid w:val="459E05CA"/>
    <w:rsid w:val="45A33E32"/>
    <w:rsid w:val="45A57BAB"/>
    <w:rsid w:val="45A656D1"/>
    <w:rsid w:val="45AC2555"/>
    <w:rsid w:val="45AC718B"/>
    <w:rsid w:val="45B20519"/>
    <w:rsid w:val="45B44292"/>
    <w:rsid w:val="45B778DE"/>
    <w:rsid w:val="45BA050C"/>
    <w:rsid w:val="45CD7101"/>
    <w:rsid w:val="45DD362E"/>
    <w:rsid w:val="45E54860"/>
    <w:rsid w:val="45EA380F"/>
    <w:rsid w:val="45FB3C6E"/>
    <w:rsid w:val="46073ABA"/>
    <w:rsid w:val="460801EB"/>
    <w:rsid w:val="460D7F5B"/>
    <w:rsid w:val="46172618"/>
    <w:rsid w:val="461E3DE8"/>
    <w:rsid w:val="4626673A"/>
    <w:rsid w:val="46284338"/>
    <w:rsid w:val="46335C74"/>
    <w:rsid w:val="463B22BD"/>
    <w:rsid w:val="463E3B5B"/>
    <w:rsid w:val="46434587"/>
    <w:rsid w:val="46454B00"/>
    <w:rsid w:val="46503AF6"/>
    <w:rsid w:val="465348EC"/>
    <w:rsid w:val="46582E6F"/>
    <w:rsid w:val="46591D60"/>
    <w:rsid w:val="46607F75"/>
    <w:rsid w:val="4665558C"/>
    <w:rsid w:val="466A3F19"/>
    <w:rsid w:val="466A6B98"/>
    <w:rsid w:val="466C6EAA"/>
    <w:rsid w:val="46712183"/>
    <w:rsid w:val="4674757D"/>
    <w:rsid w:val="46767799"/>
    <w:rsid w:val="468257E0"/>
    <w:rsid w:val="4685178A"/>
    <w:rsid w:val="469371FA"/>
    <w:rsid w:val="469F108B"/>
    <w:rsid w:val="46A23E91"/>
    <w:rsid w:val="46A55988"/>
    <w:rsid w:val="46AC31BB"/>
    <w:rsid w:val="46C31FF6"/>
    <w:rsid w:val="46C71DA3"/>
    <w:rsid w:val="46C87FF5"/>
    <w:rsid w:val="46C95B1B"/>
    <w:rsid w:val="46D1677D"/>
    <w:rsid w:val="46DA7D28"/>
    <w:rsid w:val="46DC6E29"/>
    <w:rsid w:val="46DF0E9A"/>
    <w:rsid w:val="46E22739"/>
    <w:rsid w:val="46E26BDC"/>
    <w:rsid w:val="46E62229"/>
    <w:rsid w:val="46ED7A5B"/>
    <w:rsid w:val="46EE37D3"/>
    <w:rsid w:val="4703102D"/>
    <w:rsid w:val="471512F0"/>
    <w:rsid w:val="471A7157"/>
    <w:rsid w:val="472114B3"/>
    <w:rsid w:val="47217705"/>
    <w:rsid w:val="472D7E58"/>
    <w:rsid w:val="47327794"/>
    <w:rsid w:val="473D6B0A"/>
    <w:rsid w:val="474358CD"/>
    <w:rsid w:val="474B6530"/>
    <w:rsid w:val="474D22A8"/>
    <w:rsid w:val="47523D62"/>
    <w:rsid w:val="4753407C"/>
    <w:rsid w:val="476B6BD2"/>
    <w:rsid w:val="4770243A"/>
    <w:rsid w:val="477171B1"/>
    <w:rsid w:val="47791A44"/>
    <w:rsid w:val="477A0BC3"/>
    <w:rsid w:val="4784369C"/>
    <w:rsid w:val="478B1E43"/>
    <w:rsid w:val="47941C85"/>
    <w:rsid w:val="47951660"/>
    <w:rsid w:val="479C6D22"/>
    <w:rsid w:val="47A350BA"/>
    <w:rsid w:val="47AD2D46"/>
    <w:rsid w:val="47AE4BA8"/>
    <w:rsid w:val="47AF6ABF"/>
    <w:rsid w:val="47AF74A4"/>
    <w:rsid w:val="47B40E45"/>
    <w:rsid w:val="47C00CCC"/>
    <w:rsid w:val="47C307BC"/>
    <w:rsid w:val="47C77EA6"/>
    <w:rsid w:val="47E21344"/>
    <w:rsid w:val="47E26E94"/>
    <w:rsid w:val="47E66258"/>
    <w:rsid w:val="47F421E2"/>
    <w:rsid w:val="47F9272D"/>
    <w:rsid w:val="480007EC"/>
    <w:rsid w:val="480037BE"/>
    <w:rsid w:val="48054931"/>
    <w:rsid w:val="480963DC"/>
    <w:rsid w:val="482374AD"/>
    <w:rsid w:val="482A04BC"/>
    <w:rsid w:val="482B2304"/>
    <w:rsid w:val="482B3E5F"/>
    <w:rsid w:val="482C6361"/>
    <w:rsid w:val="483600A9"/>
    <w:rsid w:val="483D46DD"/>
    <w:rsid w:val="484D0086"/>
    <w:rsid w:val="4853715D"/>
    <w:rsid w:val="485960C4"/>
    <w:rsid w:val="486F605F"/>
    <w:rsid w:val="487815A6"/>
    <w:rsid w:val="488225AD"/>
    <w:rsid w:val="48835C23"/>
    <w:rsid w:val="48857D26"/>
    <w:rsid w:val="48857FBF"/>
    <w:rsid w:val="48872F9F"/>
    <w:rsid w:val="488E1472"/>
    <w:rsid w:val="48934632"/>
    <w:rsid w:val="489B34E7"/>
    <w:rsid w:val="48AC2FFE"/>
    <w:rsid w:val="48B56357"/>
    <w:rsid w:val="48C21E3A"/>
    <w:rsid w:val="48C54084"/>
    <w:rsid w:val="48D70203"/>
    <w:rsid w:val="48DA0A02"/>
    <w:rsid w:val="48DB6BF9"/>
    <w:rsid w:val="48DE11B8"/>
    <w:rsid w:val="48E46C3C"/>
    <w:rsid w:val="48E94252"/>
    <w:rsid w:val="48EC5AF0"/>
    <w:rsid w:val="48F97216"/>
    <w:rsid w:val="4901159C"/>
    <w:rsid w:val="49033566"/>
    <w:rsid w:val="49105C83"/>
    <w:rsid w:val="49142FC2"/>
    <w:rsid w:val="491C0184"/>
    <w:rsid w:val="491D214E"/>
    <w:rsid w:val="491F4390"/>
    <w:rsid w:val="49205619"/>
    <w:rsid w:val="49223487"/>
    <w:rsid w:val="4922547B"/>
    <w:rsid w:val="492B6619"/>
    <w:rsid w:val="49332FD1"/>
    <w:rsid w:val="49357497"/>
    <w:rsid w:val="49383158"/>
    <w:rsid w:val="493C0826"/>
    <w:rsid w:val="494F1719"/>
    <w:rsid w:val="495C67D2"/>
    <w:rsid w:val="49656EAF"/>
    <w:rsid w:val="4969756D"/>
    <w:rsid w:val="49862A25"/>
    <w:rsid w:val="49867CF3"/>
    <w:rsid w:val="498D0519"/>
    <w:rsid w:val="49910364"/>
    <w:rsid w:val="499E6DEB"/>
    <w:rsid w:val="49AA1C33"/>
    <w:rsid w:val="49AB59AC"/>
    <w:rsid w:val="49AD5280"/>
    <w:rsid w:val="49AE4A8C"/>
    <w:rsid w:val="49BD2527"/>
    <w:rsid w:val="49C01457"/>
    <w:rsid w:val="49C50426"/>
    <w:rsid w:val="49CF169A"/>
    <w:rsid w:val="49D54F3C"/>
    <w:rsid w:val="49EA2030"/>
    <w:rsid w:val="49EC3FFA"/>
    <w:rsid w:val="49F3033B"/>
    <w:rsid w:val="49F33776"/>
    <w:rsid w:val="49FA5FEB"/>
    <w:rsid w:val="49FC19CF"/>
    <w:rsid w:val="49FF6776"/>
    <w:rsid w:val="4A04645A"/>
    <w:rsid w:val="4A07132A"/>
    <w:rsid w:val="4A0C7B9A"/>
    <w:rsid w:val="4A1967D4"/>
    <w:rsid w:val="4A1F67CA"/>
    <w:rsid w:val="4A317C5F"/>
    <w:rsid w:val="4A4331D9"/>
    <w:rsid w:val="4A4A6F73"/>
    <w:rsid w:val="4A5B281D"/>
    <w:rsid w:val="4A712751"/>
    <w:rsid w:val="4A743FEF"/>
    <w:rsid w:val="4A7D10F6"/>
    <w:rsid w:val="4A7E2BB3"/>
    <w:rsid w:val="4A934476"/>
    <w:rsid w:val="4A983750"/>
    <w:rsid w:val="4AA06B93"/>
    <w:rsid w:val="4AAE12AF"/>
    <w:rsid w:val="4AB052A3"/>
    <w:rsid w:val="4AB12B4E"/>
    <w:rsid w:val="4AB7573A"/>
    <w:rsid w:val="4AB8212E"/>
    <w:rsid w:val="4ABD7744"/>
    <w:rsid w:val="4AC07235"/>
    <w:rsid w:val="4AC63524"/>
    <w:rsid w:val="4ACA2744"/>
    <w:rsid w:val="4ACC7988"/>
    <w:rsid w:val="4AD056CA"/>
    <w:rsid w:val="4AD8632C"/>
    <w:rsid w:val="4AE178D7"/>
    <w:rsid w:val="4AFF7D5D"/>
    <w:rsid w:val="4B0B0407"/>
    <w:rsid w:val="4B11530B"/>
    <w:rsid w:val="4B125CE2"/>
    <w:rsid w:val="4B177530"/>
    <w:rsid w:val="4B1911AA"/>
    <w:rsid w:val="4B257C2A"/>
    <w:rsid w:val="4B2E419E"/>
    <w:rsid w:val="4B31479D"/>
    <w:rsid w:val="4B3A0D95"/>
    <w:rsid w:val="4B412124"/>
    <w:rsid w:val="4B490FD8"/>
    <w:rsid w:val="4B4D1B86"/>
    <w:rsid w:val="4B4E749F"/>
    <w:rsid w:val="4B5300A9"/>
    <w:rsid w:val="4B5961CB"/>
    <w:rsid w:val="4B6202EC"/>
    <w:rsid w:val="4B7F0E9E"/>
    <w:rsid w:val="4B842010"/>
    <w:rsid w:val="4B8A72CF"/>
    <w:rsid w:val="4B8B15F1"/>
    <w:rsid w:val="4B8D7117"/>
    <w:rsid w:val="4B972445"/>
    <w:rsid w:val="4B9E1324"/>
    <w:rsid w:val="4BA206E8"/>
    <w:rsid w:val="4BA3693A"/>
    <w:rsid w:val="4BA95F1B"/>
    <w:rsid w:val="4BB52B12"/>
    <w:rsid w:val="4BBF2422"/>
    <w:rsid w:val="4BC56B16"/>
    <w:rsid w:val="4BC600CD"/>
    <w:rsid w:val="4BCB5E91"/>
    <w:rsid w:val="4BDD49AB"/>
    <w:rsid w:val="4BE742E9"/>
    <w:rsid w:val="4BFC604B"/>
    <w:rsid w:val="4C016908"/>
    <w:rsid w:val="4C0373D9"/>
    <w:rsid w:val="4C0E62BA"/>
    <w:rsid w:val="4C1065B5"/>
    <w:rsid w:val="4C1650F5"/>
    <w:rsid w:val="4C217E66"/>
    <w:rsid w:val="4C2555A1"/>
    <w:rsid w:val="4C2757BD"/>
    <w:rsid w:val="4C2832E3"/>
    <w:rsid w:val="4C386633"/>
    <w:rsid w:val="4C39729F"/>
    <w:rsid w:val="4C5E194A"/>
    <w:rsid w:val="4C60482B"/>
    <w:rsid w:val="4C673E0C"/>
    <w:rsid w:val="4C687B84"/>
    <w:rsid w:val="4C6B3A5A"/>
    <w:rsid w:val="4C6C4B2C"/>
    <w:rsid w:val="4C70027F"/>
    <w:rsid w:val="4C7A4B90"/>
    <w:rsid w:val="4C7E2F03"/>
    <w:rsid w:val="4C8428B7"/>
    <w:rsid w:val="4C8937D3"/>
    <w:rsid w:val="4C8F4D41"/>
    <w:rsid w:val="4C987B90"/>
    <w:rsid w:val="4C9D5A7F"/>
    <w:rsid w:val="4CA478EC"/>
    <w:rsid w:val="4CAA1F6A"/>
    <w:rsid w:val="4CAA33E9"/>
    <w:rsid w:val="4CAA3CF8"/>
    <w:rsid w:val="4CAA5AA7"/>
    <w:rsid w:val="4CB42DC9"/>
    <w:rsid w:val="4CCB7A91"/>
    <w:rsid w:val="4CCC0113"/>
    <w:rsid w:val="4CCC2A4A"/>
    <w:rsid w:val="4CCF375F"/>
    <w:rsid w:val="4CD27085"/>
    <w:rsid w:val="4CD55219"/>
    <w:rsid w:val="4CDD791C"/>
    <w:rsid w:val="4CE176C2"/>
    <w:rsid w:val="4CE216E4"/>
    <w:rsid w:val="4CEE0089"/>
    <w:rsid w:val="4CEF795D"/>
    <w:rsid w:val="4CF37A31"/>
    <w:rsid w:val="4D106251"/>
    <w:rsid w:val="4D1B0752"/>
    <w:rsid w:val="4D1F0243"/>
    <w:rsid w:val="4D241CFD"/>
    <w:rsid w:val="4D267B5A"/>
    <w:rsid w:val="4D2B308B"/>
    <w:rsid w:val="4D2E66D8"/>
    <w:rsid w:val="4D3267B3"/>
    <w:rsid w:val="4D331F6B"/>
    <w:rsid w:val="4D336D7D"/>
    <w:rsid w:val="4D3F6B37"/>
    <w:rsid w:val="4D414FD9"/>
    <w:rsid w:val="4D422183"/>
    <w:rsid w:val="4D4575A8"/>
    <w:rsid w:val="4D5A5B74"/>
    <w:rsid w:val="4D661307"/>
    <w:rsid w:val="4D73013E"/>
    <w:rsid w:val="4D734226"/>
    <w:rsid w:val="4D7351DC"/>
    <w:rsid w:val="4D783DF7"/>
    <w:rsid w:val="4D7C6C95"/>
    <w:rsid w:val="4D7C70D9"/>
    <w:rsid w:val="4D7C7ACE"/>
    <w:rsid w:val="4D8B1D7C"/>
    <w:rsid w:val="4D943011"/>
    <w:rsid w:val="4D9A1FBF"/>
    <w:rsid w:val="4DA22CB7"/>
    <w:rsid w:val="4DA4699A"/>
    <w:rsid w:val="4DA84E15"/>
    <w:rsid w:val="4DAD0E3D"/>
    <w:rsid w:val="4DAD1CF2"/>
    <w:rsid w:val="4DB56DF9"/>
    <w:rsid w:val="4DBD7A5B"/>
    <w:rsid w:val="4DD52FF7"/>
    <w:rsid w:val="4DD76D6F"/>
    <w:rsid w:val="4DDA060D"/>
    <w:rsid w:val="4DDD3C5A"/>
    <w:rsid w:val="4DDF3F73"/>
    <w:rsid w:val="4DF23BA9"/>
    <w:rsid w:val="4DF53125"/>
    <w:rsid w:val="4DF74D1B"/>
    <w:rsid w:val="4DFF0074"/>
    <w:rsid w:val="4E05589E"/>
    <w:rsid w:val="4E061402"/>
    <w:rsid w:val="4E06294E"/>
    <w:rsid w:val="4E14183E"/>
    <w:rsid w:val="4E1458CD"/>
    <w:rsid w:val="4E173FF8"/>
    <w:rsid w:val="4E211946"/>
    <w:rsid w:val="4E250444"/>
    <w:rsid w:val="4E4071E9"/>
    <w:rsid w:val="4E50267E"/>
    <w:rsid w:val="4E516B22"/>
    <w:rsid w:val="4E574FE7"/>
    <w:rsid w:val="4E656129"/>
    <w:rsid w:val="4E6A373F"/>
    <w:rsid w:val="4E6C24C1"/>
    <w:rsid w:val="4E6D6781"/>
    <w:rsid w:val="4E712D20"/>
    <w:rsid w:val="4E7147F3"/>
    <w:rsid w:val="4E720846"/>
    <w:rsid w:val="4E7F7F94"/>
    <w:rsid w:val="4E962786"/>
    <w:rsid w:val="4E9C1F4B"/>
    <w:rsid w:val="4EA2737D"/>
    <w:rsid w:val="4EBB043F"/>
    <w:rsid w:val="4EC23915"/>
    <w:rsid w:val="4EC70B92"/>
    <w:rsid w:val="4ED351DE"/>
    <w:rsid w:val="4ED84B4D"/>
    <w:rsid w:val="4EDC13F9"/>
    <w:rsid w:val="4EE03A01"/>
    <w:rsid w:val="4EE07EA5"/>
    <w:rsid w:val="4EE10C8F"/>
    <w:rsid w:val="4EE63C76"/>
    <w:rsid w:val="4EF64F2D"/>
    <w:rsid w:val="4EFD7495"/>
    <w:rsid w:val="4F073684"/>
    <w:rsid w:val="4F0771E0"/>
    <w:rsid w:val="4F0A6CD0"/>
    <w:rsid w:val="4F133DD7"/>
    <w:rsid w:val="4F1B0EDE"/>
    <w:rsid w:val="4F1F09CE"/>
    <w:rsid w:val="4F2064F4"/>
    <w:rsid w:val="4F2E0C11"/>
    <w:rsid w:val="4F2F55A5"/>
    <w:rsid w:val="4F3132DD"/>
    <w:rsid w:val="4F327F6F"/>
    <w:rsid w:val="4F361873"/>
    <w:rsid w:val="4F3A5808"/>
    <w:rsid w:val="4F3B7298"/>
    <w:rsid w:val="4F3C2AD4"/>
    <w:rsid w:val="4F522D7B"/>
    <w:rsid w:val="4F5543EF"/>
    <w:rsid w:val="4F560168"/>
    <w:rsid w:val="4F642884"/>
    <w:rsid w:val="4F673C06"/>
    <w:rsid w:val="4F684B0A"/>
    <w:rsid w:val="4F6B59C1"/>
    <w:rsid w:val="4F8046F1"/>
    <w:rsid w:val="4F8119B1"/>
    <w:rsid w:val="4F814D8D"/>
    <w:rsid w:val="4F90367A"/>
    <w:rsid w:val="4F92238A"/>
    <w:rsid w:val="4FA039F4"/>
    <w:rsid w:val="4FA06CA8"/>
    <w:rsid w:val="4FB07878"/>
    <w:rsid w:val="4FD712A8"/>
    <w:rsid w:val="4FD74728"/>
    <w:rsid w:val="4FD7736E"/>
    <w:rsid w:val="4FE062A3"/>
    <w:rsid w:val="4FE9249D"/>
    <w:rsid w:val="4FF10EFA"/>
    <w:rsid w:val="4FF37764"/>
    <w:rsid w:val="4FF754A7"/>
    <w:rsid w:val="4FFD45EE"/>
    <w:rsid w:val="5006624C"/>
    <w:rsid w:val="500F0A42"/>
    <w:rsid w:val="501A2F43"/>
    <w:rsid w:val="501C0729"/>
    <w:rsid w:val="50296C0E"/>
    <w:rsid w:val="503404A9"/>
    <w:rsid w:val="50370581"/>
    <w:rsid w:val="503A35E5"/>
    <w:rsid w:val="503D51A9"/>
    <w:rsid w:val="5040333A"/>
    <w:rsid w:val="504172EE"/>
    <w:rsid w:val="5043798C"/>
    <w:rsid w:val="504A3803"/>
    <w:rsid w:val="50546455"/>
    <w:rsid w:val="505521CD"/>
    <w:rsid w:val="50576CBE"/>
    <w:rsid w:val="5058248A"/>
    <w:rsid w:val="505B3DB1"/>
    <w:rsid w:val="505D4A94"/>
    <w:rsid w:val="506568B4"/>
    <w:rsid w:val="50683735"/>
    <w:rsid w:val="506B04F9"/>
    <w:rsid w:val="506B6C77"/>
    <w:rsid w:val="506E5024"/>
    <w:rsid w:val="507056E2"/>
    <w:rsid w:val="50731BAF"/>
    <w:rsid w:val="50777A45"/>
    <w:rsid w:val="507A1C34"/>
    <w:rsid w:val="508370CE"/>
    <w:rsid w:val="50854860"/>
    <w:rsid w:val="508B3E41"/>
    <w:rsid w:val="5096168B"/>
    <w:rsid w:val="509A15E0"/>
    <w:rsid w:val="509E1DC6"/>
    <w:rsid w:val="50B769E4"/>
    <w:rsid w:val="50B912B2"/>
    <w:rsid w:val="50BD2394"/>
    <w:rsid w:val="50C80BF1"/>
    <w:rsid w:val="50CC6286"/>
    <w:rsid w:val="50D6330E"/>
    <w:rsid w:val="50E35A2B"/>
    <w:rsid w:val="50E53B1E"/>
    <w:rsid w:val="50EC1681"/>
    <w:rsid w:val="50EC48E0"/>
    <w:rsid w:val="510E0E2A"/>
    <w:rsid w:val="510F05CE"/>
    <w:rsid w:val="511931FB"/>
    <w:rsid w:val="511A58F1"/>
    <w:rsid w:val="511B0F22"/>
    <w:rsid w:val="511D718F"/>
    <w:rsid w:val="511F2F07"/>
    <w:rsid w:val="51273B6A"/>
    <w:rsid w:val="512978E2"/>
    <w:rsid w:val="512E144B"/>
    <w:rsid w:val="51351D05"/>
    <w:rsid w:val="51374476"/>
    <w:rsid w:val="51385D77"/>
    <w:rsid w:val="51402D6E"/>
    <w:rsid w:val="514648DC"/>
    <w:rsid w:val="514B501A"/>
    <w:rsid w:val="51570B9A"/>
    <w:rsid w:val="51591C3E"/>
    <w:rsid w:val="515B5BAE"/>
    <w:rsid w:val="516B68C8"/>
    <w:rsid w:val="51750D79"/>
    <w:rsid w:val="51750DAF"/>
    <w:rsid w:val="518965D2"/>
    <w:rsid w:val="51A77A02"/>
    <w:rsid w:val="51AE7DE7"/>
    <w:rsid w:val="51B00003"/>
    <w:rsid w:val="51B8400A"/>
    <w:rsid w:val="51B84DE7"/>
    <w:rsid w:val="51C25525"/>
    <w:rsid w:val="51CC08C5"/>
    <w:rsid w:val="51D7767B"/>
    <w:rsid w:val="51DD691E"/>
    <w:rsid w:val="51E101BC"/>
    <w:rsid w:val="51E63A25"/>
    <w:rsid w:val="51E657D3"/>
    <w:rsid w:val="51E76EB9"/>
    <w:rsid w:val="51EC090F"/>
    <w:rsid w:val="51ED7E6D"/>
    <w:rsid w:val="51FA74D0"/>
    <w:rsid w:val="51FD2C5F"/>
    <w:rsid w:val="520173B9"/>
    <w:rsid w:val="52043EAB"/>
    <w:rsid w:val="52081BED"/>
    <w:rsid w:val="52097713"/>
    <w:rsid w:val="521045FE"/>
    <w:rsid w:val="521340EE"/>
    <w:rsid w:val="52187956"/>
    <w:rsid w:val="52350508"/>
    <w:rsid w:val="523F1387"/>
    <w:rsid w:val="52421D16"/>
    <w:rsid w:val="52497B10"/>
    <w:rsid w:val="525E35BB"/>
    <w:rsid w:val="526606C2"/>
    <w:rsid w:val="526A392D"/>
    <w:rsid w:val="526D7CA2"/>
    <w:rsid w:val="527032EE"/>
    <w:rsid w:val="52716CAD"/>
    <w:rsid w:val="5276038A"/>
    <w:rsid w:val="527E1EAF"/>
    <w:rsid w:val="528D20F2"/>
    <w:rsid w:val="528D5C4E"/>
    <w:rsid w:val="529677E9"/>
    <w:rsid w:val="52976ACD"/>
    <w:rsid w:val="5298489A"/>
    <w:rsid w:val="52992414"/>
    <w:rsid w:val="52993A23"/>
    <w:rsid w:val="52B256B5"/>
    <w:rsid w:val="52B551A5"/>
    <w:rsid w:val="52C804AE"/>
    <w:rsid w:val="52CF270B"/>
    <w:rsid w:val="52D054FF"/>
    <w:rsid w:val="52D204C0"/>
    <w:rsid w:val="52D928C3"/>
    <w:rsid w:val="52DC0984"/>
    <w:rsid w:val="52E223AA"/>
    <w:rsid w:val="52E46445"/>
    <w:rsid w:val="52E77A54"/>
    <w:rsid w:val="52EC6E19"/>
    <w:rsid w:val="52F21FDA"/>
    <w:rsid w:val="5311062D"/>
    <w:rsid w:val="531E0F9C"/>
    <w:rsid w:val="53206AC2"/>
    <w:rsid w:val="53407165"/>
    <w:rsid w:val="53456529"/>
    <w:rsid w:val="53515075"/>
    <w:rsid w:val="53542C10"/>
    <w:rsid w:val="536410A5"/>
    <w:rsid w:val="537466D6"/>
    <w:rsid w:val="537B03C9"/>
    <w:rsid w:val="53803A05"/>
    <w:rsid w:val="538452A3"/>
    <w:rsid w:val="539757E8"/>
    <w:rsid w:val="53977D81"/>
    <w:rsid w:val="53A21BCD"/>
    <w:rsid w:val="53A92559"/>
    <w:rsid w:val="53AC65A8"/>
    <w:rsid w:val="53B00620"/>
    <w:rsid w:val="53B646B1"/>
    <w:rsid w:val="53D9426A"/>
    <w:rsid w:val="53DA1367"/>
    <w:rsid w:val="53E915AA"/>
    <w:rsid w:val="53EA6804"/>
    <w:rsid w:val="53F02939"/>
    <w:rsid w:val="53F046E7"/>
    <w:rsid w:val="53F1220D"/>
    <w:rsid w:val="53F23C98"/>
    <w:rsid w:val="53F266B1"/>
    <w:rsid w:val="53F35F85"/>
    <w:rsid w:val="53F83061"/>
    <w:rsid w:val="53FC2BBB"/>
    <w:rsid w:val="53FD089E"/>
    <w:rsid w:val="54014B46"/>
    <w:rsid w:val="5402441A"/>
    <w:rsid w:val="5406215C"/>
    <w:rsid w:val="5406335A"/>
    <w:rsid w:val="540B638D"/>
    <w:rsid w:val="540E2DBF"/>
    <w:rsid w:val="54161C73"/>
    <w:rsid w:val="541C7EC3"/>
    <w:rsid w:val="54211998"/>
    <w:rsid w:val="542567FE"/>
    <w:rsid w:val="54262873"/>
    <w:rsid w:val="54295E4B"/>
    <w:rsid w:val="542C4FC6"/>
    <w:rsid w:val="54321EEE"/>
    <w:rsid w:val="543D36A4"/>
    <w:rsid w:val="54453B17"/>
    <w:rsid w:val="5458228C"/>
    <w:rsid w:val="54586776"/>
    <w:rsid w:val="54596730"/>
    <w:rsid w:val="545C3613"/>
    <w:rsid w:val="545E741A"/>
    <w:rsid w:val="54646E83"/>
    <w:rsid w:val="546649A9"/>
    <w:rsid w:val="54694089"/>
    <w:rsid w:val="546B0D84"/>
    <w:rsid w:val="546B635E"/>
    <w:rsid w:val="546B7C81"/>
    <w:rsid w:val="546D5D37"/>
    <w:rsid w:val="54707003"/>
    <w:rsid w:val="54734B94"/>
    <w:rsid w:val="54765614"/>
    <w:rsid w:val="547D645D"/>
    <w:rsid w:val="54837D65"/>
    <w:rsid w:val="548B2661"/>
    <w:rsid w:val="54907C78"/>
    <w:rsid w:val="54963849"/>
    <w:rsid w:val="549B3239"/>
    <w:rsid w:val="54A159E1"/>
    <w:rsid w:val="54B14434"/>
    <w:rsid w:val="54C165F9"/>
    <w:rsid w:val="54C17E31"/>
    <w:rsid w:val="54D04518"/>
    <w:rsid w:val="54DD4ED3"/>
    <w:rsid w:val="54DD4EE8"/>
    <w:rsid w:val="54DF2E0B"/>
    <w:rsid w:val="54E23B60"/>
    <w:rsid w:val="54E300E5"/>
    <w:rsid w:val="54E767C0"/>
    <w:rsid w:val="54ED0C26"/>
    <w:rsid w:val="54F2448F"/>
    <w:rsid w:val="54F621D1"/>
    <w:rsid w:val="54F71AA5"/>
    <w:rsid w:val="54FC355F"/>
    <w:rsid w:val="5503044A"/>
    <w:rsid w:val="5505768E"/>
    <w:rsid w:val="55070DBA"/>
    <w:rsid w:val="550764E1"/>
    <w:rsid w:val="550A17D8"/>
    <w:rsid w:val="550B2186"/>
    <w:rsid w:val="550B72FE"/>
    <w:rsid w:val="5518177A"/>
    <w:rsid w:val="551E5284"/>
    <w:rsid w:val="55222B45"/>
    <w:rsid w:val="552312D6"/>
    <w:rsid w:val="55241341"/>
    <w:rsid w:val="55254864"/>
    <w:rsid w:val="552C47D7"/>
    <w:rsid w:val="55304D63"/>
    <w:rsid w:val="55323649"/>
    <w:rsid w:val="553D7E00"/>
    <w:rsid w:val="5540169E"/>
    <w:rsid w:val="55434480"/>
    <w:rsid w:val="55477AC8"/>
    <w:rsid w:val="554A42CB"/>
    <w:rsid w:val="554B002C"/>
    <w:rsid w:val="556A2FD5"/>
    <w:rsid w:val="556D3970"/>
    <w:rsid w:val="557120E4"/>
    <w:rsid w:val="55733831"/>
    <w:rsid w:val="557E4463"/>
    <w:rsid w:val="558A2919"/>
    <w:rsid w:val="559317CE"/>
    <w:rsid w:val="559C5C59"/>
    <w:rsid w:val="55A559A5"/>
    <w:rsid w:val="55AA6B17"/>
    <w:rsid w:val="55AA6B6B"/>
    <w:rsid w:val="55AC288F"/>
    <w:rsid w:val="55AE6607"/>
    <w:rsid w:val="55B81484"/>
    <w:rsid w:val="55BD22C5"/>
    <w:rsid w:val="55C45E2B"/>
    <w:rsid w:val="55CB34C3"/>
    <w:rsid w:val="55D634ED"/>
    <w:rsid w:val="55DA38A0"/>
    <w:rsid w:val="55E97640"/>
    <w:rsid w:val="55F95FA7"/>
    <w:rsid w:val="55F97145"/>
    <w:rsid w:val="56026953"/>
    <w:rsid w:val="56056C87"/>
    <w:rsid w:val="560D1E90"/>
    <w:rsid w:val="560E52F8"/>
    <w:rsid w:val="56113504"/>
    <w:rsid w:val="56116B96"/>
    <w:rsid w:val="561514B0"/>
    <w:rsid w:val="561641AD"/>
    <w:rsid w:val="56185AEC"/>
    <w:rsid w:val="561A1EEF"/>
    <w:rsid w:val="561A3C9D"/>
    <w:rsid w:val="562B5EAA"/>
    <w:rsid w:val="56384123"/>
    <w:rsid w:val="563A433F"/>
    <w:rsid w:val="56496330"/>
    <w:rsid w:val="56512F92"/>
    <w:rsid w:val="56594B43"/>
    <w:rsid w:val="565D1DDC"/>
    <w:rsid w:val="5662222B"/>
    <w:rsid w:val="56633896"/>
    <w:rsid w:val="56674A08"/>
    <w:rsid w:val="566C201F"/>
    <w:rsid w:val="567F61F6"/>
    <w:rsid w:val="567F7FA4"/>
    <w:rsid w:val="569A4DDE"/>
    <w:rsid w:val="569F70F3"/>
    <w:rsid w:val="56A812A9"/>
    <w:rsid w:val="56B332E9"/>
    <w:rsid w:val="56B70EBE"/>
    <w:rsid w:val="56BD6D77"/>
    <w:rsid w:val="56BF74F0"/>
    <w:rsid w:val="56C43C09"/>
    <w:rsid w:val="56CB46F0"/>
    <w:rsid w:val="56D32B91"/>
    <w:rsid w:val="56DE2F1C"/>
    <w:rsid w:val="56E132C8"/>
    <w:rsid w:val="56E46059"/>
    <w:rsid w:val="56EF47DB"/>
    <w:rsid w:val="56F02C50"/>
    <w:rsid w:val="56F15F08"/>
    <w:rsid w:val="56F17091"/>
    <w:rsid w:val="56F20776"/>
    <w:rsid w:val="56F4277B"/>
    <w:rsid w:val="56F91B04"/>
    <w:rsid w:val="56FF2C59"/>
    <w:rsid w:val="56FF2E93"/>
    <w:rsid w:val="57007337"/>
    <w:rsid w:val="57030BD5"/>
    <w:rsid w:val="5707677F"/>
    <w:rsid w:val="570A713B"/>
    <w:rsid w:val="57160908"/>
    <w:rsid w:val="571826D1"/>
    <w:rsid w:val="571D1301"/>
    <w:rsid w:val="572823EA"/>
    <w:rsid w:val="572A1C7A"/>
    <w:rsid w:val="572C6110"/>
    <w:rsid w:val="57392849"/>
    <w:rsid w:val="573C7181"/>
    <w:rsid w:val="57436AF9"/>
    <w:rsid w:val="574D1E50"/>
    <w:rsid w:val="5750468A"/>
    <w:rsid w:val="57585F64"/>
    <w:rsid w:val="575B74AD"/>
    <w:rsid w:val="576A2A02"/>
    <w:rsid w:val="57743881"/>
    <w:rsid w:val="57783371"/>
    <w:rsid w:val="57806E95"/>
    <w:rsid w:val="57835872"/>
    <w:rsid w:val="57845DEC"/>
    <w:rsid w:val="578F4217"/>
    <w:rsid w:val="57935E69"/>
    <w:rsid w:val="57936E27"/>
    <w:rsid w:val="57943DCF"/>
    <w:rsid w:val="579730CB"/>
    <w:rsid w:val="57A44FBE"/>
    <w:rsid w:val="57AB49EF"/>
    <w:rsid w:val="57B1418D"/>
    <w:rsid w:val="57BF5665"/>
    <w:rsid w:val="57C02C3A"/>
    <w:rsid w:val="57C254B3"/>
    <w:rsid w:val="57C62622"/>
    <w:rsid w:val="57C7123B"/>
    <w:rsid w:val="57DD1426"/>
    <w:rsid w:val="57E91B79"/>
    <w:rsid w:val="580A7D41"/>
    <w:rsid w:val="581B5AAA"/>
    <w:rsid w:val="583059FA"/>
    <w:rsid w:val="584119B5"/>
    <w:rsid w:val="58460A2B"/>
    <w:rsid w:val="58562F86"/>
    <w:rsid w:val="585D5FB5"/>
    <w:rsid w:val="585E1736"/>
    <w:rsid w:val="587B479B"/>
    <w:rsid w:val="58906498"/>
    <w:rsid w:val="5893734D"/>
    <w:rsid w:val="58971419"/>
    <w:rsid w:val="589C4E3D"/>
    <w:rsid w:val="58A24133"/>
    <w:rsid w:val="58B23CBA"/>
    <w:rsid w:val="58C16652"/>
    <w:rsid w:val="58D81BED"/>
    <w:rsid w:val="58DF11CE"/>
    <w:rsid w:val="58E32A6C"/>
    <w:rsid w:val="58E65BE8"/>
    <w:rsid w:val="58F619BB"/>
    <w:rsid w:val="58FD3C4A"/>
    <w:rsid w:val="590429E2"/>
    <w:rsid w:val="590D1897"/>
    <w:rsid w:val="59140E77"/>
    <w:rsid w:val="591712B0"/>
    <w:rsid w:val="5920775E"/>
    <w:rsid w:val="59210FA5"/>
    <w:rsid w:val="59262959"/>
    <w:rsid w:val="593178E4"/>
    <w:rsid w:val="593404C8"/>
    <w:rsid w:val="59352B9C"/>
    <w:rsid w:val="593B0594"/>
    <w:rsid w:val="594A4899"/>
    <w:rsid w:val="59576FB6"/>
    <w:rsid w:val="595A2602"/>
    <w:rsid w:val="595B0854"/>
    <w:rsid w:val="5961766F"/>
    <w:rsid w:val="597B0EF6"/>
    <w:rsid w:val="59835FFD"/>
    <w:rsid w:val="599679A7"/>
    <w:rsid w:val="59A10231"/>
    <w:rsid w:val="59B03D7E"/>
    <w:rsid w:val="59BB5797"/>
    <w:rsid w:val="59BF3C49"/>
    <w:rsid w:val="59C26B25"/>
    <w:rsid w:val="59C815C4"/>
    <w:rsid w:val="59CC52AE"/>
    <w:rsid w:val="59D914B7"/>
    <w:rsid w:val="59DA6C87"/>
    <w:rsid w:val="59DD74BB"/>
    <w:rsid w:val="59E4075B"/>
    <w:rsid w:val="59E42F07"/>
    <w:rsid w:val="59E940B2"/>
    <w:rsid w:val="59F36CDF"/>
    <w:rsid w:val="59F51CED"/>
    <w:rsid w:val="59F6057D"/>
    <w:rsid w:val="59F64A21"/>
    <w:rsid w:val="59FD775E"/>
    <w:rsid w:val="5A0D1E28"/>
    <w:rsid w:val="5A0F069B"/>
    <w:rsid w:val="5A164F6F"/>
    <w:rsid w:val="5A184997"/>
    <w:rsid w:val="5A1B4488"/>
    <w:rsid w:val="5A2A0227"/>
    <w:rsid w:val="5A300A8A"/>
    <w:rsid w:val="5A343384"/>
    <w:rsid w:val="5A394CD1"/>
    <w:rsid w:val="5A3A6C1A"/>
    <w:rsid w:val="5A3C1A98"/>
    <w:rsid w:val="5A405C9C"/>
    <w:rsid w:val="5A4709EE"/>
    <w:rsid w:val="5A601E9A"/>
    <w:rsid w:val="5A647BDD"/>
    <w:rsid w:val="5A6776CD"/>
    <w:rsid w:val="5A6C6CEF"/>
    <w:rsid w:val="5A6E2809"/>
    <w:rsid w:val="5A7818D2"/>
    <w:rsid w:val="5A8111AE"/>
    <w:rsid w:val="5A814A3F"/>
    <w:rsid w:val="5A877662"/>
    <w:rsid w:val="5A8B6F17"/>
    <w:rsid w:val="5A8C0EE1"/>
    <w:rsid w:val="5A90452E"/>
    <w:rsid w:val="5A963B0E"/>
    <w:rsid w:val="5A985AD8"/>
    <w:rsid w:val="5A9B0FE9"/>
    <w:rsid w:val="5A9F2ADC"/>
    <w:rsid w:val="5AA07351"/>
    <w:rsid w:val="5AA93841"/>
    <w:rsid w:val="5AB32912"/>
    <w:rsid w:val="5ABC3575"/>
    <w:rsid w:val="5ABF1126"/>
    <w:rsid w:val="5ACC0284"/>
    <w:rsid w:val="5ACC7530"/>
    <w:rsid w:val="5AD07020"/>
    <w:rsid w:val="5AD54636"/>
    <w:rsid w:val="5AE04951"/>
    <w:rsid w:val="5AE12FDB"/>
    <w:rsid w:val="5AE452A1"/>
    <w:rsid w:val="5AE8436A"/>
    <w:rsid w:val="5AED5A81"/>
    <w:rsid w:val="5B0B0834"/>
    <w:rsid w:val="5B0C31E8"/>
    <w:rsid w:val="5B0D4C47"/>
    <w:rsid w:val="5B0F2F87"/>
    <w:rsid w:val="5B1769FD"/>
    <w:rsid w:val="5B242B93"/>
    <w:rsid w:val="5B24736C"/>
    <w:rsid w:val="5B252510"/>
    <w:rsid w:val="5B294982"/>
    <w:rsid w:val="5B323837"/>
    <w:rsid w:val="5B353327"/>
    <w:rsid w:val="5B422FE3"/>
    <w:rsid w:val="5B4A5737"/>
    <w:rsid w:val="5B557525"/>
    <w:rsid w:val="5B565680"/>
    <w:rsid w:val="5B6065F6"/>
    <w:rsid w:val="5B61236E"/>
    <w:rsid w:val="5B653C0C"/>
    <w:rsid w:val="5B7420A1"/>
    <w:rsid w:val="5B765E19"/>
    <w:rsid w:val="5B7C71A8"/>
    <w:rsid w:val="5B7E082A"/>
    <w:rsid w:val="5B7F69CB"/>
    <w:rsid w:val="5B800A46"/>
    <w:rsid w:val="5B80569B"/>
    <w:rsid w:val="5B8364E3"/>
    <w:rsid w:val="5B8878FB"/>
    <w:rsid w:val="5B8950CA"/>
    <w:rsid w:val="5B8B1AD3"/>
    <w:rsid w:val="5B8B6467"/>
    <w:rsid w:val="5B9562A9"/>
    <w:rsid w:val="5B997AF8"/>
    <w:rsid w:val="5B9B13DC"/>
    <w:rsid w:val="5BB95D06"/>
    <w:rsid w:val="5BC0128D"/>
    <w:rsid w:val="5BCA161A"/>
    <w:rsid w:val="5BCE7A03"/>
    <w:rsid w:val="5BE03293"/>
    <w:rsid w:val="5BE70AC5"/>
    <w:rsid w:val="5BE72873"/>
    <w:rsid w:val="5BF03C12"/>
    <w:rsid w:val="5BF413B6"/>
    <w:rsid w:val="5BF62AB6"/>
    <w:rsid w:val="5BFF7AE6"/>
    <w:rsid w:val="5C0509B4"/>
    <w:rsid w:val="5C0B789C"/>
    <w:rsid w:val="5C142F3C"/>
    <w:rsid w:val="5C182A2D"/>
    <w:rsid w:val="5C2F421A"/>
    <w:rsid w:val="5C372F37"/>
    <w:rsid w:val="5C403D31"/>
    <w:rsid w:val="5C423F4D"/>
    <w:rsid w:val="5C425CFC"/>
    <w:rsid w:val="5C4557EC"/>
    <w:rsid w:val="5C4A4BB0"/>
    <w:rsid w:val="5C5679F9"/>
    <w:rsid w:val="5C623923"/>
    <w:rsid w:val="5C6358C5"/>
    <w:rsid w:val="5C7D7655"/>
    <w:rsid w:val="5C891B7C"/>
    <w:rsid w:val="5C91306D"/>
    <w:rsid w:val="5C94019A"/>
    <w:rsid w:val="5C9D73D6"/>
    <w:rsid w:val="5CA72002"/>
    <w:rsid w:val="5CAB7727"/>
    <w:rsid w:val="5CB5624E"/>
    <w:rsid w:val="5CC441E1"/>
    <w:rsid w:val="5CC826A5"/>
    <w:rsid w:val="5CC901CB"/>
    <w:rsid w:val="5CCC30BE"/>
    <w:rsid w:val="5CD10E2D"/>
    <w:rsid w:val="5CE45005"/>
    <w:rsid w:val="5CE62A5E"/>
    <w:rsid w:val="5CE760ED"/>
    <w:rsid w:val="5CEE7C31"/>
    <w:rsid w:val="5CF36FF6"/>
    <w:rsid w:val="5CF76AE6"/>
    <w:rsid w:val="5CFB1C2D"/>
    <w:rsid w:val="5CFE60C6"/>
    <w:rsid w:val="5D170F36"/>
    <w:rsid w:val="5D186A5C"/>
    <w:rsid w:val="5D221689"/>
    <w:rsid w:val="5D283143"/>
    <w:rsid w:val="5D395350"/>
    <w:rsid w:val="5D431D2B"/>
    <w:rsid w:val="5D445AA3"/>
    <w:rsid w:val="5D485594"/>
    <w:rsid w:val="5D591638"/>
    <w:rsid w:val="5D5D4A1E"/>
    <w:rsid w:val="5D610403"/>
    <w:rsid w:val="5D630025"/>
    <w:rsid w:val="5D635F29"/>
    <w:rsid w:val="5D673A5A"/>
    <w:rsid w:val="5D6837FA"/>
    <w:rsid w:val="5D7C5F32"/>
    <w:rsid w:val="5D814602"/>
    <w:rsid w:val="5D86574C"/>
    <w:rsid w:val="5D8D5661"/>
    <w:rsid w:val="5D8D62B3"/>
    <w:rsid w:val="5D9021D1"/>
    <w:rsid w:val="5DA3067A"/>
    <w:rsid w:val="5DBC6F9B"/>
    <w:rsid w:val="5DBE4262"/>
    <w:rsid w:val="5DBE5856"/>
    <w:rsid w:val="5DCD7847"/>
    <w:rsid w:val="5DE0046A"/>
    <w:rsid w:val="5DE570D9"/>
    <w:rsid w:val="5DE80B25"/>
    <w:rsid w:val="5DEC6D1B"/>
    <w:rsid w:val="5DF254FF"/>
    <w:rsid w:val="5DF70D68"/>
    <w:rsid w:val="5DFC1EDA"/>
    <w:rsid w:val="5DFE20F6"/>
    <w:rsid w:val="5E0569C2"/>
    <w:rsid w:val="5E0705E5"/>
    <w:rsid w:val="5E1E4546"/>
    <w:rsid w:val="5E226D3C"/>
    <w:rsid w:val="5E253E84"/>
    <w:rsid w:val="5E2A2EEB"/>
    <w:rsid w:val="5E2A7441"/>
    <w:rsid w:val="5E427E32"/>
    <w:rsid w:val="5E4715FE"/>
    <w:rsid w:val="5E5127F9"/>
    <w:rsid w:val="5E5132EC"/>
    <w:rsid w:val="5E547F68"/>
    <w:rsid w:val="5E745F14"/>
    <w:rsid w:val="5E7971E5"/>
    <w:rsid w:val="5E851E72"/>
    <w:rsid w:val="5E8A5738"/>
    <w:rsid w:val="5E8C5954"/>
    <w:rsid w:val="5E941B9A"/>
    <w:rsid w:val="5E96232F"/>
    <w:rsid w:val="5E99597B"/>
    <w:rsid w:val="5E9A6159"/>
    <w:rsid w:val="5EA12C1A"/>
    <w:rsid w:val="5EA54320"/>
    <w:rsid w:val="5EA62EF7"/>
    <w:rsid w:val="5EAA7B88"/>
    <w:rsid w:val="5EAB349A"/>
    <w:rsid w:val="5EAB402C"/>
    <w:rsid w:val="5EAC56AE"/>
    <w:rsid w:val="5EB15B51"/>
    <w:rsid w:val="5EB6652D"/>
    <w:rsid w:val="5EBA517D"/>
    <w:rsid w:val="5EC075BB"/>
    <w:rsid w:val="5EC450EE"/>
    <w:rsid w:val="5EC96260"/>
    <w:rsid w:val="5ED115B9"/>
    <w:rsid w:val="5ED30E8D"/>
    <w:rsid w:val="5ED75432"/>
    <w:rsid w:val="5EDE253E"/>
    <w:rsid w:val="5EE37062"/>
    <w:rsid w:val="5EE43E9B"/>
    <w:rsid w:val="5EE85C1C"/>
    <w:rsid w:val="5EEC4DA1"/>
    <w:rsid w:val="5EED5BA7"/>
    <w:rsid w:val="5EFF6126"/>
    <w:rsid w:val="5F0715BE"/>
    <w:rsid w:val="5F0E6369"/>
    <w:rsid w:val="5F100333"/>
    <w:rsid w:val="5F190344"/>
    <w:rsid w:val="5F1C521A"/>
    <w:rsid w:val="5F203BE5"/>
    <w:rsid w:val="5F265461"/>
    <w:rsid w:val="5F281498"/>
    <w:rsid w:val="5F2B2A77"/>
    <w:rsid w:val="5F3129DD"/>
    <w:rsid w:val="5F313563"/>
    <w:rsid w:val="5F3B6A32"/>
    <w:rsid w:val="5F3B7727"/>
    <w:rsid w:val="5F3E7162"/>
    <w:rsid w:val="5F440A6B"/>
    <w:rsid w:val="5F45519E"/>
    <w:rsid w:val="5F4678B1"/>
    <w:rsid w:val="5F5E109E"/>
    <w:rsid w:val="5F61293D"/>
    <w:rsid w:val="5F667638"/>
    <w:rsid w:val="5F692089"/>
    <w:rsid w:val="5F697A43"/>
    <w:rsid w:val="5F796DF2"/>
    <w:rsid w:val="5F7C184F"/>
    <w:rsid w:val="5F7C32D2"/>
    <w:rsid w:val="5F8623A3"/>
    <w:rsid w:val="5F88611B"/>
    <w:rsid w:val="5F887EC9"/>
    <w:rsid w:val="5F8B79B9"/>
    <w:rsid w:val="5F8F74AA"/>
    <w:rsid w:val="5F931795"/>
    <w:rsid w:val="5F993E84"/>
    <w:rsid w:val="5F9A19AB"/>
    <w:rsid w:val="5FA171DD"/>
    <w:rsid w:val="5FA8056B"/>
    <w:rsid w:val="5FAD04CC"/>
    <w:rsid w:val="5FAD7930"/>
    <w:rsid w:val="5FAF18FA"/>
    <w:rsid w:val="5FB011CE"/>
    <w:rsid w:val="5FB5629C"/>
    <w:rsid w:val="5FC058B5"/>
    <w:rsid w:val="5FCF0430"/>
    <w:rsid w:val="5FD01870"/>
    <w:rsid w:val="5FD27850"/>
    <w:rsid w:val="5FD32821"/>
    <w:rsid w:val="5FD667B9"/>
    <w:rsid w:val="5FDA1C75"/>
    <w:rsid w:val="5FDE3F8D"/>
    <w:rsid w:val="5FEA2932"/>
    <w:rsid w:val="5FF00F0B"/>
    <w:rsid w:val="5FF23595"/>
    <w:rsid w:val="5FF27A39"/>
    <w:rsid w:val="5FF4555F"/>
    <w:rsid w:val="5FFA1888"/>
    <w:rsid w:val="60001041"/>
    <w:rsid w:val="60003F04"/>
    <w:rsid w:val="60011A2A"/>
    <w:rsid w:val="60067040"/>
    <w:rsid w:val="600734E4"/>
    <w:rsid w:val="60095A9E"/>
    <w:rsid w:val="600960AF"/>
    <w:rsid w:val="6017124D"/>
    <w:rsid w:val="601C6864"/>
    <w:rsid w:val="601E082E"/>
    <w:rsid w:val="60212F1C"/>
    <w:rsid w:val="6023073C"/>
    <w:rsid w:val="602A5424"/>
    <w:rsid w:val="6037369D"/>
    <w:rsid w:val="603B13E0"/>
    <w:rsid w:val="60501C67"/>
    <w:rsid w:val="605063DF"/>
    <w:rsid w:val="60561D75"/>
    <w:rsid w:val="605C64DD"/>
    <w:rsid w:val="605E3679"/>
    <w:rsid w:val="605F57DA"/>
    <w:rsid w:val="60605DBF"/>
    <w:rsid w:val="60805044"/>
    <w:rsid w:val="60997EB4"/>
    <w:rsid w:val="609E3AA7"/>
    <w:rsid w:val="60AC5E39"/>
    <w:rsid w:val="60AD390E"/>
    <w:rsid w:val="60AE1BB1"/>
    <w:rsid w:val="60B847DE"/>
    <w:rsid w:val="60B947C9"/>
    <w:rsid w:val="60BF5B6D"/>
    <w:rsid w:val="60C2565D"/>
    <w:rsid w:val="60C56BDC"/>
    <w:rsid w:val="60C64578"/>
    <w:rsid w:val="60C80E91"/>
    <w:rsid w:val="60CD6B00"/>
    <w:rsid w:val="60D1764E"/>
    <w:rsid w:val="60D26B4A"/>
    <w:rsid w:val="60D3575A"/>
    <w:rsid w:val="60D46326"/>
    <w:rsid w:val="60DA29A7"/>
    <w:rsid w:val="60E23609"/>
    <w:rsid w:val="60E530F9"/>
    <w:rsid w:val="60E6759D"/>
    <w:rsid w:val="60EA0710"/>
    <w:rsid w:val="60F037E4"/>
    <w:rsid w:val="60FB291D"/>
    <w:rsid w:val="60FD0443"/>
    <w:rsid w:val="60FF5E9B"/>
    <w:rsid w:val="61092C50"/>
    <w:rsid w:val="610F0176"/>
    <w:rsid w:val="611543D1"/>
    <w:rsid w:val="6117728B"/>
    <w:rsid w:val="61190304"/>
    <w:rsid w:val="61247DC5"/>
    <w:rsid w:val="61251748"/>
    <w:rsid w:val="612E593F"/>
    <w:rsid w:val="613D10EA"/>
    <w:rsid w:val="613F4944"/>
    <w:rsid w:val="61454633"/>
    <w:rsid w:val="61460D58"/>
    <w:rsid w:val="614B5652"/>
    <w:rsid w:val="615362B5"/>
    <w:rsid w:val="615F5AD8"/>
    <w:rsid w:val="617226F2"/>
    <w:rsid w:val="617E5752"/>
    <w:rsid w:val="61842A3D"/>
    <w:rsid w:val="61882403"/>
    <w:rsid w:val="619568CD"/>
    <w:rsid w:val="619603DB"/>
    <w:rsid w:val="61984DF6"/>
    <w:rsid w:val="61A84853"/>
    <w:rsid w:val="61AD3C17"/>
    <w:rsid w:val="61B256D1"/>
    <w:rsid w:val="61BA4586"/>
    <w:rsid w:val="61BE1664"/>
    <w:rsid w:val="61BE7D2A"/>
    <w:rsid w:val="61D218D0"/>
    <w:rsid w:val="61D531FE"/>
    <w:rsid w:val="61DE2022"/>
    <w:rsid w:val="61E627A8"/>
    <w:rsid w:val="61F2297E"/>
    <w:rsid w:val="61F23F94"/>
    <w:rsid w:val="61FE6777"/>
    <w:rsid w:val="620514A4"/>
    <w:rsid w:val="62090567"/>
    <w:rsid w:val="621023F8"/>
    <w:rsid w:val="62104EDF"/>
    <w:rsid w:val="62193481"/>
    <w:rsid w:val="62201702"/>
    <w:rsid w:val="62210161"/>
    <w:rsid w:val="62270F23"/>
    <w:rsid w:val="622A5268"/>
    <w:rsid w:val="622B7CBD"/>
    <w:rsid w:val="62324E78"/>
    <w:rsid w:val="62326812"/>
    <w:rsid w:val="62377985"/>
    <w:rsid w:val="62410803"/>
    <w:rsid w:val="624502F4"/>
    <w:rsid w:val="62456545"/>
    <w:rsid w:val="624D0F56"/>
    <w:rsid w:val="627511AF"/>
    <w:rsid w:val="627B5AC3"/>
    <w:rsid w:val="62856942"/>
    <w:rsid w:val="629372B1"/>
    <w:rsid w:val="629468C0"/>
    <w:rsid w:val="62970EE5"/>
    <w:rsid w:val="62981979"/>
    <w:rsid w:val="629923ED"/>
    <w:rsid w:val="629D1EDE"/>
    <w:rsid w:val="62A0577C"/>
    <w:rsid w:val="62A06EB6"/>
    <w:rsid w:val="62A56FE4"/>
    <w:rsid w:val="62A573BE"/>
    <w:rsid w:val="62A80882"/>
    <w:rsid w:val="62B57DB5"/>
    <w:rsid w:val="62B611F1"/>
    <w:rsid w:val="62BF3354"/>
    <w:rsid w:val="62C14FC9"/>
    <w:rsid w:val="62C27B96"/>
    <w:rsid w:val="62C76F5B"/>
    <w:rsid w:val="62CC5D8F"/>
    <w:rsid w:val="62CE0974"/>
    <w:rsid w:val="62DD22DA"/>
    <w:rsid w:val="62E0024A"/>
    <w:rsid w:val="62E27476"/>
    <w:rsid w:val="62E66DD3"/>
    <w:rsid w:val="62EA2C49"/>
    <w:rsid w:val="62FB633C"/>
    <w:rsid w:val="62FE553A"/>
    <w:rsid w:val="63041F5D"/>
    <w:rsid w:val="630B232D"/>
    <w:rsid w:val="63102896"/>
    <w:rsid w:val="63114EA6"/>
    <w:rsid w:val="63127C48"/>
    <w:rsid w:val="63135514"/>
    <w:rsid w:val="6320666B"/>
    <w:rsid w:val="6324615B"/>
    <w:rsid w:val="634219A9"/>
    <w:rsid w:val="634265E1"/>
    <w:rsid w:val="63463232"/>
    <w:rsid w:val="635316E1"/>
    <w:rsid w:val="63536A40"/>
    <w:rsid w:val="63591084"/>
    <w:rsid w:val="635C0B38"/>
    <w:rsid w:val="635F53E5"/>
    <w:rsid w:val="63604CB9"/>
    <w:rsid w:val="636B19CD"/>
    <w:rsid w:val="636C3924"/>
    <w:rsid w:val="637349EC"/>
    <w:rsid w:val="637444F9"/>
    <w:rsid w:val="637716C3"/>
    <w:rsid w:val="637F3391"/>
    <w:rsid w:val="638135AD"/>
    <w:rsid w:val="63817A26"/>
    <w:rsid w:val="63830457"/>
    <w:rsid w:val="63846E1B"/>
    <w:rsid w:val="639A641D"/>
    <w:rsid w:val="63A70B3A"/>
    <w:rsid w:val="63A86D8C"/>
    <w:rsid w:val="63AA3F14"/>
    <w:rsid w:val="63AE41EB"/>
    <w:rsid w:val="63B35731"/>
    <w:rsid w:val="63BF40D6"/>
    <w:rsid w:val="63C24031"/>
    <w:rsid w:val="63CD38F1"/>
    <w:rsid w:val="63E36C50"/>
    <w:rsid w:val="63E61662"/>
    <w:rsid w:val="63E82E91"/>
    <w:rsid w:val="63F14DDB"/>
    <w:rsid w:val="63FE4BFE"/>
    <w:rsid w:val="64034CF8"/>
    <w:rsid w:val="64045B83"/>
    <w:rsid w:val="64063FB3"/>
    <w:rsid w:val="6409723D"/>
    <w:rsid w:val="6414138E"/>
    <w:rsid w:val="64155AA4"/>
    <w:rsid w:val="641724DD"/>
    <w:rsid w:val="64175CC0"/>
    <w:rsid w:val="641C5084"/>
    <w:rsid w:val="64267CB1"/>
    <w:rsid w:val="642729F9"/>
    <w:rsid w:val="642B1D6C"/>
    <w:rsid w:val="643C1282"/>
    <w:rsid w:val="643E4FFA"/>
    <w:rsid w:val="64410902"/>
    <w:rsid w:val="6445410C"/>
    <w:rsid w:val="644D156E"/>
    <w:rsid w:val="644F09B6"/>
    <w:rsid w:val="64516D3E"/>
    <w:rsid w:val="64540CC2"/>
    <w:rsid w:val="64682D09"/>
    <w:rsid w:val="647B7FFD"/>
    <w:rsid w:val="64857591"/>
    <w:rsid w:val="648D420D"/>
    <w:rsid w:val="648D4DC3"/>
    <w:rsid w:val="6492732E"/>
    <w:rsid w:val="64937B40"/>
    <w:rsid w:val="64964E36"/>
    <w:rsid w:val="64970025"/>
    <w:rsid w:val="649C7F73"/>
    <w:rsid w:val="64A77232"/>
    <w:rsid w:val="64A853C4"/>
    <w:rsid w:val="64A87A3E"/>
    <w:rsid w:val="64AC6408"/>
    <w:rsid w:val="64B13A1E"/>
    <w:rsid w:val="64B4350F"/>
    <w:rsid w:val="64C10B7B"/>
    <w:rsid w:val="64C32220"/>
    <w:rsid w:val="64C72A0B"/>
    <w:rsid w:val="64D01D48"/>
    <w:rsid w:val="64D43BB1"/>
    <w:rsid w:val="64D616D7"/>
    <w:rsid w:val="64DE2339"/>
    <w:rsid w:val="64E414E0"/>
    <w:rsid w:val="64E813DB"/>
    <w:rsid w:val="64EB7DD2"/>
    <w:rsid w:val="64F210E5"/>
    <w:rsid w:val="64FF0C2E"/>
    <w:rsid w:val="650606C1"/>
    <w:rsid w:val="650A0BA4"/>
    <w:rsid w:val="65130235"/>
    <w:rsid w:val="651B21D8"/>
    <w:rsid w:val="65293EFC"/>
    <w:rsid w:val="652C15E3"/>
    <w:rsid w:val="652E32C1"/>
    <w:rsid w:val="65312DB1"/>
    <w:rsid w:val="65314AB8"/>
    <w:rsid w:val="653463FD"/>
    <w:rsid w:val="653C786E"/>
    <w:rsid w:val="65455984"/>
    <w:rsid w:val="65491EA9"/>
    <w:rsid w:val="654C3747"/>
    <w:rsid w:val="65524A6E"/>
    <w:rsid w:val="655D5954"/>
    <w:rsid w:val="6562740E"/>
    <w:rsid w:val="65644F35"/>
    <w:rsid w:val="65690C5E"/>
    <w:rsid w:val="656B25DE"/>
    <w:rsid w:val="657A4758"/>
    <w:rsid w:val="65890608"/>
    <w:rsid w:val="658B0713"/>
    <w:rsid w:val="65966BFC"/>
    <w:rsid w:val="65971D5F"/>
    <w:rsid w:val="659770B8"/>
    <w:rsid w:val="65991807"/>
    <w:rsid w:val="65A43583"/>
    <w:rsid w:val="65B06E73"/>
    <w:rsid w:val="65B512EC"/>
    <w:rsid w:val="65B55790"/>
    <w:rsid w:val="65BC6B1F"/>
    <w:rsid w:val="65BE6B77"/>
    <w:rsid w:val="65C42B4E"/>
    <w:rsid w:val="65C44787"/>
    <w:rsid w:val="65C9123C"/>
    <w:rsid w:val="65CC2343"/>
    <w:rsid w:val="65D0360F"/>
    <w:rsid w:val="65D34B1C"/>
    <w:rsid w:val="65E10333"/>
    <w:rsid w:val="65EF0590"/>
    <w:rsid w:val="65F52031"/>
    <w:rsid w:val="65FF4C5D"/>
    <w:rsid w:val="660015B1"/>
    <w:rsid w:val="660226AB"/>
    <w:rsid w:val="660559C1"/>
    <w:rsid w:val="660F796A"/>
    <w:rsid w:val="662270C4"/>
    <w:rsid w:val="662621EA"/>
    <w:rsid w:val="66264F05"/>
    <w:rsid w:val="66344907"/>
    <w:rsid w:val="6635067F"/>
    <w:rsid w:val="663703FD"/>
    <w:rsid w:val="66394DEE"/>
    <w:rsid w:val="663B1C63"/>
    <w:rsid w:val="66407F82"/>
    <w:rsid w:val="66415276"/>
    <w:rsid w:val="664219D3"/>
    <w:rsid w:val="664A237C"/>
    <w:rsid w:val="664D7D9C"/>
    <w:rsid w:val="664E34EF"/>
    <w:rsid w:val="665C3A62"/>
    <w:rsid w:val="665F1C74"/>
    <w:rsid w:val="66666A8A"/>
    <w:rsid w:val="666A657B"/>
    <w:rsid w:val="66730C34"/>
    <w:rsid w:val="667F18FA"/>
    <w:rsid w:val="667F75BE"/>
    <w:rsid w:val="66A43656"/>
    <w:rsid w:val="66AC6E68"/>
    <w:rsid w:val="66B45A48"/>
    <w:rsid w:val="66B5531C"/>
    <w:rsid w:val="66B6356E"/>
    <w:rsid w:val="66C806BD"/>
    <w:rsid w:val="66DE0D17"/>
    <w:rsid w:val="66E225B5"/>
    <w:rsid w:val="66E31E89"/>
    <w:rsid w:val="66E3632D"/>
    <w:rsid w:val="66E36EB5"/>
    <w:rsid w:val="66E83943"/>
    <w:rsid w:val="66E97CC5"/>
    <w:rsid w:val="66ED148A"/>
    <w:rsid w:val="66EF7312"/>
    <w:rsid w:val="66F44D63"/>
    <w:rsid w:val="66FB3677"/>
    <w:rsid w:val="66FD73EF"/>
    <w:rsid w:val="6712276E"/>
    <w:rsid w:val="671E598E"/>
    <w:rsid w:val="672B514D"/>
    <w:rsid w:val="672C1A82"/>
    <w:rsid w:val="673426E5"/>
    <w:rsid w:val="673812B4"/>
    <w:rsid w:val="67513297"/>
    <w:rsid w:val="6764121C"/>
    <w:rsid w:val="67760F4F"/>
    <w:rsid w:val="677D0530"/>
    <w:rsid w:val="677E0BCC"/>
    <w:rsid w:val="67822F4A"/>
    <w:rsid w:val="67851681"/>
    <w:rsid w:val="678673E4"/>
    <w:rsid w:val="67931B01"/>
    <w:rsid w:val="679A2E90"/>
    <w:rsid w:val="67A04650"/>
    <w:rsid w:val="67AC5587"/>
    <w:rsid w:val="67B01AFC"/>
    <w:rsid w:val="67B0620F"/>
    <w:rsid w:val="67C41CBB"/>
    <w:rsid w:val="67C972D1"/>
    <w:rsid w:val="67CB129B"/>
    <w:rsid w:val="67D60B2D"/>
    <w:rsid w:val="67D96418"/>
    <w:rsid w:val="67E22141"/>
    <w:rsid w:val="67E914B3"/>
    <w:rsid w:val="67F105D6"/>
    <w:rsid w:val="67F72090"/>
    <w:rsid w:val="67FC76A6"/>
    <w:rsid w:val="68012F0F"/>
    <w:rsid w:val="68014D26"/>
    <w:rsid w:val="68040309"/>
    <w:rsid w:val="6809398D"/>
    <w:rsid w:val="680F0D3C"/>
    <w:rsid w:val="681349F0"/>
    <w:rsid w:val="681B32D8"/>
    <w:rsid w:val="682747B8"/>
    <w:rsid w:val="68297331"/>
    <w:rsid w:val="682A1594"/>
    <w:rsid w:val="682C554B"/>
    <w:rsid w:val="68420E31"/>
    <w:rsid w:val="684B418A"/>
    <w:rsid w:val="68577E81"/>
    <w:rsid w:val="68617509"/>
    <w:rsid w:val="68631F9E"/>
    <w:rsid w:val="686B207C"/>
    <w:rsid w:val="687D6223"/>
    <w:rsid w:val="68817BAC"/>
    <w:rsid w:val="6899033F"/>
    <w:rsid w:val="68994EF5"/>
    <w:rsid w:val="689C49E5"/>
    <w:rsid w:val="68B03FED"/>
    <w:rsid w:val="68B44EF0"/>
    <w:rsid w:val="68C006D4"/>
    <w:rsid w:val="68C66398"/>
    <w:rsid w:val="68C93662"/>
    <w:rsid w:val="68CA77A4"/>
    <w:rsid w:val="68CC52CB"/>
    <w:rsid w:val="68CF6B69"/>
    <w:rsid w:val="68D65429"/>
    <w:rsid w:val="68DE4FFE"/>
    <w:rsid w:val="68E048D2"/>
    <w:rsid w:val="68E82E72"/>
    <w:rsid w:val="68EF0FB9"/>
    <w:rsid w:val="68F55EA4"/>
    <w:rsid w:val="68F63773"/>
    <w:rsid w:val="68F93BE6"/>
    <w:rsid w:val="68FA5E59"/>
    <w:rsid w:val="68FB18DD"/>
    <w:rsid w:val="69006D97"/>
    <w:rsid w:val="69010518"/>
    <w:rsid w:val="69026B93"/>
    <w:rsid w:val="690305C1"/>
    <w:rsid w:val="690507DD"/>
    <w:rsid w:val="690600B1"/>
    <w:rsid w:val="69084D97"/>
    <w:rsid w:val="690F781B"/>
    <w:rsid w:val="69146C72"/>
    <w:rsid w:val="691746E1"/>
    <w:rsid w:val="691B0000"/>
    <w:rsid w:val="69211740"/>
    <w:rsid w:val="6936674C"/>
    <w:rsid w:val="69421E14"/>
    <w:rsid w:val="69440073"/>
    <w:rsid w:val="695D23C7"/>
    <w:rsid w:val="69614DFF"/>
    <w:rsid w:val="69735746"/>
    <w:rsid w:val="69747710"/>
    <w:rsid w:val="697C50FB"/>
    <w:rsid w:val="697D4817"/>
    <w:rsid w:val="698138EA"/>
    <w:rsid w:val="6981433F"/>
    <w:rsid w:val="69823BDB"/>
    <w:rsid w:val="698F62F8"/>
    <w:rsid w:val="699304EB"/>
    <w:rsid w:val="699459C4"/>
    <w:rsid w:val="69974E78"/>
    <w:rsid w:val="69A51678"/>
    <w:rsid w:val="69AA3132"/>
    <w:rsid w:val="69AC2A06"/>
    <w:rsid w:val="69AC6EAA"/>
    <w:rsid w:val="69B600E5"/>
    <w:rsid w:val="69CA7330"/>
    <w:rsid w:val="69D75E91"/>
    <w:rsid w:val="69DD52B6"/>
    <w:rsid w:val="69E105C7"/>
    <w:rsid w:val="69EE301F"/>
    <w:rsid w:val="69F04FE9"/>
    <w:rsid w:val="69F34ED6"/>
    <w:rsid w:val="69F82C36"/>
    <w:rsid w:val="69F83E9D"/>
    <w:rsid w:val="69FD33AB"/>
    <w:rsid w:val="6A0B1E23"/>
    <w:rsid w:val="6A0C16F7"/>
    <w:rsid w:val="6A132A85"/>
    <w:rsid w:val="6A1D07AC"/>
    <w:rsid w:val="6A221DEB"/>
    <w:rsid w:val="6A273D6D"/>
    <w:rsid w:val="6A520F40"/>
    <w:rsid w:val="6A537326"/>
    <w:rsid w:val="6A6606CE"/>
    <w:rsid w:val="6A707ED8"/>
    <w:rsid w:val="6A760816"/>
    <w:rsid w:val="6A806406"/>
    <w:rsid w:val="6A843983"/>
    <w:rsid w:val="6A8E441C"/>
    <w:rsid w:val="6A907BF0"/>
    <w:rsid w:val="6A927CA8"/>
    <w:rsid w:val="6A995680"/>
    <w:rsid w:val="6AAC1383"/>
    <w:rsid w:val="6AAC6B9E"/>
    <w:rsid w:val="6AAD2EDA"/>
    <w:rsid w:val="6AAF69A7"/>
    <w:rsid w:val="6AB06526"/>
    <w:rsid w:val="6AB97AD1"/>
    <w:rsid w:val="6ABC136F"/>
    <w:rsid w:val="6ABF2FE7"/>
    <w:rsid w:val="6AC10733"/>
    <w:rsid w:val="6AC25231"/>
    <w:rsid w:val="6AC50223"/>
    <w:rsid w:val="6ACB15B2"/>
    <w:rsid w:val="6ACE3875"/>
    <w:rsid w:val="6AD06BC8"/>
    <w:rsid w:val="6AD246EE"/>
    <w:rsid w:val="6AD55F8D"/>
    <w:rsid w:val="6AD902FE"/>
    <w:rsid w:val="6ADA2CA1"/>
    <w:rsid w:val="6AEA3E69"/>
    <w:rsid w:val="6AF34616"/>
    <w:rsid w:val="6AF34882"/>
    <w:rsid w:val="6B054AC4"/>
    <w:rsid w:val="6B0A0803"/>
    <w:rsid w:val="6B0D754B"/>
    <w:rsid w:val="6B151B7B"/>
    <w:rsid w:val="6B19056F"/>
    <w:rsid w:val="6B217424"/>
    <w:rsid w:val="6B222D57"/>
    <w:rsid w:val="6B234F4A"/>
    <w:rsid w:val="6B2D5DC9"/>
    <w:rsid w:val="6B2D76DD"/>
    <w:rsid w:val="6B376C47"/>
    <w:rsid w:val="6B460C38"/>
    <w:rsid w:val="6B523D5A"/>
    <w:rsid w:val="6B574BF4"/>
    <w:rsid w:val="6B5B46E4"/>
    <w:rsid w:val="6B6D2669"/>
    <w:rsid w:val="6B7203BB"/>
    <w:rsid w:val="6B7632CC"/>
    <w:rsid w:val="6B83149A"/>
    <w:rsid w:val="6B865118"/>
    <w:rsid w:val="6B871777"/>
    <w:rsid w:val="6B8C2AEF"/>
    <w:rsid w:val="6B8F63AA"/>
    <w:rsid w:val="6B9607BE"/>
    <w:rsid w:val="6B9A6192"/>
    <w:rsid w:val="6B9B0F84"/>
    <w:rsid w:val="6BA33D7F"/>
    <w:rsid w:val="6BA77061"/>
    <w:rsid w:val="6BA77929"/>
    <w:rsid w:val="6BAF4A30"/>
    <w:rsid w:val="6BB36E88"/>
    <w:rsid w:val="6BBF210A"/>
    <w:rsid w:val="6BC02799"/>
    <w:rsid w:val="6BC0346B"/>
    <w:rsid w:val="6BC404DB"/>
    <w:rsid w:val="6BC64931"/>
    <w:rsid w:val="6BCB7818"/>
    <w:rsid w:val="6BCE3108"/>
    <w:rsid w:val="6BD91AAD"/>
    <w:rsid w:val="6BDD159D"/>
    <w:rsid w:val="6BEC4054"/>
    <w:rsid w:val="6BF32268"/>
    <w:rsid w:val="6BFC2786"/>
    <w:rsid w:val="6BFD579B"/>
    <w:rsid w:val="6C0D5A20"/>
    <w:rsid w:val="6C0E79A8"/>
    <w:rsid w:val="6C106849"/>
    <w:rsid w:val="6C117498"/>
    <w:rsid w:val="6C1D408F"/>
    <w:rsid w:val="6C1E03F6"/>
    <w:rsid w:val="6C2C2459"/>
    <w:rsid w:val="6C361283"/>
    <w:rsid w:val="6C3A079D"/>
    <w:rsid w:val="6C3D64DF"/>
    <w:rsid w:val="6C4B7810"/>
    <w:rsid w:val="6C4E4249"/>
    <w:rsid w:val="6C507FC1"/>
    <w:rsid w:val="6C691082"/>
    <w:rsid w:val="6C693A2C"/>
    <w:rsid w:val="6C6A1D7E"/>
    <w:rsid w:val="6C7041BF"/>
    <w:rsid w:val="6C7216FC"/>
    <w:rsid w:val="6C7E3795"/>
    <w:rsid w:val="6C84053E"/>
    <w:rsid w:val="6C887360"/>
    <w:rsid w:val="6C891725"/>
    <w:rsid w:val="6C8E11F8"/>
    <w:rsid w:val="6C8E6D3B"/>
    <w:rsid w:val="6C9746BD"/>
    <w:rsid w:val="6CA95923"/>
    <w:rsid w:val="6CAE2F39"/>
    <w:rsid w:val="6CAF118B"/>
    <w:rsid w:val="6CB33C5E"/>
    <w:rsid w:val="6CCE0EE6"/>
    <w:rsid w:val="6CD429A0"/>
    <w:rsid w:val="6CDA3D2E"/>
    <w:rsid w:val="6CDC1854"/>
    <w:rsid w:val="6CDD66D0"/>
    <w:rsid w:val="6CEA0CB0"/>
    <w:rsid w:val="6CED1BC3"/>
    <w:rsid w:val="6CF03552"/>
    <w:rsid w:val="6CF05300"/>
    <w:rsid w:val="6CF36A4E"/>
    <w:rsid w:val="6D0A4613"/>
    <w:rsid w:val="6D0E7D64"/>
    <w:rsid w:val="6D1159A2"/>
    <w:rsid w:val="6D17288C"/>
    <w:rsid w:val="6D241F19"/>
    <w:rsid w:val="6D295025"/>
    <w:rsid w:val="6D2952A3"/>
    <w:rsid w:val="6D396896"/>
    <w:rsid w:val="6D396CA7"/>
    <w:rsid w:val="6D401DE3"/>
    <w:rsid w:val="6D46263C"/>
    <w:rsid w:val="6D476454"/>
    <w:rsid w:val="6D490DE7"/>
    <w:rsid w:val="6D4B2536"/>
    <w:rsid w:val="6D505D9E"/>
    <w:rsid w:val="6D555DAC"/>
    <w:rsid w:val="6D5B6C1D"/>
    <w:rsid w:val="6D5E6C64"/>
    <w:rsid w:val="6D67149A"/>
    <w:rsid w:val="6D6A7E66"/>
    <w:rsid w:val="6D7101EF"/>
    <w:rsid w:val="6D761442"/>
    <w:rsid w:val="6D77332B"/>
    <w:rsid w:val="6D7962BE"/>
    <w:rsid w:val="6D7C4ED1"/>
    <w:rsid w:val="6D8C4E98"/>
    <w:rsid w:val="6D8C5028"/>
    <w:rsid w:val="6D99255B"/>
    <w:rsid w:val="6D9B170F"/>
    <w:rsid w:val="6DA716ED"/>
    <w:rsid w:val="6DB07064"/>
    <w:rsid w:val="6DB620A5"/>
    <w:rsid w:val="6DBB3B60"/>
    <w:rsid w:val="6DBE0F5A"/>
    <w:rsid w:val="6DC24EEE"/>
    <w:rsid w:val="6DC26C9C"/>
    <w:rsid w:val="6DC72298"/>
    <w:rsid w:val="6DD1441F"/>
    <w:rsid w:val="6DD72987"/>
    <w:rsid w:val="6DDB7D5E"/>
    <w:rsid w:val="6DDD256B"/>
    <w:rsid w:val="6DE34497"/>
    <w:rsid w:val="6DE704B1"/>
    <w:rsid w:val="6DE756F9"/>
    <w:rsid w:val="6DE97B69"/>
    <w:rsid w:val="6DEA4515"/>
    <w:rsid w:val="6DEC5AC7"/>
    <w:rsid w:val="6DF1132F"/>
    <w:rsid w:val="6DF17581"/>
    <w:rsid w:val="6DF30C26"/>
    <w:rsid w:val="6DFA4688"/>
    <w:rsid w:val="6E045599"/>
    <w:rsid w:val="6E0A23F1"/>
    <w:rsid w:val="6E0F4F1A"/>
    <w:rsid w:val="6E16692B"/>
    <w:rsid w:val="6E1C1EEA"/>
    <w:rsid w:val="6E1E369F"/>
    <w:rsid w:val="6E2434B3"/>
    <w:rsid w:val="6E2C680B"/>
    <w:rsid w:val="6E337B9A"/>
    <w:rsid w:val="6E356DE0"/>
    <w:rsid w:val="6E35746E"/>
    <w:rsid w:val="6E3776AA"/>
    <w:rsid w:val="6E39307B"/>
    <w:rsid w:val="6E3A33C0"/>
    <w:rsid w:val="6E3B25AB"/>
    <w:rsid w:val="6E4325C4"/>
    <w:rsid w:val="6E4A7CF8"/>
    <w:rsid w:val="6E4E0530"/>
    <w:rsid w:val="6E531FEA"/>
    <w:rsid w:val="6E565636"/>
    <w:rsid w:val="6E5F098F"/>
    <w:rsid w:val="6E600263"/>
    <w:rsid w:val="6E611FA0"/>
    <w:rsid w:val="6E697118"/>
    <w:rsid w:val="6E75503C"/>
    <w:rsid w:val="6E7767A1"/>
    <w:rsid w:val="6E7A7FD0"/>
    <w:rsid w:val="6E80101B"/>
    <w:rsid w:val="6E82642B"/>
    <w:rsid w:val="6E875598"/>
    <w:rsid w:val="6E892224"/>
    <w:rsid w:val="6E9709DF"/>
    <w:rsid w:val="6E9D3438"/>
    <w:rsid w:val="6E9F0D8B"/>
    <w:rsid w:val="6EA52037"/>
    <w:rsid w:val="6EA6036C"/>
    <w:rsid w:val="6EA75E92"/>
    <w:rsid w:val="6EAC7DA4"/>
    <w:rsid w:val="6EAE5472"/>
    <w:rsid w:val="6EB1286D"/>
    <w:rsid w:val="6EB256A9"/>
    <w:rsid w:val="6EB831D2"/>
    <w:rsid w:val="6ECC76A7"/>
    <w:rsid w:val="6ECD4377"/>
    <w:rsid w:val="6ED254D5"/>
    <w:rsid w:val="6EDA3413"/>
    <w:rsid w:val="6EEE586F"/>
    <w:rsid w:val="6EF70BC7"/>
    <w:rsid w:val="6EFC7F8C"/>
    <w:rsid w:val="6EFE0E98"/>
    <w:rsid w:val="6F0247A4"/>
    <w:rsid w:val="6F046FF9"/>
    <w:rsid w:val="6F06705D"/>
    <w:rsid w:val="6F094457"/>
    <w:rsid w:val="6F104249"/>
    <w:rsid w:val="6F17672B"/>
    <w:rsid w:val="6F197EA7"/>
    <w:rsid w:val="6F1F4CEB"/>
    <w:rsid w:val="6F221091"/>
    <w:rsid w:val="6F265009"/>
    <w:rsid w:val="6F273343"/>
    <w:rsid w:val="6F2C13F5"/>
    <w:rsid w:val="6F2C770E"/>
    <w:rsid w:val="6F3565C2"/>
    <w:rsid w:val="6F3C4AC2"/>
    <w:rsid w:val="6F4147F7"/>
    <w:rsid w:val="6F472915"/>
    <w:rsid w:val="6F5002D8"/>
    <w:rsid w:val="6F51652A"/>
    <w:rsid w:val="6F54601A"/>
    <w:rsid w:val="6F6A1399"/>
    <w:rsid w:val="6F6C08B9"/>
    <w:rsid w:val="6F711689"/>
    <w:rsid w:val="6F7272FC"/>
    <w:rsid w:val="6F743FC6"/>
    <w:rsid w:val="6F795A80"/>
    <w:rsid w:val="6F7A39FD"/>
    <w:rsid w:val="6F7E7C9B"/>
    <w:rsid w:val="6F823ECC"/>
    <w:rsid w:val="6F881820"/>
    <w:rsid w:val="6F9208F0"/>
    <w:rsid w:val="6F92269E"/>
    <w:rsid w:val="6F984159"/>
    <w:rsid w:val="6F9B6AE5"/>
    <w:rsid w:val="6F9E1043"/>
    <w:rsid w:val="6FA50623"/>
    <w:rsid w:val="6FAF4FFE"/>
    <w:rsid w:val="6FB22D40"/>
    <w:rsid w:val="6FB645DF"/>
    <w:rsid w:val="6FB91458"/>
    <w:rsid w:val="6FB940CF"/>
    <w:rsid w:val="6FC14D32"/>
    <w:rsid w:val="6FC50CC6"/>
    <w:rsid w:val="6FD74555"/>
    <w:rsid w:val="6FDB4045"/>
    <w:rsid w:val="6FE80510"/>
    <w:rsid w:val="6FE8491E"/>
    <w:rsid w:val="6FEB5E87"/>
    <w:rsid w:val="6FF2313D"/>
    <w:rsid w:val="6FFA1703"/>
    <w:rsid w:val="6FFD4D9E"/>
    <w:rsid w:val="70025D58"/>
    <w:rsid w:val="70053E82"/>
    <w:rsid w:val="70151F71"/>
    <w:rsid w:val="701B08E6"/>
    <w:rsid w:val="701D28B0"/>
    <w:rsid w:val="702B530B"/>
    <w:rsid w:val="70310109"/>
    <w:rsid w:val="7036788E"/>
    <w:rsid w:val="70383246"/>
    <w:rsid w:val="703D260A"/>
    <w:rsid w:val="704508E5"/>
    <w:rsid w:val="70480FAF"/>
    <w:rsid w:val="70512559"/>
    <w:rsid w:val="70673B2B"/>
    <w:rsid w:val="70730315"/>
    <w:rsid w:val="70820965"/>
    <w:rsid w:val="708446DD"/>
    <w:rsid w:val="70883B9D"/>
    <w:rsid w:val="70887E51"/>
    <w:rsid w:val="708B7819"/>
    <w:rsid w:val="709A551D"/>
    <w:rsid w:val="70AE175A"/>
    <w:rsid w:val="70AE3508"/>
    <w:rsid w:val="70B7060E"/>
    <w:rsid w:val="70BA3C5B"/>
    <w:rsid w:val="70BC3E77"/>
    <w:rsid w:val="70BD199D"/>
    <w:rsid w:val="70C64412"/>
    <w:rsid w:val="70C73471"/>
    <w:rsid w:val="70D61991"/>
    <w:rsid w:val="70DC41C6"/>
    <w:rsid w:val="70DC62C7"/>
    <w:rsid w:val="70E138DD"/>
    <w:rsid w:val="70E60EF4"/>
    <w:rsid w:val="70E92792"/>
    <w:rsid w:val="70E94540"/>
    <w:rsid w:val="70F024E8"/>
    <w:rsid w:val="70F05252"/>
    <w:rsid w:val="70FC1DE6"/>
    <w:rsid w:val="70FD7FEB"/>
    <w:rsid w:val="71000A51"/>
    <w:rsid w:val="71092ED4"/>
    <w:rsid w:val="710B095A"/>
    <w:rsid w:val="71110778"/>
    <w:rsid w:val="71143AA9"/>
    <w:rsid w:val="71196D38"/>
    <w:rsid w:val="713C78A1"/>
    <w:rsid w:val="714177A7"/>
    <w:rsid w:val="71453E6C"/>
    <w:rsid w:val="714A55F4"/>
    <w:rsid w:val="715A71EC"/>
    <w:rsid w:val="715F105E"/>
    <w:rsid w:val="71614A1E"/>
    <w:rsid w:val="716562BC"/>
    <w:rsid w:val="71722787"/>
    <w:rsid w:val="717952C7"/>
    <w:rsid w:val="717C53B4"/>
    <w:rsid w:val="71866233"/>
    <w:rsid w:val="718D7BCE"/>
    <w:rsid w:val="7194538F"/>
    <w:rsid w:val="719713F5"/>
    <w:rsid w:val="719B2E25"/>
    <w:rsid w:val="71A322AC"/>
    <w:rsid w:val="71A62431"/>
    <w:rsid w:val="71B43C30"/>
    <w:rsid w:val="71C34D91"/>
    <w:rsid w:val="71C50B09"/>
    <w:rsid w:val="71D451F0"/>
    <w:rsid w:val="71E963C9"/>
    <w:rsid w:val="71EF53EB"/>
    <w:rsid w:val="71F03973"/>
    <w:rsid w:val="71FA003D"/>
    <w:rsid w:val="71FA2E59"/>
    <w:rsid w:val="72127391"/>
    <w:rsid w:val="72163DEB"/>
    <w:rsid w:val="721719F8"/>
    <w:rsid w:val="721D0945"/>
    <w:rsid w:val="721E646B"/>
    <w:rsid w:val="722259B7"/>
    <w:rsid w:val="72330D72"/>
    <w:rsid w:val="72335600"/>
    <w:rsid w:val="7239784C"/>
    <w:rsid w:val="72402885"/>
    <w:rsid w:val="72403536"/>
    <w:rsid w:val="72412263"/>
    <w:rsid w:val="725618E7"/>
    <w:rsid w:val="72597CE5"/>
    <w:rsid w:val="725A3947"/>
    <w:rsid w:val="725B146D"/>
    <w:rsid w:val="725D51E5"/>
    <w:rsid w:val="725F46DB"/>
    <w:rsid w:val="726C7AEF"/>
    <w:rsid w:val="726D5A47"/>
    <w:rsid w:val="726E28BB"/>
    <w:rsid w:val="726F4F19"/>
    <w:rsid w:val="727B566C"/>
    <w:rsid w:val="727C1491"/>
    <w:rsid w:val="7289422C"/>
    <w:rsid w:val="72936E59"/>
    <w:rsid w:val="72B27DED"/>
    <w:rsid w:val="72B566B1"/>
    <w:rsid w:val="72B62B48"/>
    <w:rsid w:val="72B768CA"/>
    <w:rsid w:val="72BB3CBA"/>
    <w:rsid w:val="72BC0BF9"/>
    <w:rsid w:val="72C41013"/>
    <w:rsid w:val="72C76B03"/>
    <w:rsid w:val="72D14842"/>
    <w:rsid w:val="72D37256"/>
    <w:rsid w:val="72D60D73"/>
    <w:rsid w:val="72D82ABE"/>
    <w:rsid w:val="72ED5B8D"/>
    <w:rsid w:val="72F316A6"/>
    <w:rsid w:val="72FA6ED8"/>
    <w:rsid w:val="72FD42D3"/>
    <w:rsid w:val="730456BB"/>
    <w:rsid w:val="730D6C0C"/>
    <w:rsid w:val="73115E73"/>
    <w:rsid w:val="7315786E"/>
    <w:rsid w:val="73200009"/>
    <w:rsid w:val="73247AB1"/>
    <w:rsid w:val="732B0E40"/>
    <w:rsid w:val="733028FA"/>
    <w:rsid w:val="733F6699"/>
    <w:rsid w:val="734354C1"/>
    <w:rsid w:val="73470BCB"/>
    <w:rsid w:val="7349576A"/>
    <w:rsid w:val="734D22BF"/>
    <w:rsid w:val="735859AD"/>
    <w:rsid w:val="73597B32"/>
    <w:rsid w:val="735A34D3"/>
    <w:rsid w:val="735A511C"/>
    <w:rsid w:val="7363394A"/>
    <w:rsid w:val="736B1B84"/>
    <w:rsid w:val="736E1F2C"/>
    <w:rsid w:val="737027D3"/>
    <w:rsid w:val="73703C5B"/>
    <w:rsid w:val="737431A0"/>
    <w:rsid w:val="737A3B75"/>
    <w:rsid w:val="737B5663"/>
    <w:rsid w:val="73832A2A"/>
    <w:rsid w:val="73890598"/>
    <w:rsid w:val="73891B3E"/>
    <w:rsid w:val="738B0DA0"/>
    <w:rsid w:val="739764D5"/>
    <w:rsid w:val="73A3155A"/>
    <w:rsid w:val="73A56E44"/>
    <w:rsid w:val="73A6496A"/>
    <w:rsid w:val="73B230BD"/>
    <w:rsid w:val="73B9469D"/>
    <w:rsid w:val="73C041F3"/>
    <w:rsid w:val="73CB65DE"/>
    <w:rsid w:val="73CE2914"/>
    <w:rsid w:val="73CF5C6F"/>
    <w:rsid w:val="73CF5E6E"/>
    <w:rsid w:val="73EC2CE6"/>
    <w:rsid w:val="73F05BE5"/>
    <w:rsid w:val="74161AF0"/>
    <w:rsid w:val="7423420D"/>
    <w:rsid w:val="7425049B"/>
    <w:rsid w:val="7431692A"/>
    <w:rsid w:val="74425093"/>
    <w:rsid w:val="74484AA2"/>
    <w:rsid w:val="744C5512"/>
    <w:rsid w:val="745F24CF"/>
    <w:rsid w:val="74707384"/>
    <w:rsid w:val="74707A28"/>
    <w:rsid w:val="74714F78"/>
    <w:rsid w:val="747F401A"/>
    <w:rsid w:val="74904B57"/>
    <w:rsid w:val="7491561A"/>
    <w:rsid w:val="749E3893"/>
    <w:rsid w:val="74A013B9"/>
    <w:rsid w:val="74A810B4"/>
    <w:rsid w:val="74AB7F91"/>
    <w:rsid w:val="74AC4202"/>
    <w:rsid w:val="74BE5525"/>
    <w:rsid w:val="74C55558"/>
    <w:rsid w:val="74C9722F"/>
    <w:rsid w:val="74D86DA5"/>
    <w:rsid w:val="74DA2B1D"/>
    <w:rsid w:val="74DD260E"/>
    <w:rsid w:val="74E01FC7"/>
    <w:rsid w:val="74F51705"/>
    <w:rsid w:val="75001F88"/>
    <w:rsid w:val="750162FC"/>
    <w:rsid w:val="750513B9"/>
    <w:rsid w:val="75096F5F"/>
    <w:rsid w:val="750B23F3"/>
    <w:rsid w:val="750E27C7"/>
    <w:rsid w:val="75101554"/>
    <w:rsid w:val="75114065"/>
    <w:rsid w:val="75153B55"/>
    <w:rsid w:val="75194C2E"/>
    <w:rsid w:val="751D0282"/>
    <w:rsid w:val="75330480"/>
    <w:rsid w:val="753517C8"/>
    <w:rsid w:val="75443288"/>
    <w:rsid w:val="7544443B"/>
    <w:rsid w:val="75514610"/>
    <w:rsid w:val="755328D0"/>
    <w:rsid w:val="755A171E"/>
    <w:rsid w:val="75640639"/>
    <w:rsid w:val="756D573F"/>
    <w:rsid w:val="75720FA8"/>
    <w:rsid w:val="757545F4"/>
    <w:rsid w:val="757C7A9C"/>
    <w:rsid w:val="758461E8"/>
    <w:rsid w:val="758C30DA"/>
    <w:rsid w:val="759479A6"/>
    <w:rsid w:val="759727BC"/>
    <w:rsid w:val="75A30A62"/>
    <w:rsid w:val="75A4312B"/>
    <w:rsid w:val="75A84B9C"/>
    <w:rsid w:val="75AA6994"/>
    <w:rsid w:val="75AD3D8E"/>
    <w:rsid w:val="75B87F01"/>
    <w:rsid w:val="75BA4BA7"/>
    <w:rsid w:val="75BC277D"/>
    <w:rsid w:val="75BD46E7"/>
    <w:rsid w:val="75BF3AC1"/>
    <w:rsid w:val="75CB4B5C"/>
    <w:rsid w:val="75CB706E"/>
    <w:rsid w:val="75CD0C8A"/>
    <w:rsid w:val="75D037E8"/>
    <w:rsid w:val="75D532E5"/>
    <w:rsid w:val="75DC2DB7"/>
    <w:rsid w:val="75DE2752"/>
    <w:rsid w:val="75E023B5"/>
    <w:rsid w:val="75E31EA6"/>
    <w:rsid w:val="75E32B1D"/>
    <w:rsid w:val="75E83018"/>
    <w:rsid w:val="75EB2B08"/>
    <w:rsid w:val="75ED062E"/>
    <w:rsid w:val="75ED4AD2"/>
    <w:rsid w:val="75F031A2"/>
    <w:rsid w:val="75F220E9"/>
    <w:rsid w:val="75F35AFA"/>
    <w:rsid w:val="75F66D26"/>
    <w:rsid w:val="7612587E"/>
    <w:rsid w:val="7629332B"/>
    <w:rsid w:val="762F4B6E"/>
    <w:rsid w:val="76366080"/>
    <w:rsid w:val="763D5565"/>
    <w:rsid w:val="764721C1"/>
    <w:rsid w:val="76490BE8"/>
    <w:rsid w:val="764979B2"/>
    <w:rsid w:val="764A3CD3"/>
    <w:rsid w:val="764B1A5E"/>
    <w:rsid w:val="765035EC"/>
    <w:rsid w:val="765B5EE0"/>
    <w:rsid w:val="765F3B48"/>
    <w:rsid w:val="76633CEC"/>
    <w:rsid w:val="76635F23"/>
    <w:rsid w:val="766A6123"/>
    <w:rsid w:val="766C22C4"/>
    <w:rsid w:val="766E3BB5"/>
    <w:rsid w:val="767174B1"/>
    <w:rsid w:val="76935963"/>
    <w:rsid w:val="769B262C"/>
    <w:rsid w:val="769D02A6"/>
    <w:rsid w:val="769D3E02"/>
    <w:rsid w:val="76B11EAD"/>
    <w:rsid w:val="76B65034"/>
    <w:rsid w:val="76B92C06"/>
    <w:rsid w:val="76C3664E"/>
    <w:rsid w:val="76C45E58"/>
    <w:rsid w:val="76C84CCD"/>
    <w:rsid w:val="76C975D8"/>
    <w:rsid w:val="76CD220E"/>
    <w:rsid w:val="76CE0460"/>
    <w:rsid w:val="76D35A76"/>
    <w:rsid w:val="76D63928"/>
    <w:rsid w:val="76E44D42"/>
    <w:rsid w:val="76F01E2B"/>
    <w:rsid w:val="76F22868"/>
    <w:rsid w:val="76F61765"/>
    <w:rsid w:val="76F71810"/>
    <w:rsid w:val="76FA1255"/>
    <w:rsid w:val="76FB321F"/>
    <w:rsid w:val="770B16B4"/>
    <w:rsid w:val="770E29B0"/>
    <w:rsid w:val="77110B96"/>
    <w:rsid w:val="771437FA"/>
    <w:rsid w:val="77147E3D"/>
    <w:rsid w:val="771D3195"/>
    <w:rsid w:val="772334E2"/>
    <w:rsid w:val="77264C34"/>
    <w:rsid w:val="772919B5"/>
    <w:rsid w:val="772A69D9"/>
    <w:rsid w:val="772C3EBC"/>
    <w:rsid w:val="772C5186"/>
    <w:rsid w:val="772E7150"/>
    <w:rsid w:val="77324E93"/>
    <w:rsid w:val="77381836"/>
    <w:rsid w:val="773A5AF5"/>
    <w:rsid w:val="773B6955"/>
    <w:rsid w:val="773C186D"/>
    <w:rsid w:val="77407E24"/>
    <w:rsid w:val="774B32A4"/>
    <w:rsid w:val="775A7F45"/>
    <w:rsid w:val="775F730A"/>
    <w:rsid w:val="7763329E"/>
    <w:rsid w:val="77672932"/>
    <w:rsid w:val="776C1A27"/>
    <w:rsid w:val="777234E1"/>
    <w:rsid w:val="77774E17"/>
    <w:rsid w:val="7778661E"/>
    <w:rsid w:val="777D48CF"/>
    <w:rsid w:val="777D59E2"/>
    <w:rsid w:val="77822FF8"/>
    <w:rsid w:val="77845AF5"/>
    <w:rsid w:val="7785279A"/>
    <w:rsid w:val="778E7BEF"/>
    <w:rsid w:val="77972F48"/>
    <w:rsid w:val="779C3BC2"/>
    <w:rsid w:val="77B12F20"/>
    <w:rsid w:val="77BF2B51"/>
    <w:rsid w:val="77CA6CE6"/>
    <w:rsid w:val="77D505FD"/>
    <w:rsid w:val="77D777E8"/>
    <w:rsid w:val="77E56CCE"/>
    <w:rsid w:val="77E912C9"/>
    <w:rsid w:val="77EE04EA"/>
    <w:rsid w:val="77FC724F"/>
    <w:rsid w:val="77FE6B23"/>
    <w:rsid w:val="78000AED"/>
    <w:rsid w:val="78075CB1"/>
    <w:rsid w:val="78087C0A"/>
    <w:rsid w:val="78124286"/>
    <w:rsid w:val="781B5927"/>
    <w:rsid w:val="781F21F0"/>
    <w:rsid w:val="78270901"/>
    <w:rsid w:val="78276E11"/>
    <w:rsid w:val="782F4F2E"/>
    <w:rsid w:val="78306EF8"/>
    <w:rsid w:val="7842068E"/>
    <w:rsid w:val="784838CF"/>
    <w:rsid w:val="78485DD1"/>
    <w:rsid w:val="785823E7"/>
    <w:rsid w:val="786127B1"/>
    <w:rsid w:val="78713799"/>
    <w:rsid w:val="78811502"/>
    <w:rsid w:val="78812076"/>
    <w:rsid w:val="7892370F"/>
    <w:rsid w:val="789C676E"/>
    <w:rsid w:val="78A75963"/>
    <w:rsid w:val="78AF606F"/>
    <w:rsid w:val="78BB0D0B"/>
    <w:rsid w:val="78D05664"/>
    <w:rsid w:val="78D41CE1"/>
    <w:rsid w:val="78D45AD6"/>
    <w:rsid w:val="78E0447A"/>
    <w:rsid w:val="78E131DA"/>
    <w:rsid w:val="78E83CFA"/>
    <w:rsid w:val="78EA5A5D"/>
    <w:rsid w:val="78EF0B61"/>
    <w:rsid w:val="78F41CD4"/>
    <w:rsid w:val="78F9378E"/>
    <w:rsid w:val="78FC2C2F"/>
    <w:rsid w:val="79002D6F"/>
    <w:rsid w:val="79026409"/>
    <w:rsid w:val="79055F45"/>
    <w:rsid w:val="79112886"/>
    <w:rsid w:val="79202AC9"/>
    <w:rsid w:val="792425B9"/>
    <w:rsid w:val="79246A5D"/>
    <w:rsid w:val="79282343"/>
    <w:rsid w:val="79382508"/>
    <w:rsid w:val="79450781"/>
    <w:rsid w:val="79464C25"/>
    <w:rsid w:val="794838A7"/>
    <w:rsid w:val="794B0B5D"/>
    <w:rsid w:val="794B26E7"/>
    <w:rsid w:val="79507852"/>
    <w:rsid w:val="79567142"/>
    <w:rsid w:val="795B1D53"/>
    <w:rsid w:val="79703A50"/>
    <w:rsid w:val="79712931"/>
    <w:rsid w:val="797F3C93"/>
    <w:rsid w:val="798B6ADC"/>
    <w:rsid w:val="798E2128"/>
    <w:rsid w:val="798E3ED6"/>
    <w:rsid w:val="79981F9F"/>
    <w:rsid w:val="799B65F3"/>
    <w:rsid w:val="799F4335"/>
    <w:rsid w:val="79A656C4"/>
    <w:rsid w:val="79A74F98"/>
    <w:rsid w:val="79A86EA8"/>
    <w:rsid w:val="79AB5FAA"/>
    <w:rsid w:val="79AE4579"/>
    <w:rsid w:val="79B24069"/>
    <w:rsid w:val="79B55907"/>
    <w:rsid w:val="79BD2A0E"/>
    <w:rsid w:val="79D97847"/>
    <w:rsid w:val="79E81839"/>
    <w:rsid w:val="79F124F2"/>
    <w:rsid w:val="79F4667E"/>
    <w:rsid w:val="79F765B1"/>
    <w:rsid w:val="79F97B32"/>
    <w:rsid w:val="7A0805B0"/>
    <w:rsid w:val="7A1E525A"/>
    <w:rsid w:val="7A274AFF"/>
    <w:rsid w:val="7A2E1215"/>
    <w:rsid w:val="7A356A48"/>
    <w:rsid w:val="7A3727C0"/>
    <w:rsid w:val="7A3B2C48"/>
    <w:rsid w:val="7A3B3A4A"/>
    <w:rsid w:val="7A3F18B6"/>
    <w:rsid w:val="7A43762E"/>
    <w:rsid w:val="7A454EDD"/>
    <w:rsid w:val="7A522F3E"/>
    <w:rsid w:val="7A5C2227"/>
    <w:rsid w:val="7A611196"/>
    <w:rsid w:val="7A6730A5"/>
    <w:rsid w:val="7A697FEA"/>
    <w:rsid w:val="7A6A4943"/>
    <w:rsid w:val="7A6E15F9"/>
    <w:rsid w:val="7A7D43E3"/>
    <w:rsid w:val="7A835A05"/>
    <w:rsid w:val="7A8F50A7"/>
    <w:rsid w:val="7A8F6158"/>
    <w:rsid w:val="7A990D85"/>
    <w:rsid w:val="7A993074"/>
    <w:rsid w:val="7AA01F48"/>
    <w:rsid w:val="7AA144D1"/>
    <w:rsid w:val="7AA37705"/>
    <w:rsid w:val="7AB22BAA"/>
    <w:rsid w:val="7AB5361F"/>
    <w:rsid w:val="7ABD0F17"/>
    <w:rsid w:val="7ACD4A84"/>
    <w:rsid w:val="7AD85D51"/>
    <w:rsid w:val="7AE16415"/>
    <w:rsid w:val="7AE432DC"/>
    <w:rsid w:val="7AE61EA7"/>
    <w:rsid w:val="7AE67A67"/>
    <w:rsid w:val="7AEB37F7"/>
    <w:rsid w:val="7AF366E7"/>
    <w:rsid w:val="7AF4420D"/>
    <w:rsid w:val="7AF67F85"/>
    <w:rsid w:val="7AFC04F8"/>
    <w:rsid w:val="7AFD3B1B"/>
    <w:rsid w:val="7B09415C"/>
    <w:rsid w:val="7B0A05EE"/>
    <w:rsid w:val="7B15384A"/>
    <w:rsid w:val="7B1571DE"/>
    <w:rsid w:val="7B173BCD"/>
    <w:rsid w:val="7B22521E"/>
    <w:rsid w:val="7B25086A"/>
    <w:rsid w:val="7B276391"/>
    <w:rsid w:val="7B292109"/>
    <w:rsid w:val="7B2C1BF9"/>
    <w:rsid w:val="7B3D06D4"/>
    <w:rsid w:val="7B3F7B7E"/>
    <w:rsid w:val="7B454A69"/>
    <w:rsid w:val="7B4E1B6F"/>
    <w:rsid w:val="7B5353D8"/>
    <w:rsid w:val="7B5712A7"/>
    <w:rsid w:val="7B590514"/>
    <w:rsid w:val="7B5F5B2A"/>
    <w:rsid w:val="7B666C27"/>
    <w:rsid w:val="7B670E59"/>
    <w:rsid w:val="7B690757"/>
    <w:rsid w:val="7B6A2721"/>
    <w:rsid w:val="7B7009C4"/>
    <w:rsid w:val="7B7742B6"/>
    <w:rsid w:val="7B783090"/>
    <w:rsid w:val="7B790813"/>
    <w:rsid w:val="7B827881"/>
    <w:rsid w:val="7B907FDF"/>
    <w:rsid w:val="7B9176A4"/>
    <w:rsid w:val="7B9854E0"/>
    <w:rsid w:val="7B9F23CB"/>
    <w:rsid w:val="7BAE39E0"/>
    <w:rsid w:val="7BB45D05"/>
    <w:rsid w:val="7BB7446A"/>
    <w:rsid w:val="7BC10593"/>
    <w:rsid w:val="7BC96E99"/>
    <w:rsid w:val="7BD5403F"/>
    <w:rsid w:val="7BDF310F"/>
    <w:rsid w:val="7BE20509"/>
    <w:rsid w:val="7BE71528"/>
    <w:rsid w:val="7BEE7F9A"/>
    <w:rsid w:val="7BF231F5"/>
    <w:rsid w:val="7BF24489"/>
    <w:rsid w:val="7BFF2E69"/>
    <w:rsid w:val="7C0C5586"/>
    <w:rsid w:val="7C10151B"/>
    <w:rsid w:val="7C1A5EF5"/>
    <w:rsid w:val="7C3945CD"/>
    <w:rsid w:val="7C394D35"/>
    <w:rsid w:val="7C407D3A"/>
    <w:rsid w:val="7C41282C"/>
    <w:rsid w:val="7C443999"/>
    <w:rsid w:val="7C477EA4"/>
    <w:rsid w:val="7C4D5033"/>
    <w:rsid w:val="7C4E444D"/>
    <w:rsid w:val="7C505F25"/>
    <w:rsid w:val="7C536DC0"/>
    <w:rsid w:val="7C564767"/>
    <w:rsid w:val="7C5A082F"/>
    <w:rsid w:val="7C5F1B5A"/>
    <w:rsid w:val="7C615707"/>
    <w:rsid w:val="7C651C34"/>
    <w:rsid w:val="7C652646"/>
    <w:rsid w:val="7C660A57"/>
    <w:rsid w:val="7C6D5616"/>
    <w:rsid w:val="7C896BD7"/>
    <w:rsid w:val="7C8B5068"/>
    <w:rsid w:val="7C8D489B"/>
    <w:rsid w:val="7C9021AF"/>
    <w:rsid w:val="7CA67789"/>
    <w:rsid w:val="7CA75A76"/>
    <w:rsid w:val="7CAB2205"/>
    <w:rsid w:val="7CAB4D9F"/>
    <w:rsid w:val="7CAC4E5A"/>
    <w:rsid w:val="7CC04CEF"/>
    <w:rsid w:val="7CC4169E"/>
    <w:rsid w:val="7CC55E61"/>
    <w:rsid w:val="7CC83BA3"/>
    <w:rsid w:val="7CD71D0F"/>
    <w:rsid w:val="7CDE1C69"/>
    <w:rsid w:val="7CE84977"/>
    <w:rsid w:val="7CE87DA1"/>
    <w:rsid w:val="7CEA58C8"/>
    <w:rsid w:val="7CEC7892"/>
    <w:rsid w:val="7CEF121E"/>
    <w:rsid w:val="7CEF6ED5"/>
    <w:rsid w:val="7CF259EC"/>
    <w:rsid w:val="7CF6426C"/>
    <w:rsid w:val="7CF85B69"/>
    <w:rsid w:val="7D012C11"/>
    <w:rsid w:val="7D031673"/>
    <w:rsid w:val="7D23702C"/>
    <w:rsid w:val="7D305FDE"/>
    <w:rsid w:val="7D3272C1"/>
    <w:rsid w:val="7D355DDF"/>
    <w:rsid w:val="7D3F20B7"/>
    <w:rsid w:val="7D46356F"/>
    <w:rsid w:val="7D4C0330"/>
    <w:rsid w:val="7D641E37"/>
    <w:rsid w:val="7D7E5AF1"/>
    <w:rsid w:val="7D8442D2"/>
    <w:rsid w:val="7D871368"/>
    <w:rsid w:val="7D95465E"/>
    <w:rsid w:val="7D9A6D7A"/>
    <w:rsid w:val="7DA5350B"/>
    <w:rsid w:val="7DD345AE"/>
    <w:rsid w:val="7DD81BC4"/>
    <w:rsid w:val="7DD87AB4"/>
    <w:rsid w:val="7DE40569"/>
    <w:rsid w:val="7DF82266"/>
    <w:rsid w:val="7E090FD2"/>
    <w:rsid w:val="7E0E3838"/>
    <w:rsid w:val="7E110BB2"/>
    <w:rsid w:val="7E192C83"/>
    <w:rsid w:val="7E1D1CCD"/>
    <w:rsid w:val="7E1D2997"/>
    <w:rsid w:val="7E285CCD"/>
    <w:rsid w:val="7E2A13A3"/>
    <w:rsid w:val="7E4234E1"/>
    <w:rsid w:val="7E437985"/>
    <w:rsid w:val="7E484343"/>
    <w:rsid w:val="7E494870"/>
    <w:rsid w:val="7E5E47BF"/>
    <w:rsid w:val="7E5E656D"/>
    <w:rsid w:val="7E60583E"/>
    <w:rsid w:val="7E755665"/>
    <w:rsid w:val="7E773953"/>
    <w:rsid w:val="7E865AC4"/>
    <w:rsid w:val="7E896AD1"/>
    <w:rsid w:val="7E8D5BC4"/>
    <w:rsid w:val="7EA877E8"/>
    <w:rsid w:val="7EA87821"/>
    <w:rsid w:val="7EB260E3"/>
    <w:rsid w:val="7EB4068F"/>
    <w:rsid w:val="7EC143E4"/>
    <w:rsid w:val="7ED405DD"/>
    <w:rsid w:val="7ED700CE"/>
    <w:rsid w:val="7EDC56E4"/>
    <w:rsid w:val="7EEA7964"/>
    <w:rsid w:val="7EF25CF4"/>
    <w:rsid w:val="7F0A3FFF"/>
    <w:rsid w:val="7F11490F"/>
    <w:rsid w:val="7F19125E"/>
    <w:rsid w:val="7F206EB7"/>
    <w:rsid w:val="7F2350C1"/>
    <w:rsid w:val="7F2476BA"/>
    <w:rsid w:val="7F283670"/>
    <w:rsid w:val="7F2A28F3"/>
    <w:rsid w:val="7F2B5928"/>
    <w:rsid w:val="7F4263D6"/>
    <w:rsid w:val="7F5160D2"/>
    <w:rsid w:val="7F58120E"/>
    <w:rsid w:val="7F592821"/>
    <w:rsid w:val="7F5D2459"/>
    <w:rsid w:val="7F6531DB"/>
    <w:rsid w:val="7F753532"/>
    <w:rsid w:val="7F7F0611"/>
    <w:rsid w:val="7F81059C"/>
    <w:rsid w:val="7F8813C8"/>
    <w:rsid w:val="7F963AE5"/>
    <w:rsid w:val="7FA100BA"/>
    <w:rsid w:val="7FB5023B"/>
    <w:rsid w:val="7FB623D9"/>
    <w:rsid w:val="7FBA3EA2"/>
    <w:rsid w:val="7FCB4751"/>
    <w:rsid w:val="7FCB7C32"/>
    <w:rsid w:val="7FCC5758"/>
    <w:rsid w:val="7FCD59AE"/>
    <w:rsid w:val="7FD04F0D"/>
    <w:rsid w:val="7FD4460D"/>
    <w:rsid w:val="7FD94E6C"/>
    <w:rsid w:val="7FDC1686"/>
    <w:rsid w:val="7FEA3E31"/>
    <w:rsid w:val="7FF31F08"/>
    <w:rsid w:val="7FF32CE5"/>
    <w:rsid w:val="7FF627D5"/>
    <w:rsid w:val="7FF92801"/>
    <w:rsid w:val="7FFB7DEC"/>
    <w:rsid w:val="7FFC01F5"/>
    <w:rsid w:val="DBD7494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99"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200" w:firstLineChars="200"/>
      <w:jc w:val="both"/>
    </w:pPr>
    <w:rPr>
      <w:rFonts w:ascii="宋体" w:hAnsi="宋体" w:eastAsia="宋体" w:cs="Times New Roman"/>
      <w:kern w:val="2"/>
      <w:sz w:val="24"/>
      <w:szCs w:val="24"/>
      <w:lang w:val="en-US" w:eastAsia="zh-CN" w:bidi="ar-SA"/>
    </w:rPr>
  </w:style>
  <w:style w:type="paragraph" w:styleId="3">
    <w:name w:val="heading 1"/>
    <w:basedOn w:val="1"/>
    <w:next w:val="1"/>
    <w:link w:val="58"/>
    <w:autoRedefine/>
    <w:qFormat/>
    <w:uiPriority w:val="0"/>
    <w:pPr>
      <w:keepNext/>
      <w:keepLines/>
      <w:ind w:firstLine="0" w:firstLineChars="0"/>
      <w:jc w:val="center"/>
      <w:outlineLvl w:val="0"/>
    </w:pPr>
    <w:rPr>
      <w:rFonts w:ascii="宋体" w:hAnsi="宋体" w:eastAsia="宋体" w:cs="Times New Roman"/>
      <w:b/>
      <w:bCs/>
      <w:kern w:val="44"/>
      <w:sz w:val="32"/>
      <w:szCs w:val="52"/>
    </w:rPr>
  </w:style>
  <w:style w:type="paragraph" w:styleId="4">
    <w:name w:val="heading 2"/>
    <w:basedOn w:val="1"/>
    <w:next w:val="1"/>
    <w:link w:val="59"/>
    <w:autoRedefine/>
    <w:qFormat/>
    <w:uiPriority w:val="0"/>
    <w:pPr>
      <w:keepNext/>
      <w:keepLines/>
      <w:ind w:firstLine="0" w:firstLineChars="0"/>
      <w:jc w:val="left"/>
      <w:outlineLvl w:val="1"/>
    </w:pPr>
    <w:rPr>
      <w:rFonts w:ascii="Cambria" w:hAnsi="Cambria" w:eastAsia="宋体" w:cs="Times New Roman"/>
      <w:b/>
      <w:bCs/>
      <w:sz w:val="28"/>
      <w:szCs w:val="32"/>
    </w:rPr>
  </w:style>
  <w:style w:type="paragraph" w:styleId="5">
    <w:name w:val="heading 3"/>
    <w:basedOn w:val="1"/>
    <w:next w:val="1"/>
    <w:link w:val="60"/>
    <w:autoRedefine/>
    <w:qFormat/>
    <w:uiPriority w:val="0"/>
    <w:pPr>
      <w:keepNext/>
      <w:keepLines/>
      <w:ind w:firstLine="0" w:firstLineChars="0"/>
      <w:outlineLvl w:val="2"/>
    </w:pPr>
    <w:rPr>
      <w:rFonts w:ascii="宋体" w:hAnsi="宋体" w:eastAsia="宋体" w:cs="Times New Roman"/>
      <w:b/>
      <w:bCs/>
      <w:szCs w:val="32"/>
    </w:rPr>
  </w:style>
  <w:style w:type="paragraph" w:styleId="6">
    <w:name w:val="heading 4"/>
    <w:basedOn w:val="1"/>
    <w:next w:val="1"/>
    <w:link w:val="61"/>
    <w:autoRedefine/>
    <w:qFormat/>
    <w:uiPriority w:val="0"/>
    <w:pPr>
      <w:keepNext/>
      <w:keepLines/>
      <w:outlineLvl w:val="3"/>
    </w:pPr>
    <w:rPr>
      <w:rFonts w:ascii="宋体" w:hAnsi="宋体" w:eastAsia="宋体" w:cs="Times New Roman"/>
      <w:b/>
      <w:bCs/>
      <w:sz w:val="24"/>
      <w:szCs w:val="28"/>
    </w:rPr>
  </w:style>
  <w:style w:type="character" w:default="1" w:styleId="47">
    <w:name w:val="Default Paragraph Font"/>
    <w:autoRedefine/>
    <w:qFormat/>
    <w:uiPriority w:val="0"/>
    <w:rPr>
      <w:rFonts w:ascii="Times New Roman" w:hAnsi="Times New Roman" w:eastAsia="宋体" w:cs="Times New Roman"/>
    </w:rPr>
  </w:style>
  <w:style w:type="table" w:default="1" w:styleId="45">
    <w:name w:val="Normal Table"/>
    <w:autoRedefine/>
    <w:qFormat/>
    <w:uiPriority w:val="0"/>
    <w:rPr>
      <w:rFonts w:ascii="Times New Roman" w:hAnsi="Times New Roman" w:eastAsia="宋体" w:cs="Times New Roman"/>
    </w:rPr>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7">
    <w:name w:val="toc 7"/>
    <w:basedOn w:val="1"/>
    <w:next w:val="1"/>
    <w:autoRedefine/>
    <w:qFormat/>
    <w:uiPriority w:val="0"/>
    <w:pPr>
      <w:spacing w:line="240" w:lineRule="auto"/>
      <w:ind w:left="1260" w:firstLine="0" w:firstLineChars="0"/>
      <w:jc w:val="left"/>
    </w:pPr>
    <w:rPr>
      <w:rFonts w:ascii="Times New Roman" w:hAnsi="Times New Roman" w:eastAsia="宋体" w:cs="Times New Roman"/>
      <w:szCs w:val="21"/>
    </w:rPr>
  </w:style>
  <w:style w:type="paragraph" w:styleId="8">
    <w:name w:val="Normal Indent"/>
    <w:basedOn w:val="1"/>
    <w:next w:val="1"/>
    <w:link w:val="62"/>
    <w:autoRedefine/>
    <w:qFormat/>
    <w:uiPriority w:val="0"/>
    <w:pPr>
      <w:spacing w:line="240" w:lineRule="auto"/>
      <w:ind w:firstLine="420" w:firstLineChars="0"/>
    </w:pPr>
    <w:rPr>
      <w:rFonts w:ascii="Times New Roman" w:hAnsi="Times New Roman" w:eastAsia="宋体" w:cs="Times New Roman"/>
      <w:sz w:val="21"/>
    </w:rPr>
  </w:style>
  <w:style w:type="paragraph" w:styleId="9">
    <w:name w:val="Document Map"/>
    <w:basedOn w:val="1"/>
    <w:link w:val="63"/>
    <w:autoRedefine/>
    <w:qFormat/>
    <w:uiPriority w:val="0"/>
    <w:rPr>
      <w:rFonts w:ascii="宋体" w:hAnsi="Times New Roman" w:eastAsia="宋体" w:cs="Times New Roman"/>
      <w:kern w:val="0"/>
      <w:sz w:val="18"/>
      <w:szCs w:val="18"/>
    </w:rPr>
  </w:style>
  <w:style w:type="paragraph" w:styleId="10">
    <w:name w:val="toa heading"/>
    <w:basedOn w:val="1"/>
    <w:next w:val="1"/>
    <w:autoRedefine/>
    <w:qFormat/>
    <w:uiPriority w:val="0"/>
    <w:pPr>
      <w:widowControl/>
      <w:spacing w:before="120"/>
      <w:jc w:val="left"/>
    </w:pPr>
    <w:rPr>
      <w:rFonts w:ascii="Arial" w:hAnsi="Arial"/>
      <w:sz w:val="24"/>
      <w:szCs w:val="20"/>
    </w:rPr>
  </w:style>
  <w:style w:type="paragraph" w:styleId="11">
    <w:name w:val="annotation text"/>
    <w:basedOn w:val="1"/>
    <w:link w:val="64"/>
    <w:autoRedefine/>
    <w:qFormat/>
    <w:uiPriority w:val="0"/>
    <w:pPr>
      <w:spacing w:line="240" w:lineRule="auto"/>
      <w:ind w:firstLine="0" w:firstLineChars="0"/>
      <w:jc w:val="left"/>
    </w:pPr>
    <w:rPr>
      <w:rFonts w:ascii="Times New Roman" w:hAnsi="Times New Roman" w:eastAsia="宋体" w:cs="Times New Roman"/>
      <w:sz w:val="21"/>
    </w:rPr>
  </w:style>
  <w:style w:type="paragraph" w:styleId="12">
    <w:name w:val="Body Text 3"/>
    <w:basedOn w:val="1"/>
    <w:link w:val="65"/>
    <w:autoRedefine/>
    <w:qFormat/>
    <w:uiPriority w:val="0"/>
    <w:pPr>
      <w:spacing w:line="440" w:lineRule="atLeast"/>
      <w:ind w:firstLine="0" w:firstLineChars="0"/>
      <w:jc w:val="center"/>
    </w:pPr>
    <w:rPr>
      <w:rFonts w:ascii="楷体_GB2312" w:hAnsi="Times New Roman" w:eastAsia="楷体_GB2312" w:cs="Times New Roman"/>
      <w:b/>
      <w:color w:val="000000"/>
      <w:sz w:val="30"/>
    </w:rPr>
  </w:style>
  <w:style w:type="paragraph" w:styleId="13">
    <w:name w:val="List Bullet 3"/>
    <w:basedOn w:val="1"/>
    <w:autoRedefine/>
    <w:qFormat/>
    <w:uiPriority w:val="0"/>
    <w:pPr>
      <w:numPr>
        <w:ilvl w:val="0"/>
        <w:numId w:val="1"/>
      </w:numPr>
      <w:tabs>
        <w:tab w:val="left" w:pos="720"/>
      </w:tabs>
      <w:spacing w:line="240" w:lineRule="auto"/>
      <w:ind w:firstLine="0" w:firstLineChars="0"/>
    </w:pPr>
    <w:rPr>
      <w:rFonts w:ascii="Times New Roman" w:hAnsi="Times New Roman" w:eastAsia="宋体" w:cs="Times New Roman"/>
    </w:rPr>
  </w:style>
  <w:style w:type="paragraph" w:styleId="14">
    <w:name w:val="Body Text"/>
    <w:basedOn w:val="1"/>
    <w:link w:val="57"/>
    <w:autoRedefine/>
    <w:qFormat/>
    <w:uiPriority w:val="0"/>
    <w:pPr>
      <w:adjustRightInd w:val="0"/>
      <w:spacing w:line="315" w:lineRule="atLeast"/>
      <w:ind w:firstLine="0" w:firstLineChars="0"/>
      <w:jc w:val="left"/>
    </w:pPr>
    <w:rPr>
      <w:rFonts w:ascii="仿宋_GB2312" w:hAnsi="Times New Roman" w:eastAsia="仿宋_GB2312" w:cs="Times New Roman"/>
      <w:kern w:val="0"/>
      <w:sz w:val="28"/>
      <w:szCs w:val="20"/>
    </w:rPr>
  </w:style>
  <w:style w:type="paragraph" w:styleId="15">
    <w:name w:val="Body Text Indent"/>
    <w:basedOn w:val="1"/>
    <w:next w:val="8"/>
    <w:link w:val="66"/>
    <w:autoRedefine/>
    <w:qFormat/>
    <w:uiPriority w:val="0"/>
    <w:pPr>
      <w:widowControl/>
      <w:autoSpaceDE w:val="0"/>
      <w:autoSpaceDN w:val="0"/>
      <w:snapToGrid w:val="0"/>
      <w:spacing w:before="120" w:line="400" w:lineRule="atLeast"/>
      <w:ind w:firstLine="570" w:firstLineChars="0"/>
    </w:pPr>
    <w:rPr>
      <w:rFonts w:ascii="宋体" w:hAnsi="Times New Roman" w:eastAsia="宋体" w:cs="Times New Roman"/>
      <w:kern w:val="0"/>
      <w:szCs w:val="20"/>
    </w:rPr>
  </w:style>
  <w:style w:type="paragraph" w:styleId="16">
    <w:name w:val="List 2"/>
    <w:basedOn w:val="1"/>
    <w:autoRedefine/>
    <w:qFormat/>
    <w:uiPriority w:val="0"/>
    <w:pPr>
      <w:spacing w:line="240" w:lineRule="auto"/>
      <w:ind w:left="100" w:leftChars="200" w:hanging="200" w:hangingChars="200"/>
    </w:pPr>
    <w:rPr>
      <w:rFonts w:ascii="Times New Roman" w:hAnsi="Times New Roman" w:eastAsia="宋体" w:cs="Times New Roman"/>
    </w:rPr>
  </w:style>
  <w:style w:type="paragraph" w:styleId="17">
    <w:name w:val="List Bullet 2"/>
    <w:basedOn w:val="1"/>
    <w:next w:val="13"/>
    <w:autoRedefine/>
    <w:qFormat/>
    <w:uiPriority w:val="0"/>
    <w:pPr>
      <w:numPr>
        <w:ilvl w:val="0"/>
        <w:numId w:val="2"/>
      </w:numPr>
      <w:tabs>
        <w:tab w:val="left" w:pos="780"/>
      </w:tabs>
      <w:spacing w:after="100" w:afterAutospacing="1" w:line="240" w:lineRule="auto"/>
      <w:ind w:firstLine="0" w:firstLineChars="0"/>
    </w:pPr>
    <w:rPr>
      <w:rFonts w:ascii="Times New Roman" w:hAnsi="Times New Roman" w:eastAsia="仿宋_GB2312" w:cs="Times New Roman"/>
    </w:rPr>
  </w:style>
  <w:style w:type="paragraph" w:styleId="18">
    <w:name w:val="toc 5"/>
    <w:basedOn w:val="1"/>
    <w:next w:val="1"/>
    <w:autoRedefine/>
    <w:qFormat/>
    <w:uiPriority w:val="0"/>
    <w:pPr>
      <w:spacing w:line="240" w:lineRule="auto"/>
      <w:ind w:left="840" w:firstLine="0" w:firstLineChars="0"/>
      <w:jc w:val="left"/>
    </w:pPr>
    <w:rPr>
      <w:rFonts w:ascii="Times New Roman" w:hAnsi="Times New Roman" w:eastAsia="宋体" w:cs="Times New Roman"/>
      <w:szCs w:val="21"/>
    </w:rPr>
  </w:style>
  <w:style w:type="paragraph" w:styleId="19">
    <w:name w:val="toc 3"/>
    <w:basedOn w:val="1"/>
    <w:next w:val="1"/>
    <w:autoRedefine/>
    <w:qFormat/>
    <w:uiPriority w:val="0"/>
    <w:pPr>
      <w:spacing w:line="240" w:lineRule="auto"/>
      <w:ind w:left="420" w:firstLine="0" w:firstLineChars="0"/>
      <w:jc w:val="left"/>
    </w:pPr>
    <w:rPr>
      <w:rFonts w:ascii="Times New Roman" w:hAnsi="Times New Roman" w:eastAsia="宋体" w:cs="Times New Roman"/>
      <w:i/>
      <w:iCs/>
    </w:rPr>
  </w:style>
  <w:style w:type="paragraph" w:styleId="20">
    <w:name w:val="Plain Text"/>
    <w:basedOn w:val="1"/>
    <w:link w:val="67"/>
    <w:autoRedefine/>
    <w:qFormat/>
    <w:uiPriority w:val="0"/>
    <w:pPr>
      <w:spacing w:line="240" w:lineRule="auto"/>
      <w:ind w:firstLine="0" w:firstLineChars="0"/>
    </w:pPr>
    <w:rPr>
      <w:rFonts w:ascii="宋体" w:hAnsi="Courier New" w:eastAsia="宋体" w:cs="Times New Roman"/>
      <w:sz w:val="21"/>
      <w:szCs w:val="20"/>
    </w:rPr>
  </w:style>
  <w:style w:type="paragraph" w:styleId="21">
    <w:name w:val="toc 8"/>
    <w:basedOn w:val="1"/>
    <w:next w:val="1"/>
    <w:autoRedefine/>
    <w:qFormat/>
    <w:uiPriority w:val="0"/>
    <w:pPr>
      <w:spacing w:line="240" w:lineRule="auto"/>
      <w:ind w:left="1470" w:firstLine="0" w:firstLineChars="0"/>
      <w:jc w:val="left"/>
    </w:pPr>
    <w:rPr>
      <w:rFonts w:ascii="Times New Roman" w:hAnsi="Times New Roman" w:eastAsia="宋体" w:cs="Times New Roman"/>
      <w:szCs w:val="21"/>
    </w:rPr>
  </w:style>
  <w:style w:type="paragraph" w:styleId="22">
    <w:name w:val="Date"/>
    <w:basedOn w:val="1"/>
    <w:next w:val="1"/>
    <w:link w:val="68"/>
    <w:autoRedefine/>
    <w:qFormat/>
    <w:uiPriority w:val="0"/>
    <w:pPr>
      <w:spacing w:line="240" w:lineRule="auto"/>
      <w:ind w:left="100" w:leftChars="2500" w:firstLine="0" w:firstLineChars="0"/>
    </w:pPr>
    <w:rPr>
      <w:rFonts w:ascii="Times New Roman" w:hAnsi="Times New Roman" w:eastAsia="宋体" w:cs="Times New Roman"/>
      <w:color w:val="000000"/>
    </w:rPr>
  </w:style>
  <w:style w:type="paragraph" w:styleId="23">
    <w:name w:val="Body Text Indent 2"/>
    <w:basedOn w:val="1"/>
    <w:next w:val="24"/>
    <w:link w:val="69"/>
    <w:autoRedefine/>
    <w:qFormat/>
    <w:uiPriority w:val="0"/>
    <w:pPr>
      <w:widowControl/>
      <w:spacing w:line="480" w:lineRule="atLeast"/>
      <w:ind w:firstLine="480" w:firstLineChars="0"/>
    </w:pPr>
    <w:rPr>
      <w:rFonts w:ascii="宋体" w:hAnsi="Times New Roman" w:eastAsia="宋体" w:cs="Times New Roman"/>
      <w:kern w:val="0"/>
      <w:szCs w:val="20"/>
    </w:rPr>
  </w:style>
  <w:style w:type="paragraph" w:customStyle="1" w:styleId="24">
    <w:name w:val="z正文"/>
    <w:basedOn w:val="20"/>
    <w:autoRedefine/>
    <w:qFormat/>
    <w:uiPriority w:val="99"/>
    <w:pPr>
      <w:tabs>
        <w:tab w:val="left" w:pos="525"/>
      </w:tabs>
      <w:snapToGrid w:val="0"/>
      <w:spacing w:line="360" w:lineRule="auto"/>
    </w:pPr>
    <w:rPr>
      <w:rFonts w:hAnsi="宋体" w:eastAsia="宋体"/>
      <w:sz w:val="24"/>
      <w:szCs w:val="20"/>
    </w:rPr>
  </w:style>
  <w:style w:type="paragraph" w:styleId="25">
    <w:name w:val="Balloon Text"/>
    <w:basedOn w:val="1"/>
    <w:link w:val="70"/>
    <w:autoRedefine/>
    <w:qFormat/>
    <w:uiPriority w:val="0"/>
    <w:rPr>
      <w:rFonts w:ascii="Times New Roman" w:hAnsi="Times New Roman" w:eastAsia="宋体" w:cs="Times New Roman"/>
      <w:kern w:val="0"/>
      <w:sz w:val="18"/>
      <w:szCs w:val="18"/>
    </w:rPr>
  </w:style>
  <w:style w:type="paragraph" w:styleId="26">
    <w:name w:val="footer"/>
    <w:basedOn w:val="1"/>
    <w:link w:val="71"/>
    <w:autoRedefine/>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27">
    <w:name w:val="envelope return"/>
    <w:basedOn w:val="1"/>
    <w:autoRedefine/>
    <w:qFormat/>
    <w:uiPriority w:val="99"/>
    <w:pPr>
      <w:snapToGrid w:val="0"/>
    </w:pPr>
    <w:rPr>
      <w:rFonts w:ascii="Arial" w:hAnsi="Arial"/>
    </w:rPr>
  </w:style>
  <w:style w:type="paragraph" w:styleId="28">
    <w:name w:val="header"/>
    <w:basedOn w:val="1"/>
    <w:link w:val="72"/>
    <w:autoRedefine/>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29">
    <w:name w:val="toc 1"/>
    <w:basedOn w:val="1"/>
    <w:next w:val="1"/>
    <w:autoRedefine/>
    <w:qFormat/>
    <w:uiPriority w:val="0"/>
    <w:pPr>
      <w:tabs>
        <w:tab w:val="right" w:leader="dot" w:pos="8296"/>
      </w:tabs>
      <w:ind w:firstLine="0" w:firstLineChars="0"/>
    </w:pPr>
    <w:rPr>
      <w:rFonts w:ascii="Times New Roman" w:hAnsi="Times New Roman" w:eastAsia="宋体" w:cs="Times New Roman"/>
    </w:rPr>
  </w:style>
  <w:style w:type="paragraph" w:styleId="30">
    <w:name w:val="toc 4"/>
    <w:basedOn w:val="1"/>
    <w:next w:val="1"/>
    <w:autoRedefine/>
    <w:qFormat/>
    <w:uiPriority w:val="0"/>
    <w:pPr>
      <w:spacing w:line="240" w:lineRule="auto"/>
      <w:ind w:left="630" w:firstLine="0" w:firstLineChars="0"/>
      <w:jc w:val="left"/>
    </w:pPr>
    <w:rPr>
      <w:rFonts w:ascii="Times New Roman" w:hAnsi="Times New Roman" w:eastAsia="宋体" w:cs="Times New Roman"/>
      <w:szCs w:val="21"/>
    </w:rPr>
  </w:style>
  <w:style w:type="paragraph" w:styleId="31">
    <w:name w:val="List"/>
    <w:basedOn w:val="1"/>
    <w:autoRedefine/>
    <w:qFormat/>
    <w:uiPriority w:val="0"/>
    <w:pPr>
      <w:spacing w:line="240" w:lineRule="auto"/>
      <w:ind w:left="420" w:hanging="420" w:firstLineChars="0"/>
    </w:pPr>
    <w:rPr>
      <w:rFonts w:ascii="Times New Roman" w:hAnsi="Times New Roman" w:eastAsia="宋体" w:cs="Times New Roman"/>
      <w:szCs w:val="20"/>
    </w:rPr>
  </w:style>
  <w:style w:type="paragraph" w:styleId="32">
    <w:name w:val="toc 6"/>
    <w:basedOn w:val="1"/>
    <w:next w:val="1"/>
    <w:autoRedefine/>
    <w:qFormat/>
    <w:uiPriority w:val="0"/>
    <w:pPr>
      <w:spacing w:line="240" w:lineRule="auto"/>
      <w:ind w:left="1050" w:firstLine="0" w:firstLineChars="0"/>
      <w:jc w:val="left"/>
    </w:pPr>
    <w:rPr>
      <w:rFonts w:ascii="Times New Roman" w:hAnsi="Times New Roman" w:eastAsia="宋体" w:cs="Times New Roman"/>
      <w:szCs w:val="21"/>
    </w:rPr>
  </w:style>
  <w:style w:type="paragraph" w:styleId="33">
    <w:name w:val="Body Text Indent 3"/>
    <w:basedOn w:val="1"/>
    <w:link w:val="73"/>
    <w:autoRedefine/>
    <w:qFormat/>
    <w:uiPriority w:val="0"/>
    <w:pPr>
      <w:autoSpaceDE w:val="0"/>
      <w:autoSpaceDN w:val="0"/>
      <w:spacing w:line="400" w:lineRule="atLeast"/>
      <w:ind w:firstLine="443"/>
    </w:pPr>
    <w:rPr>
      <w:rFonts w:ascii="Times New Roman" w:hAnsi="Times New Roman" w:eastAsia="黑体" w:cs="Times New Roman"/>
      <w:color w:val="000000"/>
    </w:rPr>
  </w:style>
  <w:style w:type="paragraph" w:styleId="34">
    <w:name w:val="index 7"/>
    <w:basedOn w:val="1"/>
    <w:next w:val="1"/>
    <w:autoRedefine/>
    <w:semiHidden/>
    <w:qFormat/>
    <w:uiPriority w:val="99"/>
    <w:pPr>
      <w:ind w:left="1200" w:leftChars="1200"/>
    </w:pPr>
  </w:style>
  <w:style w:type="paragraph" w:styleId="35">
    <w:name w:val="toc 2"/>
    <w:basedOn w:val="1"/>
    <w:next w:val="1"/>
    <w:autoRedefine/>
    <w:qFormat/>
    <w:uiPriority w:val="0"/>
    <w:pPr>
      <w:tabs>
        <w:tab w:val="right" w:leader="dot" w:pos="8296"/>
      </w:tabs>
      <w:ind w:left="420" w:leftChars="200" w:firstLine="0" w:firstLineChars="0"/>
    </w:pPr>
    <w:rPr>
      <w:rFonts w:ascii="Times New Roman" w:hAnsi="Times New Roman" w:eastAsia="宋体" w:cs="Times New Roman"/>
    </w:rPr>
  </w:style>
  <w:style w:type="paragraph" w:styleId="36">
    <w:name w:val="toc 9"/>
    <w:basedOn w:val="1"/>
    <w:next w:val="1"/>
    <w:autoRedefine/>
    <w:qFormat/>
    <w:uiPriority w:val="0"/>
    <w:pPr>
      <w:spacing w:line="240" w:lineRule="auto"/>
      <w:ind w:left="1680" w:firstLine="0" w:firstLineChars="0"/>
      <w:jc w:val="left"/>
    </w:pPr>
    <w:rPr>
      <w:rFonts w:ascii="Times New Roman" w:hAnsi="Times New Roman" w:eastAsia="宋体" w:cs="Times New Roman"/>
      <w:szCs w:val="21"/>
    </w:rPr>
  </w:style>
  <w:style w:type="paragraph" w:styleId="37">
    <w:name w:val="Body Text 2"/>
    <w:basedOn w:val="1"/>
    <w:link w:val="74"/>
    <w:autoRedefine/>
    <w:qFormat/>
    <w:uiPriority w:val="0"/>
    <w:pPr>
      <w:spacing w:line="240" w:lineRule="auto"/>
      <w:ind w:firstLine="0" w:firstLineChars="0"/>
    </w:pPr>
    <w:rPr>
      <w:rFonts w:ascii="Times New Roman" w:hAnsi="Times New Roman" w:eastAsia="宋体" w:cs="Times New Roman"/>
      <w:b/>
      <w:bCs/>
      <w:color w:val="000000"/>
      <w:sz w:val="28"/>
    </w:rPr>
  </w:style>
  <w:style w:type="paragraph" w:styleId="38">
    <w:name w:val="HTML Preformatted"/>
    <w:basedOn w:val="1"/>
    <w:link w:val="7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Unicode MS" w:hAnsi="Arial Unicode MS" w:eastAsia="Arial Unicode MS" w:cs="Times New Roman"/>
      <w:kern w:val="0"/>
      <w:sz w:val="20"/>
      <w:szCs w:val="20"/>
    </w:rPr>
  </w:style>
  <w:style w:type="paragraph" w:styleId="39">
    <w:name w:val="Normal (Web)"/>
    <w:basedOn w:val="1"/>
    <w:autoRedefine/>
    <w:qFormat/>
    <w:uiPriority w:val="0"/>
    <w:pPr>
      <w:widowControl/>
      <w:spacing w:before="100" w:beforeAutospacing="1" w:after="100" w:afterAutospacing="1" w:line="240" w:lineRule="auto"/>
      <w:ind w:firstLine="0" w:firstLineChars="0"/>
      <w:jc w:val="left"/>
    </w:pPr>
    <w:rPr>
      <w:rFonts w:ascii="宋体" w:hAnsi="宋体" w:eastAsia="宋体" w:cs="Times New Roman"/>
      <w:kern w:val="0"/>
    </w:rPr>
  </w:style>
  <w:style w:type="paragraph" w:styleId="40">
    <w:name w:val="Title"/>
    <w:basedOn w:val="1"/>
    <w:link w:val="76"/>
    <w:autoRedefine/>
    <w:qFormat/>
    <w:uiPriority w:val="0"/>
    <w:pPr>
      <w:spacing w:line="240" w:lineRule="auto"/>
      <w:ind w:firstLine="0" w:firstLineChars="0"/>
      <w:jc w:val="center"/>
    </w:pPr>
    <w:rPr>
      <w:rFonts w:ascii="Times New Roman" w:hAnsi="Times New Roman" w:eastAsia="宋体" w:cs="Times New Roman"/>
      <w:sz w:val="30"/>
    </w:rPr>
  </w:style>
  <w:style w:type="paragraph" w:styleId="41">
    <w:name w:val="annotation subject"/>
    <w:basedOn w:val="11"/>
    <w:next w:val="11"/>
    <w:link w:val="77"/>
    <w:autoRedefine/>
    <w:qFormat/>
    <w:uiPriority w:val="0"/>
    <w:rPr>
      <w:rFonts w:ascii="Times New Roman" w:hAnsi="Times New Roman" w:eastAsia="宋体" w:cs="Times New Roman"/>
      <w:b/>
      <w:bCs/>
    </w:rPr>
  </w:style>
  <w:style w:type="paragraph" w:styleId="42">
    <w:name w:val="Body Text First Indent"/>
    <w:basedOn w:val="14"/>
    <w:next w:val="32"/>
    <w:autoRedefine/>
    <w:qFormat/>
    <w:uiPriority w:val="0"/>
    <w:pPr>
      <w:adjustRightInd/>
      <w:spacing w:after="120" w:line="240" w:lineRule="auto"/>
      <w:ind w:firstLine="420" w:firstLineChars="100"/>
      <w:jc w:val="both"/>
    </w:pPr>
    <w:rPr>
      <w:rFonts w:ascii="Times New Roman" w:hAnsi="金山简黑体" w:eastAsia="金山简黑体" w:cs="宋体"/>
      <w:spacing w:val="-8"/>
      <w:kern w:val="2"/>
      <w:sz w:val="21"/>
      <w:szCs w:val="24"/>
    </w:rPr>
  </w:style>
  <w:style w:type="paragraph" w:styleId="43">
    <w:name w:val="Body Text First Indent 2"/>
    <w:basedOn w:val="15"/>
    <w:next w:val="44"/>
    <w:autoRedefine/>
    <w:qFormat/>
    <w:uiPriority w:val="0"/>
    <w:pPr>
      <w:ind w:firstLine="420" w:firstLineChars="200"/>
    </w:pPr>
    <w:rPr>
      <w:rFonts w:ascii="Times New Roman" w:hAnsi="Times New Roman" w:eastAsia="宋体" w:cs="Times New Roman"/>
    </w:rPr>
  </w:style>
  <w:style w:type="paragraph" w:customStyle="1" w:styleId="44">
    <w:name w:val="xl53"/>
    <w:basedOn w:val="1"/>
    <w:next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table" w:styleId="46">
    <w:name w:val="Table Grid"/>
    <w:basedOn w:val="45"/>
    <w:autoRedefine/>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autoRedefine/>
    <w:qFormat/>
    <w:uiPriority w:val="0"/>
    <w:rPr>
      <w:rFonts w:ascii="Times New Roman" w:hAnsi="Times New Roman" w:eastAsia="宋体" w:cs="Times New Roman"/>
      <w:b/>
    </w:rPr>
  </w:style>
  <w:style w:type="character" w:styleId="49">
    <w:name w:val="page number"/>
    <w:autoRedefine/>
    <w:qFormat/>
    <w:uiPriority w:val="0"/>
    <w:rPr>
      <w:rFonts w:ascii="Times New Roman" w:hAnsi="Times New Roman" w:eastAsia="宋体" w:cs="Times New Roman"/>
    </w:rPr>
  </w:style>
  <w:style w:type="character" w:styleId="50">
    <w:name w:val="FollowedHyperlink"/>
    <w:autoRedefine/>
    <w:qFormat/>
    <w:uiPriority w:val="0"/>
    <w:rPr>
      <w:rFonts w:ascii="Times New Roman" w:hAnsi="Times New Roman" w:eastAsia="宋体" w:cs="Times New Roman"/>
      <w:color w:val="800080"/>
      <w:u w:val="single"/>
    </w:rPr>
  </w:style>
  <w:style w:type="character" w:styleId="51">
    <w:name w:val="Emphasis"/>
    <w:autoRedefine/>
    <w:qFormat/>
    <w:uiPriority w:val="0"/>
  </w:style>
  <w:style w:type="character" w:styleId="52">
    <w:name w:val="HTML Variable"/>
    <w:autoRedefine/>
    <w:qFormat/>
    <w:uiPriority w:val="0"/>
  </w:style>
  <w:style w:type="character" w:styleId="53">
    <w:name w:val="Hyperlink"/>
    <w:autoRedefine/>
    <w:qFormat/>
    <w:uiPriority w:val="0"/>
    <w:rPr>
      <w:rFonts w:ascii="Times New Roman" w:hAnsi="Times New Roman" w:eastAsia="宋体" w:cs="Times New Roman"/>
      <w:color w:val="0000FF"/>
      <w:u w:val="single"/>
    </w:rPr>
  </w:style>
  <w:style w:type="character" w:styleId="54">
    <w:name w:val="annotation reference"/>
    <w:autoRedefine/>
    <w:qFormat/>
    <w:uiPriority w:val="0"/>
    <w:rPr>
      <w:rFonts w:ascii="Times New Roman" w:hAnsi="Times New Roman" w:eastAsia="宋体" w:cs="Times New Roman"/>
      <w:sz w:val="21"/>
      <w:szCs w:val="21"/>
    </w:rPr>
  </w:style>
  <w:style w:type="paragraph" w:customStyle="1" w:styleId="55">
    <w:name w:val="Heading3"/>
    <w:basedOn w:val="1"/>
    <w:next w:val="1"/>
    <w:qFormat/>
    <w:uiPriority w:val="0"/>
    <w:pPr>
      <w:spacing w:before="120" w:after="120" w:line="300" w:lineRule="auto"/>
    </w:pPr>
    <w:rPr>
      <w:sz w:val="24"/>
      <w:szCs w:val="20"/>
    </w:rPr>
  </w:style>
  <w:style w:type="paragraph" w:customStyle="1" w:styleId="56">
    <w:name w:val="正文首行缩进两字"/>
    <w:autoRedefine/>
    <w:qFormat/>
    <w:uiPriority w:val="99"/>
    <w:pPr>
      <w:spacing w:line="360" w:lineRule="auto"/>
    </w:pPr>
    <w:rPr>
      <w:rFonts w:ascii="Times New Roman" w:hAnsi="Times New Roman" w:eastAsia="宋体" w:cs="Times New Roman"/>
      <w:color w:val="000000"/>
      <w:sz w:val="24"/>
      <w:szCs w:val="24"/>
      <w:lang w:val="en-US" w:eastAsia="zh-CN" w:bidi="ar-SA"/>
    </w:rPr>
  </w:style>
  <w:style w:type="character" w:customStyle="1" w:styleId="57">
    <w:name w:val="正文文本 Char"/>
    <w:link w:val="14"/>
    <w:autoRedefine/>
    <w:qFormat/>
    <w:uiPriority w:val="0"/>
    <w:rPr>
      <w:rFonts w:ascii="仿宋_GB2312" w:hAnsi="Times New Roman" w:eastAsia="仿宋_GB2312" w:cs="Times New Roman"/>
      <w:sz w:val="28"/>
    </w:rPr>
  </w:style>
  <w:style w:type="character" w:customStyle="1" w:styleId="58">
    <w:name w:val="标题 1 Char"/>
    <w:link w:val="3"/>
    <w:autoRedefine/>
    <w:qFormat/>
    <w:uiPriority w:val="0"/>
    <w:rPr>
      <w:rFonts w:ascii="宋体" w:hAnsi="宋体" w:eastAsia="宋体" w:cs="宋体"/>
      <w:b/>
      <w:bCs/>
      <w:kern w:val="44"/>
      <w:sz w:val="32"/>
      <w:szCs w:val="52"/>
    </w:rPr>
  </w:style>
  <w:style w:type="character" w:customStyle="1" w:styleId="59">
    <w:name w:val="标题 2 Char"/>
    <w:link w:val="4"/>
    <w:autoRedefine/>
    <w:qFormat/>
    <w:uiPriority w:val="0"/>
    <w:rPr>
      <w:rFonts w:ascii="Cambria" w:hAnsi="Cambria" w:eastAsia="宋体" w:cs="Times New Roman"/>
      <w:b/>
      <w:bCs/>
      <w:kern w:val="2"/>
      <w:sz w:val="28"/>
      <w:szCs w:val="32"/>
    </w:rPr>
  </w:style>
  <w:style w:type="character" w:customStyle="1" w:styleId="60">
    <w:name w:val="标题 3 Char"/>
    <w:link w:val="5"/>
    <w:autoRedefine/>
    <w:qFormat/>
    <w:uiPriority w:val="0"/>
    <w:rPr>
      <w:rFonts w:ascii="宋体" w:hAnsi="宋体" w:eastAsia="宋体" w:cs="Times New Roman"/>
      <w:b/>
      <w:bCs/>
      <w:kern w:val="2"/>
      <w:sz w:val="21"/>
      <w:szCs w:val="32"/>
    </w:rPr>
  </w:style>
  <w:style w:type="character" w:customStyle="1" w:styleId="61">
    <w:name w:val="标题 4 Char"/>
    <w:link w:val="6"/>
    <w:autoRedefine/>
    <w:qFormat/>
    <w:uiPriority w:val="0"/>
    <w:rPr>
      <w:rFonts w:ascii="宋体" w:hAnsi="宋体" w:eastAsia="宋体" w:cs="Times New Roman"/>
      <w:b/>
      <w:bCs/>
      <w:kern w:val="2"/>
      <w:sz w:val="24"/>
      <w:szCs w:val="28"/>
    </w:rPr>
  </w:style>
  <w:style w:type="character" w:customStyle="1" w:styleId="62">
    <w:name w:val="正文缩进 Char"/>
    <w:link w:val="8"/>
    <w:autoRedefine/>
    <w:qFormat/>
    <w:uiPriority w:val="0"/>
    <w:rPr>
      <w:rFonts w:ascii="Times New Roman" w:hAnsi="Times New Roman" w:eastAsia="宋体" w:cs="Times New Roman"/>
      <w:kern w:val="2"/>
      <w:sz w:val="21"/>
      <w:szCs w:val="24"/>
    </w:rPr>
  </w:style>
  <w:style w:type="character" w:customStyle="1" w:styleId="63">
    <w:name w:val="文档结构图 Char"/>
    <w:link w:val="9"/>
    <w:autoRedefine/>
    <w:qFormat/>
    <w:uiPriority w:val="0"/>
    <w:rPr>
      <w:rFonts w:ascii="宋体" w:hAnsi="Times New Roman" w:eastAsia="宋体" w:cs="Times New Roman"/>
      <w:sz w:val="18"/>
      <w:szCs w:val="18"/>
    </w:rPr>
  </w:style>
  <w:style w:type="character" w:customStyle="1" w:styleId="64">
    <w:name w:val="批注文字 Char"/>
    <w:link w:val="11"/>
    <w:autoRedefine/>
    <w:qFormat/>
    <w:uiPriority w:val="0"/>
    <w:rPr>
      <w:rFonts w:ascii="Times New Roman" w:hAnsi="Times New Roman" w:eastAsia="宋体" w:cs="Times New Roman"/>
      <w:kern w:val="2"/>
      <w:sz w:val="21"/>
      <w:szCs w:val="24"/>
    </w:rPr>
  </w:style>
  <w:style w:type="character" w:customStyle="1" w:styleId="65">
    <w:name w:val="正文文本 3 Char"/>
    <w:link w:val="12"/>
    <w:autoRedefine/>
    <w:qFormat/>
    <w:uiPriority w:val="0"/>
    <w:rPr>
      <w:rFonts w:ascii="楷体_GB2312" w:hAnsi="Times New Roman" w:eastAsia="楷体_GB2312" w:cs="Times New Roman"/>
      <w:b/>
      <w:color w:val="000000"/>
      <w:kern w:val="2"/>
      <w:sz w:val="30"/>
      <w:szCs w:val="24"/>
    </w:rPr>
  </w:style>
  <w:style w:type="character" w:customStyle="1" w:styleId="66">
    <w:name w:val="正文文本缩进 Char"/>
    <w:link w:val="15"/>
    <w:autoRedefine/>
    <w:qFormat/>
    <w:uiPriority w:val="0"/>
    <w:rPr>
      <w:rFonts w:ascii="宋体" w:hAnsi="Times New Roman" w:eastAsia="宋体" w:cs="Times New Roman"/>
      <w:sz w:val="24"/>
    </w:rPr>
  </w:style>
  <w:style w:type="character" w:customStyle="1" w:styleId="67">
    <w:name w:val="纯文本 Char1"/>
    <w:link w:val="20"/>
    <w:autoRedefine/>
    <w:qFormat/>
    <w:uiPriority w:val="0"/>
    <w:rPr>
      <w:rFonts w:ascii="宋体" w:hAnsi="Courier New" w:eastAsia="宋体" w:cs="Times New Roman"/>
      <w:kern w:val="2"/>
      <w:sz w:val="21"/>
    </w:rPr>
  </w:style>
  <w:style w:type="character" w:customStyle="1" w:styleId="68">
    <w:name w:val="日期 Char"/>
    <w:link w:val="22"/>
    <w:autoRedefine/>
    <w:qFormat/>
    <w:uiPriority w:val="0"/>
    <w:rPr>
      <w:rFonts w:ascii="Times New Roman" w:hAnsi="Times New Roman" w:eastAsia="宋体" w:cs="Times New Roman"/>
      <w:color w:val="000000"/>
      <w:kern w:val="2"/>
      <w:sz w:val="24"/>
      <w:szCs w:val="24"/>
    </w:rPr>
  </w:style>
  <w:style w:type="character" w:customStyle="1" w:styleId="69">
    <w:name w:val="正文文本缩进 2 Char"/>
    <w:link w:val="23"/>
    <w:autoRedefine/>
    <w:qFormat/>
    <w:uiPriority w:val="0"/>
    <w:rPr>
      <w:rFonts w:ascii="宋体" w:hAnsi="Times New Roman" w:eastAsia="宋体" w:cs="Times New Roman"/>
      <w:sz w:val="24"/>
    </w:rPr>
  </w:style>
  <w:style w:type="character" w:customStyle="1" w:styleId="70">
    <w:name w:val="批注框文本 Char"/>
    <w:link w:val="25"/>
    <w:autoRedefine/>
    <w:qFormat/>
    <w:uiPriority w:val="0"/>
    <w:rPr>
      <w:rFonts w:ascii="Times New Roman" w:hAnsi="Times New Roman" w:eastAsia="宋体" w:cs="Times New Roman"/>
      <w:sz w:val="18"/>
      <w:szCs w:val="18"/>
    </w:rPr>
  </w:style>
  <w:style w:type="character" w:customStyle="1" w:styleId="71">
    <w:name w:val="页脚 Char"/>
    <w:link w:val="26"/>
    <w:autoRedefine/>
    <w:qFormat/>
    <w:uiPriority w:val="99"/>
    <w:rPr>
      <w:rFonts w:ascii="Times New Roman" w:hAnsi="Times New Roman" w:eastAsia="宋体" w:cs="Times New Roman"/>
      <w:sz w:val="18"/>
      <w:szCs w:val="18"/>
    </w:rPr>
  </w:style>
  <w:style w:type="character" w:customStyle="1" w:styleId="72">
    <w:name w:val="页眉 Char"/>
    <w:link w:val="28"/>
    <w:autoRedefine/>
    <w:qFormat/>
    <w:uiPriority w:val="0"/>
    <w:rPr>
      <w:rFonts w:ascii="Times New Roman" w:hAnsi="Times New Roman" w:eastAsia="宋体" w:cs="Times New Roman"/>
      <w:sz w:val="18"/>
      <w:szCs w:val="18"/>
    </w:rPr>
  </w:style>
  <w:style w:type="character" w:customStyle="1" w:styleId="73">
    <w:name w:val="正文文本缩进 3 Char"/>
    <w:link w:val="33"/>
    <w:autoRedefine/>
    <w:qFormat/>
    <w:uiPriority w:val="0"/>
    <w:rPr>
      <w:rFonts w:ascii="Times New Roman" w:hAnsi="Times New Roman" w:eastAsia="黑体" w:cs="Times New Roman"/>
      <w:color w:val="000000"/>
      <w:kern w:val="2"/>
      <w:sz w:val="24"/>
      <w:szCs w:val="24"/>
    </w:rPr>
  </w:style>
  <w:style w:type="character" w:customStyle="1" w:styleId="74">
    <w:name w:val="正文文本 2 Char"/>
    <w:link w:val="37"/>
    <w:autoRedefine/>
    <w:qFormat/>
    <w:uiPriority w:val="0"/>
    <w:rPr>
      <w:rFonts w:ascii="Times New Roman" w:hAnsi="Times New Roman" w:eastAsia="宋体" w:cs="Times New Roman"/>
      <w:b/>
      <w:bCs/>
      <w:color w:val="000000"/>
      <w:kern w:val="2"/>
      <w:sz w:val="28"/>
      <w:szCs w:val="24"/>
    </w:rPr>
  </w:style>
  <w:style w:type="character" w:customStyle="1" w:styleId="75">
    <w:name w:val="HTML 预设格式 Char"/>
    <w:link w:val="38"/>
    <w:autoRedefine/>
    <w:qFormat/>
    <w:uiPriority w:val="0"/>
    <w:rPr>
      <w:rFonts w:ascii="Arial Unicode MS" w:hAnsi="Arial Unicode MS" w:eastAsia="Arial Unicode MS" w:cs="Arial Unicode MS"/>
    </w:rPr>
  </w:style>
  <w:style w:type="character" w:customStyle="1" w:styleId="76">
    <w:name w:val="标题 Char1"/>
    <w:link w:val="40"/>
    <w:autoRedefine/>
    <w:qFormat/>
    <w:uiPriority w:val="0"/>
    <w:rPr>
      <w:rFonts w:ascii="Times New Roman" w:hAnsi="Times New Roman" w:eastAsia="宋体" w:cs="Times New Roman"/>
      <w:kern w:val="2"/>
      <w:sz w:val="30"/>
      <w:szCs w:val="24"/>
    </w:rPr>
  </w:style>
  <w:style w:type="character" w:customStyle="1" w:styleId="77">
    <w:name w:val="批注主题 Char"/>
    <w:link w:val="41"/>
    <w:autoRedefine/>
    <w:qFormat/>
    <w:uiPriority w:val="0"/>
    <w:rPr>
      <w:rFonts w:ascii="Times New Roman" w:hAnsi="Times New Roman" w:eastAsia="宋体" w:cs="Times New Roman"/>
      <w:b/>
      <w:bCs/>
      <w:kern w:val="2"/>
      <w:sz w:val="21"/>
      <w:szCs w:val="24"/>
    </w:rPr>
  </w:style>
  <w:style w:type="paragraph" w:customStyle="1" w:styleId="78">
    <w:name w:val="Default"/>
    <w:next w:val="79"/>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79">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0">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1">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2">
    <w:name w:val="huei12b1"/>
    <w:autoRedefine/>
    <w:qFormat/>
    <w:uiPriority w:val="0"/>
    <w:rPr>
      <w:rFonts w:ascii="Times New Roman" w:hAnsi="Times New Roman" w:eastAsia="宋体" w:cs="Times New Roman"/>
      <w:b/>
      <w:bCs/>
      <w:color w:val="333333"/>
      <w:sz w:val="20"/>
      <w:szCs w:val="20"/>
    </w:rPr>
  </w:style>
  <w:style w:type="character" w:customStyle="1" w:styleId="83">
    <w:name w:val="font101"/>
    <w:autoRedefine/>
    <w:qFormat/>
    <w:uiPriority w:val="0"/>
    <w:rPr>
      <w:rFonts w:hint="eastAsia" w:ascii="宋体" w:hAnsi="宋体" w:eastAsia="宋体" w:cs="宋体"/>
      <w:color w:val="000000"/>
      <w:sz w:val="18"/>
      <w:szCs w:val="18"/>
      <w:u w:val="none"/>
    </w:rPr>
  </w:style>
  <w:style w:type="character" w:customStyle="1" w:styleId="84">
    <w:name w:val="content"/>
    <w:autoRedefine/>
    <w:qFormat/>
    <w:uiPriority w:val="0"/>
    <w:rPr>
      <w:rFonts w:ascii="Times New Roman" w:hAnsi="Times New Roman" w:eastAsia="宋体" w:cs="Times New Roman"/>
    </w:rPr>
  </w:style>
  <w:style w:type="character" w:customStyle="1" w:styleId="85">
    <w:name w:val="标题 3 字符"/>
    <w:autoRedefine/>
    <w:qFormat/>
    <w:uiPriority w:val="0"/>
    <w:rPr>
      <w:rFonts w:ascii="Times New Roman" w:hAnsi="Times New Roman" w:eastAsia="宋体" w:cs="Times New Roman"/>
      <w:b/>
      <w:bCs/>
      <w:kern w:val="2"/>
      <w:sz w:val="24"/>
      <w:szCs w:val="32"/>
    </w:rPr>
  </w:style>
  <w:style w:type="character" w:customStyle="1" w:styleId="86">
    <w:name w:val="search_content1"/>
    <w:autoRedefine/>
    <w:qFormat/>
    <w:uiPriority w:val="0"/>
    <w:rPr>
      <w:rFonts w:ascii="Times New Roman" w:hAnsi="Times New Roman" w:eastAsia="宋体" w:cs="Times New Roman"/>
      <w:sz w:val="20"/>
      <w:szCs w:val="20"/>
    </w:rPr>
  </w:style>
  <w:style w:type="character" w:customStyle="1" w:styleId="87">
    <w:name w:val="apple-converted-space"/>
    <w:autoRedefine/>
    <w:qFormat/>
    <w:uiPriority w:val="0"/>
    <w:rPr>
      <w:rFonts w:ascii="Times New Roman" w:hAnsi="Times New Roman" w:eastAsia="宋体" w:cs="Times New Roman"/>
    </w:rPr>
  </w:style>
  <w:style w:type="character" w:customStyle="1" w:styleId="88">
    <w:name w:val="s"/>
    <w:autoRedefine/>
    <w:qFormat/>
    <w:uiPriority w:val="0"/>
    <w:rPr>
      <w:rFonts w:ascii="Times New Roman" w:hAnsi="Times New Roman" w:eastAsia="宋体" w:cs="Times New Roman"/>
    </w:rPr>
  </w:style>
  <w:style w:type="character" w:customStyle="1" w:styleId="89">
    <w:name w:val="页眉 字符"/>
    <w:autoRedefine/>
    <w:qFormat/>
    <w:uiPriority w:val="99"/>
    <w:rPr>
      <w:rFonts w:ascii="Times New Roman" w:hAnsi="Times New Roman" w:eastAsia="宋体" w:cs="Times New Roman"/>
      <w:kern w:val="2"/>
      <w:sz w:val="18"/>
      <w:lang w:val="en-US" w:eastAsia="zh-CN" w:bidi="ar-SA"/>
    </w:rPr>
  </w:style>
  <w:style w:type="character" w:customStyle="1" w:styleId="90">
    <w:name w:val="Char Char2"/>
    <w:autoRedefine/>
    <w:qFormat/>
    <w:uiPriority w:val="0"/>
    <w:rPr>
      <w:rFonts w:hint="eastAsia" w:ascii="宋体" w:hAnsi="Courier New" w:eastAsia="宋体" w:cs="Times New Roman"/>
      <w:kern w:val="2"/>
      <w:sz w:val="21"/>
    </w:rPr>
  </w:style>
  <w:style w:type="character" w:customStyle="1" w:styleId="91">
    <w:name w:val="font61"/>
    <w:autoRedefine/>
    <w:qFormat/>
    <w:uiPriority w:val="0"/>
    <w:rPr>
      <w:rFonts w:hint="eastAsia" w:ascii="宋体" w:hAnsi="宋体" w:eastAsia="宋体" w:cs="宋体"/>
      <w:color w:val="000000"/>
      <w:sz w:val="18"/>
      <w:szCs w:val="18"/>
      <w:u w:val="none"/>
    </w:rPr>
  </w:style>
  <w:style w:type="character" w:customStyle="1" w:styleId="92">
    <w:name w:val="l17"/>
    <w:autoRedefine/>
    <w:qFormat/>
    <w:uiPriority w:val="0"/>
    <w:rPr>
      <w:rFonts w:ascii="Times New Roman" w:hAnsi="Times New Roman" w:eastAsia="宋体" w:cs="Times New Roman"/>
    </w:rPr>
  </w:style>
  <w:style w:type="character" w:customStyle="1" w:styleId="93">
    <w:name w:val="纯文本 字符"/>
    <w:autoRedefine/>
    <w:qFormat/>
    <w:uiPriority w:val="0"/>
    <w:rPr>
      <w:rFonts w:ascii="宋体" w:hAnsi="Courier New" w:eastAsia="宋体" w:cs="Courier New"/>
      <w:kern w:val="2"/>
      <w:sz w:val="21"/>
      <w:szCs w:val="21"/>
      <w:lang w:val="en-US" w:eastAsia="zh-CN" w:bidi="ar-SA"/>
    </w:rPr>
  </w:style>
  <w:style w:type="character" w:customStyle="1" w:styleId="94">
    <w:name w:val="Char Char"/>
    <w:autoRedefine/>
    <w:qFormat/>
    <w:uiPriority w:val="0"/>
    <w:rPr>
      <w:rFonts w:hint="eastAsia" w:ascii="宋体" w:hAnsi="Courier New" w:eastAsia="宋体" w:cs="Times New Roman"/>
      <w:kern w:val="2"/>
      <w:sz w:val="21"/>
      <w:lang w:val="en-US" w:eastAsia="zh-CN" w:bidi="ar-SA"/>
    </w:rPr>
  </w:style>
  <w:style w:type="character" w:customStyle="1" w:styleId="95">
    <w:name w:val="unnamed51"/>
    <w:autoRedefine/>
    <w:qFormat/>
    <w:uiPriority w:val="0"/>
    <w:rPr>
      <w:rFonts w:ascii="Times New Roman" w:hAnsi="Times New Roman" w:eastAsia="宋体" w:cs="Times New Roman"/>
      <w:sz w:val="22"/>
      <w:szCs w:val="22"/>
    </w:rPr>
  </w:style>
  <w:style w:type="character" w:customStyle="1" w:styleId="96">
    <w:name w:val="正文文本首行缩进 字符"/>
    <w:link w:val="97"/>
    <w:autoRedefine/>
    <w:qFormat/>
    <w:uiPriority w:val="0"/>
    <w:rPr>
      <w:rFonts w:ascii="Times New Roman" w:hAnsi="Times New Roman" w:eastAsia="仿宋_GB2312" w:cs="Times New Roman"/>
      <w:kern w:val="2"/>
      <w:sz w:val="21"/>
      <w:szCs w:val="24"/>
    </w:rPr>
  </w:style>
  <w:style w:type="paragraph" w:customStyle="1" w:styleId="97">
    <w:name w:val="正文文本首行缩进1"/>
    <w:basedOn w:val="14"/>
    <w:link w:val="96"/>
    <w:autoRedefine/>
    <w:qFormat/>
    <w:uiPriority w:val="0"/>
    <w:pPr>
      <w:adjustRightInd/>
      <w:spacing w:after="120" w:line="240" w:lineRule="auto"/>
      <w:ind w:firstLine="420" w:firstLineChars="100"/>
      <w:jc w:val="both"/>
    </w:pPr>
    <w:rPr>
      <w:rFonts w:ascii="Times New Roman" w:hAnsi="Times New Roman" w:eastAsia="宋体" w:cs="Times New Roman"/>
      <w:kern w:val="2"/>
      <w:sz w:val="21"/>
      <w:szCs w:val="24"/>
    </w:rPr>
  </w:style>
  <w:style w:type="character" w:customStyle="1" w:styleId="98">
    <w:name w:val="font11"/>
    <w:autoRedefine/>
    <w:qFormat/>
    <w:uiPriority w:val="0"/>
    <w:rPr>
      <w:rFonts w:hint="eastAsia" w:ascii="宋体" w:hAnsi="宋体" w:eastAsia="宋体" w:cs="宋体"/>
      <w:color w:val="000000"/>
      <w:sz w:val="40"/>
      <w:szCs w:val="40"/>
      <w:u w:val="none"/>
    </w:rPr>
  </w:style>
  <w:style w:type="character" w:customStyle="1" w:styleId="99">
    <w:name w:val="font31"/>
    <w:autoRedefine/>
    <w:qFormat/>
    <w:uiPriority w:val="0"/>
    <w:rPr>
      <w:rFonts w:hint="eastAsia" w:ascii="宋体" w:hAnsi="宋体" w:eastAsia="宋体" w:cs="宋体"/>
      <w:color w:val="000000"/>
      <w:sz w:val="20"/>
      <w:szCs w:val="20"/>
      <w:u w:val="none"/>
    </w:rPr>
  </w:style>
  <w:style w:type="character" w:customStyle="1" w:styleId="100">
    <w:name w:val="纯文本 Char"/>
    <w:autoRedefine/>
    <w:qFormat/>
    <w:uiPriority w:val="0"/>
    <w:rPr>
      <w:rFonts w:ascii="宋体" w:hAnsi="Courier New" w:eastAsia="宋体" w:cs="Courier New"/>
      <w:kern w:val="2"/>
      <w:sz w:val="21"/>
      <w:szCs w:val="21"/>
    </w:rPr>
  </w:style>
  <w:style w:type="character" w:customStyle="1" w:styleId="101">
    <w:name w:val="页脚 字符"/>
    <w:autoRedefine/>
    <w:qFormat/>
    <w:uiPriority w:val="99"/>
    <w:rPr>
      <w:rFonts w:ascii="Times New Roman" w:hAnsi="Times New Roman" w:eastAsia="宋体" w:cs="Times New Roman"/>
      <w:kern w:val="2"/>
      <w:sz w:val="18"/>
      <w:lang w:val="en-US" w:eastAsia="zh-CN" w:bidi="ar-SA"/>
    </w:rPr>
  </w:style>
  <w:style w:type="character" w:customStyle="1" w:styleId="102">
    <w:name w:val="Char Char3"/>
    <w:autoRedefine/>
    <w:qFormat/>
    <w:uiPriority w:val="0"/>
    <w:rPr>
      <w:rFonts w:hint="eastAsia" w:ascii="宋体" w:hAnsi="Courier New" w:eastAsia="宋体" w:cs="Times New Roman"/>
      <w:kern w:val="2"/>
      <w:sz w:val="21"/>
      <w:lang w:val="en-US" w:eastAsia="zh-CN" w:bidi="ar-SA"/>
    </w:rPr>
  </w:style>
  <w:style w:type="character" w:customStyle="1" w:styleId="103">
    <w:name w:val="unnamed1"/>
    <w:autoRedefine/>
    <w:qFormat/>
    <w:uiPriority w:val="0"/>
    <w:rPr>
      <w:rFonts w:ascii="Times New Roman" w:hAnsi="Times New Roman" w:eastAsia="宋体" w:cs="Times New Roman"/>
    </w:rPr>
  </w:style>
  <w:style w:type="character" w:customStyle="1" w:styleId="104">
    <w:name w:val="search_result_snap1"/>
    <w:autoRedefine/>
    <w:qFormat/>
    <w:uiPriority w:val="0"/>
    <w:rPr>
      <w:rFonts w:ascii="Times New Roman" w:hAnsi="Times New Roman" w:eastAsia="宋体" w:cs="Times New Roman"/>
      <w:sz w:val="21"/>
      <w:szCs w:val="21"/>
    </w:rPr>
  </w:style>
  <w:style w:type="character" w:customStyle="1" w:styleId="105">
    <w:name w:val="不明显强调1"/>
    <w:autoRedefine/>
    <w:qFormat/>
    <w:uiPriority w:val="0"/>
    <w:rPr>
      <w:rFonts w:ascii="Times New Roman" w:hAnsi="Times New Roman" w:eastAsia="宋体" w:cs="Times New Roman"/>
      <w:i/>
      <w:iCs/>
      <w:color w:val="808080"/>
    </w:rPr>
  </w:style>
  <w:style w:type="character" w:customStyle="1" w:styleId="106">
    <w:name w:val="正文文本缩进 字符"/>
    <w:autoRedefine/>
    <w:qFormat/>
    <w:uiPriority w:val="0"/>
    <w:rPr>
      <w:rFonts w:ascii="仿宋_GB2312" w:hAnsi="Times New Roman" w:eastAsia="仿宋_GB2312" w:cs="Times New Roman"/>
      <w:kern w:val="2"/>
      <w:sz w:val="28"/>
      <w:lang w:val="en-US" w:eastAsia="zh-CN" w:bidi="ar-SA"/>
    </w:rPr>
  </w:style>
  <w:style w:type="character" w:customStyle="1" w:styleId="107">
    <w:name w:val="(aNormal) + 宋体 Char"/>
    <w:link w:val="108"/>
    <w:autoRedefine/>
    <w:qFormat/>
    <w:uiPriority w:val="0"/>
    <w:rPr>
      <w:rFonts w:ascii="宋体" w:hAnsi="宋体" w:eastAsia="宋体" w:cs="Times New Roman"/>
      <w:lang w:val="en-GB"/>
    </w:rPr>
  </w:style>
  <w:style w:type="paragraph" w:customStyle="1" w:styleId="108">
    <w:name w:val="(aNormal) + 宋体"/>
    <w:basedOn w:val="1"/>
    <w:link w:val="107"/>
    <w:autoRedefine/>
    <w:qFormat/>
    <w:uiPriority w:val="0"/>
    <w:pPr>
      <w:widowControl/>
      <w:spacing w:before="240" w:after="120" w:line="240" w:lineRule="auto"/>
      <w:ind w:firstLine="0" w:firstLineChars="0"/>
    </w:pPr>
    <w:rPr>
      <w:rFonts w:ascii="宋体" w:hAnsi="宋体" w:eastAsia="宋体" w:cs="Times New Roman"/>
      <w:kern w:val="0"/>
      <w:sz w:val="20"/>
      <w:szCs w:val="20"/>
      <w:lang w:val="en-GB"/>
    </w:rPr>
  </w:style>
  <w:style w:type="character" w:customStyle="1" w:styleId="109">
    <w:name w:val="hei16b1"/>
    <w:autoRedefine/>
    <w:qFormat/>
    <w:uiPriority w:val="0"/>
    <w:rPr>
      <w:rFonts w:hint="default" w:ascii="Arial" w:hAnsi="Arial" w:eastAsia="宋体" w:cs="Arial"/>
      <w:b/>
      <w:bCs/>
      <w:color w:val="000000"/>
      <w:sz w:val="24"/>
      <w:szCs w:val="24"/>
    </w:rPr>
  </w:style>
  <w:style w:type="character" w:customStyle="1" w:styleId="110">
    <w:name w:val="无间隔 Char"/>
    <w:link w:val="111"/>
    <w:autoRedefine/>
    <w:qFormat/>
    <w:uiPriority w:val="0"/>
    <w:rPr>
      <w:rFonts w:ascii="Times New Roman" w:hAnsi="Times New Roman" w:eastAsia="宋体" w:cs="Calibri"/>
      <w:kern w:val="2"/>
      <w:sz w:val="21"/>
      <w:szCs w:val="22"/>
      <w:lang w:val="en-US" w:eastAsia="zh-CN" w:bidi="ar-SA"/>
    </w:rPr>
  </w:style>
  <w:style w:type="paragraph" w:customStyle="1" w:styleId="111">
    <w:name w:val="No Spacing"/>
    <w:link w:val="110"/>
    <w:autoRedefine/>
    <w:qFormat/>
    <w:uiPriority w:val="0"/>
    <w:pPr>
      <w:widowControl w:val="0"/>
      <w:jc w:val="both"/>
    </w:pPr>
    <w:rPr>
      <w:rFonts w:ascii="Times New Roman" w:hAnsi="Times New Roman" w:eastAsia="宋体" w:cs="Calibri"/>
      <w:kern w:val="2"/>
      <w:sz w:val="21"/>
      <w:szCs w:val="22"/>
      <w:lang w:val="en-US" w:eastAsia="zh-CN" w:bidi="ar-SA"/>
    </w:rPr>
  </w:style>
  <w:style w:type="character" w:customStyle="1" w:styleId="112">
    <w:name w:val="wz1"/>
    <w:autoRedefine/>
    <w:qFormat/>
    <w:uiPriority w:val="0"/>
    <w:rPr>
      <w:rFonts w:ascii="Times New Roman" w:hAnsi="Times New Roman" w:eastAsia="宋体" w:cs="Times New Roman"/>
    </w:rPr>
  </w:style>
  <w:style w:type="character" w:customStyle="1" w:styleId="113">
    <w:name w:val="button1"/>
    <w:autoRedefine/>
    <w:qFormat/>
    <w:uiPriority w:val="0"/>
    <w:rPr>
      <w:rFonts w:hint="default" w:ascii="Verdana" w:hAnsi="Verdana" w:eastAsia="宋体" w:cs="Times New Roman"/>
      <w:b/>
      <w:bCs/>
      <w:sz w:val="20"/>
      <w:szCs w:val="20"/>
    </w:rPr>
  </w:style>
  <w:style w:type="character" w:customStyle="1" w:styleId="114">
    <w:name w:val="body001"/>
    <w:autoRedefine/>
    <w:qFormat/>
    <w:uiPriority w:val="0"/>
    <w:rPr>
      <w:rFonts w:hint="default" w:ascii="ˎ̥" w:hAnsi="ˎ̥" w:eastAsia="宋体" w:cs="Times New Roman"/>
      <w:color w:val="333333"/>
      <w:sz w:val="18"/>
      <w:szCs w:val="18"/>
    </w:rPr>
  </w:style>
  <w:style w:type="character" w:customStyle="1" w:styleId="115">
    <w:name w:val="font71"/>
    <w:autoRedefine/>
    <w:qFormat/>
    <w:uiPriority w:val="0"/>
    <w:rPr>
      <w:rFonts w:ascii="Arial" w:hAnsi="Arial" w:eastAsia="宋体" w:cs="Arial"/>
      <w:b/>
      <w:color w:val="333333"/>
      <w:sz w:val="20"/>
      <w:szCs w:val="20"/>
      <w:u w:val="none"/>
    </w:rPr>
  </w:style>
  <w:style w:type="character" w:customStyle="1" w:styleId="116">
    <w:name w:val="style8"/>
    <w:autoRedefine/>
    <w:qFormat/>
    <w:uiPriority w:val="0"/>
    <w:rPr>
      <w:rFonts w:ascii="Times New Roman" w:hAnsi="Times New Roman" w:eastAsia="宋体" w:cs="Times New Roman"/>
    </w:rPr>
  </w:style>
  <w:style w:type="character" w:customStyle="1" w:styleId="117">
    <w:name w:val="style1"/>
    <w:autoRedefine/>
    <w:qFormat/>
    <w:uiPriority w:val="0"/>
    <w:rPr>
      <w:rFonts w:ascii="Times New Roman" w:hAnsi="Times New Roman" w:eastAsia="宋体" w:cs="Times New Roman"/>
    </w:rPr>
  </w:style>
  <w:style w:type="character" w:customStyle="1" w:styleId="118">
    <w:name w:val="标题 Char"/>
    <w:autoRedefine/>
    <w:qFormat/>
    <w:uiPriority w:val="0"/>
    <w:rPr>
      <w:rFonts w:ascii="Cambria" w:hAnsi="Cambria" w:eastAsia="宋体" w:cs="Times New Roman"/>
      <w:b/>
      <w:bCs/>
      <w:kern w:val="2"/>
      <w:sz w:val="32"/>
      <w:szCs w:val="32"/>
    </w:rPr>
  </w:style>
  <w:style w:type="character" w:customStyle="1" w:styleId="119">
    <w:name w:val="font01"/>
    <w:basedOn w:val="47"/>
    <w:autoRedefine/>
    <w:qFormat/>
    <w:uiPriority w:val="0"/>
    <w:rPr>
      <w:rFonts w:hint="eastAsia" w:ascii="宋体" w:hAnsi="宋体" w:eastAsia="宋体" w:cs="宋体"/>
      <w:b/>
      <w:color w:val="333333"/>
      <w:sz w:val="20"/>
      <w:szCs w:val="20"/>
      <w:u w:val="none"/>
    </w:rPr>
  </w:style>
  <w:style w:type="paragraph" w:customStyle="1" w:styleId="120">
    <w:name w:val="Blockquote"/>
    <w:basedOn w:val="1"/>
    <w:autoRedefine/>
    <w:qFormat/>
    <w:uiPriority w:val="0"/>
    <w:pPr>
      <w:autoSpaceDE w:val="0"/>
      <w:autoSpaceDN w:val="0"/>
      <w:adjustRightInd w:val="0"/>
      <w:spacing w:before="100" w:after="100"/>
      <w:ind w:left="360" w:right="360"/>
      <w:jc w:val="left"/>
    </w:pPr>
    <w:rPr>
      <w:rFonts w:ascii="Times New Roman" w:hAnsi="Times New Roman" w:eastAsia="宋体" w:cs="Times New Roman"/>
      <w:kern w:val="0"/>
    </w:rPr>
  </w:style>
  <w:style w:type="paragraph" w:customStyle="1" w:styleId="121">
    <w:name w:val="默认段落字体 Para Char"/>
    <w:basedOn w:val="1"/>
    <w:autoRedefine/>
    <w:qFormat/>
    <w:uiPriority w:val="0"/>
    <w:pPr>
      <w:spacing w:line="240" w:lineRule="auto"/>
      <w:ind w:firstLine="0" w:firstLineChars="0"/>
    </w:pPr>
    <w:rPr>
      <w:rFonts w:ascii="Times New Roman" w:hAnsi="Times New Roman" w:eastAsia="宋体" w:cs="Times New Roman"/>
    </w:rPr>
  </w:style>
  <w:style w:type="paragraph" w:customStyle="1" w:styleId="122">
    <w:name w:val="table_lines"/>
    <w:basedOn w:val="1"/>
    <w:autoRedefine/>
    <w:qFormat/>
    <w:uiPriority w:val="0"/>
    <w:pPr>
      <w:widowControl/>
      <w:spacing w:line="240" w:lineRule="auto"/>
      <w:ind w:firstLine="0" w:firstLineChars="0"/>
      <w:jc w:val="left"/>
    </w:pPr>
    <w:rPr>
      <w:rFonts w:ascii="Times New Roman" w:hAnsi="Times New Roman" w:eastAsia="宋体" w:cs="Times New Roman"/>
      <w:kern w:val="0"/>
      <w:sz w:val="20"/>
      <w:szCs w:val="20"/>
      <w:lang w:val="de-DE" w:eastAsia="de-DE"/>
    </w:rPr>
  </w:style>
  <w:style w:type="paragraph" w:customStyle="1" w:styleId="123">
    <w:name w:val="正文 A"/>
    <w:autoRedefine/>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124">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color w:val="000000"/>
      <w:kern w:val="0"/>
      <w:sz w:val="18"/>
      <w:szCs w:val="18"/>
    </w:rPr>
  </w:style>
  <w:style w:type="paragraph" w:customStyle="1" w:styleId="125">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b/>
      <w:bCs/>
      <w:color w:val="000000"/>
      <w:kern w:val="0"/>
      <w:sz w:val="18"/>
      <w:szCs w:val="18"/>
    </w:rPr>
  </w:style>
  <w:style w:type="paragraph" w:customStyle="1" w:styleId="126">
    <w:name w:val="1"/>
    <w:basedOn w:val="1"/>
    <w:next w:val="39"/>
    <w:autoRedefine/>
    <w:qFormat/>
    <w:uiPriority w:val="0"/>
    <w:pPr>
      <w:widowControl/>
      <w:spacing w:before="100" w:beforeAutospacing="1" w:after="100" w:afterAutospacing="1" w:line="240" w:lineRule="auto"/>
      <w:ind w:firstLine="0" w:firstLineChars="0"/>
      <w:jc w:val="left"/>
    </w:pPr>
    <w:rPr>
      <w:rFonts w:ascii="宋体" w:hAnsi="宋体" w:eastAsia="宋体" w:cs="Times New Roman"/>
      <w:kern w:val="0"/>
    </w:rPr>
  </w:style>
  <w:style w:type="paragraph" w:customStyle="1" w:styleId="127">
    <w:name w:val="head 1.1"/>
    <w:basedOn w:val="128"/>
    <w:autoRedefine/>
    <w:qFormat/>
    <w:uiPriority w:val="0"/>
    <w:pPr>
      <w:numPr>
        <w:ilvl w:val="1"/>
        <w:numId w:val="3"/>
      </w:numPr>
      <w:spacing w:before="260" w:after="260" w:line="240" w:lineRule="auto"/>
      <w:ind w:firstLine="0" w:firstLineChars="0"/>
    </w:pPr>
    <w:rPr>
      <w:rFonts w:ascii="宋体" w:hAnsi="宋体" w:eastAsia="宋体" w:cs="Times New Roman"/>
      <w:bCs/>
      <w:szCs w:val="22"/>
    </w:rPr>
  </w:style>
  <w:style w:type="paragraph" w:customStyle="1" w:styleId="128">
    <w:name w:val="列表段落1"/>
    <w:basedOn w:val="1"/>
    <w:autoRedefine/>
    <w:qFormat/>
    <w:uiPriority w:val="0"/>
    <w:pPr>
      <w:ind w:firstLine="420"/>
    </w:pPr>
    <w:rPr>
      <w:rFonts w:ascii="Times New Roman" w:hAnsi="Times New Roman" w:eastAsia="宋体" w:cs="Times New Roman"/>
    </w:rPr>
  </w:style>
  <w:style w:type="paragraph" w:customStyle="1" w:styleId="129">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color w:val="000000"/>
      <w:kern w:val="0"/>
      <w:sz w:val="18"/>
      <w:szCs w:val="18"/>
    </w:rPr>
  </w:style>
  <w:style w:type="paragraph" w:customStyle="1" w:styleId="130">
    <w:name w:val="_Style 40"/>
    <w:basedOn w:val="1"/>
    <w:autoRedefine/>
    <w:qFormat/>
    <w:uiPriority w:val="0"/>
    <w:pPr>
      <w:spacing w:line="240" w:lineRule="auto"/>
      <w:ind w:firstLine="0" w:firstLineChars="0"/>
    </w:pPr>
    <w:rPr>
      <w:rFonts w:ascii="Times New Roman" w:hAnsi="Times New Roman" w:eastAsia="宋体" w:cs="Times New Roman"/>
    </w:rPr>
  </w:style>
  <w:style w:type="paragraph" w:customStyle="1" w:styleId="131">
    <w:name w:val="正文段"/>
    <w:basedOn w:val="1"/>
    <w:autoRedefine/>
    <w:qFormat/>
    <w:uiPriority w:val="0"/>
    <w:pPr>
      <w:widowControl/>
      <w:snapToGrid w:val="0"/>
      <w:spacing w:after="50" w:afterLines="50"/>
      <w:ind w:firstLine="200" w:firstLineChars="200"/>
    </w:pPr>
    <w:rPr>
      <w:rFonts w:ascii="Times New Roman" w:hAnsi="Times New Roman" w:eastAsia="宋体" w:cs="Times New Roman"/>
      <w:kern w:val="0"/>
      <w:sz w:val="24"/>
    </w:rPr>
  </w:style>
  <w:style w:type="paragraph" w:customStyle="1" w:styleId="132">
    <w:name w:val="Proposals body"/>
    <w:basedOn w:val="1"/>
    <w:next w:val="1"/>
    <w:autoRedefine/>
    <w:qFormat/>
    <w:uiPriority w:val="0"/>
    <w:pPr>
      <w:widowControl/>
      <w:snapToGrid w:val="0"/>
      <w:ind w:firstLine="0" w:firstLineChars="0"/>
      <w:jc w:val="left"/>
    </w:pPr>
    <w:rPr>
      <w:rFonts w:ascii="宋体" w:hAnsi="Times New Roman" w:eastAsia="宋体" w:cs="Times New Roman"/>
      <w:color w:val="000000"/>
      <w:kern w:val="0"/>
      <w:szCs w:val="20"/>
    </w:rPr>
  </w:style>
  <w:style w:type="paragraph" w:customStyle="1" w:styleId="133">
    <w:name w:val="Char1 Char Char"/>
    <w:basedOn w:val="1"/>
    <w:autoRedefine/>
    <w:qFormat/>
    <w:uiPriority w:val="0"/>
    <w:pPr>
      <w:widowControl/>
      <w:spacing w:after="160"/>
      <w:jc w:val="left"/>
    </w:pPr>
    <w:rPr>
      <w:rFonts w:ascii="Verdana" w:hAnsi="Verdana" w:eastAsia="黑体" w:cs="Times New Roman"/>
      <w:kern w:val="0"/>
      <w:szCs w:val="20"/>
      <w:lang w:eastAsia="en-US"/>
    </w:rPr>
  </w:style>
  <w:style w:type="paragraph" w:customStyle="1" w:styleId="134">
    <w:name w:val="列出段落1"/>
    <w:basedOn w:val="1"/>
    <w:autoRedefine/>
    <w:qFormat/>
    <w:uiPriority w:val="0"/>
    <w:pPr>
      <w:spacing w:line="240" w:lineRule="auto"/>
      <w:ind w:firstLine="420"/>
    </w:pPr>
    <w:rPr>
      <w:rFonts w:ascii="Times New Roman" w:hAnsi="Times New Roman" w:eastAsia="宋体" w:cs="Times New Roman"/>
    </w:rPr>
  </w:style>
  <w:style w:type="paragraph" w:customStyle="1" w:styleId="135">
    <w:name w:val="小标题2"/>
    <w:basedOn w:val="1"/>
    <w:next w:val="1"/>
    <w:autoRedefine/>
    <w:qFormat/>
    <w:uiPriority w:val="0"/>
    <w:pPr>
      <w:spacing w:beforeLines="20" w:afterLines="20" w:line="400" w:lineRule="exact"/>
    </w:pPr>
    <w:rPr>
      <w:rFonts w:ascii="Times New Roman" w:hAnsi="Times New Roman" w:eastAsia="楷体_GB2312" w:cs="Times New Roman"/>
    </w:rPr>
  </w:style>
  <w:style w:type="paragraph" w:customStyle="1" w:styleId="136">
    <w:name w:val="Char Char Char Char Char Char Char"/>
    <w:basedOn w:val="1"/>
    <w:autoRedefine/>
    <w:qFormat/>
    <w:uiPriority w:val="0"/>
    <w:pPr>
      <w:tabs>
        <w:tab w:val="left" w:pos="432"/>
      </w:tabs>
      <w:spacing w:line="240" w:lineRule="auto"/>
      <w:ind w:left="432" w:hanging="432" w:firstLineChars="0"/>
    </w:pPr>
    <w:rPr>
      <w:rFonts w:ascii="Tahoma" w:hAnsi="Tahoma" w:eastAsia="宋体" w:cs="Times New Roman"/>
      <w:szCs w:val="20"/>
    </w:rPr>
  </w:style>
  <w:style w:type="paragraph" w:customStyle="1" w:styleId="13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Times New Roman" w:hAnsi="Times New Roman" w:eastAsia="宋体" w:cs="Times New Roman"/>
      <w:color w:val="000000"/>
      <w:kern w:val="0"/>
      <w:sz w:val="18"/>
      <w:szCs w:val="18"/>
    </w:rPr>
  </w:style>
  <w:style w:type="paragraph" w:customStyle="1" w:styleId="138">
    <w:name w:val="样式1"/>
    <w:basedOn w:val="1"/>
    <w:autoRedefine/>
    <w:qFormat/>
    <w:uiPriority w:val="0"/>
    <w:pPr>
      <w:spacing w:line="360" w:lineRule="exact"/>
    </w:pPr>
    <w:rPr>
      <w:rFonts w:ascii="Arial" w:hAnsi="Arial" w:eastAsia="宋体" w:cs="Times New Roman"/>
      <w:sz w:val="21"/>
    </w:rPr>
  </w:style>
  <w:style w:type="paragraph" w:customStyle="1" w:styleId="139">
    <w:name w:val="正文格式"/>
    <w:basedOn w:val="1"/>
    <w:autoRedefine/>
    <w:qFormat/>
    <w:uiPriority w:val="0"/>
    <w:pPr>
      <w:widowControl/>
      <w:adjustRightInd w:val="0"/>
      <w:snapToGrid w:val="0"/>
      <w:ind w:firstLine="482" w:firstLineChars="0"/>
    </w:pPr>
    <w:rPr>
      <w:rFonts w:ascii="Times New Roman" w:hAnsi="Times New Roman" w:eastAsia="宋体" w:cs="Times New Roman"/>
      <w:kern w:val="0"/>
      <w:szCs w:val="20"/>
    </w:rPr>
  </w:style>
  <w:style w:type="paragraph" w:customStyle="1" w:styleId="140">
    <w:name w:val="TOC 标题1"/>
    <w:basedOn w:val="4"/>
    <w:next w:val="1"/>
    <w:autoRedefine/>
    <w:qFormat/>
    <w:uiPriority w:val="0"/>
    <w:pPr>
      <w:widowControl/>
      <w:spacing w:line="240" w:lineRule="auto"/>
      <w:outlineLvl w:val="9"/>
    </w:pPr>
    <w:rPr>
      <w:rFonts w:ascii="Times New Roman" w:hAnsi="Times New Roman" w:eastAsia="宋体" w:cs="Times New Roman"/>
      <w:kern w:val="0"/>
      <w:sz w:val="21"/>
      <w:szCs w:val="28"/>
    </w:rPr>
  </w:style>
  <w:style w:type="paragraph" w:customStyle="1" w:styleId="141">
    <w:name w:val="表格"/>
    <w:basedOn w:val="14"/>
    <w:next w:val="1"/>
    <w:autoRedefine/>
    <w:qFormat/>
    <w:uiPriority w:val="0"/>
    <w:pPr>
      <w:spacing w:line="240" w:lineRule="auto"/>
      <w:ind w:firstLine="0" w:firstLineChars="0"/>
      <w:jc w:val="center"/>
    </w:pPr>
    <w:rPr>
      <w:rFonts w:ascii="Times New Roman" w:hAnsi="Times New Roman" w:eastAsia="宋体" w:cs="Times New Roman"/>
    </w:rPr>
  </w:style>
  <w:style w:type="paragraph" w:customStyle="1" w:styleId="142">
    <w:name w:val="Char1"/>
    <w:basedOn w:val="1"/>
    <w:autoRedefine/>
    <w:qFormat/>
    <w:uiPriority w:val="0"/>
    <w:rPr>
      <w:rFonts w:ascii="Tahoma" w:hAnsi="Tahoma" w:eastAsia="宋体" w:cs="Times New Roman"/>
      <w:szCs w:val="20"/>
    </w:rPr>
  </w:style>
  <w:style w:type="paragraph" w:customStyle="1" w:styleId="143">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eastAsia="宋体" w:cs="宋体"/>
      <w:color w:val="000000"/>
      <w:kern w:val="0"/>
      <w:sz w:val="18"/>
      <w:szCs w:val="18"/>
    </w:rPr>
  </w:style>
  <w:style w:type="paragraph" w:customStyle="1" w:styleId="144">
    <w:name w:val="正文－恩普"/>
    <w:basedOn w:val="8"/>
    <w:autoRedefine/>
    <w:qFormat/>
    <w:uiPriority w:val="0"/>
    <w:pPr>
      <w:widowControl/>
      <w:spacing w:afterLines="50" w:line="360" w:lineRule="auto"/>
      <w:ind w:firstLine="480" w:firstLineChars="200"/>
      <w:jc w:val="left"/>
    </w:pPr>
    <w:rPr>
      <w:rFonts w:ascii="Times New Roman" w:hAnsi="Times New Roman" w:eastAsia="宋体" w:cs="Times New Roman"/>
    </w:rPr>
  </w:style>
  <w:style w:type="paragraph" w:customStyle="1" w:styleId="145">
    <w:name w:val="正文2"/>
    <w:basedOn w:val="1"/>
    <w:autoRedefine/>
    <w:qFormat/>
    <w:uiPriority w:val="0"/>
    <w:pPr>
      <w:spacing w:before="156"/>
      <w:ind w:firstLine="510"/>
    </w:pPr>
    <w:rPr>
      <w:rFonts w:ascii="MT Extra" w:hAnsi="MT Extra" w:eastAsia="宋体" w:cs="MT Extra"/>
    </w:rPr>
  </w:style>
  <w:style w:type="paragraph" w:customStyle="1" w:styleId="146">
    <w:name w:val="Char Char Char"/>
    <w:basedOn w:val="1"/>
    <w:autoRedefine/>
    <w:qFormat/>
    <w:uiPriority w:val="0"/>
    <w:pPr>
      <w:spacing w:line="240" w:lineRule="auto"/>
      <w:ind w:firstLine="0" w:firstLineChars="0"/>
    </w:pPr>
    <w:rPr>
      <w:rFonts w:ascii="Tahoma" w:hAnsi="Tahoma" w:eastAsia="宋体" w:cs="Times New Roman"/>
      <w:szCs w:val="20"/>
    </w:rPr>
  </w:style>
  <w:style w:type="paragraph" w:customStyle="1" w:styleId="147">
    <w:name w:val="Char Char Char Char Char Char"/>
    <w:basedOn w:val="1"/>
    <w:autoRedefine/>
    <w:qFormat/>
    <w:uiPriority w:val="0"/>
    <w:pPr>
      <w:spacing w:line="240" w:lineRule="auto"/>
    </w:pPr>
    <w:rPr>
      <w:rFonts w:ascii="Tahoma" w:hAnsi="Tahoma" w:eastAsia="宋体" w:cs="Times New Roman"/>
      <w:szCs w:val="20"/>
    </w:rPr>
  </w:style>
  <w:style w:type="paragraph" w:customStyle="1" w:styleId="148">
    <w:name w:val="Char2"/>
    <w:basedOn w:val="1"/>
    <w:autoRedefine/>
    <w:qFormat/>
    <w:uiPriority w:val="0"/>
    <w:pPr>
      <w:spacing w:line="240" w:lineRule="auto"/>
      <w:ind w:firstLine="0" w:firstLineChars="0"/>
    </w:pPr>
    <w:rPr>
      <w:rFonts w:ascii="仿宋_GB2312" w:hAnsi="Times New Roman" w:eastAsia="仿宋_GB2312" w:cs="Times New Roman"/>
      <w:b/>
      <w:sz w:val="32"/>
      <w:szCs w:val="32"/>
    </w:rPr>
  </w:style>
  <w:style w:type="paragraph" w:customStyle="1" w:styleId="149">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color w:val="000000"/>
      <w:kern w:val="0"/>
      <w:sz w:val="18"/>
      <w:szCs w:val="18"/>
    </w:rPr>
  </w:style>
  <w:style w:type="paragraph" w:customStyle="1" w:styleId="150">
    <w:name w:val="p0"/>
    <w:basedOn w:val="1"/>
    <w:autoRedefine/>
    <w:qFormat/>
    <w:uiPriority w:val="0"/>
    <w:pPr>
      <w:widowControl/>
      <w:spacing w:line="240" w:lineRule="auto"/>
      <w:ind w:firstLine="0" w:firstLineChars="0"/>
    </w:pPr>
    <w:rPr>
      <w:rFonts w:ascii="Times New Roman" w:hAnsi="Times New Roman" w:eastAsia="宋体" w:cs="Times New Roman"/>
      <w:kern w:val="0"/>
      <w:szCs w:val="21"/>
    </w:rPr>
  </w:style>
  <w:style w:type="paragraph" w:customStyle="1" w:styleId="151">
    <w:name w:val="正文1"/>
    <w:basedOn w:val="1"/>
    <w:autoRedefine/>
    <w:qFormat/>
    <w:uiPriority w:val="0"/>
    <w:pPr>
      <w:widowControl/>
      <w:spacing w:after="200" w:line="300" w:lineRule="atLeast"/>
      <w:jc w:val="left"/>
    </w:pPr>
    <w:rPr>
      <w:rFonts w:ascii="Times New Roman" w:hAnsi="Times New Roman" w:eastAsia="宋体" w:cs="宋体"/>
      <w:kern w:val="0"/>
      <w:sz w:val="22"/>
      <w:szCs w:val="22"/>
    </w:rPr>
  </w:style>
  <w:style w:type="paragraph" w:customStyle="1" w:styleId="152">
    <w:name w:val="Char Char Char Char"/>
    <w:basedOn w:val="1"/>
    <w:autoRedefine/>
    <w:qFormat/>
    <w:uiPriority w:val="0"/>
    <w:pPr>
      <w:widowControl/>
      <w:spacing w:after="160" w:line="240" w:lineRule="exact"/>
      <w:ind w:firstLine="0" w:firstLineChars="0"/>
      <w:jc w:val="left"/>
    </w:pPr>
    <w:rPr>
      <w:rFonts w:ascii="Arial" w:hAnsi="Arial" w:eastAsia="Times New Roman" w:cs="Verdana"/>
      <w:b/>
      <w:kern w:val="0"/>
      <w:szCs w:val="20"/>
      <w:lang w:eastAsia="en-US"/>
    </w:rPr>
  </w:style>
  <w:style w:type="paragraph" w:customStyle="1" w:styleId="153">
    <w:name w:val="0"/>
    <w:basedOn w:val="1"/>
    <w:autoRedefine/>
    <w:qFormat/>
    <w:uiPriority w:val="0"/>
    <w:pPr>
      <w:widowControl/>
    </w:pPr>
    <w:rPr>
      <w:rFonts w:ascii="Times New Roman" w:hAnsi="Times New Roman" w:eastAsia="宋体" w:cs="Times New Roman"/>
      <w:kern w:val="0"/>
      <w:szCs w:val="21"/>
    </w:rPr>
  </w:style>
  <w:style w:type="paragraph" w:customStyle="1" w:styleId="154">
    <w:name w:val="Char Char Char Char Char Char Char Char"/>
    <w:basedOn w:val="1"/>
    <w:autoRedefine/>
    <w:qFormat/>
    <w:uiPriority w:val="0"/>
    <w:pPr>
      <w:tabs>
        <w:tab w:val="left" w:pos="360"/>
      </w:tabs>
      <w:spacing w:line="240" w:lineRule="auto"/>
      <w:ind w:firstLine="0" w:firstLineChars="0"/>
    </w:pPr>
    <w:rPr>
      <w:rFonts w:ascii="Times New Roman" w:hAnsi="Times New Roman" w:eastAsia="宋体" w:cs="Times New Roman"/>
      <w:szCs w:val="20"/>
    </w:rPr>
  </w:style>
  <w:style w:type="paragraph" w:customStyle="1" w:styleId="155">
    <w:name w:val="表内文字"/>
    <w:basedOn w:val="1"/>
    <w:autoRedefine/>
    <w:qFormat/>
    <w:uiPriority w:val="0"/>
    <w:pPr>
      <w:tabs>
        <w:tab w:val="left" w:pos="1418"/>
      </w:tabs>
      <w:ind w:firstLine="0" w:firstLineChars="0"/>
      <w:jc w:val="center"/>
    </w:pPr>
    <w:rPr>
      <w:rFonts w:ascii="仿宋_GB2312" w:hAnsi="Times New Roman" w:eastAsia="仿宋_GB2312" w:cs="Times New Roman"/>
      <w:spacing w:val="-20"/>
      <w:kern w:val="0"/>
    </w:rPr>
  </w:style>
  <w:style w:type="paragraph" w:customStyle="1" w:styleId="156">
    <w:name w:val="font6"/>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color w:val="000000"/>
      <w:kern w:val="0"/>
      <w:sz w:val="18"/>
      <w:szCs w:val="18"/>
    </w:rPr>
  </w:style>
  <w:style w:type="paragraph" w:customStyle="1" w:styleId="157">
    <w:name w:val="xl82"/>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color w:val="000000"/>
      <w:kern w:val="0"/>
      <w:sz w:val="18"/>
      <w:szCs w:val="18"/>
    </w:rPr>
  </w:style>
  <w:style w:type="paragraph" w:customStyle="1" w:styleId="158">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color w:val="000000"/>
      <w:kern w:val="0"/>
      <w:sz w:val="18"/>
      <w:szCs w:val="18"/>
    </w:rPr>
  </w:style>
  <w:style w:type="paragraph" w:customStyle="1" w:styleId="159">
    <w:name w:val="Char Char Char Char Char Char Char Char Char Char Char Char Char"/>
    <w:basedOn w:val="1"/>
    <w:autoRedefine/>
    <w:qFormat/>
    <w:uiPriority w:val="0"/>
    <w:pPr>
      <w:spacing w:line="240" w:lineRule="auto"/>
      <w:ind w:firstLine="0" w:firstLineChars="0"/>
    </w:pPr>
    <w:rPr>
      <w:rFonts w:ascii="Tahoma" w:hAnsi="Tahoma" w:eastAsia="宋体" w:cs="Times New Roman"/>
      <w:szCs w:val="20"/>
    </w:rPr>
  </w:style>
  <w:style w:type="paragraph" w:customStyle="1" w:styleId="160">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cs="Times New Roman"/>
      <w:b/>
      <w:bCs/>
      <w:color w:val="000000"/>
      <w:kern w:val="0"/>
      <w:sz w:val="18"/>
      <w:szCs w:val="18"/>
    </w:rPr>
  </w:style>
  <w:style w:type="paragraph" w:customStyle="1" w:styleId="161">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Unicode MS" w:hAnsi="Arial Unicode MS" w:eastAsia="Arial Unicode MS" w:cs="Arial Unicode MS"/>
      <w:color w:val="000000"/>
      <w:kern w:val="0"/>
      <w:sz w:val="16"/>
      <w:szCs w:val="16"/>
    </w:rPr>
  </w:style>
  <w:style w:type="paragraph" w:customStyle="1" w:styleId="162">
    <w:name w:val="trs_editor"/>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63">
    <w:name w:val="font8"/>
    <w:basedOn w:val="1"/>
    <w:autoRedefine/>
    <w:qFormat/>
    <w:uiPriority w:val="0"/>
    <w:pPr>
      <w:widowControl/>
      <w:spacing w:before="100" w:beforeAutospacing="1" w:after="100" w:afterAutospacing="1" w:line="240" w:lineRule="auto"/>
      <w:ind w:firstLine="0" w:firstLineChars="0"/>
      <w:jc w:val="left"/>
    </w:pPr>
    <w:rPr>
      <w:rFonts w:ascii="Times New Roman" w:hAnsi="Times New Roman" w:eastAsia="宋体" w:cs="宋体"/>
      <w:color w:val="000000"/>
      <w:kern w:val="0"/>
      <w:sz w:val="18"/>
      <w:szCs w:val="18"/>
    </w:rPr>
  </w:style>
  <w:style w:type="paragraph" w:customStyle="1" w:styleId="164">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b/>
      <w:bCs/>
      <w:color w:val="000000"/>
      <w:kern w:val="0"/>
      <w:sz w:val="18"/>
      <w:szCs w:val="18"/>
    </w:rPr>
  </w:style>
  <w:style w:type="paragraph" w:customStyle="1" w:styleId="165">
    <w:name w:val="List Paragraph"/>
    <w:basedOn w:val="1"/>
    <w:autoRedefine/>
    <w:qFormat/>
    <w:uiPriority w:val="99"/>
    <w:pPr>
      <w:ind w:firstLine="420"/>
    </w:pPr>
    <w:rPr>
      <w:rFonts w:ascii="Times New Roman" w:hAnsi="Times New Roman" w:eastAsia="宋体" w:cs="Times New Roman"/>
      <w:szCs w:val="22"/>
    </w:rPr>
  </w:style>
  <w:style w:type="paragraph" w:customStyle="1" w:styleId="166">
    <w:name w:val="p16"/>
    <w:basedOn w:val="1"/>
    <w:autoRedefine/>
    <w:qFormat/>
    <w:uiPriority w:val="0"/>
    <w:pPr>
      <w:widowControl/>
      <w:spacing w:line="240" w:lineRule="auto"/>
      <w:ind w:left="420" w:hanging="420" w:firstLineChars="0"/>
    </w:pPr>
    <w:rPr>
      <w:rFonts w:ascii="Times New Roman" w:hAnsi="Times New Roman" w:eastAsia="宋体" w:cs="Times New Roman"/>
      <w:kern w:val="0"/>
      <w:szCs w:val="21"/>
    </w:rPr>
  </w:style>
  <w:style w:type="paragraph" w:customStyle="1" w:styleId="167">
    <w:name w:val="font9"/>
    <w:basedOn w:val="1"/>
    <w:autoRedefine/>
    <w:qFormat/>
    <w:uiPriority w:val="0"/>
    <w:pPr>
      <w:widowControl/>
      <w:spacing w:before="100" w:beforeAutospacing="1" w:after="100" w:afterAutospacing="1" w:line="240" w:lineRule="auto"/>
      <w:ind w:firstLine="0" w:firstLineChars="0"/>
      <w:jc w:val="left"/>
    </w:pPr>
    <w:rPr>
      <w:rFonts w:ascii="Symbol" w:hAnsi="Symbol" w:eastAsia="宋体" w:cs="宋体"/>
      <w:color w:val="000000"/>
      <w:kern w:val="0"/>
      <w:sz w:val="18"/>
      <w:szCs w:val="18"/>
    </w:rPr>
  </w:style>
  <w:style w:type="paragraph" w:customStyle="1" w:styleId="168">
    <w:name w:val="样式3"/>
    <w:basedOn w:val="169"/>
    <w:autoRedefine/>
    <w:qFormat/>
    <w:uiPriority w:val="0"/>
    <w:pPr>
      <w:spacing w:line="240" w:lineRule="auto"/>
    </w:pPr>
    <w:rPr>
      <w:rFonts w:ascii="Times New Roman" w:hAnsi="Times New Roman" w:eastAsia="宋体" w:cs="Times New Roman"/>
      <w:sz w:val="21"/>
    </w:rPr>
  </w:style>
  <w:style w:type="paragraph" w:customStyle="1" w:styleId="169">
    <w:name w:val="样式2"/>
    <w:basedOn w:val="138"/>
    <w:autoRedefine/>
    <w:qFormat/>
    <w:uiPriority w:val="0"/>
    <w:pPr>
      <w:ind w:firstLine="0" w:firstLineChars="0"/>
    </w:pPr>
    <w:rPr>
      <w:rFonts w:ascii="Times New Roman" w:hAnsi="Times New Roman" w:eastAsia="宋体" w:cs="Times New Roman"/>
    </w:rPr>
  </w:style>
  <w:style w:type="paragraph" w:customStyle="1" w:styleId="170">
    <w:name w:val="xl25"/>
    <w:basedOn w:val="1"/>
    <w:autoRedefine/>
    <w:qFormat/>
    <w:uiPriority w:val="0"/>
    <w:pPr>
      <w:widowControl/>
      <w:spacing w:before="100" w:beforeAutospacing="1" w:after="100" w:afterAutospacing="1" w:line="240" w:lineRule="auto"/>
      <w:ind w:firstLine="0" w:firstLineChars="0"/>
      <w:jc w:val="center"/>
      <w:textAlignment w:val="center"/>
    </w:pPr>
    <w:rPr>
      <w:rFonts w:hint="eastAsia" w:ascii="楷体_GB2312" w:hAnsi="宋体" w:eastAsia="楷体_GB2312" w:cs="Times New Roman"/>
      <w:kern w:val="0"/>
    </w:rPr>
  </w:style>
  <w:style w:type="paragraph" w:customStyle="1" w:styleId="171">
    <w:name w:val="Horizontal Bar"/>
    <w:basedOn w:val="1"/>
    <w:autoRedefine/>
    <w:qFormat/>
    <w:uiPriority w:val="0"/>
    <w:pPr>
      <w:kinsoku w:val="0"/>
      <w:overflowPunct w:val="0"/>
      <w:topLinePunct/>
      <w:spacing w:line="0" w:lineRule="atLeast"/>
      <w:ind w:firstLine="0" w:firstLineChars="0"/>
      <w:jc w:val="left"/>
    </w:pPr>
    <w:rPr>
      <w:rFonts w:ascii="ScalaSansLF-Regular" w:hAnsi="ScalaSansLF-Regular" w:eastAsia="ScalaSansLF-Regular" w:cs="ScalaSansLF-Regular"/>
      <w:bCs/>
      <w:sz w:val="16"/>
      <w:szCs w:val="16"/>
      <w:lang w:eastAsia="ja-JP"/>
    </w:rPr>
  </w:style>
  <w:style w:type="paragraph" w:customStyle="1" w:styleId="172">
    <w:name w:val="head 1.1.1"/>
    <w:basedOn w:val="128"/>
    <w:autoRedefine/>
    <w:qFormat/>
    <w:uiPriority w:val="0"/>
    <w:pPr>
      <w:numPr>
        <w:ilvl w:val="2"/>
        <w:numId w:val="3"/>
      </w:numPr>
      <w:spacing w:line="240" w:lineRule="auto"/>
      <w:ind w:firstLine="0" w:firstLineChars="0"/>
    </w:pPr>
    <w:rPr>
      <w:rFonts w:ascii="Times New Roman" w:hAnsi="Times New Roman" w:eastAsia="宋体" w:cs="Times New Roman"/>
      <w:bCs/>
      <w:szCs w:val="22"/>
    </w:rPr>
  </w:style>
  <w:style w:type="paragraph" w:customStyle="1" w:styleId="173">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cs="Times New Roman"/>
      <w:b/>
      <w:bCs/>
      <w:color w:val="000000"/>
      <w:kern w:val="0"/>
      <w:sz w:val="18"/>
      <w:szCs w:val="18"/>
    </w:rPr>
  </w:style>
  <w:style w:type="paragraph" w:customStyle="1" w:styleId="174">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eastAsia="宋体" w:cs="宋体"/>
      <w:color w:val="000000"/>
      <w:kern w:val="0"/>
      <w:sz w:val="18"/>
      <w:szCs w:val="18"/>
    </w:rPr>
  </w:style>
  <w:style w:type="paragraph" w:customStyle="1" w:styleId="175">
    <w:name w:val="Char Char Char Char Char Char Char Char Char Char"/>
    <w:basedOn w:val="9"/>
    <w:autoRedefine/>
    <w:qFormat/>
    <w:uiPriority w:val="0"/>
    <w:pPr>
      <w:shd w:val="clear" w:color="auto" w:fill="000080"/>
      <w:spacing w:line="240" w:lineRule="auto"/>
      <w:ind w:firstLine="0" w:firstLineChars="0"/>
    </w:pPr>
    <w:rPr>
      <w:rFonts w:ascii="Tahoma" w:hAnsi="Tahoma" w:eastAsia="宋体" w:cs="Times New Roman"/>
      <w:sz w:val="24"/>
      <w:szCs w:val="24"/>
    </w:rPr>
  </w:style>
  <w:style w:type="paragraph" w:customStyle="1" w:styleId="176">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Times New Roman" w:hAnsi="Times New Roman" w:eastAsia="宋体" w:cs="Times New Roman"/>
      <w:color w:val="000000"/>
      <w:kern w:val="0"/>
      <w:sz w:val="18"/>
      <w:szCs w:val="18"/>
    </w:rPr>
  </w:style>
  <w:style w:type="paragraph" w:customStyle="1" w:styleId="177">
    <w:name w:val="标题3"/>
    <w:basedOn w:val="5"/>
    <w:link w:val="178"/>
    <w:autoRedefine/>
    <w:qFormat/>
    <w:uiPriority w:val="0"/>
    <w:pPr>
      <w:spacing w:before="260" w:after="260" w:line="415" w:lineRule="auto"/>
    </w:pPr>
    <w:rPr>
      <w:rFonts w:ascii="宋体" w:hAnsi="宋体" w:eastAsia="宋体" w:cs="Times New Roman"/>
      <w:sz w:val="28"/>
      <w:szCs w:val="28"/>
    </w:rPr>
  </w:style>
  <w:style w:type="character" w:customStyle="1" w:styleId="178">
    <w:name w:val="标题3 Char"/>
    <w:link w:val="177"/>
    <w:autoRedefine/>
    <w:qFormat/>
    <w:uiPriority w:val="0"/>
    <w:rPr>
      <w:rFonts w:ascii="宋体" w:hAnsi="宋体" w:eastAsia="宋体" w:cs="Times New Roman"/>
      <w:sz w:val="28"/>
      <w:szCs w:val="28"/>
    </w:rPr>
  </w:style>
  <w:style w:type="paragraph" w:customStyle="1" w:styleId="179">
    <w:name w:val="部分1"/>
    <w:basedOn w:val="1"/>
    <w:autoRedefine/>
    <w:qFormat/>
    <w:uiPriority w:val="0"/>
    <w:pPr>
      <w:keepNext/>
      <w:pageBreakBefore/>
      <w:tabs>
        <w:tab w:val="left" w:pos="720"/>
      </w:tabs>
      <w:jc w:val="center"/>
      <w:outlineLvl w:val="0"/>
    </w:pPr>
    <w:rPr>
      <w:rFonts w:ascii="Times New Roman" w:hAnsi="Times New Roman" w:eastAsia="黑体" w:cs="Times New Roman"/>
      <w:b/>
      <w:kern w:val="44"/>
      <w:sz w:val="36"/>
    </w:rPr>
  </w:style>
  <w:style w:type="paragraph" w:customStyle="1" w:styleId="180">
    <w:name w:val="font7"/>
    <w:basedOn w:val="1"/>
    <w:autoRedefine/>
    <w:qFormat/>
    <w:uiPriority w:val="0"/>
    <w:pPr>
      <w:widowControl/>
      <w:spacing w:before="100" w:beforeAutospacing="1" w:after="100" w:afterAutospacing="1" w:line="240" w:lineRule="auto"/>
      <w:ind w:firstLine="0" w:firstLineChars="0"/>
      <w:jc w:val="left"/>
    </w:pPr>
    <w:rPr>
      <w:rFonts w:ascii="Times New Roman" w:hAnsi="Times New Roman" w:eastAsia="宋体" w:cs="Times New Roman"/>
      <w:color w:val="000000"/>
      <w:kern w:val="0"/>
      <w:sz w:val="18"/>
      <w:szCs w:val="18"/>
    </w:rPr>
  </w:style>
  <w:style w:type="paragraph" w:customStyle="1" w:styleId="181">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Times New Roman" w:hAnsi="Times New Roman" w:eastAsia="宋体" w:cs="Times New Roman"/>
      <w:color w:val="000000"/>
      <w:kern w:val="0"/>
      <w:sz w:val="18"/>
      <w:szCs w:val="18"/>
    </w:rPr>
  </w:style>
  <w:style w:type="paragraph" w:customStyle="1" w:styleId="182">
    <w:name w:val="四级目录 Char Char Char Char Char"/>
    <w:next w:val="1"/>
    <w:autoRedefine/>
    <w:qFormat/>
    <w:uiPriority w:val="0"/>
    <w:pPr>
      <w:spacing w:line="360" w:lineRule="auto"/>
      <w:ind w:left="200" w:leftChars="200"/>
    </w:pPr>
    <w:rPr>
      <w:rFonts w:ascii="Times New Roman" w:hAnsi="Times New Roman" w:eastAsia="仿宋_GB2312" w:cs="Times New Roman"/>
      <w:sz w:val="30"/>
      <w:lang w:val="en-US" w:eastAsia="en-US" w:bidi="ar-SA"/>
    </w:rPr>
  </w:style>
  <w:style w:type="paragraph" w:customStyle="1" w:styleId="183">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color w:val="000000"/>
      <w:kern w:val="0"/>
      <w:sz w:val="18"/>
      <w:szCs w:val="18"/>
    </w:rPr>
  </w:style>
  <w:style w:type="paragraph" w:customStyle="1" w:styleId="184">
    <w:name w:val="样式4"/>
    <w:basedOn w:val="1"/>
    <w:autoRedefine/>
    <w:qFormat/>
    <w:uiPriority w:val="0"/>
    <w:pPr>
      <w:ind w:firstLine="0" w:firstLineChars="0"/>
      <w:jc w:val="center"/>
    </w:pPr>
    <w:rPr>
      <w:rFonts w:ascii="Times New Roman" w:hAnsi="Times New Roman" w:eastAsia="宋体" w:cs="Times New Roman"/>
      <w:sz w:val="20"/>
    </w:rPr>
  </w:style>
  <w:style w:type="paragraph" w:customStyle="1" w:styleId="185">
    <w:name w:val="默认段落字体 Para Char Char Char Char Char Char Char Char Char1 Char Char Char Char"/>
    <w:basedOn w:val="1"/>
    <w:autoRedefine/>
    <w:qFormat/>
    <w:uiPriority w:val="0"/>
    <w:rPr>
      <w:rFonts w:ascii="Tahoma" w:hAnsi="Tahoma" w:eastAsia="宋体" w:cs="Times New Roman"/>
      <w:szCs w:val="20"/>
    </w:rPr>
  </w:style>
  <w:style w:type="paragraph" w:customStyle="1" w:styleId="186">
    <w:name w:val="Char"/>
    <w:basedOn w:val="1"/>
    <w:autoRedefine/>
    <w:qFormat/>
    <w:uiPriority w:val="0"/>
    <w:pPr>
      <w:spacing w:line="240" w:lineRule="auto"/>
      <w:ind w:firstLine="0" w:firstLineChars="0"/>
    </w:pPr>
    <w:rPr>
      <w:rFonts w:ascii="仿宋_GB2312" w:hAnsi="Times New Roman" w:eastAsia="仿宋_GB2312" w:cs="Times New Roman"/>
      <w:b/>
      <w:sz w:val="32"/>
      <w:szCs w:val="32"/>
    </w:rPr>
  </w:style>
  <w:style w:type="paragraph" w:customStyle="1" w:styleId="187">
    <w:name w:val="_Style 3"/>
    <w:basedOn w:val="1"/>
    <w:next w:val="165"/>
    <w:autoRedefine/>
    <w:qFormat/>
    <w:uiPriority w:val="0"/>
    <w:pPr>
      <w:ind w:firstLine="420"/>
    </w:pPr>
    <w:rPr>
      <w:rFonts w:ascii="Times New Roman" w:hAnsi="Times New Roman" w:eastAsia="宋体" w:cs="Times New Roman"/>
      <w:szCs w:val="22"/>
    </w:rPr>
  </w:style>
  <w:style w:type="paragraph" w:customStyle="1" w:styleId="188">
    <w:name w:val="正文缩进1"/>
    <w:basedOn w:val="1"/>
    <w:next w:val="15"/>
    <w:autoRedefine/>
    <w:qFormat/>
    <w:uiPriority w:val="0"/>
    <w:pPr>
      <w:autoSpaceDE w:val="0"/>
      <w:autoSpaceDN w:val="0"/>
      <w:adjustRightInd w:val="0"/>
      <w:snapToGrid w:val="0"/>
      <w:spacing w:after="120"/>
      <w:ind w:left="420" w:firstLine="480" w:firstLineChars="0"/>
    </w:pPr>
    <w:rPr>
      <w:rFonts w:ascii="Times New Roman" w:hAnsi="Times New Roman" w:eastAsia="宋体" w:cs="Times New Roman"/>
      <w:szCs w:val="20"/>
    </w:rPr>
  </w:style>
  <w:style w:type="paragraph" w:customStyle="1" w:styleId="189">
    <w:name w:val="_Style 54"/>
    <w:basedOn w:val="1"/>
    <w:autoRedefine/>
    <w:qFormat/>
    <w:uiPriority w:val="0"/>
    <w:pPr>
      <w:spacing w:line="240" w:lineRule="auto"/>
      <w:ind w:firstLine="0" w:firstLineChars="0"/>
    </w:pPr>
    <w:rPr>
      <w:rFonts w:ascii="Times New Roman" w:hAnsi="Times New Roman" w:eastAsia="宋体" w:cs="Times New Roman"/>
    </w:rPr>
  </w:style>
  <w:style w:type="paragraph" w:customStyle="1" w:styleId="190">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b/>
      <w:bCs/>
      <w:color w:val="000000"/>
      <w:kern w:val="0"/>
      <w:sz w:val="18"/>
      <w:szCs w:val="18"/>
    </w:rPr>
  </w:style>
  <w:style w:type="paragraph" w:customStyle="1" w:styleId="191">
    <w:name w:val="_Style 185"/>
    <w:autoRedefine/>
    <w:qFormat/>
    <w:uiPriority w:val="0"/>
    <w:rPr>
      <w:rFonts w:ascii="Times New Roman" w:hAnsi="Times New Roman" w:eastAsia="宋体" w:cs="Times New Roman"/>
      <w:kern w:val="2"/>
      <w:sz w:val="24"/>
      <w:szCs w:val="24"/>
      <w:lang w:val="en-US" w:eastAsia="zh-CN" w:bidi="ar-SA"/>
    </w:rPr>
  </w:style>
  <w:style w:type="paragraph" w:customStyle="1" w:styleId="192">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cs="Times New Roman"/>
      <w:color w:val="000000"/>
      <w:kern w:val="0"/>
      <w:sz w:val="18"/>
      <w:szCs w:val="18"/>
    </w:rPr>
  </w:style>
  <w:style w:type="paragraph" w:customStyle="1" w:styleId="193">
    <w:name w:val="font5"/>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194">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cs="Times New Roman"/>
      <w:color w:val="000000"/>
      <w:kern w:val="0"/>
      <w:sz w:val="18"/>
      <w:szCs w:val="18"/>
    </w:rPr>
  </w:style>
  <w:style w:type="paragraph" w:customStyle="1" w:styleId="195">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eastAsia="宋体" w:cs="宋体"/>
      <w:color w:val="000000"/>
      <w:kern w:val="0"/>
      <w:sz w:val="18"/>
      <w:szCs w:val="18"/>
    </w:rPr>
  </w:style>
  <w:style w:type="paragraph" w:customStyle="1" w:styleId="196">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Times New Roman" w:hAnsi="Times New Roman" w:eastAsia="宋体" w:cs="Times New Roman"/>
      <w:color w:val="000000"/>
      <w:kern w:val="0"/>
      <w:sz w:val="18"/>
      <w:szCs w:val="18"/>
    </w:rPr>
  </w:style>
  <w:style w:type="paragraph" w:customStyle="1" w:styleId="197">
    <w:name w:val="文字"/>
    <w:basedOn w:val="1"/>
    <w:autoRedefine/>
    <w:qFormat/>
    <w:uiPriority w:val="0"/>
    <w:pPr>
      <w:tabs>
        <w:tab w:val="left" w:pos="8520"/>
      </w:tabs>
      <w:spacing w:line="312" w:lineRule="auto"/>
      <w:ind w:right="-210" w:firstLine="556" w:firstLineChars="0"/>
    </w:pPr>
    <w:rPr>
      <w:rFonts w:ascii="楷体_GB2312" w:hAnsi="Times New Roman" w:eastAsia="楷体_GB2312" w:cs="Times New Roman"/>
      <w:sz w:val="28"/>
      <w:szCs w:val="20"/>
    </w:rPr>
  </w:style>
  <w:style w:type="character" w:customStyle="1" w:styleId="198">
    <w:name w:val="on1"/>
    <w:autoRedefine/>
    <w:qFormat/>
    <w:uiPriority w:val="0"/>
  </w:style>
  <w:style w:type="character" w:customStyle="1" w:styleId="199">
    <w:name w:val="bulletintext1"/>
    <w:autoRedefine/>
    <w:qFormat/>
    <w:uiPriority w:val="0"/>
    <w:rPr>
      <w:color w:val="000000"/>
      <w:sz w:val="18"/>
      <w:szCs w:val="18"/>
    </w:rPr>
  </w:style>
  <w:style w:type="character" w:customStyle="1" w:styleId="200">
    <w:name w:val="font21"/>
    <w:basedOn w:val="47"/>
    <w:autoRedefine/>
    <w:qFormat/>
    <w:uiPriority w:val="0"/>
    <w:rPr>
      <w:rFonts w:hint="eastAsia" w:ascii="仿宋" w:hAnsi="仿宋" w:eastAsia="仿宋" w:cs="仿宋"/>
      <w:color w:val="000000"/>
      <w:sz w:val="24"/>
      <w:szCs w:val="24"/>
      <w:u w:val="none"/>
    </w:rPr>
  </w:style>
  <w:style w:type="paragraph" w:customStyle="1" w:styleId="201">
    <w:name w:val="_Style 1"/>
    <w:basedOn w:val="1"/>
    <w:autoRedefine/>
    <w:qFormat/>
    <w:uiPriority w:val="34"/>
    <w:pPr>
      <w:ind w:firstLine="420" w:firstLineChars="200"/>
    </w:pPr>
    <w:rPr>
      <w:szCs w:val="21"/>
    </w:rPr>
  </w:style>
  <w:style w:type="paragraph" w:customStyle="1" w:styleId="202">
    <w:name w:val="样式 首行缩进:  2 字符"/>
    <w:basedOn w:val="1"/>
    <w:autoRedefine/>
    <w:qFormat/>
    <w:uiPriority w:val="0"/>
    <w:pPr>
      <w:ind w:firstLine="420"/>
    </w:pPr>
    <w:rPr>
      <w:rFonts w:eastAsia="楷体" w:cs="宋体"/>
      <w:szCs w:val="20"/>
    </w:rPr>
  </w:style>
  <w:style w:type="paragraph" w:customStyle="1" w:styleId="203">
    <w:name w:val="此正文"/>
    <w:basedOn w:val="1"/>
    <w:autoRedefine/>
    <w:qFormat/>
    <w:uiPriority w:val="0"/>
    <w:pPr>
      <w:spacing w:line="360" w:lineRule="auto"/>
      <w:ind w:firstLine="480" w:firstLineChars="200"/>
    </w:pPr>
    <w:rPr>
      <w:sz w:val="24"/>
    </w:rPr>
  </w:style>
  <w:style w:type="paragraph" w:customStyle="1" w:styleId="204">
    <w:name w:val="默认段落字体 Para Char Char Char Char Char Char Char Char"/>
    <w:basedOn w:val="1"/>
    <w:autoRedefine/>
    <w:qFormat/>
    <w:uiPriority w:val="0"/>
  </w:style>
  <w:style w:type="paragraph" w:customStyle="1" w:styleId="205">
    <w:name w:val="Normal Indent1"/>
    <w:basedOn w:val="1"/>
    <w:qFormat/>
    <w:uiPriority w:val="99"/>
    <w:pPr>
      <w:ind w:firstLine="420" w:firstLineChars="200"/>
    </w:pPr>
  </w:style>
  <w:style w:type="paragraph" w:customStyle="1" w:styleId="206">
    <w:name w:val="纯文本1"/>
    <w:basedOn w:val="1"/>
    <w:qFormat/>
    <w:uiPriority w:val="99"/>
    <w:rPr>
      <w:rFonts w:ascii="宋体" w:hAnsi="Courier New" w:eastAsia="宋体"/>
      <w:kern w:val="0"/>
      <w:sz w:val="20"/>
    </w:rPr>
  </w:style>
  <w:style w:type="paragraph" w:customStyle="1" w:styleId="207">
    <w:name w:val="段"/>
    <w:next w:val="1"/>
    <w:qFormat/>
    <w:uiPriority w:val="0"/>
    <w:pPr>
      <w:autoSpaceDE w:val="0"/>
      <w:autoSpaceDN w:val="0"/>
      <w:ind w:firstLine="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header" Target="header8.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6.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header" Target="header4.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121</Pages>
  <Words>16405</Words>
  <Characters>18782</Characters>
  <Lines>258</Lines>
  <Paragraphs>72</Paragraphs>
  <TotalTime>49</TotalTime>
  <ScaleCrop>false</ScaleCrop>
  <LinksUpToDate>false</LinksUpToDate>
  <CharactersWithSpaces>19280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2022-10-10T01:20:00Z</dcterms:created>
  <dc:creator>Administrator</dc:creator>
  <cp:lastModifiedBy>徐敬琪</cp:lastModifiedBy>
  <cp:lastPrinted>2024-12-26T05:56:00Z</cp:lastPrinted>
  <dcterms:modified xsi:type="dcterms:W3CDTF">2025-01-14T02:42:36Z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98F439E5578E4943AFA7C7A947647180_13</vt:lpwstr>
  </property>
  <property fmtid="{D5CDD505-2E9C-101B-9397-08002B2CF9AE}" pid="4" name="commondata">
    <vt:lpwstr>eyJoZGlkIjoiNDFiMTYwZWIzMTJiMzU2MDhiNmNlNmMzMWM5MjdmYjkifQ==</vt:lpwstr>
  </property>
  <property fmtid="{D5CDD505-2E9C-101B-9397-08002B2CF9AE}" pid="5" name="KSOTemplateDocerSaveRecord">
    <vt:lpwstr>eyJoZGlkIjoiNWZkNjA2YzQ4YjM4MzJhY2FhNjQwYzcxZGFmNTE5NWUiLCJ1c2VySWQiOiIxMjQxNjAwMjgyIn0=</vt:lpwstr>
  </property>
</Properties>
</file>