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05ABE">
      <w:pPr>
        <w:spacing w:line="620" w:lineRule="exact"/>
        <w:jc w:val="center"/>
        <w:rPr>
          <w:rFonts w:hint="eastAsia" w:ascii="宋体" w:hAnsi="宋体"/>
          <w:color w:val="auto"/>
          <w:sz w:val="32"/>
          <w:szCs w:val="32"/>
          <w:highlight w:val="none"/>
          <w:lang w:val="en-US" w:eastAsia="zh-CN"/>
        </w:rPr>
      </w:pPr>
      <w:r>
        <w:rPr>
          <w:rFonts w:hint="eastAsia" w:ascii="宋体" w:hAnsi="宋体"/>
          <w:color w:val="auto"/>
          <w:sz w:val="32"/>
          <w:szCs w:val="32"/>
          <w:highlight w:val="none"/>
          <w:lang w:val="en-US" w:eastAsia="zh-CN"/>
        </w:rPr>
        <w:t>崇寿镇综合行政执法中心迁移改造工程</w:t>
      </w:r>
    </w:p>
    <w:p w14:paraId="4F8A4CD8">
      <w:pPr>
        <w:spacing w:line="620" w:lineRule="exact"/>
        <w:jc w:val="center"/>
        <w:rPr>
          <w:rFonts w:hint="eastAsia" w:ascii="宋体" w:hAnsi="宋体" w:eastAsia="宋体"/>
          <w:color w:val="auto"/>
          <w:sz w:val="32"/>
          <w:szCs w:val="32"/>
          <w:highlight w:val="none"/>
          <w:lang w:eastAsia="zh-CN"/>
        </w:rPr>
      </w:pPr>
      <w:r>
        <w:rPr>
          <w:rFonts w:hint="eastAsia" w:ascii="宋体" w:hAnsi="宋体"/>
          <w:color w:val="auto"/>
          <w:sz w:val="32"/>
          <w:szCs w:val="32"/>
          <w:highlight w:val="none"/>
          <w:lang w:val="en-US" w:eastAsia="zh-CN"/>
        </w:rPr>
        <w:t>工程量清单</w:t>
      </w:r>
      <w:r>
        <w:rPr>
          <w:rFonts w:hint="eastAsia" w:ascii="宋体" w:hAnsi="宋体"/>
          <w:color w:val="auto"/>
          <w:sz w:val="32"/>
          <w:szCs w:val="32"/>
          <w:highlight w:val="none"/>
        </w:rPr>
        <w:t>编制说明</w:t>
      </w:r>
    </w:p>
    <w:p w14:paraId="74006FE4">
      <w:pPr>
        <w:spacing w:line="620" w:lineRule="exact"/>
        <w:jc w:val="center"/>
        <w:rPr>
          <w:rFonts w:ascii="楷体_GB2312" w:hAnsi="楷体_GB2312" w:eastAsia="楷体_GB2312"/>
          <w:color w:val="auto"/>
          <w:sz w:val="36"/>
          <w:szCs w:val="36"/>
          <w:highlight w:val="none"/>
        </w:rPr>
      </w:pPr>
    </w:p>
    <w:p w14:paraId="413FC6A7">
      <w:pPr>
        <w:spacing w:line="360" w:lineRule="auto"/>
        <w:rPr>
          <w:rFonts w:hint="eastAsia" w:ascii="宋体" w:hAnsi="宋体"/>
          <w:color w:val="auto"/>
          <w:sz w:val="24"/>
          <w:highlight w:val="none"/>
        </w:rPr>
      </w:pPr>
      <w:r>
        <w:rPr>
          <w:rFonts w:hint="eastAsia" w:ascii="宋体" w:hAnsi="宋体"/>
          <w:color w:val="auto"/>
          <w:sz w:val="24"/>
          <w:highlight w:val="none"/>
        </w:rPr>
        <w:t>一、工程概况</w:t>
      </w:r>
    </w:p>
    <w:p w14:paraId="0BDBA2B7">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textAlignment w:val="auto"/>
        <w:rPr>
          <w:rFonts w:hint="default" w:ascii="宋体" w:hAnsi="宋体"/>
          <w:color w:val="auto"/>
          <w:sz w:val="24"/>
          <w:highlight w:val="none"/>
          <w:lang w:val="en-US"/>
        </w:rPr>
      </w:pPr>
      <w:r>
        <w:rPr>
          <w:rFonts w:hint="eastAsia" w:ascii="宋体" w:hAnsi="宋体"/>
          <w:color w:val="auto"/>
          <w:sz w:val="24"/>
          <w:highlight w:val="none"/>
        </w:rPr>
        <w:t>本工程位于慈溪市崇寿镇，本项目主要建设内容包括1幢2层楼改造维修、室外场地抬高、新建车棚等工程。项目总建筑面积为698.08㎡。</w:t>
      </w:r>
    </w:p>
    <w:p w14:paraId="19E3873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本工程建设单位为</w:t>
      </w:r>
      <w:r>
        <w:rPr>
          <w:rFonts w:hint="eastAsia" w:ascii="宋体" w:hAnsi="宋体"/>
          <w:color w:val="auto"/>
          <w:sz w:val="24"/>
          <w:highlight w:val="none"/>
          <w:lang w:val="en-US" w:eastAsia="zh-CN"/>
        </w:rPr>
        <w:t>慈溪市崇寿镇综合行政执法中心</w:t>
      </w:r>
      <w:r>
        <w:rPr>
          <w:rFonts w:hint="eastAsia" w:ascii="宋体" w:hAnsi="宋体"/>
          <w:color w:val="auto"/>
          <w:sz w:val="24"/>
          <w:highlight w:val="none"/>
        </w:rPr>
        <w:t>。</w:t>
      </w:r>
    </w:p>
    <w:p w14:paraId="162AA08C">
      <w:pPr>
        <w:spacing w:line="360" w:lineRule="auto"/>
        <w:rPr>
          <w:rFonts w:hint="eastAsia" w:ascii="宋体" w:hAnsi="宋体"/>
          <w:color w:val="auto"/>
          <w:sz w:val="24"/>
          <w:highlight w:val="none"/>
        </w:rPr>
      </w:pPr>
      <w:r>
        <w:rPr>
          <w:rFonts w:hint="eastAsia" w:ascii="宋体" w:hAnsi="宋体"/>
          <w:color w:val="auto"/>
          <w:sz w:val="24"/>
          <w:highlight w:val="none"/>
        </w:rPr>
        <w:t>二、编制范围</w:t>
      </w:r>
    </w:p>
    <w:p w14:paraId="70930FA0">
      <w:pPr>
        <w:spacing w:line="360" w:lineRule="auto"/>
        <w:ind w:firstLine="480" w:firstLineChars="20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崇寿镇综合行政执法中心迁移改造工程，主要包括施工图内外墙改造工程、室内装修改造工程、室外改造工程、电气工程、给排水工程等。</w:t>
      </w:r>
    </w:p>
    <w:p w14:paraId="3ED35344">
      <w:pPr>
        <w:spacing w:line="360" w:lineRule="auto"/>
        <w:rPr>
          <w:rFonts w:hint="eastAsia" w:ascii="宋体" w:hAnsi="宋体"/>
          <w:color w:val="auto"/>
          <w:sz w:val="24"/>
          <w:highlight w:val="none"/>
        </w:rPr>
      </w:pPr>
      <w:r>
        <w:rPr>
          <w:rFonts w:hint="eastAsia" w:ascii="宋体" w:hAnsi="宋体"/>
          <w:color w:val="auto"/>
          <w:sz w:val="24"/>
          <w:highlight w:val="none"/>
        </w:rPr>
        <w:t>三、工程量清单编制依据：</w:t>
      </w:r>
    </w:p>
    <w:p w14:paraId="52729DCC">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1、清单工程量：委托方提供的该工程施工图纸。</w:t>
      </w:r>
    </w:p>
    <w:p w14:paraId="2EE22E10">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清单计价规范：《建设工程工程量清单计价规范》（GB50500-2013）；《房屋建筑与装饰工程工程量计算规范》（GB50854-2013）、《通用安装工程工程量计算规范》（GB50856-2013）、《市政工程工程量计算规范》（GB50857-2013）</w:t>
      </w:r>
      <w:r>
        <w:rPr>
          <w:rFonts w:hint="eastAsia" w:ascii="宋体" w:hAnsi="宋体"/>
          <w:color w:val="auto"/>
          <w:sz w:val="24"/>
          <w:highlight w:val="none"/>
          <w:lang w:eastAsia="zh-CN"/>
        </w:rPr>
        <w:t>、《关于印发宁波市房屋建筑工程安全文明施工标准提升计价方法的通知》（市建管[2021]34号）、《关于印发宁波市房屋建筑工程安全文明施工标准提升计价方法的通知》（市建管[2021]34号）、</w:t>
      </w:r>
      <w:r>
        <w:rPr>
          <w:rFonts w:hint="eastAsia" w:ascii="宋体" w:hAnsi="宋体" w:cs="宋体"/>
          <w:color w:val="auto"/>
          <w:sz w:val="24"/>
          <w:highlight w:val="none"/>
        </w:rPr>
        <w:t>《关于增值税调整后我省建设工程计价依据增值税税率及有关计价调整的通知》（浙建建发[2019]92号）</w:t>
      </w:r>
      <w:r>
        <w:rPr>
          <w:rFonts w:hint="eastAsia" w:ascii="宋体" w:hAnsi="宋体"/>
          <w:color w:val="auto"/>
          <w:sz w:val="24"/>
          <w:highlight w:val="none"/>
        </w:rPr>
        <w:t>等有关政策法规及省、市有关部门的建设工程造价管理相关文件的规定。</w:t>
      </w:r>
    </w:p>
    <w:p w14:paraId="6ABB08A5">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3、本工程税金按一般计税方法计取。</w:t>
      </w:r>
    </w:p>
    <w:p w14:paraId="7EF49967">
      <w:pPr>
        <w:spacing w:line="360" w:lineRule="auto"/>
        <w:ind w:firstLine="480" w:firstLineChars="200"/>
        <w:rPr>
          <w:rFonts w:hint="default" w:ascii="宋体" w:hAnsi="宋体" w:eastAsia="宋体"/>
          <w:color w:val="auto"/>
          <w:sz w:val="24"/>
          <w:highlight w:val="none"/>
          <w:u w:val="single"/>
          <w:lang w:val="en-US" w:eastAsia="zh-CN"/>
        </w:rPr>
      </w:pPr>
      <w:r>
        <w:rPr>
          <w:rFonts w:hint="eastAsia" w:ascii="宋体" w:hAnsi="宋体"/>
          <w:color w:val="auto"/>
          <w:sz w:val="24"/>
          <w:highlight w:val="none"/>
          <w:lang w:val="en-US" w:eastAsia="zh-CN"/>
        </w:rPr>
        <w:t>4、安全文明施工费低限值</w:t>
      </w:r>
      <w:r>
        <w:rPr>
          <w:rFonts w:hint="eastAsia" w:ascii="宋体" w:hAnsi="宋体"/>
          <w:color w:val="auto"/>
          <w:sz w:val="24"/>
          <w:highlight w:val="none"/>
          <w:u w:val="single"/>
          <w:lang w:val="en-US" w:eastAsia="zh-CN"/>
        </w:rPr>
        <w:t>21900.83</w:t>
      </w:r>
      <w:r>
        <w:rPr>
          <w:rFonts w:hint="eastAsia" w:ascii="宋体" w:hAnsi="宋体"/>
          <w:color w:val="auto"/>
          <w:sz w:val="24"/>
          <w:highlight w:val="none"/>
          <w:u w:val="none"/>
          <w:lang w:val="en-US" w:eastAsia="zh-CN"/>
        </w:rPr>
        <w:t>元(含税)，</w:t>
      </w:r>
      <w:r>
        <w:rPr>
          <w:rFonts w:hint="eastAsia" w:ascii="宋体" w:hAnsi="宋体" w:eastAsia="宋体" w:cs="宋体"/>
          <w:b w:val="0"/>
          <w:bCs/>
          <w:color w:val="auto"/>
          <w:sz w:val="24"/>
          <w:szCs w:val="24"/>
          <w:highlight w:val="none"/>
        </w:rPr>
        <w:t>暂列金</w:t>
      </w:r>
      <w:r>
        <w:rPr>
          <w:rFonts w:hint="eastAsia" w:ascii="宋体" w:hAnsi="宋体"/>
          <w:color w:val="auto"/>
          <w:sz w:val="24"/>
          <w:highlight w:val="none"/>
          <w:u w:val="single"/>
          <w:lang w:val="en-US" w:eastAsia="zh-CN"/>
        </w:rPr>
        <w:t>/</w:t>
      </w:r>
      <w:r>
        <w:rPr>
          <w:rFonts w:hint="eastAsia" w:ascii="宋体" w:hAnsi="宋体" w:cs="宋体"/>
          <w:color w:val="auto"/>
          <w:sz w:val="24"/>
          <w:szCs w:val="24"/>
          <w:highlight w:val="none"/>
          <w:lang w:val="en-US" w:eastAsia="zh-CN"/>
        </w:rPr>
        <w:t>元（含税），</w:t>
      </w:r>
      <w:r>
        <w:rPr>
          <w:rFonts w:hint="eastAsia" w:ascii="宋体" w:hAnsi="宋体"/>
          <w:color w:val="auto"/>
          <w:sz w:val="24"/>
          <w:highlight w:val="none"/>
          <w:u w:val="none"/>
          <w:lang w:val="en-US" w:eastAsia="zh-CN"/>
        </w:rPr>
        <w:t>暂估价</w:t>
      </w:r>
      <w:r>
        <w:rPr>
          <w:rFonts w:hint="eastAsia" w:ascii="宋体" w:hAnsi="宋体"/>
          <w:color w:val="auto"/>
          <w:sz w:val="24"/>
          <w:highlight w:val="none"/>
          <w:u w:val="single"/>
          <w:lang w:val="en-US" w:eastAsia="zh-CN"/>
        </w:rPr>
        <w:t>/</w:t>
      </w:r>
      <w:r>
        <w:rPr>
          <w:rFonts w:hint="eastAsia" w:ascii="宋体" w:hAnsi="宋体"/>
          <w:color w:val="auto"/>
          <w:sz w:val="24"/>
          <w:highlight w:val="none"/>
          <w:u w:val="none"/>
          <w:lang w:val="en-US" w:eastAsia="zh-CN"/>
        </w:rPr>
        <w:t>元(含税)，专业工程暂估价</w:t>
      </w:r>
      <w:r>
        <w:rPr>
          <w:rFonts w:hint="eastAsia" w:ascii="宋体" w:hAnsi="宋体"/>
          <w:color w:val="auto"/>
          <w:sz w:val="24"/>
          <w:highlight w:val="none"/>
          <w:u w:val="single"/>
          <w:lang w:val="en-US" w:eastAsia="zh-CN"/>
        </w:rPr>
        <w:t>/</w:t>
      </w:r>
      <w:r>
        <w:rPr>
          <w:rFonts w:hint="eastAsia" w:ascii="宋体" w:hAnsi="宋体"/>
          <w:color w:val="auto"/>
          <w:sz w:val="24"/>
          <w:highlight w:val="none"/>
          <w:u w:val="none"/>
          <w:lang w:val="en-US" w:eastAsia="zh-CN"/>
        </w:rPr>
        <w:t>元（含税）。</w:t>
      </w:r>
    </w:p>
    <w:p w14:paraId="60ED7F22">
      <w:pPr>
        <w:spacing w:line="360" w:lineRule="auto"/>
        <w:rPr>
          <w:rFonts w:hint="eastAsia" w:ascii="宋体" w:hAnsi="宋体"/>
          <w:color w:val="auto"/>
          <w:sz w:val="24"/>
          <w:highlight w:val="none"/>
        </w:rPr>
      </w:pPr>
      <w:r>
        <w:rPr>
          <w:rFonts w:hint="eastAsia" w:ascii="宋体" w:hAnsi="宋体"/>
          <w:color w:val="auto"/>
          <w:sz w:val="24"/>
          <w:highlight w:val="none"/>
        </w:rPr>
        <w:t>四、工程量清单应与投标须知、合同条件、合同协议书条款、技术规范、清单说明及组成文件等资料结合起来理解或解释。</w:t>
      </w:r>
    </w:p>
    <w:p w14:paraId="274F4412">
      <w:pPr>
        <w:spacing w:line="360" w:lineRule="auto"/>
        <w:rPr>
          <w:rFonts w:hint="eastAsia" w:ascii="宋体" w:hAnsi="宋体"/>
          <w:color w:val="auto"/>
          <w:sz w:val="24"/>
          <w:highlight w:val="none"/>
        </w:rPr>
      </w:pPr>
      <w:r>
        <w:rPr>
          <w:rFonts w:hint="eastAsia" w:ascii="宋体" w:hAnsi="宋体"/>
          <w:color w:val="auto"/>
          <w:sz w:val="24"/>
          <w:highlight w:val="none"/>
        </w:rPr>
        <w:t>五、工程量清单中的任何内容不得随意更改及删除。不得擅自对招标人提供的工程量清单内容</w:t>
      </w:r>
      <w:r>
        <w:rPr>
          <w:rFonts w:ascii="宋体" w:hAnsi="宋体"/>
          <w:color w:val="auto"/>
          <w:sz w:val="24"/>
          <w:highlight w:val="none"/>
        </w:rPr>
        <w:t>(</w:t>
      </w:r>
      <w:r>
        <w:rPr>
          <w:rFonts w:hint="eastAsia" w:ascii="宋体" w:hAnsi="宋体"/>
          <w:color w:val="auto"/>
          <w:sz w:val="24"/>
          <w:highlight w:val="none"/>
        </w:rPr>
        <w:t>计算单位、工程数量等</w:t>
      </w:r>
      <w:r>
        <w:rPr>
          <w:rFonts w:ascii="宋体" w:hAnsi="宋体"/>
          <w:color w:val="auto"/>
          <w:sz w:val="24"/>
          <w:highlight w:val="none"/>
        </w:rPr>
        <w:t>)</w:t>
      </w:r>
      <w:r>
        <w:rPr>
          <w:rFonts w:hint="eastAsia" w:ascii="宋体" w:hAnsi="宋体"/>
          <w:color w:val="auto"/>
          <w:sz w:val="24"/>
          <w:highlight w:val="none"/>
        </w:rPr>
        <w:t>进行变动。</w:t>
      </w:r>
    </w:p>
    <w:p w14:paraId="64513A12">
      <w:pPr>
        <w:spacing w:line="360" w:lineRule="auto"/>
        <w:rPr>
          <w:rFonts w:hint="eastAsia" w:ascii="宋体" w:hAnsi="宋体"/>
          <w:color w:val="auto"/>
          <w:sz w:val="24"/>
          <w:highlight w:val="none"/>
        </w:rPr>
      </w:pPr>
      <w:r>
        <w:rPr>
          <w:rFonts w:hint="eastAsia" w:ascii="宋体" w:hAnsi="宋体"/>
          <w:color w:val="auto"/>
          <w:sz w:val="24"/>
          <w:highlight w:val="none"/>
        </w:rPr>
        <w:t>六、分部分项工程量清单中对工程项目的项目特征只作重点描述，详细描述见编制说明</w:t>
      </w:r>
      <w:r>
        <w:rPr>
          <w:rFonts w:hint="eastAsia" w:ascii="宋体" w:hAnsi="宋体"/>
          <w:color w:val="auto"/>
          <w:sz w:val="24"/>
          <w:highlight w:val="none"/>
          <w:lang w:eastAsia="zh-CN"/>
        </w:rPr>
        <w:t>、</w:t>
      </w:r>
      <w:r>
        <w:rPr>
          <w:rFonts w:hint="eastAsia" w:ascii="宋体" w:hAnsi="宋体"/>
          <w:color w:val="auto"/>
          <w:sz w:val="24"/>
          <w:highlight w:val="none"/>
        </w:rPr>
        <w:t>技术措施及相应标准图集；综合单价组价时应结合投标人现场勘察和相关规范要求，其综合单价应包括完成</w:t>
      </w:r>
      <w:r>
        <w:rPr>
          <w:rFonts w:hint="eastAsia" w:ascii="宋体" w:hAnsi="宋体"/>
          <w:color w:val="auto"/>
          <w:sz w:val="24"/>
          <w:highlight w:val="none"/>
          <w:lang w:val="en-US" w:eastAsia="zh-CN"/>
        </w:rPr>
        <w:t>招标人</w:t>
      </w:r>
      <w:r>
        <w:rPr>
          <w:rFonts w:hint="eastAsia" w:ascii="宋体" w:hAnsi="宋体"/>
          <w:color w:val="auto"/>
          <w:sz w:val="24"/>
          <w:highlight w:val="none"/>
        </w:rPr>
        <w:t>要求完成工程、相应标准图集和清单中规定的所有工序工作内容(包括但不限于各分部分项工程对应2013国标计价清单相关子目所包含的工作内容)，即规费和税金以外所需的人工、材料、机械、按设计规定和以验收规范要求施工单位应进行的测试、试验费用、缺陷修复、管理、保险、利润等全部费用，以及合同明示和暗示所有责任、义务和一般风险(除不可抗力及罕见的气候和地质条</w:t>
      </w:r>
      <w:r>
        <w:rPr>
          <w:rFonts w:hint="eastAsia" w:ascii="宋体" w:hAnsi="宋体" w:eastAsia="宋体" w:cs="Times New Roman"/>
          <w:color w:val="auto"/>
          <w:sz w:val="24"/>
          <w:highlight w:val="none"/>
        </w:rPr>
        <w:t>件</w:t>
      </w:r>
      <w:r>
        <w:rPr>
          <w:rFonts w:hint="eastAsia" w:ascii="宋体" w:hAnsi="宋体" w:eastAsia="宋体" w:cs="Times New Roman"/>
          <w:color w:val="auto"/>
          <w:sz w:val="24"/>
          <w:highlight w:val="none"/>
          <w:lang w:val="en-US" w:eastAsia="zh-CN"/>
        </w:rPr>
        <w:t>)</w:t>
      </w:r>
      <w:r>
        <w:rPr>
          <w:rFonts w:hint="eastAsia" w:ascii="宋体" w:hAnsi="宋体" w:eastAsia="宋体" w:cs="Times New Roman"/>
          <w:color w:val="auto"/>
          <w:sz w:val="24"/>
          <w:highlight w:val="none"/>
        </w:rPr>
        <w:t>的</w:t>
      </w:r>
      <w:r>
        <w:rPr>
          <w:rFonts w:hint="eastAsia" w:ascii="宋体" w:hAnsi="宋体"/>
          <w:color w:val="auto"/>
          <w:sz w:val="24"/>
          <w:highlight w:val="none"/>
        </w:rPr>
        <w:t>全部费用。</w:t>
      </w:r>
    </w:p>
    <w:p w14:paraId="05C41935">
      <w:pPr>
        <w:spacing w:line="360" w:lineRule="auto"/>
        <w:rPr>
          <w:rFonts w:hint="eastAsia" w:ascii="宋体" w:hAnsi="宋体"/>
          <w:color w:val="auto"/>
          <w:sz w:val="24"/>
          <w:highlight w:val="none"/>
        </w:rPr>
      </w:pPr>
      <w:r>
        <w:rPr>
          <w:rFonts w:hint="eastAsia" w:ascii="宋体" w:hAnsi="宋体"/>
          <w:color w:val="auto"/>
          <w:sz w:val="24"/>
          <w:highlight w:val="none"/>
        </w:rPr>
        <w:t>七、现场施工条件：投标人应认真踏勘现场，了解工程的具体情况和任何足以影响投标报价的情况，若因投标人忽视或误解而导致的经济和工期索赔，招标人将予以拒绝。</w:t>
      </w:r>
    </w:p>
    <w:p w14:paraId="4DDBE924">
      <w:pPr>
        <w:spacing w:line="360" w:lineRule="auto"/>
        <w:rPr>
          <w:rFonts w:hint="eastAsia" w:ascii="宋体" w:hAnsi="宋体"/>
          <w:color w:val="auto"/>
          <w:sz w:val="24"/>
          <w:highlight w:val="none"/>
        </w:rPr>
      </w:pPr>
      <w:r>
        <w:rPr>
          <w:rFonts w:hint="eastAsia" w:ascii="宋体" w:hAnsi="宋体"/>
          <w:color w:val="auto"/>
          <w:sz w:val="24"/>
          <w:highlight w:val="none"/>
        </w:rPr>
        <w:t>八、投标人报价表中对招标人提供的清单项目未填报价或漏项，其费用应视为已分摊在本合同工程其他细目的综合单价之中。</w:t>
      </w:r>
    </w:p>
    <w:p w14:paraId="1FE04487">
      <w:pPr>
        <w:spacing w:line="360" w:lineRule="auto"/>
        <w:rPr>
          <w:rFonts w:hint="eastAsia" w:ascii="宋体" w:hAnsi="宋体"/>
          <w:color w:val="auto"/>
          <w:sz w:val="24"/>
          <w:highlight w:val="none"/>
        </w:rPr>
      </w:pPr>
      <w:r>
        <w:rPr>
          <w:rFonts w:hint="eastAsia" w:ascii="宋体" w:hAnsi="宋体"/>
          <w:color w:val="auto"/>
          <w:sz w:val="24"/>
          <w:highlight w:val="none"/>
        </w:rPr>
        <w:t>九、投标报价时，各投标人应充分考虑项目实际及潜在风险，结合本企业的实力及特点，现场踏勘对现场情况的掌控，在满足招标文件各项要求的前提下，根据项目实际情况、招标文件约定的风险承担原则和可能出现的风险，进行自主报价，充分竞争。</w:t>
      </w:r>
    </w:p>
    <w:p w14:paraId="0D21122A">
      <w:pPr>
        <w:spacing w:line="360" w:lineRule="auto"/>
        <w:rPr>
          <w:rFonts w:hint="eastAsia" w:ascii="宋体" w:hAnsi="宋体"/>
          <w:color w:val="auto"/>
          <w:sz w:val="24"/>
          <w:highlight w:val="none"/>
        </w:rPr>
      </w:pPr>
      <w:r>
        <w:rPr>
          <w:rFonts w:hint="eastAsia" w:ascii="宋体" w:hAnsi="宋体"/>
          <w:color w:val="auto"/>
          <w:sz w:val="24"/>
          <w:highlight w:val="none"/>
        </w:rPr>
        <w:t>十、投标人对工程量清单有任何疑问，应于招标文件规定的疑问提交截止日前提出，否则视为投标人认可该工程量清单已包括了招标范围的全部内容。</w:t>
      </w:r>
    </w:p>
    <w:p w14:paraId="2D568B70">
      <w:pPr>
        <w:spacing w:line="360" w:lineRule="auto"/>
        <w:rPr>
          <w:rFonts w:hint="eastAsia" w:ascii="宋体" w:hAnsi="宋体"/>
          <w:color w:val="auto"/>
          <w:sz w:val="24"/>
          <w:highlight w:val="none"/>
        </w:rPr>
      </w:pPr>
      <w:r>
        <w:rPr>
          <w:rFonts w:hint="eastAsia" w:ascii="宋体" w:hAnsi="宋体"/>
          <w:color w:val="auto"/>
          <w:sz w:val="24"/>
          <w:highlight w:val="none"/>
        </w:rPr>
        <w:t>十一、清单描述不明确的，以编制说明和相关施工验收规范、图集为准</w:t>
      </w:r>
      <w:r>
        <w:rPr>
          <w:rFonts w:hint="eastAsia" w:ascii="宋体" w:hAnsi="宋体"/>
          <w:color w:val="auto"/>
          <w:sz w:val="24"/>
          <w:highlight w:val="none"/>
          <w:lang w:eastAsia="zh-CN"/>
        </w:rPr>
        <w:t>；</w:t>
      </w:r>
      <w:r>
        <w:rPr>
          <w:rFonts w:hint="eastAsia" w:ascii="宋体" w:hAnsi="宋体"/>
          <w:color w:val="auto"/>
          <w:sz w:val="24"/>
          <w:highlight w:val="none"/>
        </w:rPr>
        <w:t>清单与技术标准不一至的，以较优的技术标准为准。</w:t>
      </w:r>
    </w:p>
    <w:p w14:paraId="5C4AFA7D">
      <w:pPr>
        <w:spacing w:line="360" w:lineRule="auto"/>
        <w:rPr>
          <w:rFonts w:hint="eastAsia" w:ascii="宋体" w:hAnsi="宋体"/>
          <w:color w:val="auto"/>
          <w:sz w:val="24"/>
          <w:highlight w:val="none"/>
        </w:rPr>
      </w:pPr>
      <w:r>
        <w:rPr>
          <w:rFonts w:hint="eastAsia" w:ascii="宋体" w:hAnsi="宋体"/>
          <w:color w:val="auto"/>
          <w:sz w:val="24"/>
          <w:highlight w:val="none"/>
        </w:rPr>
        <w:t>十二、投标人应填写工程量清单中所有工程细目价格，凡技术规范注明的工程内容，如有清单中未列项均应视为包含在其他相关项目中。</w:t>
      </w:r>
    </w:p>
    <w:p w14:paraId="32E41941">
      <w:pPr>
        <w:spacing w:line="360" w:lineRule="auto"/>
        <w:rPr>
          <w:rFonts w:hint="eastAsia" w:ascii="宋体" w:hAnsi="宋体"/>
          <w:color w:val="auto"/>
          <w:sz w:val="24"/>
          <w:highlight w:val="none"/>
        </w:rPr>
      </w:pPr>
      <w:r>
        <w:rPr>
          <w:rFonts w:hint="eastAsia" w:ascii="宋体" w:hAnsi="宋体"/>
          <w:color w:val="auto"/>
          <w:sz w:val="24"/>
          <w:highlight w:val="none"/>
        </w:rPr>
        <w:t>十三、除非合同另有规定，工程量清单中每一项单价均应已包括完成相应该项目的工程内容所需的所有人工、设备、材料和其它伴随服务所发生的所有费用。</w:t>
      </w:r>
    </w:p>
    <w:p w14:paraId="7D95F000">
      <w:pPr>
        <w:spacing w:line="360" w:lineRule="auto"/>
        <w:rPr>
          <w:rFonts w:hint="eastAsia" w:ascii="宋体" w:hAnsi="宋体"/>
          <w:color w:val="auto"/>
          <w:sz w:val="24"/>
          <w:highlight w:val="none"/>
        </w:rPr>
      </w:pPr>
      <w:r>
        <w:rPr>
          <w:rFonts w:hint="eastAsia" w:ascii="宋体" w:hAnsi="宋体"/>
          <w:color w:val="auto"/>
          <w:sz w:val="24"/>
          <w:highlight w:val="none"/>
        </w:rPr>
        <w:t>十四、</w:t>
      </w:r>
      <w:r>
        <w:rPr>
          <w:rFonts w:ascii="宋体" w:hAnsi="宋体"/>
          <w:color w:val="auto"/>
          <w:sz w:val="24"/>
          <w:highlight w:val="none"/>
        </w:rPr>
        <w:t>投标人根据国家法律法规及自身缴纳规费的实际情况，规费根据《关于颁发浙江省建设工程计价依据（2018版）的通知》（浙建建[2018]61号）自主确定其投标费率，但在规费政策平稳过渡期内不得低于标准费率的30%</w:t>
      </w:r>
      <w:r>
        <w:rPr>
          <w:rFonts w:hint="eastAsia" w:ascii="宋体" w:hAnsi="宋体"/>
          <w:color w:val="auto"/>
          <w:sz w:val="24"/>
          <w:highlight w:val="none"/>
        </w:rPr>
        <w:t>。</w:t>
      </w:r>
    </w:p>
    <w:p w14:paraId="3A0F4671">
      <w:pPr>
        <w:spacing w:line="360" w:lineRule="auto"/>
        <w:rPr>
          <w:rFonts w:hint="eastAsia" w:ascii="宋体" w:hAnsi="宋体"/>
          <w:color w:val="auto"/>
          <w:sz w:val="24"/>
          <w:highlight w:val="none"/>
        </w:rPr>
      </w:pPr>
      <w:r>
        <w:rPr>
          <w:rFonts w:hint="eastAsia" w:ascii="宋体" w:hAnsi="宋体"/>
          <w:color w:val="auto"/>
          <w:sz w:val="24"/>
          <w:highlight w:val="none"/>
        </w:rPr>
        <w:t>十五、有关事项说明：</w:t>
      </w:r>
    </w:p>
    <w:p w14:paraId="14A183D5">
      <w:pPr>
        <w:spacing w:line="360" w:lineRule="auto"/>
        <w:ind w:firstLine="480" w:firstLineChars="200"/>
        <w:rPr>
          <w:rFonts w:hint="eastAsia" w:ascii="宋体" w:hAnsi="宋体"/>
          <w:sz w:val="24"/>
          <w:highlight w:val="none"/>
        </w:rPr>
      </w:pPr>
      <w:r>
        <w:rPr>
          <w:rFonts w:hint="eastAsia" w:ascii="宋体" w:hAnsi="宋体"/>
          <w:sz w:val="24"/>
          <w:highlight w:val="none"/>
        </w:rPr>
        <w:t>(</w:t>
      </w:r>
      <w:r>
        <w:rPr>
          <w:rFonts w:hint="eastAsia" w:ascii="宋体" w:hAnsi="宋体"/>
          <w:sz w:val="24"/>
          <w:highlight w:val="none"/>
          <w:lang w:val="en-US" w:eastAsia="zh-CN"/>
        </w:rPr>
        <w:t>一</w:t>
      </w:r>
      <w:r>
        <w:rPr>
          <w:rFonts w:hint="eastAsia" w:ascii="宋体" w:hAnsi="宋体"/>
          <w:sz w:val="24"/>
          <w:highlight w:val="none"/>
        </w:rPr>
        <w:t>)、土建部分：</w:t>
      </w:r>
    </w:p>
    <w:p w14:paraId="7C44B949">
      <w:pPr>
        <w:pStyle w:val="10"/>
        <w:keepNext w:val="0"/>
        <w:keepLines w:val="0"/>
        <w:widowControl/>
        <w:suppressLineNumbers w:val="0"/>
        <w:spacing w:before="0" w:beforeAutospacing="0" w:after="0" w:afterAutospacing="0"/>
        <w:ind w:left="0" w:right="0" w:firstLine="480" w:firstLineChars="200"/>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1、</w:t>
      </w:r>
      <w:r>
        <w:rPr>
          <w:rFonts w:hint="eastAsia" w:ascii="宋体" w:hAnsi="宋体" w:cs="Times New Roman"/>
          <w:color w:val="auto"/>
          <w:sz w:val="24"/>
          <w:highlight w:val="none"/>
          <w:lang w:val="en-US" w:eastAsia="zh-CN"/>
        </w:rPr>
        <w:t>根据业主要求：厨房墙面全按内墙2</w:t>
      </w:r>
      <w:r>
        <w:rPr>
          <w:rFonts w:hint="eastAsia"/>
          <w:lang w:val="en-US" w:eastAsia="zh-CN"/>
        </w:rPr>
        <w:t>计入</w:t>
      </w:r>
      <w:r>
        <w:rPr>
          <w:rFonts w:hint="eastAsia" w:ascii="宋体" w:hAnsi="宋体" w:eastAsia="宋体" w:cs="Times New Roman"/>
          <w:color w:val="auto"/>
          <w:sz w:val="24"/>
          <w:highlight w:val="none"/>
          <w:lang w:val="en-US" w:eastAsia="zh-CN"/>
        </w:rPr>
        <w:t>。</w:t>
      </w:r>
    </w:p>
    <w:p w14:paraId="0521158E">
      <w:pPr>
        <w:spacing w:line="360" w:lineRule="auto"/>
        <w:ind w:firstLine="480" w:firstLineChars="200"/>
        <w:rPr>
          <w:rFonts w:hint="eastAsia" w:ascii="宋体" w:hAnsi="宋体" w:eastAsia="宋体" w:cs="Times New Roman"/>
          <w:color w:val="auto"/>
          <w:sz w:val="24"/>
          <w:highlight w:val="none"/>
        </w:rPr>
      </w:pPr>
      <w:r>
        <w:rPr>
          <w:rFonts w:hint="eastAsia" w:ascii="宋体" w:hAnsi="宋体" w:cs="Times New Roman"/>
          <w:color w:val="auto"/>
          <w:kern w:val="2"/>
          <w:sz w:val="24"/>
          <w:szCs w:val="24"/>
          <w:highlight w:val="none"/>
          <w:lang w:val="en-US" w:eastAsia="zh-CN" w:bidi="ar-SA"/>
        </w:rPr>
        <w:t>2</w:t>
      </w:r>
      <w:r>
        <w:rPr>
          <w:rFonts w:hint="eastAsia" w:ascii="宋体" w:hAnsi="宋体" w:eastAsia="宋体" w:cs="Times New Roman"/>
          <w:color w:val="auto"/>
          <w:kern w:val="2"/>
          <w:sz w:val="24"/>
          <w:szCs w:val="24"/>
          <w:highlight w:val="none"/>
          <w:lang w:val="en-US" w:eastAsia="zh-CN" w:bidi="ar-SA"/>
        </w:rPr>
        <w:t>、</w:t>
      </w:r>
      <w:r>
        <w:rPr>
          <w:rFonts w:hint="eastAsia" w:ascii="宋体" w:hAnsi="宋体" w:cs="Times New Roman"/>
          <w:color w:val="auto"/>
          <w:sz w:val="24"/>
          <w:highlight w:val="none"/>
          <w:lang w:val="en-US" w:eastAsia="zh-CN"/>
        </w:rPr>
        <w:t>根据业主要求：</w:t>
      </w:r>
      <w:r>
        <w:rPr>
          <w:rFonts w:hint="eastAsia" w:ascii="宋体" w:hAnsi="宋体" w:cs="Times New Roman"/>
          <w:color w:val="auto"/>
          <w:kern w:val="2"/>
          <w:sz w:val="24"/>
          <w:szCs w:val="24"/>
          <w:highlight w:val="none"/>
          <w:lang w:val="en-US" w:eastAsia="zh-CN" w:bidi="ar-SA"/>
        </w:rPr>
        <w:t>楼梯墙面做法按内墙1计入</w:t>
      </w:r>
      <w:r>
        <w:rPr>
          <w:rFonts w:hint="eastAsia" w:ascii="宋体" w:hAnsi="宋体" w:eastAsia="宋体" w:cs="Times New Roman"/>
          <w:color w:val="auto"/>
          <w:sz w:val="24"/>
          <w:highlight w:val="none"/>
        </w:rPr>
        <w:t>。</w:t>
      </w:r>
    </w:p>
    <w:p w14:paraId="227C4C5C">
      <w:pPr>
        <w:spacing w:line="360" w:lineRule="auto"/>
        <w:ind w:firstLine="480" w:firstLineChars="200"/>
        <w:rPr>
          <w:rFonts w:hint="eastAsia"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根据业主要求：</w:t>
      </w:r>
      <w:r>
        <w:rPr>
          <w:rFonts w:hint="eastAsia" w:ascii="宋体" w:hAnsi="宋体" w:cs="Times New Roman"/>
          <w:color w:val="auto"/>
          <w:kern w:val="2"/>
          <w:sz w:val="24"/>
          <w:szCs w:val="24"/>
          <w:highlight w:val="none"/>
          <w:lang w:val="en-US" w:eastAsia="zh-CN" w:bidi="ar-SA"/>
        </w:rPr>
        <w:t>值班室墙面做法按同办公室计入</w:t>
      </w:r>
      <w:r>
        <w:rPr>
          <w:rFonts w:hint="eastAsia" w:ascii="宋体" w:hAnsi="宋体" w:eastAsia="宋体" w:cs="Times New Roman"/>
          <w:color w:val="auto"/>
          <w:sz w:val="24"/>
          <w:highlight w:val="none"/>
        </w:rPr>
        <w:t>。</w:t>
      </w:r>
    </w:p>
    <w:p w14:paraId="1B5D5930">
      <w:pPr>
        <w:spacing w:line="360" w:lineRule="auto"/>
        <w:ind w:firstLine="480" w:firstLineChars="200"/>
        <w:rPr>
          <w:rFonts w:hint="default"/>
          <w:lang w:val="en-US" w:eastAsia="zh-CN"/>
        </w:rPr>
      </w:pPr>
      <w:r>
        <w:rPr>
          <w:rFonts w:hint="eastAsia" w:ascii="宋体" w:hAnsi="宋体"/>
          <w:sz w:val="24"/>
          <w:highlight w:val="none"/>
          <w:lang w:val="en-US" w:eastAsia="zh-CN"/>
        </w:rPr>
        <w:t>4</w:t>
      </w:r>
      <w:r>
        <w:rPr>
          <w:rFonts w:hint="eastAsia" w:ascii="宋体" w:hAnsi="宋体"/>
          <w:sz w:val="24"/>
          <w:highlight w:val="none"/>
        </w:rPr>
        <w:t>、</w:t>
      </w:r>
      <w:r>
        <w:rPr>
          <w:rFonts w:hint="eastAsia" w:ascii="宋体" w:hAnsi="宋体"/>
          <w:color w:val="auto"/>
          <w:sz w:val="24"/>
          <w:highlight w:val="none"/>
          <w:lang w:val="en-US" w:eastAsia="zh-CN"/>
        </w:rPr>
        <w:t>窗台板宽度按300mm计入</w:t>
      </w:r>
      <w:r>
        <w:rPr>
          <w:rFonts w:hint="eastAsia" w:ascii="宋体" w:hAnsi="宋体"/>
          <w:sz w:val="24"/>
          <w:highlight w:val="none"/>
        </w:rPr>
        <w:t>。</w:t>
      </w:r>
    </w:p>
    <w:p w14:paraId="7F4DADF6">
      <w:pPr>
        <w:spacing w:line="360" w:lineRule="auto"/>
        <w:ind w:firstLine="480" w:firstLineChars="200"/>
        <w:rPr>
          <w:rFonts w:hint="eastAsia" w:ascii="宋体" w:hAnsi="宋体" w:eastAsia="宋体" w:cs="Times New Roman"/>
          <w:color w:val="auto"/>
          <w:sz w:val="24"/>
          <w:highlight w:val="none"/>
        </w:rPr>
      </w:pPr>
      <w:r>
        <w:rPr>
          <w:rFonts w:hint="eastAsia" w:ascii="宋体" w:hAnsi="宋体" w:cs="Times New Roman"/>
          <w:color w:val="auto"/>
          <w:sz w:val="24"/>
          <w:highlight w:val="none"/>
          <w:lang w:val="en-US" w:eastAsia="zh-CN"/>
        </w:rPr>
        <w:t>5</w:t>
      </w:r>
      <w:r>
        <w:rPr>
          <w:rFonts w:hint="eastAsia" w:ascii="宋体" w:hAnsi="宋体" w:eastAsia="宋体" w:cs="Times New Roman"/>
          <w:color w:val="auto"/>
          <w:sz w:val="24"/>
          <w:highlight w:val="none"/>
        </w:rPr>
        <w:t>、</w:t>
      </w:r>
      <w:r>
        <w:rPr>
          <w:rFonts w:hint="eastAsia" w:ascii="宋体" w:hAnsi="宋体" w:cs="Times New Roman"/>
          <w:color w:val="auto"/>
          <w:sz w:val="24"/>
          <w:highlight w:val="none"/>
          <w:lang w:val="en-US" w:eastAsia="zh-CN"/>
        </w:rPr>
        <w:t>车棚柱脚预埋钢板厚度按10mm计入</w:t>
      </w:r>
      <w:r>
        <w:rPr>
          <w:rFonts w:hint="eastAsia" w:ascii="宋体" w:hAnsi="宋体" w:eastAsia="宋体" w:cs="Times New Roman"/>
          <w:color w:val="auto"/>
          <w:sz w:val="24"/>
          <w:highlight w:val="none"/>
        </w:rPr>
        <w:t>。</w:t>
      </w:r>
    </w:p>
    <w:p w14:paraId="116E4F55">
      <w:pPr>
        <w:spacing w:line="360" w:lineRule="auto"/>
        <w:ind w:firstLine="480" w:firstLineChars="200"/>
        <w:rPr>
          <w:rFonts w:hint="eastAsia" w:ascii="宋体" w:hAnsi="宋体" w:eastAsia="宋体" w:cs="Times New Roman"/>
          <w:color w:val="auto"/>
          <w:sz w:val="24"/>
          <w:highlight w:val="none"/>
        </w:rPr>
      </w:pP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rPr>
        <w:t>、</w:t>
      </w:r>
      <w:r>
        <w:rPr>
          <w:rFonts w:hint="eastAsia" w:ascii="宋体" w:hAnsi="宋体" w:cs="Times New Roman"/>
          <w:color w:val="auto"/>
          <w:sz w:val="24"/>
          <w:highlight w:val="none"/>
          <w:lang w:val="en-US" w:eastAsia="zh-CN"/>
        </w:rPr>
        <w:t>构造柱尺寸按240mm×墙厚计入</w:t>
      </w:r>
      <w:r>
        <w:rPr>
          <w:rFonts w:hint="eastAsia" w:ascii="宋体" w:hAnsi="宋体" w:eastAsia="宋体" w:cs="Times New Roman"/>
          <w:color w:val="auto"/>
          <w:sz w:val="24"/>
          <w:highlight w:val="none"/>
        </w:rPr>
        <w:t>。</w:t>
      </w:r>
    </w:p>
    <w:p w14:paraId="247713FA">
      <w:pPr>
        <w:pStyle w:val="10"/>
        <w:keepNext w:val="0"/>
        <w:keepLines w:val="0"/>
        <w:widowControl/>
        <w:suppressLineNumbers w:val="0"/>
        <w:spacing w:before="0" w:beforeAutospacing="0" w:after="0" w:afterAutospacing="0"/>
        <w:ind w:left="0" w:right="0" w:firstLine="480" w:firstLineChars="200"/>
        <w:rPr>
          <w:rFonts w:hint="eastAsia"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7</w:t>
      </w:r>
      <w:r>
        <w:rPr>
          <w:rFonts w:hint="eastAsia" w:ascii="宋体" w:hAnsi="宋体" w:eastAsia="宋体" w:cs="Times New Roman"/>
          <w:color w:val="auto"/>
          <w:sz w:val="24"/>
          <w:highlight w:val="none"/>
        </w:rPr>
        <w:t>、</w:t>
      </w:r>
      <w:r>
        <w:rPr>
          <w:rFonts w:hint="eastAsia" w:ascii="宋体" w:hAnsi="宋体" w:eastAsia="宋体" w:cs="Times New Roman"/>
          <w:color w:val="auto"/>
          <w:sz w:val="24"/>
          <w:highlight w:val="none"/>
          <w:lang w:val="en-US" w:eastAsia="zh-CN"/>
        </w:rPr>
        <w:t>建筑垃圾、土方外运</w:t>
      </w:r>
      <w:r>
        <w:t>运距</w:t>
      </w:r>
      <w:bookmarkStart w:id="0" w:name="_GoBack"/>
      <w:bookmarkEnd w:id="0"/>
      <w:r>
        <w:rPr>
          <w:rFonts w:hint="eastAsia" w:ascii="宋体" w:hAnsi="宋体" w:cs="Times New Roman"/>
          <w:color w:val="auto"/>
          <w:sz w:val="24"/>
          <w:highlight w:val="none"/>
          <w:lang w:val="en-US" w:eastAsia="zh-CN"/>
        </w:rPr>
        <w:t>及处置</w:t>
      </w:r>
      <w:r>
        <w:t>由投标单位自行考虑</w:t>
      </w:r>
      <w:r>
        <w:rPr>
          <w:rFonts w:hint="eastAsia" w:ascii="宋体" w:hAnsi="宋体" w:eastAsia="宋体" w:cs="Times New Roman"/>
          <w:color w:val="auto"/>
          <w:sz w:val="24"/>
          <w:highlight w:val="none"/>
          <w:lang w:val="en-US" w:eastAsia="zh-CN"/>
        </w:rPr>
        <w:t>。</w:t>
      </w:r>
    </w:p>
    <w:p w14:paraId="78538F82">
      <w:pPr>
        <w:spacing w:line="360" w:lineRule="auto"/>
        <w:ind w:firstLine="480" w:firstLineChars="200"/>
        <w:rPr>
          <w:rFonts w:hint="eastAsia" w:ascii="宋体" w:hAnsi="宋体" w:eastAsia="宋体" w:cs="Times New Roman"/>
          <w:color w:val="auto"/>
          <w:sz w:val="24"/>
          <w:highlight w:val="none"/>
        </w:rPr>
      </w:pPr>
      <w:r>
        <w:rPr>
          <w:rFonts w:hint="eastAsia" w:ascii="宋体" w:hAnsi="宋体" w:cs="Times New Roman"/>
          <w:color w:val="auto"/>
          <w:sz w:val="24"/>
          <w:highlight w:val="none"/>
          <w:lang w:val="en-US" w:eastAsia="zh-CN"/>
        </w:rPr>
        <w:t>8、车棚基础挖土深度按1000mm计入</w:t>
      </w:r>
      <w:r>
        <w:rPr>
          <w:rFonts w:hint="eastAsia" w:ascii="宋体" w:hAnsi="宋体" w:eastAsia="宋体" w:cs="Times New Roman"/>
          <w:color w:val="auto"/>
          <w:sz w:val="24"/>
          <w:highlight w:val="none"/>
        </w:rPr>
        <w:t>。</w:t>
      </w:r>
    </w:p>
    <w:p w14:paraId="4940644D">
      <w:pPr>
        <w:spacing w:line="360" w:lineRule="auto"/>
        <w:ind w:firstLine="480" w:firstLineChars="200"/>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9、2m³隔油池按砖砌、4m³化粪池混凝土计入。</w:t>
      </w:r>
    </w:p>
    <w:p w14:paraId="2893D0C9">
      <w:pPr>
        <w:spacing w:line="360" w:lineRule="auto"/>
        <w:ind w:firstLine="480" w:firstLineChars="200"/>
        <w:rPr>
          <w:rFonts w:hint="eastAsia" w:ascii="宋体" w:hAnsi="宋体"/>
          <w:sz w:val="24"/>
          <w:highlight w:val="none"/>
        </w:rPr>
      </w:pPr>
      <w:r>
        <w:rPr>
          <w:rFonts w:hint="eastAsia" w:ascii="宋体" w:hAnsi="宋体"/>
          <w:sz w:val="24"/>
          <w:highlight w:val="none"/>
        </w:rPr>
        <w:t>(</w:t>
      </w:r>
      <w:r>
        <w:rPr>
          <w:rFonts w:hint="eastAsia" w:ascii="宋体" w:hAnsi="宋体"/>
          <w:sz w:val="24"/>
          <w:highlight w:val="none"/>
          <w:lang w:val="en-US" w:eastAsia="zh-CN"/>
        </w:rPr>
        <w:t>二</w:t>
      </w:r>
      <w:r>
        <w:rPr>
          <w:rFonts w:hint="eastAsia" w:ascii="宋体" w:hAnsi="宋体"/>
          <w:sz w:val="24"/>
          <w:highlight w:val="none"/>
        </w:rPr>
        <w:t>)、安装工程:</w:t>
      </w:r>
    </w:p>
    <w:p w14:paraId="43B21375">
      <w:pPr>
        <w:spacing w:line="360" w:lineRule="auto"/>
        <w:ind w:firstLine="480" w:firstLineChars="200"/>
        <w:rPr>
          <w:rFonts w:hint="eastAsia" w:ascii="宋体" w:hAnsi="宋体"/>
          <w:sz w:val="24"/>
          <w:highlight w:val="none"/>
        </w:rPr>
      </w:pPr>
      <w:r>
        <w:rPr>
          <w:rFonts w:hint="eastAsia" w:ascii="宋体" w:hAnsi="宋体"/>
          <w:sz w:val="24"/>
          <w:highlight w:val="none"/>
        </w:rPr>
        <w:t>1、</w:t>
      </w:r>
      <w:r>
        <w:rPr>
          <w:rFonts w:hint="eastAsia" w:ascii="宋体" w:hAnsi="宋体"/>
          <w:sz w:val="24"/>
          <w:highlight w:val="none"/>
          <w:lang w:val="en-US" w:eastAsia="zh-CN"/>
        </w:rPr>
        <w:t>根据业主要求，</w:t>
      </w:r>
      <w:r>
        <w:rPr>
          <w:rFonts w:hint="eastAsia" w:ascii="宋体" w:hAnsi="宋体"/>
          <w:sz w:val="24"/>
          <w:highlight w:val="none"/>
        </w:rPr>
        <w:t>配电箱1AL1、2AL1按新增考虑，进线均按YJY-5*10-SC32各50m计入；</w:t>
      </w:r>
    </w:p>
    <w:p w14:paraId="41706DA4">
      <w:pPr>
        <w:spacing w:line="360" w:lineRule="auto"/>
        <w:ind w:firstLine="480" w:firstLineChars="200"/>
        <w:rPr>
          <w:rFonts w:hint="default" w:ascii="宋体" w:hAnsi="宋体" w:eastAsia="宋体"/>
          <w:sz w:val="24"/>
          <w:highlight w:val="none"/>
          <w:lang w:val="en-US" w:eastAsia="zh-CN"/>
        </w:rPr>
      </w:pPr>
      <w:r>
        <w:rPr>
          <w:rFonts w:hint="eastAsia" w:ascii="宋体" w:hAnsi="宋体"/>
          <w:sz w:val="24"/>
          <w:highlight w:val="none"/>
          <w:lang w:val="en-US" w:eastAsia="zh-CN"/>
        </w:rPr>
        <w:t>2、根据业主要求，排风柜控制箱ACFG电源预留到位，箱体及出线不在本次编制范围；</w:t>
      </w:r>
    </w:p>
    <w:p w14:paraId="3E1269DD">
      <w:pPr>
        <w:spacing w:line="360" w:lineRule="auto"/>
        <w:ind w:firstLine="480" w:firstLineChars="200"/>
        <w:rPr>
          <w:rFonts w:hint="eastAsia" w:ascii="宋体" w:hAnsi="宋体"/>
          <w:sz w:val="24"/>
          <w:highlight w:val="none"/>
        </w:rPr>
      </w:pPr>
      <w:r>
        <w:rPr>
          <w:rFonts w:hint="eastAsia" w:ascii="宋体" w:hAnsi="宋体"/>
          <w:sz w:val="24"/>
          <w:highlight w:val="none"/>
          <w:lang w:val="en-US" w:eastAsia="zh-CN"/>
        </w:rPr>
        <w:t>3</w:t>
      </w:r>
      <w:r>
        <w:rPr>
          <w:rFonts w:hint="eastAsia" w:ascii="宋体" w:hAnsi="宋体"/>
          <w:sz w:val="24"/>
          <w:highlight w:val="none"/>
        </w:rPr>
        <w:t>、可燃气体系统图纸设计不详，配管SC32、配线WDZN-KYJYP各暂按100m计入；</w:t>
      </w:r>
    </w:p>
    <w:p w14:paraId="5FBA6B9F">
      <w:pPr>
        <w:spacing w:line="360" w:lineRule="auto"/>
        <w:ind w:firstLine="480" w:firstLineChars="200"/>
        <w:rPr>
          <w:rFonts w:hint="eastAsia" w:ascii="宋体" w:hAnsi="宋体"/>
          <w:sz w:val="24"/>
          <w:highlight w:val="none"/>
        </w:rPr>
      </w:pPr>
      <w:r>
        <w:rPr>
          <w:rFonts w:hint="eastAsia" w:ascii="宋体" w:hAnsi="宋体"/>
          <w:sz w:val="24"/>
          <w:highlight w:val="none"/>
          <w:lang w:val="en-US" w:eastAsia="zh-CN"/>
        </w:rPr>
        <w:t>4</w:t>
      </w:r>
      <w:r>
        <w:rPr>
          <w:rFonts w:hint="eastAsia" w:ascii="宋体" w:hAnsi="宋体"/>
          <w:sz w:val="24"/>
          <w:highlight w:val="none"/>
        </w:rPr>
        <w:t>、</w:t>
      </w:r>
      <w:r>
        <w:rPr>
          <w:rFonts w:hint="eastAsia" w:ascii="宋体" w:hAnsi="宋体"/>
          <w:sz w:val="24"/>
          <w:highlight w:val="none"/>
          <w:lang w:val="en-US" w:eastAsia="zh-CN"/>
        </w:rPr>
        <w:t>根据业主要求，</w:t>
      </w:r>
      <w:r>
        <w:rPr>
          <w:rFonts w:hint="eastAsia" w:ascii="宋体" w:hAnsi="宋体"/>
          <w:sz w:val="24"/>
          <w:highlight w:val="none"/>
        </w:rPr>
        <w:t>电热水器、雨水系统不在本次编制范围；</w:t>
      </w:r>
    </w:p>
    <w:p w14:paraId="4A4A5F1E">
      <w:pPr>
        <w:spacing w:line="360" w:lineRule="auto"/>
        <w:ind w:firstLine="480" w:firstLineChars="200"/>
        <w:rPr>
          <w:rFonts w:hint="eastAsia" w:ascii="宋体" w:hAnsi="宋体"/>
          <w:sz w:val="24"/>
          <w:highlight w:val="none"/>
          <w:lang w:val="en-US" w:eastAsia="zh-CN"/>
        </w:rPr>
      </w:pPr>
      <w:r>
        <w:rPr>
          <w:rFonts w:hint="eastAsia" w:ascii="宋体" w:hAnsi="宋体"/>
          <w:sz w:val="24"/>
          <w:highlight w:val="none"/>
          <w:lang w:val="en-US" w:eastAsia="zh-CN"/>
        </w:rPr>
        <w:t>5</w:t>
      </w:r>
      <w:r>
        <w:rPr>
          <w:rFonts w:hint="eastAsia" w:ascii="宋体" w:hAnsi="宋体"/>
          <w:sz w:val="24"/>
          <w:highlight w:val="none"/>
        </w:rPr>
        <w:t>、</w:t>
      </w:r>
      <w:r>
        <w:rPr>
          <w:rFonts w:hint="eastAsia" w:ascii="宋体" w:hAnsi="宋体"/>
          <w:sz w:val="24"/>
          <w:highlight w:val="none"/>
          <w:lang w:val="en-US" w:eastAsia="zh-CN"/>
        </w:rPr>
        <w:t>根据业主要求，</w:t>
      </w:r>
      <w:r>
        <w:rPr>
          <w:rFonts w:hint="eastAsia" w:ascii="宋体" w:hAnsi="宋体"/>
          <w:sz w:val="24"/>
          <w:highlight w:val="none"/>
        </w:rPr>
        <w:t>安装部分拆除、开补槽、开孔等费用按1项计入</w:t>
      </w:r>
      <w:r>
        <w:rPr>
          <w:rFonts w:hint="eastAsia" w:ascii="宋体" w:hAnsi="宋体"/>
          <w:sz w:val="24"/>
          <w:highlight w:val="none"/>
          <w:lang w:eastAsia="zh-CN"/>
        </w:rPr>
        <w:t>，</w:t>
      </w:r>
      <w:r>
        <w:rPr>
          <w:rFonts w:hint="eastAsia" w:ascii="宋体" w:hAnsi="宋体"/>
          <w:sz w:val="24"/>
          <w:highlight w:val="none"/>
          <w:lang w:val="en-US" w:eastAsia="zh-CN"/>
        </w:rPr>
        <w:t>费用由投标单位自行考虑，结算时不作调整；</w:t>
      </w:r>
    </w:p>
    <w:p w14:paraId="0B80ACE6">
      <w:pPr>
        <w:spacing w:line="360" w:lineRule="auto"/>
        <w:ind w:firstLine="480" w:firstLineChars="200"/>
        <w:rPr>
          <w:rFonts w:hint="default" w:ascii="宋体" w:hAnsi="宋体"/>
          <w:sz w:val="24"/>
          <w:highlight w:val="none"/>
          <w:lang w:val="en-US" w:eastAsia="zh-CN"/>
        </w:rPr>
      </w:pPr>
      <w:r>
        <w:rPr>
          <w:rFonts w:hint="eastAsia" w:ascii="宋体" w:hAnsi="宋体"/>
          <w:sz w:val="24"/>
          <w:highlight w:val="none"/>
          <w:lang w:val="en-US" w:eastAsia="zh-CN"/>
        </w:rPr>
        <w:t>6、根据业主要求，卫生间给水管主干管按DN40计入，其水表井内水表及阀门规格按DN40计入。</w:t>
      </w:r>
    </w:p>
    <w:p w14:paraId="4973EFA1">
      <w:pPr>
        <w:spacing w:line="360" w:lineRule="auto"/>
        <w:ind w:firstLine="480" w:firstLineChars="200"/>
        <w:rPr>
          <w:rFonts w:hint="eastAsia" w:ascii="宋体" w:hAnsi="宋体"/>
          <w:sz w:val="24"/>
          <w:highlight w:val="none"/>
          <w:lang w:val="en-US" w:eastAsia="zh-CN"/>
        </w:rPr>
      </w:pPr>
    </w:p>
    <w:p w14:paraId="7EAF8AAE">
      <w:pPr>
        <w:rPr>
          <w:rFonts w:hint="eastAsia" w:ascii="宋体" w:hAnsi="宋体"/>
          <w:b/>
          <w:color w:val="auto"/>
          <w:sz w:val="24"/>
          <w:highlight w:val="none"/>
        </w:rPr>
      </w:pPr>
    </w:p>
    <w:p w14:paraId="4AD4A1E5">
      <w:pPr>
        <w:pStyle w:val="4"/>
        <w:ind w:left="0" w:leftChars="0" w:firstLine="0" w:firstLineChars="0"/>
        <w:rPr>
          <w:rFonts w:hint="eastAsia" w:ascii="宋体" w:hAnsi="宋体"/>
          <w:b/>
          <w:sz w:val="24"/>
          <w:highlight w:val="none"/>
        </w:rPr>
      </w:pPr>
    </w:p>
    <w:p w14:paraId="525709A1">
      <w:pPr>
        <w:spacing w:line="440" w:lineRule="exact"/>
        <w:jc w:val="right"/>
        <w:rPr>
          <w:rFonts w:hint="eastAsia"/>
          <w:spacing w:val="6"/>
          <w:szCs w:val="21"/>
          <w:highlight w:val="none"/>
          <w:lang w:eastAsia="zh-CN"/>
        </w:rPr>
      </w:pPr>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12E03">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6F30D">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FjYzk2NWI3MWMzNmUzYjhiNmUzOWJkNTIzOTYyODEifQ=="/>
  </w:docVars>
  <w:rsids>
    <w:rsidRoot w:val="00A0239E"/>
    <w:rsid w:val="000154B2"/>
    <w:rsid w:val="0002372B"/>
    <w:rsid w:val="00025744"/>
    <w:rsid w:val="00033038"/>
    <w:rsid w:val="00071316"/>
    <w:rsid w:val="00074033"/>
    <w:rsid w:val="0009064D"/>
    <w:rsid w:val="00093178"/>
    <w:rsid w:val="000A390D"/>
    <w:rsid w:val="000A7520"/>
    <w:rsid w:val="0010218F"/>
    <w:rsid w:val="0011185A"/>
    <w:rsid w:val="00111C2C"/>
    <w:rsid w:val="00121393"/>
    <w:rsid w:val="00137BD0"/>
    <w:rsid w:val="00142804"/>
    <w:rsid w:val="00142FD9"/>
    <w:rsid w:val="00146264"/>
    <w:rsid w:val="001748FB"/>
    <w:rsid w:val="0018292E"/>
    <w:rsid w:val="001A4CD1"/>
    <w:rsid w:val="001B5ADE"/>
    <w:rsid w:val="001C00AC"/>
    <w:rsid w:val="001C5EBC"/>
    <w:rsid w:val="001C66E0"/>
    <w:rsid w:val="001C7312"/>
    <w:rsid w:val="001F0415"/>
    <w:rsid w:val="001F1412"/>
    <w:rsid w:val="001F6012"/>
    <w:rsid w:val="00231FB7"/>
    <w:rsid w:val="0025262F"/>
    <w:rsid w:val="0025589D"/>
    <w:rsid w:val="00274D9A"/>
    <w:rsid w:val="002759A0"/>
    <w:rsid w:val="002778B8"/>
    <w:rsid w:val="00293E7D"/>
    <w:rsid w:val="002B11BF"/>
    <w:rsid w:val="002B563F"/>
    <w:rsid w:val="002F4E26"/>
    <w:rsid w:val="002F5FEE"/>
    <w:rsid w:val="00301BF5"/>
    <w:rsid w:val="00303817"/>
    <w:rsid w:val="00303FC0"/>
    <w:rsid w:val="0031198D"/>
    <w:rsid w:val="00313C66"/>
    <w:rsid w:val="0031692B"/>
    <w:rsid w:val="00320E30"/>
    <w:rsid w:val="00326992"/>
    <w:rsid w:val="00354D24"/>
    <w:rsid w:val="0036379C"/>
    <w:rsid w:val="003731D2"/>
    <w:rsid w:val="00382903"/>
    <w:rsid w:val="00394E2E"/>
    <w:rsid w:val="00397F49"/>
    <w:rsid w:val="003A50D3"/>
    <w:rsid w:val="003A5404"/>
    <w:rsid w:val="003C1E7C"/>
    <w:rsid w:val="003D5458"/>
    <w:rsid w:val="003D7BC6"/>
    <w:rsid w:val="003E02CE"/>
    <w:rsid w:val="00414FAC"/>
    <w:rsid w:val="00423B96"/>
    <w:rsid w:val="00441003"/>
    <w:rsid w:val="004555E4"/>
    <w:rsid w:val="004618AF"/>
    <w:rsid w:val="00472FE2"/>
    <w:rsid w:val="00474E0A"/>
    <w:rsid w:val="00475A5C"/>
    <w:rsid w:val="00491D69"/>
    <w:rsid w:val="004B5AA2"/>
    <w:rsid w:val="004D3E3F"/>
    <w:rsid w:val="00501BC2"/>
    <w:rsid w:val="00512027"/>
    <w:rsid w:val="0055777C"/>
    <w:rsid w:val="00567F80"/>
    <w:rsid w:val="00573FF9"/>
    <w:rsid w:val="00580141"/>
    <w:rsid w:val="00592507"/>
    <w:rsid w:val="005944CB"/>
    <w:rsid w:val="005B4C32"/>
    <w:rsid w:val="005B740D"/>
    <w:rsid w:val="005B7FA7"/>
    <w:rsid w:val="005C6EB5"/>
    <w:rsid w:val="005D5B20"/>
    <w:rsid w:val="005F0394"/>
    <w:rsid w:val="006020DD"/>
    <w:rsid w:val="006028B0"/>
    <w:rsid w:val="00610E91"/>
    <w:rsid w:val="0061623B"/>
    <w:rsid w:val="006372C2"/>
    <w:rsid w:val="00640C8B"/>
    <w:rsid w:val="00661831"/>
    <w:rsid w:val="00662E80"/>
    <w:rsid w:val="00666C9E"/>
    <w:rsid w:val="00674667"/>
    <w:rsid w:val="006A31D8"/>
    <w:rsid w:val="006B51E5"/>
    <w:rsid w:val="006B7DC1"/>
    <w:rsid w:val="006C4A1B"/>
    <w:rsid w:val="006D07EF"/>
    <w:rsid w:val="006F26DB"/>
    <w:rsid w:val="007115F3"/>
    <w:rsid w:val="00715A23"/>
    <w:rsid w:val="00724B9F"/>
    <w:rsid w:val="00731161"/>
    <w:rsid w:val="00740D69"/>
    <w:rsid w:val="00744501"/>
    <w:rsid w:val="00764665"/>
    <w:rsid w:val="0077562C"/>
    <w:rsid w:val="007A15FD"/>
    <w:rsid w:val="007D33DB"/>
    <w:rsid w:val="007D38CF"/>
    <w:rsid w:val="007E09CA"/>
    <w:rsid w:val="007F0822"/>
    <w:rsid w:val="0084110B"/>
    <w:rsid w:val="00850F09"/>
    <w:rsid w:val="00854294"/>
    <w:rsid w:val="008642A8"/>
    <w:rsid w:val="008731F4"/>
    <w:rsid w:val="00875E8A"/>
    <w:rsid w:val="00885E77"/>
    <w:rsid w:val="00892965"/>
    <w:rsid w:val="008B55E1"/>
    <w:rsid w:val="008C139C"/>
    <w:rsid w:val="008D70CE"/>
    <w:rsid w:val="009117D6"/>
    <w:rsid w:val="009229E4"/>
    <w:rsid w:val="00927C9B"/>
    <w:rsid w:val="00931391"/>
    <w:rsid w:val="00933FEE"/>
    <w:rsid w:val="0093765B"/>
    <w:rsid w:val="00940ACC"/>
    <w:rsid w:val="00944C54"/>
    <w:rsid w:val="009534EF"/>
    <w:rsid w:val="0097359F"/>
    <w:rsid w:val="00973E2C"/>
    <w:rsid w:val="009804D4"/>
    <w:rsid w:val="00985845"/>
    <w:rsid w:val="00997F47"/>
    <w:rsid w:val="009B42BE"/>
    <w:rsid w:val="009C337D"/>
    <w:rsid w:val="009D25D5"/>
    <w:rsid w:val="009D4BB2"/>
    <w:rsid w:val="009E2D15"/>
    <w:rsid w:val="009E3100"/>
    <w:rsid w:val="009E6C45"/>
    <w:rsid w:val="009F5076"/>
    <w:rsid w:val="00A0239E"/>
    <w:rsid w:val="00A07742"/>
    <w:rsid w:val="00A5109F"/>
    <w:rsid w:val="00A517C9"/>
    <w:rsid w:val="00A54859"/>
    <w:rsid w:val="00A86C33"/>
    <w:rsid w:val="00A96986"/>
    <w:rsid w:val="00B56D21"/>
    <w:rsid w:val="00B63406"/>
    <w:rsid w:val="00B63912"/>
    <w:rsid w:val="00B72F4C"/>
    <w:rsid w:val="00B87582"/>
    <w:rsid w:val="00B9675E"/>
    <w:rsid w:val="00BA05AE"/>
    <w:rsid w:val="00BB26E8"/>
    <w:rsid w:val="00BD0C73"/>
    <w:rsid w:val="00BE7D6B"/>
    <w:rsid w:val="00C04B23"/>
    <w:rsid w:val="00C0542B"/>
    <w:rsid w:val="00C1191C"/>
    <w:rsid w:val="00C16278"/>
    <w:rsid w:val="00C20BFE"/>
    <w:rsid w:val="00C24724"/>
    <w:rsid w:val="00C26664"/>
    <w:rsid w:val="00C274B9"/>
    <w:rsid w:val="00C63576"/>
    <w:rsid w:val="00C645B1"/>
    <w:rsid w:val="00C6490A"/>
    <w:rsid w:val="00C74427"/>
    <w:rsid w:val="00C95C43"/>
    <w:rsid w:val="00CA3EF8"/>
    <w:rsid w:val="00CA4F33"/>
    <w:rsid w:val="00CD18CE"/>
    <w:rsid w:val="00CD59C6"/>
    <w:rsid w:val="00CD7427"/>
    <w:rsid w:val="00D10F25"/>
    <w:rsid w:val="00D24989"/>
    <w:rsid w:val="00D3386D"/>
    <w:rsid w:val="00D57DF7"/>
    <w:rsid w:val="00D71DE5"/>
    <w:rsid w:val="00D8786B"/>
    <w:rsid w:val="00DA29B6"/>
    <w:rsid w:val="00DA4219"/>
    <w:rsid w:val="00DB27FB"/>
    <w:rsid w:val="00DC6154"/>
    <w:rsid w:val="00DD1183"/>
    <w:rsid w:val="00E004A1"/>
    <w:rsid w:val="00E14A03"/>
    <w:rsid w:val="00E26073"/>
    <w:rsid w:val="00E305BA"/>
    <w:rsid w:val="00E4321E"/>
    <w:rsid w:val="00E526ED"/>
    <w:rsid w:val="00E54A9A"/>
    <w:rsid w:val="00E62C7E"/>
    <w:rsid w:val="00EA79B8"/>
    <w:rsid w:val="00EB0E90"/>
    <w:rsid w:val="00EC61D9"/>
    <w:rsid w:val="00F00364"/>
    <w:rsid w:val="00F22FDC"/>
    <w:rsid w:val="00F264DF"/>
    <w:rsid w:val="00F30721"/>
    <w:rsid w:val="00F91994"/>
    <w:rsid w:val="00FA35CE"/>
    <w:rsid w:val="00FB1E66"/>
    <w:rsid w:val="00FE3B88"/>
    <w:rsid w:val="0100133F"/>
    <w:rsid w:val="010351AA"/>
    <w:rsid w:val="01064C9A"/>
    <w:rsid w:val="014E7DF2"/>
    <w:rsid w:val="019F1377"/>
    <w:rsid w:val="01DA23AF"/>
    <w:rsid w:val="02215B4F"/>
    <w:rsid w:val="024845CA"/>
    <w:rsid w:val="025A61A4"/>
    <w:rsid w:val="02641C78"/>
    <w:rsid w:val="027F576F"/>
    <w:rsid w:val="02A517C5"/>
    <w:rsid w:val="02B7624C"/>
    <w:rsid w:val="02D22B05"/>
    <w:rsid w:val="02D32BE5"/>
    <w:rsid w:val="02FA3D4C"/>
    <w:rsid w:val="031A3CA0"/>
    <w:rsid w:val="03843986"/>
    <w:rsid w:val="039E565E"/>
    <w:rsid w:val="040C6A6B"/>
    <w:rsid w:val="040E4F30"/>
    <w:rsid w:val="043D1B9E"/>
    <w:rsid w:val="044F0691"/>
    <w:rsid w:val="047A5783"/>
    <w:rsid w:val="04AC5B58"/>
    <w:rsid w:val="05452235"/>
    <w:rsid w:val="05EF7969"/>
    <w:rsid w:val="06976B70"/>
    <w:rsid w:val="069B5E85"/>
    <w:rsid w:val="06C07699"/>
    <w:rsid w:val="07324243"/>
    <w:rsid w:val="07AB20F7"/>
    <w:rsid w:val="080C3BAF"/>
    <w:rsid w:val="08204893"/>
    <w:rsid w:val="08A70B11"/>
    <w:rsid w:val="09052F9A"/>
    <w:rsid w:val="0983325B"/>
    <w:rsid w:val="09FF51E9"/>
    <w:rsid w:val="0A00497C"/>
    <w:rsid w:val="0A03435D"/>
    <w:rsid w:val="0A083831"/>
    <w:rsid w:val="0A7A2E0C"/>
    <w:rsid w:val="0AB87D27"/>
    <w:rsid w:val="0ABA0FCF"/>
    <w:rsid w:val="0B13403A"/>
    <w:rsid w:val="0B30303F"/>
    <w:rsid w:val="0B3643CE"/>
    <w:rsid w:val="0B7F2236"/>
    <w:rsid w:val="0B957346"/>
    <w:rsid w:val="0C2661F0"/>
    <w:rsid w:val="0C670CE3"/>
    <w:rsid w:val="0C7717FF"/>
    <w:rsid w:val="0CD41646"/>
    <w:rsid w:val="0CE23502"/>
    <w:rsid w:val="0CF77A70"/>
    <w:rsid w:val="0D093B48"/>
    <w:rsid w:val="0E0B1B42"/>
    <w:rsid w:val="0E0F33E0"/>
    <w:rsid w:val="0E1D28F7"/>
    <w:rsid w:val="0E3270CE"/>
    <w:rsid w:val="0E792F4F"/>
    <w:rsid w:val="0EAD2BF9"/>
    <w:rsid w:val="0EF54963"/>
    <w:rsid w:val="0F5A49A9"/>
    <w:rsid w:val="0F6E05DA"/>
    <w:rsid w:val="0F8D5B56"/>
    <w:rsid w:val="0FC85F3C"/>
    <w:rsid w:val="0FE63CD7"/>
    <w:rsid w:val="10050844"/>
    <w:rsid w:val="103246A6"/>
    <w:rsid w:val="103435D2"/>
    <w:rsid w:val="103C5FE2"/>
    <w:rsid w:val="10570257"/>
    <w:rsid w:val="10763FF0"/>
    <w:rsid w:val="108F79E4"/>
    <w:rsid w:val="10DE0556"/>
    <w:rsid w:val="11034D52"/>
    <w:rsid w:val="11A402E3"/>
    <w:rsid w:val="11B27BE0"/>
    <w:rsid w:val="127E6D86"/>
    <w:rsid w:val="131218FD"/>
    <w:rsid w:val="131D2075"/>
    <w:rsid w:val="14407023"/>
    <w:rsid w:val="14997EA7"/>
    <w:rsid w:val="150F49E6"/>
    <w:rsid w:val="158F4E06"/>
    <w:rsid w:val="1614517F"/>
    <w:rsid w:val="162B2D81"/>
    <w:rsid w:val="163F682C"/>
    <w:rsid w:val="164E081E"/>
    <w:rsid w:val="16877D59"/>
    <w:rsid w:val="169B3E51"/>
    <w:rsid w:val="16A82624"/>
    <w:rsid w:val="16D857FF"/>
    <w:rsid w:val="16ED0036"/>
    <w:rsid w:val="16F00D93"/>
    <w:rsid w:val="16F13FCB"/>
    <w:rsid w:val="16F657BC"/>
    <w:rsid w:val="17322086"/>
    <w:rsid w:val="17465999"/>
    <w:rsid w:val="17901D0B"/>
    <w:rsid w:val="17A422EE"/>
    <w:rsid w:val="17B86896"/>
    <w:rsid w:val="17E61A3E"/>
    <w:rsid w:val="18B03A11"/>
    <w:rsid w:val="18FA6A3B"/>
    <w:rsid w:val="197B7B7C"/>
    <w:rsid w:val="19952FE7"/>
    <w:rsid w:val="1A3B730B"/>
    <w:rsid w:val="1A8B64E4"/>
    <w:rsid w:val="1AA90718"/>
    <w:rsid w:val="1AB90F59"/>
    <w:rsid w:val="1AC612CA"/>
    <w:rsid w:val="1AF20311"/>
    <w:rsid w:val="1B310271"/>
    <w:rsid w:val="1B586949"/>
    <w:rsid w:val="1B811695"/>
    <w:rsid w:val="1BCD0BD0"/>
    <w:rsid w:val="1BDB7AE6"/>
    <w:rsid w:val="1BDE43F2"/>
    <w:rsid w:val="1BEB6FAC"/>
    <w:rsid w:val="1C3901AC"/>
    <w:rsid w:val="1CA521D5"/>
    <w:rsid w:val="1D145919"/>
    <w:rsid w:val="1D210A3A"/>
    <w:rsid w:val="1D214EDE"/>
    <w:rsid w:val="1D62137F"/>
    <w:rsid w:val="1DAD78AA"/>
    <w:rsid w:val="1DCB5111"/>
    <w:rsid w:val="1DCF0496"/>
    <w:rsid w:val="1E0F6D26"/>
    <w:rsid w:val="1E4531BB"/>
    <w:rsid w:val="1E5E1969"/>
    <w:rsid w:val="1F152820"/>
    <w:rsid w:val="1F1C3BAF"/>
    <w:rsid w:val="1F367A05"/>
    <w:rsid w:val="1F5122ED"/>
    <w:rsid w:val="1F5570C1"/>
    <w:rsid w:val="1F9F20EA"/>
    <w:rsid w:val="1FAE4704"/>
    <w:rsid w:val="1FB060A5"/>
    <w:rsid w:val="1FF266BE"/>
    <w:rsid w:val="203D65D4"/>
    <w:rsid w:val="213B5E42"/>
    <w:rsid w:val="21A64C21"/>
    <w:rsid w:val="21AE2AB8"/>
    <w:rsid w:val="21C127EB"/>
    <w:rsid w:val="223C302D"/>
    <w:rsid w:val="22644A30"/>
    <w:rsid w:val="22821F7B"/>
    <w:rsid w:val="22AC524A"/>
    <w:rsid w:val="22D30A28"/>
    <w:rsid w:val="22DC3D43"/>
    <w:rsid w:val="23007343"/>
    <w:rsid w:val="231924D3"/>
    <w:rsid w:val="235A2EF8"/>
    <w:rsid w:val="236E0751"/>
    <w:rsid w:val="239F3141"/>
    <w:rsid w:val="23AC3505"/>
    <w:rsid w:val="23BA1BE8"/>
    <w:rsid w:val="23C83883"/>
    <w:rsid w:val="23CD3E7E"/>
    <w:rsid w:val="24530698"/>
    <w:rsid w:val="250C1A6A"/>
    <w:rsid w:val="25686694"/>
    <w:rsid w:val="25AC5561"/>
    <w:rsid w:val="26247A17"/>
    <w:rsid w:val="26962499"/>
    <w:rsid w:val="26AA7CF2"/>
    <w:rsid w:val="26E6124A"/>
    <w:rsid w:val="275D4D64"/>
    <w:rsid w:val="27AC5CEC"/>
    <w:rsid w:val="27D74B17"/>
    <w:rsid w:val="280F05CB"/>
    <w:rsid w:val="281E3857"/>
    <w:rsid w:val="281F201A"/>
    <w:rsid w:val="28407F51"/>
    <w:rsid w:val="284A31FC"/>
    <w:rsid w:val="28500425"/>
    <w:rsid w:val="28F24E95"/>
    <w:rsid w:val="291D64D7"/>
    <w:rsid w:val="29C2680C"/>
    <w:rsid w:val="29D3130E"/>
    <w:rsid w:val="29E46F81"/>
    <w:rsid w:val="29F179E6"/>
    <w:rsid w:val="2A366AFD"/>
    <w:rsid w:val="2A720B27"/>
    <w:rsid w:val="2A806F1E"/>
    <w:rsid w:val="2B02634F"/>
    <w:rsid w:val="2B05425D"/>
    <w:rsid w:val="2B1E2A5D"/>
    <w:rsid w:val="2B3E4EAD"/>
    <w:rsid w:val="2BA93925"/>
    <w:rsid w:val="2BC25ADE"/>
    <w:rsid w:val="2C4B1C78"/>
    <w:rsid w:val="2CA63F56"/>
    <w:rsid w:val="2CCD442B"/>
    <w:rsid w:val="2CD167DD"/>
    <w:rsid w:val="2CDA2661"/>
    <w:rsid w:val="2CE101E6"/>
    <w:rsid w:val="2CE66CEA"/>
    <w:rsid w:val="2D0C20C6"/>
    <w:rsid w:val="2DF77E7C"/>
    <w:rsid w:val="2E975000"/>
    <w:rsid w:val="2E9968C8"/>
    <w:rsid w:val="2EBB1BFD"/>
    <w:rsid w:val="2EF57F78"/>
    <w:rsid w:val="2F6824F8"/>
    <w:rsid w:val="2F6C1E8E"/>
    <w:rsid w:val="2F911A4F"/>
    <w:rsid w:val="2FE42CDE"/>
    <w:rsid w:val="3006075A"/>
    <w:rsid w:val="30534F57"/>
    <w:rsid w:val="30640F12"/>
    <w:rsid w:val="30645601"/>
    <w:rsid w:val="30B579BF"/>
    <w:rsid w:val="30D412E2"/>
    <w:rsid w:val="30D832D2"/>
    <w:rsid w:val="323668DE"/>
    <w:rsid w:val="3239017C"/>
    <w:rsid w:val="3244724D"/>
    <w:rsid w:val="32584BC3"/>
    <w:rsid w:val="32824767"/>
    <w:rsid w:val="32A47B40"/>
    <w:rsid w:val="32E17AB6"/>
    <w:rsid w:val="32F86858"/>
    <w:rsid w:val="333F7914"/>
    <w:rsid w:val="33700DC2"/>
    <w:rsid w:val="337F53C9"/>
    <w:rsid w:val="34080EBA"/>
    <w:rsid w:val="34425A0E"/>
    <w:rsid w:val="348F22D5"/>
    <w:rsid w:val="34BB756E"/>
    <w:rsid w:val="357B3176"/>
    <w:rsid w:val="359C2EFC"/>
    <w:rsid w:val="35B20971"/>
    <w:rsid w:val="361909F0"/>
    <w:rsid w:val="365437D6"/>
    <w:rsid w:val="36561141"/>
    <w:rsid w:val="366D4898"/>
    <w:rsid w:val="36BF11B5"/>
    <w:rsid w:val="36FC776F"/>
    <w:rsid w:val="370276D6"/>
    <w:rsid w:val="37DC21BD"/>
    <w:rsid w:val="38176680"/>
    <w:rsid w:val="381F7BCF"/>
    <w:rsid w:val="3859505F"/>
    <w:rsid w:val="38673C95"/>
    <w:rsid w:val="391D6112"/>
    <w:rsid w:val="392B24B9"/>
    <w:rsid w:val="39385042"/>
    <w:rsid w:val="39463058"/>
    <w:rsid w:val="3958538C"/>
    <w:rsid w:val="39CE1BE7"/>
    <w:rsid w:val="3A00614F"/>
    <w:rsid w:val="3A052350"/>
    <w:rsid w:val="3A157721"/>
    <w:rsid w:val="3A6C5593"/>
    <w:rsid w:val="3AC8111B"/>
    <w:rsid w:val="3AE72E6B"/>
    <w:rsid w:val="3B2A2D58"/>
    <w:rsid w:val="3C0812EB"/>
    <w:rsid w:val="3C1E2081"/>
    <w:rsid w:val="3C502C92"/>
    <w:rsid w:val="3C8A1D00"/>
    <w:rsid w:val="3C8B3CCA"/>
    <w:rsid w:val="3CB74ABF"/>
    <w:rsid w:val="3CFA14F1"/>
    <w:rsid w:val="3CFE4E32"/>
    <w:rsid w:val="3D0C4C99"/>
    <w:rsid w:val="3D22462E"/>
    <w:rsid w:val="3D391070"/>
    <w:rsid w:val="3D566086"/>
    <w:rsid w:val="3D5F63F3"/>
    <w:rsid w:val="3DD551FD"/>
    <w:rsid w:val="3DD82F3F"/>
    <w:rsid w:val="3DF6442F"/>
    <w:rsid w:val="3E0E121A"/>
    <w:rsid w:val="3E3143FD"/>
    <w:rsid w:val="3E774506"/>
    <w:rsid w:val="3F5C7279"/>
    <w:rsid w:val="3FCA2F13"/>
    <w:rsid w:val="3FDC30A8"/>
    <w:rsid w:val="40D40F33"/>
    <w:rsid w:val="410C1198"/>
    <w:rsid w:val="414C7ECC"/>
    <w:rsid w:val="417E204F"/>
    <w:rsid w:val="41F80BD4"/>
    <w:rsid w:val="42006426"/>
    <w:rsid w:val="42BC4BDD"/>
    <w:rsid w:val="42E337CD"/>
    <w:rsid w:val="430B7913"/>
    <w:rsid w:val="432C1A53"/>
    <w:rsid w:val="432D7889"/>
    <w:rsid w:val="435412BA"/>
    <w:rsid w:val="43ED0DC6"/>
    <w:rsid w:val="43EE7018"/>
    <w:rsid w:val="4413082D"/>
    <w:rsid w:val="442F22FB"/>
    <w:rsid w:val="44512F17"/>
    <w:rsid w:val="44977CF4"/>
    <w:rsid w:val="45490BBA"/>
    <w:rsid w:val="45501F04"/>
    <w:rsid w:val="45774DEB"/>
    <w:rsid w:val="458E4E9C"/>
    <w:rsid w:val="45B147A1"/>
    <w:rsid w:val="46057322"/>
    <w:rsid w:val="46357180"/>
    <w:rsid w:val="465F41FD"/>
    <w:rsid w:val="469B6C29"/>
    <w:rsid w:val="46D06EA9"/>
    <w:rsid w:val="473D3E13"/>
    <w:rsid w:val="47665118"/>
    <w:rsid w:val="47927B4E"/>
    <w:rsid w:val="47A87BCD"/>
    <w:rsid w:val="47B86FE2"/>
    <w:rsid w:val="47E56984"/>
    <w:rsid w:val="486C49EE"/>
    <w:rsid w:val="48AF69FF"/>
    <w:rsid w:val="48C742DC"/>
    <w:rsid w:val="491721F5"/>
    <w:rsid w:val="498126DD"/>
    <w:rsid w:val="49A308A5"/>
    <w:rsid w:val="49A87C69"/>
    <w:rsid w:val="49DF1858"/>
    <w:rsid w:val="49EA64D4"/>
    <w:rsid w:val="4B013AD5"/>
    <w:rsid w:val="4B2E419E"/>
    <w:rsid w:val="4B571947"/>
    <w:rsid w:val="4BAB1C93"/>
    <w:rsid w:val="4BD9235C"/>
    <w:rsid w:val="4C520360"/>
    <w:rsid w:val="4C836BD3"/>
    <w:rsid w:val="4CC823D1"/>
    <w:rsid w:val="4CCA7EF7"/>
    <w:rsid w:val="4CE90CC5"/>
    <w:rsid w:val="4CF216CE"/>
    <w:rsid w:val="4D3637DE"/>
    <w:rsid w:val="4D4C4DB0"/>
    <w:rsid w:val="4D8237CC"/>
    <w:rsid w:val="4E1E499E"/>
    <w:rsid w:val="4E255D2C"/>
    <w:rsid w:val="4E740A62"/>
    <w:rsid w:val="4ED0787F"/>
    <w:rsid w:val="4EE05A7F"/>
    <w:rsid w:val="4F3573E8"/>
    <w:rsid w:val="4F583EE0"/>
    <w:rsid w:val="4F714FA1"/>
    <w:rsid w:val="4F730D1A"/>
    <w:rsid w:val="4FA9473B"/>
    <w:rsid w:val="4FE3370A"/>
    <w:rsid w:val="4FE6773D"/>
    <w:rsid w:val="50016325"/>
    <w:rsid w:val="50100316"/>
    <w:rsid w:val="503404A9"/>
    <w:rsid w:val="505F62A1"/>
    <w:rsid w:val="506F328F"/>
    <w:rsid w:val="50746AF7"/>
    <w:rsid w:val="50AC22B7"/>
    <w:rsid w:val="50B94D4A"/>
    <w:rsid w:val="50DE7DAD"/>
    <w:rsid w:val="50E83041"/>
    <w:rsid w:val="510065DD"/>
    <w:rsid w:val="511954BF"/>
    <w:rsid w:val="511A58F1"/>
    <w:rsid w:val="514A04AD"/>
    <w:rsid w:val="514A5AAA"/>
    <w:rsid w:val="51622217"/>
    <w:rsid w:val="5164091A"/>
    <w:rsid w:val="51A727E9"/>
    <w:rsid w:val="51C85628"/>
    <w:rsid w:val="51D07D5D"/>
    <w:rsid w:val="51DE048D"/>
    <w:rsid w:val="52633899"/>
    <w:rsid w:val="528079D5"/>
    <w:rsid w:val="52A03BD4"/>
    <w:rsid w:val="52B70F1D"/>
    <w:rsid w:val="52B837E9"/>
    <w:rsid w:val="52CC595F"/>
    <w:rsid w:val="52E03507"/>
    <w:rsid w:val="532E5683"/>
    <w:rsid w:val="53B97774"/>
    <w:rsid w:val="53C3212C"/>
    <w:rsid w:val="544762D1"/>
    <w:rsid w:val="54B337F9"/>
    <w:rsid w:val="54F47656"/>
    <w:rsid w:val="551D5939"/>
    <w:rsid w:val="552A10E9"/>
    <w:rsid w:val="554E07BE"/>
    <w:rsid w:val="55CC6222"/>
    <w:rsid w:val="55D6790C"/>
    <w:rsid w:val="564437DD"/>
    <w:rsid w:val="5649595A"/>
    <w:rsid w:val="567F7FA4"/>
    <w:rsid w:val="56C407D6"/>
    <w:rsid w:val="56F9640B"/>
    <w:rsid w:val="57355362"/>
    <w:rsid w:val="578735B4"/>
    <w:rsid w:val="57A35376"/>
    <w:rsid w:val="57E75093"/>
    <w:rsid w:val="58486B08"/>
    <w:rsid w:val="58717410"/>
    <w:rsid w:val="58A12453"/>
    <w:rsid w:val="58E17A00"/>
    <w:rsid w:val="59A75284"/>
    <w:rsid w:val="59C84E18"/>
    <w:rsid w:val="5A835411"/>
    <w:rsid w:val="5AFC6067"/>
    <w:rsid w:val="5B3576E8"/>
    <w:rsid w:val="5B465534"/>
    <w:rsid w:val="5B557525"/>
    <w:rsid w:val="5B600D8E"/>
    <w:rsid w:val="5BD26DC8"/>
    <w:rsid w:val="5BFC5BF3"/>
    <w:rsid w:val="5C1E3DBB"/>
    <w:rsid w:val="5C6646EB"/>
    <w:rsid w:val="5C6A5252"/>
    <w:rsid w:val="5C7E705C"/>
    <w:rsid w:val="5CFF0317"/>
    <w:rsid w:val="5D3513BC"/>
    <w:rsid w:val="5D521DC0"/>
    <w:rsid w:val="5D615593"/>
    <w:rsid w:val="5E055233"/>
    <w:rsid w:val="5E354F6E"/>
    <w:rsid w:val="5E435D5B"/>
    <w:rsid w:val="5E671A49"/>
    <w:rsid w:val="5E875C48"/>
    <w:rsid w:val="5EB42B9F"/>
    <w:rsid w:val="5F166FCB"/>
    <w:rsid w:val="5F482378"/>
    <w:rsid w:val="5F84662B"/>
    <w:rsid w:val="5FF67529"/>
    <w:rsid w:val="60835D74"/>
    <w:rsid w:val="60C43183"/>
    <w:rsid w:val="610E7EC5"/>
    <w:rsid w:val="6151253D"/>
    <w:rsid w:val="61926DDD"/>
    <w:rsid w:val="61F11F59"/>
    <w:rsid w:val="62560F4F"/>
    <w:rsid w:val="63BE49CF"/>
    <w:rsid w:val="63F0603D"/>
    <w:rsid w:val="645257D9"/>
    <w:rsid w:val="646B1B68"/>
    <w:rsid w:val="64A5151D"/>
    <w:rsid w:val="64F766B4"/>
    <w:rsid w:val="65127A3E"/>
    <w:rsid w:val="65566374"/>
    <w:rsid w:val="6646463A"/>
    <w:rsid w:val="667F5970"/>
    <w:rsid w:val="66882EA5"/>
    <w:rsid w:val="66A75A46"/>
    <w:rsid w:val="66AC35BF"/>
    <w:rsid w:val="66BA74B0"/>
    <w:rsid w:val="66D25ECE"/>
    <w:rsid w:val="66D57C4A"/>
    <w:rsid w:val="66DB6862"/>
    <w:rsid w:val="67380427"/>
    <w:rsid w:val="67582877"/>
    <w:rsid w:val="679A0DF3"/>
    <w:rsid w:val="67FB3202"/>
    <w:rsid w:val="684158EC"/>
    <w:rsid w:val="68817BAC"/>
    <w:rsid w:val="689111BB"/>
    <w:rsid w:val="68955405"/>
    <w:rsid w:val="6935178A"/>
    <w:rsid w:val="69B15FBF"/>
    <w:rsid w:val="69B8584F"/>
    <w:rsid w:val="69EA2A1E"/>
    <w:rsid w:val="69FF522C"/>
    <w:rsid w:val="6A4E6C55"/>
    <w:rsid w:val="6A806B07"/>
    <w:rsid w:val="6A8E65B0"/>
    <w:rsid w:val="6AAD290B"/>
    <w:rsid w:val="6B376C47"/>
    <w:rsid w:val="6B8F438D"/>
    <w:rsid w:val="6C054650"/>
    <w:rsid w:val="6C366B33"/>
    <w:rsid w:val="6D196605"/>
    <w:rsid w:val="6D1E54F4"/>
    <w:rsid w:val="6D7A6E0E"/>
    <w:rsid w:val="6E31701A"/>
    <w:rsid w:val="6E647E7A"/>
    <w:rsid w:val="6E753D0F"/>
    <w:rsid w:val="6F0C4479"/>
    <w:rsid w:val="6F3040D9"/>
    <w:rsid w:val="6F4611D1"/>
    <w:rsid w:val="6F677758"/>
    <w:rsid w:val="6FF07564"/>
    <w:rsid w:val="706202C3"/>
    <w:rsid w:val="71194436"/>
    <w:rsid w:val="71213CDA"/>
    <w:rsid w:val="717C77F4"/>
    <w:rsid w:val="71B903B6"/>
    <w:rsid w:val="71E116BB"/>
    <w:rsid w:val="71F92A19"/>
    <w:rsid w:val="71FB3012"/>
    <w:rsid w:val="727F4C0F"/>
    <w:rsid w:val="734A4BBC"/>
    <w:rsid w:val="73CB72A0"/>
    <w:rsid w:val="73E20BFE"/>
    <w:rsid w:val="740B21FC"/>
    <w:rsid w:val="74884070"/>
    <w:rsid w:val="749F7D37"/>
    <w:rsid w:val="74AC75C3"/>
    <w:rsid w:val="750F293F"/>
    <w:rsid w:val="75294C83"/>
    <w:rsid w:val="7568637B"/>
    <w:rsid w:val="75776309"/>
    <w:rsid w:val="75F75951"/>
    <w:rsid w:val="760A5684"/>
    <w:rsid w:val="760F50B4"/>
    <w:rsid w:val="76BF021D"/>
    <w:rsid w:val="774C75D7"/>
    <w:rsid w:val="77534E09"/>
    <w:rsid w:val="775748F9"/>
    <w:rsid w:val="77A85155"/>
    <w:rsid w:val="77BA19B9"/>
    <w:rsid w:val="77BE5982"/>
    <w:rsid w:val="77DE539F"/>
    <w:rsid w:val="77E141C3"/>
    <w:rsid w:val="77E23114"/>
    <w:rsid w:val="780D58E4"/>
    <w:rsid w:val="789D27E0"/>
    <w:rsid w:val="78BC3F0C"/>
    <w:rsid w:val="78D84C42"/>
    <w:rsid w:val="793A002E"/>
    <w:rsid w:val="793B603B"/>
    <w:rsid w:val="79DF0BD6"/>
    <w:rsid w:val="79F226B7"/>
    <w:rsid w:val="7A044F16"/>
    <w:rsid w:val="7A2C4240"/>
    <w:rsid w:val="7A942FB8"/>
    <w:rsid w:val="7AA84723"/>
    <w:rsid w:val="7AA8721A"/>
    <w:rsid w:val="7B130B37"/>
    <w:rsid w:val="7B6475E5"/>
    <w:rsid w:val="7BA63759"/>
    <w:rsid w:val="7C2775D4"/>
    <w:rsid w:val="7C287E6E"/>
    <w:rsid w:val="7C4539D6"/>
    <w:rsid w:val="7C492337"/>
    <w:rsid w:val="7C615CF6"/>
    <w:rsid w:val="7C993422"/>
    <w:rsid w:val="7D605B15"/>
    <w:rsid w:val="7D68273B"/>
    <w:rsid w:val="7D891584"/>
    <w:rsid w:val="7D8A0E59"/>
    <w:rsid w:val="7D9A7349"/>
    <w:rsid w:val="7E211022"/>
    <w:rsid w:val="7E232570"/>
    <w:rsid w:val="7E3E411D"/>
    <w:rsid w:val="7EFC7B34"/>
    <w:rsid w:val="7F002CD2"/>
    <w:rsid w:val="7F3A5562"/>
    <w:rsid w:val="7F406374"/>
    <w:rsid w:val="7F466923"/>
    <w:rsid w:val="7F4F273F"/>
    <w:rsid w:val="7F875650"/>
    <w:rsid w:val="7F947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qFormat/>
    <w:uiPriority w:val="0"/>
    <w:pPr>
      <w:jc w:val="left"/>
    </w:pPr>
  </w:style>
  <w:style w:type="paragraph" w:styleId="3">
    <w:name w:val="Body Text"/>
    <w:basedOn w:val="1"/>
    <w:next w:val="4"/>
    <w:autoRedefine/>
    <w:unhideWhenUsed/>
    <w:qFormat/>
    <w:uiPriority w:val="99"/>
    <w:pPr>
      <w:spacing w:after="120"/>
    </w:pPr>
  </w:style>
  <w:style w:type="paragraph" w:styleId="4">
    <w:name w:val="Body Text First Indent"/>
    <w:basedOn w:val="3"/>
    <w:next w:val="5"/>
    <w:unhideWhenUsed/>
    <w:qFormat/>
    <w:uiPriority w:val="99"/>
    <w:pPr>
      <w:widowControl/>
      <w:ind w:firstLine="420" w:firstLineChars="100"/>
      <w:jc w:val="left"/>
    </w:pPr>
  </w:style>
  <w:style w:type="paragraph" w:styleId="5">
    <w:name w:val="toc 6"/>
    <w:basedOn w:val="1"/>
    <w:next w:val="1"/>
    <w:autoRedefine/>
    <w:unhideWhenUsed/>
    <w:qFormat/>
    <w:uiPriority w:val="39"/>
    <w:pPr>
      <w:ind w:left="2100" w:leftChars="1000"/>
    </w:pPr>
    <w:rPr>
      <w:rFonts w:ascii="Calibri" w:hAnsi="Calibri"/>
      <w:szCs w:val="22"/>
    </w:rPr>
  </w:style>
  <w:style w:type="paragraph" w:styleId="6">
    <w:name w:val="Date"/>
    <w:basedOn w:val="1"/>
    <w:next w:val="1"/>
    <w:autoRedefine/>
    <w:qFormat/>
    <w:uiPriority w:val="0"/>
    <w:pPr>
      <w:ind w:left="100" w:leftChars="2500"/>
    </w:pPr>
  </w:style>
  <w:style w:type="paragraph" w:styleId="7">
    <w:name w:val="Balloon Text"/>
    <w:basedOn w:val="1"/>
    <w:autoRedefine/>
    <w:semiHidden/>
    <w:qFormat/>
    <w:uiPriority w:val="0"/>
    <w:rPr>
      <w:sz w:val="18"/>
      <w:szCs w:val="18"/>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2"/>
    <w:next w:val="2"/>
    <w:autoRedefine/>
    <w:semiHidden/>
    <w:qFormat/>
    <w:uiPriority w:val="0"/>
    <w:rPr>
      <w:b/>
      <w:bCs/>
    </w:rPr>
  </w:style>
  <w:style w:type="character" w:styleId="14">
    <w:name w:val="annotation reference"/>
    <w:autoRedefine/>
    <w:semiHidden/>
    <w:qFormat/>
    <w:uiPriority w:val="0"/>
    <w:rPr>
      <w:sz w:val="21"/>
      <w:szCs w:val="21"/>
    </w:rPr>
  </w:style>
  <w:style w:type="paragraph" w:customStyle="1" w:styleId="15">
    <w:name w:val="Char Char Char Char Char Char Char Char Char Char Char Char Char Char Char Char Char Char Char Char Char Char Char Char Char Char Char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6">
    <w:name w:val="Char"/>
    <w:basedOn w:val="1"/>
    <w:autoRedefine/>
    <w:qFormat/>
    <w:uiPriority w:val="0"/>
    <w:rPr>
      <w:szCs w:val="20"/>
    </w:rPr>
  </w:style>
  <w:style w:type="paragraph" w:customStyle="1" w:styleId="17">
    <w:name w:val="_Style 13"/>
    <w:basedOn w:val="1"/>
    <w:autoRedefine/>
    <w:qFormat/>
    <w:uiPriority w:val="0"/>
    <w:rPr>
      <w:szCs w:val="20"/>
    </w:rPr>
  </w:style>
  <w:style w:type="paragraph" w:customStyle="1" w:styleId="18">
    <w:name w:val="Char Char Char Char"/>
    <w:basedOn w:val="1"/>
    <w:autoRedefine/>
    <w:qFormat/>
    <w:uiPriority w:val="0"/>
  </w:style>
  <w:style w:type="paragraph" w:styleId="19">
    <w:name w:val="List Paragraph"/>
    <w:basedOn w:val="1"/>
    <w:autoRedefine/>
    <w:qFormat/>
    <w:uiPriority w:val="0"/>
    <w:pPr>
      <w:ind w:firstLine="420" w:firstLineChars="200"/>
    </w:pPr>
    <w:rPr>
      <w:rFonts w:ascii="Calibri" w:hAnsi="Calibri"/>
      <w:szCs w:val="22"/>
    </w:rPr>
  </w:style>
  <w:style w:type="character" w:customStyle="1" w:styleId="20">
    <w:name w:val="singletext"/>
    <w:basedOn w:val="13"/>
    <w:autoRedefine/>
    <w:qFormat/>
    <w:uiPriority w:val="0"/>
  </w:style>
  <w:style w:type="paragraph" w:customStyle="1" w:styleId="21">
    <w:name w:val="列出段落1"/>
    <w:basedOn w:val="1"/>
    <w:autoRedefine/>
    <w:qFormat/>
    <w:uiPriority w:val="0"/>
    <w:pPr>
      <w:ind w:firstLine="420" w:firstLineChars="200"/>
    </w:pPr>
    <w:rPr>
      <w:rFonts w:ascii="Calibri" w:hAnsi="Calibri"/>
      <w:szCs w:val="22"/>
    </w:rPr>
  </w:style>
  <w:style w:type="character" w:customStyle="1" w:styleId="22">
    <w:name w:val="font31"/>
    <w:basedOn w:val="13"/>
    <w:autoRedefine/>
    <w:qFormat/>
    <w:uiPriority w:val="0"/>
    <w:rPr>
      <w:rFonts w:hint="eastAsia" w:ascii="宋体" w:hAnsi="宋体" w:eastAsia="宋体" w:cs="宋体"/>
      <w:b/>
      <w:bCs/>
      <w:color w:val="000000"/>
      <w:sz w:val="20"/>
      <w:szCs w:val="20"/>
      <w:u w:val="none"/>
    </w:rPr>
  </w:style>
  <w:style w:type="character" w:customStyle="1" w:styleId="23">
    <w:name w:val="font11"/>
    <w:basedOn w:val="13"/>
    <w:autoRedefine/>
    <w:qFormat/>
    <w:uiPriority w:val="0"/>
    <w:rPr>
      <w:rFonts w:hint="default" w:ascii="Times New Roman" w:hAnsi="Times New Roman" w:cs="Times New Roman"/>
      <w:b/>
      <w:bCs/>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1906</Words>
  <Characters>2062</Characters>
  <Lines>51</Lines>
  <Paragraphs>14</Paragraphs>
  <TotalTime>0</TotalTime>
  <ScaleCrop>false</ScaleCrop>
  <LinksUpToDate>false</LinksUpToDate>
  <CharactersWithSpaces>2062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2020-06-02T08:58:00Z</dcterms:created>
  <dc:creator>Administrator</dc:creator>
  <cp:lastModifiedBy>林巧</cp:lastModifiedBy>
  <cp:lastPrinted>2024-08-22T08:10:00Z</cp:lastPrinted>
  <dcterms:modified xsi:type="dcterms:W3CDTF">2024-08-27T08:00:10Z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CBE387BEA95E45D4A400D688047ED580_13</vt:lpwstr>
  </property>
</Properties>
</file>