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C18254">
      <w:pPr>
        <w:jc w:val="center"/>
        <w:rPr>
          <w:b/>
          <w:sz w:val="28"/>
          <w:szCs w:val="36"/>
        </w:rPr>
      </w:pPr>
      <w:r>
        <w:rPr>
          <w:rFonts w:hint="eastAsia"/>
          <w:b/>
          <w:sz w:val="28"/>
          <w:szCs w:val="36"/>
        </w:rPr>
        <w:t>供应商未中标情况说明</w:t>
      </w:r>
    </w:p>
    <w:p w14:paraId="62542545">
      <w:pPr>
        <w:rPr>
          <w:rFonts w:hint="eastAsia"/>
        </w:rPr>
      </w:pPr>
    </w:p>
    <w:p w14:paraId="6897CEE6">
      <w:pPr>
        <w:rPr>
          <w:b/>
        </w:rPr>
      </w:pPr>
      <w:r>
        <w:rPr>
          <w:rFonts w:hint="eastAsia"/>
          <w:b/>
        </w:rPr>
        <w:t>标段编号：ZJCT2-GASCFJ2025-01</w:t>
      </w:r>
    </w:p>
    <w:p w14:paraId="774C3278">
      <w:pPr>
        <w:rPr>
          <w:rFonts w:hint="eastAsia"/>
          <w:b/>
        </w:rPr>
      </w:pPr>
      <w:r>
        <w:rPr>
          <w:rFonts w:hint="eastAsia"/>
          <w:b/>
        </w:rPr>
        <w:t>标段名称：杭州市公安局上城区分局160路监控和1399路庭改监控到期改造租赁项目</w:t>
      </w:r>
    </w:p>
    <w:p w14:paraId="7A7052C2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6"/>
        <w:gridCol w:w="5357"/>
        <w:gridCol w:w="2297"/>
      </w:tblGrid>
      <w:tr w14:paraId="2A1E08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6" w:type="dxa"/>
          </w:tcPr>
          <w:p w14:paraId="4286FAF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5357" w:type="dxa"/>
          </w:tcPr>
          <w:p w14:paraId="08A069F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2297" w:type="dxa"/>
          </w:tcPr>
          <w:p w14:paraId="01CA591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6D9874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6" w:type="dxa"/>
            <w:vAlign w:val="top"/>
          </w:tcPr>
          <w:p w14:paraId="55A9576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5357" w:type="dxa"/>
          </w:tcPr>
          <w:p w14:paraId="041F44C6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中国移动通信集团浙江有限公司杭州分公司</w:t>
            </w:r>
          </w:p>
        </w:tc>
        <w:tc>
          <w:tcPr>
            <w:tcW w:w="2297" w:type="dxa"/>
            <w:shd w:val="clear"/>
            <w:vAlign w:val="top"/>
          </w:tcPr>
          <w:p w14:paraId="2AF80EBD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综合得分排名第二</w:t>
            </w:r>
          </w:p>
        </w:tc>
      </w:tr>
      <w:tr w14:paraId="053816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6" w:type="dxa"/>
            <w:vAlign w:val="top"/>
          </w:tcPr>
          <w:p w14:paraId="599E429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5357" w:type="dxa"/>
          </w:tcPr>
          <w:p w14:paraId="55E270A5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杭州言鼎信息工程有限公司</w:t>
            </w:r>
          </w:p>
        </w:tc>
        <w:tc>
          <w:tcPr>
            <w:tcW w:w="2297" w:type="dxa"/>
            <w:shd w:val="clear"/>
            <w:vAlign w:val="top"/>
          </w:tcPr>
          <w:p w14:paraId="20D3906A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综合得分排名第三</w:t>
            </w:r>
          </w:p>
        </w:tc>
      </w:tr>
    </w:tbl>
    <w:p w14:paraId="23271C6D"/>
    <w:p w14:paraId="723E5D3B">
      <w:pPr>
        <w:rPr>
          <w:rFonts w:hint="eastAsia"/>
        </w:rPr>
      </w:pPr>
    </w:p>
    <w:p w14:paraId="5AAE1D59"/>
    <w:p w14:paraId="6A9690E2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52C229FA"/>
    <w:rsid w:val="6DE20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309</Words>
  <Characters>327</Characters>
  <Lines>1</Lines>
  <Paragraphs>1</Paragraphs>
  <TotalTime>1</TotalTime>
  <ScaleCrop>false</ScaleCrop>
  <LinksUpToDate>false</LinksUpToDate>
  <CharactersWithSpaces>327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fr</cp:lastModifiedBy>
  <dcterms:modified xsi:type="dcterms:W3CDTF">2025-03-26T13:05:48Z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eyJoZGlkIjoiMzEwNTM5NzYwMDRjMzkwZTVkZjY2ODkwMGIxNGU0OTUiLCJ1c2VySWQiOiI0NDI0NjEyMzkifQ==</vt:lpwstr>
  </property>
  <property fmtid="{D5CDD505-2E9C-101B-9397-08002B2CF9AE}" pid="3" name="KSOProductBuildVer">
    <vt:lpwstr>2052-12.1.0.20305</vt:lpwstr>
  </property>
  <property fmtid="{D5CDD505-2E9C-101B-9397-08002B2CF9AE}" pid="4" name="ICV">
    <vt:lpwstr>A94F44BAD8CA40B3A065279DE146B80D_12</vt:lpwstr>
  </property>
</Properties>
</file>