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BEF1E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4B02DB1">
      <w:pPr>
        <w:rPr>
          <w:rFonts w:hint="eastAsia"/>
        </w:rPr>
      </w:pPr>
    </w:p>
    <w:p w14:paraId="3C5680DB">
      <w:pPr>
        <w:rPr>
          <w:rFonts w:hint="eastAsia"/>
          <w:b/>
        </w:rPr>
      </w:pPr>
      <w:r>
        <w:rPr>
          <w:rFonts w:hint="eastAsia"/>
          <w:b/>
        </w:rPr>
        <w:t>标段编号：CGZX（GK）-2024-012</w:t>
      </w:r>
    </w:p>
    <w:p w14:paraId="6EE002FD">
      <w:pPr>
        <w:rPr>
          <w:rFonts w:hint="eastAsia"/>
          <w:b/>
        </w:rPr>
      </w:pPr>
      <w:r>
        <w:rPr>
          <w:rFonts w:hint="eastAsia"/>
          <w:b/>
        </w:rPr>
        <w:t>标段名称：浙江工商大学科创大楼整体文化品牌视觉系统专项设计</w:t>
      </w:r>
    </w:p>
    <w:p w14:paraId="4C7862FC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104"/>
        <w:gridCol w:w="3057"/>
      </w:tblGrid>
      <w:tr w14:paraId="633C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9" w:type="dxa"/>
          </w:tcPr>
          <w:p w14:paraId="4D57149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04" w:type="dxa"/>
          </w:tcPr>
          <w:p w14:paraId="7512D21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057" w:type="dxa"/>
          </w:tcPr>
          <w:p w14:paraId="27294BF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77AEE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1AD8F6EC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104" w:type="dxa"/>
          </w:tcPr>
          <w:p w14:paraId="6A97D073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浙江新大工程设计有限公司</w:t>
            </w:r>
          </w:p>
        </w:tc>
        <w:tc>
          <w:tcPr>
            <w:tcW w:w="3057" w:type="dxa"/>
          </w:tcPr>
          <w:p w14:paraId="327826DF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 w14:paraId="2A11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629BADF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104" w:type="dxa"/>
          </w:tcPr>
          <w:p w14:paraId="6D69880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浙江科信文化发展有限公司</w:t>
            </w:r>
          </w:p>
        </w:tc>
        <w:tc>
          <w:tcPr>
            <w:tcW w:w="3057" w:type="dxa"/>
          </w:tcPr>
          <w:p w14:paraId="3C2C89AE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总得分非第一名</w:t>
            </w:r>
          </w:p>
        </w:tc>
      </w:tr>
      <w:tr w14:paraId="21AAB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 w14:paraId="51D8CC57"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104" w:type="dxa"/>
          </w:tcPr>
          <w:p w14:paraId="7A352E65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艺城设计有限公司</w:t>
            </w:r>
          </w:p>
        </w:tc>
        <w:tc>
          <w:tcPr>
            <w:tcW w:w="3057" w:type="dxa"/>
          </w:tcPr>
          <w:p w14:paraId="2787C9C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不符合本项目要求专门面向中小企业的要求，资格不符。</w:t>
            </w:r>
          </w:p>
        </w:tc>
      </w:tr>
    </w:tbl>
    <w:p w14:paraId="504F538E">
      <w:pPr>
        <w:jc w:val="center"/>
        <w:rPr>
          <w:rFonts w:hint="eastAsia"/>
          <w:b/>
          <w:lang w:val="en-US" w:eastAsia="zh-CN"/>
        </w:rPr>
      </w:pPr>
    </w:p>
    <w:p w14:paraId="401612CD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BB4DE2"/>
    <w:rsid w:val="002D7097"/>
    <w:rsid w:val="00507446"/>
    <w:rsid w:val="00A3330A"/>
    <w:rsid w:val="00B3445D"/>
    <w:rsid w:val="00BB4DE2"/>
    <w:rsid w:val="00C90B6B"/>
    <w:rsid w:val="0A1A34EF"/>
    <w:rsid w:val="0CE90DFA"/>
    <w:rsid w:val="13242142"/>
    <w:rsid w:val="28577891"/>
    <w:rsid w:val="43605F20"/>
    <w:rsid w:val="5B860DB6"/>
    <w:rsid w:val="64D07332"/>
    <w:rsid w:val="681C2B5A"/>
    <w:rsid w:val="720F70F1"/>
    <w:rsid w:val="72A07F4A"/>
    <w:rsid w:val="7FF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3"/>
    <w:semiHidden/>
    <w:unhideWhenUsed/>
    <w:qFormat/>
    <w:uiPriority w:val="9"/>
    <w:pPr>
      <w:keepNext/>
      <w:keepLines/>
      <w:spacing w:before="40" w:after="40" w:line="360" w:lineRule="auto"/>
      <w:ind w:firstLine="452" w:firstLineChars="150"/>
      <w:outlineLvl w:val="3"/>
    </w:pPr>
    <w:rPr>
      <w:rFonts w:ascii="Cambria" w:hAnsi="Cambria" w:eastAsia="宋体" w:cs="Tahoma"/>
      <w:b/>
      <w:bCs/>
      <w:sz w:val="24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120</Characters>
  <Lines>1</Lines>
  <Paragraphs>1</Paragraphs>
  <TotalTime>0</TotalTime>
  <ScaleCrop>false</ScaleCrop>
  <LinksUpToDate>false</LinksUpToDate>
  <CharactersWithSpaces>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黑、哥灬¹⁵¹⁶⁸⁴⁷¹⁷¹⁷</cp:lastModifiedBy>
  <dcterms:modified xsi:type="dcterms:W3CDTF">2024-10-31T07:35:07Z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E0F5EAFB5E434C32853DC432CD898882</vt:lpwstr>
  </property>
</Properties>
</file>