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23A" w:rsidRDefault="002C41E8" w:rsidP="00D11969">
      <w:pPr>
        <w:spacing w:line="400" w:lineRule="exact"/>
        <w:ind w:left="2461" w:hangingChars="681" w:hanging="2461"/>
        <w:jc w:val="center"/>
        <w:rPr>
          <w:rFonts w:ascii="宋体" w:hAnsi="宋体"/>
          <w:b/>
          <w:bCs/>
          <w:kern w:val="0"/>
          <w:szCs w:val="21"/>
        </w:rPr>
      </w:pPr>
      <w:r>
        <w:rPr>
          <w:rFonts w:ascii="宋体" w:hAnsi="宋体" w:hint="eastAsia"/>
          <w:b/>
          <w:bCs/>
          <w:sz w:val="36"/>
          <w:szCs w:val="36"/>
        </w:rPr>
        <w:t>工程量清单</w:t>
      </w:r>
      <w:r>
        <w:rPr>
          <w:rFonts w:ascii="宋体" w:hAnsi="宋体" w:hint="eastAsia"/>
          <w:b/>
          <w:bCs/>
          <w:sz w:val="36"/>
          <w:szCs w:val="36"/>
        </w:rPr>
        <w:t>审核说明</w:t>
      </w:r>
    </w:p>
    <w:p w:rsidR="00D11969" w:rsidRPr="00D24946" w:rsidRDefault="00D11969" w:rsidP="00D11969">
      <w:pPr>
        <w:snapToGrid w:val="0"/>
        <w:spacing w:before="50" w:after="50" w:line="360" w:lineRule="auto"/>
        <w:ind w:firstLine="630"/>
        <w:rPr>
          <w:rFonts w:ascii="宋体" w:hAnsi="宋体" w:hint="eastAsia"/>
          <w:b/>
          <w:spacing w:val="20"/>
          <w:sz w:val="24"/>
        </w:rPr>
      </w:pPr>
      <w:bookmarkStart w:id="0" w:name="_GoBack"/>
      <w:bookmarkEnd w:id="0"/>
      <w:r w:rsidRPr="00D24946">
        <w:rPr>
          <w:rFonts w:ascii="宋体" w:hAnsi="宋体" w:hint="eastAsia"/>
          <w:b/>
          <w:spacing w:val="20"/>
          <w:sz w:val="24"/>
        </w:rPr>
        <w:t>一、工程概况：</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本工程为解放路院区金钱大厦12楼实验室改造项目，位于浙江省杭州市上城区。</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本工程主要施工范围为：解放路院区金钱大厦12楼实验室装饰装修、实验室家具、安装、门窗等工程内容。</w:t>
      </w:r>
    </w:p>
    <w:p w:rsidR="00D11969" w:rsidRPr="00D24946" w:rsidRDefault="00D11969" w:rsidP="00D11969">
      <w:pPr>
        <w:snapToGrid w:val="0"/>
        <w:spacing w:before="50" w:after="50" w:line="360" w:lineRule="auto"/>
        <w:ind w:firstLine="630"/>
        <w:rPr>
          <w:rFonts w:ascii="宋体" w:hAnsi="宋体" w:hint="eastAsia"/>
          <w:b/>
          <w:spacing w:val="20"/>
          <w:sz w:val="24"/>
        </w:rPr>
      </w:pPr>
      <w:r w:rsidRPr="00D24946">
        <w:rPr>
          <w:rFonts w:ascii="宋体" w:hAnsi="宋体" w:hint="eastAsia"/>
          <w:b/>
          <w:spacing w:val="20"/>
          <w:sz w:val="24"/>
        </w:rPr>
        <w:t>二、工程采购范围：</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本次采购范围：解放路院区金钱大厦12楼实验室改造项目，具体详见工程量清单及工程相关资料。</w:t>
      </w:r>
    </w:p>
    <w:p w:rsidR="00D11969" w:rsidRPr="00D24946" w:rsidRDefault="00D11969" w:rsidP="00D11969">
      <w:pPr>
        <w:snapToGrid w:val="0"/>
        <w:spacing w:before="50" w:after="50" w:line="360" w:lineRule="auto"/>
        <w:ind w:firstLine="630"/>
        <w:rPr>
          <w:rFonts w:ascii="宋体" w:hAnsi="宋体" w:hint="eastAsia"/>
          <w:b/>
          <w:spacing w:val="20"/>
          <w:sz w:val="24"/>
        </w:rPr>
      </w:pPr>
      <w:r w:rsidRPr="00D24946">
        <w:rPr>
          <w:rFonts w:ascii="宋体" w:hAnsi="宋体" w:hint="eastAsia"/>
          <w:b/>
          <w:spacing w:val="20"/>
          <w:sz w:val="24"/>
        </w:rPr>
        <w:t>三、编制依据：</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1、施工图纸、业主提供的资料及相关要求。</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2、《建设工程工程量清单计价规范》(GB 50500-2013)、《房屋建筑与装饰工程工程量计算规范》(GB 50854-2013)、《通用安装工程工程量计算规范》(GB 50856-2013)。</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3、《浙江省建设工程计价规则》（2018版）、《浙江省房屋建筑与装饰工程预算定额》(2018版)、《关于颁发浙江省建设工程计价依据（2018版）的通知(浙建建（2018）61号)》、《关于增值税调整后我省建设工程计价依据增值税税率及有关计价调整的通知（浙建建〔2019〕92号）》、《省建设厅关于调整建筑工程安全文明施工费的通知》、《关于明确杭州市建筑施工领域安全生产责任保险费用计取的通知》等省、市有关文件。</w:t>
      </w:r>
    </w:p>
    <w:p w:rsidR="00D11969" w:rsidRPr="00D24946" w:rsidRDefault="00D11969" w:rsidP="00D11969">
      <w:pPr>
        <w:snapToGrid w:val="0"/>
        <w:spacing w:before="50" w:after="50" w:line="360" w:lineRule="auto"/>
        <w:ind w:firstLine="630"/>
        <w:rPr>
          <w:rFonts w:ascii="宋体" w:hAnsi="宋体" w:hint="eastAsia"/>
          <w:b/>
          <w:spacing w:val="20"/>
          <w:sz w:val="24"/>
        </w:rPr>
      </w:pPr>
      <w:r w:rsidRPr="00D24946">
        <w:rPr>
          <w:rFonts w:ascii="宋体" w:hAnsi="宋体" w:hint="eastAsia"/>
          <w:b/>
          <w:spacing w:val="20"/>
          <w:sz w:val="24"/>
        </w:rPr>
        <w:t>四、取费说明：</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费率说明：企业管理费、安全文明施工基本费、规费、税金：</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1、安全文明施工基本费：按市区工程考虑，根据《浙江省建设工程计价规则（2018版）》等的相关规定执行。</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房屋建筑与装饰工程：措施项目清单中的安全文明施工费，应按规定计价，基本费的费率不得低于《浙江省建设工程计价规则》（2018版）规定的相应弹性费率下限。取费基数为人工费+机械费，其中装饰工程最低取费费率为5.91%，安装工程最低取费费率为 7.35 %。安全文明施工费按市区一般工程考虑；</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lastRenderedPageBreak/>
        <w:t>2、规费费率：按照《浙江省建设工程计价规则》（2018版）的规定，规费由</w:t>
      </w:r>
      <w:r>
        <w:rPr>
          <w:rFonts w:ascii="宋体" w:hAnsi="宋体" w:hint="eastAsia"/>
          <w:spacing w:val="20"/>
          <w:sz w:val="24"/>
        </w:rPr>
        <w:t>供应商</w:t>
      </w:r>
      <w:r w:rsidRPr="00D24946">
        <w:rPr>
          <w:rFonts w:ascii="宋体" w:hAnsi="宋体" w:hint="eastAsia"/>
          <w:spacing w:val="20"/>
          <w:sz w:val="24"/>
        </w:rPr>
        <w:t>根据国家法律法规及自身缴纳规费的实际情况，自主确定其投标费率，但不得低于标准费率的30%：其中装饰工程费率不得低于8.38%，安装工程费率不得低于 9.19%。</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3、税金费率：为9％（取费基数：分部分项工程费+措施项目费+其他项目费+规费的税前工程造价）。</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4、企业管理费：根据杭建市发【2018】578号的相关规定，具体如下：</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报价不得低于省建设行政主管部门颁发的施工费用定额和相关取费计价文件规定的对应专业工程管理费弹性费率下限乘以20%的计算值,具体取费要求如下：</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取费基数为人工费+机械费，其中装饰工程费率下限值为11.37%，最低费率不低于2.27%；安装工程费率下限值为 16.29 %，最低费率不低于 3.26 %。</w:t>
      </w:r>
    </w:p>
    <w:p w:rsidR="00D11969" w:rsidRPr="00D24946" w:rsidRDefault="00D11969" w:rsidP="00D11969">
      <w:pPr>
        <w:snapToGrid w:val="0"/>
        <w:spacing w:before="50" w:after="50" w:line="360" w:lineRule="auto"/>
        <w:ind w:firstLine="630"/>
        <w:rPr>
          <w:rFonts w:ascii="宋体" w:hAnsi="宋体" w:hint="eastAsia"/>
          <w:b/>
          <w:spacing w:val="20"/>
          <w:sz w:val="24"/>
        </w:rPr>
      </w:pPr>
      <w:r w:rsidRPr="00D24946">
        <w:rPr>
          <w:rFonts w:ascii="宋体" w:hAnsi="宋体" w:hint="eastAsia"/>
          <w:b/>
          <w:spacing w:val="20"/>
          <w:sz w:val="24"/>
        </w:rPr>
        <w:t>五、相关事项说明：</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w:t>
      </w:r>
      <w:r>
        <w:rPr>
          <w:rFonts w:ascii="宋体" w:hAnsi="宋体" w:hint="eastAsia"/>
          <w:spacing w:val="20"/>
          <w:sz w:val="24"/>
        </w:rPr>
        <w:t>供应商</w:t>
      </w:r>
      <w:r w:rsidRPr="00D24946">
        <w:rPr>
          <w:rFonts w:ascii="宋体" w:hAnsi="宋体" w:hint="eastAsia"/>
          <w:spacing w:val="20"/>
          <w:sz w:val="24"/>
        </w:rPr>
        <w:t>应先到工地踏勘，以充分了解工地位置情况、工程结构、储存空间、施工限制及任何其他足以影响承包价的情况。任何因误解工地情况而导致的索赔或工期延长申请将不获批准。</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 xml:space="preserve">2、材料搬运施工方自行考虑，计入报价。 </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 xml:space="preserve">3、措施费项目应包括完成该工程所需的全部措施项目费用（如可能发生的大型机械进出场费、脚手架、垂直和水平运输等），不作调整。 </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4、本工程量清单中所列项目的工程量以实体工程编制，并以完成后的净值计算，</w:t>
      </w:r>
      <w:r>
        <w:rPr>
          <w:rFonts w:ascii="宋体" w:hAnsi="宋体" w:hint="eastAsia"/>
          <w:spacing w:val="20"/>
          <w:sz w:val="24"/>
        </w:rPr>
        <w:t>供应商</w:t>
      </w:r>
      <w:r w:rsidRPr="00D24946">
        <w:rPr>
          <w:rFonts w:ascii="宋体" w:hAnsi="宋体" w:hint="eastAsia"/>
          <w:spacing w:val="20"/>
          <w:sz w:val="24"/>
        </w:rPr>
        <w:t>报价时，应在单价中考虑施工中的各种损耗和需要增加的工程量，</w:t>
      </w:r>
      <w:r>
        <w:rPr>
          <w:rFonts w:ascii="宋体" w:hAnsi="宋体" w:hint="eastAsia"/>
          <w:spacing w:val="20"/>
          <w:sz w:val="24"/>
        </w:rPr>
        <w:t>采购人</w:t>
      </w:r>
      <w:r w:rsidRPr="00D24946">
        <w:rPr>
          <w:rFonts w:ascii="宋体" w:hAnsi="宋体" w:hint="eastAsia"/>
          <w:spacing w:val="20"/>
          <w:sz w:val="24"/>
        </w:rPr>
        <w:t xml:space="preserve">不为损耗额外支付； </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5、 施工单位施工时必须保证不影响原主体结构安全，如因此产生相关费用均由</w:t>
      </w:r>
      <w:r>
        <w:rPr>
          <w:rFonts w:ascii="宋体" w:hAnsi="宋体" w:hint="eastAsia"/>
          <w:spacing w:val="20"/>
          <w:sz w:val="24"/>
        </w:rPr>
        <w:t>供应商</w:t>
      </w:r>
      <w:r w:rsidRPr="00D24946">
        <w:rPr>
          <w:rFonts w:ascii="宋体" w:hAnsi="宋体" w:hint="eastAsia"/>
          <w:spacing w:val="20"/>
          <w:sz w:val="24"/>
        </w:rPr>
        <w:t>承担。</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6、</w:t>
      </w:r>
      <w:r>
        <w:rPr>
          <w:rFonts w:ascii="宋体" w:hAnsi="宋体" w:hint="eastAsia"/>
          <w:spacing w:val="20"/>
          <w:sz w:val="24"/>
        </w:rPr>
        <w:t>成交</w:t>
      </w:r>
      <w:r w:rsidRPr="00D24946">
        <w:rPr>
          <w:rFonts w:ascii="宋体" w:hAnsi="宋体" w:hint="eastAsia"/>
          <w:spacing w:val="20"/>
          <w:sz w:val="24"/>
        </w:rPr>
        <w:t>后不得以编码或特征描述的理由要求调整综合单价；</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7、本建筑清单项目特征内未注明的单位均为mm（毫米）；</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8、本工程所有现浇砼均采用商品砼，所有砂浆均采用预拌砂浆；</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9、天棚吊顶的灯具孔、检查孔、空调风口等孔洞的开孔费用以及检修孔、</w:t>
      </w:r>
      <w:r w:rsidRPr="00D24946">
        <w:rPr>
          <w:rFonts w:ascii="宋体" w:hAnsi="宋体" w:hint="eastAsia"/>
          <w:spacing w:val="20"/>
          <w:sz w:val="24"/>
        </w:rPr>
        <w:lastRenderedPageBreak/>
        <w:t>风口等的洞口加固费用，由</w:t>
      </w:r>
      <w:r>
        <w:rPr>
          <w:rFonts w:ascii="宋体" w:hAnsi="宋体" w:hint="eastAsia"/>
          <w:spacing w:val="20"/>
          <w:sz w:val="24"/>
        </w:rPr>
        <w:t>供应商</w:t>
      </w:r>
      <w:r w:rsidRPr="00D24946">
        <w:rPr>
          <w:rFonts w:ascii="宋体" w:hAnsi="宋体" w:hint="eastAsia"/>
          <w:spacing w:val="20"/>
          <w:sz w:val="24"/>
        </w:rPr>
        <w:t>在相应的天棚吊顶清单项目单价中综合考虑，不再另行列项，如未报价，视作优惠；</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10、所有隔断、墙面、地面及其他部位等需要安装相关设备而需在相关面层上预留孔洞或者开孔的，</w:t>
      </w:r>
      <w:r>
        <w:rPr>
          <w:rFonts w:ascii="宋体" w:hAnsi="宋体" w:hint="eastAsia"/>
          <w:spacing w:val="20"/>
          <w:sz w:val="24"/>
        </w:rPr>
        <w:t>供应商</w:t>
      </w:r>
      <w:r w:rsidRPr="00D24946">
        <w:rPr>
          <w:rFonts w:ascii="宋体" w:hAnsi="宋体" w:hint="eastAsia"/>
          <w:spacing w:val="20"/>
          <w:sz w:val="24"/>
        </w:rPr>
        <w:t>应综合考虑，费用计入所涉及项目综合单价；</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11、所有石材、石材线条的报价均需包含磨边、铣槽、表面处理（酸洗打蜡、镜面处理）等费用；</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12、所有饰面材料（如内外墙涂料、地砖、墙砖等）及铝合金型材、玻璃、铝板等均未区分颜色或颜色暂定，请投标单位自行充分考虑不同颜色对的报价的影响，实际施工时按业主、设计要求调整，中标后综合单价不变；</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13、所有木门、钢质门、铝合金门窗报价均应包括门锁、拉手、地弹簧、门铰、合页、防坠落、限位装置，内外打胶等其他配件，考虑在综合单价中；</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14、</w:t>
      </w:r>
      <w:r>
        <w:rPr>
          <w:rFonts w:ascii="宋体" w:hAnsi="宋体" w:hint="eastAsia"/>
          <w:spacing w:val="20"/>
          <w:sz w:val="24"/>
        </w:rPr>
        <w:t>供应商</w:t>
      </w:r>
      <w:r w:rsidRPr="00D24946">
        <w:rPr>
          <w:rFonts w:ascii="宋体" w:hAnsi="宋体" w:hint="eastAsia"/>
          <w:spacing w:val="20"/>
          <w:sz w:val="24"/>
        </w:rPr>
        <w:t>必须根据工程的实际需要，自行考虑降水使用时间。投标报价应充分考虑此风险，结算不因使用时间的增加而调整造价。排水、降水（地表雨水排放等）费用也计入报价；</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15、清单中涉及到有关标准图集的，投标综合单价应包含标准图集做法中所有工作内容；</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16、本工程模板工程量按混凝土与模板的实际接触面积计算；</w:t>
      </w:r>
    </w:p>
    <w:p w:rsidR="00D11969" w:rsidRPr="00D24946" w:rsidRDefault="00D11969" w:rsidP="00D11969">
      <w:pPr>
        <w:snapToGrid w:val="0"/>
        <w:spacing w:before="50" w:after="50" w:line="360" w:lineRule="auto"/>
        <w:ind w:firstLine="630"/>
        <w:rPr>
          <w:rFonts w:ascii="宋体" w:hAnsi="宋体" w:hint="eastAsia"/>
          <w:b/>
          <w:spacing w:val="20"/>
          <w:sz w:val="24"/>
        </w:rPr>
      </w:pPr>
      <w:r w:rsidRPr="00D24946">
        <w:rPr>
          <w:rFonts w:ascii="宋体" w:hAnsi="宋体" w:hint="eastAsia"/>
          <w:b/>
          <w:spacing w:val="20"/>
          <w:sz w:val="24"/>
        </w:rPr>
        <w:t>六、其他说明：</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1、经设计明确，踢脚为100mm高1.0mm厚不锈钢踢脚；</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2、经设计明确，办公室、公共办公区域、仓库、更衣区等房间的装修不包含在本次装修范围内，仅安装专业涉及；</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3、经设计明确，CO2气瓶不在本次项目内；</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4、经设计明确，报警系统配管线采用WDZB1（d1，t1）N-RYS-2x1.5-JDG20；</w:t>
      </w:r>
    </w:p>
    <w:p w:rsidR="00D11969" w:rsidRPr="00D24946" w:rsidRDefault="00D11969" w:rsidP="00D11969">
      <w:pPr>
        <w:snapToGrid w:val="0"/>
        <w:spacing w:before="50" w:after="50" w:line="360" w:lineRule="auto"/>
        <w:ind w:firstLine="630"/>
        <w:rPr>
          <w:rFonts w:ascii="宋体" w:hAnsi="宋体" w:hint="eastAsia"/>
          <w:spacing w:val="20"/>
          <w:sz w:val="24"/>
        </w:rPr>
      </w:pPr>
      <w:r w:rsidRPr="00D24946">
        <w:rPr>
          <w:rFonts w:ascii="宋体" w:hAnsi="宋体" w:hint="eastAsia"/>
          <w:spacing w:val="20"/>
          <w:sz w:val="24"/>
        </w:rPr>
        <w:t>5、经设计明确，机柜光纤进线（以及光纤两端ODF架，光纤熔接等）不包含在本次项目范围内。</w:t>
      </w:r>
    </w:p>
    <w:p w:rsidR="00D11969" w:rsidRPr="00D24946" w:rsidRDefault="00D11969" w:rsidP="00D11969">
      <w:pPr>
        <w:snapToGrid w:val="0"/>
        <w:spacing w:before="50" w:after="50" w:line="360" w:lineRule="auto"/>
        <w:ind w:firstLine="630"/>
        <w:rPr>
          <w:rFonts w:ascii="宋体" w:hAnsi="宋体" w:hint="eastAsia"/>
          <w:b/>
          <w:spacing w:val="20"/>
          <w:sz w:val="24"/>
        </w:rPr>
      </w:pPr>
      <w:r w:rsidRPr="00D24946">
        <w:rPr>
          <w:rFonts w:ascii="宋体" w:hAnsi="宋体" w:hint="eastAsia"/>
          <w:b/>
          <w:spacing w:val="20"/>
          <w:sz w:val="24"/>
        </w:rPr>
        <w:t>七、主要材料相关需求（本条未尽之处详见施工图纸）</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1、木饰面、细木工板：参照或相当于兔宝宝、千年舟、莫干山；</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2、石膏板：参照或相当于可耐福、拉法基、龙牌；</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lastRenderedPageBreak/>
        <w:t>3、轻钢龙骨：参照或相当于可耐福、拉法基、龙牌；</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4、涂料：参照或相当于立邦、多乐士、华润；</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5、地胶板：参照或相当于阿姆斯壮健力龙系列、得嘉650系列、洁福野心系列；</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6、木质防火门：参照或相当于盼盼、王力、美心；</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7、防火门：参照或相当于钱江、杜鹃、杭塔、新欣；</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8、实木复合门：参照或相当于盼盼、梦天、TATA；</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9、特种门、钢质门、钢防护移门、钢质隔断：参照或相当于霍曼、汉尔姆、马斯德克；</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10、玻璃：参照或相当于上海耀皮、南玻、浙玻、洛玻、杭玻；</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11、配电箱元器件：参照或相当于ABB、施耐德、西门子；</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12、桥架：参照或相当于远大、浩翔、圣宇；</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13、电线、电缆：参照或相当于中策永通牌、浙江元通、杭州电缆股份有限公司、浙江万马；</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14、电线管：参照或相当于武陵源、杭州天一、鸿发、萧通；</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15、开关、插座：参照或相当于施耐德、松下、西门子；</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16、灯具：参照或相当于雷士、松下、飞利浦；</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17、不锈钢管：参照或相当于道成、青山、共同、金羊；</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18、洁具：参照或相当于科勒、TOTO、乐家；</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19、塑料管：参照或相当于中财、伟星、顺达；</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20、镀锌钢管：参照或相当于湖州金洲、上海劳动、衡水华岐；</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21、空调箱：参照或相当于约克、特灵、麦克维尔；</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22、空气净化器：参照或相当于霍尼韦尔、江森、佩洁尔；</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23、阀门：参照或相当于埃美柯、上海良工、江南阀门、盾安；</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24、网线：参照或相当于康普、绿联、海康威视六类线（与院内原有系统兼容）；</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25、交换机：参照或相当于华为、华三、思科（与院内原有系统兼容）；</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lastRenderedPageBreak/>
        <w:t>26、监控系统：参照或相当于海康、大华、宇视（与院内原有系统兼容）；</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27、配线架：参照或相当于胜为、博扬、HAILE（与院内原有系统兼容）；</w:t>
      </w:r>
    </w:p>
    <w:p w:rsidR="00D11969" w:rsidRPr="00D24946" w:rsidRDefault="00D11969" w:rsidP="00D11969">
      <w:pPr>
        <w:snapToGrid w:val="0"/>
        <w:spacing w:before="50" w:after="50" w:line="360" w:lineRule="auto"/>
        <w:ind w:firstLine="560"/>
        <w:rPr>
          <w:rFonts w:ascii="宋体" w:hAnsi="宋体" w:hint="eastAsia"/>
          <w:spacing w:val="20"/>
          <w:sz w:val="24"/>
        </w:rPr>
      </w:pPr>
      <w:r w:rsidRPr="00D24946">
        <w:rPr>
          <w:rFonts w:ascii="宋体" w:hAnsi="宋体" w:hint="eastAsia"/>
          <w:spacing w:val="20"/>
          <w:sz w:val="24"/>
        </w:rPr>
        <w:t>28、网络模块：参照或相当于安普、康普、美国西蒙；</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29、门禁：参照或相当于立方、海康、大华、中控（与院内原有系统兼容）；</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30、精密空调：参照或相当于依蒙特，多乐，西谷；</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31、保温材料：参照或相当于阿乐斯福乐斯、凯门福乐斯、华美；</w:t>
      </w:r>
    </w:p>
    <w:p w:rsidR="00D11969" w:rsidRPr="00D24946" w:rsidRDefault="00D11969" w:rsidP="00D11969">
      <w:pPr>
        <w:snapToGrid w:val="0"/>
        <w:spacing w:before="50" w:after="50" w:line="360" w:lineRule="auto"/>
        <w:ind w:firstLineChars="200" w:firstLine="560"/>
        <w:rPr>
          <w:rFonts w:ascii="宋体" w:hAnsi="宋体"/>
          <w:spacing w:val="20"/>
          <w:sz w:val="24"/>
        </w:rPr>
      </w:pPr>
      <w:r w:rsidRPr="00D24946">
        <w:rPr>
          <w:rFonts w:ascii="宋体" w:hAnsi="宋体" w:hint="eastAsia"/>
          <w:spacing w:val="20"/>
          <w:sz w:val="24"/>
        </w:rPr>
        <w:t>32、半自动切换装置、二级减压器：参照或相当于GCE、parker、SPECTRON；</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33、实验室柜体：参照或相当于成威、新奇生、瑞赛；</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34、实验室台面：参照或相当于榕德、千特、沃克尔；</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35、净气型试剂柜：参照或相当于毕恩思、赛弗、西斯贝尔；</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36、自净通风柜：参照或相当于国泰大华、安瑞斯、依拉勃；</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37、洗眼器：参照或相当于诺瓦、法尔、波昂；</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38、货架/试剂架/样品架：参照或相当于成威、新奇生、瑞赛；</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39、实验凳、办公椅：参照或相当于迈确尔、比莫斯、英饰都；</w:t>
      </w:r>
    </w:p>
    <w:p w:rsidR="00D11969" w:rsidRPr="00D24946"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40、办公桌：参照或相当于震旦、海沃氏、圣奥；</w:t>
      </w:r>
    </w:p>
    <w:p w:rsidR="00D11969" w:rsidRDefault="00D11969" w:rsidP="00D11969">
      <w:pPr>
        <w:snapToGrid w:val="0"/>
        <w:spacing w:before="50" w:after="50" w:line="360" w:lineRule="auto"/>
        <w:ind w:firstLineChars="200" w:firstLine="560"/>
        <w:rPr>
          <w:rFonts w:ascii="宋体" w:hAnsi="宋体" w:hint="eastAsia"/>
          <w:spacing w:val="20"/>
          <w:sz w:val="24"/>
        </w:rPr>
      </w:pPr>
      <w:r w:rsidRPr="00D24946">
        <w:rPr>
          <w:rFonts w:ascii="宋体" w:hAnsi="宋体" w:hint="eastAsia"/>
          <w:spacing w:val="20"/>
          <w:sz w:val="24"/>
        </w:rPr>
        <w:t>41、建筑智慧运营平台：参照或相当于海康威视、商汤、河雒</w:t>
      </w:r>
      <w:r>
        <w:rPr>
          <w:rFonts w:ascii="宋体" w:hAnsi="宋体" w:hint="eastAsia"/>
          <w:spacing w:val="20"/>
          <w:sz w:val="24"/>
        </w:rPr>
        <w:t>；</w:t>
      </w:r>
    </w:p>
    <w:p w:rsidR="00E3523A" w:rsidRDefault="00D11969" w:rsidP="00D11969">
      <w:pPr>
        <w:spacing w:line="360" w:lineRule="auto"/>
        <w:ind w:left="2" w:firstLineChars="201" w:firstLine="563"/>
        <w:jc w:val="left"/>
        <w:rPr>
          <w:rFonts w:ascii="宋体" w:hAnsi="宋体"/>
          <w:sz w:val="28"/>
          <w:szCs w:val="28"/>
        </w:rPr>
      </w:pPr>
      <w:r>
        <w:rPr>
          <w:rFonts w:ascii="宋体" w:hAnsi="宋体" w:hint="eastAsia"/>
          <w:spacing w:val="20"/>
          <w:sz w:val="24"/>
        </w:rPr>
        <w:t>42、</w:t>
      </w:r>
      <w:r w:rsidRPr="00D24946">
        <w:rPr>
          <w:rFonts w:ascii="宋体" w:hAnsi="宋体" w:hint="eastAsia"/>
          <w:spacing w:val="20"/>
          <w:sz w:val="24"/>
        </w:rPr>
        <w:t>正负压层流洁净一体机：参照或相当于和荔、爱茵斯贝、爱瑞博</w:t>
      </w:r>
      <w:r>
        <w:rPr>
          <w:rFonts w:ascii="宋体" w:hAnsi="宋体" w:hint="eastAsia"/>
          <w:spacing w:val="20"/>
          <w:sz w:val="24"/>
        </w:rPr>
        <w:t>。</w:t>
      </w:r>
    </w:p>
    <w:sectPr w:rsidR="00E3523A" w:rsidSect="00E3523A">
      <w:headerReference w:type="default" r:id="rId7"/>
      <w:pgSz w:w="11906" w:h="16838"/>
      <w:pgMar w:top="1440" w:right="1134" w:bottom="1440" w:left="124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1E8" w:rsidRDefault="002C41E8" w:rsidP="00E3523A">
      <w:r>
        <w:separator/>
      </w:r>
    </w:p>
  </w:endnote>
  <w:endnote w:type="continuationSeparator" w:id="0">
    <w:p w:rsidR="002C41E8" w:rsidRDefault="002C41E8" w:rsidP="00E352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1E8" w:rsidRDefault="002C41E8" w:rsidP="00E3523A">
      <w:r>
        <w:separator/>
      </w:r>
    </w:p>
  </w:footnote>
  <w:footnote w:type="continuationSeparator" w:id="0">
    <w:p w:rsidR="002C41E8" w:rsidRDefault="002C41E8" w:rsidP="00E352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23A" w:rsidRDefault="00E3523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6D0F7"/>
    <w:multiLevelType w:val="singleLevel"/>
    <w:tmpl w:val="3B36D0F7"/>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U0MzZhMTdkOWRhYzc1ZDRjMjUxNjkxODFjN2JkYzEifQ=="/>
  </w:docVars>
  <w:rsids>
    <w:rsidRoot w:val="00E3523A"/>
    <w:rsid w:val="002C41E8"/>
    <w:rsid w:val="00D11969"/>
    <w:rsid w:val="00E3523A"/>
    <w:rsid w:val="02F66804"/>
    <w:rsid w:val="057D39A3"/>
    <w:rsid w:val="20772ADC"/>
    <w:rsid w:val="23FB0A83"/>
    <w:rsid w:val="45D61E1D"/>
    <w:rsid w:val="45E67365"/>
    <w:rsid w:val="4687757F"/>
    <w:rsid w:val="49AF719D"/>
    <w:rsid w:val="4B44580F"/>
    <w:rsid w:val="4B5345A5"/>
    <w:rsid w:val="529132F0"/>
    <w:rsid w:val="66E84EF7"/>
    <w:rsid w:val="67D9042B"/>
    <w:rsid w:val="6D77109E"/>
    <w:rsid w:val="710245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523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rsid w:val="00E3523A"/>
    <w:pPr>
      <w:pBdr>
        <w:bottom w:val="single" w:sz="6" w:space="1" w:color="auto"/>
      </w:pBdr>
      <w:tabs>
        <w:tab w:val="center" w:pos="4153"/>
        <w:tab w:val="right" w:pos="8306"/>
      </w:tabs>
      <w:snapToGrid w:val="0"/>
      <w:jc w:val="center"/>
    </w:pPr>
    <w:rPr>
      <w:sz w:val="18"/>
      <w:szCs w:val="18"/>
    </w:rPr>
  </w:style>
  <w:style w:type="paragraph" w:styleId="a4">
    <w:name w:val="Normal (Web)"/>
    <w:basedOn w:val="a"/>
    <w:uiPriority w:val="99"/>
    <w:qFormat/>
    <w:rsid w:val="00E3523A"/>
    <w:pPr>
      <w:widowControl/>
      <w:spacing w:before="100" w:beforeAutospacing="1" w:after="100" w:afterAutospacing="1"/>
      <w:jc w:val="left"/>
    </w:pPr>
    <w:rPr>
      <w:rFonts w:ascii="宋体" w:hAnsi="宋体"/>
      <w:color w:val="000000"/>
      <w:kern w:val="0"/>
      <w:sz w:val="24"/>
    </w:rPr>
  </w:style>
  <w:style w:type="paragraph" w:styleId="a5">
    <w:name w:val="footer"/>
    <w:basedOn w:val="a"/>
    <w:link w:val="Char"/>
    <w:rsid w:val="00D11969"/>
    <w:pPr>
      <w:tabs>
        <w:tab w:val="center" w:pos="4153"/>
        <w:tab w:val="right" w:pos="8306"/>
      </w:tabs>
      <w:snapToGrid w:val="0"/>
      <w:jc w:val="left"/>
    </w:pPr>
    <w:rPr>
      <w:sz w:val="18"/>
      <w:szCs w:val="18"/>
    </w:rPr>
  </w:style>
  <w:style w:type="character" w:customStyle="1" w:styleId="Char">
    <w:name w:val="页脚 Char"/>
    <w:basedOn w:val="a0"/>
    <w:link w:val="a5"/>
    <w:rsid w:val="00D1196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514</Words>
  <Characters>2935</Characters>
  <Application>Microsoft Office Word</Application>
  <DocSecurity>0</DocSecurity>
  <Lines>24</Lines>
  <Paragraphs>6</Paragraphs>
  <ScaleCrop>false</ScaleCrop>
  <Company/>
  <LinksUpToDate>false</LinksUpToDate>
  <CharactersWithSpaces>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Tyy</dc:creator>
  <cp:lastModifiedBy>NTKO</cp:lastModifiedBy>
  <cp:revision>2</cp:revision>
  <dcterms:created xsi:type="dcterms:W3CDTF">2023-03-24T09:02:00Z</dcterms:created>
  <dcterms:modified xsi:type="dcterms:W3CDTF">2024-08-30T09:21:00Z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3CE4116CFABE4B569D75F372C8D716AD</vt:lpwstr>
  </property>
</Properties>
</file>