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6029595"/>
      </w:sdtPr>
      <w:sdtEndPr>
        <w:rPr>
          <w:rFonts w:ascii="宋体" w:hAnsi="宋体"/>
          <w:b/>
          <w:color w:val="000000" w:themeColor="text1"/>
          <w:sz w:val="36"/>
          <w:szCs w:val="36"/>
          <w:highlight w:val="none"/>
        </w:rPr>
      </w:sdtEndPr>
      <w:sdtContent>
        <w:p w14:paraId="4679AFA7">
          <w:pPr>
            <w:jc w:val="center"/>
            <w:rPr>
              <w:rFonts w:ascii="宋体" w:hAnsi="宋体"/>
              <w:b/>
              <w:color w:val="000000" w:themeColor="text1"/>
              <w:sz w:val="44"/>
              <w:highlight w:val="none"/>
            </w:rPr>
          </w:pPr>
          <w:bookmarkStart w:id="0" w:name="OLE_LINK1"/>
          <w:r>
            <w:rPr>
              <w:rFonts w:hint="eastAsia" w:ascii="宋体" w:hAnsi="宋体"/>
              <w:b/>
              <w:color w:val="000000" w:themeColor="text1"/>
              <w:sz w:val="36"/>
              <w:highlight w:val="none"/>
              <w:lang w:val="zh-CN"/>
            </w:rPr>
            <w:t>松阳县大东坝镇2024-2025年度松材线虫病枯死树除治服务采购项目</w:t>
          </w:r>
        </w:p>
        <w:bookmarkEnd w:id="0"/>
        <w:p w14:paraId="24DDF514">
          <w:pPr>
            <w:jc w:val="center"/>
            <w:rPr>
              <w:rFonts w:ascii="宋体" w:hAnsi="宋体" w:cs="宋体"/>
              <w:b/>
              <w:color w:val="000000" w:themeColor="text1"/>
              <w:spacing w:val="14"/>
              <w:kern w:val="24"/>
              <w:sz w:val="40"/>
              <w:szCs w:val="32"/>
              <w:highlight w:val="none"/>
            </w:rPr>
          </w:pPr>
        </w:p>
        <w:p w14:paraId="3FA6DE6E">
          <w:pPr>
            <w:ind w:right="76" w:rightChars="36"/>
            <w:rPr>
              <w:rFonts w:ascii="宋体" w:hAnsi="宋体"/>
              <w:b/>
              <w:color w:val="000000" w:themeColor="text1"/>
              <w:sz w:val="30"/>
              <w:highlight w:val="none"/>
            </w:rPr>
          </w:pPr>
        </w:p>
        <w:p w14:paraId="0E164F59">
          <w:pPr>
            <w:ind w:right="76" w:rightChars="36"/>
            <w:rPr>
              <w:rFonts w:ascii="宋体" w:hAnsi="宋体"/>
              <w:b/>
              <w:color w:val="000000" w:themeColor="text1"/>
              <w:sz w:val="30"/>
              <w:highlight w:val="none"/>
            </w:rPr>
          </w:pPr>
        </w:p>
        <w:p w14:paraId="6B1EAA59">
          <w:pPr>
            <w:ind w:right="76" w:rightChars="36"/>
            <w:rPr>
              <w:rFonts w:ascii="宋体" w:hAnsi="宋体"/>
              <w:b/>
              <w:color w:val="000000" w:themeColor="text1"/>
              <w:sz w:val="30"/>
              <w:highlight w:val="none"/>
            </w:rPr>
          </w:pPr>
        </w:p>
        <w:p w14:paraId="0F1C7B2D">
          <w:pPr>
            <w:ind w:right="76" w:rightChars="36"/>
            <w:rPr>
              <w:rFonts w:ascii="宋体" w:hAnsi="宋体"/>
              <w:b/>
              <w:color w:val="000000" w:themeColor="text1"/>
              <w:sz w:val="30"/>
              <w:highlight w:val="none"/>
            </w:rPr>
          </w:pPr>
        </w:p>
        <w:p w14:paraId="0F709E9B">
          <w:pPr>
            <w:ind w:right="76" w:rightChars="36"/>
            <w:rPr>
              <w:rFonts w:ascii="宋体" w:hAnsi="宋体"/>
              <w:b/>
              <w:color w:val="000000" w:themeColor="text1"/>
              <w:sz w:val="30"/>
              <w:highlight w:val="none"/>
            </w:rPr>
          </w:pPr>
        </w:p>
        <w:p w14:paraId="0BE34FB3">
          <w:pPr>
            <w:ind w:right="76" w:rightChars="36"/>
            <w:rPr>
              <w:rFonts w:ascii="宋体" w:hAnsi="宋体"/>
              <w:b/>
              <w:color w:val="000000" w:themeColor="text1"/>
              <w:sz w:val="30"/>
              <w:highlight w:val="none"/>
            </w:rPr>
          </w:pPr>
        </w:p>
        <w:p w14:paraId="4C0AD852">
          <w:pPr>
            <w:ind w:right="76" w:rightChars="36"/>
            <w:rPr>
              <w:rFonts w:ascii="宋体" w:hAnsi="宋体"/>
              <w:b/>
              <w:color w:val="000000" w:themeColor="text1"/>
              <w:sz w:val="30"/>
              <w:highlight w:val="none"/>
            </w:rPr>
          </w:pPr>
        </w:p>
        <w:p w14:paraId="656C4D0E">
          <w:pPr>
            <w:ind w:firstLine="135" w:firstLineChars="24"/>
            <w:jc w:val="center"/>
            <w:rPr>
              <w:rFonts w:ascii="宋体" w:hAnsi="宋体"/>
              <w:b/>
              <w:color w:val="000000" w:themeColor="text1"/>
              <w:sz w:val="56"/>
              <w:szCs w:val="72"/>
              <w:highlight w:val="none"/>
            </w:rPr>
          </w:pPr>
          <w:r>
            <w:rPr>
              <w:rFonts w:hint="eastAsia" w:ascii="宋体" w:hAnsi="宋体"/>
              <w:b/>
              <w:color w:val="000000" w:themeColor="text1"/>
              <w:sz w:val="56"/>
              <w:szCs w:val="72"/>
              <w:highlight w:val="none"/>
            </w:rPr>
            <w:t>竞争性磋商文件</w:t>
          </w:r>
        </w:p>
        <w:p w14:paraId="27CF18A7">
          <w:pPr>
            <w:ind w:firstLine="167" w:firstLineChars="79"/>
            <w:rPr>
              <w:rFonts w:ascii="宋体" w:hAnsi="宋体"/>
              <w:b/>
              <w:color w:val="000000" w:themeColor="text1"/>
              <w:highlight w:val="none"/>
            </w:rPr>
          </w:pPr>
        </w:p>
        <w:p w14:paraId="58C46B65">
          <w:pPr>
            <w:snapToGrid w:val="0"/>
            <w:spacing w:line="360" w:lineRule="auto"/>
            <w:jc w:val="center"/>
            <w:rPr>
              <w:rFonts w:hint="default" w:ascii="宋体" w:hAnsi="宋体" w:eastAsia="宋体"/>
              <w:b/>
              <w:color w:val="000000" w:themeColor="text1"/>
              <w:sz w:val="24"/>
              <w:szCs w:val="24"/>
              <w:highlight w:val="none"/>
              <w:lang w:val="en-US" w:eastAsia="zh-CN"/>
            </w:rPr>
          </w:pPr>
          <w:r>
            <w:rPr>
              <w:rFonts w:hint="eastAsia" w:ascii="宋体" w:hAnsi="宋体"/>
              <w:b/>
              <w:color w:val="000000" w:themeColor="text1"/>
              <w:sz w:val="24"/>
              <w:szCs w:val="24"/>
              <w:highlight w:val="none"/>
            </w:rPr>
            <w:t>采购编号：浙大兴商202</w:t>
          </w:r>
          <w:r>
            <w:rPr>
              <w:rFonts w:hint="eastAsia" w:ascii="宋体" w:hAnsi="宋体"/>
              <w:b/>
              <w:color w:val="000000" w:themeColor="text1"/>
              <w:sz w:val="24"/>
              <w:szCs w:val="24"/>
              <w:highlight w:val="none"/>
              <w:lang w:val="en-US" w:eastAsia="zh-CN"/>
            </w:rPr>
            <w:t>4</w:t>
          </w:r>
          <w:r>
            <w:rPr>
              <w:rFonts w:hint="eastAsia" w:ascii="宋体" w:hAnsi="宋体"/>
              <w:b/>
              <w:color w:val="000000" w:themeColor="text1"/>
              <w:sz w:val="24"/>
              <w:szCs w:val="24"/>
              <w:highlight w:val="none"/>
            </w:rPr>
            <w:t>-0</w:t>
          </w:r>
          <w:r>
            <w:rPr>
              <w:rFonts w:hint="eastAsia" w:ascii="宋体" w:hAnsi="宋体"/>
              <w:b/>
              <w:color w:val="000000" w:themeColor="text1"/>
              <w:sz w:val="24"/>
              <w:szCs w:val="24"/>
              <w:highlight w:val="none"/>
              <w:lang w:val="en-US" w:eastAsia="zh-CN"/>
            </w:rPr>
            <w:t>21</w:t>
          </w:r>
        </w:p>
        <w:p w14:paraId="7D878A44">
          <w:pPr>
            <w:snapToGrid w:val="0"/>
            <w:spacing w:line="360" w:lineRule="auto"/>
            <w:rPr>
              <w:rFonts w:ascii="宋体" w:hAnsi="宋体"/>
              <w:color w:val="000000" w:themeColor="text1"/>
              <w:sz w:val="28"/>
              <w:highlight w:val="none"/>
            </w:rPr>
          </w:pPr>
        </w:p>
        <w:p w14:paraId="382FD114">
          <w:pPr>
            <w:pStyle w:val="20"/>
            <w:rPr>
              <w:color w:val="000000" w:themeColor="text1"/>
              <w:highlight w:val="none"/>
            </w:rPr>
          </w:pPr>
        </w:p>
        <w:p w14:paraId="4A165F1A">
          <w:pPr>
            <w:pStyle w:val="21"/>
            <w:ind w:firstLine="210"/>
            <w:rPr>
              <w:color w:val="000000" w:themeColor="text1"/>
              <w:highlight w:val="none"/>
            </w:rPr>
          </w:pPr>
        </w:p>
        <w:p w14:paraId="10E17404">
          <w:pPr>
            <w:pStyle w:val="36"/>
            <w:rPr>
              <w:color w:val="000000" w:themeColor="text1"/>
              <w:highlight w:val="none"/>
            </w:rPr>
          </w:pPr>
        </w:p>
        <w:p w14:paraId="7F1B43E0">
          <w:pPr>
            <w:rPr>
              <w:color w:val="000000" w:themeColor="text1"/>
              <w:highlight w:val="none"/>
            </w:rPr>
          </w:pPr>
        </w:p>
        <w:p w14:paraId="19781C7B">
          <w:pPr>
            <w:pStyle w:val="21"/>
            <w:ind w:firstLine="210"/>
            <w:rPr>
              <w:color w:val="000000" w:themeColor="text1"/>
              <w:highlight w:val="none"/>
            </w:rPr>
          </w:pPr>
        </w:p>
        <w:p w14:paraId="548C41A4">
          <w:pPr>
            <w:rPr>
              <w:color w:val="000000" w:themeColor="text1"/>
              <w:highlight w:val="none"/>
            </w:rPr>
          </w:pPr>
        </w:p>
        <w:p w14:paraId="250B6E89">
          <w:pPr>
            <w:rPr>
              <w:color w:val="000000" w:themeColor="text1"/>
              <w:highlight w:val="none"/>
            </w:rPr>
          </w:pPr>
        </w:p>
        <w:p w14:paraId="6A5085FB">
          <w:pPr>
            <w:rPr>
              <w:color w:val="000000" w:themeColor="text1"/>
              <w:highlight w:val="none"/>
            </w:rPr>
          </w:pPr>
        </w:p>
        <w:p w14:paraId="0FCAD791">
          <w:pPr>
            <w:pStyle w:val="20"/>
            <w:rPr>
              <w:color w:val="000000" w:themeColor="text1"/>
              <w:highlight w:val="none"/>
            </w:rPr>
          </w:pPr>
        </w:p>
        <w:p w14:paraId="3663960A">
          <w:pPr>
            <w:pStyle w:val="21"/>
            <w:ind w:firstLine="210"/>
            <w:rPr>
              <w:color w:val="000000" w:themeColor="text1"/>
              <w:highlight w:val="none"/>
            </w:rPr>
          </w:pPr>
        </w:p>
        <w:p w14:paraId="4E583DB7">
          <w:pPr>
            <w:spacing w:line="960" w:lineRule="exact"/>
            <w:ind w:firstLine="573" w:firstLineChars="204"/>
            <w:rPr>
              <w:rFonts w:ascii="宋体" w:hAnsi="宋体"/>
              <w:b/>
              <w:color w:val="000000" w:themeColor="text1"/>
              <w:sz w:val="28"/>
              <w:szCs w:val="28"/>
              <w:highlight w:val="none"/>
              <w:u w:val="single"/>
            </w:rPr>
          </w:pPr>
          <w:r>
            <w:rPr>
              <w:rFonts w:hint="eastAsia" w:ascii="宋体" w:hAnsi="宋体"/>
              <w:b/>
              <w:color w:val="000000" w:themeColor="text1"/>
              <w:sz w:val="28"/>
              <w:szCs w:val="28"/>
              <w:highlight w:val="none"/>
            </w:rPr>
            <w:t>采购单位（盖章）：</w:t>
          </w:r>
          <w:r>
            <w:rPr>
              <w:rFonts w:hint="eastAsia" w:ascii="宋体" w:hAnsi="宋体"/>
              <w:b/>
              <w:color w:val="000000" w:themeColor="text1"/>
              <w:sz w:val="28"/>
              <w:szCs w:val="28"/>
              <w:highlight w:val="none"/>
              <w:lang w:val="en-US" w:eastAsia="zh-CN"/>
            </w:rPr>
            <w:t xml:space="preserve"> </w:t>
          </w:r>
          <w:r>
            <w:rPr>
              <w:rFonts w:hint="eastAsia" w:ascii="宋体" w:hAnsi="宋体"/>
              <w:b/>
              <w:color w:val="000000" w:themeColor="text1"/>
              <w:sz w:val="28"/>
              <w:szCs w:val="28"/>
              <w:highlight w:val="none"/>
              <w:u w:val="single" w:color="000000"/>
            </w:rPr>
            <w:t xml:space="preserve">松阳县大东坝镇人民政府                  </w:t>
          </w:r>
        </w:p>
        <w:p w14:paraId="538599CF">
          <w:pPr>
            <w:spacing w:line="960" w:lineRule="exact"/>
            <w:ind w:firstLine="573" w:firstLineChars="204"/>
            <w:rPr>
              <w:rFonts w:ascii="宋体" w:hAnsi="宋体"/>
              <w:b/>
              <w:color w:val="000000" w:themeColor="text1"/>
              <w:sz w:val="28"/>
              <w:szCs w:val="28"/>
              <w:highlight w:val="none"/>
            </w:rPr>
          </w:pPr>
          <w:r>
            <w:rPr>
              <w:rFonts w:hint="eastAsia" w:ascii="宋体" w:hAnsi="宋体"/>
              <w:b/>
              <w:color w:val="000000" w:themeColor="text1"/>
              <w:sz w:val="28"/>
              <w:szCs w:val="28"/>
              <w:highlight w:val="none"/>
            </w:rPr>
            <w:t xml:space="preserve">采购代理（盖章）： </w:t>
          </w:r>
          <w:r>
            <w:rPr>
              <w:rFonts w:hint="eastAsia" w:ascii="宋体" w:hAnsi="宋体"/>
              <w:b/>
              <w:color w:val="000000" w:themeColor="text1"/>
              <w:sz w:val="28"/>
              <w:szCs w:val="28"/>
              <w:highlight w:val="none"/>
              <w:u w:val="single"/>
            </w:rPr>
            <w:t>浙</w:t>
          </w:r>
          <w:r>
            <w:rPr>
              <w:rFonts w:hint="eastAsia" w:ascii="宋体" w:hAnsi="宋体"/>
              <w:b/>
              <w:color w:val="000000" w:themeColor="text1"/>
              <w:sz w:val="28"/>
              <w:szCs w:val="28"/>
              <w:highlight w:val="none"/>
              <w:u w:val="single" w:color="000000"/>
            </w:rPr>
            <w:t xml:space="preserve">江大兴建设项目管理咨询有限公司        </w:t>
          </w:r>
        </w:p>
        <w:p w14:paraId="5B3A834F">
          <w:pPr>
            <w:spacing w:line="960" w:lineRule="exact"/>
            <w:ind w:firstLine="573" w:firstLineChars="204"/>
            <w:rPr>
              <w:rFonts w:ascii="宋体" w:hAnsi="宋体"/>
              <w:b/>
              <w:color w:val="000000" w:themeColor="text1"/>
              <w:sz w:val="28"/>
              <w:szCs w:val="28"/>
              <w:highlight w:val="none"/>
            </w:rPr>
          </w:pPr>
          <w:r>
            <w:rPr>
              <w:rFonts w:hint="eastAsia" w:ascii="宋体" w:hAnsi="宋体"/>
              <w:b/>
              <w:color w:val="000000" w:themeColor="text1"/>
              <w:sz w:val="28"/>
              <w:szCs w:val="28"/>
              <w:highlight w:val="none"/>
            </w:rPr>
            <w:t>备案单位（盖章）：</w:t>
          </w:r>
          <w:r>
            <w:rPr>
              <w:rFonts w:hint="eastAsia" w:ascii="宋体" w:hAnsi="宋体"/>
              <w:b/>
              <w:color w:val="000000" w:themeColor="text1"/>
              <w:sz w:val="28"/>
              <w:szCs w:val="28"/>
              <w:highlight w:val="none"/>
              <w:u w:val="single"/>
            </w:rPr>
            <w:t xml:space="preserve"> 松阳县政府采购监督管理办公室            </w:t>
          </w:r>
        </w:p>
        <w:p w14:paraId="2FE983F5">
          <w:pPr>
            <w:spacing w:line="960" w:lineRule="exact"/>
            <w:jc w:val="center"/>
            <w:rPr>
              <w:color w:val="000000" w:themeColor="text1"/>
              <w:highlight w:val="none"/>
            </w:rPr>
          </w:pPr>
          <w:r>
            <w:rPr>
              <w:rFonts w:hint="eastAsia" w:ascii="宋体" w:hAnsi="宋体"/>
              <w:b/>
              <w:color w:val="000000" w:themeColor="text1"/>
              <w:sz w:val="28"/>
              <w:szCs w:val="28"/>
              <w:highlight w:val="none"/>
            </w:rPr>
            <w:t xml:space="preserve">二 〇 二 </w:t>
          </w:r>
          <w:r>
            <w:rPr>
              <w:rFonts w:hint="eastAsia" w:ascii="宋体" w:hAnsi="宋体"/>
              <w:b/>
              <w:color w:val="000000" w:themeColor="text1"/>
              <w:sz w:val="28"/>
              <w:szCs w:val="28"/>
              <w:highlight w:val="none"/>
              <w:lang w:eastAsia="zh-CN"/>
            </w:rPr>
            <w:t>四</w:t>
          </w:r>
          <w:r>
            <w:rPr>
              <w:rFonts w:hint="eastAsia" w:ascii="宋体" w:hAnsi="宋体"/>
              <w:b/>
              <w:color w:val="000000" w:themeColor="text1"/>
              <w:sz w:val="28"/>
              <w:szCs w:val="28"/>
              <w:highlight w:val="none"/>
            </w:rPr>
            <w:t xml:space="preserve"> 年 </w:t>
          </w:r>
          <w:r>
            <w:rPr>
              <w:rFonts w:hint="eastAsia" w:ascii="宋体" w:hAnsi="宋体"/>
              <w:b/>
              <w:color w:val="000000" w:themeColor="text1"/>
              <w:sz w:val="28"/>
              <w:szCs w:val="28"/>
              <w:highlight w:val="none"/>
              <w:lang w:eastAsia="zh-CN"/>
            </w:rPr>
            <w:t>九</w:t>
          </w:r>
          <w:r>
            <w:rPr>
              <w:rFonts w:hint="eastAsia" w:ascii="宋体" w:hAnsi="宋体"/>
              <w:b/>
              <w:color w:val="000000" w:themeColor="text1"/>
              <w:sz w:val="28"/>
              <w:szCs w:val="28"/>
              <w:highlight w:val="none"/>
            </w:rPr>
            <w:t xml:space="preserve"> 月</w:t>
          </w:r>
        </w:p>
      </w:sdtContent>
    </w:sdt>
    <w:p w14:paraId="36C72495">
      <w:pPr>
        <w:rPr>
          <w:rFonts w:hint="eastAsia" w:ascii="宋体" w:hAnsi="宋体" w:cs="宋体"/>
          <w:color w:val="000000" w:themeColor="text1"/>
          <w:highlight w:val="none"/>
        </w:rPr>
      </w:pPr>
      <w:bookmarkStart w:id="1" w:name="_Toc531358958"/>
      <w:bookmarkStart w:id="2" w:name="_Toc530551803"/>
      <w:bookmarkStart w:id="3" w:name="_Toc80973227"/>
      <w:r>
        <w:rPr>
          <w:rFonts w:hint="eastAsia" w:ascii="宋体" w:hAnsi="宋体" w:cs="宋体"/>
          <w:color w:val="000000" w:themeColor="text1"/>
          <w:highlight w:val="none"/>
        </w:rPr>
        <w:br w:type="page"/>
      </w:r>
    </w:p>
    <w:p w14:paraId="1EBB792E">
      <w:pPr>
        <w:pStyle w:val="43"/>
        <w:spacing w:after="240"/>
        <w:rPr>
          <w:rFonts w:ascii="宋体" w:hAnsi="宋体" w:cs="宋体"/>
          <w:color w:val="000000" w:themeColor="text1"/>
          <w:highlight w:val="none"/>
        </w:rPr>
      </w:pPr>
      <w:r>
        <w:rPr>
          <w:rFonts w:hint="eastAsia" w:ascii="宋体" w:hAnsi="宋体" w:cs="宋体"/>
          <w:color w:val="000000" w:themeColor="text1"/>
          <w:highlight w:val="none"/>
        </w:rPr>
        <w:t>目  录</w:t>
      </w:r>
      <w:bookmarkEnd w:id="1"/>
      <w:bookmarkEnd w:id="2"/>
      <w:bookmarkEnd w:id="3"/>
      <w:bookmarkStart w:id="4" w:name="_Toc69635410"/>
    </w:p>
    <w:p w14:paraId="69C701EC">
      <w:pPr>
        <w:pStyle w:val="32"/>
        <w:rPr>
          <w:rFonts w:ascii="宋体" w:hAnsi="宋体" w:eastAsia="宋体" w:cs="宋体"/>
          <w:b w:val="0"/>
          <w:bCs w:val="0"/>
          <w:caps w:val="0"/>
          <w:color w:val="000000" w:themeColor="text1"/>
          <w:sz w:val="21"/>
          <w:szCs w:val="22"/>
          <w:highlight w:val="none"/>
        </w:rPr>
      </w:pPr>
      <w:r>
        <w:rPr>
          <w:rFonts w:hint="eastAsia" w:ascii="宋体" w:hAnsi="宋体" w:eastAsia="宋体" w:cs="宋体"/>
          <w:color w:val="000000" w:themeColor="text1"/>
          <w:sz w:val="24"/>
          <w:szCs w:val="24"/>
          <w:highlight w:val="none"/>
        </w:rPr>
        <w:fldChar w:fldCharType="begin"/>
      </w:r>
      <w:r>
        <w:rPr>
          <w:rFonts w:hint="eastAsia" w:ascii="宋体" w:hAnsi="宋体" w:eastAsia="宋体" w:cs="宋体"/>
          <w:color w:val="000000" w:themeColor="text1"/>
          <w:sz w:val="24"/>
          <w:szCs w:val="24"/>
          <w:highlight w:val="none"/>
        </w:rPr>
        <w:instrText xml:space="preserve"> TOC \o "1-3" \h \z \u </w:instrText>
      </w:r>
      <w:r>
        <w:rPr>
          <w:rFonts w:hint="eastAsia" w:ascii="宋体" w:hAnsi="宋体" w:eastAsia="宋体" w:cs="宋体"/>
          <w:color w:val="000000" w:themeColor="text1"/>
          <w:sz w:val="24"/>
          <w:szCs w:val="24"/>
          <w:highlight w:val="none"/>
        </w:rPr>
        <w:fldChar w:fldCharType="separate"/>
      </w:r>
      <w:r>
        <w:rPr>
          <w:color w:val="000000" w:themeColor="text1"/>
          <w:highlight w:val="none"/>
        </w:rPr>
        <w:fldChar w:fldCharType="begin"/>
      </w:r>
      <w:r>
        <w:rPr>
          <w:color w:val="000000" w:themeColor="text1"/>
          <w:highlight w:val="none"/>
        </w:rPr>
        <w:instrText xml:space="preserve"> HYPERLINK \l "_Toc80973227" </w:instrText>
      </w:r>
      <w:r>
        <w:rPr>
          <w:color w:val="000000" w:themeColor="text1"/>
          <w:highlight w:val="none"/>
        </w:rPr>
        <w:fldChar w:fldCharType="separate"/>
      </w:r>
      <w:r>
        <w:rPr>
          <w:rStyle w:val="52"/>
          <w:rFonts w:hint="eastAsia" w:ascii="宋体" w:hAnsi="宋体" w:eastAsia="宋体" w:cs="宋体"/>
          <w:color w:val="000000" w:themeColor="text1"/>
          <w:highlight w:val="none"/>
        </w:rPr>
        <w:t>目  录</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_Toc80973227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66398B1F">
      <w:pPr>
        <w:pStyle w:val="32"/>
        <w:rPr>
          <w:rFonts w:ascii="宋体" w:hAnsi="宋体" w:eastAsia="宋体" w:cs="宋体"/>
          <w:b w:val="0"/>
          <w:bCs w:val="0"/>
          <w: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"_Toc80973228" </w:instrText>
      </w:r>
      <w:r>
        <w:rPr>
          <w:color w:val="000000" w:themeColor="text1"/>
          <w:highlight w:val="none"/>
        </w:rPr>
        <w:fldChar w:fldCharType="separate"/>
      </w:r>
      <w:r>
        <w:rPr>
          <w:rStyle w:val="52"/>
          <w:rFonts w:hint="eastAsia" w:ascii="宋体" w:hAnsi="宋体" w:eastAsia="宋体" w:cs="宋体"/>
          <w:color w:val="000000" w:themeColor="text1"/>
          <w:highlight w:val="none"/>
        </w:rPr>
        <w:t>第一章  竞争性磋商邀请函</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_Toc80973228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0851DAC9">
      <w:pPr>
        <w:pStyle w:val="32"/>
        <w:rPr>
          <w:rFonts w:ascii="宋体" w:hAnsi="宋体" w:eastAsia="宋体" w:cs="宋体"/>
          <w:b w:val="0"/>
          <w:bCs w:val="0"/>
          <w: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"_Toc80973229" </w:instrText>
      </w:r>
      <w:r>
        <w:rPr>
          <w:color w:val="000000" w:themeColor="text1"/>
          <w:highlight w:val="none"/>
        </w:rPr>
        <w:fldChar w:fldCharType="separate"/>
      </w:r>
      <w:r>
        <w:rPr>
          <w:rStyle w:val="52"/>
          <w:rFonts w:hint="eastAsia" w:ascii="宋体" w:hAnsi="宋体" w:eastAsia="宋体" w:cs="宋体"/>
          <w:color w:val="000000" w:themeColor="text1"/>
          <w:highlight w:val="none"/>
        </w:rPr>
        <w:t>第二章  采购服务内容及要求</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_Toc80973229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7</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42F9EC05">
      <w:pPr>
        <w:pStyle w:val="32"/>
        <w:rPr>
          <w:rFonts w:ascii="宋体" w:hAnsi="宋体" w:eastAsia="宋体" w:cs="宋体"/>
          <w:b w:val="0"/>
          <w:bCs w:val="0"/>
          <w: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"_Toc80973230" </w:instrText>
      </w:r>
      <w:r>
        <w:rPr>
          <w:color w:val="000000" w:themeColor="text1"/>
          <w:highlight w:val="none"/>
        </w:rPr>
        <w:fldChar w:fldCharType="separate"/>
      </w:r>
      <w:r>
        <w:rPr>
          <w:rStyle w:val="52"/>
          <w:rFonts w:hint="eastAsia" w:ascii="宋体" w:hAnsi="宋体" w:eastAsia="宋体" w:cs="宋体"/>
          <w:color w:val="000000" w:themeColor="text1"/>
          <w:highlight w:val="none"/>
        </w:rPr>
        <w:t>第三章  供应商须知</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_Toc80973230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7</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18983D97">
      <w:pPr>
        <w:pStyle w:val="39"/>
        <w:tabs>
          <w:tab w:val="right" w:leader="dot" w:pos="9060"/>
        </w:tabs>
        <w:ind w:left="210"/>
        <w:rPr>
          <w:rFonts w:ascii="宋体" w:hAnsi="宋体" w:eastAsia="宋体" w:cs="宋体"/>
          <w:b w:val="0"/>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"_Toc80973231" </w:instrText>
      </w:r>
      <w:r>
        <w:rPr>
          <w:color w:val="000000" w:themeColor="text1"/>
          <w:highlight w:val="none"/>
        </w:rPr>
        <w:fldChar w:fldCharType="separate"/>
      </w:r>
      <w:r>
        <w:rPr>
          <w:rStyle w:val="52"/>
          <w:rFonts w:hint="eastAsia" w:ascii="宋体" w:hAnsi="宋体" w:eastAsia="宋体" w:cs="宋体"/>
          <w:color w:val="000000" w:themeColor="text1"/>
          <w:highlight w:val="none"/>
        </w:rPr>
        <w:t>供应商须知前附表（一）</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_Toc80973231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11</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16A9FE08">
      <w:pPr>
        <w:pStyle w:val="39"/>
        <w:tabs>
          <w:tab w:val="right" w:leader="dot" w:pos="9060"/>
        </w:tabs>
        <w:ind w:left="210"/>
        <w:rPr>
          <w:rFonts w:ascii="宋体" w:hAnsi="宋体" w:eastAsia="宋体" w:cs="宋体"/>
          <w:b w:val="0"/>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"_Toc80973232" </w:instrText>
      </w:r>
      <w:r>
        <w:rPr>
          <w:color w:val="000000" w:themeColor="text1"/>
          <w:highlight w:val="none"/>
        </w:rPr>
        <w:fldChar w:fldCharType="separate"/>
      </w:r>
      <w:r>
        <w:rPr>
          <w:rStyle w:val="52"/>
          <w:rFonts w:hint="eastAsia" w:ascii="宋体" w:hAnsi="宋体" w:eastAsia="宋体" w:cs="宋体"/>
          <w:color w:val="000000" w:themeColor="text1"/>
          <w:highlight w:val="none"/>
        </w:rPr>
        <w:t>供应商须知前附表（二）</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_Toc80973232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13</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6D6C4648">
      <w:pPr>
        <w:pStyle w:val="39"/>
        <w:tabs>
          <w:tab w:val="right" w:leader="dot" w:pos="9060"/>
        </w:tabs>
        <w:ind w:left="210"/>
        <w:rPr>
          <w:rFonts w:ascii="宋体" w:hAnsi="宋体" w:eastAsia="宋体" w:cs="宋体"/>
          <w:b w:val="0"/>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"_Toc80973233" </w:instrText>
      </w:r>
      <w:r>
        <w:rPr>
          <w:color w:val="000000" w:themeColor="text1"/>
          <w:highlight w:val="none"/>
        </w:rPr>
        <w:fldChar w:fldCharType="separate"/>
      </w:r>
      <w:r>
        <w:rPr>
          <w:rStyle w:val="52"/>
          <w:rFonts w:hint="eastAsia" w:ascii="宋体" w:hAnsi="宋体" w:eastAsia="宋体" w:cs="宋体"/>
          <w:color w:val="000000" w:themeColor="text1"/>
          <w:highlight w:val="none"/>
        </w:rPr>
        <w:t>一    总则</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_Toc80973233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14</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2683078D">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"_Toc80973234" </w:instrText>
      </w:r>
      <w:r>
        <w:rPr>
          <w:color w:val="000000" w:themeColor="text1"/>
          <w:highlight w:val="none"/>
        </w:rPr>
        <w:fldChar w:fldCharType="separate"/>
      </w:r>
      <w:r>
        <w:rPr>
          <w:rStyle w:val="52"/>
          <w:rFonts w:hint="eastAsia" w:ascii="宋体" w:hAnsi="宋体" w:eastAsia="宋体" w:cs="宋体"/>
          <w:color w:val="000000" w:themeColor="text1"/>
          <w:highlight w:val="none"/>
        </w:rPr>
        <w:t>1.1     适用范围</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_Toc80973234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14</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3CC0D9A4">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"_Toc80973235" </w:instrText>
      </w:r>
      <w:r>
        <w:rPr>
          <w:color w:val="000000" w:themeColor="text1"/>
          <w:highlight w:val="none"/>
        </w:rPr>
        <w:fldChar w:fldCharType="separate"/>
      </w:r>
      <w:r>
        <w:rPr>
          <w:rStyle w:val="52"/>
          <w:rFonts w:hint="eastAsia" w:ascii="宋体" w:hAnsi="宋体" w:eastAsia="宋体" w:cs="宋体"/>
          <w:color w:val="000000" w:themeColor="text1"/>
          <w:highlight w:val="none"/>
        </w:rPr>
        <w:t>1.2     定义</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_Toc80973235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14</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6F91F050">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"_Toc80973236" </w:instrText>
      </w:r>
      <w:r>
        <w:rPr>
          <w:color w:val="000000" w:themeColor="text1"/>
          <w:highlight w:val="none"/>
        </w:rPr>
        <w:fldChar w:fldCharType="separate"/>
      </w:r>
      <w:r>
        <w:rPr>
          <w:rStyle w:val="52"/>
          <w:rFonts w:hint="eastAsia" w:ascii="宋体" w:hAnsi="宋体" w:eastAsia="宋体" w:cs="宋体"/>
          <w:color w:val="000000" w:themeColor="text1"/>
          <w:highlight w:val="none"/>
        </w:rPr>
        <w:t>1.3     供应商应具备资格条件</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_Toc80973236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14</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365632B9">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"_Toc80973237" </w:instrText>
      </w:r>
      <w:r>
        <w:rPr>
          <w:color w:val="000000" w:themeColor="text1"/>
          <w:highlight w:val="none"/>
        </w:rPr>
        <w:fldChar w:fldCharType="separate"/>
      </w:r>
      <w:r>
        <w:rPr>
          <w:rStyle w:val="52"/>
          <w:rFonts w:hint="eastAsia" w:ascii="宋体" w:hAnsi="宋体" w:eastAsia="宋体" w:cs="宋体"/>
          <w:color w:val="000000" w:themeColor="text1"/>
          <w:highlight w:val="none"/>
        </w:rPr>
        <w:t>1.4     联合体</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_Toc80973237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15</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5F5E6CCB">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"_Toc80973238" </w:instrText>
      </w:r>
      <w:r>
        <w:rPr>
          <w:color w:val="000000" w:themeColor="text1"/>
          <w:highlight w:val="none"/>
        </w:rPr>
        <w:fldChar w:fldCharType="separate"/>
      </w:r>
      <w:r>
        <w:rPr>
          <w:rStyle w:val="52"/>
          <w:rFonts w:hint="eastAsia" w:ascii="宋体" w:hAnsi="宋体" w:eastAsia="宋体" w:cs="宋体"/>
          <w:color w:val="000000" w:themeColor="text1"/>
          <w:highlight w:val="none"/>
        </w:rPr>
        <w:t>1.5     磋商响应文件的语言及计量</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_Toc80973238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15</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4B694FC2">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"_Toc80973239" </w:instrText>
      </w:r>
      <w:r>
        <w:rPr>
          <w:color w:val="000000" w:themeColor="text1"/>
          <w:highlight w:val="none"/>
        </w:rPr>
        <w:fldChar w:fldCharType="separate"/>
      </w:r>
      <w:r>
        <w:rPr>
          <w:rStyle w:val="52"/>
          <w:rFonts w:hint="eastAsia" w:ascii="宋体" w:hAnsi="宋体" w:eastAsia="宋体" w:cs="宋体"/>
          <w:color w:val="000000" w:themeColor="text1"/>
          <w:highlight w:val="none"/>
        </w:rPr>
        <w:t>1.6     磋商费用</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_Toc80973239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15</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3056ED50">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"_Toc80973240" </w:instrText>
      </w:r>
      <w:r>
        <w:rPr>
          <w:color w:val="000000" w:themeColor="text1"/>
          <w:highlight w:val="none"/>
        </w:rPr>
        <w:fldChar w:fldCharType="separate"/>
      </w:r>
      <w:r>
        <w:rPr>
          <w:rStyle w:val="52"/>
          <w:rFonts w:hint="eastAsia" w:ascii="宋体" w:hAnsi="宋体" w:eastAsia="宋体" w:cs="宋体"/>
          <w:color w:val="000000" w:themeColor="text1"/>
          <w:highlight w:val="none"/>
        </w:rPr>
        <w:t>1.7     现场踏勘</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_Toc80973240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15</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060745C8">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"_Toc80973241" </w:instrText>
      </w:r>
      <w:r>
        <w:rPr>
          <w:color w:val="000000" w:themeColor="text1"/>
          <w:highlight w:val="none"/>
        </w:rPr>
        <w:fldChar w:fldCharType="separate"/>
      </w:r>
      <w:r>
        <w:rPr>
          <w:rStyle w:val="52"/>
          <w:rFonts w:hint="eastAsia" w:ascii="宋体" w:hAnsi="宋体" w:eastAsia="宋体" w:cs="宋体"/>
          <w:color w:val="000000" w:themeColor="text1"/>
          <w:highlight w:val="none"/>
        </w:rPr>
        <w:t>1.8     答疑会</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_Toc80973241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15</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6DA0FECD">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"_Toc80973242" </w:instrText>
      </w:r>
      <w:r>
        <w:rPr>
          <w:color w:val="000000" w:themeColor="text1"/>
          <w:highlight w:val="none"/>
        </w:rPr>
        <w:fldChar w:fldCharType="separate"/>
      </w:r>
      <w:r>
        <w:rPr>
          <w:rStyle w:val="52"/>
          <w:rFonts w:hint="eastAsia" w:ascii="宋体" w:hAnsi="宋体" w:eastAsia="宋体" w:cs="宋体"/>
          <w:color w:val="000000" w:themeColor="text1"/>
          <w:highlight w:val="none"/>
        </w:rPr>
        <w:t>1.9     分包</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_Toc80973242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16</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489E26F5">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"_Toc80973243" </w:instrText>
      </w:r>
      <w:r>
        <w:rPr>
          <w:color w:val="000000" w:themeColor="text1"/>
          <w:highlight w:val="none"/>
        </w:rPr>
        <w:fldChar w:fldCharType="separate"/>
      </w:r>
      <w:r>
        <w:rPr>
          <w:rStyle w:val="52"/>
          <w:rFonts w:hint="eastAsia" w:ascii="宋体" w:hAnsi="宋体" w:eastAsia="宋体" w:cs="宋体"/>
          <w:color w:val="000000" w:themeColor="text1"/>
          <w:highlight w:val="none"/>
        </w:rPr>
        <w:t>1.10    保密</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_Toc80973243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16</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1C40CEAE">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"_Toc80973244" </w:instrText>
      </w:r>
      <w:r>
        <w:rPr>
          <w:color w:val="000000" w:themeColor="text1"/>
          <w:highlight w:val="none"/>
        </w:rPr>
        <w:fldChar w:fldCharType="separate"/>
      </w:r>
      <w:r>
        <w:rPr>
          <w:rStyle w:val="52"/>
          <w:rFonts w:hint="eastAsia" w:ascii="宋体" w:hAnsi="宋体" w:eastAsia="宋体" w:cs="宋体"/>
          <w:color w:val="000000" w:themeColor="text1"/>
          <w:highlight w:val="none"/>
        </w:rPr>
        <w:t>1.11    政府采购政策</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_Toc80973244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16</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504BF930">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"_Toc80973245" </w:instrText>
      </w:r>
      <w:r>
        <w:rPr>
          <w:color w:val="000000" w:themeColor="text1"/>
          <w:highlight w:val="none"/>
        </w:rPr>
        <w:fldChar w:fldCharType="separate"/>
      </w:r>
      <w:r>
        <w:rPr>
          <w:rStyle w:val="52"/>
          <w:rFonts w:hint="eastAsia" w:ascii="宋体" w:hAnsi="宋体" w:eastAsia="宋体" w:cs="宋体"/>
          <w:color w:val="000000" w:themeColor="text1"/>
          <w:highlight w:val="none"/>
        </w:rPr>
        <w:t>1.12    信用信息记录查询</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_Toc80973245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17</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085FE1E2">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"_Toc80973246" </w:instrText>
      </w:r>
      <w:r>
        <w:rPr>
          <w:color w:val="000000" w:themeColor="text1"/>
          <w:highlight w:val="none"/>
        </w:rPr>
        <w:fldChar w:fldCharType="separate"/>
      </w:r>
      <w:r>
        <w:rPr>
          <w:rStyle w:val="52"/>
          <w:rFonts w:hint="eastAsia" w:ascii="宋体" w:hAnsi="宋体" w:eastAsia="宋体" w:cs="宋体"/>
          <w:color w:val="000000" w:themeColor="text1"/>
          <w:highlight w:val="none"/>
        </w:rPr>
        <w:t>1.13    质疑和投诉</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_Toc80973246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17</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30F9D48A">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"_Toc80973247" </w:instrText>
      </w:r>
      <w:r>
        <w:rPr>
          <w:color w:val="000000" w:themeColor="text1"/>
          <w:highlight w:val="none"/>
        </w:rPr>
        <w:fldChar w:fldCharType="separate"/>
      </w:r>
      <w:r>
        <w:rPr>
          <w:rStyle w:val="52"/>
          <w:rFonts w:hint="eastAsia" w:ascii="宋体" w:hAnsi="宋体" w:eastAsia="宋体" w:cs="宋体"/>
          <w:color w:val="000000" w:themeColor="text1"/>
          <w:highlight w:val="none"/>
        </w:rPr>
        <w:t>1.14    特别声明</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_Toc80973247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18</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6AEA7749">
      <w:pPr>
        <w:pStyle w:val="39"/>
        <w:tabs>
          <w:tab w:val="right" w:leader="dot" w:pos="9060"/>
        </w:tabs>
        <w:ind w:left="210"/>
        <w:rPr>
          <w:rFonts w:ascii="宋体" w:hAnsi="宋体" w:eastAsia="宋体" w:cs="宋体"/>
          <w:b w:val="0"/>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"_Toc80973248" </w:instrText>
      </w:r>
      <w:r>
        <w:rPr>
          <w:color w:val="000000" w:themeColor="text1"/>
          <w:highlight w:val="none"/>
        </w:rPr>
        <w:fldChar w:fldCharType="separate"/>
      </w:r>
      <w:r>
        <w:rPr>
          <w:rStyle w:val="52"/>
          <w:rFonts w:hint="eastAsia" w:ascii="宋体" w:hAnsi="宋体" w:eastAsia="宋体" w:cs="宋体"/>
          <w:color w:val="000000" w:themeColor="text1"/>
          <w:highlight w:val="none"/>
        </w:rPr>
        <w:t>二    磋商文件</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_Toc80973248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18</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575F5D28">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"_Toc80973249" </w:instrText>
      </w:r>
      <w:r>
        <w:rPr>
          <w:color w:val="000000" w:themeColor="text1"/>
          <w:highlight w:val="none"/>
        </w:rPr>
        <w:fldChar w:fldCharType="separate"/>
      </w:r>
      <w:r>
        <w:rPr>
          <w:rStyle w:val="52"/>
          <w:rFonts w:hint="eastAsia" w:ascii="宋体" w:hAnsi="宋体" w:eastAsia="宋体" w:cs="宋体"/>
          <w:color w:val="000000" w:themeColor="text1"/>
          <w:highlight w:val="none"/>
        </w:rPr>
        <w:t>2.1     磋商文件的组成</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_Toc80973249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18</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71CBE019">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"_Toc80973250" </w:instrText>
      </w:r>
      <w:r>
        <w:rPr>
          <w:color w:val="000000" w:themeColor="text1"/>
          <w:highlight w:val="none"/>
        </w:rPr>
        <w:fldChar w:fldCharType="separate"/>
      </w:r>
      <w:r>
        <w:rPr>
          <w:rStyle w:val="52"/>
          <w:rFonts w:hint="eastAsia" w:ascii="宋体" w:hAnsi="宋体" w:eastAsia="宋体" w:cs="宋体"/>
          <w:color w:val="000000" w:themeColor="text1"/>
          <w:highlight w:val="none"/>
        </w:rPr>
        <w:t>2.2     磋商文件的澄清、修改</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_Toc80973250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19</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0B96907A">
      <w:pPr>
        <w:pStyle w:val="39"/>
        <w:tabs>
          <w:tab w:val="right" w:leader="dot" w:pos="9060"/>
        </w:tabs>
        <w:ind w:left="210"/>
        <w:rPr>
          <w:rFonts w:ascii="宋体" w:hAnsi="宋体" w:eastAsia="宋体" w:cs="宋体"/>
          <w:b w:val="0"/>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"_Toc80973251" </w:instrText>
      </w:r>
      <w:r>
        <w:rPr>
          <w:color w:val="000000" w:themeColor="text1"/>
          <w:highlight w:val="none"/>
        </w:rPr>
        <w:fldChar w:fldCharType="separate"/>
      </w:r>
      <w:r>
        <w:rPr>
          <w:rStyle w:val="52"/>
          <w:rFonts w:hint="eastAsia" w:ascii="宋体" w:hAnsi="宋体" w:eastAsia="宋体" w:cs="宋体"/>
          <w:color w:val="000000" w:themeColor="text1"/>
          <w:highlight w:val="none"/>
        </w:rPr>
        <w:t>三    磋商响应文件</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_Toc80973251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19</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0442B3A2">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"_Toc80973252" </w:instrText>
      </w:r>
      <w:r>
        <w:rPr>
          <w:color w:val="000000" w:themeColor="text1"/>
          <w:highlight w:val="none"/>
        </w:rPr>
        <w:fldChar w:fldCharType="separate"/>
      </w:r>
      <w:r>
        <w:rPr>
          <w:rStyle w:val="52"/>
          <w:rFonts w:hint="eastAsia" w:ascii="宋体" w:hAnsi="宋体" w:eastAsia="宋体" w:cs="宋体"/>
          <w:color w:val="000000" w:themeColor="text1"/>
          <w:highlight w:val="none"/>
        </w:rPr>
        <w:t>3.1     磋商响应文件的形式和效力</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_Toc80973252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19</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4FC464F6">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"_Toc80973253" </w:instrText>
      </w:r>
      <w:r>
        <w:rPr>
          <w:color w:val="000000" w:themeColor="text1"/>
          <w:highlight w:val="none"/>
        </w:rPr>
        <w:fldChar w:fldCharType="separate"/>
      </w:r>
      <w:r>
        <w:rPr>
          <w:rStyle w:val="52"/>
          <w:rFonts w:hint="eastAsia" w:ascii="宋体" w:hAnsi="宋体" w:eastAsia="宋体" w:cs="宋体"/>
          <w:color w:val="000000" w:themeColor="text1"/>
          <w:highlight w:val="none"/>
        </w:rPr>
        <w:t>3.2     在线磋商响应（电子投标）说明</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_Toc80973253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19</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37CA3E57">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"_Toc80973254" </w:instrText>
      </w:r>
      <w:r>
        <w:rPr>
          <w:color w:val="000000" w:themeColor="text1"/>
          <w:highlight w:val="none"/>
        </w:rPr>
        <w:fldChar w:fldCharType="separate"/>
      </w:r>
      <w:r>
        <w:rPr>
          <w:rStyle w:val="52"/>
          <w:rFonts w:hint="eastAsia" w:ascii="宋体" w:hAnsi="宋体" w:eastAsia="宋体" w:cs="宋体"/>
          <w:color w:val="000000" w:themeColor="text1"/>
          <w:highlight w:val="none"/>
        </w:rPr>
        <w:t>3.3     磋商响应文件组成</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_Toc80973254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20</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7F7F14D4">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"_Toc80973255" </w:instrText>
      </w:r>
      <w:r>
        <w:rPr>
          <w:color w:val="000000" w:themeColor="text1"/>
          <w:highlight w:val="none"/>
        </w:rPr>
        <w:fldChar w:fldCharType="separate"/>
      </w:r>
      <w:r>
        <w:rPr>
          <w:rStyle w:val="52"/>
          <w:rFonts w:hint="eastAsia" w:ascii="宋体" w:hAnsi="宋体" w:eastAsia="宋体" w:cs="宋体"/>
          <w:color w:val="000000" w:themeColor="text1"/>
          <w:highlight w:val="none"/>
        </w:rPr>
        <w:t>3.4     资格审查文件的组成</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_Toc80973255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20</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630B3832">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"_Toc80973256" </w:instrText>
      </w:r>
      <w:r>
        <w:rPr>
          <w:color w:val="000000" w:themeColor="text1"/>
          <w:highlight w:val="none"/>
        </w:rPr>
        <w:fldChar w:fldCharType="separate"/>
      </w:r>
      <w:r>
        <w:rPr>
          <w:rStyle w:val="52"/>
          <w:rFonts w:hint="eastAsia" w:ascii="宋体" w:hAnsi="宋体" w:eastAsia="宋体" w:cs="宋体"/>
          <w:color w:val="000000" w:themeColor="text1"/>
          <w:highlight w:val="none"/>
        </w:rPr>
        <w:t>3.5     资信商务及技术文件的组成</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_Toc80973256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20</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39A817EA">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"_Toc80973257" </w:instrText>
      </w:r>
      <w:r>
        <w:rPr>
          <w:color w:val="000000" w:themeColor="text1"/>
          <w:highlight w:val="none"/>
        </w:rPr>
        <w:fldChar w:fldCharType="separate"/>
      </w:r>
      <w:r>
        <w:rPr>
          <w:rStyle w:val="52"/>
          <w:rFonts w:hint="eastAsia" w:ascii="宋体" w:hAnsi="宋体" w:eastAsia="宋体" w:cs="宋体"/>
          <w:color w:val="000000" w:themeColor="text1"/>
          <w:highlight w:val="none"/>
        </w:rPr>
        <w:t>3.6     报价文件的组成</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_Toc80973257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20</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6090C494">
      <w:pPr>
        <w:pStyle w:val="39"/>
        <w:tabs>
          <w:tab w:val="right" w:leader="dot" w:pos="9060"/>
        </w:tabs>
        <w:ind w:left="210"/>
        <w:rPr>
          <w:rFonts w:ascii="宋体" w:hAnsi="宋体" w:eastAsia="宋体" w:cs="宋体"/>
          <w:b w:val="0"/>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"_Toc80973258" </w:instrText>
      </w:r>
      <w:r>
        <w:rPr>
          <w:color w:val="000000" w:themeColor="text1"/>
          <w:highlight w:val="none"/>
        </w:rPr>
        <w:fldChar w:fldCharType="separate"/>
      </w:r>
      <w:r>
        <w:rPr>
          <w:rStyle w:val="52"/>
          <w:rFonts w:hint="eastAsia" w:ascii="宋体" w:hAnsi="宋体" w:eastAsia="宋体" w:cs="宋体"/>
          <w:color w:val="000000" w:themeColor="text1"/>
          <w:highlight w:val="none"/>
        </w:rPr>
        <w:t>四    磋商响应文件的编制</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_Toc80973258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21</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60FCD3F9">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"_Toc80973259" </w:instrText>
      </w:r>
      <w:r>
        <w:rPr>
          <w:color w:val="000000" w:themeColor="text1"/>
          <w:highlight w:val="none"/>
        </w:rPr>
        <w:fldChar w:fldCharType="separate"/>
      </w:r>
      <w:r>
        <w:rPr>
          <w:rStyle w:val="52"/>
          <w:rFonts w:hint="eastAsia" w:ascii="宋体" w:hAnsi="宋体" w:eastAsia="宋体" w:cs="宋体"/>
          <w:color w:val="000000" w:themeColor="text1"/>
          <w:highlight w:val="none"/>
        </w:rPr>
        <w:t>4.1     磋商响应文件编制</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_Toc80973259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21</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6E68D8AA">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"_Toc80973260" </w:instrText>
      </w:r>
      <w:r>
        <w:rPr>
          <w:color w:val="000000" w:themeColor="text1"/>
          <w:highlight w:val="none"/>
        </w:rPr>
        <w:fldChar w:fldCharType="separate"/>
      </w:r>
      <w:r>
        <w:rPr>
          <w:rStyle w:val="52"/>
          <w:rFonts w:hint="eastAsia" w:ascii="宋体" w:hAnsi="宋体" w:eastAsia="宋体" w:cs="宋体"/>
          <w:color w:val="000000" w:themeColor="text1"/>
          <w:highlight w:val="none"/>
        </w:rPr>
        <w:t>4.2     磋商报价要求</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_Toc80973260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22</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6C156049">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"_Toc80973261" </w:instrText>
      </w:r>
      <w:r>
        <w:rPr>
          <w:color w:val="000000" w:themeColor="text1"/>
          <w:highlight w:val="none"/>
        </w:rPr>
        <w:fldChar w:fldCharType="separate"/>
      </w:r>
      <w:r>
        <w:rPr>
          <w:rStyle w:val="52"/>
          <w:rFonts w:hint="eastAsia" w:ascii="宋体" w:hAnsi="宋体" w:eastAsia="宋体" w:cs="宋体"/>
          <w:color w:val="000000" w:themeColor="text1"/>
          <w:highlight w:val="none"/>
        </w:rPr>
        <w:t>4.3     磋商有效期</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_Toc80973261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22</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791EEB68">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"_Toc80973262" </w:instrText>
      </w:r>
      <w:r>
        <w:rPr>
          <w:color w:val="000000" w:themeColor="text1"/>
          <w:highlight w:val="none"/>
        </w:rPr>
        <w:fldChar w:fldCharType="separate"/>
      </w:r>
      <w:r>
        <w:rPr>
          <w:rStyle w:val="52"/>
          <w:rFonts w:hint="eastAsia" w:ascii="宋体" w:hAnsi="宋体" w:eastAsia="宋体" w:cs="宋体"/>
          <w:color w:val="000000" w:themeColor="text1"/>
          <w:highlight w:val="none"/>
        </w:rPr>
        <w:t>4.4     磋商响应文件格式</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_Toc80973262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22</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7C4C7F1E">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"_Toc80973263" </w:instrText>
      </w:r>
      <w:r>
        <w:rPr>
          <w:color w:val="000000" w:themeColor="text1"/>
          <w:highlight w:val="none"/>
        </w:rPr>
        <w:fldChar w:fldCharType="separate"/>
      </w:r>
      <w:r>
        <w:rPr>
          <w:rStyle w:val="52"/>
          <w:rFonts w:hint="eastAsia" w:ascii="宋体" w:hAnsi="宋体" w:eastAsia="宋体" w:cs="宋体"/>
          <w:color w:val="000000" w:themeColor="text1"/>
          <w:highlight w:val="none"/>
        </w:rPr>
        <w:t>4.5     磋商响应文件份数及签署</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_Toc80973263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22</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470D245A">
      <w:pPr>
        <w:pStyle w:val="39"/>
        <w:tabs>
          <w:tab w:val="right" w:leader="dot" w:pos="9060"/>
        </w:tabs>
        <w:ind w:left="210"/>
        <w:rPr>
          <w:rFonts w:ascii="宋体" w:hAnsi="宋体" w:eastAsia="宋体" w:cs="宋体"/>
          <w:b w:val="0"/>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"_Toc80973264" </w:instrText>
      </w:r>
      <w:r>
        <w:rPr>
          <w:color w:val="000000" w:themeColor="text1"/>
          <w:highlight w:val="none"/>
        </w:rPr>
        <w:fldChar w:fldCharType="separate"/>
      </w:r>
      <w:r>
        <w:rPr>
          <w:rStyle w:val="52"/>
          <w:rFonts w:hint="eastAsia" w:ascii="宋体" w:hAnsi="宋体" w:eastAsia="宋体" w:cs="宋体"/>
          <w:color w:val="000000" w:themeColor="text1"/>
          <w:highlight w:val="none"/>
        </w:rPr>
        <w:t>五    磋商响应文件的提交</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_Toc80973264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22</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67EBB4E3">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"_Toc80973265" </w:instrText>
      </w:r>
      <w:r>
        <w:rPr>
          <w:color w:val="000000" w:themeColor="text1"/>
          <w:highlight w:val="none"/>
        </w:rPr>
        <w:fldChar w:fldCharType="separate"/>
      </w:r>
      <w:r>
        <w:rPr>
          <w:rStyle w:val="52"/>
          <w:rFonts w:hint="eastAsia" w:ascii="宋体" w:hAnsi="宋体" w:eastAsia="宋体" w:cs="宋体"/>
          <w:color w:val="000000" w:themeColor="text1"/>
          <w:highlight w:val="none"/>
        </w:rPr>
        <w:t>5.1     磋商响应文件导入和加密</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_Toc80973265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22</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2383C947">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"_Toc80973266" </w:instrText>
      </w:r>
      <w:r>
        <w:rPr>
          <w:color w:val="000000" w:themeColor="text1"/>
          <w:highlight w:val="none"/>
        </w:rPr>
        <w:fldChar w:fldCharType="separate"/>
      </w:r>
      <w:r>
        <w:rPr>
          <w:rStyle w:val="52"/>
          <w:rFonts w:hint="eastAsia" w:ascii="宋体" w:hAnsi="宋体" w:eastAsia="宋体" w:cs="宋体"/>
          <w:color w:val="000000" w:themeColor="text1"/>
          <w:highlight w:val="none"/>
        </w:rPr>
        <w:t>5.2     磋商响应文件的提交</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_Toc80973266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22</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1A8B34C7">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"_Toc80973267" </w:instrText>
      </w:r>
      <w:r>
        <w:rPr>
          <w:color w:val="000000" w:themeColor="text1"/>
          <w:highlight w:val="none"/>
        </w:rPr>
        <w:fldChar w:fldCharType="separate"/>
      </w:r>
      <w:r>
        <w:rPr>
          <w:rStyle w:val="52"/>
          <w:rFonts w:hint="eastAsia" w:ascii="宋体" w:hAnsi="宋体" w:eastAsia="宋体" w:cs="宋体"/>
          <w:color w:val="000000" w:themeColor="text1"/>
          <w:highlight w:val="none"/>
        </w:rPr>
        <w:t>5.3     磋商响应文件修改和撤回</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_Toc80973267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23</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60D58564">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"_Toc80973268" </w:instrText>
      </w:r>
      <w:r>
        <w:rPr>
          <w:color w:val="000000" w:themeColor="text1"/>
          <w:highlight w:val="none"/>
        </w:rPr>
        <w:fldChar w:fldCharType="separate"/>
      </w:r>
      <w:r>
        <w:rPr>
          <w:rStyle w:val="52"/>
          <w:rFonts w:hint="eastAsia" w:ascii="宋体" w:hAnsi="宋体" w:eastAsia="宋体" w:cs="宋体"/>
          <w:color w:val="000000" w:themeColor="text1"/>
          <w:highlight w:val="none"/>
        </w:rPr>
        <w:t>5.4     备选磋商方案</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_Toc80973268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23</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015902C4">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"_Toc80973269" </w:instrText>
      </w:r>
      <w:r>
        <w:rPr>
          <w:color w:val="000000" w:themeColor="text1"/>
          <w:highlight w:val="none"/>
        </w:rPr>
        <w:fldChar w:fldCharType="separate"/>
      </w:r>
      <w:r>
        <w:rPr>
          <w:rStyle w:val="52"/>
          <w:rFonts w:hint="eastAsia" w:ascii="宋体" w:hAnsi="宋体" w:eastAsia="宋体" w:cs="宋体"/>
          <w:b/>
          <w:bCs/>
          <w:color w:val="000000" w:themeColor="text1"/>
          <w:highlight w:val="none"/>
        </w:rPr>
        <w:t>5.5     磋商诚实信用</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_Toc80973269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23</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2A357618">
      <w:pPr>
        <w:pStyle w:val="39"/>
        <w:tabs>
          <w:tab w:val="right" w:leader="dot" w:pos="9060"/>
        </w:tabs>
        <w:ind w:left="210"/>
        <w:rPr>
          <w:rFonts w:ascii="宋体" w:hAnsi="宋体" w:eastAsia="宋体" w:cs="宋体"/>
          <w:b w:val="0"/>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"_Toc80973270" </w:instrText>
      </w:r>
      <w:r>
        <w:rPr>
          <w:color w:val="000000" w:themeColor="text1"/>
          <w:highlight w:val="none"/>
        </w:rPr>
        <w:fldChar w:fldCharType="separate"/>
      </w:r>
      <w:r>
        <w:rPr>
          <w:rStyle w:val="52"/>
          <w:rFonts w:hint="eastAsia" w:ascii="宋体" w:hAnsi="宋体" w:eastAsia="宋体" w:cs="宋体"/>
          <w:color w:val="000000" w:themeColor="text1"/>
          <w:highlight w:val="none"/>
        </w:rPr>
        <w:t>六    开标、资格审查、磋商和评审</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_Toc80973270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23</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5C00ECC4">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"_Toc80973271" </w:instrText>
      </w:r>
      <w:r>
        <w:rPr>
          <w:color w:val="000000" w:themeColor="text1"/>
          <w:highlight w:val="none"/>
        </w:rPr>
        <w:fldChar w:fldCharType="separate"/>
      </w:r>
      <w:r>
        <w:rPr>
          <w:rStyle w:val="52"/>
          <w:rFonts w:hint="eastAsia" w:ascii="宋体" w:hAnsi="宋体" w:eastAsia="宋体" w:cs="宋体"/>
          <w:color w:val="000000" w:themeColor="text1"/>
          <w:highlight w:val="none"/>
        </w:rPr>
        <w:t>6.1     开标</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_Toc80973271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24</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3CC733EB">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"_Toc80973272" </w:instrText>
      </w:r>
      <w:r>
        <w:rPr>
          <w:color w:val="000000" w:themeColor="text1"/>
          <w:highlight w:val="none"/>
        </w:rPr>
        <w:fldChar w:fldCharType="separate"/>
      </w:r>
      <w:r>
        <w:rPr>
          <w:rStyle w:val="52"/>
          <w:rFonts w:hint="eastAsia" w:ascii="宋体" w:hAnsi="宋体" w:eastAsia="宋体" w:cs="宋体"/>
          <w:color w:val="000000" w:themeColor="text1"/>
          <w:highlight w:val="none"/>
        </w:rPr>
        <w:t>6.2     资格审查</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_Toc80973272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24</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367F377D">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"_Toc80973273" </w:instrText>
      </w:r>
      <w:r>
        <w:rPr>
          <w:color w:val="000000" w:themeColor="text1"/>
          <w:highlight w:val="none"/>
        </w:rPr>
        <w:fldChar w:fldCharType="separate"/>
      </w:r>
      <w:r>
        <w:rPr>
          <w:rStyle w:val="52"/>
          <w:rFonts w:hint="eastAsia" w:ascii="宋体" w:hAnsi="宋体" w:eastAsia="宋体" w:cs="宋体"/>
          <w:color w:val="000000" w:themeColor="text1"/>
          <w:highlight w:val="none"/>
        </w:rPr>
        <w:t>6.3     磋商和评审</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_Toc80973273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25</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423B3A4B">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"_Toc80973274" </w:instrText>
      </w:r>
      <w:r>
        <w:rPr>
          <w:color w:val="000000" w:themeColor="text1"/>
          <w:highlight w:val="none"/>
        </w:rPr>
        <w:fldChar w:fldCharType="separate"/>
      </w:r>
      <w:r>
        <w:rPr>
          <w:rStyle w:val="52"/>
          <w:rFonts w:hint="eastAsia" w:ascii="宋体" w:hAnsi="宋体" w:eastAsia="宋体" w:cs="宋体"/>
          <w:color w:val="000000" w:themeColor="text1"/>
          <w:highlight w:val="none"/>
        </w:rPr>
        <w:t>6.4     磋商响应文件的澄清、说明或补正</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_Toc80973274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27</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4FFD1D44">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"_Toc80973275" </w:instrText>
      </w:r>
      <w:r>
        <w:rPr>
          <w:color w:val="000000" w:themeColor="text1"/>
          <w:highlight w:val="none"/>
        </w:rPr>
        <w:fldChar w:fldCharType="separate"/>
      </w:r>
      <w:r>
        <w:rPr>
          <w:rStyle w:val="52"/>
          <w:rFonts w:hint="eastAsia" w:ascii="宋体" w:hAnsi="宋体" w:eastAsia="宋体" w:cs="宋体"/>
          <w:color w:val="000000" w:themeColor="text1"/>
          <w:highlight w:val="none"/>
        </w:rPr>
        <w:t>6.5     报价错误修正</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_Toc80973275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27</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438FB04F">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"_Toc80973276" </w:instrText>
      </w:r>
      <w:r>
        <w:rPr>
          <w:color w:val="000000" w:themeColor="text1"/>
          <w:highlight w:val="none"/>
        </w:rPr>
        <w:fldChar w:fldCharType="separate"/>
      </w:r>
      <w:r>
        <w:rPr>
          <w:rStyle w:val="52"/>
          <w:rFonts w:hint="eastAsia" w:ascii="宋体" w:hAnsi="宋体" w:eastAsia="宋体" w:cs="宋体"/>
          <w:color w:val="000000" w:themeColor="text1"/>
          <w:highlight w:val="none"/>
        </w:rPr>
        <w:t>6.6     评审报告</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_Toc80973276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28</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1F2699EF">
      <w:pPr>
        <w:pStyle w:val="39"/>
        <w:tabs>
          <w:tab w:val="right" w:leader="dot" w:pos="9060"/>
        </w:tabs>
        <w:ind w:left="210"/>
        <w:rPr>
          <w:rFonts w:ascii="宋体" w:hAnsi="宋体" w:eastAsia="宋体" w:cs="宋体"/>
          <w:b w:val="0"/>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"_Toc80973277" </w:instrText>
      </w:r>
      <w:r>
        <w:rPr>
          <w:color w:val="000000" w:themeColor="text1"/>
          <w:highlight w:val="none"/>
        </w:rPr>
        <w:fldChar w:fldCharType="separate"/>
      </w:r>
      <w:r>
        <w:rPr>
          <w:rStyle w:val="52"/>
          <w:rFonts w:hint="eastAsia" w:ascii="宋体" w:hAnsi="宋体" w:eastAsia="宋体" w:cs="宋体"/>
          <w:color w:val="000000" w:themeColor="text1"/>
          <w:highlight w:val="none"/>
        </w:rPr>
        <w:t>七    响应无效的情形</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_Toc80973277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28</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53318AB4">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"_Toc80973278" </w:instrText>
      </w:r>
      <w:r>
        <w:rPr>
          <w:color w:val="000000" w:themeColor="text1"/>
          <w:highlight w:val="none"/>
        </w:rPr>
        <w:fldChar w:fldCharType="separate"/>
      </w:r>
      <w:r>
        <w:rPr>
          <w:rStyle w:val="52"/>
          <w:rFonts w:hint="eastAsia" w:ascii="宋体" w:hAnsi="宋体" w:eastAsia="宋体" w:cs="宋体"/>
          <w:color w:val="000000" w:themeColor="text1"/>
          <w:highlight w:val="none"/>
        </w:rPr>
        <w:t>7.1     在开标时，如发现有以下情形之一的，其响应无效</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_Toc80973278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28</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35B411C1">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"_Toc80973279" </w:instrText>
      </w:r>
      <w:r>
        <w:rPr>
          <w:color w:val="000000" w:themeColor="text1"/>
          <w:highlight w:val="none"/>
        </w:rPr>
        <w:fldChar w:fldCharType="separate"/>
      </w:r>
      <w:r>
        <w:rPr>
          <w:rStyle w:val="52"/>
          <w:rFonts w:hint="eastAsia" w:ascii="宋体" w:hAnsi="宋体" w:eastAsia="宋体" w:cs="宋体"/>
          <w:color w:val="000000" w:themeColor="text1"/>
          <w:highlight w:val="none"/>
        </w:rPr>
        <w:t>7.2     在符合性审查时，如发现下列情形之一的，其响应无效</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_Toc80973279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28</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67B7CCA1">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"_Toc80973280" </w:instrText>
      </w:r>
      <w:r>
        <w:rPr>
          <w:color w:val="000000" w:themeColor="text1"/>
          <w:highlight w:val="none"/>
        </w:rPr>
        <w:fldChar w:fldCharType="separate"/>
      </w:r>
      <w:r>
        <w:rPr>
          <w:rStyle w:val="52"/>
          <w:rFonts w:hint="eastAsia" w:ascii="宋体" w:hAnsi="宋体" w:eastAsia="宋体" w:cs="宋体"/>
          <w:color w:val="000000" w:themeColor="text1"/>
          <w:highlight w:val="none"/>
        </w:rPr>
        <w:t>7.3     在资信商务技术评审时，如发现下列情形之一的，其响应无效</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_Toc80973280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28</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0A7C1089">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"_Toc80973281" </w:instrText>
      </w:r>
      <w:r>
        <w:rPr>
          <w:color w:val="000000" w:themeColor="text1"/>
          <w:highlight w:val="none"/>
        </w:rPr>
        <w:fldChar w:fldCharType="separate"/>
      </w:r>
      <w:r>
        <w:rPr>
          <w:rStyle w:val="52"/>
          <w:rFonts w:hint="eastAsia" w:ascii="宋体" w:hAnsi="宋体" w:eastAsia="宋体" w:cs="宋体"/>
          <w:color w:val="000000" w:themeColor="text1"/>
          <w:highlight w:val="none"/>
        </w:rPr>
        <w:t>7.4     在报价评审时，如发现下列情形之一的，其响应无效</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_Toc80973281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29</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365A7DD5">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"_Toc80973282" </w:instrText>
      </w:r>
      <w:r>
        <w:rPr>
          <w:color w:val="000000" w:themeColor="text1"/>
          <w:highlight w:val="none"/>
        </w:rPr>
        <w:fldChar w:fldCharType="separate"/>
      </w:r>
      <w:r>
        <w:rPr>
          <w:rStyle w:val="52"/>
          <w:rFonts w:hint="eastAsia" w:ascii="宋体" w:hAnsi="宋体" w:eastAsia="宋体" w:cs="宋体"/>
          <w:color w:val="000000" w:themeColor="text1"/>
          <w:highlight w:val="none"/>
        </w:rPr>
        <w:t>7.5     如有下列情形之一的，其响应无效</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_Toc80973282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29</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3F3DA8AD">
      <w:pPr>
        <w:pStyle w:val="39"/>
        <w:tabs>
          <w:tab w:val="right" w:leader="dot" w:pos="9060"/>
        </w:tabs>
        <w:ind w:left="210"/>
        <w:rPr>
          <w:rFonts w:ascii="宋体" w:hAnsi="宋体" w:eastAsia="宋体" w:cs="宋体"/>
          <w:b w:val="0"/>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"_Toc80973283" </w:instrText>
      </w:r>
      <w:r>
        <w:rPr>
          <w:color w:val="000000" w:themeColor="text1"/>
          <w:highlight w:val="none"/>
        </w:rPr>
        <w:fldChar w:fldCharType="separate"/>
      </w:r>
      <w:r>
        <w:rPr>
          <w:rStyle w:val="52"/>
          <w:rFonts w:hint="eastAsia" w:ascii="宋体" w:hAnsi="宋体" w:eastAsia="宋体" w:cs="宋体"/>
          <w:color w:val="000000" w:themeColor="text1"/>
          <w:highlight w:val="none"/>
        </w:rPr>
        <w:t>八    成交和合同</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_Toc80973283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30</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6D927FE7">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"_Toc80973284" </w:instrText>
      </w:r>
      <w:r>
        <w:rPr>
          <w:color w:val="000000" w:themeColor="text1"/>
          <w:highlight w:val="none"/>
        </w:rPr>
        <w:fldChar w:fldCharType="separate"/>
      </w:r>
      <w:r>
        <w:rPr>
          <w:rStyle w:val="52"/>
          <w:rFonts w:hint="eastAsia" w:ascii="宋体" w:hAnsi="宋体" w:eastAsia="宋体" w:cs="宋体"/>
          <w:color w:val="000000" w:themeColor="text1"/>
          <w:highlight w:val="none"/>
        </w:rPr>
        <w:t>8.1     成交</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_Toc80973284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30</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7D45F6CB">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"_Toc80973285" </w:instrText>
      </w:r>
      <w:r>
        <w:rPr>
          <w:color w:val="000000" w:themeColor="text1"/>
          <w:highlight w:val="none"/>
        </w:rPr>
        <w:fldChar w:fldCharType="separate"/>
      </w:r>
      <w:r>
        <w:rPr>
          <w:rStyle w:val="52"/>
          <w:rFonts w:hint="eastAsia" w:ascii="宋体" w:hAnsi="宋体" w:eastAsia="宋体" w:cs="宋体"/>
          <w:color w:val="000000" w:themeColor="text1"/>
          <w:highlight w:val="none"/>
        </w:rPr>
        <w:t>8.2     成交公告和成交通知书</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_Toc80973285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30</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0441846C">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"_Toc80973286" </w:instrText>
      </w:r>
      <w:r>
        <w:rPr>
          <w:color w:val="000000" w:themeColor="text1"/>
          <w:highlight w:val="none"/>
        </w:rPr>
        <w:fldChar w:fldCharType="separate"/>
      </w:r>
      <w:r>
        <w:rPr>
          <w:rStyle w:val="52"/>
          <w:rFonts w:hint="eastAsia" w:ascii="宋体" w:hAnsi="宋体" w:eastAsia="宋体" w:cs="宋体"/>
          <w:color w:val="000000" w:themeColor="text1"/>
          <w:highlight w:val="none"/>
        </w:rPr>
        <w:t>8.3     履约保证金</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_Toc80973286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30</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118B5CC8">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"_Toc80973287" </w:instrText>
      </w:r>
      <w:r>
        <w:rPr>
          <w:color w:val="000000" w:themeColor="text1"/>
          <w:highlight w:val="none"/>
        </w:rPr>
        <w:fldChar w:fldCharType="separate"/>
      </w:r>
      <w:r>
        <w:rPr>
          <w:rStyle w:val="52"/>
          <w:rFonts w:hint="eastAsia" w:ascii="宋体" w:hAnsi="宋体" w:eastAsia="宋体" w:cs="宋体"/>
          <w:color w:val="000000" w:themeColor="text1"/>
          <w:highlight w:val="none"/>
        </w:rPr>
        <w:t>8.4     合同</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_Toc80973287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31</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2FB25B1D">
      <w:pPr>
        <w:pStyle w:val="39"/>
        <w:tabs>
          <w:tab w:val="right" w:leader="dot" w:pos="9060"/>
        </w:tabs>
        <w:ind w:left="210"/>
        <w:rPr>
          <w:rFonts w:ascii="宋体" w:hAnsi="宋体" w:eastAsia="宋体" w:cs="宋体"/>
          <w:b w:val="0"/>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"_Toc80973288" </w:instrText>
      </w:r>
      <w:r>
        <w:rPr>
          <w:color w:val="000000" w:themeColor="text1"/>
          <w:highlight w:val="none"/>
        </w:rPr>
        <w:fldChar w:fldCharType="separate"/>
      </w:r>
      <w:r>
        <w:rPr>
          <w:rStyle w:val="52"/>
          <w:rFonts w:hint="eastAsia" w:ascii="宋体" w:hAnsi="宋体" w:eastAsia="宋体" w:cs="宋体"/>
          <w:color w:val="000000" w:themeColor="text1"/>
          <w:highlight w:val="none"/>
        </w:rPr>
        <w:t>九    其他事项</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_Toc80973288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31</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29C9359C">
      <w:pPr>
        <w:pStyle w:val="24"/>
        <w:tabs>
          <w:tab w:val="right" w:leader="dot" w:pos="9060"/>
        </w:tabs>
        <w:ind w:left="420"/>
        <w:rPr>
          <w:rFonts w:ascii="宋体" w:hAnsi="宋体" w:eastAsia="宋体" w:cs="宋体"/>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"_Toc80973289" </w:instrText>
      </w:r>
      <w:r>
        <w:rPr>
          <w:color w:val="000000" w:themeColor="text1"/>
          <w:highlight w:val="none"/>
        </w:rPr>
        <w:fldChar w:fldCharType="separate"/>
      </w:r>
      <w:r>
        <w:rPr>
          <w:rStyle w:val="52"/>
          <w:rFonts w:hint="eastAsia" w:ascii="宋体" w:hAnsi="宋体" w:eastAsia="宋体" w:cs="宋体"/>
          <w:color w:val="000000" w:themeColor="text1"/>
          <w:highlight w:val="none"/>
        </w:rPr>
        <w:t>9.1     解释权</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_Toc80973289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31</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69B3777A">
      <w:pPr>
        <w:pStyle w:val="32"/>
        <w:rPr>
          <w:rFonts w:ascii="宋体" w:hAnsi="宋体" w:eastAsia="宋体" w:cs="宋体"/>
          <w:b w:val="0"/>
          <w:bCs w:val="0"/>
          <w: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"_Toc80973290" </w:instrText>
      </w:r>
      <w:r>
        <w:rPr>
          <w:color w:val="000000" w:themeColor="text1"/>
          <w:highlight w:val="none"/>
        </w:rPr>
        <w:fldChar w:fldCharType="separate"/>
      </w:r>
      <w:r>
        <w:rPr>
          <w:rStyle w:val="52"/>
          <w:rFonts w:hint="eastAsia" w:ascii="宋体" w:hAnsi="宋体" w:eastAsia="宋体" w:cs="宋体"/>
          <w:color w:val="000000" w:themeColor="text1"/>
          <w:highlight w:val="none"/>
        </w:rPr>
        <w:t>第四章  合同格式</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_Toc80973290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32</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0DDD4E66">
      <w:pPr>
        <w:pStyle w:val="32"/>
        <w:rPr>
          <w:rFonts w:ascii="宋体" w:hAnsi="宋体" w:eastAsia="宋体" w:cs="宋体"/>
          <w:b w:val="0"/>
          <w:bCs w:val="0"/>
          <w: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"_Toc80973292" </w:instrText>
      </w:r>
      <w:r>
        <w:rPr>
          <w:color w:val="000000" w:themeColor="text1"/>
          <w:highlight w:val="none"/>
        </w:rPr>
        <w:fldChar w:fldCharType="separate"/>
      </w:r>
      <w:r>
        <w:rPr>
          <w:rStyle w:val="52"/>
          <w:rFonts w:hint="eastAsia" w:ascii="宋体" w:hAnsi="宋体" w:eastAsia="宋体" w:cs="宋体"/>
          <w:color w:val="000000" w:themeColor="text1"/>
          <w:highlight w:val="none"/>
        </w:rPr>
        <w:t>第五章  磋商响应文件格式</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_Toc80973292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32</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0270FE87">
      <w:pPr>
        <w:pStyle w:val="39"/>
        <w:tabs>
          <w:tab w:val="right" w:leader="dot" w:pos="9060"/>
        </w:tabs>
        <w:ind w:left="210"/>
        <w:rPr>
          <w:rFonts w:ascii="宋体" w:hAnsi="宋体" w:eastAsia="宋体" w:cs="宋体"/>
          <w:b w:val="0"/>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"_Toc80973293" </w:instrText>
      </w:r>
      <w:r>
        <w:rPr>
          <w:color w:val="000000" w:themeColor="text1"/>
          <w:highlight w:val="none"/>
        </w:rPr>
        <w:fldChar w:fldCharType="separate"/>
      </w:r>
      <w:r>
        <w:rPr>
          <w:rStyle w:val="52"/>
          <w:rFonts w:hint="eastAsia" w:ascii="宋体" w:hAnsi="宋体" w:eastAsia="宋体" w:cs="宋体"/>
          <w:color w:val="000000" w:themeColor="text1"/>
          <w:highlight w:val="none"/>
        </w:rPr>
        <w:t>一  资格审查文件格式</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_Toc80973293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36</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1104DD57">
      <w:pPr>
        <w:pStyle w:val="39"/>
        <w:tabs>
          <w:tab w:val="right" w:leader="dot" w:pos="9060"/>
        </w:tabs>
        <w:ind w:left="210"/>
        <w:rPr>
          <w:rFonts w:ascii="宋体" w:hAnsi="宋体" w:eastAsia="宋体" w:cs="宋体"/>
          <w:b w:val="0"/>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"_Toc80973306" </w:instrText>
      </w:r>
      <w:r>
        <w:rPr>
          <w:color w:val="000000" w:themeColor="text1"/>
          <w:highlight w:val="none"/>
        </w:rPr>
        <w:fldChar w:fldCharType="separate"/>
      </w:r>
      <w:r>
        <w:rPr>
          <w:rStyle w:val="52"/>
          <w:rFonts w:hint="eastAsia" w:ascii="宋体" w:hAnsi="宋体" w:eastAsia="宋体" w:cs="宋体"/>
          <w:color w:val="000000" w:themeColor="text1"/>
          <w:highlight w:val="none"/>
        </w:rPr>
        <w:t>二  资信商务及技术文件格式</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_Toc80973306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45</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612EE397">
      <w:pPr>
        <w:pStyle w:val="39"/>
        <w:tabs>
          <w:tab w:val="right" w:leader="dot" w:pos="9060"/>
        </w:tabs>
        <w:ind w:left="210"/>
        <w:rPr>
          <w:rFonts w:ascii="宋体" w:hAnsi="宋体" w:eastAsia="宋体" w:cs="宋体"/>
          <w:b w:val="0"/>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"_Toc80973316" </w:instrText>
      </w:r>
      <w:r>
        <w:rPr>
          <w:color w:val="000000" w:themeColor="text1"/>
          <w:highlight w:val="none"/>
        </w:rPr>
        <w:fldChar w:fldCharType="separate"/>
      </w:r>
      <w:r>
        <w:rPr>
          <w:rStyle w:val="52"/>
          <w:rFonts w:hint="eastAsia" w:ascii="宋体" w:hAnsi="宋体" w:eastAsia="宋体" w:cs="宋体"/>
          <w:color w:val="000000" w:themeColor="text1"/>
          <w:highlight w:val="none"/>
        </w:rPr>
        <w:t>三  报价文件格式</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_Toc80973316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52</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014E625F">
      <w:pPr>
        <w:pStyle w:val="32"/>
        <w:rPr>
          <w:rFonts w:ascii="宋体" w:hAnsi="宋体" w:eastAsia="宋体" w:cs="宋体"/>
          <w:b w:val="0"/>
          <w:bCs w:val="0"/>
          <w: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"_Toc80973324" </w:instrText>
      </w:r>
      <w:r>
        <w:rPr>
          <w:color w:val="000000" w:themeColor="text1"/>
          <w:highlight w:val="none"/>
        </w:rPr>
        <w:fldChar w:fldCharType="separate"/>
      </w:r>
      <w:r>
        <w:rPr>
          <w:rStyle w:val="52"/>
          <w:rFonts w:hint="eastAsia" w:ascii="宋体" w:hAnsi="宋体" w:eastAsia="宋体" w:cs="宋体"/>
          <w:color w:val="000000" w:themeColor="text1"/>
          <w:highlight w:val="none"/>
        </w:rPr>
        <w:t>第六章  评审办法和细则</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_Toc80973324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55</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10CCEFC1">
      <w:pPr>
        <w:pStyle w:val="39"/>
        <w:tabs>
          <w:tab w:val="right" w:leader="dot" w:pos="9060"/>
        </w:tabs>
        <w:ind w:left="210"/>
        <w:rPr>
          <w:rFonts w:ascii="宋体" w:hAnsi="宋体" w:eastAsia="宋体" w:cs="宋体"/>
          <w:b w:val="0"/>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"_Toc80973325" </w:instrText>
      </w:r>
      <w:r>
        <w:rPr>
          <w:color w:val="000000" w:themeColor="text1"/>
          <w:highlight w:val="none"/>
        </w:rPr>
        <w:fldChar w:fldCharType="separate"/>
      </w:r>
      <w:r>
        <w:rPr>
          <w:rStyle w:val="52"/>
          <w:rFonts w:hint="eastAsia" w:ascii="宋体" w:hAnsi="宋体" w:eastAsia="宋体" w:cs="宋体"/>
          <w:color w:val="000000" w:themeColor="text1"/>
          <w:highlight w:val="none"/>
        </w:rPr>
        <w:t>一    总则</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_Toc80973325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56</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61D9A783">
      <w:pPr>
        <w:pStyle w:val="39"/>
        <w:tabs>
          <w:tab w:val="right" w:leader="dot" w:pos="9060"/>
        </w:tabs>
        <w:ind w:left="210"/>
        <w:rPr>
          <w:rFonts w:ascii="宋体" w:hAnsi="宋体" w:eastAsia="宋体" w:cs="宋体"/>
          <w:b w:val="0"/>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"_Toc80973326" </w:instrText>
      </w:r>
      <w:r>
        <w:rPr>
          <w:color w:val="000000" w:themeColor="text1"/>
          <w:highlight w:val="none"/>
        </w:rPr>
        <w:fldChar w:fldCharType="separate"/>
      </w:r>
      <w:r>
        <w:rPr>
          <w:rStyle w:val="52"/>
          <w:rFonts w:hint="eastAsia" w:ascii="宋体" w:hAnsi="宋体" w:eastAsia="宋体" w:cs="宋体"/>
          <w:color w:val="000000" w:themeColor="text1"/>
          <w:highlight w:val="none"/>
        </w:rPr>
        <w:t>二    评审一般规定</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_Toc80973326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56</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67820D57">
      <w:pPr>
        <w:pStyle w:val="39"/>
        <w:tabs>
          <w:tab w:val="right" w:leader="dot" w:pos="9060"/>
        </w:tabs>
        <w:ind w:left="210"/>
        <w:rPr>
          <w:rFonts w:ascii="宋体" w:hAnsi="宋体" w:eastAsia="宋体" w:cs="宋体"/>
          <w:b w:val="0"/>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"_Toc80973327" </w:instrText>
      </w:r>
      <w:r>
        <w:rPr>
          <w:color w:val="000000" w:themeColor="text1"/>
          <w:highlight w:val="none"/>
        </w:rPr>
        <w:fldChar w:fldCharType="separate"/>
      </w:r>
      <w:r>
        <w:rPr>
          <w:rStyle w:val="52"/>
          <w:rFonts w:hint="eastAsia" w:ascii="宋体" w:hAnsi="宋体" w:eastAsia="宋体" w:cs="宋体"/>
          <w:color w:val="000000" w:themeColor="text1"/>
          <w:highlight w:val="none"/>
        </w:rPr>
        <w:t>三    评审内容及标准</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_Toc80973327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56</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23151CB1">
      <w:pPr>
        <w:pStyle w:val="32"/>
        <w:rPr>
          <w:rFonts w:ascii="宋体" w:hAnsi="宋体" w:eastAsia="宋体" w:cs="宋体"/>
          <w:b w:val="0"/>
          <w:bCs w:val="0"/>
          <w: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"_Toc80973328" </w:instrText>
      </w:r>
      <w:r>
        <w:rPr>
          <w:color w:val="000000" w:themeColor="text1"/>
          <w:highlight w:val="none"/>
        </w:rPr>
        <w:fldChar w:fldCharType="separate"/>
      </w:r>
      <w:r>
        <w:rPr>
          <w:rStyle w:val="52"/>
          <w:rFonts w:hint="eastAsia" w:ascii="宋体" w:hAnsi="宋体" w:eastAsia="宋体" w:cs="宋体"/>
          <w:color w:val="000000" w:themeColor="text1"/>
          <w:highlight w:val="none"/>
        </w:rPr>
        <w:t>附件：政府采购活动现场确认声明书</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_Toc80973328 \h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59</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14:paraId="4587A9E3">
      <w:pPr>
        <w:spacing w:line="300" w:lineRule="exact"/>
        <w:rPr>
          <w:rFonts w:ascii="宋体" w:hAnsi="宋体" w:cs="宋体"/>
          <w:color w:val="000000" w:themeColor="text1"/>
          <w:highlight w:val="none"/>
        </w:rPr>
        <w:sectPr>
          <w:headerReference r:id="rId3" w:type="default"/>
          <w:footerReference r:id="rId4" w:type="default"/>
          <w:pgSz w:w="11906" w:h="16838"/>
          <w:pgMar w:top="1418" w:right="1418" w:bottom="1418" w:left="1418" w:header="851" w:footer="851" w:gutter="0"/>
          <w:pgNumType w:start="1"/>
          <w:cols w:space="720" w:num="1"/>
          <w:docGrid w:linePitch="312" w:charSpace="0"/>
        </w:sectPr>
      </w:pPr>
      <w:r>
        <w:rPr>
          <w:rFonts w:hint="eastAsia" w:ascii="宋体" w:hAnsi="宋体" w:cs="宋体"/>
          <w:color w:val="000000" w:themeColor="text1"/>
          <w:sz w:val="24"/>
          <w:szCs w:val="24"/>
          <w:highlight w:val="none"/>
        </w:rPr>
        <w:fldChar w:fldCharType="end"/>
      </w:r>
      <w:r>
        <w:rPr>
          <w:rFonts w:ascii="宋体" w:hAnsi="宋体" w:cs="宋体"/>
          <w:color w:val="000000" w:themeColor="text1"/>
          <w:sz w:val="24"/>
          <w:szCs w:val="24"/>
          <w:highlight w:val="none"/>
        </w:rPr>
        <w:br w:type="page"/>
      </w:r>
      <w:bookmarkEnd w:id="4"/>
    </w:p>
    <w:p w14:paraId="6C810106">
      <w:pPr>
        <w:pStyle w:val="6"/>
        <w:numPr>
          <w:ilvl w:val="0"/>
          <w:numId w:val="1"/>
        </w:numPr>
        <w:spacing w:before="220" w:after="220" w:line="312" w:lineRule="auto"/>
        <w:ind w:firstLineChars="0"/>
        <w:jc w:val="center"/>
        <w:rPr>
          <w:rFonts w:ascii="宋体" w:hAnsi="宋体" w:eastAsia="宋体" w:cs="宋体"/>
          <w:color w:val="000000" w:themeColor="text1"/>
          <w:sz w:val="36"/>
          <w:szCs w:val="36"/>
          <w:highlight w:val="none"/>
        </w:rPr>
      </w:pPr>
      <w:bookmarkStart w:id="5" w:name="_Toc531358959"/>
      <w:bookmarkStart w:id="6" w:name="_Toc80973228"/>
      <w:bookmarkStart w:id="7" w:name="_Toc530551804"/>
      <w:r>
        <w:rPr>
          <w:rFonts w:hint="eastAsia" w:ascii="宋体" w:hAnsi="宋体" w:eastAsia="宋体" w:cs="宋体"/>
          <w:color w:val="000000" w:themeColor="text1"/>
          <w:sz w:val="36"/>
          <w:szCs w:val="36"/>
          <w:highlight w:val="none"/>
        </w:rPr>
        <w:t>竞争性磋商</w:t>
      </w:r>
      <w:bookmarkEnd w:id="5"/>
      <w:bookmarkEnd w:id="6"/>
      <w:bookmarkEnd w:id="7"/>
      <w:bookmarkStart w:id="8" w:name="_Toc493956019"/>
      <w:bookmarkStart w:id="9" w:name="_Toc530551805"/>
      <w:bookmarkStart w:id="10" w:name="_Toc531358960"/>
      <w:r>
        <w:rPr>
          <w:rFonts w:hint="eastAsia" w:ascii="宋体" w:hAnsi="宋体" w:eastAsia="宋体" w:cs="宋体"/>
          <w:color w:val="000000" w:themeColor="text1"/>
          <w:sz w:val="36"/>
          <w:szCs w:val="36"/>
          <w:highlight w:val="none"/>
        </w:rPr>
        <w:t>邀请函</w:t>
      </w:r>
    </w:p>
    <w:p w14:paraId="3883CCB8">
      <w:pPr>
        <w:wordWrap w:val="0"/>
        <w:spacing w:line="44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u w:val="single"/>
        </w:rPr>
        <w:t xml:space="preserve">                            :</w:t>
      </w:r>
    </w:p>
    <w:p w14:paraId="291C19ED">
      <w:pPr>
        <w:pBdr>
          <w:top w:val="single" w:color="auto" w:sz="4" w:space="0"/>
          <w:left w:val="single" w:color="auto" w:sz="4" w:space="4"/>
          <w:bottom w:val="single" w:color="auto" w:sz="4" w:space="1"/>
          <w:right w:val="single" w:color="auto" w:sz="4" w:space="4"/>
        </w:pBdr>
        <w:wordWrap w:val="0"/>
        <w:spacing w:line="440" w:lineRule="atLeast"/>
        <w:rPr>
          <w:rFonts w:ascii="宋体" w:hAnsi="宋体" w:cs="宋体"/>
          <w:color w:val="000000" w:themeColor="text1"/>
          <w:sz w:val="24"/>
          <w:szCs w:val="24"/>
          <w:highlight w:val="none"/>
        </w:rPr>
      </w:pPr>
      <w:bookmarkStart w:id="11" w:name="EBf1e27c6183244f4a8f3fc355defd653e"/>
      <w:bookmarkEnd w:id="11"/>
      <w:r>
        <w:rPr>
          <w:rFonts w:hint="eastAsia" w:ascii="宋体" w:hAnsi="宋体" w:cs="宋体"/>
          <w:color w:val="000000" w:themeColor="text1"/>
          <w:sz w:val="24"/>
          <w:szCs w:val="24"/>
          <w:highlight w:val="none"/>
        </w:rPr>
        <w:t>项目概况：</w:t>
      </w:r>
    </w:p>
    <w:p w14:paraId="26A2C7BF">
      <w:pPr>
        <w:pBdr>
          <w:top w:val="single" w:color="auto" w:sz="4" w:space="0"/>
          <w:left w:val="single" w:color="auto" w:sz="4" w:space="4"/>
          <w:bottom w:val="single" w:color="auto" w:sz="4" w:space="1"/>
          <w:right w:val="single" w:color="auto" w:sz="4" w:space="4"/>
        </w:pBdr>
        <w:wordWrap w:val="0"/>
        <w:spacing w:line="440" w:lineRule="atLeast"/>
        <w:ind w:firstLine="480" w:firstLineChars="200"/>
        <w:rPr>
          <w:rFonts w:ascii="宋体" w:hAnsi="宋体" w:cs="宋体"/>
          <w:color w:val="000000" w:themeColor="text1"/>
          <w:sz w:val="24"/>
          <w:szCs w:val="24"/>
          <w:highlight w:val="none"/>
        </w:rPr>
      </w:pPr>
      <w:r>
        <w:rPr>
          <w:rFonts w:hint="eastAsia" w:ascii="宋体" w:hAnsi="宋体" w:cs="宋体"/>
          <w:bCs/>
          <w:color w:val="000000" w:themeColor="text1"/>
          <w:sz w:val="24"/>
          <w:szCs w:val="24"/>
          <w:highlight w:val="none"/>
          <w:u w:val="single"/>
          <w:lang w:eastAsia="zh-CN"/>
        </w:rPr>
        <w:t>松阳县大东坝镇2024-2025年度松材线虫病枯死树除治服务采购项目</w:t>
      </w:r>
      <w:r>
        <w:rPr>
          <w:rFonts w:hint="eastAsia" w:ascii="宋体" w:hAnsi="宋体" w:cs="宋体"/>
          <w:color w:val="000000" w:themeColor="text1"/>
          <w:sz w:val="24"/>
          <w:szCs w:val="24"/>
          <w:highlight w:val="none"/>
        </w:rPr>
        <w:t>的推荐供应商应在浙江政府采购网（</w:t>
      </w:r>
      <w:r>
        <w:rPr>
          <w:color w:val="000000" w:themeColor="text1"/>
          <w:highlight w:val="none"/>
        </w:rPr>
        <w:fldChar w:fldCharType="begin"/>
      </w:r>
      <w:r>
        <w:rPr>
          <w:color w:val="000000" w:themeColor="text1"/>
          <w:highlight w:val="none"/>
        </w:rPr>
        <w:instrText xml:space="preserve"> HYPERLINK "http://zfcg.czt.zj.gov.cn/" </w:instrText>
      </w:r>
      <w:r>
        <w:rPr>
          <w:color w:val="000000" w:themeColor="text1"/>
          <w:highlight w:val="none"/>
        </w:rPr>
        <w:fldChar w:fldCharType="separate"/>
      </w:r>
      <w:r>
        <w:rPr>
          <w:rStyle w:val="52"/>
          <w:rFonts w:hint="eastAsia" w:ascii="宋体" w:hAnsi="宋体" w:cs="宋体"/>
          <w:b/>
          <w:color w:val="000000" w:themeColor="text1"/>
          <w:sz w:val="24"/>
          <w:szCs w:val="24"/>
          <w:highlight w:val="none"/>
        </w:rPr>
        <w:t>zfcg.czt.zj.gov.cn</w:t>
      </w:r>
      <w:r>
        <w:rPr>
          <w:rStyle w:val="52"/>
          <w:rFonts w:hint="eastAsia" w:ascii="宋体" w:hAnsi="宋体" w:cs="宋体"/>
          <w:b/>
          <w:color w:val="000000" w:themeColor="text1"/>
          <w:sz w:val="24"/>
          <w:szCs w:val="24"/>
          <w:highlight w:val="none"/>
        </w:rPr>
        <w:fldChar w:fldCharType="end"/>
      </w:r>
      <w:r>
        <w:rPr>
          <w:rFonts w:hint="eastAsia" w:ascii="宋体" w:hAnsi="宋体" w:cs="宋体"/>
          <w:b/>
          <w:color w:val="000000" w:themeColor="text1"/>
          <w:sz w:val="24"/>
          <w:szCs w:val="24"/>
          <w:highlight w:val="none"/>
        </w:rPr>
        <w:t>）</w:t>
      </w:r>
      <w:r>
        <w:rPr>
          <w:rFonts w:hint="eastAsia" w:ascii="宋体" w:hAnsi="宋体" w:cs="宋体"/>
          <w:color w:val="000000" w:themeColor="text1"/>
          <w:sz w:val="24"/>
          <w:szCs w:val="24"/>
          <w:highlight w:val="none"/>
        </w:rPr>
        <w:t>，丽水市公共资源交易网（松阳）（</w:t>
      </w:r>
      <w:r>
        <w:rPr>
          <w:rFonts w:hint="eastAsia" w:ascii="宋体" w:hAnsi="宋体" w:cs="宋体"/>
          <w:b/>
          <w:color w:val="000000" w:themeColor="text1"/>
          <w:sz w:val="24"/>
          <w:szCs w:val="24"/>
          <w:highlight w:val="none"/>
          <w:u w:val="single"/>
        </w:rPr>
        <w:t>http://lssggzy.lishui.gov.cn/syweb/</w:t>
      </w:r>
      <w:r>
        <w:rPr>
          <w:rFonts w:hint="eastAsia" w:ascii="宋体" w:hAnsi="宋体" w:cs="宋体"/>
          <w:color w:val="000000" w:themeColor="text1"/>
          <w:sz w:val="24"/>
          <w:szCs w:val="24"/>
          <w:highlight w:val="none"/>
        </w:rPr>
        <w:t>）采购公告附件中自行获取采购文件，并于</w:t>
      </w:r>
      <w:r>
        <w:rPr>
          <w:rFonts w:hint="eastAsia" w:ascii="宋体" w:hAnsi="宋体" w:cs="宋体"/>
          <w:bCs/>
          <w:color w:val="000000" w:themeColor="text1"/>
          <w:sz w:val="24"/>
          <w:szCs w:val="24"/>
          <w:highlight w:val="none"/>
          <w:u w:val="single"/>
          <w:lang w:eastAsia="zh-CN"/>
        </w:rPr>
        <w:t>2024</w:t>
      </w:r>
      <w:r>
        <w:rPr>
          <w:rFonts w:hint="eastAsia" w:ascii="宋体" w:hAnsi="宋体" w:cs="宋体"/>
          <w:bCs/>
          <w:color w:val="000000" w:themeColor="text1"/>
          <w:sz w:val="24"/>
          <w:szCs w:val="24"/>
          <w:highlight w:val="none"/>
        </w:rPr>
        <w:t>年</w:t>
      </w:r>
      <w:r>
        <w:rPr>
          <w:rFonts w:hint="eastAsia" w:ascii="宋体" w:hAnsi="宋体" w:cs="宋体"/>
          <w:bCs/>
          <w:color w:val="000000" w:themeColor="text1"/>
          <w:sz w:val="24"/>
          <w:szCs w:val="24"/>
          <w:highlight w:val="none"/>
          <w:u w:val="single"/>
          <w:lang w:val="en-US" w:eastAsia="zh-CN"/>
        </w:rPr>
        <w:t>9</w:t>
      </w:r>
      <w:r>
        <w:rPr>
          <w:rFonts w:hint="eastAsia" w:ascii="宋体" w:hAnsi="宋体" w:cs="宋体"/>
          <w:bCs/>
          <w:color w:val="000000" w:themeColor="text1"/>
          <w:sz w:val="24"/>
          <w:szCs w:val="24"/>
          <w:highlight w:val="none"/>
        </w:rPr>
        <w:t>月</w:t>
      </w:r>
      <w:r>
        <w:rPr>
          <w:rFonts w:hint="eastAsia" w:ascii="宋体" w:hAnsi="宋体" w:cs="宋体"/>
          <w:bCs/>
          <w:color w:val="000000" w:themeColor="text1"/>
          <w:sz w:val="24"/>
          <w:szCs w:val="24"/>
          <w:highlight w:val="none"/>
          <w:u w:val="single"/>
          <w:lang w:val="en-US" w:eastAsia="zh-CN"/>
        </w:rPr>
        <w:t>30</w:t>
      </w:r>
      <w:r>
        <w:rPr>
          <w:rFonts w:hint="eastAsia" w:ascii="宋体" w:hAnsi="宋体" w:cs="宋体"/>
          <w:bCs/>
          <w:color w:val="000000" w:themeColor="text1"/>
          <w:sz w:val="24"/>
          <w:szCs w:val="24"/>
          <w:highlight w:val="none"/>
        </w:rPr>
        <w:t>日</w:t>
      </w:r>
      <w:r>
        <w:rPr>
          <w:rFonts w:hint="eastAsia" w:ascii="宋体" w:hAnsi="宋体" w:cs="宋体"/>
          <w:bCs/>
          <w:color w:val="000000" w:themeColor="text1"/>
          <w:sz w:val="24"/>
          <w:szCs w:val="24"/>
          <w:highlight w:val="none"/>
          <w:u w:val="single"/>
          <w:lang w:val="en-US" w:eastAsia="zh-CN"/>
        </w:rPr>
        <w:t>16</w:t>
      </w:r>
      <w:r>
        <w:rPr>
          <w:rFonts w:hint="eastAsia" w:ascii="宋体" w:hAnsi="宋体" w:cs="宋体"/>
          <w:bCs/>
          <w:color w:val="000000" w:themeColor="text1"/>
          <w:sz w:val="24"/>
          <w:szCs w:val="24"/>
          <w:highlight w:val="none"/>
          <w:u w:val="single"/>
        </w:rPr>
        <w:t>:</w:t>
      </w:r>
      <w:r>
        <w:rPr>
          <w:rFonts w:hint="eastAsia" w:ascii="宋体" w:hAnsi="宋体" w:cs="宋体"/>
          <w:bCs/>
          <w:color w:val="000000" w:themeColor="text1"/>
          <w:sz w:val="24"/>
          <w:szCs w:val="24"/>
          <w:highlight w:val="none"/>
          <w:u w:val="single"/>
          <w:lang w:val="en-US" w:eastAsia="zh-CN"/>
        </w:rPr>
        <w:t>00</w:t>
      </w:r>
      <w:r>
        <w:rPr>
          <w:rFonts w:hint="eastAsia" w:ascii="宋体" w:hAnsi="宋体" w:cs="宋体"/>
          <w:bCs/>
          <w:color w:val="000000" w:themeColor="text1"/>
          <w:sz w:val="24"/>
          <w:szCs w:val="24"/>
          <w:highlight w:val="none"/>
        </w:rPr>
        <w:t>（北京时间）前提交响应文件</w:t>
      </w:r>
      <w:r>
        <w:rPr>
          <w:rFonts w:hint="eastAsia" w:ascii="宋体" w:hAnsi="宋体" w:cs="宋体"/>
          <w:color w:val="000000" w:themeColor="text1"/>
          <w:sz w:val="24"/>
          <w:szCs w:val="24"/>
          <w:highlight w:val="none"/>
        </w:rPr>
        <w:t>。</w:t>
      </w:r>
    </w:p>
    <w:p w14:paraId="54E160F6">
      <w:pPr>
        <w:wordWrap w:val="0"/>
        <w:spacing w:line="420" w:lineRule="exact"/>
        <w:rPr>
          <w:rFonts w:ascii="宋体" w:hAnsi="宋体" w:cs="宋体"/>
          <w:b/>
          <w:color w:val="000000" w:themeColor="text1"/>
          <w:sz w:val="24"/>
          <w:szCs w:val="24"/>
          <w:highlight w:val="none"/>
        </w:rPr>
      </w:pPr>
      <w:bookmarkStart w:id="12" w:name="_Toc35393798"/>
      <w:bookmarkEnd w:id="12"/>
      <w:bookmarkStart w:id="13" w:name="_Toc28359089"/>
      <w:bookmarkEnd w:id="13"/>
      <w:bookmarkStart w:id="14" w:name="_Toc28359012"/>
      <w:bookmarkEnd w:id="14"/>
      <w:bookmarkStart w:id="15" w:name="_Toc35393629"/>
      <w:r>
        <w:rPr>
          <w:rFonts w:hint="eastAsia" w:ascii="宋体" w:hAnsi="宋体" w:cs="宋体"/>
          <w:b/>
          <w:color w:val="000000" w:themeColor="text1"/>
          <w:sz w:val="24"/>
          <w:szCs w:val="24"/>
          <w:highlight w:val="none"/>
        </w:rPr>
        <w:t>一、项目基本情况</w:t>
      </w:r>
      <w:bookmarkEnd w:id="15"/>
    </w:p>
    <w:p w14:paraId="405EAE97">
      <w:pPr>
        <w:wordWrap w:val="0"/>
        <w:spacing w:line="440" w:lineRule="exact"/>
        <w:ind w:firstLine="480" w:firstLineChars="200"/>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rPr>
        <w:t>项目编号：浙大兴商</w:t>
      </w:r>
      <w:r>
        <w:rPr>
          <w:rFonts w:hint="eastAsia" w:ascii="宋体" w:hAnsi="宋体" w:cs="宋体"/>
          <w:color w:val="000000" w:themeColor="text1"/>
          <w:sz w:val="24"/>
          <w:szCs w:val="24"/>
          <w:highlight w:val="none"/>
          <w:lang w:eastAsia="zh-CN"/>
        </w:rPr>
        <w:t>2024</w:t>
      </w: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en-US" w:eastAsia="zh-CN"/>
        </w:rPr>
        <w:t>21</w:t>
      </w:r>
    </w:p>
    <w:p w14:paraId="21B3D0BC">
      <w:pPr>
        <w:wordWrap w:val="0"/>
        <w:spacing w:line="440" w:lineRule="exact"/>
        <w:ind w:firstLine="480" w:firstLineChars="200"/>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rPr>
        <w:t>项目名称：</w:t>
      </w:r>
      <w:r>
        <w:rPr>
          <w:rFonts w:hint="eastAsia" w:ascii="宋体" w:hAnsi="宋体" w:cs="宋体"/>
          <w:color w:val="000000" w:themeColor="text1"/>
          <w:sz w:val="24"/>
          <w:szCs w:val="24"/>
          <w:highlight w:val="none"/>
          <w:lang w:eastAsia="zh-CN"/>
        </w:rPr>
        <w:t>松阳县大东坝镇2024-2025年度松材线虫病枯死树除治服务采购项目</w:t>
      </w:r>
    </w:p>
    <w:p w14:paraId="66D606F3">
      <w:pPr>
        <w:wordWrap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采购方式：竞争性磋商</w:t>
      </w:r>
    </w:p>
    <w:p w14:paraId="29F7EDE6">
      <w:pPr>
        <w:wordWrap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采购需求：见磋商文件第二章 </w:t>
      </w:r>
    </w:p>
    <w:p w14:paraId="1839849A">
      <w:pPr>
        <w:wordWrap w:val="0"/>
        <w:spacing w:line="440" w:lineRule="exact"/>
        <w:ind w:firstLine="482" w:firstLineChars="200"/>
        <w:rPr>
          <w:rFonts w:ascii="仿宋_GB2312" w:hAnsi="仿宋_GB2312" w:eastAsia="仿宋_GB2312" w:cs="仿宋_GB2312"/>
          <w:b/>
          <w:color w:val="000000" w:themeColor="text1"/>
          <w:sz w:val="24"/>
          <w:szCs w:val="24"/>
          <w:highlight w:val="none"/>
        </w:rPr>
      </w:pPr>
      <w:bookmarkStart w:id="16" w:name="_Toc28359013"/>
      <w:bookmarkEnd w:id="16"/>
      <w:bookmarkStart w:id="17" w:name="_Toc35393799"/>
      <w:bookmarkEnd w:id="17"/>
      <w:bookmarkStart w:id="18" w:name="_Toc28359090"/>
      <w:bookmarkEnd w:id="18"/>
      <w:bookmarkStart w:id="19" w:name="_Toc35393630"/>
      <w:r>
        <w:rPr>
          <w:rFonts w:hint="eastAsia" w:ascii="仿宋_GB2312" w:hAnsi="仿宋_GB2312" w:eastAsia="仿宋_GB2312" w:cs="仿宋_GB2312"/>
          <w:b/>
          <w:color w:val="000000" w:themeColor="text1"/>
          <w:sz w:val="24"/>
          <w:szCs w:val="24"/>
          <w:highlight w:val="none"/>
        </w:rPr>
        <w:t>标项</w:t>
      </w:r>
      <w:r>
        <w:rPr>
          <w:rFonts w:ascii="仿宋_GB2312" w:hAnsi="仿宋_GB2312" w:eastAsia="仿宋_GB2312" w:cs="仿宋_GB2312"/>
          <w:b/>
          <w:color w:val="000000" w:themeColor="text1"/>
          <w:sz w:val="24"/>
          <w:szCs w:val="24"/>
          <w:highlight w:val="none"/>
        </w:rPr>
        <w:t>一</w:t>
      </w:r>
    </w:p>
    <w:p w14:paraId="57FBCAC6">
      <w:pPr>
        <w:wordWrap w:val="0"/>
        <w:spacing w:line="440" w:lineRule="exact"/>
        <w:ind w:firstLine="480" w:firstLineChars="200"/>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rPr>
        <w:t>数量</w:t>
      </w:r>
      <w:r>
        <w:rPr>
          <w:rFonts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297</w:t>
      </w:r>
    </w:p>
    <w:p w14:paraId="16892B54">
      <w:pPr>
        <w:wordWrap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单位</w:t>
      </w:r>
      <w:r>
        <w:rPr>
          <w:rFonts w:ascii="宋体" w:hAnsi="宋体" w:cs="宋体"/>
          <w:color w:val="000000" w:themeColor="text1"/>
          <w:sz w:val="24"/>
          <w:szCs w:val="24"/>
          <w:highlight w:val="none"/>
        </w:rPr>
        <w:t>：</w:t>
      </w:r>
      <w:r>
        <w:rPr>
          <w:rFonts w:hint="eastAsia" w:ascii="宋体" w:hAnsi="宋体" w:cs="宋体"/>
          <w:color w:val="000000" w:themeColor="text1"/>
          <w:sz w:val="24"/>
          <w:szCs w:val="24"/>
          <w:highlight w:val="none"/>
        </w:rPr>
        <w:t>吨</w:t>
      </w:r>
    </w:p>
    <w:p w14:paraId="1DC16330">
      <w:pPr>
        <w:wordWrap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预算金额：</w:t>
      </w:r>
      <w:r>
        <w:rPr>
          <w:rFonts w:hint="eastAsia" w:ascii="宋体" w:hAnsi="宋体" w:cs="宋体"/>
          <w:color w:val="000000" w:themeColor="text1"/>
          <w:sz w:val="24"/>
          <w:szCs w:val="24"/>
          <w:highlight w:val="none"/>
          <w:lang w:val="en-US" w:eastAsia="zh-CN"/>
        </w:rPr>
        <w:t>341000</w:t>
      </w:r>
      <w:r>
        <w:rPr>
          <w:rFonts w:hint="eastAsia" w:ascii="宋体" w:hAnsi="宋体" w:cs="宋体"/>
          <w:color w:val="000000" w:themeColor="text1"/>
          <w:sz w:val="24"/>
          <w:szCs w:val="24"/>
          <w:highlight w:val="none"/>
        </w:rPr>
        <w:t>.00元</w:t>
      </w:r>
    </w:p>
    <w:p w14:paraId="7440FA9F">
      <w:pPr>
        <w:wordWrap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最高限价：</w:t>
      </w:r>
      <w:r>
        <w:rPr>
          <w:rFonts w:hint="eastAsia" w:ascii="宋体" w:hAnsi="宋体" w:cs="宋体"/>
          <w:color w:val="000000" w:themeColor="text1"/>
          <w:sz w:val="24"/>
          <w:szCs w:val="24"/>
          <w:highlight w:val="none"/>
          <w:lang w:val="en-US" w:eastAsia="zh-CN"/>
        </w:rPr>
        <w:t>341</w:t>
      </w:r>
      <w:r>
        <w:rPr>
          <w:rFonts w:hint="eastAsia" w:ascii="宋体" w:hAnsi="宋体" w:cs="宋体"/>
          <w:color w:val="000000" w:themeColor="text1"/>
          <w:sz w:val="24"/>
          <w:szCs w:val="24"/>
          <w:highlight w:val="none"/>
        </w:rPr>
        <w:t>000.00元</w:t>
      </w:r>
    </w:p>
    <w:p w14:paraId="3565B3B1">
      <w:pPr>
        <w:wordWrap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简要规格描述：见磋商文件第二章</w:t>
      </w:r>
    </w:p>
    <w:p w14:paraId="39B3107B">
      <w:pPr>
        <w:wordWrap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备注：西山区块</w:t>
      </w:r>
    </w:p>
    <w:p w14:paraId="329B8454">
      <w:pPr>
        <w:wordWrap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合同履行期限：见磋商文件第二章</w:t>
      </w:r>
    </w:p>
    <w:p w14:paraId="7CD357F2">
      <w:pP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联合体投标：不接受</w:t>
      </w:r>
    </w:p>
    <w:p w14:paraId="2C8299BC">
      <w:pPr>
        <w:wordWrap w:val="0"/>
        <w:spacing w:line="440" w:lineRule="exact"/>
        <w:ind w:firstLine="482" w:firstLineChars="200"/>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标项二</w:t>
      </w:r>
    </w:p>
    <w:p w14:paraId="6F145FCC">
      <w:pP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数量</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rPr>
        <w:t>0</w:t>
      </w:r>
    </w:p>
    <w:p w14:paraId="759DC461">
      <w:pP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w:t>
      </w:r>
      <w:r>
        <w:rPr>
          <w:rFonts w:ascii="宋体" w:hAnsi="宋体" w:cs="宋体"/>
          <w:color w:val="auto"/>
          <w:sz w:val="24"/>
          <w:szCs w:val="24"/>
          <w:highlight w:val="none"/>
        </w:rPr>
        <w:t>：</w:t>
      </w:r>
      <w:r>
        <w:rPr>
          <w:rFonts w:hint="eastAsia" w:ascii="宋体" w:hAnsi="宋体" w:cs="宋体"/>
          <w:color w:val="auto"/>
          <w:sz w:val="24"/>
          <w:szCs w:val="24"/>
          <w:highlight w:val="none"/>
        </w:rPr>
        <w:t>吨</w:t>
      </w:r>
    </w:p>
    <w:p w14:paraId="3FAA3DCF">
      <w:pP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预算金额：</w:t>
      </w:r>
      <w:r>
        <w:rPr>
          <w:rFonts w:hint="eastAsia" w:ascii="宋体" w:hAnsi="宋体" w:cs="宋体"/>
          <w:color w:val="auto"/>
          <w:sz w:val="24"/>
          <w:szCs w:val="24"/>
          <w:highlight w:val="none"/>
          <w:lang w:val="en-US" w:eastAsia="zh-CN"/>
        </w:rPr>
        <w:t>334000</w:t>
      </w:r>
      <w:r>
        <w:rPr>
          <w:rFonts w:hint="eastAsia" w:ascii="宋体" w:hAnsi="宋体" w:cs="宋体"/>
          <w:color w:val="auto"/>
          <w:sz w:val="24"/>
          <w:szCs w:val="24"/>
          <w:highlight w:val="none"/>
        </w:rPr>
        <w:t>.00元</w:t>
      </w:r>
    </w:p>
    <w:p w14:paraId="0D145D3F">
      <w:pP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val="en-US" w:eastAsia="zh-CN"/>
        </w:rPr>
        <w:t>33400</w:t>
      </w:r>
      <w:r>
        <w:rPr>
          <w:rFonts w:hint="eastAsia" w:ascii="宋体" w:hAnsi="宋体" w:cs="宋体"/>
          <w:color w:val="auto"/>
          <w:sz w:val="24"/>
          <w:szCs w:val="24"/>
          <w:highlight w:val="none"/>
        </w:rPr>
        <w:t>0.00元</w:t>
      </w:r>
    </w:p>
    <w:p w14:paraId="444E6D39">
      <w:pP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简要规格描述：</w:t>
      </w:r>
      <w:r>
        <w:rPr>
          <w:rFonts w:hint="eastAsia" w:ascii="宋体" w:hAnsi="宋体" w:cs="宋体"/>
          <w:color w:val="000000" w:themeColor="text1"/>
          <w:sz w:val="24"/>
          <w:szCs w:val="24"/>
          <w:highlight w:val="none"/>
        </w:rPr>
        <w:t>见磋商文件第二章</w:t>
      </w:r>
    </w:p>
    <w:p w14:paraId="7868DEDD">
      <w:pPr>
        <w:wordWrap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备注：</w:t>
      </w:r>
      <w:r>
        <w:rPr>
          <w:rFonts w:hint="eastAsia" w:ascii="宋体" w:hAnsi="宋体" w:cs="宋体"/>
          <w:color w:val="auto"/>
          <w:sz w:val="24"/>
          <w:szCs w:val="24"/>
          <w:highlight w:val="none"/>
          <w:lang w:eastAsia="zh-CN"/>
        </w:rPr>
        <w:t>牛角圩、百步村区块</w:t>
      </w:r>
    </w:p>
    <w:p w14:paraId="3F5752A6">
      <w:pP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合同履行期限：</w:t>
      </w:r>
      <w:r>
        <w:rPr>
          <w:rFonts w:hint="eastAsia" w:ascii="宋体" w:hAnsi="宋体" w:cs="宋体"/>
          <w:color w:val="000000" w:themeColor="text1"/>
          <w:sz w:val="24"/>
          <w:szCs w:val="24"/>
          <w:highlight w:val="none"/>
        </w:rPr>
        <w:t>见磋商文件第二章</w:t>
      </w:r>
    </w:p>
    <w:p w14:paraId="0803A4D3">
      <w:pPr>
        <w:wordWrap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联合体投标：不接受</w:t>
      </w:r>
    </w:p>
    <w:p w14:paraId="7F8507BB">
      <w:pPr>
        <w:wordWrap w:val="0"/>
        <w:spacing w:line="440" w:lineRule="exact"/>
        <w:ind w:firstLine="482" w:firstLineChars="200"/>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标项三</w:t>
      </w:r>
    </w:p>
    <w:p w14:paraId="5AA5D584">
      <w:pPr>
        <w:wordWrap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数量</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796</w:t>
      </w:r>
    </w:p>
    <w:p w14:paraId="13A97933">
      <w:pP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w:t>
      </w:r>
      <w:r>
        <w:rPr>
          <w:rFonts w:ascii="宋体" w:hAnsi="宋体" w:cs="宋体"/>
          <w:color w:val="auto"/>
          <w:sz w:val="24"/>
          <w:szCs w:val="24"/>
          <w:highlight w:val="none"/>
        </w:rPr>
        <w:t>：</w:t>
      </w:r>
      <w:r>
        <w:rPr>
          <w:rFonts w:hint="eastAsia" w:ascii="宋体" w:hAnsi="宋体" w:cs="宋体"/>
          <w:color w:val="auto"/>
          <w:sz w:val="24"/>
          <w:szCs w:val="24"/>
          <w:highlight w:val="none"/>
        </w:rPr>
        <w:t>吨</w:t>
      </w:r>
    </w:p>
    <w:p w14:paraId="5B6F5FBC">
      <w:pP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预算金额：</w:t>
      </w:r>
      <w:r>
        <w:rPr>
          <w:rFonts w:hint="eastAsia" w:ascii="宋体" w:hAnsi="宋体" w:cs="宋体"/>
          <w:color w:val="auto"/>
          <w:sz w:val="24"/>
          <w:szCs w:val="24"/>
          <w:highlight w:val="none"/>
          <w:lang w:val="en-US" w:eastAsia="zh-CN"/>
        </w:rPr>
        <w:t>915000</w:t>
      </w:r>
      <w:r>
        <w:rPr>
          <w:rFonts w:hint="eastAsia" w:ascii="宋体" w:hAnsi="宋体" w:cs="宋体"/>
          <w:color w:val="auto"/>
          <w:sz w:val="24"/>
          <w:szCs w:val="24"/>
          <w:highlight w:val="none"/>
        </w:rPr>
        <w:t>.00元</w:t>
      </w:r>
    </w:p>
    <w:p w14:paraId="636DF49E">
      <w:pP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val="en-US" w:eastAsia="zh-CN"/>
        </w:rPr>
        <w:t>915000</w:t>
      </w:r>
      <w:r>
        <w:rPr>
          <w:rFonts w:hint="eastAsia" w:ascii="宋体" w:hAnsi="宋体" w:cs="宋体"/>
          <w:color w:val="auto"/>
          <w:sz w:val="24"/>
          <w:szCs w:val="24"/>
          <w:highlight w:val="none"/>
        </w:rPr>
        <w:t>.00元</w:t>
      </w:r>
    </w:p>
    <w:p w14:paraId="19661609">
      <w:pP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简要规格描述：</w:t>
      </w:r>
      <w:r>
        <w:rPr>
          <w:rFonts w:hint="eastAsia" w:ascii="宋体" w:hAnsi="宋体" w:cs="宋体"/>
          <w:color w:val="000000" w:themeColor="text1"/>
          <w:sz w:val="24"/>
          <w:szCs w:val="24"/>
          <w:highlight w:val="none"/>
        </w:rPr>
        <w:t>见磋商文件第二章</w:t>
      </w:r>
    </w:p>
    <w:p w14:paraId="53BAFBA3">
      <w:pPr>
        <w:wordWrap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备注：</w:t>
      </w:r>
      <w:r>
        <w:rPr>
          <w:rFonts w:hint="eastAsia" w:ascii="宋体" w:hAnsi="宋体" w:cs="宋体"/>
          <w:color w:val="auto"/>
          <w:sz w:val="24"/>
          <w:szCs w:val="24"/>
          <w:highlight w:val="none"/>
          <w:lang w:val="en-US" w:eastAsia="zh-CN"/>
        </w:rPr>
        <w:t>横樟、五部、黄南、洋坑埠头、燕田、山徐村区块</w:t>
      </w:r>
    </w:p>
    <w:p w14:paraId="6F5B5469">
      <w:pP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合同履行期限：</w:t>
      </w:r>
      <w:r>
        <w:rPr>
          <w:rFonts w:hint="eastAsia" w:ascii="宋体" w:hAnsi="宋体" w:cs="宋体"/>
          <w:color w:val="000000" w:themeColor="text1"/>
          <w:sz w:val="24"/>
          <w:szCs w:val="24"/>
          <w:highlight w:val="none"/>
        </w:rPr>
        <w:t>见磋商文件第二章</w:t>
      </w:r>
    </w:p>
    <w:p w14:paraId="759E0E84">
      <w:pPr>
        <w:wordWrap w:val="0"/>
        <w:spacing w:line="440" w:lineRule="exact"/>
        <w:ind w:firstLine="480" w:firstLineChars="200"/>
        <w:rPr>
          <w:color w:val="auto"/>
          <w:highlight w:val="none"/>
        </w:rPr>
      </w:pPr>
      <w:r>
        <w:rPr>
          <w:rFonts w:hint="eastAsia" w:ascii="宋体" w:hAnsi="宋体" w:cs="宋体"/>
          <w:color w:val="auto"/>
          <w:sz w:val="24"/>
          <w:szCs w:val="24"/>
          <w:highlight w:val="none"/>
        </w:rPr>
        <w:t>联合体投标：不接受</w:t>
      </w:r>
    </w:p>
    <w:p w14:paraId="6637F17B">
      <w:pPr>
        <w:wordWrap w:val="0"/>
        <w:spacing w:line="440" w:lineRule="exact"/>
        <w:ind w:firstLine="482" w:firstLineChars="200"/>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标项四</w:t>
      </w:r>
    </w:p>
    <w:p w14:paraId="539EC018">
      <w:pPr>
        <w:wordWrap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数量</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143</w:t>
      </w:r>
    </w:p>
    <w:p w14:paraId="02EC1599">
      <w:pP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w:t>
      </w:r>
      <w:r>
        <w:rPr>
          <w:rFonts w:ascii="宋体" w:hAnsi="宋体" w:cs="宋体"/>
          <w:color w:val="auto"/>
          <w:sz w:val="24"/>
          <w:szCs w:val="24"/>
          <w:highlight w:val="none"/>
        </w:rPr>
        <w:t>：</w:t>
      </w:r>
      <w:r>
        <w:rPr>
          <w:rFonts w:hint="eastAsia" w:ascii="宋体" w:hAnsi="宋体" w:cs="宋体"/>
          <w:color w:val="auto"/>
          <w:sz w:val="24"/>
          <w:szCs w:val="24"/>
          <w:highlight w:val="none"/>
        </w:rPr>
        <w:t>吨</w:t>
      </w:r>
    </w:p>
    <w:p w14:paraId="1085B09E">
      <w:pP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预算金额：</w:t>
      </w:r>
      <w:r>
        <w:rPr>
          <w:rFonts w:hint="eastAsia" w:ascii="宋体" w:hAnsi="宋体" w:cs="宋体"/>
          <w:color w:val="auto"/>
          <w:sz w:val="24"/>
          <w:szCs w:val="24"/>
          <w:highlight w:val="none"/>
          <w:lang w:val="en-US" w:eastAsia="zh-CN"/>
        </w:rPr>
        <w:t>165000</w:t>
      </w:r>
      <w:r>
        <w:rPr>
          <w:rFonts w:hint="eastAsia" w:ascii="宋体" w:hAnsi="宋体" w:cs="宋体"/>
          <w:color w:val="auto"/>
          <w:sz w:val="24"/>
          <w:szCs w:val="24"/>
          <w:highlight w:val="none"/>
        </w:rPr>
        <w:t>.00元</w:t>
      </w:r>
    </w:p>
    <w:p w14:paraId="66B0BB50">
      <w:pP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val="en-US" w:eastAsia="zh-CN"/>
        </w:rPr>
        <w:t>165000</w:t>
      </w:r>
      <w:r>
        <w:rPr>
          <w:rFonts w:hint="eastAsia" w:ascii="宋体" w:hAnsi="宋体" w:cs="宋体"/>
          <w:color w:val="auto"/>
          <w:sz w:val="24"/>
          <w:szCs w:val="24"/>
          <w:highlight w:val="none"/>
        </w:rPr>
        <w:t>.00元</w:t>
      </w:r>
    </w:p>
    <w:p w14:paraId="71615123">
      <w:pP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简要规格描述：</w:t>
      </w:r>
      <w:r>
        <w:rPr>
          <w:rFonts w:hint="eastAsia" w:ascii="宋体" w:hAnsi="宋体" w:cs="宋体"/>
          <w:color w:val="000000" w:themeColor="text1"/>
          <w:sz w:val="24"/>
          <w:szCs w:val="24"/>
          <w:highlight w:val="none"/>
        </w:rPr>
        <w:t>见磋商文件第二章</w:t>
      </w:r>
    </w:p>
    <w:p w14:paraId="3F841209">
      <w:pPr>
        <w:wordWrap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备注：二滩坝村区块</w:t>
      </w:r>
    </w:p>
    <w:p w14:paraId="6C773B5C">
      <w:pP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合同履行期限：</w:t>
      </w:r>
      <w:r>
        <w:rPr>
          <w:rFonts w:hint="eastAsia" w:ascii="宋体" w:hAnsi="宋体" w:cs="宋体"/>
          <w:color w:val="000000" w:themeColor="text1"/>
          <w:sz w:val="24"/>
          <w:szCs w:val="24"/>
          <w:highlight w:val="none"/>
        </w:rPr>
        <w:t>见磋商文件第二章</w:t>
      </w:r>
    </w:p>
    <w:p w14:paraId="053D7D4F">
      <w:pPr>
        <w:wordWrap w:val="0"/>
        <w:spacing w:line="440" w:lineRule="exact"/>
        <w:ind w:firstLine="480" w:firstLineChars="200"/>
        <w:rPr>
          <w:color w:val="auto"/>
          <w:highlight w:val="none"/>
        </w:rPr>
      </w:pPr>
      <w:r>
        <w:rPr>
          <w:rFonts w:hint="eastAsia" w:ascii="宋体" w:hAnsi="宋体" w:cs="宋体"/>
          <w:color w:val="auto"/>
          <w:sz w:val="24"/>
          <w:szCs w:val="24"/>
          <w:highlight w:val="none"/>
        </w:rPr>
        <w:t>联合体投标：不接受</w:t>
      </w:r>
    </w:p>
    <w:p w14:paraId="6480672C">
      <w:pPr>
        <w:wordWrap w:val="0"/>
        <w:spacing w:line="440" w:lineRule="exact"/>
        <w:ind w:firstLine="482" w:firstLineChars="200"/>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标项五</w:t>
      </w:r>
    </w:p>
    <w:p w14:paraId="5162DFB6">
      <w:pPr>
        <w:wordWrap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数量</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717</w:t>
      </w:r>
    </w:p>
    <w:p w14:paraId="7B2D9F02">
      <w:pP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w:t>
      </w:r>
      <w:r>
        <w:rPr>
          <w:rFonts w:ascii="宋体" w:hAnsi="宋体" w:cs="宋体"/>
          <w:color w:val="auto"/>
          <w:sz w:val="24"/>
          <w:szCs w:val="24"/>
          <w:highlight w:val="none"/>
        </w:rPr>
        <w:t>：</w:t>
      </w:r>
      <w:r>
        <w:rPr>
          <w:rFonts w:hint="eastAsia" w:ascii="宋体" w:hAnsi="宋体" w:cs="宋体"/>
          <w:color w:val="auto"/>
          <w:sz w:val="24"/>
          <w:szCs w:val="24"/>
          <w:highlight w:val="none"/>
        </w:rPr>
        <w:t>吨</w:t>
      </w:r>
    </w:p>
    <w:p w14:paraId="5559B99B">
      <w:pP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预算金额：</w:t>
      </w:r>
      <w:r>
        <w:rPr>
          <w:rFonts w:hint="eastAsia" w:ascii="宋体" w:hAnsi="宋体" w:cs="宋体"/>
          <w:color w:val="auto"/>
          <w:sz w:val="24"/>
          <w:szCs w:val="24"/>
          <w:highlight w:val="none"/>
          <w:lang w:val="en-US" w:eastAsia="zh-CN"/>
        </w:rPr>
        <w:t>825000</w:t>
      </w:r>
      <w:r>
        <w:rPr>
          <w:rFonts w:hint="eastAsia" w:ascii="宋体" w:hAnsi="宋体" w:cs="宋体"/>
          <w:color w:val="auto"/>
          <w:sz w:val="24"/>
          <w:szCs w:val="24"/>
          <w:highlight w:val="none"/>
        </w:rPr>
        <w:t>.00元</w:t>
      </w:r>
    </w:p>
    <w:p w14:paraId="7E005516">
      <w:pP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val="en-US" w:eastAsia="zh-CN"/>
        </w:rPr>
        <w:t>82</w:t>
      </w:r>
      <w:r>
        <w:rPr>
          <w:rFonts w:hint="eastAsia" w:ascii="宋体" w:hAnsi="宋体" w:cs="宋体"/>
          <w:color w:val="auto"/>
          <w:sz w:val="24"/>
          <w:szCs w:val="24"/>
          <w:highlight w:val="none"/>
        </w:rPr>
        <w:t>5000.00元</w:t>
      </w:r>
    </w:p>
    <w:p w14:paraId="160C0BB5">
      <w:pP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简要规格描述：</w:t>
      </w:r>
      <w:r>
        <w:rPr>
          <w:rFonts w:hint="eastAsia" w:ascii="宋体" w:hAnsi="宋体" w:cs="宋体"/>
          <w:color w:val="000000" w:themeColor="text1"/>
          <w:sz w:val="24"/>
          <w:szCs w:val="24"/>
          <w:highlight w:val="none"/>
        </w:rPr>
        <w:t>见磋商文件第二章</w:t>
      </w:r>
    </w:p>
    <w:p w14:paraId="67F2CD9A">
      <w:pP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备注：大东坝、灯塔、后宅、山头、蔡宅、下宅街、茶排村区块</w:t>
      </w:r>
    </w:p>
    <w:p w14:paraId="007D2190">
      <w:pP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合同履行期限：</w:t>
      </w:r>
      <w:r>
        <w:rPr>
          <w:rFonts w:hint="eastAsia" w:ascii="宋体" w:hAnsi="宋体" w:cs="宋体"/>
          <w:color w:val="000000" w:themeColor="text1"/>
          <w:sz w:val="24"/>
          <w:szCs w:val="24"/>
          <w:highlight w:val="none"/>
        </w:rPr>
        <w:t>见磋商文件第二章</w:t>
      </w:r>
    </w:p>
    <w:p w14:paraId="272784CD">
      <w:pPr>
        <w:wordWrap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联合体投标：不接受</w:t>
      </w:r>
    </w:p>
    <w:p w14:paraId="7CE53040">
      <w:pPr>
        <w:wordWrap w:val="0"/>
        <w:spacing w:line="420" w:lineRule="exact"/>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二、申请人的资格要求：</w:t>
      </w:r>
      <w:bookmarkEnd w:id="19"/>
    </w:p>
    <w:p w14:paraId="23B43139">
      <w:pPr>
        <w:wordWrap w:val="0"/>
        <w:spacing w:line="440" w:lineRule="exact"/>
        <w:ind w:firstLine="480" w:firstLineChars="200"/>
        <w:rPr>
          <w:rFonts w:ascii="宋体" w:hAnsi="宋体" w:cs="宋体"/>
          <w:color w:val="000000" w:themeColor="text1"/>
          <w:sz w:val="24"/>
          <w:szCs w:val="24"/>
          <w:highlight w:val="none"/>
        </w:rPr>
      </w:pPr>
      <w:bookmarkStart w:id="20" w:name="_Toc35393800"/>
      <w:bookmarkEnd w:id="20"/>
      <w:bookmarkStart w:id="21" w:name="_Toc28359091"/>
      <w:bookmarkEnd w:id="21"/>
      <w:bookmarkStart w:id="22" w:name="_Toc28359014"/>
      <w:bookmarkEnd w:id="22"/>
      <w:bookmarkStart w:id="23" w:name="_Toc35393631"/>
      <w:r>
        <w:rPr>
          <w:rFonts w:hint="eastAsia" w:ascii="宋体" w:hAnsi="宋体" w:cs="宋体"/>
          <w:color w:val="000000" w:themeColor="text1"/>
          <w:sz w:val="24"/>
          <w:szCs w:val="24"/>
          <w:highlight w:val="none"/>
        </w:rPr>
        <w:t>1. 满足《中华人民共和国政府采购法》第二十二条规定；未被“信用中国”网站（</w:t>
      </w:r>
      <w:bookmarkEnd w:id="23"/>
      <w:r>
        <w:rPr>
          <w:rFonts w:hint="eastAsia" w:ascii="宋体" w:hAnsi="宋体" w:cs="宋体"/>
          <w:b/>
          <w:color w:val="000000" w:themeColor="text1"/>
          <w:sz w:val="24"/>
          <w:szCs w:val="24"/>
          <w:highlight w:val="none"/>
          <w:u w:val="single"/>
        </w:rPr>
        <w:t>www.creditchina.gov.cn</w:t>
      </w:r>
      <w:r>
        <w:rPr>
          <w:rFonts w:hint="eastAsia" w:ascii="宋体" w:hAnsi="宋体" w:cs="宋体"/>
          <w:color w:val="000000" w:themeColor="text1"/>
          <w:sz w:val="24"/>
          <w:szCs w:val="24"/>
          <w:highlight w:val="none"/>
        </w:rPr>
        <w:t>）、中国政府采购网（</w:t>
      </w:r>
      <w:r>
        <w:rPr>
          <w:rFonts w:hint="eastAsia" w:ascii="宋体" w:hAnsi="宋体" w:cs="宋体"/>
          <w:b/>
          <w:color w:val="000000" w:themeColor="text1"/>
          <w:sz w:val="24"/>
          <w:szCs w:val="24"/>
          <w:highlight w:val="none"/>
          <w:u w:val="single"/>
        </w:rPr>
        <w:t>www.ccgp.gov.cn</w:t>
      </w:r>
      <w:r>
        <w:rPr>
          <w:rFonts w:hint="eastAsia" w:ascii="宋体" w:hAnsi="宋体" w:cs="宋体"/>
          <w:color w:val="000000" w:themeColor="text1"/>
          <w:sz w:val="24"/>
          <w:szCs w:val="24"/>
          <w:highlight w:val="none"/>
        </w:rPr>
        <w:t>）列入失信被执行人、重大税收违法当事人名单、政府采购严重违法失信行为记录名单；</w:t>
      </w:r>
    </w:p>
    <w:p w14:paraId="680BBFB6">
      <w:pPr>
        <w:wordWrap w:val="0"/>
        <w:spacing w:line="440" w:lineRule="exact"/>
        <w:ind w:firstLine="480" w:firstLineChars="200"/>
        <w:rPr>
          <w:rFonts w:ascii="宋体" w:hAnsi="宋体" w:cs="宋体"/>
          <w:color w:val="000000" w:themeColor="text1"/>
          <w:sz w:val="24"/>
          <w:szCs w:val="24"/>
          <w:highlight w:val="none"/>
          <w:u w:val="single"/>
        </w:rPr>
      </w:pPr>
      <w:r>
        <w:rPr>
          <w:rFonts w:hint="eastAsia" w:ascii="宋体" w:hAnsi="宋体" w:cs="宋体"/>
          <w:color w:val="000000" w:themeColor="text1"/>
          <w:sz w:val="24"/>
          <w:szCs w:val="24"/>
          <w:highlight w:val="none"/>
        </w:rPr>
        <w:t>2. 落实政府采购政策需满足的资格要求：</w:t>
      </w:r>
      <w:r>
        <w:rPr>
          <w:rFonts w:ascii="宋体" w:hAnsi="宋体" w:cs="宋体"/>
          <w:color w:val="000000" w:themeColor="text1"/>
          <w:sz w:val="24"/>
          <w:szCs w:val="24"/>
          <w:highlight w:val="none"/>
          <w:u w:val="single"/>
        </w:rPr>
        <w:t>供应商为中小企业/小微企业</w:t>
      </w:r>
    </w:p>
    <w:p w14:paraId="77625A58">
      <w:pPr>
        <w:wordWrap w:val="0"/>
        <w:spacing w:line="42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 本项目的特定资格要求：</w:t>
      </w:r>
      <w:bookmarkStart w:id="24" w:name="_Toc35393801"/>
      <w:bookmarkEnd w:id="24"/>
      <w:bookmarkStart w:id="25" w:name="_Toc28359092"/>
      <w:bookmarkEnd w:id="25"/>
      <w:bookmarkStart w:id="26" w:name="_Toc35393632"/>
      <w:bookmarkEnd w:id="26"/>
      <w:bookmarkStart w:id="27" w:name="_Toc28359015"/>
      <w:bookmarkEnd w:id="27"/>
      <w:r>
        <w:rPr>
          <w:rFonts w:ascii="宋体" w:hAnsi="宋体" w:cs="宋体"/>
          <w:color w:val="000000" w:themeColor="text1"/>
          <w:sz w:val="24"/>
          <w:szCs w:val="24"/>
          <w:highlight w:val="none"/>
        </w:rPr>
        <w:t xml:space="preserve"> 无</w:t>
      </w:r>
    </w:p>
    <w:p w14:paraId="6BC33BD3">
      <w:pPr>
        <w:wordWrap w:val="0"/>
        <w:spacing w:line="420" w:lineRule="exact"/>
        <w:ind w:firstLine="482" w:firstLineChars="200"/>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三、获取（下载）采购文件</w:t>
      </w:r>
    </w:p>
    <w:p w14:paraId="539D6464">
      <w:pPr>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 时间：发布公告之日至</w:t>
      </w:r>
      <w:r>
        <w:rPr>
          <w:rFonts w:hint="eastAsia" w:ascii="宋体" w:hAnsi="宋体" w:cs="宋体"/>
          <w:bCs/>
          <w:color w:val="000000" w:themeColor="text1"/>
          <w:sz w:val="24"/>
          <w:szCs w:val="24"/>
          <w:highlight w:val="none"/>
          <w:u w:val="single"/>
          <w:lang w:eastAsia="zh-CN"/>
        </w:rPr>
        <w:t>2024</w:t>
      </w:r>
      <w:r>
        <w:rPr>
          <w:rFonts w:hint="eastAsia" w:ascii="宋体" w:hAnsi="宋体" w:cs="宋体"/>
          <w:bCs/>
          <w:color w:val="000000" w:themeColor="text1"/>
          <w:sz w:val="24"/>
          <w:szCs w:val="24"/>
          <w:highlight w:val="none"/>
        </w:rPr>
        <w:t>年</w:t>
      </w:r>
      <w:r>
        <w:rPr>
          <w:rFonts w:hint="eastAsia" w:ascii="宋体" w:hAnsi="宋体" w:cs="宋体"/>
          <w:bCs/>
          <w:color w:val="000000" w:themeColor="text1"/>
          <w:sz w:val="24"/>
          <w:szCs w:val="24"/>
          <w:highlight w:val="none"/>
          <w:u w:val="single"/>
          <w:lang w:val="en-US" w:eastAsia="zh-CN"/>
        </w:rPr>
        <w:t>9</w:t>
      </w:r>
      <w:r>
        <w:rPr>
          <w:rFonts w:hint="eastAsia" w:ascii="宋体" w:hAnsi="宋体" w:cs="宋体"/>
          <w:bCs/>
          <w:color w:val="000000" w:themeColor="text1"/>
          <w:sz w:val="24"/>
          <w:szCs w:val="24"/>
          <w:highlight w:val="none"/>
        </w:rPr>
        <w:t>月</w:t>
      </w:r>
      <w:r>
        <w:rPr>
          <w:rFonts w:hint="eastAsia" w:ascii="宋体" w:hAnsi="宋体" w:cs="宋体"/>
          <w:bCs/>
          <w:color w:val="000000" w:themeColor="text1"/>
          <w:sz w:val="24"/>
          <w:szCs w:val="24"/>
          <w:highlight w:val="none"/>
          <w:u w:val="single"/>
          <w:lang w:val="en-US" w:eastAsia="zh-CN"/>
        </w:rPr>
        <w:t>30</w:t>
      </w:r>
      <w:r>
        <w:rPr>
          <w:rFonts w:hint="eastAsia" w:ascii="宋体" w:hAnsi="宋体" w:cs="宋体"/>
          <w:bCs/>
          <w:color w:val="000000" w:themeColor="text1"/>
          <w:sz w:val="24"/>
          <w:szCs w:val="24"/>
          <w:highlight w:val="none"/>
          <w:u w:val="single"/>
        </w:rPr>
        <w:t xml:space="preserve"> </w:t>
      </w:r>
      <w:r>
        <w:rPr>
          <w:rFonts w:hint="eastAsia" w:ascii="宋体" w:hAnsi="宋体" w:cs="宋体"/>
          <w:bCs/>
          <w:color w:val="000000" w:themeColor="text1"/>
          <w:sz w:val="24"/>
          <w:szCs w:val="24"/>
          <w:highlight w:val="none"/>
        </w:rPr>
        <w:t>日</w:t>
      </w:r>
      <w:r>
        <w:rPr>
          <w:rFonts w:hint="eastAsia" w:ascii="宋体" w:hAnsi="宋体" w:cs="宋体"/>
          <w:color w:val="000000" w:themeColor="text1"/>
          <w:sz w:val="24"/>
          <w:szCs w:val="24"/>
          <w:highlight w:val="none"/>
        </w:rPr>
        <w:t>，每天上午00:00至12:00，下午12:00至23:59（北京时间，线上获取法定节假日均可，线下获取文件法定节假日除外）</w:t>
      </w:r>
    </w:p>
    <w:p w14:paraId="15DE3FD7">
      <w:pPr>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 地点：浙江政府采购网</w:t>
      </w:r>
      <w:r>
        <w:rPr>
          <w:rFonts w:hint="eastAsia" w:ascii="宋体" w:hAnsi="宋体" w:cs="宋体"/>
          <w:color w:val="000000" w:themeColor="text1"/>
          <w:sz w:val="24"/>
          <w:szCs w:val="24"/>
          <w:highlight w:val="none"/>
          <w:u w:val="single"/>
        </w:rPr>
        <w:t>（</w:t>
      </w:r>
      <w:r>
        <w:rPr>
          <w:color w:val="000000" w:themeColor="text1"/>
          <w:highlight w:val="none"/>
        </w:rPr>
        <w:fldChar w:fldCharType="begin"/>
      </w:r>
      <w:r>
        <w:rPr>
          <w:color w:val="000000" w:themeColor="text1"/>
          <w:highlight w:val="none"/>
        </w:rPr>
        <w:instrText xml:space="preserve"> HYPERLINK "http://zfcg.czt.zj.gov.cn" </w:instrText>
      </w:r>
      <w:r>
        <w:rPr>
          <w:color w:val="000000" w:themeColor="text1"/>
          <w:highlight w:val="none"/>
        </w:rPr>
        <w:fldChar w:fldCharType="separate"/>
      </w:r>
      <w:r>
        <w:rPr>
          <w:rStyle w:val="52"/>
          <w:rFonts w:hint="eastAsia" w:ascii="宋体" w:hAnsi="宋体" w:cs="宋体"/>
          <w:color w:val="000000" w:themeColor="text1"/>
          <w:sz w:val="24"/>
          <w:szCs w:val="24"/>
          <w:highlight w:val="none"/>
        </w:rPr>
        <w:t>http://zfcg.czt.zj.gov.cn</w:t>
      </w:r>
      <w:r>
        <w:rPr>
          <w:rStyle w:val="52"/>
          <w:rFonts w:hint="eastAsia" w:ascii="宋体" w:hAnsi="宋体" w:cs="宋体"/>
          <w:color w:val="000000" w:themeColor="text1"/>
          <w:sz w:val="24"/>
          <w:szCs w:val="24"/>
          <w:highlight w:val="none"/>
        </w:rPr>
        <w:fldChar w:fldCharType="end"/>
      </w:r>
      <w:r>
        <w:rPr>
          <w:rFonts w:hint="eastAsia" w:ascii="宋体" w:hAnsi="宋体" w:cs="宋体"/>
          <w:color w:val="000000" w:themeColor="text1"/>
          <w:sz w:val="24"/>
          <w:szCs w:val="24"/>
          <w:highlight w:val="none"/>
          <w:u w:val="single"/>
        </w:rPr>
        <w:t>）</w:t>
      </w:r>
      <w:r>
        <w:rPr>
          <w:rFonts w:hint="eastAsia" w:ascii="宋体" w:hAnsi="宋体" w:cs="宋体"/>
          <w:color w:val="000000" w:themeColor="text1"/>
          <w:sz w:val="24"/>
          <w:szCs w:val="24"/>
          <w:highlight w:val="none"/>
        </w:rPr>
        <w:t>，丽水市公共资源交易网（松阳）（</w:t>
      </w:r>
      <w:r>
        <w:rPr>
          <w:rFonts w:hint="eastAsia" w:ascii="宋体" w:hAnsi="宋体" w:cs="宋体"/>
          <w:b/>
          <w:color w:val="000000" w:themeColor="text1"/>
          <w:sz w:val="24"/>
          <w:szCs w:val="24"/>
          <w:highlight w:val="none"/>
          <w:u w:val="single"/>
        </w:rPr>
        <w:t>http://lssggzy.lishui.gov.cn/syweb/</w:t>
      </w:r>
      <w:r>
        <w:rPr>
          <w:rFonts w:hint="eastAsia" w:ascii="宋体" w:hAnsi="宋体" w:cs="宋体"/>
          <w:color w:val="000000" w:themeColor="text1"/>
          <w:sz w:val="24"/>
          <w:szCs w:val="24"/>
          <w:highlight w:val="none"/>
        </w:rPr>
        <w:t>）公告附件。</w:t>
      </w:r>
    </w:p>
    <w:p w14:paraId="02A5B4F2">
      <w:pPr>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 方式：自行下载获取</w:t>
      </w:r>
    </w:p>
    <w:p w14:paraId="6A53C54E">
      <w:pPr>
        <w:wordWrap w:val="0"/>
        <w:snapToGrid w:val="0"/>
        <w:spacing w:line="440" w:lineRule="exact"/>
        <w:ind w:firstLine="51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⑴浙江政府采购网注册正式供应商-用户入驻/登录</w:t>
      </w:r>
      <w:r>
        <w:rPr>
          <w:rFonts w:hint="eastAsia" w:ascii="宋体" w:hAnsi="宋体" w:cs="宋体"/>
          <w:bCs/>
          <w:color w:val="000000" w:themeColor="text1"/>
          <w:sz w:val="24"/>
          <w:szCs w:val="24"/>
          <w:highlight w:val="none"/>
        </w:rPr>
        <w:t>—</w:t>
      </w:r>
      <w:r>
        <w:rPr>
          <w:rFonts w:hint="eastAsia" w:ascii="宋体" w:hAnsi="宋体" w:cs="宋体"/>
          <w:color w:val="000000" w:themeColor="text1"/>
          <w:sz w:val="24"/>
          <w:szCs w:val="24"/>
          <w:highlight w:val="none"/>
        </w:rPr>
        <w:t>用户登录-项目采购-获取采购文件管理；</w:t>
      </w:r>
    </w:p>
    <w:p w14:paraId="21BEDA39">
      <w:pPr>
        <w:wordWrap w:val="0"/>
        <w:snapToGrid w:val="0"/>
        <w:spacing w:line="440" w:lineRule="exact"/>
        <w:ind w:firstLine="51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⑵未在浙江省政府采购网</w:t>
      </w:r>
      <w:r>
        <w:rPr>
          <w:rFonts w:hint="eastAsia" w:ascii="宋体" w:hAnsi="宋体" w:cs="宋体"/>
          <w:color w:val="000000" w:themeColor="text1"/>
          <w:sz w:val="24"/>
          <w:szCs w:val="24"/>
          <w:highlight w:val="none"/>
          <w:u w:val="single"/>
        </w:rPr>
        <w:t>（</w:t>
      </w:r>
      <w:r>
        <w:rPr>
          <w:color w:val="000000" w:themeColor="text1"/>
          <w:highlight w:val="none"/>
        </w:rPr>
        <w:fldChar w:fldCharType="begin"/>
      </w:r>
      <w:r>
        <w:rPr>
          <w:color w:val="000000" w:themeColor="text1"/>
          <w:highlight w:val="none"/>
        </w:rPr>
        <w:instrText xml:space="preserve"> HYPERLINK "http://zfcg.czt.zj.gov.cn" </w:instrText>
      </w:r>
      <w:r>
        <w:rPr>
          <w:color w:val="000000" w:themeColor="text1"/>
          <w:highlight w:val="none"/>
        </w:rPr>
        <w:fldChar w:fldCharType="separate"/>
      </w:r>
      <w:r>
        <w:rPr>
          <w:rStyle w:val="52"/>
          <w:rFonts w:hint="eastAsia" w:ascii="宋体" w:hAnsi="宋体" w:cs="宋体"/>
          <w:color w:val="000000" w:themeColor="text1"/>
          <w:sz w:val="24"/>
          <w:szCs w:val="24"/>
          <w:highlight w:val="none"/>
        </w:rPr>
        <w:t>http://zfcg.czt.zj.gov.cn</w:t>
      </w:r>
      <w:r>
        <w:rPr>
          <w:rStyle w:val="52"/>
          <w:rFonts w:hint="eastAsia" w:ascii="宋体" w:hAnsi="宋体" w:cs="宋体"/>
          <w:color w:val="000000" w:themeColor="text1"/>
          <w:sz w:val="24"/>
          <w:szCs w:val="24"/>
          <w:highlight w:val="none"/>
        </w:rPr>
        <w:fldChar w:fldCharType="end"/>
      </w:r>
      <w:r>
        <w:rPr>
          <w:rFonts w:hint="eastAsia" w:ascii="宋体" w:hAnsi="宋体" w:cs="宋体"/>
          <w:color w:val="000000" w:themeColor="text1"/>
          <w:sz w:val="24"/>
          <w:szCs w:val="24"/>
          <w:highlight w:val="none"/>
          <w:u w:val="single"/>
        </w:rPr>
        <w:t>）</w:t>
      </w:r>
      <w:r>
        <w:rPr>
          <w:rFonts w:hint="eastAsia" w:ascii="宋体" w:hAnsi="宋体" w:cs="宋体"/>
          <w:color w:val="000000" w:themeColor="text1"/>
          <w:sz w:val="24"/>
          <w:szCs w:val="24"/>
          <w:highlight w:val="none"/>
        </w:rPr>
        <w:t>注册成为正式供应商的，请注册完成审核成功后方可登录获取，注册流程见网址：</w:t>
      </w:r>
      <w:r>
        <w:rPr>
          <w:rFonts w:hint="eastAsia" w:ascii="宋体" w:hAnsi="宋体" w:cs="宋体"/>
          <w:color w:val="000000" w:themeColor="text1"/>
          <w:sz w:val="24"/>
          <w:szCs w:val="24"/>
          <w:highlight w:val="none"/>
          <w:u w:val="single"/>
        </w:rPr>
        <w:t>http://</w:t>
      </w:r>
      <w:r>
        <w:rPr>
          <w:color w:val="000000" w:themeColor="text1"/>
          <w:highlight w:val="none"/>
        </w:rPr>
        <w:fldChar w:fldCharType="begin"/>
      </w:r>
      <w:r>
        <w:rPr>
          <w:color w:val="000000" w:themeColor="text1"/>
          <w:highlight w:val="none"/>
        </w:rPr>
        <w:instrText xml:space="preserve"> HYPERLINK "http://zfcg.czt.zj.gov.cn/register/2017-07-24/6728.html?_=2020-03-09%2006:00:22" </w:instrText>
      </w:r>
      <w:r>
        <w:rPr>
          <w:color w:val="000000" w:themeColor="text1"/>
          <w:highlight w:val="none"/>
        </w:rPr>
        <w:fldChar w:fldCharType="separate"/>
      </w:r>
      <w:r>
        <w:rPr>
          <w:rStyle w:val="52"/>
          <w:rFonts w:hint="eastAsia" w:ascii="宋体" w:hAnsi="宋体" w:cs="宋体"/>
          <w:color w:val="000000" w:themeColor="text1"/>
          <w:sz w:val="24"/>
          <w:szCs w:val="24"/>
          <w:highlight w:val="none"/>
        </w:rPr>
        <w:t>zfcg.czt.zj.gov.cn/register/2017-07-24/6728.html?_=2020-03-09%2006:00:22</w:t>
      </w:r>
      <w:r>
        <w:rPr>
          <w:rStyle w:val="52"/>
          <w:rFonts w:hint="eastAsia" w:ascii="宋体" w:hAnsi="宋体" w:cs="宋体"/>
          <w:color w:val="000000" w:themeColor="text1"/>
          <w:sz w:val="24"/>
          <w:szCs w:val="24"/>
          <w:highlight w:val="none"/>
        </w:rPr>
        <w:fldChar w:fldCharType="end"/>
      </w:r>
      <w:r>
        <w:rPr>
          <w:rFonts w:hint="eastAsia" w:ascii="宋体" w:hAnsi="宋体" w:cs="宋体"/>
          <w:color w:val="000000" w:themeColor="text1"/>
          <w:sz w:val="24"/>
          <w:szCs w:val="24"/>
          <w:highlight w:val="none"/>
        </w:rPr>
        <w:t>，注册咨询电话：400-881-7190；</w:t>
      </w:r>
    </w:p>
    <w:p w14:paraId="5414B36A">
      <w:pPr>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⑶潜在供应商未按上述第⑴条方式获取采购文件的不得对采购文件提起质疑投诉。</w:t>
      </w:r>
    </w:p>
    <w:p w14:paraId="462DCA9E">
      <w:pPr>
        <w:wordWrap w:val="0"/>
        <w:spacing w:line="42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4.售价：0元。</w:t>
      </w:r>
    </w:p>
    <w:p w14:paraId="76BA44FD">
      <w:pPr>
        <w:spacing w:line="440" w:lineRule="exact"/>
        <w:jc w:val="left"/>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四、响应文件提交（上传）</w:t>
      </w:r>
    </w:p>
    <w:p w14:paraId="09FD6053">
      <w:pPr>
        <w:spacing w:line="440" w:lineRule="exact"/>
        <w:ind w:firstLine="480" w:firstLineChars="200"/>
        <w:rPr>
          <w:rFonts w:ascii="宋体" w:hAnsi="宋体" w:cs="宋体"/>
          <w:bCs/>
          <w:color w:val="000000" w:themeColor="text1"/>
          <w:sz w:val="24"/>
          <w:szCs w:val="24"/>
          <w:highlight w:val="none"/>
          <w:u w:val="single"/>
        </w:rPr>
      </w:pPr>
      <w:r>
        <w:rPr>
          <w:rFonts w:hint="eastAsia" w:ascii="宋体" w:hAnsi="宋体" w:cs="宋体"/>
          <w:bCs/>
          <w:color w:val="000000" w:themeColor="text1"/>
          <w:sz w:val="24"/>
          <w:szCs w:val="24"/>
          <w:highlight w:val="none"/>
        </w:rPr>
        <w:t>1</w:t>
      </w:r>
      <w:r>
        <w:rPr>
          <w:rFonts w:hint="eastAsia" w:ascii="宋体" w:hAnsi="宋体" w:cs="宋体"/>
          <w:color w:val="000000" w:themeColor="text1"/>
          <w:sz w:val="24"/>
          <w:szCs w:val="24"/>
          <w:highlight w:val="none"/>
        </w:rPr>
        <w:t xml:space="preserve">. </w:t>
      </w:r>
      <w:r>
        <w:rPr>
          <w:rFonts w:hint="eastAsia" w:ascii="宋体" w:hAnsi="宋体" w:cs="宋体"/>
          <w:bCs/>
          <w:color w:val="000000" w:themeColor="text1"/>
          <w:sz w:val="24"/>
          <w:szCs w:val="24"/>
          <w:highlight w:val="none"/>
        </w:rPr>
        <w:t>截止时间：</w:t>
      </w:r>
      <w:r>
        <w:rPr>
          <w:rFonts w:hint="eastAsia" w:ascii="宋体" w:hAnsi="宋体" w:cs="宋体"/>
          <w:bCs/>
          <w:color w:val="000000" w:themeColor="text1"/>
          <w:sz w:val="24"/>
          <w:szCs w:val="24"/>
          <w:highlight w:val="none"/>
          <w:u w:val="single"/>
          <w:lang w:eastAsia="zh-CN"/>
        </w:rPr>
        <w:t>2024</w:t>
      </w:r>
      <w:r>
        <w:rPr>
          <w:rFonts w:hint="eastAsia" w:ascii="宋体" w:hAnsi="宋体" w:cs="宋体"/>
          <w:bCs/>
          <w:color w:val="000000" w:themeColor="text1"/>
          <w:sz w:val="24"/>
          <w:szCs w:val="24"/>
          <w:highlight w:val="none"/>
        </w:rPr>
        <w:t>年</w:t>
      </w:r>
      <w:r>
        <w:rPr>
          <w:rFonts w:hint="eastAsia" w:ascii="宋体" w:hAnsi="宋体" w:cs="宋体"/>
          <w:bCs/>
          <w:color w:val="000000" w:themeColor="text1"/>
          <w:sz w:val="24"/>
          <w:szCs w:val="24"/>
          <w:highlight w:val="none"/>
          <w:u w:val="single"/>
          <w:lang w:val="en-US" w:eastAsia="zh-CN"/>
        </w:rPr>
        <w:t>9</w:t>
      </w:r>
      <w:r>
        <w:rPr>
          <w:rFonts w:hint="eastAsia" w:ascii="宋体" w:hAnsi="宋体" w:cs="宋体"/>
          <w:bCs/>
          <w:color w:val="000000" w:themeColor="text1"/>
          <w:sz w:val="24"/>
          <w:szCs w:val="24"/>
          <w:highlight w:val="none"/>
        </w:rPr>
        <w:t>月</w:t>
      </w:r>
      <w:r>
        <w:rPr>
          <w:rFonts w:hint="eastAsia" w:ascii="宋体" w:hAnsi="宋体" w:cs="宋体"/>
          <w:bCs/>
          <w:color w:val="000000" w:themeColor="text1"/>
          <w:sz w:val="24"/>
          <w:szCs w:val="24"/>
          <w:highlight w:val="none"/>
          <w:u w:val="single"/>
        </w:rPr>
        <w:t xml:space="preserve"> </w:t>
      </w:r>
      <w:r>
        <w:rPr>
          <w:rFonts w:hint="eastAsia" w:ascii="宋体" w:hAnsi="宋体" w:cs="宋体"/>
          <w:bCs/>
          <w:color w:val="000000" w:themeColor="text1"/>
          <w:sz w:val="24"/>
          <w:szCs w:val="24"/>
          <w:highlight w:val="none"/>
          <w:u w:val="single"/>
          <w:lang w:val="en-US" w:eastAsia="zh-CN"/>
        </w:rPr>
        <w:t>30</w:t>
      </w:r>
      <w:r>
        <w:rPr>
          <w:rFonts w:hint="eastAsia" w:ascii="宋体" w:hAnsi="宋体" w:cs="宋体"/>
          <w:bCs/>
          <w:color w:val="000000" w:themeColor="text1"/>
          <w:sz w:val="24"/>
          <w:szCs w:val="24"/>
          <w:highlight w:val="none"/>
          <w:u w:val="single"/>
        </w:rPr>
        <w:t xml:space="preserve"> </w:t>
      </w:r>
      <w:r>
        <w:rPr>
          <w:rFonts w:hint="eastAsia" w:ascii="宋体" w:hAnsi="宋体" w:cs="宋体"/>
          <w:bCs/>
          <w:color w:val="000000" w:themeColor="text1"/>
          <w:sz w:val="24"/>
          <w:szCs w:val="24"/>
          <w:highlight w:val="none"/>
        </w:rPr>
        <w:t>日</w:t>
      </w:r>
      <w:r>
        <w:rPr>
          <w:rFonts w:hint="eastAsia" w:ascii="宋体" w:hAnsi="宋体" w:cs="宋体"/>
          <w:bCs/>
          <w:color w:val="000000" w:themeColor="text1"/>
          <w:sz w:val="24"/>
          <w:szCs w:val="24"/>
          <w:highlight w:val="none"/>
          <w:u w:val="single"/>
          <w:lang w:val="en-US" w:eastAsia="zh-CN"/>
        </w:rPr>
        <w:t>16</w:t>
      </w:r>
      <w:r>
        <w:rPr>
          <w:rFonts w:hint="eastAsia" w:ascii="宋体" w:hAnsi="宋体" w:cs="宋体"/>
          <w:bCs/>
          <w:color w:val="000000" w:themeColor="text1"/>
          <w:sz w:val="24"/>
          <w:szCs w:val="24"/>
          <w:highlight w:val="none"/>
          <w:u w:val="single"/>
        </w:rPr>
        <w:t>:</w:t>
      </w:r>
      <w:r>
        <w:rPr>
          <w:rFonts w:hint="eastAsia" w:ascii="宋体" w:hAnsi="宋体" w:cs="宋体"/>
          <w:bCs/>
          <w:color w:val="000000" w:themeColor="text1"/>
          <w:sz w:val="24"/>
          <w:szCs w:val="24"/>
          <w:highlight w:val="none"/>
          <w:u w:val="single"/>
          <w:lang w:val="en-US" w:eastAsia="zh-CN"/>
        </w:rPr>
        <w:t>0</w:t>
      </w:r>
      <w:r>
        <w:rPr>
          <w:rFonts w:hint="eastAsia" w:ascii="宋体" w:hAnsi="宋体" w:cs="宋体"/>
          <w:bCs/>
          <w:color w:val="000000" w:themeColor="text1"/>
          <w:sz w:val="24"/>
          <w:szCs w:val="24"/>
          <w:highlight w:val="none"/>
          <w:u w:val="single"/>
        </w:rPr>
        <w:t>0</w:t>
      </w:r>
      <w:r>
        <w:rPr>
          <w:rFonts w:hint="eastAsia" w:ascii="宋体" w:hAnsi="宋体" w:cs="宋体"/>
          <w:bCs/>
          <w:color w:val="000000" w:themeColor="text1"/>
          <w:sz w:val="24"/>
          <w:szCs w:val="24"/>
          <w:highlight w:val="none"/>
        </w:rPr>
        <w:t>（北京时间）</w:t>
      </w:r>
    </w:p>
    <w:p w14:paraId="0BC4243A">
      <w:pPr>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 地点：</w:t>
      </w:r>
    </w:p>
    <w:p w14:paraId="71F01149">
      <w:pPr>
        <w:spacing w:line="440" w:lineRule="exact"/>
        <w:ind w:firstLine="480" w:firstLineChars="200"/>
        <w:rPr>
          <w:rFonts w:ascii="宋体" w:hAnsi="宋体" w:cs="宋体"/>
          <w:color w:val="000000" w:themeColor="text1"/>
          <w:sz w:val="24"/>
          <w:szCs w:val="24"/>
          <w:highlight w:val="none"/>
        </w:rPr>
      </w:pPr>
      <w:bookmarkStart w:id="28" w:name="_Toc35393802"/>
      <w:bookmarkEnd w:id="28"/>
      <w:bookmarkStart w:id="29" w:name="_Toc35393633"/>
      <w:bookmarkEnd w:id="29"/>
      <w:bookmarkStart w:id="30" w:name="_Toc28359093"/>
      <w:bookmarkEnd w:id="30"/>
      <w:bookmarkStart w:id="31" w:name="_Toc28359016"/>
      <w:r>
        <w:rPr>
          <w:rFonts w:hint="eastAsia" w:ascii="宋体" w:hAnsi="宋体" w:cs="宋体"/>
          <w:color w:val="000000" w:themeColor="text1"/>
          <w:sz w:val="24"/>
          <w:szCs w:val="24"/>
          <w:highlight w:val="none"/>
        </w:rPr>
        <w:fldChar w:fldCharType="begin"/>
      </w:r>
      <w:r>
        <w:rPr>
          <w:rFonts w:hint="eastAsia" w:ascii="宋体" w:hAnsi="宋体" w:cs="宋体"/>
          <w:color w:val="000000" w:themeColor="text1"/>
          <w:sz w:val="24"/>
          <w:szCs w:val="24"/>
          <w:highlight w:val="none"/>
        </w:rPr>
        <w:instrText xml:space="preserve"> = 1 \* GB2 </w:instrText>
      </w:r>
      <w:r>
        <w:rPr>
          <w:rFonts w:hint="eastAsia" w:ascii="宋体" w:hAnsi="宋体" w:cs="宋体"/>
          <w:color w:val="000000" w:themeColor="text1"/>
          <w:sz w:val="24"/>
          <w:szCs w:val="24"/>
          <w:highlight w:val="none"/>
        </w:rPr>
        <w:fldChar w:fldCharType="separate"/>
      </w:r>
      <w:r>
        <w:rPr>
          <w:rFonts w:hint="eastAsia" w:ascii="宋体" w:hAnsi="宋体" w:cs="宋体"/>
          <w:color w:val="000000" w:themeColor="text1"/>
          <w:sz w:val="24"/>
          <w:szCs w:val="24"/>
          <w:highlight w:val="none"/>
        </w:rPr>
        <w:t>⑴</w:t>
      </w:r>
      <w:r>
        <w:rPr>
          <w:rFonts w:hint="eastAsia" w:ascii="宋体" w:hAnsi="宋体" w:cs="宋体"/>
          <w:color w:val="000000" w:themeColor="text1"/>
          <w:sz w:val="24"/>
          <w:szCs w:val="24"/>
          <w:highlight w:val="none"/>
        </w:rPr>
        <w:fldChar w:fldCharType="end"/>
      </w:r>
      <w:r>
        <w:rPr>
          <w:rFonts w:hint="eastAsia" w:ascii="宋体" w:hAnsi="宋体" w:cs="宋体"/>
          <w:color w:val="000000" w:themeColor="text1"/>
          <w:sz w:val="24"/>
          <w:szCs w:val="24"/>
          <w:highlight w:val="none"/>
        </w:rPr>
        <w:t xml:space="preserve"> 电子加密磋商响应文件：在“政府采购云平台”上传提交，“电子加密磋商响应文件”成功上传提交后，供应商自行打印磋商响应文件接收回执。</w:t>
      </w:r>
    </w:p>
    <w:p w14:paraId="48439CE8">
      <w:pPr>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fldChar w:fldCharType="begin"/>
      </w:r>
      <w:r>
        <w:rPr>
          <w:rFonts w:hint="eastAsia" w:ascii="宋体" w:hAnsi="宋体" w:cs="宋体"/>
          <w:color w:val="000000" w:themeColor="text1"/>
          <w:sz w:val="24"/>
          <w:szCs w:val="24"/>
          <w:highlight w:val="none"/>
        </w:rPr>
        <w:instrText xml:space="preserve"> = 2 \* GB2 </w:instrText>
      </w:r>
      <w:r>
        <w:rPr>
          <w:rFonts w:hint="eastAsia" w:ascii="宋体" w:hAnsi="宋体" w:cs="宋体"/>
          <w:color w:val="000000" w:themeColor="text1"/>
          <w:sz w:val="24"/>
          <w:szCs w:val="24"/>
          <w:highlight w:val="none"/>
        </w:rPr>
        <w:fldChar w:fldCharType="separate"/>
      </w:r>
      <w:r>
        <w:rPr>
          <w:rFonts w:hint="eastAsia" w:ascii="宋体" w:hAnsi="宋体" w:cs="宋体"/>
          <w:color w:val="000000" w:themeColor="text1"/>
          <w:sz w:val="24"/>
          <w:szCs w:val="24"/>
          <w:highlight w:val="none"/>
        </w:rPr>
        <w:t>⑵</w:t>
      </w:r>
      <w:r>
        <w:rPr>
          <w:rFonts w:hint="eastAsia" w:ascii="宋体" w:hAnsi="宋体" w:cs="宋体"/>
          <w:color w:val="000000" w:themeColor="text1"/>
          <w:sz w:val="24"/>
          <w:szCs w:val="24"/>
          <w:highlight w:val="none"/>
        </w:rPr>
        <w:fldChar w:fldCharType="end"/>
      </w:r>
      <w:r>
        <w:rPr>
          <w:rFonts w:hint="eastAsia" w:ascii="宋体" w:hAnsi="宋体" w:cs="宋体"/>
          <w:color w:val="000000" w:themeColor="text1"/>
          <w:sz w:val="24"/>
          <w:szCs w:val="24"/>
          <w:highlight w:val="none"/>
        </w:rPr>
        <w:t>备份磋商响应文件：供应商自行确定是否提交；若提交请将备份磋商响应文件以电子邮件的形式发送至（</w:t>
      </w:r>
      <w:r>
        <w:rPr>
          <w:rFonts w:ascii="宋体" w:hAnsi="宋体" w:cs="宋体"/>
          <w:b/>
          <w:color w:val="000000" w:themeColor="text1"/>
          <w:sz w:val="24"/>
          <w:szCs w:val="24"/>
          <w:highlight w:val="none"/>
        </w:rPr>
        <w:t>107052703</w:t>
      </w:r>
      <w:r>
        <w:rPr>
          <w:rFonts w:hint="eastAsia" w:ascii="宋体" w:hAnsi="宋体" w:cs="宋体"/>
          <w:b/>
          <w:color w:val="000000" w:themeColor="text1"/>
          <w:sz w:val="24"/>
          <w:szCs w:val="24"/>
          <w:highlight w:val="none"/>
        </w:rPr>
        <w:t>@qq.com</w:t>
      </w:r>
      <w:r>
        <w:rPr>
          <w:rFonts w:hint="eastAsia" w:ascii="宋体" w:hAnsi="宋体" w:cs="宋体"/>
          <w:color w:val="000000" w:themeColor="text1"/>
          <w:sz w:val="24"/>
          <w:szCs w:val="24"/>
          <w:highlight w:val="none"/>
        </w:rPr>
        <w:t>），备份磋商响应文件在“电子加密磋商响应文件”在线解密失败后启用，否则不予以启用；未在规定时间内发送备份磋商响应文件造成的响应无效或失败由供应商自行承当。</w:t>
      </w:r>
    </w:p>
    <w:p w14:paraId="18A81120">
      <w:pPr>
        <w:wordWrap w:val="0"/>
        <w:spacing w:line="420" w:lineRule="exact"/>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五、响应</w:t>
      </w:r>
      <w:bookmarkEnd w:id="31"/>
      <w:r>
        <w:rPr>
          <w:rFonts w:hint="eastAsia" w:ascii="宋体" w:hAnsi="宋体" w:cs="宋体"/>
          <w:b/>
          <w:color w:val="000000" w:themeColor="text1"/>
          <w:sz w:val="24"/>
          <w:szCs w:val="24"/>
          <w:highlight w:val="none"/>
        </w:rPr>
        <w:t>文件开启</w:t>
      </w:r>
    </w:p>
    <w:p w14:paraId="7F57141A">
      <w:pPr>
        <w:wordWrap w:val="0"/>
        <w:spacing w:line="420" w:lineRule="exact"/>
        <w:ind w:firstLine="480" w:firstLineChars="200"/>
        <w:rPr>
          <w:rFonts w:ascii="宋体" w:hAnsi="宋体" w:cs="宋体"/>
          <w:bCs/>
          <w:color w:val="000000" w:themeColor="text1"/>
          <w:sz w:val="24"/>
          <w:szCs w:val="24"/>
          <w:highlight w:val="none"/>
          <w:u w:val="single"/>
        </w:rPr>
      </w:pPr>
      <w:r>
        <w:rPr>
          <w:rFonts w:hint="eastAsia" w:ascii="宋体" w:hAnsi="宋体" w:cs="宋体"/>
          <w:color w:val="000000" w:themeColor="text1"/>
          <w:sz w:val="24"/>
          <w:szCs w:val="24"/>
          <w:highlight w:val="none"/>
        </w:rPr>
        <w:t>开启时间：</w:t>
      </w:r>
      <w:r>
        <w:rPr>
          <w:rFonts w:hint="eastAsia" w:ascii="宋体" w:hAnsi="宋体" w:cs="宋体"/>
          <w:bCs/>
          <w:color w:val="000000" w:themeColor="text1"/>
          <w:sz w:val="24"/>
          <w:szCs w:val="24"/>
          <w:highlight w:val="none"/>
          <w:u w:val="single"/>
          <w:lang w:eastAsia="zh-CN"/>
        </w:rPr>
        <w:t>2024</w:t>
      </w:r>
      <w:r>
        <w:rPr>
          <w:rFonts w:hint="eastAsia" w:ascii="宋体" w:hAnsi="宋体" w:cs="宋体"/>
          <w:bCs/>
          <w:color w:val="000000" w:themeColor="text1"/>
          <w:sz w:val="24"/>
          <w:szCs w:val="24"/>
          <w:highlight w:val="none"/>
        </w:rPr>
        <w:t>年</w:t>
      </w:r>
      <w:r>
        <w:rPr>
          <w:rFonts w:hint="eastAsia" w:ascii="宋体" w:hAnsi="宋体" w:cs="宋体"/>
          <w:bCs/>
          <w:color w:val="000000" w:themeColor="text1"/>
          <w:sz w:val="24"/>
          <w:szCs w:val="24"/>
          <w:highlight w:val="none"/>
          <w:u w:val="single"/>
          <w:lang w:val="en-US" w:eastAsia="zh-CN"/>
        </w:rPr>
        <w:t>9</w:t>
      </w:r>
      <w:r>
        <w:rPr>
          <w:rFonts w:hint="eastAsia" w:ascii="宋体" w:hAnsi="宋体" w:cs="宋体"/>
          <w:bCs/>
          <w:color w:val="000000" w:themeColor="text1"/>
          <w:sz w:val="24"/>
          <w:szCs w:val="24"/>
          <w:highlight w:val="none"/>
        </w:rPr>
        <w:t>月</w:t>
      </w:r>
      <w:r>
        <w:rPr>
          <w:rFonts w:hint="eastAsia" w:ascii="宋体" w:hAnsi="宋体" w:cs="宋体"/>
          <w:bCs/>
          <w:color w:val="000000" w:themeColor="text1"/>
          <w:sz w:val="24"/>
          <w:szCs w:val="24"/>
          <w:highlight w:val="none"/>
          <w:u w:val="single"/>
        </w:rPr>
        <w:t xml:space="preserve"> </w:t>
      </w:r>
      <w:r>
        <w:rPr>
          <w:rFonts w:hint="eastAsia" w:ascii="宋体" w:hAnsi="宋体" w:cs="宋体"/>
          <w:bCs/>
          <w:color w:val="000000" w:themeColor="text1"/>
          <w:sz w:val="24"/>
          <w:szCs w:val="24"/>
          <w:highlight w:val="none"/>
          <w:u w:val="single"/>
          <w:lang w:val="en-US" w:eastAsia="zh-CN"/>
        </w:rPr>
        <w:t>30</w:t>
      </w:r>
      <w:r>
        <w:rPr>
          <w:rFonts w:hint="eastAsia" w:ascii="宋体" w:hAnsi="宋体" w:cs="宋体"/>
          <w:bCs/>
          <w:color w:val="000000" w:themeColor="text1"/>
          <w:sz w:val="24"/>
          <w:szCs w:val="24"/>
          <w:highlight w:val="none"/>
        </w:rPr>
        <w:t>日</w:t>
      </w:r>
      <w:r>
        <w:rPr>
          <w:rFonts w:hint="eastAsia" w:ascii="宋体" w:hAnsi="宋体" w:cs="宋体"/>
          <w:bCs/>
          <w:color w:val="000000" w:themeColor="text1"/>
          <w:sz w:val="24"/>
          <w:szCs w:val="24"/>
          <w:highlight w:val="none"/>
          <w:u w:val="single"/>
          <w:lang w:val="en-US" w:eastAsia="zh-CN"/>
        </w:rPr>
        <w:t>16</w:t>
      </w:r>
      <w:r>
        <w:rPr>
          <w:rFonts w:hint="eastAsia" w:ascii="宋体" w:hAnsi="宋体" w:cs="宋体"/>
          <w:bCs/>
          <w:color w:val="000000" w:themeColor="text1"/>
          <w:sz w:val="24"/>
          <w:szCs w:val="24"/>
          <w:highlight w:val="none"/>
          <w:u w:val="single"/>
        </w:rPr>
        <w:t>:</w:t>
      </w:r>
      <w:r>
        <w:rPr>
          <w:rFonts w:hint="eastAsia" w:ascii="宋体" w:hAnsi="宋体" w:cs="宋体"/>
          <w:bCs/>
          <w:color w:val="000000" w:themeColor="text1"/>
          <w:sz w:val="24"/>
          <w:szCs w:val="24"/>
          <w:highlight w:val="none"/>
          <w:u w:val="single"/>
          <w:lang w:val="en-US" w:eastAsia="zh-CN"/>
        </w:rPr>
        <w:t>0</w:t>
      </w:r>
      <w:r>
        <w:rPr>
          <w:rFonts w:hint="eastAsia" w:ascii="宋体" w:hAnsi="宋体" w:cs="宋体"/>
          <w:bCs/>
          <w:color w:val="000000" w:themeColor="text1"/>
          <w:sz w:val="24"/>
          <w:szCs w:val="24"/>
          <w:highlight w:val="none"/>
          <w:u w:val="single"/>
        </w:rPr>
        <w:t>0</w:t>
      </w:r>
      <w:r>
        <w:rPr>
          <w:rFonts w:hint="eastAsia" w:ascii="宋体" w:hAnsi="宋体" w:cs="宋体"/>
          <w:bCs/>
          <w:color w:val="000000" w:themeColor="text1"/>
          <w:sz w:val="24"/>
          <w:szCs w:val="24"/>
          <w:highlight w:val="none"/>
        </w:rPr>
        <w:t>（北京时间）</w:t>
      </w:r>
    </w:p>
    <w:p w14:paraId="76254A97">
      <w:pPr>
        <w:wordWrap w:val="0"/>
        <w:spacing w:line="42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地点（网址）：</w:t>
      </w:r>
      <w:r>
        <w:rPr>
          <w:rFonts w:hint="eastAsia" w:ascii="宋体" w:hAnsi="宋体" w:cs="宋体"/>
          <w:bCs/>
          <w:color w:val="000000" w:themeColor="text1"/>
          <w:sz w:val="24"/>
          <w:szCs w:val="24"/>
          <w:highlight w:val="none"/>
        </w:rPr>
        <w:t>浙江政府采购网—用户入驻/登录—用户登录—项目采购—开标评标—进入开标大厅</w:t>
      </w:r>
    </w:p>
    <w:p w14:paraId="54986784">
      <w:pPr>
        <w:wordWrap w:val="0"/>
        <w:spacing w:line="420" w:lineRule="exact"/>
        <w:rPr>
          <w:rFonts w:ascii="宋体" w:hAnsi="宋体" w:cs="宋体"/>
          <w:b/>
          <w:color w:val="000000" w:themeColor="text1"/>
          <w:sz w:val="24"/>
          <w:szCs w:val="24"/>
          <w:highlight w:val="none"/>
        </w:rPr>
      </w:pPr>
      <w:bookmarkStart w:id="32" w:name="_Toc35393803"/>
      <w:bookmarkEnd w:id="32"/>
      <w:bookmarkStart w:id="33" w:name="_Toc35393634"/>
      <w:bookmarkEnd w:id="33"/>
      <w:bookmarkStart w:id="34" w:name="_Toc28359017"/>
      <w:bookmarkEnd w:id="34"/>
      <w:bookmarkStart w:id="35" w:name="_Toc28359094"/>
      <w:r>
        <w:rPr>
          <w:rFonts w:hint="eastAsia" w:ascii="宋体" w:hAnsi="宋体" w:cs="宋体"/>
          <w:b/>
          <w:color w:val="000000" w:themeColor="text1"/>
          <w:sz w:val="24"/>
          <w:szCs w:val="24"/>
          <w:highlight w:val="none"/>
        </w:rPr>
        <w:t>六、公告期限</w:t>
      </w:r>
      <w:bookmarkEnd w:id="35"/>
    </w:p>
    <w:p w14:paraId="60C4C775">
      <w:pPr>
        <w:wordWrap w:val="0"/>
        <w:spacing w:line="420" w:lineRule="exact"/>
        <w:ind w:firstLine="480" w:firstLineChars="200"/>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自本公告发布之日起3个工作日。</w:t>
      </w:r>
    </w:p>
    <w:p w14:paraId="194C5B27">
      <w:pPr>
        <w:wordWrap w:val="0"/>
        <w:spacing w:line="420" w:lineRule="exact"/>
        <w:rPr>
          <w:rFonts w:ascii="宋体" w:hAnsi="宋体" w:cs="宋体"/>
          <w:b/>
          <w:color w:val="000000" w:themeColor="text1"/>
          <w:sz w:val="24"/>
          <w:szCs w:val="24"/>
          <w:highlight w:val="none"/>
        </w:rPr>
      </w:pPr>
      <w:bookmarkStart w:id="36" w:name="_Toc35393795"/>
      <w:bookmarkEnd w:id="36"/>
      <w:bookmarkStart w:id="37" w:name="_Toc35393626"/>
      <w:r>
        <w:rPr>
          <w:rFonts w:hint="eastAsia" w:ascii="宋体" w:hAnsi="宋体" w:cs="宋体"/>
          <w:b/>
          <w:color w:val="000000" w:themeColor="text1"/>
          <w:sz w:val="24"/>
          <w:szCs w:val="24"/>
          <w:highlight w:val="none"/>
        </w:rPr>
        <w:t>七、其他补充事宜</w:t>
      </w:r>
      <w:bookmarkEnd w:id="37"/>
    </w:p>
    <w:p w14:paraId="45FB9EB4">
      <w:pPr>
        <w:wordWrap w:val="0"/>
        <w:spacing w:line="420" w:lineRule="exact"/>
        <w:ind w:firstLine="480" w:firstLineChars="200"/>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B9E03ED">
      <w:pPr>
        <w:wordWrap w:val="0"/>
        <w:spacing w:line="420" w:lineRule="exact"/>
        <w:ind w:firstLine="480" w:firstLineChars="200"/>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5D8056">
      <w:pPr>
        <w:wordWrap w:val="0"/>
        <w:spacing w:line="42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26E12C6">
      <w:pPr>
        <w:wordWrap w:val="0"/>
        <w:snapToGrid w:val="0"/>
        <w:spacing w:line="420" w:lineRule="exact"/>
        <w:ind w:firstLine="510"/>
        <w:rPr>
          <w:rFonts w:ascii="宋体" w:hAnsi="宋体" w:cs="宋体"/>
          <w:bCs/>
          <w:color w:val="000000" w:themeColor="text1"/>
          <w:sz w:val="24"/>
          <w:szCs w:val="24"/>
          <w:highlight w:val="none"/>
        </w:rPr>
      </w:pPr>
      <w:r>
        <w:rPr>
          <w:rFonts w:hint="eastAsia" w:ascii="宋体" w:hAnsi="宋体" w:cs="宋体"/>
          <w:color w:val="000000" w:themeColor="text1"/>
          <w:sz w:val="24"/>
          <w:szCs w:val="24"/>
          <w:highlight w:val="none"/>
        </w:rPr>
        <w:t>4.其他事项：</w:t>
      </w:r>
      <w:r>
        <w:rPr>
          <w:rFonts w:hint="eastAsia" w:ascii="宋体" w:hAnsi="宋体" w:cs="宋体"/>
          <w:bCs/>
          <w:color w:val="000000" w:themeColor="text1"/>
          <w:sz w:val="24"/>
          <w:szCs w:val="24"/>
          <w:highlight w:val="none"/>
        </w:rPr>
        <w:t>本项目全程电子招投标，相关的操作规程务必关注《政府采购项目电子交易管理操作指南-供应商》（网址：</w:t>
      </w:r>
      <w:r>
        <w:rPr>
          <w:color w:val="000000" w:themeColor="text1"/>
          <w:highlight w:val="none"/>
        </w:rPr>
        <w:fldChar w:fldCharType="begin"/>
      </w:r>
      <w:r>
        <w:rPr>
          <w:color w:val="000000" w:themeColor="text1"/>
          <w:highlight w:val="none"/>
        </w:rPr>
        <w:instrText xml:space="preserve"> HYPERLINK \l "/knowledges/CW1EtGwBFdiHxlNd6I3m/6IMVAG0BFdiHxlNdQ8Na" </w:instrText>
      </w:r>
      <w:r>
        <w:rPr>
          <w:color w:val="000000" w:themeColor="text1"/>
          <w:highlight w:val="none"/>
        </w:rPr>
        <w:fldChar w:fldCharType="separate"/>
      </w:r>
      <w:r>
        <w:rPr>
          <w:rStyle w:val="52"/>
          <w:rFonts w:hint="eastAsia" w:ascii="宋体" w:hAnsi="宋体" w:cs="宋体"/>
          <w:color w:val="000000" w:themeColor="text1"/>
          <w:sz w:val="24"/>
          <w:szCs w:val="24"/>
          <w:highlight w:val="none"/>
        </w:rPr>
        <w:t>https://service.zcygov.cn/#/knowledges/CW1EtGwBFdiHxlNd6I3m/6IMVAG0BFdiHxlNdQ8Na</w:t>
      </w:r>
      <w:r>
        <w:rPr>
          <w:rStyle w:val="52"/>
          <w:rFonts w:hint="eastAsia" w:ascii="宋体" w:hAnsi="宋体" w:cs="宋体"/>
          <w:color w:val="000000" w:themeColor="text1"/>
          <w:sz w:val="24"/>
          <w:szCs w:val="24"/>
          <w:highlight w:val="none"/>
        </w:rPr>
        <w:fldChar w:fldCharType="end"/>
      </w:r>
      <w:r>
        <w:rPr>
          <w:rFonts w:hint="eastAsia" w:ascii="宋体" w:hAnsi="宋体" w:cs="宋体"/>
          <w:bCs/>
          <w:color w:val="000000" w:themeColor="text1"/>
          <w:sz w:val="24"/>
          <w:szCs w:val="24"/>
          <w:highlight w:val="none"/>
        </w:rPr>
        <w:t>）</w:t>
      </w:r>
    </w:p>
    <w:p w14:paraId="3049CDA1">
      <w:pPr>
        <w:wordWrap w:val="0"/>
        <w:snapToGrid w:val="0"/>
        <w:spacing w:line="440" w:lineRule="exact"/>
        <w:rPr>
          <w:rFonts w:ascii="宋体" w:hAnsi="宋体" w:cs="宋体"/>
          <w:color w:val="000000" w:themeColor="text1"/>
          <w:sz w:val="24"/>
          <w:szCs w:val="24"/>
          <w:highlight w:val="none"/>
        </w:rPr>
      </w:pPr>
      <w:bookmarkStart w:id="38" w:name="_Toc28359085"/>
      <w:bookmarkEnd w:id="38"/>
      <w:bookmarkStart w:id="39" w:name="_Toc35393627"/>
      <w:bookmarkEnd w:id="39"/>
      <w:bookmarkStart w:id="40" w:name="_Toc28359008"/>
      <w:bookmarkEnd w:id="40"/>
      <w:bookmarkStart w:id="41" w:name="_Toc35393796"/>
      <w:r>
        <w:rPr>
          <w:rFonts w:hint="eastAsia" w:ascii="宋体" w:hAnsi="宋体" w:cs="宋体"/>
          <w:b/>
          <w:color w:val="000000" w:themeColor="text1"/>
          <w:sz w:val="24"/>
          <w:szCs w:val="24"/>
          <w:highlight w:val="none"/>
        </w:rPr>
        <w:t>八、</w:t>
      </w:r>
      <w:bookmarkEnd w:id="41"/>
      <w:r>
        <w:rPr>
          <w:rFonts w:hint="eastAsia" w:ascii="宋体" w:hAnsi="宋体" w:cs="宋体"/>
          <w:b/>
          <w:bCs/>
          <w:color w:val="000000" w:themeColor="text1"/>
          <w:sz w:val="24"/>
          <w:szCs w:val="24"/>
          <w:highlight w:val="none"/>
        </w:rPr>
        <w:t>凡对本次采购提出询问、质疑、投诉，请按以下方式联系</w:t>
      </w:r>
    </w:p>
    <w:p w14:paraId="543886EE">
      <w:pPr>
        <w:wordWrap w:val="0"/>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 采购人信息</w:t>
      </w:r>
    </w:p>
    <w:p w14:paraId="03F6AC47">
      <w:pPr>
        <w:wordWrap w:val="0"/>
        <w:snapToGrid w:val="0"/>
        <w:spacing w:line="440" w:lineRule="exact"/>
        <w:ind w:firstLine="720" w:firstLineChars="3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名  称：松阳县大东坝镇人民政府</w:t>
      </w:r>
    </w:p>
    <w:p w14:paraId="30AF4DDD">
      <w:pPr>
        <w:wordWrap w:val="0"/>
        <w:snapToGrid w:val="0"/>
        <w:spacing w:line="440" w:lineRule="exact"/>
        <w:ind w:firstLine="720" w:firstLineChars="3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地址：松阳县大东坝镇</w:t>
      </w:r>
    </w:p>
    <w:p w14:paraId="52EAAA60">
      <w:pPr>
        <w:wordWrap w:val="0"/>
        <w:snapToGrid w:val="0"/>
        <w:spacing w:line="440" w:lineRule="exact"/>
        <w:ind w:firstLine="720" w:firstLineChars="3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项目联系人（询问）：王金良         项目联系方式（询问）：15925727885</w:t>
      </w:r>
    </w:p>
    <w:p w14:paraId="2187836E">
      <w:pPr>
        <w:wordWrap w:val="0"/>
        <w:snapToGrid w:val="0"/>
        <w:spacing w:line="440" w:lineRule="exact"/>
        <w:ind w:firstLine="720" w:firstLineChars="3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质疑联系人：兰晓明                 质疑联系方式：15024688631</w:t>
      </w:r>
    </w:p>
    <w:p w14:paraId="47CEDD5D">
      <w:pPr>
        <w:wordWrap w:val="0"/>
        <w:snapToGrid w:val="0"/>
        <w:spacing w:line="440" w:lineRule="exact"/>
        <w:ind w:firstLine="720" w:firstLineChars="3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 采购代理机构信息</w:t>
      </w:r>
    </w:p>
    <w:p w14:paraId="7747D3A9">
      <w:pPr>
        <w:wordWrap w:val="0"/>
        <w:snapToGrid w:val="0"/>
        <w:spacing w:line="440" w:lineRule="exact"/>
        <w:ind w:firstLine="720" w:firstLineChars="300"/>
        <w:rPr>
          <w:rFonts w:ascii="宋体" w:hAnsi="宋体" w:cs="宋体"/>
          <w:color w:val="000000" w:themeColor="text1"/>
          <w:sz w:val="24"/>
          <w:szCs w:val="24"/>
          <w:highlight w:val="none"/>
        </w:rPr>
      </w:pPr>
      <w:r>
        <w:rPr>
          <w:rFonts w:ascii="宋体" w:hAnsi="宋体" w:cs="宋体"/>
          <w:color w:val="000000" w:themeColor="text1"/>
          <w:sz w:val="24"/>
          <w:szCs w:val="24"/>
          <w:highlight w:val="none"/>
        </w:rPr>
        <w:t>名  称：</w:t>
      </w:r>
      <w:r>
        <w:rPr>
          <w:rFonts w:hint="eastAsia" w:ascii="宋体" w:hAnsi="宋体" w:cs="宋体"/>
          <w:color w:val="000000" w:themeColor="text1"/>
          <w:sz w:val="24"/>
          <w:szCs w:val="24"/>
          <w:highlight w:val="none"/>
        </w:rPr>
        <w:t>浙江大兴建设项目管理咨询有限公司</w:t>
      </w:r>
    </w:p>
    <w:p w14:paraId="6B749BBB">
      <w:pPr>
        <w:wordWrap w:val="0"/>
        <w:snapToGrid w:val="0"/>
        <w:spacing w:line="440" w:lineRule="exact"/>
        <w:ind w:firstLine="720" w:firstLineChars="300"/>
        <w:rPr>
          <w:rFonts w:hint="eastAsia" w:ascii="宋体" w:hAnsi="宋体" w:eastAsia="宋体" w:cs="宋体"/>
          <w:color w:val="000000" w:themeColor="text1"/>
          <w:sz w:val="24"/>
          <w:szCs w:val="24"/>
          <w:highlight w:val="none"/>
          <w:lang w:eastAsia="zh-CN"/>
        </w:rPr>
      </w:pPr>
      <w:r>
        <w:rPr>
          <w:rFonts w:ascii="宋体" w:hAnsi="宋体" w:cs="宋体"/>
          <w:color w:val="000000" w:themeColor="text1"/>
          <w:sz w:val="24"/>
          <w:szCs w:val="24"/>
          <w:highlight w:val="none"/>
        </w:rPr>
        <w:t>地  址：</w:t>
      </w:r>
      <w:r>
        <w:rPr>
          <w:rFonts w:hint="eastAsia" w:ascii="仿宋" w:hAnsi="仿宋"/>
          <w:color w:val="000000" w:themeColor="text1"/>
          <w:sz w:val="25"/>
          <w:szCs w:val="25"/>
          <w:highlight w:val="none"/>
          <w:lang w:eastAsia="zh-CN"/>
        </w:rPr>
        <w:t>松阳县西屏街道新华北路159号2楼</w:t>
      </w:r>
    </w:p>
    <w:p w14:paraId="1B747F05">
      <w:pPr>
        <w:wordWrap w:val="0"/>
        <w:snapToGrid w:val="0"/>
        <w:spacing w:line="440" w:lineRule="exact"/>
        <w:ind w:firstLine="720" w:firstLineChars="300"/>
        <w:rPr>
          <w:rFonts w:ascii="宋体" w:hAnsi="宋体" w:cs="宋体"/>
          <w:color w:val="000000" w:themeColor="text1"/>
          <w:sz w:val="24"/>
          <w:szCs w:val="24"/>
          <w:highlight w:val="none"/>
        </w:rPr>
      </w:pPr>
      <w:r>
        <w:rPr>
          <w:rFonts w:ascii="宋体" w:hAnsi="宋体" w:cs="宋体"/>
          <w:color w:val="000000" w:themeColor="text1"/>
          <w:sz w:val="24"/>
          <w:szCs w:val="24"/>
          <w:highlight w:val="none"/>
        </w:rPr>
        <w:t>项目联系人（询问）：</w:t>
      </w:r>
      <w:r>
        <w:rPr>
          <w:rFonts w:hint="eastAsia" w:ascii="宋体" w:hAnsi="宋体" w:cs="宋体"/>
          <w:color w:val="000000" w:themeColor="text1"/>
          <w:sz w:val="24"/>
          <w:szCs w:val="24"/>
          <w:highlight w:val="none"/>
        </w:rPr>
        <w:t xml:space="preserve">孟燕萍       </w:t>
      </w:r>
      <w:r>
        <w:rPr>
          <w:rFonts w:ascii="宋体" w:hAnsi="宋体" w:cs="宋体"/>
          <w:color w:val="000000" w:themeColor="text1"/>
          <w:sz w:val="24"/>
          <w:szCs w:val="24"/>
          <w:highlight w:val="none"/>
        </w:rPr>
        <w:t>项目联系方式（询问）：</w:t>
      </w:r>
      <w:r>
        <w:rPr>
          <w:rFonts w:hint="eastAsia" w:ascii="宋体" w:hAnsi="宋体" w:cs="宋体"/>
          <w:color w:val="000000" w:themeColor="text1"/>
          <w:sz w:val="24"/>
          <w:szCs w:val="24"/>
          <w:highlight w:val="none"/>
        </w:rPr>
        <w:t>18857827698</w:t>
      </w:r>
    </w:p>
    <w:p w14:paraId="68454EE7">
      <w:pPr>
        <w:wordWrap w:val="0"/>
        <w:snapToGrid w:val="0"/>
        <w:spacing w:line="440" w:lineRule="exact"/>
        <w:ind w:firstLine="720" w:firstLineChars="300"/>
        <w:rPr>
          <w:rFonts w:ascii="宋体" w:hAnsi="宋体" w:cs="宋体"/>
          <w:color w:val="000000" w:themeColor="text1"/>
          <w:sz w:val="24"/>
          <w:szCs w:val="24"/>
          <w:highlight w:val="none"/>
        </w:rPr>
      </w:pPr>
      <w:r>
        <w:rPr>
          <w:rFonts w:ascii="宋体" w:hAnsi="宋体" w:cs="宋体"/>
          <w:color w:val="000000" w:themeColor="text1"/>
          <w:sz w:val="24"/>
          <w:szCs w:val="24"/>
          <w:highlight w:val="none"/>
        </w:rPr>
        <w:t>质疑联系人：</w:t>
      </w:r>
      <w:r>
        <w:rPr>
          <w:rFonts w:hint="eastAsia" w:ascii="宋体" w:hAnsi="宋体" w:cs="宋体"/>
          <w:color w:val="000000" w:themeColor="text1"/>
          <w:sz w:val="24"/>
          <w:szCs w:val="24"/>
          <w:highlight w:val="none"/>
        </w:rPr>
        <w:t xml:space="preserve">王洁                 </w:t>
      </w:r>
      <w:r>
        <w:rPr>
          <w:rFonts w:ascii="宋体" w:hAnsi="宋体" w:cs="宋体"/>
          <w:color w:val="000000" w:themeColor="text1"/>
          <w:sz w:val="24"/>
          <w:szCs w:val="24"/>
          <w:highlight w:val="none"/>
        </w:rPr>
        <w:t>质疑联系方式：15168290935</w:t>
      </w:r>
    </w:p>
    <w:p w14:paraId="723A1E29">
      <w:pPr>
        <w:wordWrap w:val="0"/>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 同级政府采购监督管理部门</w:t>
      </w:r>
    </w:p>
    <w:p w14:paraId="0769DF0B">
      <w:pPr>
        <w:wordWrap w:val="0"/>
        <w:snapToGrid w:val="0"/>
        <w:spacing w:line="440" w:lineRule="exact"/>
        <w:ind w:firstLine="720" w:firstLineChars="3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名  称：松阳县财政局        地  址：松阳县环城西路95号</w:t>
      </w:r>
    </w:p>
    <w:p w14:paraId="553C4BBB">
      <w:pPr>
        <w:wordWrap w:val="0"/>
        <w:snapToGrid w:val="0"/>
        <w:spacing w:line="440" w:lineRule="exact"/>
        <w:ind w:firstLine="720" w:firstLineChars="3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联系人：何先生              监督投诉电话：0578-8811960</w:t>
      </w:r>
    </w:p>
    <w:p w14:paraId="2D77F3E7">
      <w:pPr>
        <w:wordWrap w:val="0"/>
        <w:snapToGrid w:val="0"/>
        <w:spacing w:line="44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   若对项目采购电子交易系统操作有疑问，可登录政采云（https://www.zcygov.cn/），点击右侧咨询小采，获取采小蜜智能服务管家帮助，或拨打政采云服务热线95763获取热线服务帮助。 </w:t>
      </w:r>
    </w:p>
    <w:p w14:paraId="707F6F52">
      <w:pPr>
        <w:wordWrap w:val="0"/>
        <w:spacing w:line="420" w:lineRule="exact"/>
        <w:ind w:firstLine="360" w:firstLineChars="150"/>
        <w:jc w:val="righ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CA问题联系电话（人工）：汇信CA 400-888-4636；天谷CA 400-087-8198。                  </w:t>
      </w:r>
    </w:p>
    <w:p w14:paraId="1B21730A">
      <w:pPr>
        <w:wordWrap w:val="0"/>
        <w:spacing w:line="420" w:lineRule="exact"/>
        <w:ind w:firstLine="360" w:firstLineChars="150"/>
        <w:jc w:val="righ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松阳县大东坝镇人民政府</w:t>
      </w:r>
    </w:p>
    <w:p w14:paraId="71F0FE4A">
      <w:pPr>
        <w:spacing w:line="420" w:lineRule="exact"/>
        <w:ind w:firstLine="360" w:firstLineChars="150"/>
        <w:jc w:val="right"/>
        <w:rPr>
          <w:rFonts w:ascii="宋体" w:hAnsi="宋体" w:cs="宋体"/>
          <w:color w:val="000000" w:themeColor="text1"/>
          <w:sz w:val="24"/>
          <w:szCs w:val="24"/>
          <w:highlight w:val="none"/>
        </w:rPr>
      </w:pPr>
    </w:p>
    <w:p w14:paraId="795E2FCF">
      <w:pPr>
        <w:wordWrap w:val="0"/>
        <w:spacing w:line="360" w:lineRule="auto"/>
        <w:jc w:val="righ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        浙江大兴建设项目管理咨询有限公司</w:t>
      </w:r>
    </w:p>
    <w:p w14:paraId="735FD425">
      <w:pPr>
        <w:pStyle w:val="43"/>
        <w:spacing w:before="0" w:after="0" w:line="360" w:lineRule="auto"/>
        <w:rPr>
          <w:rFonts w:ascii="宋体" w:hAnsi="宋体" w:cs="宋体"/>
          <w:b w:val="0"/>
          <w:color w:val="000000" w:themeColor="text1"/>
          <w:sz w:val="24"/>
          <w:szCs w:val="24"/>
          <w:highlight w:val="none"/>
        </w:rPr>
      </w:pPr>
    </w:p>
    <w:p w14:paraId="6D847891">
      <w:pPr>
        <w:pStyle w:val="43"/>
        <w:spacing w:before="0" w:after="0" w:line="360" w:lineRule="auto"/>
        <w:rPr>
          <w:rFonts w:ascii="宋体" w:hAnsi="宋体" w:cs="宋体"/>
          <w:b w:val="0"/>
          <w:color w:val="000000" w:themeColor="text1"/>
          <w:sz w:val="36"/>
          <w:szCs w:val="36"/>
          <w:highlight w:val="none"/>
        </w:rPr>
        <w:sectPr>
          <w:footerReference r:id="rId6" w:type="first"/>
          <w:footerReference r:id="rId5" w:type="default"/>
          <w:pgSz w:w="11906" w:h="16838"/>
          <w:pgMar w:top="1418" w:right="1418" w:bottom="1418" w:left="1418" w:header="851" w:footer="851" w:gutter="0"/>
          <w:pgNumType w:start="2"/>
          <w:cols w:space="720" w:num="1"/>
          <w:docGrid w:linePitch="312" w:charSpace="0"/>
        </w:sectPr>
      </w:pPr>
      <w:r>
        <w:rPr>
          <w:rFonts w:hint="eastAsia" w:ascii="宋体" w:hAnsi="宋体" w:cs="宋体"/>
          <w:b w:val="0"/>
          <w:color w:val="000000" w:themeColor="text1"/>
          <w:sz w:val="24"/>
          <w:szCs w:val="24"/>
          <w:highlight w:val="none"/>
        </w:rPr>
        <w:t xml:space="preserve">                                                       </w:t>
      </w:r>
      <w:r>
        <w:rPr>
          <w:rFonts w:hint="eastAsia" w:ascii="宋体" w:hAnsi="宋体" w:cs="宋体"/>
          <w:b w:val="0"/>
          <w:color w:val="000000" w:themeColor="text1"/>
          <w:sz w:val="24"/>
          <w:szCs w:val="24"/>
          <w:highlight w:val="none"/>
          <w:lang w:eastAsia="zh-CN"/>
        </w:rPr>
        <w:t>2024</w:t>
      </w:r>
      <w:r>
        <w:rPr>
          <w:rFonts w:hint="eastAsia" w:ascii="宋体" w:hAnsi="宋体" w:cs="宋体"/>
          <w:b w:val="0"/>
          <w:color w:val="000000" w:themeColor="text1"/>
          <w:sz w:val="24"/>
          <w:szCs w:val="24"/>
          <w:highlight w:val="none"/>
        </w:rPr>
        <w:t>年</w:t>
      </w:r>
      <w:r>
        <w:rPr>
          <w:rFonts w:hint="eastAsia" w:ascii="宋体" w:hAnsi="宋体" w:cs="宋体"/>
          <w:b w:val="0"/>
          <w:color w:val="000000" w:themeColor="text1"/>
          <w:sz w:val="24"/>
          <w:szCs w:val="24"/>
          <w:highlight w:val="none"/>
          <w:lang w:val="en-US" w:eastAsia="zh-CN"/>
        </w:rPr>
        <w:t>9</w:t>
      </w:r>
      <w:r>
        <w:rPr>
          <w:rFonts w:hint="eastAsia" w:ascii="宋体" w:hAnsi="宋体" w:cs="宋体"/>
          <w:b w:val="0"/>
          <w:color w:val="000000" w:themeColor="text1"/>
          <w:sz w:val="24"/>
          <w:szCs w:val="24"/>
          <w:highlight w:val="none"/>
        </w:rPr>
        <w:t>月</w:t>
      </w:r>
      <w:r>
        <w:rPr>
          <w:rFonts w:hint="eastAsia" w:ascii="宋体" w:hAnsi="宋体" w:cs="宋体"/>
          <w:b w:val="0"/>
          <w:color w:val="000000" w:themeColor="text1"/>
          <w:sz w:val="24"/>
          <w:szCs w:val="24"/>
          <w:highlight w:val="none"/>
          <w:lang w:val="en-US" w:eastAsia="zh-CN"/>
        </w:rPr>
        <w:t>19</w:t>
      </w:r>
      <w:r>
        <w:rPr>
          <w:rFonts w:hint="eastAsia" w:ascii="宋体" w:hAnsi="宋体" w:cs="宋体"/>
          <w:b w:val="0"/>
          <w:color w:val="000000" w:themeColor="text1"/>
          <w:sz w:val="24"/>
          <w:szCs w:val="24"/>
          <w:highlight w:val="none"/>
        </w:rPr>
        <w:t>日</w:t>
      </w:r>
    </w:p>
    <w:p w14:paraId="674A2FA8">
      <w:pPr>
        <w:pStyle w:val="43"/>
        <w:spacing w:before="0" w:after="0" w:line="360" w:lineRule="auto"/>
        <w:rPr>
          <w:rFonts w:ascii="宋体" w:hAnsi="宋体" w:cs="宋体"/>
          <w:color w:val="000000" w:themeColor="text1"/>
          <w:sz w:val="36"/>
          <w:szCs w:val="36"/>
          <w:highlight w:val="none"/>
        </w:rPr>
      </w:pPr>
      <w:bookmarkStart w:id="42" w:name="_Toc80973229"/>
      <w:r>
        <w:rPr>
          <w:rFonts w:hint="eastAsia" w:ascii="宋体" w:hAnsi="宋体" w:cs="宋体"/>
          <w:color w:val="000000" w:themeColor="text1"/>
          <w:sz w:val="36"/>
          <w:szCs w:val="36"/>
          <w:highlight w:val="none"/>
        </w:rPr>
        <w:t>第二章  采购</w:t>
      </w:r>
      <w:bookmarkEnd w:id="8"/>
      <w:bookmarkEnd w:id="9"/>
      <w:bookmarkEnd w:id="10"/>
      <w:bookmarkEnd w:id="42"/>
      <w:r>
        <w:rPr>
          <w:rFonts w:hint="eastAsia" w:ascii="宋体" w:hAnsi="宋体" w:cs="宋体"/>
          <w:color w:val="000000" w:themeColor="text1"/>
          <w:sz w:val="36"/>
          <w:szCs w:val="36"/>
          <w:highlight w:val="none"/>
        </w:rPr>
        <w:t>需求</w:t>
      </w:r>
    </w:p>
    <w:p w14:paraId="20E4DD2B">
      <w:pPr>
        <w:pStyle w:val="43"/>
        <w:spacing w:beforeLines="100" w:afterLines="100"/>
        <w:jc w:val="left"/>
        <w:outlineLvl w:val="1"/>
        <w:rPr>
          <w:rFonts w:cs="宋体" w:asciiTheme="minorEastAsia" w:hAnsiTheme="minorEastAsia" w:eastAsiaTheme="minorEastAsia"/>
          <w:color w:val="000000" w:themeColor="text1"/>
          <w:sz w:val="24"/>
          <w:szCs w:val="24"/>
          <w:highlight w:val="none"/>
        </w:rPr>
      </w:pPr>
      <w:bookmarkStart w:id="43" w:name="_Toc531358974"/>
      <w:bookmarkStart w:id="44" w:name="_Toc409683143"/>
      <w:bookmarkStart w:id="45" w:name="_Toc493956031"/>
      <w:bookmarkStart w:id="46" w:name="_Toc80973230"/>
      <w:bookmarkStart w:id="47" w:name="_Toc530551819"/>
      <w:r>
        <w:rPr>
          <w:rFonts w:cs="宋体" w:asciiTheme="minorEastAsia" w:hAnsiTheme="minorEastAsia" w:eastAsiaTheme="minorEastAsia"/>
          <w:color w:val="000000" w:themeColor="text1"/>
          <w:sz w:val="24"/>
          <w:szCs w:val="24"/>
          <w:highlight w:val="none"/>
        </w:rPr>
        <w:t>一、</w:t>
      </w:r>
      <w:r>
        <w:rPr>
          <w:rFonts w:hint="eastAsia" w:cs="宋体" w:asciiTheme="minorEastAsia" w:hAnsiTheme="minorEastAsia" w:eastAsiaTheme="minorEastAsia"/>
          <w:color w:val="000000" w:themeColor="text1"/>
          <w:sz w:val="24"/>
          <w:szCs w:val="24"/>
          <w:highlight w:val="none"/>
        </w:rPr>
        <w:t>采购</w:t>
      </w:r>
      <w:r>
        <w:rPr>
          <w:rFonts w:cs="宋体" w:asciiTheme="minorEastAsia" w:hAnsiTheme="minorEastAsia" w:eastAsiaTheme="minorEastAsia"/>
          <w:color w:val="000000" w:themeColor="text1"/>
          <w:sz w:val="24"/>
          <w:szCs w:val="24"/>
          <w:highlight w:val="none"/>
        </w:rPr>
        <w:t>预算价</w:t>
      </w:r>
    </w:p>
    <w:tbl>
      <w:tblPr>
        <w:tblStyle w:val="46"/>
        <w:tblW w:w="9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86"/>
        <w:gridCol w:w="850"/>
        <w:gridCol w:w="851"/>
        <w:gridCol w:w="2268"/>
        <w:gridCol w:w="831"/>
      </w:tblGrid>
      <w:tr w14:paraId="44C2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3D1CA648">
            <w:pPr>
              <w:snapToGrid w:val="0"/>
              <w:spacing w:line="420" w:lineRule="exact"/>
              <w:jc w:val="center"/>
              <w:rPr>
                <w:rFonts w:ascii="宋体" w:hAnsi="宋体"/>
                <w:b/>
                <w:color w:val="000000" w:themeColor="text1"/>
                <w:kern w:val="0"/>
                <w:sz w:val="24"/>
                <w:szCs w:val="20"/>
                <w:highlight w:val="none"/>
              </w:rPr>
            </w:pPr>
            <w:r>
              <w:rPr>
                <w:rFonts w:hint="eastAsia" w:ascii="宋体" w:hAnsi="宋体"/>
                <w:b/>
                <w:color w:val="000000" w:themeColor="text1"/>
                <w:kern w:val="0"/>
                <w:sz w:val="24"/>
                <w:szCs w:val="20"/>
                <w:highlight w:val="none"/>
              </w:rPr>
              <w:t>序号</w:t>
            </w:r>
          </w:p>
        </w:tc>
        <w:tc>
          <w:tcPr>
            <w:tcW w:w="3686" w:type="dxa"/>
            <w:vAlign w:val="center"/>
          </w:tcPr>
          <w:p w14:paraId="01984B9B">
            <w:pPr>
              <w:snapToGrid w:val="0"/>
              <w:spacing w:line="420" w:lineRule="exact"/>
              <w:jc w:val="center"/>
              <w:rPr>
                <w:rFonts w:ascii="宋体" w:hAnsi="宋体"/>
                <w:b/>
                <w:color w:val="000000" w:themeColor="text1"/>
                <w:kern w:val="0"/>
                <w:sz w:val="24"/>
                <w:szCs w:val="20"/>
                <w:highlight w:val="none"/>
              </w:rPr>
            </w:pPr>
            <w:r>
              <w:rPr>
                <w:rFonts w:hint="eastAsia" w:ascii="宋体" w:hAnsi="宋体"/>
                <w:b/>
                <w:color w:val="000000" w:themeColor="text1"/>
                <w:kern w:val="0"/>
                <w:sz w:val="24"/>
                <w:szCs w:val="20"/>
                <w:highlight w:val="none"/>
              </w:rPr>
              <w:t>片区</w:t>
            </w:r>
          </w:p>
        </w:tc>
        <w:tc>
          <w:tcPr>
            <w:tcW w:w="850" w:type="dxa"/>
            <w:vAlign w:val="center"/>
          </w:tcPr>
          <w:p w14:paraId="156F29CF">
            <w:pPr>
              <w:snapToGrid w:val="0"/>
              <w:spacing w:line="420" w:lineRule="exact"/>
              <w:jc w:val="center"/>
              <w:rPr>
                <w:rFonts w:ascii="宋体" w:hAnsi="宋体"/>
                <w:b/>
                <w:color w:val="000000" w:themeColor="text1"/>
                <w:kern w:val="0"/>
                <w:sz w:val="24"/>
                <w:szCs w:val="20"/>
                <w:highlight w:val="none"/>
              </w:rPr>
            </w:pPr>
            <w:r>
              <w:rPr>
                <w:rFonts w:hint="eastAsia" w:ascii="宋体" w:hAnsi="宋体"/>
                <w:b/>
                <w:color w:val="000000" w:themeColor="text1"/>
                <w:kern w:val="0"/>
                <w:sz w:val="24"/>
                <w:szCs w:val="20"/>
                <w:highlight w:val="none"/>
              </w:rPr>
              <w:t>数量</w:t>
            </w:r>
          </w:p>
        </w:tc>
        <w:tc>
          <w:tcPr>
            <w:tcW w:w="851" w:type="dxa"/>
            <w:vAlign w:val="center"/>
          </w:tcPr>
          <w:p w14:paraId="102A39E7">
            <w:pPr>
              <w:snapToGrid w:val="0"/>
              <w:spacing w:line="420" w:lineRule="exact"/>
              <w:jc w:val="center"/>
              <w:rPr>
                <w:rFonts w:ascii="宋体" w:hAnsi="宋体"/>
                <w:b/>
                <w:color w:val="000000" w:themeColor="text1"/>
                <w:kern w:val="0"/>
                <w:sz w:val="24"/>
                <w:szCs w:val="20"/>
                <w:highlight w:val="none"/>
              </w:rPr>
            </w:pPr>
            <w:r>
              <w:rPr>
                <w:rFonts w:hint="eastAsia" w:ascii="宋体" w:hAnsi="宋体"/>
                <w:b/>
                <w:color w:val="000000" w:themeColor="text1"/>
                <w:kern w:val="0"/>
                <w:sz w:val="24"/>
                <w:szCs w:val="20"/>
                <w:highlight w:val="none"/>
              </w:rPr>
              <w:t>单位</w:t>
            </w:r>
          </w:p>
        </w:tc>
        <w:tc>
          <w:tcPr>
            <w:tcW w:w="2268" w:type="dxa"/>
            <w:vAlign w:val="center"/>
          </w:tcPr>
          <w:p w14:paraId="6D474B1E">
            <w:pPr>
              <w:snapToGrid w:val="0"/>
              <w:spacing w:line="420" w:lineRule="exact"/>
              <w:jc w:val="center"/>
              <w:rPr>
                <w:rFonts w:ascii="宋体" w:hAnsi="宋体"/>
                <w:b/>
                <w:color w:val="000000" w:themeColor="text1"/>
                <w:kern w:val="0"/>
                <w:sz w:val="24"/>
                <w:szCs w:val="20"/>
                <w:highlight w:val="none"/>
              </w:rPr>
            </w:pPr>
            <w:r>
              <w:rPr>
                <w:rFonts w:hint="eastAsia" w:ascii="宋体" w:hAnsi="宋体"/>
                <w:b/>
                <w:color w:val="000000" w:themeColor="text1"/>
                <w:kern w:val="0"/>
                <w:sz w:val="24"/>
                <w:szCs w:val="20"/>
                <w:highlight w:val="none"/>
              </w:rPr>
              <w:t>▲预算金额</w:t>
            </w:r>
            <w:r>
              <w:rPr>
                <w:rFonts w:ascii="宋体" w:hAnsi="宋体"/>
                <w:b/>
                <w:color w:val="000000" w:themeColor="text1"/>
                <w:kern w:val="0"/>
                <w:sz w:val="24"/>
                <w:szCs w:val="20"/>
                <w:highlight w:val="none"/>
              </w:rPr>
              <w:t>（</w:t>
            </w:r>
            <w:r>
              <w:rPr>
                <w:rFonts w:hint="eastAsia" w:ascii="宋体" w:hAnsi="宋体"/>
                <w:b/>
                <w:color w:val="000000" w:themeColor="text1"/>
                <w:kern w:val="0"/>
                <w:sz w:val="24"/>
                <w:szCs w:val="20"/>
                <w:highlight w:val="none"/>
              </w:rPr>
              <w:t>最高限价</w:t>
            </w:r>
            <w:r>
              <w:rPr>
                <w:rFonts w:ascii="宋体" w:hAnsi="宋体"/>
                <w:b/>
                <w:color w:val="000000" w:themeColor="text1"/>
                <w:kern w:val="0"/>
                <w:sz w:val="24"/>
                <w:szCs w:val="20"/>
                <w:highlight w:val="none"/>
              </w:rPr>
              <w:t>）</w:t>
            </w:r>
            <w:r>
              <w:rPr>
                <w:rFonts w:hint="eastAsia" w:ascii="宋体" w:hAnsi="宋体"/>
                <w:b/>
                <w:color w:val="000000" w:themeColor="text1"/>
                <w:kern w:val="0"/>
                <w:sz w:val="24"/>
                <w:szCs w:val="20"/>
                <w:highlight w:val="none"/>
              </w:rPr>
              <w:t>（元）</w:t>
            </w:r>
          </w:p>
        </w:tc>
        <w:tc>
          <w:tcPr>
            <w:tcW w:w="831" w:type="dxa"/>
            <w:vAlign w:val="center"/>
          </w:tcPr>
          <w:p w14:paraId="0601E1EA">
            <w:pPr>
              <w:snapToGrid w:val="0"/>
              <w:spacing w:line="420" w:lineRule="exact"/>
              <w:jc w:val="center"/>
              <w:rPr>
                <w:rFonts w:ascii="宋体" w:hAnsi="宋体"/>
                <w:b/>
                <w:color w:val="000000" w:themeColor="text1"/>
                <w:kern w:val="0"/>
                <w:sz w:val="24"/>
                <w:szCs w:val="20"/>
                <w:highlight w:val="none"/>
              </w:rPr>
            </w:pPr>
            <w:r>
              <w:rPr>
                <w:rFonts w:hint="eastAsia" w:ascii="宋体" w:hAnsi="宋体"/>
                <w:b/>
                <w:color w:val="000000" w:themeColor="text1"/>
                <w:kern w:val="0"/>
                <w:sz w:val="24"/>
                <w:szCs w:val="20"/>
                <w:highlight w:val="none"/>
              </w:rPr>
              <w:t>备注</w:t>
            </w:r>
          </w:p>
        </w:tc>
      </w:tr>
      <w:tr w14:paraId="092A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139AFBC4">
            <w:pPr>
              <w:pStyle w:val="42"/>
              <w:widowControl w:val="0"/>
              <w:snapToGrid w:val="0"/>
              <w:spacing w:before="0" w:beforeAutospacing="0" w:after="0" w:afterAutospacing="0" w:line="360" w:lineRule="auto"/>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1</w:t>
            </w:r>
          </w:p>
        </w:tc>
        <w:tc>
          <w:tcPr>
            <w:tcW w:w="3686" w:type="dxa"/>
            <w:vAlign w:val="center"/>
          </w:tcPr>
          <w:p w14:paraId="1B7650F8">
            <w:pPr>
              <w:pStyle w:val="42"/>
              <w:widowControl w:val="0"/>
              <w:snapToGrid w:val="0"/>
              <w:spacing w:before="0" w:beforeAutospacing="0" w:after="0" w:afterAutospacing="0" w:line="240" w:lineRule="auto"/>
              <w:rPr>
                <w:rFonts w:asciiTheme="minorEastAsia" w:hAnsiTheme="minorEastAsia" w:eastAsiaTheme="minorEastAsia"/>
                <w:bCs/>
                <w:color w:val="000000" w:themeColor="text1"/>
                <w:kern w:val="2"/>
                <w:szCs w:val="24"/>
                <w:highlight w:val="none"/>
              </w:rPr>
            </w:pPr>
            <w:r>
              <w:rPr>
                <w:rFonts w:asciiTheme="minorEastAsia" w:hAnsiTheme="minorEastAsia" w:eastAsiaTheme="minorEastAsia"/>
                <w:bCs/>
                <w:color w:val="000000" w:themeColor="text1"/>
                <w:kern w:val="2"/>
                <w:szCs w:val="24"/>
                <w:highlight w:val="none"/>
              </w:rPr>
              <w:t xml:space="preserve"> </w:t>
            </w:r>
            <w:r>
              <w:rPr>
                <w:rFonts w:hint="eastAsia" w:asciiTheme="minorEastAsia" w:hAnsiTheme="minorEastAsia" w:eastAsiaTheme="minorEastAsia"/>
                <w:bCs/>
                <w:color w:val="000000" w:themeColor="text1"/>
                <w:kern w:val="2"/>
                <w:szCs w:val="24"/>
                <w:highlight w:val="none"/>
              </w:rPr>
              <w:t>西山区块</w:t>
            </w:r>
          </w:p>
        </w:tc>
        <w:tc>
          <w:tcPr>
            <w:tcW w:w="850" w:type="dxa"/>
            <w:vAlign w:val="center"/>
          </w:tcPr>
          <w:p w14:paraId="6E359E28">
            <w:pPr>
              <w:pStyle w:val="42"/>
              <w:widowControl w:val="0"/>
              <w:snapToGrid w:val="0"/>
              <w:spacing w:before="0" w:beforeAutospacing="0" w:after="0" w:afterAutospacing="0" w:line="360" w:lineRule="auto"/>
              <w:rPr>
                <w:rFonts w:hint="default" w:asciiTheme="minorEastAsia" w:hAnsiTheme="minorEastAsia" w:eastAsiaTheme="minorEastAsia"/>
                <w:bCs/>
                <w:color w:val="000000" w:themeColor="text1"/>
                <w:kern w:val="2"/>
                <w:szCs w:val="24"/>
                <w:highlight w:val="none"/>
                <w:lang w:val="en-US" w:eastAsia="zh-CN"/>
              </w:rPr>
            </w:pPr>
            <w:r>
              <w:rPr>
                <w:rFonts w:hint="eastAsia" w:asciiTheme="minorEastAsia" w:hAnsiTheme="minorEastAsia" w:eastAsiaTheme="minorEastAsia"/>
                <w:bCs/>
                <w:color w:val="000000" w:themeColor="text1"/>
                <w:kern w:val="2"/>
                <w:szCs w:val="24"/>
                <w:highlight w:val="none"/>
                <w:lang w:val="en-US" w:eastAsia="zh-CN"/>
              </w:rPr>
              <w:t>297</w:t>
            </w:r>
          </w:p>
        </w:tc>
        <w:tc>
          <w:tcPr>
            <w:tcW w:w="851" w:type="dxa"/>
            <w:vAlign w:val="center"/>
          </w:tcPr>
          <w:p w14:paraId="225157EF">
            <w:pPr>
              <w:pStyle w:val="42"/>
              <w:widowControl w:val="0"/>
              <w:snapToGrid w:val="0"/>
              <w:spacing w:before="0" w:beforeAutospacing="0" w:after="0" w:afterAutospacing="0" w:line="360" w:lineRule="auto"/>
              <w:rPr>
                <w:rFonts w:asciiTheme="minorEastAsia" w:hAnsiTheme="minorEastAsia" w:eastAsiaTheme="minorEastAsia"/>
                <w:bCs/>
                <w:color w:val="000000" w:themeColor="text1"/>
                <w:kern w:val="2"/>
                <w:szCs w:val="24"/>
                <w:highlight w:val="none"/>
              </w:rPr>
            </w:pPr>
            <w:r>
              <w:rPr>
                <w:rFonts w:asciiTheme="minorEastAsia" w:hAnsiTheme="minorEastAsia" w:eastAsiaTheme="minorEastAsia"/>
                <w:bCs/>
                <w:color w:val="000000" w:themeColor="text1"/>
                <w:kern w:val="2"/>
                <w:szCs w:val="24"/>
                <w:highlight w:val="none"/>
              </w:rPr>
              <w:t>吨</w:t>
            </w:r>
          </w:p>
        </w:tc>
        <w:tc>
          <w:tcPr>
            <w:tcW w:w="2268" w:type="dxa"/>
            <w:vAlign w:val="center"/>
          </w:tcPr>
          <w:p w14:paraId="345F4609">
            <w:pPr>
              <w:pStyle w:val="42"/>
              <w:widowControl w:val="0"/>
              <w:snapToGrid w:val="0"/>
              <w:spacing w:before="0" w:beforeAutospacing="0" w:after="0" w:afterAutospacing="0" w:line="360" w:lineRule="auto"/>
              <w:rPr>
                <w:rFonts w:hint="default" w:asciiTheme="minorEastAsia" w:hAnsiTheme="minorEastAsia" w:eastAsiaTheme="minorEastAsia"/>
                <w:bCs/>
                <w:color w:val="000000" w:themeColor="text1"/>
                <w:kern w:val="2"/>
                <w:szCs w:val="24"/>
                <w:highlight w:val="none"/>
                <w:lang w:val="en-US" w:eastAsia="zh-CN"/>
              </w:rPr>
            </w:pPr>
            <w:r>
              <w:rPr>
                <w:rFonts w:hint="eastAsia" w:asciiTheme="minorEastAsia" w:hAnsiTheme="minorEastAsia" w:eastAsiaTheme="minorEastAsia"/>
                <w:bCs/>
                <w:color w:val="000000" w:themeColor="text1"/>
                <w:kern w:val="2"/>
                <w:szCs w:val="24"/>
                <w:highlight w:val="none"/>
                <w:lang w:val="en-US" w:eastAsia="zh-CN"/>
              </w:rPr>
              <w:t>341000.00</w:t>
            </w:r>
          </w:p>
        </w:tc>
        <w:tc>
          <w:tcPr>
            <w:tcW w:w="831" w:type="dxa"/>
            <w:vAlign w:val="center"/>
          </w:tcPr>
          <w:p w14:paraId="59270DDD">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p>
        </w:tc>
      </w:tr>
      <w:tr w14:paraId="7157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4C52A436">
            <w:pPr>
              <w:pStyle w:val="42"/>
              <w:widowControl w:val="0"/>
              <w:snapToGrid w:val="0"/>
              <w:spacing w:before="0" w:beforeAutospacing="0" w:after="0" w:afterAutospacing="0" w:line="360" w:lineRule="auto"/>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2</w:t>
            </w:r>
          </w:p>
        </w:tc>
        <w:tc>
          <w:tcPr>
            <w:tcW w:w="3686" w:type="dxa"/>
            <w:vAlign w:val="center"/>
          </w:tcPr>
          <w:p w14:paraId="0221CF78">
            <w:pPr>
              <w:pStyle w:val="42"/>
              <w:widowControl w:val="0"/>
              <w:snapToGrid w:val="0"/>
              <w:spacing w:before="0" w:beforeAutospacing="0" w:after="0" w:afterAutospacing="0" w:line="240" w:lineRule="auto"/>
              <w:rPr>
                <w:rFonts w:hint="eastAsia" w:asciiTheme="minorEastAsia" w:hAnsiTheme="minorEastAsia" w:eastAsiaTheme="minorEastAsia"/>
                <w:bCs/>
                <w:color w:val="000000" w:themeColor="text1"/>
                <w:kern w:val="2"/>
                <w:szCs w:val="24"/>
                <w:highlight w:val="none"/>
                <w:lang w:eastAsia="zh-CN"/>
              </w:rPr>
            </w:pPr>
            <w:r>
              <w:rPr>
                <w:rFonts w:hint="eastAsia" w:asciiTheme="minorEastAsia" w:hAnsiTheme="minorEastAsia" w:eastAsiaTheme="minorEastAsia"/>
                <w:bCs/>
                <w:color w:val="000000" w:themeColor="text1"/>
                <w:kern w:val="2"/>
                <w:szCs w:val="24"/>
                <w:highlight w:val="none"/>
                <w:lang w:eastAsia="zh-CN"/>
              </w:rPr>
              <w:t>牛角圩、百步村区块</w:t>
            </w:r>
          </w:p>
        </w:tc>
        <w:tc>
          <w:tcPr>
            <w:tcW w:w="850" w:type="dxa"/>
            <w:vAlign w:val="center"/>
          </w:tcPr>
          <w:p w14:paraId="5E0DEC2E">
            <w:pPr>
              <w:pStyle w:val="42"/>
              <w:widowControl w:val="0"/>
              <w:snapToGrid w:val="0"/>
              <w:spacing w:before="0" w:beforeAutospacing="0" w:after="0" w:afterAutospacing="0" w:line="360" w:lineRule="auto"/>
              <w:rPr>
                <w:rFonts w:hint="default" w:asciiTheme="minorEastAsia" w:hAnsiTheme="minorEastAsia" w:eastAsiaTheme="minorEastAsia"/>
                <w:bCs/>
                <w:color w:val="000000" w:themeColor="text1"/>
                <w:kern w:val="2"/>
                <w:szCs w:val="24"/>
                <w:highlight w:val="none"/>
                <w:lang w:val="en-US" w:eastAsia="zh-CN"/>
              </w:rPr>
            </w:pPr>
            <w:r>
              <w:rPr>
                <w:rFonts w:hint="eastAsia" w:asciiTheme="minorEastAsia" w:hAnsiTheme="minorEastAsia" w:eastAsiaTheme="minorEastAsia"/>
                <w:bCs/>
                <w:color w:val="000000" w:themeColor="text1"/>
                <w:kern w:val="2"/>
                <w:szCs w:val="24"/>
                <w:highlight w:val="none"/>
                <w:lang w:val="en-US" w:eastAsia="zh-CN"/>
              </w:rPr>
              <w:t>290</w:t>
            </w:r>
          </w:p>
        </w:tc>
        <w:tc>
          <w:tcPr>
            <w:tcW w:w="851" w:type="dxa"/>
          </w:tcPr>
          <w:p w14:paraId="7F8755B1">
            <w:pPr>
              <w:pStyle w:val="42"/>
              <w:widowControl w:val="0"/>
              <w:snapToGrid w:val="0"/>
              <w:spacing w:before="0" w:beforeAutospacing="0" w:after="0" w:afterAutospacing="0" w:line="360" w:lineRule="auto"/>
              <w:rPr>
                <w:rFonts w:asciiTheme="minorEastAsia" w:hAnsiTheme="minorEastAsia" w:eastAsiaTheme="minorEastAsia"/>
                <w:bCs/>
                <w:color w:val="000000" w:themeColor="text1"/>
                <w:kern w:val="2"/>
                <w:szCs w:val="24"/>
                <w:highlight w:val="none"/>
              </w:rPr>
            </w:pPr>
            <w:r>
              <w:rPr>
                <w:rFonts w:asciiTheme="minorEastAsia" w:hAnsiTheme="minorEastAsia" w:eastAsiaTheme="minorEastAsia"/>
                <w:bCs/>
                <w:color w:val="000000" w:themeColor="text1"/>
                <w:kern w:val="2"/>
                <w:szCs w:val="24"/>
                <w:highlight w:val="none"/>
              </w:rPr>
              <w:t>吨</w:t>
            </w:r>
          </w:p>
        </w:tc>
        <w:tc>
          <w:tcPr>
            <w:tcW w:w="2268" w:type="dxa"/>
            <w:vAlign w:val="center"/>
          </w:tcPr>
          <w:p w14:paraId="46F7640F">
            <w:pPr>
              <w:pStyle w:val="42"/>
              <w:widowControl w:val="0"/>
              <w:snapToGrid w:val="0"/>
              <w:spacing w:before="0" w:beforeAutospacing="0" w:after="0" w:afterAutospacing="0" w:line="360" w:lineRule="auto"/>
              <w:rPr>
                <w:rFonts w:hint="default" w:asciiTheme="minorEastAsia" w:hAnsiTheme="minorEastAsia" w:eastAsiaTheme="minorEastAsia"/>
                <w:bCs/>
                <w:color w:val="000000" w:themeColor="text1"/>
                <w:kern w:val="2"/>
                <w:szCs w:val="24"/>
                <w:highlight w:val="none"/>
                <w:lang w:val="en-US" w:eastAsia="zh-CN"/>
              </w:rPr>
            </w:pPr>
            <w:r>
              <w:rPr>
                <w:rFonts w:hint="eastAsia" w:asciiTheme="minorEastAsia" w:hAnsiTheme="minorEastAsia" w:eastAsiaTheme="minorEastAsia"/>
                <w:bCs/>
                <w:color w:val="000000" w:themeColor="text1"/>
                <w:kern w:val="2"/>
                <w:szCs w:val="24"/>
                <w:highlight w:val="none"/>
                <w:lang w:val="en-US" w:eastAsia="zh-CN"/>
              </w:rPr>
              <w:t>334000.00</w:t>
            </w:r>
          </w:p>
        </w:tc>
        <w:tc>
          <w:tcPr>
            <w:tcW w:w="831" w:type="dxa"/>
            <w:vAlign w:val="center"/>
          </w:tcPr>
          <w:p w14:paraId="3206C3F6">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p>
        </w:tc>
      </w:tr>
      <w:tr w14:paraId="31D6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7F9CCA8A">
            <w:pPr>
              <w:pStyle w:val="42"/>
              <w:widowControl w:val="0"/>
              <w:snapToGrid w:val="0"/>
              <w:spacing w:before="0" w:beforeAutospacing="0" w:after="0" w:afterAutospacing="0" w:line="360" w:lineRule="auto"/>
              <w:rPr>
                <w:rFonts w:hint="eastAsia"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3</w:t>
            </w:r>
          </w:p>
        </w:tc>
        <w:tc>
          <w:tcPr>
            <w:tcW w:w="3686" w:type="dxa"/>
            <w:vAlign w:val="center"/>
          </w:tcPr>
          <w:p w14:paraId="0F78C9CD">
            <w:pPr>
              <w:pStyle w:val="42"/>
              <w:widowControl w:val="0"/>
              <w:snapToGrid w:val="0"/>
              <w:spacing w:before="0" w:beforeAutospacing="0" w:after="0" w:afterAutospacing="0" w:line="240" w:lineRule="auto"/>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横樟、五部、黄南、洋坑埠头、燕田、山徐村区块</w:t>
            </w:r>
          </w:p>
        </w:tc>
        <w:tc>
          <w:tcPr>
            <w:tcW w:w="850" w:type="dxa"/>
            <w:vAlign w:val="center"/>
          </w:tcPr>
          <w:p w14:paraId="528216B6">
            <w:pPr>
              <w:pStyle w:val="42"/>
              <w:widowControl w:val="0"/>
              <w:snapToGrid w:val="0"/>
              <w:spacing w:before="0" w:beforeAutospacing="0" w:after="0" w:afterAutospacing="0" w:line="360" w:lineRule="auto"/>
              <w:rPr>
                <w:rFonts w:hint="default" w:asciiTheme="minorEastAsia" w:hAnsiTheme="minorEastAsia" w:eastAsiaTheme="minorEastAsia"/>
                <w:bCs/>
                <w:color w:val="000000" w:themeColor="text1"/>
                <w:kern w:val="2"/>
                <w:szCs w:val="24"/>
                <w:highlight w:val="none"/>
                <w:lang w:val="en-US" w:eastAsia="zh-CN"/>
              </w:rPr>
            </w:pPr>
            <w:r>
              <w:rPr>
                <w:rFonts w:hint="eastAsia" w:asciiTheme="minorEastAsia" w:hAnsiTheme="minorEastAsia" w:eastAsiaTheme="minorEastAsia"/>
                <w:bCs/>
                <w:color w:val="000000" w:themeColor="text1"/>
                <w:kern w:val="2"/>
                <w:szCs w:val="24"/>
                <w:highlight w:val="none"/>
                <w:lang w:val="en-US" w:eastAsia="zh-CN"/>
              </w:rPr>
              <w:t>796</w:t>
            </w:r>
          </w:p>
        </w:tc>
        <w:tc>
          <w:tcPr>
            <w:tcW w:w="851" w:type="dxa"/>
          </w:tcPr>
          <w:p w14:paraId="5FA2B190">
            <w:pPr>
              <w:pStyle w:val="42"/>
              <w:widowControl w:val="0"/>
              <w:snapToGrid w:val="0"/>
              <w:spacing w:before="0" w:beforeAutospacing="0" w:after="0" w:afterAutospacing="0" w:line="360" w:lineRule="auto"/>
              <w:rPr>
                <w:rFonts w:asciiTheme="minorEastAsia" w:hAnsiTheme="minorEastAsia" w:eastAsiaTheme="minorEastAsia"/>
                <w:bCs/>
                <w:color w:val="000000" w:themeColor="text1"/>
                <w:kern w:val="2"/>
                <w:szCs w:val="24"/>
                <w:highlight w:val="none"/>
              </w:rPr>
            </w:pPr>
            <w:r>
              <w:rPr>
                <w:rFonts w:asciiTheme="minorEastAsia" w:hAnsiTheme="minorEastAsia" w:eastAsiaTheme="minorEastAsia"/>
                <w:bCs/>
                <w:color w:val="000000" w:themeColor="text1"/>
                <w:kern w:val="2"/>
                <w:szCs w:val="24"/>
                <w:highlight w:val="none"/>
              </w:rPr>
              <w:t>吨</w:t>
            </w:r>
          </w:p>
        </w:tc>
        <w:tc>
          <w:tcPr>
            <w:tcW w:w="2268" w:type="dxa"/>
            <w:vAlign w:val="center"/>
          </w:tcPr>
          <w:p w14:paraId="0CB5DCD8">
            <w:pPr>
              <w:pStyle w:val="42"/>
              <w:widowControl w:val="0"/>
              <w:snapToGrid w:val="0"/>
              <w:spacing w:before="0" w:beforeAutospacing="0" w:after="0" w:afterAutospacing="0" w:line="360" w:lineRule="auto"/>
              <w:rPr>
                <w:rFonts w:hint="default" w:asciiTheme="minorEastAsia" w:hAnsiTheme="minorEastAsia" w:eastAsiaTheme="minorEastAsia"/>
                <w:bCs/>
                <w:color w:val="000000" w:themeColor="text1"/>
                <w:kern w:val="2"/>
                <w:szCs w:val="24"/>
                <w:highlight w:val="none"/>
                <w:lang w:val="en-US" w:eastAsia="zh-CN"/>
              </w:rPr>
            </w:pPr>
            <w:r>
              <w:rPr>
                <w:rFonts w:hint="eastAsia" w:asciiTheme="minorEastAsia" w:hAnsiTheme="minorEastAsia" w:eastAsiaTheme="minorEastAsia"/>
                <w:bCs/>
                <w:color w:val="000000" w:themeColor="text1"/>
                <w:kern w:val="2"/>
                <w:szCs w:val="24"/>
                <w:highlight w:val="none"/>
                <w:lang w:val="en-US" w:eastAsia="zh-CN"/>
              </w:rPr>
              <w:t>915000.00</w:t>
            </w:r>
          </w:p>
        </w:tc>
        <w:tc>
          <w:tcPr>
            <w:tcW w:w="831" w:type="dxa"/>
            <w:vAlign w:val="center"/>
          </w:tcPr>
          <w:p w14:paraId="0AC5C6B3">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p>
        </w:tc>
      </w:tr>
      <w:tr w14:paraId="1713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696F2753">
            <w:pPr>
              <w:pStyle w:val="42"/>
              <w:widowControl w:val="0"/>
              <w:snapToGrid w:val="0"/>
              <w:spacing w:before="0" w:beforeAutospacing="0" w:after="0" w:afterAutospacing="0" w:line="360" w:lineRule="auto"/>
              <w:rPr>
                <w:rFonts w:hint="eastAsia"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4</w:t>
            </w:r>
          </w:p>
        </w:tc>
        <w:tc>
          <w:tcPr>
            <w:tcW w:w="3686" w:type="dxa"/>
            <w:vAlign w:val="center"/>
          </w:tcPr>
          <w:p w14:paraId="3C5C325A">
            <w:pPr>
              <w:pStyle w:val="42"/>
              <w:widowControl w:val="0"/>
              <w:snapToGrid w:val="0"/>
              <w:spacing w:before="0" w:beforeAutospacing="0" w:after="0" w:afterAutospacing="0" w:line="240" w:lineRule="auto"/>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二滩坝村区块</w:t>
            </w:r>
          </w:p>
        </w:tc>
        <w:tc>
          <w:tcPr>
            <w:tcW w:w="850" w:type="dxa"/>
            <w:vAlign w:val="center"/>
          </w:tcPr>
          <w:p w14:paraId="6681A174">
            <w:pPr>
              <w:pStyle w:val="42"/>
              <w:widowControl w:val="0"/>
              <w:snapToGrid w:val="0"/>
              <w:spacing w:before="0" w:beforeAutospacing="0" w:after="0" w:afterAutospacing="0" w:line="360" w:lineRule="auto"/>
              <w:rPr>
                <w:rFonts w:hint="default" w:asciiTheme="minorEastAsia" w:hAnsiTheme="minorEastAsia" w:eastAsiaTheme="minorEastAsia"/>
                <w:bCs/>
                <w:color w:val="000000" w:themeColor="text1"/>
                <w:kern w:val="2"/>
                <w:szCs w:val="24"/>
                <w:highlight w:val="none"/>
                <w:lang w:val="en-US" w:eastAsia="zh-CN"/>
              </w:rPr>
            </w:pPr>
            <w:r>
              <w:rPr>
                <w:rFonts w:hint="eastAsia" w:asciiTheme="minorEastAsia" w:hAnsiTheme="minorEastAsia" w:eastAsiaTheme="minorEastAsia"/>
                <w:bCs/>
                <w:color w:val="000000" w:themeColor="text1"/>
                <w:kern w:val="2"/>
                <w:szCs w:val="24"/>
                <w:highlight w:val="none"/>
                <w:lang w:val="en-US" w:eastAsia="zh-CN"/>
              </w:rPr>
              <w:t>143</w:t>
            </w:r>
          </w:p>
        </w:tc>
        <w:tc>
          <w:tcPr>
            <w:tcW w:w="851" w:type="dxa"/>
          </w:tcPr>
          <w:p w14:paraId="54A3AA00">
            <w:pPr>
              <w:pStyle w:val="42"/>
              <w:widowControl w:val="0"/>
              <w:snapToGrid w:val="0"/>
              <w:spacing w:before="0" w:beforeAutospacing="0" w:after="0" w:afterAutospacing="0" w:line="360" w:lineRule="auto"/>
              <w:rPr>
                <w:rFonts w:asciiTheme="minorEastAsia" w:hAnsiTheme="minorEastAsia" w:eastAsiaTheme="minorEastAsia"/>
                <w:bCs/>
                <w:color w:val="000000" w:themeColor="text1"/>
                <w:kern w:val="2"/>
                <w:szCs w:val="24"/>
                <w:highlight w:val="none"/>
              </w:rPr>
            </w:pPr>
            <w:r>
              <w:rPr>
                <w:rFonts w:asciiTheme="minorEastAsia" w:hAnsiTheme="minorEastAsia" w:eastAsiaTheme="minorEastAsia"/>
                <w:bCs/>
                <w:color w:val="000000" w:themeColor="text1"/>
                <w:kern w:val="2"/>
                <w:szCs w:val="24"/>
                <w:highlight w:val="none"/>
              </w:rPr>
              <w:t>吨</w:t>
            </w:r>
          </w:p>
        </w:tc>
        <w:tc>
          <w:tcPr>
            <w:tcW w:w="2268" w:type="dxa"/>
            <w:vAlign w:val="center"/>
          </w:tcPr>
          <w:p w14:paraId="6E7D0B4F">
            <w:pPr>
              <w:pStyle w:val="42"/>
              <w:widowControl w:val="0"/>
              <w:snapToGrid w:val="0"/>
              <w:spacing w:before="0" w:beforeAutospacing="0" w:after="0" w:afterAutospacing="0" w:line="360" w:lineRule="auto"/>
              <w:rPr>
                <w:rFonts w:hint="default" w:asciiTheme="minorEastAsia" w:hAnsiTheme="minorEastAsia" w:eastAsiaTheme="minorEastAsia"/>
                <w:bCs/>
                <w:color w:val="000000" w:themeColor="text1"/>
                <w:kern w:val="2"/>
                <w:szCs w:val="24"/>
                <w:highlight w:val="none"/>
                <w:lang w:val="en-US" w:eastAsia="zh-CN"/>
              </w:rPr>
            </w:pPr>
            <w:r>
              <w:rPr>
                <w:rFonts w:hint="eastAsia" w:asciiTheme="minorEastAsia" w:hAnsiTheme="minorEastAsia" w:eastAsiaTheme="minorEastAsia"/>
                <w:bCs/>
                <w:color w:val="000000" w:themeColor="text1"/>
                <w:kern w:val="2"/>
                <w:szCs w:val="24"/>
                <w:highlight w:val="none"/>
                <w:lang w:val="en-US" w:eastAsia="zh-CN"/>
              </w:rPr>
              <w:t>165000.00</w:t>
            </w:r>
          </w:p>
        </w:tc>
        <w:tc>
          <w:tcPr>
            <w:tcW w:w="831" w:type="dxa"/>
            <w:vAlign w:val="center"/>
          </w:tcPr>
          <w:p w14:paraId="34599C6D">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p>
        </w:tc>
      </w:tr>
      <w:tr w14:paraId="1DD0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736CB16A">
            <w:pPr>
              <w:pStyle w:val="42"/>
              <w:widowControl w:val="0"/>
              <w:snapToGrid w:val="0"/>
              <w:spacing w:before="0" w:beforeAutospacing="0" w:after="0" w:afterAutospacing="0" w:line="360" w:lineRule="auto"/>
              <w:rPr>
                <w:rFonts w:hint="eastAsia"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5</w:t>
            </w:r>
          </w:p>
        </w:tc>
        <w:tc>
          <w:tcPr>
            <w:tcW w:w="3686" w:type="dxa"/>
            <w:vAlign w:val="center"/>
          </w:tcPr>
          <w:p w14:paraId="5D2EA330">
            <w:pPr>
              <w:pStyle w:val="42"/>
              <w:widowControl w:val="0"/>
              <w:snapToGrid w:val="0"/>
              <w:spacing w:before="0" w:beforeAutospacing="0" w:after="0" w:afterAutospacing="0" w:line="240" w:lineRule="auto"/>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大东坝、灯塔、后宅、山头、蔡宅、下宅街、茶排村区块</w:t>
            </w:r>
          </w:p>
        </w:tc>
        <w:tc>
          <w:tcPr>
            <w:tcW w:w="850" w:type="dxa"/>
            <w:vAlign w:val="center"/>
          </w:tcPr>
          <w:p w14:paraId="0739B4CC">
            <w:pPr>
              <w:pStyle w:val="42"/>
              <w:widowControl w:val="0"/>
              <w:snapToGrid w:val="0"/>
              <w:spacing w:before="0" w:beforeAutospacing="0" w:after="0" w:afterAutospacing="0" w:line="360" w:lineRule="auto"/>
              <w:rPr>
                <w:rFonts w:hint="default" w:asciiTheme="minorEastAsia" w:hAnsiTheme="minorEastAsia" w:eastAsiaTheme="minorEastAsia"/>
                <w:bCs/>
                <w:color w:val="000000" w:themeColor="text1"/>
                <w:kern w:val="2"/>
                <w:szCs w:val="24"/>
                <w:highlight w:val="none"/>
                <w:lang w:val="en-US" w:eastAsia="zh-CN"/>
              </w:rPr>
            </w:pPr>
            <w:r>
              <w:rPr>
                <w:rFonts w:hint="eastAsia" w:asciiTheme="minorEastAsia" w:hAnsiTheme="minorEastAsia" w:eastAsiaTheme="minorEastAsia"/>
                <w:bCs/>
                <w:color w:val="000000" w:themeColor="text1"/>
                <w:kern w:val="2"/>
                <w:szCs w:val="24"/>
                <w:highlight w:val="none"/>
                <w:lang w:val="en-US" w:eastAsia="zh-CN"/>
              </w:rPr>
              <w:t>717</w:t>
            </w:r>
          </w:p>
        </w:tc>
        <w:tc>
          <w:tcPr>
            <w:tcW w:w="851" w:type="dxa"/>
          </w:tcPr>
          <w:p w14:paraId="46E4400E">
            <w:pPr>
              <w:pStyle w:val="42"/>
              <w:widowControl w:val="0"/>
              <w:snapToGrid w:val="0"/>
              <w:spacing w:before="0" w:beforeAutospacing="0" w:after="0" w:afterAutospacing="0" w:line="360" w:lineRule="auto"/>
              <w:rPr>
                <w:rFonts w:asciiTheme="minorEastAsia" w:hAnsiTheme="minorEastAsia" w:eastAsiaTheme="minorEastAsia"/>
                <w:bCs/>
                <w:color w:val="000000" w:themeColor="text1"/>
                <w:kern w:val="2"/>
                <w:szCs w:val="24"/>
                <w:highlight w:val="none"/>
              </w:rPr>
            </w:pPr>
            <w:r>
              <w:rPr>
                <w:rFonts w:asciiTheme="minorEastAsia" w:hAnsiTheme="minorEastAsia" w:eastAsiaTheme="minorEastAsia"/>
                <w:bCs/>
                <w:color w:val="000000" w:themeColor="text1"/>
                <w:kern w:val="2"/>
                <w:szCs w:val="24"/>
                <w:highlight w:val="none"/>
              </w:rPr>
              <w:t>吨</w:t>
            </w:r>
          </w:p>
        </w:tc>
        <w:tc>
          <w:tcPr>
            <w:tcW w:w="2268" w:type="dxa"/>
            <w:vAlign w:val="center"/>
          </w:tcPr>
          <w:p w14:paraId="026837CC">
            <w:pPr>
              <w:pStyle w:val="42"/>
              <w:widowControl w:val="0"/>
              <w:snapToGrid w:val="0"/>
              <w:spacing w:before="0" w:beforeAutospacing="0" w:after="0" w:afterAutospacing="0" w:line="360" w:lineRule="auto"/>
              <w:rPr>
                <w:rFonts w:hint="default" w:asciiTheme="minorEastAsia" w:hAnsiTheme="minorEastAsia" w:eastAsiaTheme="minorEastAsia"/>
                <w:bCs/>
                <w:color w:val="000000" w:themeColor="text1"/>
                <w:kern w:val="2"/>
                <w:szCs w:val="24"/>
                <w:highlight w:val="none"/>
                <w:lang w:val="en-US" w:eastAsia="zh-CN"/>
              </w:rPr>
            </w:pPr>
            <w:r>
              <w:rPr>
                <w:rFonts w:hint="eastAsia" w:asciiTheme="minorEastAsia" w:hAnsiTheme="minorEastAsia" w:eastAsiaTheme="minorEastAsia"/>
                <w:bCs/>
                <w:color w:val="000000" w:themeColor="text1"/>
                <w:kern w:val="2"/>
                <w:szCs w:val="24"/>
                <w:highlight w:val="none"/>
                <w:lang w:val="en-US" w:eastAsia="zh-CN"/>
              </w:rPr>
              <w:t>825000.00</w:t>
            </w:r>
          </w:p>
        </w:tc>
        <w:tc>
          <w:tcPr>
            <w:tcW w:w="831" w:type="dxa"/>
            <w:vAlign w:val="center"/>
          </w:tcPr>
          <w:p w14:paraId="474E7B97">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p>
        </w:tc>
      </w:tr>
    </w:tbl>
    <w:p w14:paraId="533D5F4C">
      <w:pPr>
        <w:pStyle w:val="43"/>
        <w:spacing w:beforeLines="100" w:afterLines="100"/>
        <w:jc w:val="left"/>
        <w:outlineLvl w:val="1"/>
        <w:rPr>
          <w:rFonts w:cs="宋体" w:asciiTheme="minorEastAsia" w:hAnsiTheme="minorEastAsia" w:eastAsiaTheme="minorEastAsia"/>
          <w:color w:val="000000" w:themeColor="text1"/>
          <w:sz w:val="24"/>
          <w:szCs w:val="24"/>
          <w:highlight w:val="none"/>
        </w:rPr>
      </w:pPr>
      <w:r>
        <w:rPr>
          <w:rFonts w:cs="宋体" w:asciiTheme="minorEastAsia" w:hAnsiTheme="minorEastAsia" w:eastAsiaTheme="minorEastAsia"/>
          <w:color w:val="000000" w:themeColor="text1"/>
          <w:sz w:val="24"/>
          <w:szCs w:val="24"/>
          <w:highlight w:val="none"/>
        </w:rPr>
        <w:t xml:space="preserve">二、服务要求： </w:t>
      </w:r>
    </w:p>
    <w:p w14:paraId="7E58A49D">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1、概况：为有效开展松材线虫病防治工作，根据《中华人民共和国民法典》《松材线虫病疫区和疫木管理办法》《松材线虫病防治技术方案（2022年版）》《浙江省松材线虫病防治条例》等有关规定。采用择伐等方式，在规定期限对约定范围内所有病死、枯死等死亡的松树进行除治，并对伐除的松木、清理的枝桠以及伐桩进行管理、处理。</w:t>
      </w:r>
    </w:p>
    <w:p w14:paraId="16438013">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u w:val="single"/>
        </w:rPr>
      </w:pPr>
      <w:r>
        <w:rPr>
          <w:rFonts w:hint="eastAsia" w:asciiTheme="minorEastAsia" w:hAnsiTheme="minorEastAsia" w:eastAsiaTheme="minorEastAsia"/>
          <w:bCs/>
          <w:color w:val="000000" w:themeColor="text1"/>
          <w:kern w:val="2"/>
          <w:szCs w:val="24"/>
          <w:highlight w:val="none"/>
          <w:u w:val="single"/>
        </w:rPr>
        <w:t>2、服务范围（村、山场）：该区块辖区疫木</w:t>
      </w:r>
    </w:p>
    <w:p w14:paraId="27FF3783">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u w:val="single"/>
        </w:rPr>
      </w:pPr>
      <w:r>
        <w:rPr>
          <w:rFonts w:hint="eastAsia" w:asciiTheme="minorEastAsia" w:hAnsiTheme="minorEastAsia" w:eastAsiaTheme="minorEastAsia"/>
          <w:bCs/>
          <w:color w:val="000000" w:themeColor="text1"/>
          <w:kern w:val="2"/>
          <w:szCs w:val="24"/>
          <w:highlight w:val="none"/>
          <w:u w:val="single"/>
        </w:rPr>
        <w:t>3、面    积：该区块辖区面积</w:t>
      </w:r>
    </w:p>
    <w:p w14:paraId="4C850C0E">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4、服务时间：集中除治阶段：合同签订至20</w:t>
      </w:r>
      <w:r>
        <w:rPr>
          <w:rFonts w:hint="eastAsia" w:asciiTheme="minorEastAsia" w:hAnsiTheme="minorEastAsia" w:eastAsiaTheme="minorEastAsia"/>
          <w:bCs/>
          <w:color w:val="000000" w:themeColor="text1"/>
          <w:kern w:val="2"/>
          <w:szCs w:val="24"/>
          <w:highlight w:val="none"/>
          <w:lang w:val="en-US" w:eastAsia="zh-CN"/>
        </w:rPr>
        <w:t>25</w:t>
      </w:r>
      <w:r>
        <w:rPr>
          <w:rFonts w:hint="eastAsia" w:asciiTheme="minorEastAsia" w:hAnsiTheme="minorEastAsia" w:eastAsiaTheme="minorEastAsia"/>
          <w:bCs/>
          <w:color w:val="000000" w:themeColor="text1"/>
          <w:kern w:val="2"/>
          <w:szCs w:val="24"/>
          <w:highlight w:val="none"/>
        </w:rPr>
        <w:t>年3月31日。除治对象：集中除治阶段，施工范围内所有</w:t>
      </w:r>
      <w:bookmarkStart w:id="48" w:name="_Hlk112940484"/>
      <w:r>
        <w:rPr>
          <w:rFonts w:hint="eastAsia" w:asciiTheme="minorEastAsia" w:hAnsiTheme="minorEastAsia" w:eastAsiaTheme="minorEastAsia"/>
          <w:bCs/>
          <w:color w:val="000000" w:themeColor="text1"/>
          <w:kern w:val="2"/>
          <w:szCs w:val="24"/>
          <w:highlight w:val="none"/>
        </w:rPr>
        <w:t>病死</w:t>
      </w:r>
      <w:bookmarkEnd w:id="48"/>
      <w:r>
        <w:rPr>
          <w:rFonts w:hint="eastAsia" w:asciiTheme="minorEastAsia" w:hAnsiTheme="minorEastAsia" w:eastAsiaTheme="minorEastAsia"/>
          <w:bCs/>
          <w:color w:val="000000" w:themeColor="text1"/>
          <w:kern w:val="2"/>
          <w:szCs w:val="24"/>
          <w:highlight w:val="none"/>
        </w:rPr>
        <w:t>、枯死的松树，除治其主干、枝桠和伐桩；</w:t>
      </w:r>
    </w:p>
    <w:p w14:paraId="7FAC4833">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5、</w:t>
      </w:r>
      <w:r>
        <w:rPr>
          <w:rFonts w:asciiTheme="minorEastAsia" w:hAnsiTheme="minorEastAsia" w:eastAsiaTheme="minorEastAsia"/>
          <w:bCs/>
          <w:color w:val="000000" w:themeColor="text1"/>
          <w:kern w:val="2"/>
          <w:szCs w:val="24"/>
          <w:highlight w:val="none"/>
        </w:rPr>
        <w:t>服务要求：</w:t>
      </w:r>
      <w:r>
        <w:rPr>
          <w:rFonts w:hint="eastAsia" w:asciiTheme="minorEastAsia" w:hAnsiTheme="minorEastAsia" w:eastAsiaTheme="minorEastAsia"/>
          <w:bCs/>
          <w:color w:val="000000" w:themeColor="text1"/>
          <w:kern w:val="2"/>
          <w:szCs w:val="24"/>
          <w:highlight w:val="none"/>
        </w:rPr>
        <w:t>严格执行《松材线虫病防治技术方案（2022年版）》相关规定。采伐的每株枯死木需拍照上传省“数字森防”系统，每株上传3张清理照片，包含“清理前立木+胸径测量照片+伐桩测量照片”，采伐的每株枯死木需对伐桩按要求编号。</w:t>
      </w:r>
    </w:p>
    <w:p w14:paraId="22756C1E">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（1）伐桩处理：疫木伐除后，伐桩最高处上坡度面的高度不得超过5cm（上山面方向），露出泥土的树皮须全部剥除。按照《松材线虫病防治技术方案（2022年版）》相关规定处理。</w:t>
      </w:r>
    </w:p>
    <w:p w14:paraId="1BADE53F">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2）枝桠处理：除治山场范围内，清理收集所有直径大于1cm的病死（病死、不明原因枯死、濒死）和其他原因（确认由干旱、风折、雪压、火烧、环剥等）致死的松树枝桠，随疫木主干运到指定的疫木定点加工企业进行除害处理，或就近采取粉碎、烧毁等除害措施。</w:t>
      </w:r>
    </w:p>
    <w:p w14:paraId="14114D2F">
      <w:pPr>
        <w:pStyle w:val="42"/>
        <w:widowControl w:val="0"/>
        <w:snapToGrid w:val="0"/>
        <w:spacing w:before="0" w:beforeAutospacing="0" w:after="0" w:afterAutospacing="0" w:line="360" w:lineRule="auto"/>
        <w:ind w:firstLine="480" w:firstLineChars="200"/>
        <w:rPr>
          <w:rFonts w:ascii="仿宋_GB2312" w:hAnsi="仿宋_GB2312" w:eastAsia="仿宋_GB2312" w:cs="仿宋_GB2312"/>
          <w:color w:val="000000" w:themeColor="text1"/>
          <w:sz w:val="30"/>
          <w:szCs w:val="30"/>
          <w:highlight w:val="none"/>
        </w:rPr>
      </w:pPr>
      <w:r>
        <w:rPr>
          <w:rFonts w:hint="eastAsia" w:asciiTheme="minorEastAsia" w:hAnsiTheme="minorEastAsia" w:eastAsiaTheme="minorEastAsia"/>
          <w:bCs/>
          <w:color w:val="000000" w:themeColor="text1"/>
          <w:kern w:val="2"/>
          <w:szCs w:val="24"/>
          <w:highlight w:val="none"/>
        </w:rPr>
        <w:t>（3）疫木处理：伐除的松木必须及时运到指定的疫木定点企业进行安全除害处理，或就近采取粉碎、烧毁等除害措施。加强对疫木的监管，造成疫木人为流失的，按有关法律规定追究相关责任。</w:t>
      </w:r>
    </w:p>
    <w:p w14:paraId="519B95BF">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6、违约责任：</w:t>
      </w:r>
    </w:p>
    <w:p w14:paraId="68EC90BC">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1）成交人对疫木运输车辆采用专车、专人、挂牌（疫木运输专用牌，由县森防站制作发放），每辆运输车实行GPS定位，疫木起运前、过磅时及卸货后空车由驾驶员拍摄三张照片留存。无照片或者三张照片不全的车次甲方有权不予承认。成交人按要求将疫木安全送达定点疫木企业厂，禁止以任何形式任何方式用疫木资源向定点疫木处理企业索要额外补贴。</w:t>
      </w:r>
    </w:p>
    <w:p w14:paraId="26B33AE3">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2）在采购人或相关单位抽查过程中发现的每个质量问题以不低于1%的比例扣减疫木除治款，对故意藏匿主杆、枝桠、伐桩高于5cm的行为，以不低于10%的比例扣减疫木除治款。由于成交人原因，造成施工质量整体不达标或疫木流失且无法追回的，采购人可根据实际情况扣减工程进度款等款项。</w:t>
      </w:r>
    </w:p>
    <w:p w14:paraId="0E327CE4">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（3）成交人对除治的疫木及其枝桠负有管理责任，因成交人管理问题导致疫木及其枝桠流失，或未按要求运至指定疫木定点加工企业的，以不低于10%的比例扣减疫木除治款。</w:t>
      </w:r>
    </w:p>
    <w:p w14:paraId="31FBC96B">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4）由于成交人原因（除不可抗力外）不能按期完成集中除治的，每超出一天，成交人须按合同约定疫木除治款的千分之三承担违约金，在合同款项支付时一次性扣除。若超出交付期十天或以上的，采购人有权解除合同，并追偿已支付的合同款项。</w:t>
      </w:r>
    </w:p>
    <w:p w14:paraId="566E6F7B">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（5）成交人按合同要求完成除治任务，提交初验、竣工验收资料并经县级验收合格后，采购人须按照有关规定及时付款。</w:t>
      </w:r>
    </w:p>
    <w:p w14:paraId="7C720DBF">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（6）</w:t>
      </w:r>
      <w:r>
        <w:rPr>
          <w:rFonts w:hint="eastAsia" w:asciiTheme="minorEastAsia" w:hAnsiTheme="minorEastAsia" w:eastAsiaTheme="minorEastAsia"/>
          <w:bCs/>
          <w:color w:val="000000" w:themeColor="text1"/>
          <w:szCs w:val="24"/>
          <w:highlight w:val="none"/>
        </w:rPr>
        <w:t>成交人</w:t>
      </w:r>
      <w:r>
        <w:rPr>
          <w:rFonts w:hint="eastAsia" w:asciiTheme="minorEastAsia" w:hAnsiTheme="minorEastAsia" w:eastAsiaTheme="minorEastAsia"/>
          <w:bCs/>
          <w:color w:val="000000" w:themeColor="text1"/>
          <w:kern w:val="2"/>
          <w:szCs w:val="24"/>
          <w:highlight w:val="none"/>
        </w:rPr>
        <w:t>按要求除治疫木，除治的枯病死松木必须整株松针全部枯黄才能进行清理。若发现有历年疫木、非法采伐活松及其他树木进厂的由县林业主管部门派驻的监管员按活松木、其他树木每段（不分大小长短）扣减200公斤，往年疫木每段（不分大小长短）扣减100公斤重量，由于砍伐活树等造成信访和赔偿费用成交人承担。</w:t>
      </w:r>
    </w:p>
    <w:p w14:paraId="742732AE">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（7）</w:t>
      </w:r>
      <w:r>
        <w:rPr>
          <w:rFonts w:hint="eastAsia" w:asciiTheme="minorEastAsia" w:hAnsiTheme="minorEastAsia" w:eastAsiaTheme="minorEastAsia"/>
          <w:bCs/>
          <w:color w:val="000000" w:themeColor="text1"/>
          <w:szCs w:val="24"/>
          <w:highlight w:val="none"/>
        </w:rPr>
        <w:t xml:space="preserve"> 成交人</w:t>
      </w:r>
      <w:r>
        <w:rPr>
          <w:rFonts w:hint="eastAsia" w:asciiTheme="minorEastAsia" w:hAnsiTheme="minorEastAsia" w:eastAsiaTheme="minorEastAsia"/>
          <w:bCs/>
          <w:color w:val="000000" w:themeColor="text1"/>
          <w:kern w:val="2"/>
          <w:szCs w:val="24"/>
          <w:highlight w:val="none"/>
        </w:rPr>
        <w:t>承包除治小班被省、市督查检查发现问题严重的，给予每个小班扣除2000元除治经费和黄牌警告。</w:t>
      </w:r>
    </w:p>
    <w:p w14:paraId="5721005D">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（8）</w:t>
      </w:r>
      <w:r>
        <w:rPr>
          <w:rFonts w:hint="eastAsia" w:asciiTheme="minorEastAsia" w:hAnsiTheme="minorEastAsia" w:eastAsiaTheme="minorEastAsia"/>
          <w:bCs/>
          <w:color w:val="000000" w:themeColor="text1"/>
          <w:szCs w:val="24"/>
          <w:highlight w:val="none"/>
        </w:rPr>
        <w:t>成交人</w:t>
      </w:r>
      <w:r>
        <w:rPr>
          <w:rFonts w:hint="eastAsia" w:asciiTheme="minorEastAsia" w:hAnsiTheme="minorEastAsia" w:eastAsiaTheme="minorEastAsia"/>
          <w:bCs/>
          <w:color w:val="000000" w:themeColor="text1"/>
          <w:kern w:val="2"/>
          <w:szCs w:val="24"/>
          <w:highlight w:val="none"/>
        </w:rPr>
        <w:t>未按要求落实疫木除治清理质量，阻碍和影响验收工作，发现有藏匿疫木（枝桠）行为的，第1次每小班扣除除治经费5000元，第二次每个小班扣除除治经费10000元，第3次甲方有权解除合同。</w:t>
      </w:r>
    </w:p>
    <w:p w14:paraId="535F2021">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（9）</w:t>
      </w:r>
      <w:r>
        <w:rPr>
          <w:rFonts w:hint="eastAsia" w:asciiTheme="minorEastAsia" w:hAnsiTheme="minorEastAsia" w:eastAsiaTheme="minorEastAsia"/>
          <w:bCs/>
          <w:color w:val="000000" w:themeColor="text1"/>
          <w:szCs w:val="24"/>
          <w:highlight w:val="none"/>
        </w:rPr>
        <w:t>成交人</w:t>
      </w:r>
      <w:r>
        <w:rPr>
          <w:rFonts w:hint="eastAsia" w:asciiTheme="minorEastAsia" w:hAnsiTheme="minorEastAsia" w:eastAsiaTheme="minorEastAsia"/>
          <w:bCs/>
          <w:color w:val="000000" w:themeColor="text1"/>
          <w:kern w:val="2"/>
          <w:szCs w:val="24"/>
          <w:highlight w:val="none"/>
        </w:rPr>
        <w:t>未按要求落实整改的，每个不合格小班扣除清理队伍补助资金5000元，并由采购人另行委托其他清理队伍整改至合格，委托清理的费用由原清理队伍承担。</w:t>
      </w:r>
    </w:p>
    <w:p w14:paraId="0794F8DB">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（10）成交人应严格按照《松阳县202</w:t>
      </w:r>
      <w:r>
        <w:rPr>
          <w:rFonts w:hint="eastAsia" w:asciiTheme="minorEastAsia" w:hAnsiTheme="minorEastAsia" w:eastAsiaTheme="minorEastAsia"/>
          <w:bCs/>
          <w:color w:val="000000" w:themeColor="text1"/>
          <w:kern w:val="2"/>
          <w:szCs w:val="24"/>
          <w:highlight w:val="none"/>
          <w:lang w:val="en-US" w:eastAsia="zh-CN"/>
        </w:rPr>
        <w:t>4</w:t>
      </w:r>
      <w:r>
        <w:rPr>
          <w:rFonts w:hint="eastAsia" w:asciiTheme="minorEastAsia" w:hAnsiTheme="minorEastAsia" w:eastAsiaTheme="minorEastAsia"/>
          <w:bCs/>
          <w:color w:val="000000" w:themeColor="text1"/>
          <w:kern w:val="2"/>
          <w:szCs w:val="24"/>
          <w:highlight w:val="none"/>
        </w:rPr>
        <w:t>-202</w:t>
      </w:r>
      <w:r>
        <w:rPr>
          <w:rFonts w:hint="eastAsia" w:asciiTheme="minorEastAsia" w:hAnsiTheme="minorEastAsia" w:eastAsiaTheme="minorEastAsia"/>
          <w:bCs/>
          <w:color w:val="000000" w:themeColor="text1"/>
          <w:kern w:val="2"/>
          <w:szCs w:val="24"/>
          <w:highlight w:val="none"/>
          <w:lang w:val="en-US" w:eastAsia="zh-CN"/>
        </w:rPr>
        <w:t>5</w:t>
      </w:r>
      <w:r>
        <w:rPr>
          <w:rFonts w:hint="eastAsia" w:asciiTheme="minorEastAsia" w:hAnsiTheme="minorEastAsia" w:eastAsiaTheme="minorEastAsia"/>
          <w:bCs/>
          <w:color w:val="000000" w:themeColor="text1"/>
          <w:kern w:val="2"/>
          <w:szCs w:val="24"/>
          <w:highlight w:val="none"/>
        </w:rPr>
        <w:t>年度松材线虫病防控实施方案》明确的</w:t>
      </w:r>
      <w:r>
        <w:rPr>
          <w:rFonts w:hint="eastAsia" w:asciiTheme="minorEastAsia" w:hAnsiTheme="minorEastAsia" w:eastAsiaTheme="minorEastAsia"/>
          <w:bCs/>
          <w:color w:val="000000" w:themeColor="text1"/>
          <w:kern w:val="2"/>
          <w:szCs w:val="24"/>
          <w:highlight w:val="none"/>
          <w:lang w:val="zh-TW"/>
        </w:rPr>
        <w:t>防治技术规程</w:t>
      </w:r>
      <w:r>
        <w:rPr>
          <w:rFonts w:hint="eastAsia" w:asciiTheme="minorEastAsia" w:hAnsiTheme="minorEastAsia" w:eastAsiaTheme="minorEastAsia"/>
          <w:bCs/>
          <w:color w:val="000000" w:themeColor="text1"/>
          <w:kern w:val="2"/>
          <w:szCs w:val="24"/>
          <w:highlight w:val="none"/>
          <w:lang w:val="zh-TW" w:eastAsia="zh-TW"/>
        </w:rPr>
        <w:t>规定</w:t>
      </w:r>
      <w:r>
        <w:rPr>
          <w:rFonts w:hint="eastAsia" w:asciiTheme="minorEastAsia" w:hAnsiTheme="minorEastAsia" w:eastAsiaTheme="minorEastAsia"/>
          <w:bCs/>
          <w:color w:val="000000" w:themeColor="text1"/>
          <w:kern w:val="2"/>
          <w:szCs w:val="24"/>
          <w:highlight w:val="none"/>
        </w:rPr>
        <w:t>除治清理疫木。加强疫木规范除治和森林防火管控，出现森林防火火情、火灾的，每次扣减1000元。</w:t>
      </w:r>
    </w:p>
    <w:p w14:paraId="7A07690A">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（11）</w:t>
      </w:r>
      <w:r>
        <w:rPr>
          <w:rFonts w:hint="eastAsia" w:asciiTheme="minorEastAsia" w:hAnsiTheme="minorEastAsia" w:eastAsiaTheme="minorEastAsia"/>
          <w:bCs/>
          <w:color w:val="000000" w:themeColor="text1"/>
          <w:szCs w:val="24"/>
          <w:highlight w:val="none"/>
        </w:rPr>
        <w:t>成交人</w:t>
      </w:r>
      <w:r>
        <w:rPr>
          <w:rFonts w:hint="eastAsia" w:asciiTheme="minorEastAsia" w:hAnsiTheme="minorEastAsia" w:eastAsiaTheme="minorEastAsia"/>
          <w:bCs/>
          <w:color w:val="000000" w:themeColor="text1"/>
          <w:kern w:val="2"/>
          <w:szCs w:val="24"/>
          <w:highlight w:val="none"/>
        </w:rPr>
        <w:t>对疫木清理重量、清理质量的真实性和准确性负责。有虚报重量、弄虚作假、骗取财政资金的；存在层层转包及违反其他相关法律法规和规定等行为之一的，采购人有权立即解除承包合同，取消</w:t>
      </w:r>
      <w:r>
        <w:rPr>
          <w:rFonts w:hint="eastAsia" w:asciiTheme="minorEastAsia" w:hAnsiTheme="minorEastAsia" w:eastAsiaTheme="minorEastAsia"/>
          <w:bCs/>
          <w:color w:val="000000" w:themeColor="text1"/>
          <w:szCs w:val="24"/>
          <w:highlight w:val="none"/>
        </w:rPr>
        <w:t>成交人</w:t>
      </w:r>
      <w:r>
        <w:rPr>
          <w:rFonts w:hint="eastAsia" w:asciiTheme="minorEastAsia" w:hAnsiTheme="minorEastAsia" w:eastAsiaTheme="minorEastAsia"/>
          <w:bCs/>
          <w:color w:val="000000" w:themeColor="text1"/>
          <w:kern w:val="2"/>
          <w:szCs w:val="24"/>
          <w:highlight w:val="none"/>
        </w:rPr>
        <w:t>享受疫木除治经费补助政策。</w:t>
      </w:r>
    </w:p>
    <w:p w14:paraId="4769A333">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7、安全生产要求：</w:t>
      </w:r>
    </w:p>
    <w:p w14:paraId="05BDE2F3">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（1）</w:t>
      </w:r>
      <w:r>
        <w:rPr>
          <w:rFonts w:hint="eastAsia" w:asciiTheme="minorEastAsia" w:hAnsiTheme="minorEastAsia" w:eastAsiaTheme="minorEastAsia"/>
          <w:bCs/>
          <w:color w:val="000000" w:themeColor="text1"/>
          <w:szCs w:val="24"/>
          <w:highlight w:val="none"/>
        </w:rPr>
        <w:t>成交人</w:t>
      </w:r>
      <w:r>
        <w:rPr>
          <w:rFonts w:hint="eastAsia" w:asciiTheme="minorEastAsia" w:hAnsiTheme="minorEastAsia" w:eastAsiaTheme="minorEastAsia"/>
          <w:bCs/>
          <w:color w:val="000000" w:themeColor="text1"/>
          <w:kern w:val="2"/>
          <w:szCs w:val="24"/>
          <w:highlight w:val="none"/>
        </w:rPr>
        <w:t>在施工作业范围内应做好森林防火工作，并接受采购人对森林防火工作的检查指导，因</w:t>
      </w:r>
      <w:r>
        <w:rPr>
          <w:rFonts w:hint="eastAsia" w:asciiTheme="minorEastAsia" w:hAnsiTheme="minorEastAsia" w:eastAsiaTheme="minorEastAsia"/>
          <w:bCs/>
          <w:color w:val="000000" w:themeColor="text1"/>
          <w:szCs w:val="24"/>
          <w:highlight w:val="none"/>
        </w:rPr>
        <w:t>成交人</w:t>
      </w:r>
      <w:r>
        <w:rPr>
          <w:rFonts w:hint="eastAsia" w:asciiTheme="minorEastAsia" w:hAnsiTheme="minorEastAsia" w:eastAsiaTheme="minorEastAsia"/>
          <w:bCs/>
          <w:color w:val="000000" w:themeColor="text1"/>
          <w:kern w:val="2"/>
          <w:szCs w:val="24"/>
          <w:highlight w:val="none"/>
        </w:rPr>
        <w:t>作业原因产生的火灾火情后果概由</w:t>
      </w:r>
      <w:r>
        <w:rPr>
          <w:rFonts w:hint="eastAsia" w:asciiTheme="minorEastAsia" w:hAnsiTheme="minorEastAsia" w:eastAsiaTheme="minorEastAsia"/>
          <w:bCs/>
          <w:color w:val="000000" w:themeColor="text1"/>
          <w:szCs w:val="24"/>
          <w:highlight w:val="none"/>
        </w:rPr>
        <w:t>成交人</w:t>
      </w:r>
      <w:r>
        <w:rPr>
          <w:rFonts w:hint="eastAsia" w:asciiTheme="minorEastAsia" w:hAnsiTheme="minorEastAsia" w:eastAsiaTheme="minorEastAsia"/>
          <w:bCs/>
          <w:color w:val="000000" w:themeColor="text1"/>
          <w:kern w:val="2"/>
          <w:szCs w:val="24"/>
          <w:highlight w:val="none"/>
        </w:rPr>
        <w:t>负责。</w:t>
      </w:r>
    </w:p>
    <w:p w14:paraId="69A5DEC9">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（2）</w:t>
      </w:r>
      <w:r>
        <w:rPr>
          <w:rFonts w:hint="eastAsia" w:asciiTheme="minorEastAsia" w:hAnsiTheme="minorEastAsia" w:eastAsiaTheme="minorEastAsia"/>
          <w:bCs/>
          <w:color w:val="000000" w:themeColor="text1"/>
          <w:szCs w:val="24"/>
          <w:highlight w:val="none"/>
        </w:rPr>
        <w:t>成交人</w:t>
      </w:r>
      <w:r>
        <w:rPr>
          <w:rFonts w:hint="eastAsia" w:asciiTheme="minorEastAsia" w:hAnsiTheme="minorEastAsia" w:eastAsiaTheme="minorEastAsia"/>
          <w:bCs/>
          <w:color w:val="000000" w:themeColor="text1"/>
          <w:kern w:val="2"/>
          <w:szCs w:val="24"/>
          <w:highlight w:val="none"/>
        </w:rPr>
        <w:t>须对施工人员进行安全培训，加强人身安全保护意识，做到文明施工、安全施工、确保对所有清理人员进行保险。因</w:t>
      </w:r>
      <w:r>
        <w:rPr>
          <w:rFonts w:hint="eastAsia" w:asciiTheme="minorEastAsia" w:hAnsiTheme="minorEastAsia" w:eastAsiaTheme="minorEastAsia"/>
          <w:bCs/>
          <w:color w:val="000000" w:themeColor="text1"/>
          <w:szCs w:val="24"/>
          <w:highlight w:val="none"/>
        </w:rPr>
        <w:t>成交人</w:t>
      </w:r>
      <w:r>
        <w:rPr>
          <w:rFonts w:hint="eastAsia" w:asciiTheme="minorEastAsia" w:hAnsiTheme="minorEastAsia" w:eastAsiaTheme="minorEastAsia"/>
          <w:bCs/>
          <w:color w:val="000000" w:themeColor="text1"/>
          <w:kern w:val="2"/>
          <w:szCs w:val="24"/>
          <w:highlight w:val="none"/>
        </w:rPr>
        <w:t>作业原因，产生的作业人员及第三方人身伤害后果概由</w:t>
      </w:r>
      <w:r>
        <w:rPr>
          <w:rFonts w:hint="eastAsia" w:asciiTheme="minorEastAsia" w:hAnsiTheme="minorEastAsia" w:eastAsiaTheme="minorEastAsia"/>
          <w:bCs/>
          <w:color w:val="000000" w:themeColor="text1"/>
          <w:szCs w:val="24"/>
          <w:highlight w:val="none"/>
        </w:rPr>
        <w:t>成交人</w:t>
      </w:r>
      <w:r>
        <w:rPr>
          <w:rFonts w:hint="eastAsia" w:asciiTheme="minorEastAsia" w:hAnsiTheme="minorEastAsia" w:eastAsiaTheme="minorEastAsia"/>
          <w:bCs/>
          <w:color w:val="000000" w:themeColor="text1"/>
          <w:kern w:val="2"/>
          <w:szCs w:val="24"/>
          <w:highlight w:val="none"/>
        </w:rPr>
        <w:t>负责。</w:t>
      </w:r>
    </w:p>
    <w:p w14:paraId="28E25A28">
      <w:pPr>
        <w:pStyle w:val="42"/>
        <w:widowControl w:val="0"/>
        <w:numPr>
          <w:ilvl w:val="0"/>
          <w:numId w:val="2"/>
        </w:numPr>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人员要求：</w:t>
      </w:r>
    </w:p>
    <w:p w14:paraId="4ABD81C0">
      <w:pPr>
        <w:pStyle w:val="42"/>
        <w:widowControl w:val="0"/>
        <w:snapToGrid w:val="0"/>
        <w:spacing w:before="0" w:beforeAutospacing="0" w:after="0" w:afterAutospacing="0" w:line="360" w:lineRule="auto"/>
        <w:ind w:firstLine="720" w:firstLineChars="3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标项一:需配置至少</w:t>
      </w:r>
      <w:r>
        <w:rPr>
          <w:rFonts w:hint="eastAsia" w:asciiTheme="minorEastAsia" w:hAnsiTheme="minorEastAsia" w:eastAsiaTheme="minorEastAsia"/>
          <w:bCs/>
          <w:color w:val="000000" w:themeColor="text1"/>
          <w:kern w:val="2"/>
          <w:szCs w:val="24"/>
          <w:highlight w:val="none"/>
          <w:lang w:val="en-US" w:eastAsia="zh-CN"/>
        </w:rPr>
        <w:t>6</w:t>
      </w:r>
      <w:r>
        <w:rPr>
          <w:rFonts w:hint="eastAsia" w:asciiTheme="minorEastAsia" w:hAnsiTheme="minorEastAsia" w:eastAsiaTheme="minorEastAsia"/>
          <w:bCs/>
          <w:color w:val="000000" w:themeColor="text1"/>
          <w:kern w:val="2"/>
          <w:szCs w:val="24"/>
          <w:highlight w:val="none"/>
        </w:rPr>
        <w:t>名项目成员，其中管理人员不少于1人，作业人员及运输人员根据实际情况，由成交人合理配置。</w:t>
      </w:r>
    </w:p>
    <w:p w14:paraId="4F8C6F69">
      <w:pPr>
        <w:pStyle w:val="42"/>
        <w:widowControl w:val="0"/>
        <w:snapToGrid w:val="0"/>
        <w:spacing w:before="0" w:beforeAutospacing="0" w:after="0" w:afterAutospacing="0" w:line="360" w:lineRule="auto"/>
        <w:ind w:firstLine="720" w:firstLineChars="300"/>
        <w:rPr>
          <w:rFonts w:hint="eastAsia"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标项二:需配置至少</w:t>
      </w:r>
      <w:r>
        <w:rPr>
          <w:rFonts w:hint="eastAsia" w:asciiTheme="minorEastAsia" w:hAnsiTheme="minorEastAsia" w:eastAsiaTheme="minorEastAsia"/>
          <w:bCs/>
          <w:color w:val="000000" w:themeColor="text1"/>
          <w:kern w:val="2"/>
          <w:szCs w:val="24"/>
          <w:highlight w:val="none"/>
          <w:lang w:val="en-US" w:eastAsia="zh-CN"/>
        </w:rPr>
        <w:t>6</w:t>
      </w:r>
      <w:r>
        <w:rPr>
          <w:rFonts w:hint="eastAsia" w:asciiTheme="minorEastAsia" w:hAnsiTheme="minorEastAsia" w:eastAsiaTheme="minorEastAsia"/>
          <w:bCs/>
          <w:color w:val="000000" w:themeColor="text1"/>
          <w:kern w:val="2"/>
          <w:szCs w:val="24"/>
          <w:highlight w:val="none"/>
        </w:rPr>
        <w:t>名项目成员，其中管理人员不少于1人，作业人员及运输人员根据实际情况，由成交人合理配置。</w:t>
      </w:r>
    </w:p>
    <w:p w14:paraId="76D3D565">
      <w:pPr>
        <w:pStyle w:val="42"/>
        <w:widowControl w:val="0"/>
        <w:snapToGrid w:val="0"/>
        <w:spacing w:before="0" w:beforeAutospacing="0" w:after="0" w:afterAutospacing="0" w:line="360" w:lineRule="auto"/>
        <w:ind w:firstLine="720" w:firstLineChars="3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标项三:需配置至少</w:t>
      </w:r>
      <w:r>
        <w:rPr>
          <w:rFonts w:hint="eastAsia" w:asciiTheme="minorEastAsia" w:hAnsiTheme="minorEastAsia" w:eastAsiaTheme="minorEastAsia"/>
          <w:bCs/>
          <w:color w:val="000000" w:themeColor="text1"/>
          <w:kern w:val="2"/>
          <w:szCs w:val="24"/>
          <w:highlight w:val="none"/>
          <w:lang w:val="en-US" w:eastAsia="zh-CN"/>
        </w:rPr>
        <w:t>16</w:t>
      </w:r>
      <w:r>
        <w:rPr>
          <w:rFonts w:hint="eastAsia" w:asciiTheme="minorEastAsia" w:hAnsiTheme="minorEastAsia" w:eastAsiaTheme="minorEastAsia"/>
          <w:bCs/>
          <w:color w:val="000000" w:themeColor="text1"/>
          <w:kern w:val="2"/>
          <w:szCs w:val="24"/>
          <w:highlight w:val="none"/>
        </w:rPr>
        <w:t>名项目成员，其中管理人员不少于</w:t>
      </w:r>
      <w:r>
        <w:rPr>
          <w:rFonts w:hint="eastAsia" w:asciiTheme="minorEastAsia" w:hAnsiTheme="minorEastAsia" w:eastAsiaTheme="minorEastAsia"/>
          <w:bCs/>
          <w:color w:val="000000" w:themeColor="text1"/>
          <w:kern w:val="2"/>
          <w:szCs w:val="24"/>
          <w:highlight w:val="none"/>
          <w:lang w:val="en-US" w:eastAsia="zh-CN"/>
        </w:rPr>
        <w:t>2</w:t>
      </w:r>
      <w:r>
        <w:rPr>
          <w:rFonts w:hint="eastAsia" w:asciiTheme="minorEastAsia" w:hAnsiTheme="minorEastAsia" w:eastAsiaTheme="minorEastAsia"/>
          <w:bCs/>
          <w:color w:val="000000" w:themeColor="text1"/>
          <w:kern w:val="2"/>
          <w:szCs w:val="24"/>
          <w:highlight w:val="none"/>
        </w:rPr>
        <w:t>人，作业人员及运输人员根据实际情况，由成交人合理配置。</w:t>
      </w:r>
    </w:p>
    <w:p w14:paraId="715657BE">
      <w:pPr>
        <w:pStyle w:val="42"/>
        <w:widowControl w:val="0"/>
        <w:snapToGrid w:val="0"/>
        <w:spacing w:before="0" w:beforeAutospacing="0" w:after="0" w:afterAutospacing="0" w:line="360" w:lineRule="auto"/>
        <w:ind w:firstLine="720" w:firstLineChars="3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标项四:需配置至少</w:t>
      </w:r>
      <w:r>
        <w:rPr>
          <w:rFonts w:hint="eastAsia" w:asciiTheme="minorEastAsia" w:hAnsiTheme="minorEastAsia" w:eastAsiaTheme="minorEastAsia"/>
          <w:bCs/>
          <w:color w:val="000000" w:themeColor="text1"/>
          <w:kern w:val="2"/>
          <w:szCs w:val="24"/>
          <w:highlight w:val="none"/>
          <w:lang w:val="en-US" w:eastAsia="zh-CN"/>
        </w:rPr>
        <w:t>3</w:t>
      </w:r>
      <w:r>
        <w:rPr>
          <w:rFonts w:hint="eastAsia" w:asciiTheme="minorEastAsia" w:hAnsiTheme="minorEastAsia" w:eastAsiaTheme="minorEastAsia"/>
          <w:bCs/>
          <w:color w:val="000000" w:themeColor="text1"/>
          <w:kern w:val="2"/>
          <w:szCs w:val="24"/>
          <w:highlight w:val="none"/>
        </w:rPr>
        <w:t>名项目成员，其中管理人员不少于1人，作业人员及运输人员根据实际情况，由成交人合理配置。</w:t>
      </w:r>
    </w:p>
    <w:p w14:paraId="5DC30470">
      <w:pPr>
        <w:pStyle w:val="42"/>
        <w:widowControl w:val="0"/>
        <w:snapToGrid w:val="0"/>
        <w:spacing w:before="0" w:beforeAutospacing="0" w:after="0" w:afterAutospacing="0" w:line="360" w:lineRule="auto"/>
        <w:ind w:firstLine="720" w:firstLineChars="3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标项五:需配置至少</w:t>
      </w:r>
      <w:r>
        <w:rPr>
          <w:rFonts w:hint="eastAsia" w:asciiTheme="minorEastAsia" w:hAnsiTheme="minorEastAsia" w:eastAsiaTheme="minorEastAsia"/>
          <w:bCs/>
          <w:color w:val="000000" w:themeColor="text1"/>
          <w:kern w:val="2"/>
          <w:szCs w:val="24"/>
          <w:highlight w:val="none"/>
          <w:lang w:val="en-US" w:eastAsia="zh-CN"/>
        </w:rPr>
        <w:t>14</w:t>
      </w:r>
      <w:r>
        <w:rPr>
          <w:rFonts w:hint="eastAsia" w:asciiTheme="minorEastAsia" w:hAnsiTheme="minorEastAsia" w:eastAsiaTheme="minorEastAsia"/>
          <w:bCs/>
          <w:color w:val="000000" w:themeColor="text1"/>
          <w:kern w:val="2"/>
          <w:szCs w:val="24"/>
          <w:highlight w:val="none"/>
        </w:rPr>
        <w:t>名项目成员，其中管理人员不少于1人，作业人员及运输人员根据实际情况，由成交人合理配置。</w:t>
      </w:r>
    </w:p>
    <w:p w14:paraId="0975C08B">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9、设备及运输车辆要求：</w:t>
      </w:r>
    </w:p>
    <w:p w14:paraId="1929547A">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cs="宋体" w:eastAsiaTheme="minorEastAsia"/>
          <w:color w:val="000000" w:themeColor="text1"/>
          <w:szCs w:val="24"/>
          <w:highlight w:val="none"/>
        </w:rPr>
        <w:t>各区块</w:t>
      </w:r>
      <w:r>
        <w:rPr>
          <w:rFonts w:hint="eastAsia" w:asciiTheme="minorEastAsia" w:hAnsiTheme="minorEastAsia" w:eastAsiaTheme="minorEastAsia"/>
          <w:bCs/>
          <w:color w:val="000000" w:themeColor="text1"/>
          <w:kern w:val="2"/>
          <w:szCs w:val="24"/>
          <w:highlight w:val="none"/>
        </w:rPr>
        <w:t>基本设备配置为：油锯</w:t>
      </w:r>
      <w:r>
        <w:rPr>
          <w:rFonts w:hint="eastAsia" w:asciiTheme="minorEastAsia" w:hAnsiTheme="minorEastAsia" w:eastAsiaTheme="minorEastAsia"/>
          <w:bCs/>
          <w:color w:val="000000" w:themeColor="text1"/>
          <w:kern w:val="2"/>
          <w:szCs w:val="24"/>
          <w:highlight w:val="none"/>
          <w:lang w:val="en-US" w:eastAsia="zh-CN"/>
        </w:rPr>
        <w:t>5</w:t>
      </w:r>
      <w:r>
        <w:rPr>
          <w:rFonts w:hint="eastAsia" w:asciiTheme="minorEastAsia" w:hAnsiTheme="minorEastAsia" w:eastAsiaTheme="minorEastAsia"/>
          <w:bCs/>
          <w:color w:val="000000" w:themeColor="text1"/>
          <w:kern w:val="2"/>
          <w:szCs w:val="24"/>
          <w:highlight w:val="none"/>
        </w:rPr>
        <w:t>台，滑索</w:t>
      </w:r>
      <w:r>
        <w:rPr>
          <w:rFonts w:hint="eastAsia" w:asciiTheme="minorEastAsia" w:hAnsiTheme="minorEastAsia" w:eastAsiaTheme="minorEastAsia"/>
          <w:bCs/>
          <w:color w:val="000000" w:themeColor="text1"/>
          <w:kern w:val="2"/>
          <w:szCs w:val="24"/>
          <w:highlight w:val="none"/>
          <w:lang w:eastAsia="zh-CN"/>
        </w:rPr>
        <w:t>不少于</w:t>
      </w:r>
      <w:r>
        <w:rPr>
          <w:rFonts w:hint="eastAsia" w:asciiTheme="minorEastAsia" w:hAnsiTheme="minorEastAsia" w:eastAsiaTheme="minorEastAsia"/>
          <w:bCs/>
          <w:color w:val="000000" w:themeColor="text1"/>
          <w:kern w:val="2"/>
          <w:szCs w:val="24"/>
          <w:highlight w:val="none"/>
        </w:rPr>
        <w:t>500米。</w:t>
      </w:r>
      <w:r>
        <w:rPr>
          <w:rFonts w:hint="eastAsia" w:asciiTheme="minorEastAsia" w:hAnsiTheme="minorEastAsia" w:eastAsiaTheme="minorEastAsia"/>
          <w:bCs/>
          <w:color w:val="000000" w:themeColor="text1"/>
          <w:kern w:val="2"/>
          <w:szCs w:val="24"/>
          <w:highlight w:val="none"/>
          <w:lang w:eastAsia="zh-CN"/>
        </w:rPr>
        <w:t>吊机等</w:t>
      </w:r>
      <w:r>
        <w:rPr>
          <w:rFonts w:hint="eastAsia" w:asciiTheme="minorEastAsia" w:hAnsiTheme="minorEastAsia" w:eastAsiaTheme="minorEastAsia"/>
          <w:bCs/>
          <w:color w:val="000000" w:themeColor="text1"/>
          <w:kern w:val="2"/>
          <w:szCs w:val="24"/>
          <w:highlight w:val="none"/>
        </w:rPr>
        <w:t>其它设备由成交人根据项目实际情况合理配置。</w:t>
      </w:r>
    </w:p>
    <w:p w14:paraId="707C8220">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cs="宋体" w:eastAsiaTheme="minorEastAsia"/>
          <w:color w:val="000000" w:themeColor="text1"/>
          <w:szCs w:val="24"/>
          <w:highlight w:val="none"/>
        </w:rPr>
        <w:t>各区块</w:t>
      </w:r>
      <w:r>
        <w:rPr>
          <w:rFonts w:hint="eastAsia" w:asciiTheme="minorEastAsia" w:hAnsiTheme="minorEastAsia" w:eastAsiaTheme="minorEastAsia"/>
          <w:bCs/>
          <w:color w:val="000000" w:themeColor="text1"/>
          <w:kern w:val="2"/>
          <w:szCs w:val="24"/>
          <w:highlight w:val="none"/>
        </w:rPr>
        <w:t>运输工具配置：运输车辆一辆。</w:t>
      </w:r>
      <w:r>
        <w:rPr>
          <w:rFonts w:hint="eastAsia" w:asciiTheme="minorEastAsia" w:hAnsiTheme="minorEastAsia" w:eastAsiaTheme="minorEastAsia"/>
          <w:bCs/>
          <w:color w:val="000000" w:themeColor="text1"/>
          <w:kern w:val="2"/>
          <w:szCs w:val="24"/>
          <w:highlight w:val="none"/>
          <w:lang w:eastAsia="zh-CN"/>
        </w:rPr>
        <w:t>驴等</w:t>
      </w:r>
      <w:r>
        <w:rPr>
          <w:rFonts w:hint="eastAsia" w:asciiTheme="minorEastAsia" w:hAnsiTheme="minorEastAsia" w:eastAsiaTheme="minorEastAsia"/>
          <w:bCs/>
          <w:color w:val="000000" w:themeColor="text1"/>
          <w:kern w:val="2"/>
          <w:szCs w:val="24"/>
          <w:highlight w:val="none"/>
        </w:rPr>
        <w:t>其它运输工具由成交人根据项目实际情况合理配置。</w:t>
      </w:r>
    </w:p>
    <w:p w14:paraId="5F327100">
      <w:pPr>
        <w:pStyle w:val="43"/>
        <w:spacing w:beforeLines="100" w:afterLines="100"/>
        <w:jc w:val="left"/>
        <w:outlineLvl w:val="1"/>
        <w:rPr>
          <w:rFonts w:cs="宋体" w:asciiTheme="minorEastAsia" w:hAnsiTheme="minorEastAsia" w:eastAsiaTheme="minorEastAsia"/>
          <w:color w:val="000000" w:themeColor="text1"/>
          <w:sz w:val="24"/>
          <w:szCs w:val="24"/>
          <w:highlight w:val="none"/>
        </w:rPr>
      </w:pPr>
      <w:r>
        <w:rPr>
          <w:rFonts w:hint="eastAsia" w:cs="宋体" w:asciiTheme="minorEastAsia" w:hAnsiTheme="minorEastAsia" w:eastAsiaTheme="minorEastAsia"/>
          <w:color w:val="000000" w:themeColor="text1"/>
          <w:sz w:val="24"/>
          <w:szCs w:val="24"/>
          <w:highlight w:val="none"/>
        </w:rPr>
        <w:t>三、商务要求：</w:t>
      </w:r>
    </w:p>
    <w:p w14:paraId="4FD6A946">
      <w:pPr>
        <w:spacing w:line="360" w:lineRule="auto"/>
        <w:rPr>
          <w:rFonts w:cs="仿宋" w:asciiTheme="minorEastAsia" w:hAnsiTheme="minorEastAsia" w:eastAsiaTheme="minorEastAsia"/>
          <w:b/>
          <w:color w:val="000000" w:themeColor="text1"/>
          <w:sz w:val="24"/>
          <w:szCs w:val="24"/>
          <w:highlight w:val="none"/>
        </w:rPr>
      </w:pPr>
      <w:r>
        <w:rPr>
          <w:rFonts w:hint="eastAsia" w:cs="仿宋" w:asciiTheme="minorEastAsia" w:hAnsiTheme="minorEastAsia" w:eastAsiaTheme="minorEastAsia"/>
          <w:b/>
          <w:color w:val="000000" w:themeColor="text1"/>
          <w:sz w:val="24"/>
          <w:szCs w:val="24"/>
          <w:highlight w:val="none"/>
        </w:rPr>
        <w:t>1、付款方式</w:t>
      </w:r>
    </w:p>
    <w:p w14:paraId="661552B9">
      <w:pPr>
        <w:spacing w:line="540" w:lineRule="exact"/>
        <w:ind w:firstLine="645"/>
        <w:rPr>
          <w:rFonts w:asciiTheme="minorEastAsia" w:hAnsiTheme="minorEastAsia" w:eastAsiaTheme="minorEastAsia"/>
          <w:bCs/>
          <w:sz w:val="24"/>
          <w:szCs w:val="24"/>
        </w:rPr>
      </w:pPr>
      <w:bookmarkStart w:id="49" w:name="_Toc10183"/>
      <w:bookmarkStart w:id="50" w:name="_Toc5851"/>
      <w:bookmarkStart w:id="51" w:name="_Toc35551054"/>
      <w:bookmarkStart w:id="52" w:name="_Toc11787893"/>
      <w:bookmarkStart w:id="53" w:name="_Toc19428"/>
      <w:bookmarkStart w:id="54" w:name="_Toc9152"/>
      <w:bookmarkStart w:id="55" w:name="_Toc16610"/>
      <w:bookmarkStart w:id="56" w:name="_Toc2566"/>
      <w:bookmarkStart w:id="57" w:name="_Toc76057177"/>
      <w:bookmarkStart w:id="58" w:name="_Toc11790"/>
      <w:r>
        <w:rPr>
          <w:rFonts w:hint="eastAsia" w:ascii="宋体" w:hAnsi="宋体"/>
          <w:color w:val="auto"/>
          <w:sz w:val="24"/>
          <w:szCs w:val="24"/>
          <w:highlight w:val="none"/>
          <w:lang w:val="zh-CN"/>
        </w:rPr>
        <w:t>合同生效且具备实施条件后7个工作日内支付合同价款的40%作为预付款；其余款项支付：根据砍伐下山的当年病死（枯死）的松树总重量，按进厂过磅重量并经驻厂监管员确认的计算重量和验收结果支付。历年疫木、非法采伐的活松木、工程项目合法审批采伐的活松木、火烧迹地等松木和其他树木不计入财政补助结算重量</w:t>
      </w:r>
      <w:r>
        <w:rPr>
          <w:rFonts w:hint="eastAsia" w:asciiTheme="minorEastAsia" w:hAnsiTheme="minorEastAsia" w:eastAsiaTheme="minorEastAsia"/>
          <w:bCs/>
          <w:sz w:val="24"/>
          <w:szCs w:val="24"/>
        </w:rPr>
        <w:t>。</w:t>
      </w:r>
    </w:p>
    <w:p w14:paraId="5B63F08B">
      <w:pPr>
        <w:spacing w:line="540" w:lineRule="exact"/>
        <w:ind w:firstLine="645"/>
        <w:rPr>
          <w:rFonts w:hint="eastAsia" w:asciiTheme="minorEastAsia" w:hAnsiTheme="minorEastAsia" w:eastAsiaTheme="minorEastAsia"/>
          <w:bCs/>
          <w:color w:val="000000" w:themeColor="text1"/>
          <w:sz w:val="24"/>
          <w:szCs w:val="24"/>
          <w:highlight w:val="none"/>
        </w:rPr>
      </w:pPr>
      <w:r>
        <w:rPr>
          <w:rFonts w:hint="eastAsia" w:asciiTheme="minorEastAsia" w:hAnsiTheme="minorEastAsia" w:eastAsiaTheme="minorEastAsia"/>
          <w:bCs/>
          <w:color w:val="000000" w:themeColor="text1"/>
          <w:sz w:val="24"/>
          <w:szCs w:val="24"/>
          <w:highlight w:val="none"/>
        </w:rPr>
        <w:t>清理经费由财政补助7</w:t>
      </w:r>
      <w:r>
        <w:rPr>
          <w:rFonts w:hint="eastAsia" w:asciiTheme="minorEastAsia" w:hAnsiTheme="minorEastAsia" w:eastAsiaTheme="minorEastAsia"/>
          <w:bCs/>
          <w:color w:val="000000" w:themeColor="text1"/>
          <w:sz w:val="24"/>
          <w:szCs w:val="24"/>
          <w:highlight w:val="none"/>
          <w:lang w:val="en-US" w:eastAsia="zh-CN"/>
        </w:rPr>
        <w:t>5</w:t>
      </w:r>
      <w:r>
        <w:rPr>
          <w:rFonts w:hint="eastAsia" w:asciiTheme="minorEastAsia" w:hAnsiTheme="minorEastAsia" w:eastAsiaTheme="minorEastAsia"/>
          <w:bCs/>
          <w:color w:val="000000" w:themeColor="text1"/>
          <w:sz w:val="24"/>
          <w:szCs w:val="24"/>
          <w:highlight w:val="none"/>
        </w:rPr>
        <w:t>0元/吨（包含进厂疫木处置款450元/吨）。所承包区域通过县级验收得分90分（含）以上的全额拨付清理经费，并以进厂疫木重量（含枝桠材）为基数增加绩效清理经费400元/吨；90分至70(含)分按得分率拨付清理经费，不享受绩效清理经费；70分以下不拨付清理经费，不享受绩效清理经费。</w:t>
      </w:r>
    </w:p>
    <w:p w14:paraId="3B8D2FB7">
      <w:pPr>
        <w:spacing w:line="540" w:lineRule="exact"/>
        <w:ind w:firstLine="645"/>
        <w:rPr>
          <w:rFonts w:hint="eastAsia" w:asciiTheme="minorEastAsia" w:hAnsiTheme="minorEastAsia" w:eastAsiaTheme="minorEastAsia"/>
          <w:bCs/>
          <w:color w:val="000000" w:themeColor="text1"/>
          <w:sz w:val="24"/>
          <w:szCs w:val="24"/>
          <w:highlight w:val="none"/>
        </w:rPr>
      </w:pPr>
      <w:r>
        <w:rPr>
          <w:rFonts w:hint="eastAsia" w:asciiTheme="minorEastAsia" w:hAnsiTheme="minorEastAsia" w:eastAsiaTheme="minorEastAsia"/>
          <w:bCs/>
          <w:color w:val="000000" w:themeColor="text1"/>
          <w:sz w:val="24"/>
          <w:szCs w:val="24"/>
          <w:highlight w:val="none"/>
          <w:lang w:val="en-US" w:eastAsia="zh-CN"/>
        </w:rPr>
        <w:t>2025年1月25日前完成的结算金额=中标单价×</w:t>
      </w:r>
      <w:r>
        <w:rPr>
          <w:rFonts w:hint="eastAsia" w:asciiTheme="minorEastAsia" w:hAnsiTheme="minorEastAsia" w:eastAsiaTheme="minorEastAsia"/>
          <w:bCs/>
          <w:color w:val="000000" w:themeColor="text1"/>
          <w:sz w:val="24"/>
          <w:szCs w:val="24"/>
          <w:highlight w:val="none"/>
        </w:rPr>
        <w:t>实际工程量</w:t>
      </w:r>
    </w:p>
    <w:p w14:paraId="5ED9EC90">
      <w:pPr>
        <w:spacing w:line="540" w:lineRule="exact"/>
        <w:ind w:firstLine="645"/>
        <w:rPr>
          <w:rFonts w:hint="eastAsia" w:asciiTheme="minorEastAsia" w:hAnsiTheme="minorEastAsia" w:eastAsiaTheme="minorEastAsia"/>
          <w:bCs/>
          <w:color w:val="000000" w:themeColor="text1"/>
          <w:sz w:val="24"/>
          <w:szCs w:val="24"/>
          <w:highlight w:val="none"/>
          <w:lang w:val="en-US" w:eastAsia="zh-CN"/>
        </w:rPr>
      </w:pPr>
      <w:r>
        <w:rPr>
          <w:rFonts w:hint="eastAsia" w:asciiTheme="minorEastAsia" w:hAnsiTheme="minorEastAsia" w:eastAsiaTheme="minorEastAsia"/>
          <w:bCs/>
          <w:color w:val="000000" w:themeColor="text1"/>
          <w:sz w:val="24"/>
          <w:szCs w:val="24"/>
          <w:highlight w:val="none"/>
          <w:lang w:val="en-US" w:eastAsia="zh-CN"/>
        </w:rPr>
        <w:t>2025年1月26日-2025年3月31日完成的工程结算金额=（中标单价-400）</w:t>
      </w:r>
      <w:r>
        <w:rPr>
          <w:rFonts w:hint="eastAsia" w:asciiTheme="minorEastAsia" w:hAnsiTheme="minorEastAsia" w:eastAsiaTheme="minorEastAsia"/>
          <w:bCs/>
          <w:color w:val="000000" w:themeColor="text1"/>
          <w:sz w:val="24"/>
          <w:szCs w:val="24"/>
          <w:highlight w:val="none"/>
          <w:lang w:val="en-US" w:eastAsia="zh-CN"/>
        </w:rPr>
        <w:t>×实际完成工程量</w:t>
      </w:r>
    </w:p>
    <w:p w14:paraId="171A11D2">
      <w:pPr>
        <w:spacing w:line="540" w:lineRule="exact"/>
        <w:ind w:firstLine="645"/>
        <w:rPr>
          <w:rFonts w:hint="eastAsia" w:asciiTheme="minorEastAsia" w:hAnsiTheme="minorEastAsia" w:eastAsiaTheme="minorEastAsia"/>
          <w:bCs/>
          <w:color w:val="000000" w:themeColor="text1"/>
          <w:sz w:val="24"/>
          <w:szCs w:val="24"/>
          <w:highlight w:val="none"/>
          <w:lang w:val="en-US" w:eastAsia="zh-CN"/>
        </w:rPr>
      </w:pPr>
      <w:r>
        <w:rPr>
          <w:rFonts w:hint="eastAsia" w:asciiTheme="minorEastAsia" w:hAnsiTheme="minorEastAsia" w:eastAsiaTheme="minorEastAsia"/>
          <w:bCs/>
          <w:color w:val="000000" w:themeColor="text1"/>
          <w:sz w:val="24"/>
          <w:szCs w:val="24"/>
          <w:highlight w:val="none"/>
          <w:lang w:val="en-US" w:eastAsia="zh-CN"/>
        </w:rPr>
        <w:t>例：总工程500吨，在2025年1月25日前完成400吨</w:t>
      </w:r>
    </w:p>
    <w:p w14:paraId="713F0381">
      <w:pPr>
        <w:spacing w:line="540" w:lineRule="exact"/>
        <w:ind w:firstLine="645"/>
        <w:rPr>
          <w:rFonts w:hint="eastAsia" w:asciiTheme="minorEastAsia" w:hAnsiTheme="minorEastAsia" w:eastAsiaTheme="minorEastAsia"/>
          <w:bCs/>
          <w:color w:val="000000" w:themeColor="text1"/>
          <w:sz w:val="24"/>
          <w:szCs w:val="24"/>
          <w:highlight w:val="none"/>
          <w:lang w:val="en-US" w:eastAsia="zh-CN"/>
        </w:rPr>
      </w:pPr>
      <w:r>
        <w:rPr>
          <w:rFonts w:hint="eastAsia" w:asciiTheme="minorEastAsia" w:hAnsiTheme="minorEastAsia" w:eastAsiaTheme="minorEastAsia"/>
          <w:bCs/>
          <w:color w:val="000000" w:themeColor="text1"/>
          <w:sz w:val="24"/>
          <w:szCs w:val="24"/>
          <w:highlight w:val="none"/>
          <w:lang w:val="en-US" w:eastAsia="zh-CN"/>
        </w:rPr>
        <w:t>结算总金额=中标单价×400吨+（中标单价-400）</w:t>
      </w:r>
      <w:r>
        <w:rPr>
          <w:rFonts w:hint="eastAsia" w:asciiTheme="minorEastAsia" w:hAnsiTheme="minorEastAsia" w:eastAsiaTheme="minorEastAsia"/>
          <w:bCs/>
          <w:color w:val="000000" w:themeColor="text1"/>
          <w:sz w:val="24"/>
          <w:szCs w:val="24"/>
          <w:highlight w:val="none"/>
          <w:lang w:val="en-US" w:eastAsia="zh-CN"/>
        </w:rPr>
        <w:t>×100吨</w:t>
      </w:r>
    </w:p>
    <w:p w14:paraId="2E106120">
      <w:pPr>
        <w:spacing w:line="360" w:lineRule="auto"/>
        <w:rPr>
          <w:rFonts w:cs="仿宋" w:asciiTheme="minorEastAsia" w:hAnsiTheme="minorEastAsia" w:eastAsiaTheme="minorEastAsia"/>
          <w:b/>
          <w:color w:val="000000" w:themeColor="text1"/>
          <w:sz w:val="24"/>
          <w:szCs w:val="24"/>
          <w:highlight w:val="none"/>
        </w:rPr>
      </w:pPr>
      <w:r>
        <w:rPr>
          <w:rFonts w:hint="eastAsia" w:cs="仿宋" w:asciiTheme="minorEastAsia" w:hAnsiTheme="minorEastAsia" w:eastAsiaTheme="minorEastAsia"/>
          <w:b/>
          <w:color w:val="000000" w:themeColor="text1"/>
          <w:sz w:val="24"/>
          <w:szCs w:val="24"/>
          <w:highlight w:val="none"/>
        </w:rPr>
        <w:t>2、其他要求</w:t>
      </w:r>
      <w:bookmarkEnd w:id="49"/>
      <w:bookmarkEnd w:id="50"/>
      <w:bookmarkEnd w:id="51"/>
      <w:bookmarkEnd w:id="52"/>
      <w:bookmarkEnd w:id="53"/>
      <w:bookmarkEnd w:id="54"/>
      <w:bookmarkEnd w:id="55"/>
      <w:bookmarkEnd w:id="56"/>
      <w:bookmarkEnd w:id="57"/>
      <w:bookmarkEnd w:id="58"/>
    </w:p>
    <w:p w14:paraId="69B8EF5A">
      <w:pPr>
        <w:pStyle w:val="42"/>
        <w:widowControl w:val="0"/>
        <w:snapToGrid w:val="0"/>
        <w:spacing w:before="0" w:beforeAutospacing="0" w:after="0" w:afterAutospacing="0" w:line="360" w:lineRule="auto"/>
        <w:ind w:firstLine="480" w:firstLineChars="200"/>
        <w:rPr>
          <w:rFonts w:asciiTheme="minorEastAsia" w:hAnsiTheme="minorEastAsia" w:eastAsiaTheme="minorEastAsia"/>
          <w:bCs/>
          <w:color w:val="000000" w:themeColor="text1"/>
          <w:kern w:val="2"/>
          <w:szCs w:val="24"/>
          <w:highlight w:val="none"/>
        </w:rPr>
      </w:pPr>
      <w:r>
        <w:rPr>
          <w:rFonts w:hint="eastAsia" w:asciiTheme="minorEastAsia" w:hAnsiTheme="minorEastAsia" w:eastAsiaTheme="minorEastAsia"/>
          <w:bCs/>
          <w:color w:val="000000" w:themeColor="text1"/>
          <w:kern w:val="2"/>
          <w:szCs w:val="24"/>
          <w:highlight w:val="none"/>
        </w:rPr>
        <w:t>1、本项目所涉及的</w:t>
      </w:r>
      <w:r>
        <w:rPr>
          <w:rFonts w:hint="eastAsia" w:asciiTheme="minorEastAsia" w:hAnsiTheme="minorEastAsia" w:eastAsiaTheme="minorEastAsia"/>
          <w:bCs/>
          <w:color w:val="000000" w:themeColor="text1"/>
          <w:kern w:val="2"/>
          <w:szCs w:val="24"/>
          <w:highlight w:val="none"/>
          <w:lang w:val="en-US" w:eastAsia="zh-CN"/>
        </w:rPr>
        <w:t>采伐</w:t>
      </w:r>
      <w:r>
        <w:rPr>
          <w:rFonts w:hint="eastAsia" w:asciiTheme="minorEastAsia" w:hAnsiTheme="minorEastAsia" w:eastAsiaTheme="minorEastAsia"/>
          <w:bCs/>
          <w:color w:val="000000" w:themeColor="text1"/>
          <w:kern w:val="2"/>
          <w:szCs w:val="24"/>
          <w:highlight w:val="none"/>
        </w:rPr>
        <w:t>数量，采购时确认数量不一定准确时，按其中标单价和实际工程量结算。税收、人工费、安装费等一切与之相关的所有费用都需包含在报价中。</w:t>
      </w:r>
    </w:p>
    <w:p w14:paraId="4740D186">
      <w:pPr>
        <w:pStyle w:val="42"/>
        <w:widowControl w:val="0"/>
        <w:snapToGrid w:val="0"/>
        <w:spacing w:before="0" w:beforeAutospacing="0" w:after="0" w:afterAutospacing="0" w:line="360" w:lineRule="auto"/>
        <w:ind w:firstLine="480" w:firstLineChars="200"/>
        <w:rPr>
          <w:rFonts w:cs="宋体" w:asciiTheme="minorEastAsia" w:hAnsiTheme="minorEastAsia" w:eastAsiaTheme="minorEastAsia"/>
          <w:color w:val="000000" w:themeColor="text1"/>
          <w:szCs w:val="24"/>
          <w:highlight w:val="none"/>
        </w:rPr>
      </w:pPr>
      <w:r>
        <w:rPr>
          <w:rFonts w:hint="eastAsia" w:asciiTheme="minorEastAsia" w:hAnsiTheme="minorEastAsia" w:eastAsiaTheme="minorEastAsia"/>
          <w:bCs/>
          <w:color w:val="000000" w:themeColor="text1"/>
          <w:kern w:val="2"/>
          <w:szCs w:val="24"/>
          <w:highlight w:val="none"/>
        </w:rPr>
        <w:t>2、本项目排名第一的中标候选人未注册成为“浙江省政府采购供应商”的，采购代理机构将暂缓发布中标通知书，由此造成的不利影响自行承担。</w:t>
      </w:r>
    </w:p>
    <w:p w14:paraId="56AF8875">
      <w:pPr>
        <w:pStyle w:val="20"/>
        <w:rPr>
          <w:rFonts w:asciiTheme="minorEastAsia" w:hAnsiTheme="minorEastAsia" w:eastAsiaTheme="minorEastAsia"/>
          <w:color w:val="000000" w:themeColor="text1"/>
          <w:sz w:val="24"/>
          <w:szCs w:val="24"/>
          <w:highlight w:val="none"/>
        </w:rPr>
        <w:sectPr>
          <w:headerReference r:id="rId7" w:type="first"/>
          <w:pgSz w:w="11906" w:h="16838"/>
          <w:pgMar w:top="1418" w:right="1418" w:bottom="1418" w:left="1418" w:header="851" w:footer="851" w:gutter="0"/>
          <w:cols w:space="720" w:num="1"/>
          <w:docGrid w:linePitch="312" w:charSpace="0"/>
        </w:sectPr>
      </w:pPr>
      <w:bookmarkStart w:id="363" w:name="_GoBack"/>
      <w:bookmarkEnd w:id="363"/>
    </w:p>
    <w:p w14:paraId="34DE53EC">
      <w:pPr>
        <w:pStyle w:val="43"/>
        <w:spacing w:before="0" w:after="0" w:line="360" w:lineRule="auto"/>
        <w:rPr>
          <w:rFonts w:ascii="宋体" w:hAnsi="宋体" w:cs="宋体"/>
          <w:color w:val="000000" w:themeColor="text1"/>
          <w:sz w:val="36"/>
          <w:szCs w:val="36"/>
          <w:highlight w:val="none"/>
        </w:rPr>
      </w:pPr>
      <w:r>
        <w:rPr>
          <w:rFonts w:hint="eastAsia" w:ascii="宋体" w:hAnsi="宋体" w:cs="宋体"/>
          <w:color w:val="000000" w:themeColor="text1"/>
          <w:sz w:val="36"/>
          <w:szCs w:val="36"/>
          <w:highlight w:val="none"/>
        </w:rPr>
        <w:t>第三章  供应商须知</w:t>
      </w:r>
      <w:bookmarkEnd w:id="43"/>
      <w:bookmarkEnd w:id="44"/>
      <w:bookmarkEnd w:id="45"/>
      <w:bookmarkEnd w:id="46"/>
      <w:bookmarkEnd w:id="47"/>
    </w:p>
    <w:p w14:paraId="66560EE0">
      <w:pPr>
        <w:pStyle w:val="43"/>
        <w:spacing w:after="240"/>
        <w:jc w:val="left"/>
        <w:outlineLvl w:val="1"/>
        <w:rPr>
          <w:rFonts w:ascii="宋体" w:hAnsi="宋体" w:cs="宋体"/>
          <w:color w:val="000000" w:themeColor="text1"/>
          <w:sz w:val="30"/>
          <w:szCs w:val="30"/>
          <w:highlight w:val="none"/>
        </w:rPr>
      </w:pPr>
      <w:bookmarkStart w:id="59" w:name="_Toc80973231"/>
      <w:bookmarkStart w:id="60" w:name="EB4c7125c6dc654ed08b5f32dccfe34746"/>
      <w:bookmarkStart w:id="61" w:name="_Toc493956033"/>
      <w:r>
        <w:rPr>
          <w:rFonts w:hint="eastAsia" w:ascii="宋体" w:hAnsi="宋体" w:cs="宋体"/>
          <w:color w:val="000000" w:themeColor="text1"/>
          <w:sz w:val="30"/>
          <w:szCs w:val="30"/>
          <w:highlight w:val="none"/>
        </w:rPr>
        <w:t>供应商须知前附表（一）</w:t>
      </w:r>
      <w:bookmarkEnd w:id="59"/>
    </w:p>
    <w:tbl>
      <w:tblPr>
        <w:tblStyle w:val="46"/>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6769"/>
      </w:tblGrid>
      <w:tr w14:paraId="61C8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922" w:type="dxa"/>
            <w:vAlign w:val="center"/>
          </w:tcPr>
          <w:p w14:paraId="0D029ABF">
            <w:pPr>
              <w:ind w:right="-86" w:rightChars="-41"/>
              <w:jc w:val="center"/>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条款号</w:t>
            </w:r>
          </w:p>
        </w:tc>
        <w:tc>
          <w:tcPr>
            <w:tcW w:w="1560" w:type="dxa"/>
            <w:vAlign w:val="center"/>
          </w:tcPr>
          <w:p w14:paraId="43CF967A">
            <w:pPr>
              <w:jc w:val="center"/>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条款名称</w:t>
            </w:r>
          </w:p>
        </w:tc>
        <w:tc>
          <w:tcPr>
            <w:tcW w:w="6769" w:type="dxa"/>
            <w:vAlign w:val="center"/>
          </w:tcPr>
          <w:p w14:paraId="3BAA0ADA">
            <w:pPr>
              <w:jc w:val="center"/>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编列内容</w:t>
            </w:r>
          </w:p>
        </w:tc>
      </w:tr>
      <w:tr w14:paraId="32F8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5DC08F1D">
            <w:pPr>
              <w:ind w:left="-88" w:leftChars="-42" w:right="-113" w:rightChars="-54"/>
              <w:jc w:val="center"/>
              <w:rPr>
                <w:rFonts w:ascii="宋体" w:hAnsi="宋体" w:cs="宋体"/>
                <w:bCs/>
                <w:snapToGrid w:val="0"/>
                <w:color w:val="000000" w:themeColor="text1"/>
                <w:sz w:val="24"/>
                <w:szCs w:val="24"/>
                <w:highlight w:val="none"/>
              </w:rPr>
            </w:pPr>
            <w:r>
              <w:rPr>
                <w:rFonts w:hint="eastAsia" w:ascii="宋体" w:hAnsi="宋体" w:cs="宋体"/>
                <w:bCs/>
                <w:snapToGrid w:val="0"/>
                <w:color w:val="000000" w:themeColor="text1"/>
                <w:sz w:val="24"/>
                <w:szCs w:val="24"/>
                <w:highlight w:val="none"/>
              </w:rPr>
              <w:t>1.2.1</w:t>
            </w:r>
          </w:p>
        </w:tc>
        <w:tc>
          <w:tcPr>
            <w:tcW w:w="1560" w:type="dxa"/>
            <w:vAlign w:val="center"/>
          </w:tcPr>
          <w:p w14:paraId="61C2573F">
            <w:pPr>
              <w:ind w:left="-44" w:leftChars="-53" w:right="-65" w:rightChars="-31" w:hanging="67" w:hangingChars="28"/>
              <w:jc w:val="cente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采购人</w:t>
            </w:r>
          </w:p>
        </w:tc>
        <w:tc>
          <w:tcPr>
            <w:tcW w:w="6769" w:type="dxa"/>
            <w:vAlign w:val="center"/>
          </w:tcPr>
          <w:p w14:paraId="019B988C">
            <w:pP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松阳县大东坝镇人民政府</w:t>
            </w:r>
          </w:p>
        </w:tc>
      </w:tr>
      <w:tr w14:paraId="1805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4463AA15">
            <w:pPr>
              <w:ind w:left="-88" w:leftChars="-42" w:right="-113" w:rightChars="-54"/>
              <w:jc w:val="center"/>
              <w:rPr>
                <w:rFonts w:ascii="宋体" w:hAnsi="宋体" w:cs="宋体"/>
                <w:bCs/>
                <w:snapToGrid w:val="0"/>
                <w:color w:val="000000" w:themeColor="text1"/>
                <w:sz w:val="24"/>
                <w:szCs w:val="24"/>
                <w:highlight w:val="none"/>
              </w:rPr>
            </w:pPr>
            <w:r>
              <w:rPr>
                <w:rFonts w:hint="eastAsia" w:ascii="宋体" w:hAnsi="宋体" w:cs="宋体"/>
                <w:bCs/>
                <w:snapToGrid w:val="0"/>
                <w:color w:val="000000" w:themeColor="text1"/>
                <w:sz w:val="24"/>
                <w:szCs w:val="24"/>
                <w:highlight w:val="none"/>
              </w:rPr>
              <w:t>1.2.2</w:t>
            </w:r>
          </w:p>
        </w:tc>
        <w:tc>
          <w:tcPr>
            <w:tcW w:w="1560" w:type="dxa"/>
            <w:vAlign w:val="center"/>
          </w:tcPr>
          <w:p w14:paraId="082C1852">
            <w:pPr>
              <w:ind w:left="-44" w:leftChars="-53" w:right="-65" w:rightChars="-31" w:hanging="67" w:hangingChars="28"/>
              <w:jc w:val="cente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采购代理机构</w:t>
            </w:r>
          </w:p>
        </w:tc>
        <w:tc>
          <w:tcPr>
            <w:tcW w:w="6769" w:type="dxa"/>
            <w:vAlign w:val="center"/>
          </w:tcPr>
          <w:p w14:paraId="526907BE">
            <w:pP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浙江大兴建设项目管理咨询有限公司</w:t>
            </w:r>
          </w:p>
        </w:tc>
      </w:tr>
      <w:tr w14:paraId="023B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6BE05CF0">
            <w:pPr>
              <w:ind w:left="-88" w:leftChars="-42" w:right="-113" w:rightChars="-54"/>
              <w:jc w:val="center"/>
              <w:rPr>
                <w:rFonts w:ascii="宋体" w:hAnsi="宋体" w:cs="宋体"/>
                <w:bCs/>
                <w:snapToGrid w:val="0"/>
                <w:color w:val="000000" w:themeColor="text1"/>
                <w:sz w:val="24"/>
                <w:szCs w:val="24"/>
                <w:highlight w:val="none"/>
              </w:rPr>
            </w:pPr>
            <w:r>
              <w:rPr>
                <w:rFonts w:hint="eastAsia" w:ascii="宋体" w:hAnsi="宋体" w:cs="宋体"/>
                <w:bCs/>
                <w:snapToGrid w:val="0"/>
                <w:color w:val="000000" w:themeColor="text1"/>
                <w:sz w:val="24"/>
                <w:szCs w:val="24"/>
                <w:highlight w:val="none"/>
              </w:rPr>
              <w:t>1.4.1</w:t>
            </w:r>
          </w:p>
        </w:tc>
        <w:tc>
          <w:tcPr>
            <w:tcW w:w="1560" w:type="dxa"/>
            <w:vAlign w:val="center"/>
          </w:tcPr>
          <w:p w14:paraId="24C01CDD">
            <w:pPr>
              <w:ind w:left="-44" w:leftChars="-53" w:right="-65" w:rightChars="-31" w:hanging="67" w:hangingChars="28"/>
              <w:jc w:val="cente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联合体</w:t>
            </w:r>
          </w:p>
        </w:tc>
        <w:tc>
          <w:tcPr>
            <w:tcW w:w="6769" w:type="dxa"/>
            <w:vAlign w:val="center"/>
          </w:tcPr>
          <w:p w14:paraId="1394CA7B">
            <w:pP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不接受</w:t>
            </w:r>
          </w:p>
        </w:tc>
      </w:tr>
      <w:tr w14:paraId="479C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19951E6F">
            <w:pPr>
              <w:ind w:left="-88" w:leftChars="-42" w:right="-113" w:rightChars="-54"/>
              <w:jc w:val="center"/>
              <w:rPr>
                <w:rFonts w:ascii="宋体" w:hAnsi="宋体" w:cs="宋体"/>
                <w:bCs/>
                <w:snapToGrid w:val="0"/>
                <w:color w:val="000000" w:themeColor="text1"/>
                <w:sz w:val="24"/>
                <w:szCs w:val="24"/>
                <w:highlight w:val="none"/>
              </w:rPr>
            </w:pPr>
            <w:r>
              <w:rPr>
                <w:rFonts w:hint="eastAsia" w:ascii="宋体" w:hAnsi="宋体" w:cs="宋体"/>
                <w:bCs/>
                <w:snapToGrid w:val="0"/>
                <w:color w:val="000000" w:themeColor="text1"/>
                <w:sz w:val="24"/>
                <w:szCs w:val="24"/>
                <w:highlight w:val="none"/>
              </w:rPr>
              <w:t>1.7.1</w:t>
            </w:r>
          </w:p>
        </w:tc>
        <w:tc>
          <w:tcPr>
            <w:tcW w:w="1560" w:type="dxa"/>
            <w:vAlign w:val="center"/>
          </w:tcPr>
          <w:p w14:paraId="3C03301B">
            <w:pPr>
              <w:ind w:left="-44" w:leftChars="-53" w:right="-65" w:rightChars="-31" w:hanging="67" w:hangingChars="28"/>
              <w:jc w:val="cente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现场踏勘</w:t>
            </w:r>
          </w:p>
        </w:tc>
        <w:tc>
          <w:tcPr>
            <w:tcW w:w="6769" w:type="dxa"/>
            <w:vAlign w:val="center"/>
          </w:tcPr>
          <w:p w14:paraId="4A0D7979">
            <w:pPr>
              <w:rPr>
                <w:rFonts w:ascii="宋体" w:hAnsi="宋体" w:cs="宋体"/>
                <w:bCs/>
                <w:color w:val="000000" w:themeColor="text1"/>
                <w:sz w:val="24"/>
                <w:szCs w:val="24"/>
                <w:highlight w:val="none"/>
              </w:rPr>
            </w:pPr>
            <w:r>
              <w:rPr>
                <w:rFonts w:hint="eastAsia" w:ascii="宋体" w:hAnsi="宋体" w:cs="宋体"/>
                <w:color w:val="000000" w:themeColor="text1"/>
                <w:sz w:val="24"/>
                <w:szCs w:val="24"/>
                <w:highlight w:val="none"/>
              </w:rPr>
              <w:t>不组织</w:t>
            </w:r>
          </w:p>
        </w:tc>
      </w:tr>
      <w:tr w14:paraId="5822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22" w:type="dxa"/>
            <w:vAlign w:val="center"/>
          </w:tcPr>
          <w:p w14:paraId="35C589EB">
            <w:pPr>
              <w:ind w:left="-88" w:leftChars="-42" w:right="-113" w:rightChars="-54"/>
              <w:jc w:val="center"/>
              <w:rPr>
                <w:rFonts w:ascii="宋体" w:hAnsi="宋体" w:cs="宋体"/>
                <w:bCs/>
                <w:snapToGrid w:val="0"/>
                <w:color w:val="000000" w:themeColor="text1"/>
                <w:sz w:val="24"/>
                <w:szCs w:val="24"/>
                <w:highlight w:val="none"/>
              </w:rPr>
            </w:pPr>
            <w:r>
              <w:rPr>
                <w:rFonts w:hint="eastAsia" w:ascii="宋体" w:hAnsi="宋体" w:cs="宋体"/>
                <w:bCs/>
                <w:snapToGrid w:val="0"/>
                <w:color w:val="000000" w:themeColor="text1"/>
                <w:sz w:val="24"/>
                <w:szCs w:val="24"/>
                <w:highlight w:val="none"/>
              </w:rPr>
              <w:t>1.8.1</w:t>
            </w:r>
          </w:p>
        </w:tc>
        <w:tc>
          <w:tcPr>
            <w:tcW w:w="1560" w:type="dxa"/>
            <w:vAlign w:val="center"/>
          </w:tcPr>
          <w:p w14:paraId="195C34B3">
            <w:pPr>
              <w:ind w:left="-44" w:leftChars="-53" w:right="-65" w:rightChars="-31" w:hanging="67" w:hangingChars="28"/>
              <w:jc w:val="cente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答疑会</w:t>
            </w:r>
          </w:p>
        </w:tc>
        <w:tc>
          <w:tcPr>
            <w:tcW w:w="6769" w:type="dxa"/>
            <w:vAlign w:val="center"/>
          </w:tcPr>
          <w:p w14:paraId="7D50E17D">
            <w:pPr>
              <w:rPr>
                <w:rFonts w:ascii="宋体" w:hAnsi="宋体" w:cs="宋体"/>
                <w:bCs/>
                <w:color w:val="000000" w:themeColor="text1"/>
                <w:sz w:val="24"/>
                <w:szCs w:val="24"/>
                <w:highlight w:val="none"/>
              </w:rPr>
            </w:pPr>
            <w:r>
              <w:rPr>
                <w:rFonts w:hint="eastAsia" w:ascii="宋体" w:hAnsi="宋体" w:cs="宋体"/>
                <w:color w:val="000000" w:themeColor="text1"/>
                <w:sz w:val="24"/>
                <w:szCs w:val="24"/>
                <w:highlight w:val="none"/>
              </w:rPr>
              <w:t>不召开</w:t>
            </w:r>
          </w:p>
        </w:tc>
      </w:tr>
      <w:tr w14:paraId="68A6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09FD0BFC">
            <w:pPr>
              <w:ind w:left="-88" w:leftChars="-42" w:right="-113" w:rightChars="-54"/>
              <w:jc w:val="center"/>
              <w:rPr>
                <w:rFonts w:ascii="宋体" w:hAnsi="宋体" w:cs="宋体"/>
                <w:bCs/>
                <w:snapToGrid w:val="0"/>
                <w:color w:val="000000" w:themeColor="text1"/>
                <w:sz w:val="24"/>
                <w:szCs w:val="24"/>
                <w:highlight w:val="none"/>
              </w:rPr>
            </w:pPr>
            <w:r>
              <w:rPr>
                <w:rFonts w:hint="eastAsia" w:ascii="宋体" w:hAnsi="宋体" w:cs="宋体"/>
                <w:bCs/>
                <w:snapToGrid w:val="0"/>
                <w:color w:val="000000" w:themeColor="text1"/>
                <w:sz w:val="24"/>
                <w:szCs w:val="24"/>
                <w:highlight w:val="none"/>
              </w:rPr>
              <w:t>1.9.1</w:t>
            </w:r>
          </w:p>
        </w:tc>
        <w:tc>
          <w:tcPr>
            <w:tcW w:w="1560" w:type="dxa"/>
            <w:vAlign w:val="center"/>
          </w:tcPr>
          <w:p w14:paraId="0022E9FF">
            <w:pPr>
              <w:ind w:left="-44" w:leftChars="-53" w:right="-65" w:rightChars="-31" w:hanging="67" w:hangingChars="28"/>
              <w:jc w:val="cente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分包</w:t>
            </w:r>
          </w:p>
        </w:tc>
        <w:tc>
          <w:tcPr>
            <w:tcW w:w="6769" w:type="dxa"/>
            <w:vAlign w:val="center"/>
          </w:tcPr>
          <w:p w14:paraId="24EEDC4F">
            <w:pPr>
              <w:ind w:left="-113" w:leftChars="-54" w:right="-107" w:rightChars="-51" w:firstLine="120" w:firstLineChars="50"/>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不允许。</w:t>
            </w:r>
          </w:p>
        </w:tc>
      </w:tr>
      <w:tr w14:paraId="5D51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023ADC29">
            <w:pPr>
              <w:ind w:left="-88" w:leftChars="-42" w:right="-113" w:rightChars="-54"/>
              <w:jc w:val="center"/>
              <w:rPr>
                <w:rFonts w:ascii="宋体" w:hAnsi="宋体" w:cs="宋体"/>
                <w:bCs/>
                <w:snapToGrid w:val="0"/>
                <w:color w:val="000000" w:themeColor="text1"/>
                <w:sz w:val="24"/>
                <w:szCs w:val="24"/>
                <w:highlight w:val="none"/>
              </w:rPr>
            </w:pPr>
            <w:r>
              <w:rPr>
                <w:rFonts w:hint="eastAsia" w:ascii="宋体" w:hAnsi="宋体" w:cs="宋体"/>
                <w:bCs/>
                <w:snapToGrid w:val="0"/>
                <w:color w:val="000000" w:themeColor="text1"/>
                <w:sz w:val="24"/>
                <w:szCs w:val="24"/>
                <w:highlight w:val="none"/>
              </w:rPr>
              <w:t>1.11.1</w:t>
            </w:r>
          </w:p>
        </w:tc>
        <w:tc>
          <w:tcPr>
            <w:tcW w:w="1560" w:type="dxa"/>
            <w:vAlign w:val="center"/>
          </w:tcPr>
          <w:p w14:paraId="3A592F44">
            <w:pPr>
              <w:ind w:left="-44" w:leftChars="-53" w:right="-65" w:rightChars="-31" w:hanging="67" w:hangingChars="28"/>
              <w:jc w:val="cente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小型、微型企业的价格扣除</w:t>
            </w:r>
          </w:p>
        </w:tc>
        <w:tc>
          <w:tcPr>
            <w:tcW w:w="6769" w:type="dxa"/>
            <w:vAlign w:val="center"/>
          </w:tcPr>
          <w:p w14:paraId="4427EE88">
            <w:pPr>
              <w:ind w:left="377" w:leftChars="8" w:right="-113" w:rightChars="-54" w:hanging="360" w:hangingChars="150"/>
              <w:rPr>
                <w:rFonts w:ascii="宋体" w:hAnsi="宋体" w:cs="宋体"/>
                <w:bCs/>
                <w:snapToGrid w:val="0"/>
                <w:color w:val="000000" w:themeColor="text1"/>
                <w:sz w:val="24"/>
                <w:szCs w:val="24"/>
                <w:highlight w:val="none"/>
              </w:rPr>
            </w:pPr>
            <w:r>
              <w:rPr>
                <w:rFonts w:hint="eastAsia" w:ascii="宋体" w:hAnsi="宋体" w:cs="宋体"/>
                <w:bCs/>
                <w:snapToGrid w:val="0"/>
                <w:color w:val="000000" w:themeColor="text1"/>
                <w:sz w:val="24"/>
                <w:szCs w:val="24"/>
                <w:highlight w:val="none"/>
              </w:rPr>
              <w:t>1.本项目所属行业：林业专业及辅助性活动</w:t>
            </w:r>
            <w:r>
              <w:rPr>
                <w:rFonts w:hint="eastAsia" w:ascii="宋体" w:hAnsi="宋体" w:cs="宋体"/>
                <w:bCs/>
                <w:snapToGrid w:val="0"/>
                <w:color w:val="000000" w:themeColor="text1"/>
                <w:sz w:val="24"/>
                <w:szCs w:val="24"/>
                <w:highlight w:val="none"/>
                <w:u w:val="single"/>
              </w:rPr>
              <w:t>；</w:t>
            </w:r>
          </w:p>
          <w:p w14:paraId="5C8CCBFD">
            <w:pPr>
              <w:ind w:left="377" w:leftChars="8" w:right="-113" w:rightChars="-54" w:hanging="360" w:hangingChars="150"/>
              <w:rPr>
                <w:rFonts w:ascii="宋体" w:hAnsi="宋体" w:cs="宋体"/>
                <w:bCs/>
                <w:snapToGrid w:val="0"/>
                <w:color w:val="000000" w:themeColor="text1"/>
                <w:sz w:val="24"/>
                <w:szCs w:val="24"/>
                <w:highlight w:val="none"/>
              </w:rPr>
            </w:pPr>
            <w:r>
              <w:rPr>
                <w:rFonts w:hint="eastAsia" w:ascii="宋体" w:hAnsi="宋体" w:cs="宋体"/>
                <w:bCs/>
                <w:snapToGrid w:val="0"/>
                <w:color w:val="000000" w:themeColor="text1"/>
                <w:sz w:val="24"/>
                <w:szCs w:val="24"/>
                <w:highlight w:val="none"/>
              </w:rPr>
              <w:t>2.专门</w:t>
            </w:r>
            <w:r>
              <w:rPr>
                <w:rFonts w:ascii="宋体" w:hAnsi="宋体" w:cs="宋体"/>
                <w:bCs/>
                <w:snapToGrid w:val="0"/>
                <w:color w:val="000000" w:themeColor="text1"/>
                <w:sz w:val="24"/>
                <w:szCs w:val="24"/>
                <w:highlight w:val="none"/>
              </w:rPr>
              <w:t>面向中小企业的项目</w:t>
            </w:r>
            <w:r>
              <w:rPr>
                <w:rFonts w:hint="eastAsia" w:ascii="宋体" w:hAnsi="宋体" w:cs="宋体"/>
                <w:bCs/>
                <w:snapToGrid w:val="0"/>
                <w:color w:val="000000" w:themeColor="text1"/>
                <w:sz w:val="24"/>
                <w:szCs w:val="24"/>
                <w:highlight w:val="none"/>
              </w:rPr>
              <w:t>，不</w:t>
            </w:r>
            <w:r>
              <w:rPr>
                <w:rFonts w:ascii="宋体" w:hAnsi="宋体" w:cs="宋体"/>
                <w:bCs/>
                <w:snapToGrid w:val="0"/>
                <w:color w:val="000000" w:themeColor="text1"/>
                <w:sz w:val="24"/>
                <w:szCs w:val="24"/>
                <w:highlight w:val="none"/>
              </w:rPr>
              <w:t>享受价格扣除</w:t>
            </w:r>
            <w:r>
              <w:rPr>
                <w:rFonts w:hint="eastAsia" w:ascii="宋体" w:hAnsi="宋体" w:cs="宋体"/>
                <w:bCs/>
                <w:snapToGrid w:val="0"/>
                <w:color w:val="000000" w:themeColor="text1"/>
                <w:sz w:val="24"/>
                <w:szCs w:val="24"/>
                <w:highlight w:val="none"/>
              </w:rPr>
              <w:t>。</w:t>
            </w:r>
          </w:p>
        </w:tc>
      </w:tr>
      <w:tr w14:paraId="4974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4014FE23">
            <w:pPr>
              <w:ind w:left="-88" w:leftChars="-42" w:right="-113" w:rightChars="-54"/>
              <w:jc w:val="center"/>
              <w:rPr>
                <w:rFonts w:ascii="宋体" w:hAnsi="宋体" w:cs="宋体"/>
                <w:bCs/>
                <w:snapToGrid w:val="0"/>
                <w:color w:val="000000" w:themeColor="text1"/>
                <w:sz w:val="24"/>
                <w:szCs w:val="24"/>
                <w:highlight w:val="none"/>
              </w:rPr>
            </w:pPr>
            <w:r>
              <w:rPr>
                <w:rFonts w:hint="eastAsia" w:ascii="宋体" w:hAnsi="宋体" w:cs="宋体"/>
                <w:bCs/>
                <w:snapToGrid w:val="0"/>
                <w:color w:val="000000" w:themeColor="text1"/>
                <w:sz w:val="24"/>
                <w:szCs w:val="24"/>
                <w:highlight w:val="none"/>
              </w:rPr>
              <w:t>1.13.6</w:t>
            </w:r>
          </w:p>
        </w:tc>
        <w:tc>
          <w:tcPr>
            <w:tcW w:w="1560" w:type="dxa"/>
            <w:vAlign w:val="center"/>
          </w:tcPr>
          <w:p w14:paraId="5A301D35">
            <w:pPr>
              <w:ind w:left="-44" w:leftChars="-53" w:right="-65" w:rightChars="-31" w:hanging="67" w:hangingChars="28"/>
              <w:jc w:val="cente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质疑联系人</w:t>
            </w:r>
          </w:p>
        </w:tc>
        <w:tc>
          <w:tcPr>
            <w:tcW w:w="6769" w:type="dxa"/>
            <w:vAlign w:val="center"/>
          </w:tcPr>
          <w:p w14:paraId="764D108F">
            <w:pP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1. 采购需求、供应商资格条件及评审办法质疑：</w:t>
            </w:r>
          </w:p>
          <w:p w14:paraId="002DABD4">
            <w:pPr>
              <w:ind w:firstLine="360" w:firstLineChars="150"/>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单  位：松阳县大东坝镇人民政府</w:t>
            </w:r>
          </w:p>
          <w:p w14:paraId="212AEB16">
            <w:pPr>
              <w:ind w:firstLine="360" w:firstLineChars="150"/>
              <w:rPr>
                <w:rFonts w:hint="eastAsia"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质疑联系人：兰晓明      质疑联系方式：</w:t>
            </w:r>
            <w:r>
              <w:rPr>
                <w:rFonts w:hint="eastAsia" w:ascii="宋体" w:hAnsi="宋体" w:cs="宋体"/>
                <w:color w:val="000000" w:themeColor="text1"/>
                <w:sz w:val="24"/>
                <w:szCs w:val="24"/>
                <w:highlight w:val="none"/>
              </w:rPr>
              <w:t>15024688631</w:t>
            </w:r>
          </w:p>
          <w:p w14:paraId="6D7E5DF0">
            <w:pPr>
              <w:ind w:firstLine="360" w:firstLineChars="150"/>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其他事项质疑：</w:t>
            </w:r>
          </w:p>
          <w:p w14:paraId="6A0B027C">
            <w:pPr>
              <w:ind w:firstLine="360" w:firstLineChars="15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单  位：浙江大兴建设项目管理咨询有限公司</w:t>
            </w:r>
          </w:p>
          <w:p w14:paraId="42720511">
            <w:pPr>
              <w:ind w:firstLine="360" w:firstLineChars="150"/>
              <w:rPr>
                <w:rFonts w:ascii="宋体" w:hAnsi="宋体" w:cs="宋体"/>
                <w:bCs/>
                <w:color w:val="000000" w:themeColor="text1"/>
                <w:sz w:val="24"/>
                <w:szCs w:val="24"/>
                <w:highlight w:val="none"/>
              </w:rPr>
            </w:pPr>
            <w:r>
              <w:rPr>
                <w:rFonts w:hint="eastAsia" w:ascii="宋体" w:hAnsi="宋体" w:cs="宋体"/>
                <w:color w:val="000000" w:themeColor="text1"/>
                <w:sz w:val="24"/>
                <w:szCs w:val="24"/>
                <w:highlight w:val="none"/>
              </w:rPr>
              <w:t>联系人：王洁        质疑联系方式：15168290935</w:t>
            </w:r>
          </w:p>
        </w:tc>
      </w:tr>
      <w:tr w14:paraId="7F8C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382A9709">
            <w:pPr>
              <w:ind w:left="-88" w:leftChars="-42" w:right="-113" w:rightChars="-54"/>
              <w:jc w:val="center"/>
              <w:rPr>
                <w:rFonts w:ascii="宋体" w:hAnsi="宋体" w:cs="宋体"/>
                <w:bCs/>
                <w:snapToGrid w:val="0"/>
                <w:color w:val="000000" w:themeColor="text1"/>
                <w:sz w:val="24"/>
                <w:szCs w:val="24"/>
                <w:highlight w:val="none"/>
              </w:rPr>
            </w:pPr>
            <w:r>
              <w:rPr>
                <w:rFonts w:hint="eastAsia" w:ascii="宋体" w:hAnsi="宋体" w:cs="宋体"/>
                <w:bCs/>
                <w:snapToGrid w:val="0"/>
                <w:color w:val="000000" w:themeColor="text1"/>
                <w:sz w:val="24"/>
                <w:szCs w:val="24"/>
                <w:highlight w:val="none"/>
              </w:rPr>
              <w:t>1.13.11</w:t>
            </w:r>
          </w:p>
        </w:tc>
        <w:tc>
          <w:tcPr>
            <w:tcW w:w="1560" w:type="dxa"/>
            <w:vAlign w:val="center"/>
          </w:tcPr>
          <w:p w14:paraId="06FDE2B6">
            <w:pPr>
              <w:ind w:left="-44" w:leftChars="-53" w:right="-65" w:rightChars="-31" w:hanging="67" w:hangingChars="28"/>
              <w:jc w:val="cente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同级政府采购监督管理部门</w:t>
            </w:r>
          </w:p>
        </w:tc>
        <w:tc>
          <w:tcPr>
            <w:tcW w:w="6769" w:type="dxa"/>
            <w:vAlign w:val="center"/>
          </w:tcPr>
          <w:p w14:paraId="3BFAE4A1">
            <w:pP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见第一章竞争性磋商采购公告</w:t>
            </w:r>
          </w:p>
        </w:tc>
      </w:tr>
      <w:tr w14:paraId="6B47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4DB14485">
            <w:pPr>
              <w:ind w:left="-88" w:leftChars="-42" w:right="-113" w:rightChars="-54"/>
              <w:jc w:val="center"/>
              <w:rPr>
                <w:rFonts w:ascii="宋体" w:hAnsi="宋体" w:cs="宋体"/>
                <w:bCs/>
                <w:snapToGrid w:val="0"/>
                <w:color w:val="000000" w:themeColor="text1"/>
                <w:sz w:val="24"/>
                <w:szCs w:val="24"/>
                <w:highlight w:val="none"/>
              </w:rPr>
            </w:pPr>
            <w:r>
              <w:rPr>
                <w:rFonts w:hint="eastAsia" w:ascii="宋体" w:hAnsi="宋体" w:cs="宋体"/>
                <w:bCs/>
                <w:snapToGrid w:val="0"/>
                <w:color w:val="000000" w:themeColor="text1"/>
                <w:sz w:val="24"/>
                <w:szCs w:val="24"/>
                <w:highlight w:val="none"/>
              </w:rPr>
              <w:t>2.2.4</w:t>
            </w:r>
          </w:p>
        </w:tc>
        <w:tc>
          <w:tcPr>
            <w:tcW w:w="1560" w:type="dxa"/>
            <w:vAlign w:val="center"/>
          </w:tcPr>
          <w:p w14:paraId="6AF747C5">
            <w:pPr>
              <w:ind w:left="-44" w:leftChars="-53" w:right="-65" w:rightChars="-31" w:hanging="67" w:hangingChars="28"/>
              <w:jc w:val="cente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澄清、修改发布网址</w:t>
            </w:r>
          </w:p>
        </w:tc>
        <w:tc>
          <w:tcPr>
            <w:tcW w:w="6769" w:type="dxa"/>
            <w:vAlign w:val="center"/>
          </w:tcPr>
          <w:p w14:paraId="1C6C073F">
            <w:pP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1. 浙江政府采购网（</w:t>
            </w:r>
            <w:r>
              <w:rPr>
                <w:color w:val="000000" w:themeColor="text1"/>
                <w:highlight w:val="none"/>
              </w:rPr>
              <w:fldChar w:fldCharType="begin"/>
            </w:r>
            <w:r>
              <w:rPr>
                <w:color w:val="000000" w:themeColor="text1"/>
                <w:highlight w:val="none"/>
              </w:rPr>
              <w:instrText xml:space="preserve"> HYPERLINK "http://www.zjzfcg.gov.cn" </w:instrText>
            </w:r>
            <w:r>
              <w:rPr>
                <w:color w:val="000000" w:themeColor="text1"/>
                <w:highlight w:val="none"/>
              </w:rPr>
              <w:fldChar w:fldCharType="separate"/>
            </w:r>
            <w:r>
              <w:rPr>
                <w:rFonts w:hint="eastAsia" w:ascii="宋体" w:hAnsi="宋体" w:cs="宋体"/>
                <w:color w:val="000000" w:themeColor="text1"/>
                <w:sz w:val="24"/>
                <w:szCs w:val="24"/>
                <w:highlight w:val="none"/>
              </w:rPr>
              <w:t>zfcg.czt.zj.gov.cn</w:t>
            </w:r>
            <w:r>
              <w:rPr>
                <w:rFonts w:hint="eastAsia" w:ascii="宋体" w:hAnsi="宋体" w:cs="宋体"/>
                <w:color w:val="000000" w:themeColor="text1"/>
                <w:sz w:val="24"/>
                <w:szCs w:val="24"/>
                <w:highlight w:val="none"/>
              </w:rPr>
              <w:fldChar w:fldCharType="end"/>
            </w:r>
            <w:r>
              <w:rPr>
                <w:rFonts w:hint="eastAsia" w:ascii="宋体" w:hAnsi="宋体" w:cs="宋体"/>
                <w:bCs/>
                <w:color w:val="000000" w:themeColor="text1"/>
                <w:sz w:val="24"/>
                <w:szCs w:val="24"/>
                <w:highlight w:val="none"/>
              </w:rPr>
              <w:t>）</w:t>
            </w:r>
          </w:p>
          <w:p w14:paraId="1E41DC52">
            <w:pP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2.丽水市公共资源交易网（松阳）”</w:t>
            </w:r>
          </w:p>
          <w:p w14:paraId="514EA8EF">
            <w:pP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http://lssggzy.lishui.gov.cn/syweb/tzgg/</w:t>
            </w:r>
          </w:p>
        </w:tc>
      </w:tr>
      <w:tr w14:paraId="4993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0EF63ED9">
            <w:pPr>
              <w:ind w:left="-88" w:leftChars="-42" w:right="-113" w:rightChars="-54"/>
              <w:jc w:val="center"/>
              <w:rPr>
                <w:rFonts w:ascii="宋体" w:hAnsi="宋体" w:cs="宋体"/>
                <w:bCs/>
                <w:snapToGrid w:val="0"/>
                <w:color w:val="000000" w:themeColor="text1"/>
                <w:sz w:val="24"/>
                <w:szCs w:val="24"/>
                <w:highlight w:val="none"/>
              </w:rPr>
            </w:pPr>
            <w:r>
              <w:rPr>
                <w:rFonts w:hint="eastAsia" w:ascii="宋体" w:hAnsi="宋体" w:cs="宋体"/>
                <w:bCs/>
                <w:snapToGrid w:val="0"/>
                <w:color w:val="000000" w:themeColor="text1"/>
                <w:sz w:val="24"/>
                <w:szCs w:val="24"/>
                <w:highlight w:val="none"/>
              </w:rPr>
              <w:t>3.4</w:t>
            </w:r>
          </w:p>
        </w:tc>
        <w:tc>
          <w:tcPr>
            <w:tcW w:w="1560" w:type="dxa"/>
            <w:vAlign w:val="center"/>
          </w:tcPr>
          <w:p w14:paraId="20C4C1B8">
            <w:pPr>
              <w:ind w:left="-44" w:leftChars="-53" w:right="-65" w:rightChars="-31" w:hanging="67" w:hangingChars="28"/>
              <w:jc w:val="cente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资格审查文件组成</w:t>
            </w:r>
          </w:p>
        </w:tc>
        <w:tc>
          <w:tcPr>
            <w:tcW w:w="6769" w:type="dxa"/>
            <w:vAlign w:val="center"/>
          </w:tcPr>
          <w:p w14:paraId="7546A4A1">
            <w:pPr>
              <w:jc w:val="left"/>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▲1. 有效的营业执照电子文档；</w:t>
            </w:r>
          </w:p>
          <w:p w14:paraId="4FB986FB">
            <w:pPr>
              <w:jc w:val="left"/>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▲2. 负责人身份证电子文档。</w:t>
            </w:r>
          </w:p>
          <w:p w14:paraId="1C9C819D">
            <w:pPr>
              <w:jc w:val="left"/>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▲3. 若有委托代理人的，则还应当提供授权委托书及委托代理人的身份证电子文档；</w:t>
            </w:r>
          </w:p>
          <w:p w14:paraId="7DC8C0F7">
            <w:pPr>
              <w:jc w:val="left"/>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▲4. 具有良好的财务会计制度、依法缴纳税收和社会保障资金的承诺函；</w:t>
            </w:r>
          </w:p>
          <w:p w14:paraId="614FC315">
            <w:pPr>
              <w:jc w:val="left"/>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▲5. 具有履行合同所必需设备和专业技术能力的承诺函；</w:t>
            </w:r>
          </w:p>
          <w:p w14:paraId="30D760D1">
            <w:pPr>
              <w:jc w:val="left"/>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▲6. 无重大违法记录声明书；</w:t>
            </w:r>
          </w:p>
          <w:p w14:paraId="726B21F0">
            <w:pPr>
              <w:jc w:val="left"/>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▲7.中小企业声明函或监狱企业声明函或残疾人福利性企业声明函；</w:t>
            </w:r>
          </w:p>
          <w:p w14:paraId="16FEA1E0">
            <w:pPr>
              <w:jc w:val="left"/>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lang w:val="en-US" w:eastAsia="zh-CN"/>
              </w:rPr>
              <w:t>8</w:t>
            </w:r>
            <w:r>
              <w:rPr>
                <w:rFonts w:hint="eastAsia" w:ascii="宋体" w:hAnsi="宋体" w:cs="宋体"/>
                <w:bCs/>
                <w:color w:val="000000" w:themeColor="text1"/>
                <w:sz w:val="24"/>
                <w:szCs w:val="24"/>
                <w:highlight w:val="none"/>
              </w:rPr>
              <w:t>.其他。</w:t>
            </w:r>
          </w:p>
          <w:p w14:paraId="63F3EF67">
            <w:pPr>
              <w:jc w:val="left"/>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注：编制格式要求见第五章投标文件格式，无格式的自行设计。</w:t>
            </w:r>
          </w:p>
        </w:tc>
      </w:tr>
      <w:tr w14:paraId="1BC7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0D3CDA9F">
            <w:pPr>
              <w:ind w:left="-88" w:leftChars="-42" w:right="-113" w:rightChars="-54"/>
              <w:jc w:val="center"/>
              <w:rPr>
                <w:rFonts w:ascii="宋体" w:hAnsi="宋体" w:cs="宋体"/>
                <w:bCs/>
                <w:snapToGrid w:val="0"/>
                <w:color w:val="000000" w:themeColor="text1"/>
                <w:sz w:val="24"/>
                <w:szCs w:val="24"/>
                <w:highlight w:val="none"/>
              </w:rPr>
            </w:pPr>
            <w:r>
              <w:rPr>
                <w:rFonts w:hint="eastAsia" w:ascii="宋体" w:hAnsi="宋体" w:cs="宋体"/>
                <w:bCs/>
                <w:snapToGrid w:val="0"/>
                <w:color w:val="000000" w:themeColor="text1"/>
                <w:sz w:val="24"/>
                <w:szCs w:val="24"/>
                <w:highlight w:val="none"/>
              </w:rPr>
              <w:t>3.5</w:t>
            </w:r>
          </w:p>
        </w:tc>
        <w:tc>
          <w:tcPr>
            <w:tcW w:w="1560" w:type="dxa"/>
            <w:vAlign w:val="center"/>
          </w:tcPr>
          <w:p w14:paraId="2477D653">
            <w:pPr>
              <w:ind w:left="-44" w:leftChars="-53" w:right="-65" w:rightChars="-31" w:hanging="67" w:hangingChars="28"/>
              <w:jc w:val="cente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资信商务及技术文件组成</w:t>
            </w:r>
          </w:p>
        </w:tc>
        <w:tc>
          <w:tcPr>
            <w:tcW w:w="6769" w:type="dxa"/>
            <w:vAlign w:val="center"/>
          </w:tcPr>
          <w:p w14:paraId="48C966E0">
            <w:pPr>
              <w:jc w:val="left"/>
              <w:rPr>
                <w:rFonts w:hint="eastAsia" w:ascii="宋体" w:hAnsi="宋体" w:cs="宋体"/>
                <w:bCs/>
                <w:sz w:val="24"/>
                <w:szCs w:val="24"/>
              </w:rPr>
            </w:pPr>
            <w:r>
              <w:rPr>
                <w:rFonts w:hint="eastAsia" w:ascii="宋体" w:hAnsi="宋体" w:cs="宋体"/>
                <w:bCs/>
                <w:sz w:val="24"/>
                <w:szCs w:val="24"/>
              </w:rPr>
              <w:t>（1）磋商响应函</w:t>
            </w:r>
          </w:p>
          <w:p w14:paraId="10242B24">
            <w:pPr>
              <w:jc w:val="left"/>
              <w:rPr>
                <w:rFonts w:hint="eastAsia" w:ascii="宋体" w:hAnsi="宋体" w:cs="宋体"/>
                <w:bCs/>
                <w:sz w:val="24"/>
                <w:szCs w:val="24"/>
              </w:rPr>
            </w:pPr>
            <w:r>
              <w:rPr>
                <w:rFonts w:hint="eastAsia" w:ascii="宋体" w:hAnsi="宋体" w:cs="宋体"/>
                <w:bCs/>
                <w:sz w:val="24"/>
                <w:szCs w:val="24"/>
              </w:rPr>
              <w:t>（2）类似业绩（如有请提供）</w:t>
            </w:r>
          </w:p>
          <w:p w14:paraId="09BEB019">
            <w:pPr>
              <w:jc w:val="left"/>
              <w:rPr>
                <w:rFonts w:hint="eastAsia" w:ascii="宋体" w:hAnsi="宋体" w:cs="宋体"/>
                <w:bCs/>
                <w:sz w:val="24"/>
                <w:szCs w:val="24"/>
              </w:rPr>
            </w:pPr>
            <w:r>
              <w:rPr>
                <w:rFonts w:hint="eastAsia" w:ascii="宋体" w:hAnsi="宋体" w:cs="宋体"/>
                <w:bCs/>
                <w:sz w:val="24"/>
                <w:szCs w:val="24"/>
              </w:rPr>
              <w:t>（3）商务响应表格式</w:t>
            </w:r>
          </w:p>
          <w:p w14:paraId="705562C6">
            <w:pPr>
              <w:jc w:val="left"/>
              <w:rPr>
                <w:rFonts w:hint="eastAsia" w:ascii="宋体" w:hAnsi="宋体" w:cs="宋体"/>
                <w:bCs/>
                <w:sz w:val="24"/>
                <w:szCs w:val="24"/>
              </w:rPr>
            </w:pPr>
            <w:r>
              <w:rPr>
                <w:rFonts w:hint="eastAsia" w:ascii="宋体" w:hAnsi="宋体" w:cs="宋体"/>
                <w:bCs/>
                <w:sz w:val="24"/>
                <w:szCs w:val="24"/>
              </w:rPr>
              <w:t>（4）实施方案</w:t>
            </w:r>
          </w:p>
          <w:p w14:paraId="22DAA075">
            <w:pPr>
              <w:jc w:val="left"/>
              <w:rPr>
                <w:rFonts w:hint="eastAsia" w:ascii="宋体" w:hAnsi="宋体" w:cs="宋体"/>
                <w:bCs/>
                <w:sz w:val="24"/>
                <w:szCs w:val="24"/>
              </w:rPr>
            </w:pPr>
            <w:r>
              <w:rPr>
                <w:rFonts w:hint="eastAsia" w:ascii="宋体" w:hAnsi="宋体" w:cs="宋体"/>
                <w:bCs/>
                <w:sz w:val="24"/>
                <w:szCs w:val="24"/>
              </w:rPr>
              <w:t>（5）质量控制措施</w:t>
            </w:r>
          </w:p>
          <w:p w14:paraId="15EBACF2">
            <w:pPr>
              <w:jc w:val="left"/>
              <w:rPr>
                <w:rFonts w:hint="eastAsia"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val="en-US" w:eastAsia="zh-CN"/>
              </w:rPr>
              <w:t>6</w:t>
            </w:r>
            <w:r>
              <w:rPr>
                <w:rFonts w:hint="eastAsia" w:ascii="宋体" w:hAnsi="宋体" w:cs="宋体"/>
                <w:bCs/>
                <w:sz w:val="24"/>
                <w:szCs w:val="24"/>
              </w:rPr>
              <w:t>）人员配置</w:t>
            </w:r>
          </w:p>
          <w:p w14:paraId="06342157">
            <w:pPr>
              <w:jc w:val="left"/>
              <w:rPr>
                <w:rFonts w:hint="eastAsia"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val="en-US" w:eastAsia="zh-CN"/>
              </w:rPr>
              <w:t>7</w:t>
            </w:r>
            <w:r>
              <w:rPr>
                <w:rFonts w:hint="eastAsia" w:ascii="宋体" w:hAnsi="宋体" w:cs="宋体"/>
                <w:bCs/>
                <w:sz w:val="24"/>
                <w:szCs w:val="24"/>
              </w:rPr>
              <w:t>）设备配置方案</w:t>
            </w:r>
          </w:p>
          <w:p w14:paraId="02487BAA">
            <w:pPr>
              <w:jc w:val="left"/>
              <w:rPr>
                <w:rFonts w:hint="eastAsia"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val="en-US" w:eastAsia="zh-CN"/>
              </w:rPr>
              <w:t>8</w:t>
            </w:r>
            <w:r>
              <w:rPr>
                <w:rFonts w:hint="eastAsia" w:ascii="宋体" w:hAnsi="宋体" w:cs="宋体"/>
                <w:bCs/>
                <w:sz w:val="24"/>
                <w:szCs w:val="24"/>
              </w:rPr>
              <w:t>）项目进度安排</w:t>
            </w:r>
          </w:p>
          <w:p w14:paraId="2884E179">
            <w:pPr>
              <w:jc w:val="left"/>
              <w:rPr>
                <w:rFonts w:hint="eastAsia"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val="en-US" w:eastAsia="zh-CN"/>
              </w:rPr>
              <w:t>9</w:t>
            </w:r>
            <w:r>
              <w:rPr>
                <w:rFonts w:hint="eastAsia" w:ascii="宋体" w:hAnsi="宋体" w:cs="宋体"/>
                <w:bCs/>
                <w:sz w:val="24"/>
                <w:szCs w:val="24"/>
              </w:rPr>
              <w:t>）安全生产、文明作业、环保措施方案</w:t>
            </w:r>
          </w:p>
          <w:p w14:paraId="6D50DBFE">
            <w:pPr>
              <w:jc w:val="left"/>
              <w:rPr>
                <w:rFonts w:hint="eastAsia"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val="en-US" w:eastAsia="zh-CN"/>
              </w:rPr>
              <w:t>10</w:t>
            </w:r>
            <w:r>
              <w:rPr>
                <w:rFonts w:hint="eastAsia" w:ascii="宋体" w:hAnsi="宋体" w:cs="宋体"/>
                <w:bCs/>
                <w:sz w:val="24"/>
                <w:szCs w:val="24"/>
              </w:rPr>
              <w:t>）突发事件应急处理能力</w:t>
            </w:r>
          </w:p>
          <w:p w14:paraId="5759A36C">
            <w:pPr>
              <w:jc w:val="left"/>
              <w:rPr>
                <w:rFonts w:hint="eastAsia" w:ascii="宋体" w:hAnsi="宋体" w:eastAsia="宋体" w:cs="宋体"/>
                <w:bCs/>
                <w:sz w:val="24"/>
                <w:szCs w:val="24"/>
                <w:lang w:eastAsia="zh-CN"/>
              </w:rPr>
            </w:pPr>
            <w:r>
              <w:rPr>
                <w:rFonts w:hint="eastAsia" w:ascii="宋体" w:hAnsi="宋体" w:cs="宋体"/>
                <w:bCs/>
                <w:sz w:val="24"/>
                <w:szCs w:val="24"/>
              </w:rPr>
              <w:t>（1</w:t>
            </w:r>
            <w:r>
              <w:rPr>
                <w:rFonts w:hint="eastAsia" w:ascii="宋体" w:hAnsi="宋体" w:cs="宋体"/>
                <w:bCs/>
                <w:sz w:val="24"/>
                <w:szCs w:val="24"/>
                <w:lang w:val="en-US" w:eastAsia="zh-CN"/>
              </w:rPr>
              <w:t>1</w:t>
            </w:r>
            <w:r>
              <w:rPr>
                <w:rFonts w:hint="eastAsia" w:ascii="宋体" w:hAnsi="宋体" w:cs="宋体"/>
                <w:bCs/>
                <w:sz w:val="24"/>
                <w:szCs w:val="24"/>
              </w:rPr>
              <w:t>）服务</w:t>
            </w:r>
            <w:r>
              <w:rPr>
                <w:rFonts w:hint="eastAsia" w:ascii="宋体" w:hAnsi="宋体" w:cs="宋体"/>
                <w:bCs/>
                <w:sz w:val="24"/>
                <w:szCs w:val="24"/>
                <w:lang w:eastAsia="zh-CN"/>
              </w:rPr>
              <w:t>承诺</w:t>
            </w:r>
          </w:p>
          <w:p w14:paraId="026A4F5F">
            <w:pPr>
              <w:jc w:val="left"/>
              <w:rPr>
                <w:rFonts w:hint="eastAsia"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2</w:t>
            </w:r>
            <w:r>
              <w:rPr>
                <w:rFonts w:hint="eastAsia" w:ascii="宋体" w:hAnsi="宋体" w:cs="宋体"/>
                <w:bCs/>
                <w:sz w:val="24"/>
                <w:szCs w:val="24"/>
              </w:rPr>
              <w:t>）供应商需要说明的其他文件和说明</w:t>
            </w:r>
          </w:p>
          <w:p w14:paraId="4AD19F87">
            <w:pPr>
              <w:jc w:val="left"/>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注:结合“第二章 采购需求”和“第六章 评标办法和细则”进行编制，编制格式要求见第五章磋商响应文件格式，无格式的自行设计。</w:t>
            </w:r>
          </w:p>
        </w:tc>
      </w:tr>
      <w:tr w14:paraId="73A9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4AF3EFD6">
            <w:pPr>
              <w:ind w:left="-88" w:leftChars="-42" w:right="-113" w:rightChars="-54"/>
              <w:jc w:val="center"/>
              <w:rPr>
                <w:rFonts w:ascii="宋体" w:hAnsi="宋体" w:cs="宋体"/>
                <w:bCs/>
                <w:snapToGrid w:val="0"/>
                <w:color w:val="000000" w:themeColor="text1"/>
                <w:sz w:val="24"/>
                <w:szCs w:val="24"/>
                <w:highlight w:val="none"/>
              </w:rPr>
            </w:pPr>
            <w:r>
              <w:rPr>
                <w:rFonts w:hint="eastAsia" w:ascii="宋体" w:hAnsi="宋体" w:cs="宋体"/>
                <w:bCs/>
                <w:snapToGrid w:val="0"/>
                <w:color w:val="000000" w:themeColor="text1"/>
                <w:sz w:val="24"/>
                <w:szCs w:val="24"/>
                <w:highlight w:val="none"/>
              </w:rPr>
              <w:t>3.6</w:t>
            </w:r>
          </w:p>
        </w:tc>
        <w:tc>
          <w:tcPr>
            <w:tcW w:w="1560" w:type="dxa"/>
            <w:vAlign w:val="center"/>
          </w:tcPr>
          <w:p w14:paraId="46C59A14">
            <w:pPr>
              <w:ind w:left="-44" w:leftChars="-53" w:right="-65" w:rightChars="-31" w:hanging="67" w:hangingChars="28"/>
              <w:jc w:val="cente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报价文件组成</w:t>
            </w:r>
          </w:p>
        </w:tc>
        <w:tc>
          <w:tcPr>
            <w:tcW w:w="6769" w:type="dxa"/>
            <w:vAlign w:val="center"/>
          </w:tcPr>
          <w:p w14:paraId="32B90516">
            <w:pPr>
              <w:jc w:val="left"/>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1.开标一览表；</w:t>
            </w:r>
          </w:p>
          <w:p w14:paraId="4E0B99E4">
            <w:pPr>
              <w:jc w:val="left"/>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2.报价明细表；</w:t>
            </w:r>
          </w:p>
          <w:p w14:paraId="733444A0">
            <w:pPr>
              <w:jc w:val="left"/>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注：编制格式要求见第五章 磋商响应文件格式，无格式的自行设计。</w:t>
            </w:r>
          </w:p>
        </w:tc>
      </w:tr>
      <w:tr w14:paraId="17C9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4FA70B62">
            <w:pPr>
              <w:ind w:left="-88" w:leftChars="-42" w:right="-113" w:rightChars="-54"/>
              <w:jc w:val="center"/>
              <w:rPr>
                <w:rFonts w:ascii="宋体" w:hAnsi="宋体" w:cs="宋体"/>
                <w:bCs/>
                <w:snapToGrid w:val="0"/>
                <w:color w:val="000000" w:themeColor="text1"/>
                <w:sz w:val="24"/>
                <w:szCs w:val="24"/>
                <w:highlight w:val="none"/>
              </w:rPr>
            </w:pPr>
            <w:r>
              <w:rPr>
                <w:rFonts w:hint="eastAsia" w:ascii="宋体" w:hAnsi="宋体" w:cs="宋体"/>
                <w:bCs/>
                <w:snapToGrid w:val="0"/>
                <w:color w:val="000000" w:themeColor="text1"/>
                <w:sz w:val="24"/>
                <w:szCs w:val="24"/>
                <w:highlight w:val="none"/>
              </w:rPr>
              <w:t>4.3.1</w:t>
            </w:r>
          </w:p>
        </w:tc>
        <w:tc>
          <w:tcPr>
            <w:tcW w:w="1560" w:type="dxa"/>
            <w:vAlign w:val="center"/>
          </w:tcPr>
          <w:p w14:paraId="2C244761">
            <w:pPr>
              <w:ind w:left="-44" w:leftChars="-53" w:right="-65" w:rightChars="-31" w:hanging="67" w:hangingChars="28"/>
              <w:jc w:val="cente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磋商有效期</w:t>
            </w:r>
          </w:p>
        </w:tc>
        <w:tc>
          <w:tcPr>
            <w:tcW w:w="6769" w:type="dxa"/>
            <w:vAlign w:val="center"/>
          </w:tcPr>
          <w:p w14:paraId="742C47D8">
            <w:pP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u w:val="single"/>
              </w:rPr>
              <w:t xml:space="preserve"> 90 </w:t>
            </w:r>
            <w:r>
              <w:rPr>
                <w:rFonts w:hint="eastAsia" w:ascii="宋体" w:hAnsi="宋体" w:cs="宋体"/>
                <w:color w:val="000000" w:themeColor="text1"/>
                <w:sz w:val="24"/>
                <w:szCs w:val="24"/>
                <w:highlight w:val="none"/>
              </w:rPr>
              <w:t xml:space="preserve"> 天</w:t>
            </w:r>
          </w:p>
        </w:tc>
      </w:tr>
      <w:tr w14:paraId="46E2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18AB7915">
            <w:pPr>
              <w:ind w:left="-88" w:leftChars="-42" w:right="-113" w:rightChars="-54"/>
              <w:jc w:val="center"/>
              <w:rPr>
                <w:rFonts w:ascii="宋体" w:hAnsi="宋体" w:cs="宋体"/>
                <w:bCs/>
                <w:snapToGrid w:val="0"/>
                <w:color w:val="000000" w:themeColor="text1"/>
                <w:sz w:val="24"/>
                <w:szCs w:val="24"/>
                <w:highlight w:val="none"/>
              </w:rPr>
            </w:pPr>
            <w:r>
              <w:rPr>
                <w:rFonts w:hint="eastAsia" w:ascii="宋体" w:hAnsi="宋体" w:cs="宋体"/>
                <w:bCs/>
                <w:snapToGrid w:val="0"/>
                <w:color w:val="000000" w:themeColor="text1"/>
                <w:sz w:val="24"/>
                <w:szCs w:val="24"/>
                <w:highlight w:val="none"/>
              </w:rPr>
              <w:t>4.5.1</w:t>
            </w:r>
          </w:p>
        </w:tc>
        <w:tc>
          <w:tcPr>
            <w:tcW w:w="1560" w:type="dxa"/>
            <w:vAlign w:val="center"/>
          </w:tcPr>
          <w:p w14:paraId="71362832">
            <w:pPr>
              <w:ind w:left="-44" w:leftChars="-53" w:right="-65" w:rightChars="-31" w:hanging="67" w:hangingChars="28"/>
              <w:jc w:val="cente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磋商响应文件份数</w:t>
            </w:r>
          </w:p>
        </w:tc>
        <w:tc>
          <w:tcPr>
            <w:tcW w:w="6769" w:type="dxa"/>
            <w:vAlign w:val="center"/>
          </w:tcPr>
          <w:p w14:paraId="200A102C">
            <w:pPr>
              <w:wordWrap w:val="0"/>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1. 电子加密磋商响应文件：政府采购云平台在线提交、上传一份；</w:t>
            </w:r>
          </w:p>
          <w:p w14:paraId="19D93AFA">
            <w:pPr>
              <w:wordWrap w:val="0"/>
              <w:ind w:left="361" w:hanging="361" w:hangingChars="150"/>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2. 备份磋商响应文件：电子邮件提交一份，由供应商自行确定是否提交；若提交请将备份磋商响应文件以电子邮件的形式发送至（</w:t>
            </w:r>
            <w:r>
              <w:rPr>
                <w:rFonts w:ascii="宋体" w:hAnsi="宋体" w:cs="宋体"/>
                <w:b/>
                <w:color w:val="000000" w:themeColor="text1"/>
                <w:sz w:val="24"/>
                <w:szCs w:val="24"/>
                <w:highlight w:val="none"/>
              </w:rPr>
              <w:t>107052703</w:t>
            </w:r>
            <w:r>
              <w:rPr>
                <w:rFonts w:hint="eastAsia" w:ascii="宋体" w:hAnsi="宋体" w:cs="宋体"/>
                <w:b/>
                <w:color w:val="000000" w:themeColor="text1"/>
                <w:sz w:val="24"/>
                <w:szCs w:val="24"/>
                <w:highlight w:val="none"/>
              </w:rPr>
              <w:t>@qq.com）。</w:t>
            </w:r>
          </w:p>
          <w:p w14:paraId="307E497B">
            <w:pPr>
              <w:ind w:left="482" w:hanging="482" w:hangingChars="200"/>
              <w:rPr>
                <w:rFonts w:ascii="宋体" w:hAnsi="宋体" w:cs="宋体"/>
                <w:color w:val="000000" w:themeColor="text1"/>
                <w:sz w:val="24"/>
                <w:szCs w:val="24"/>
                <w:highlight w:val="none"/>
              </w:rPr>
            </w:pPr>
            <w:r>
              <w:rPr>
                <w:rFonts w:hint="eastAsia" w:ascii="宋体" w:hAnsi="宋体" w:cs="宋体"/>
                <w:b/>
                <w:color w:val="000000" w:themeColor="text1"/>
                <w:sz w:val="24"/>
                <w:szCs w:val="24"/>
                <w:highlight w:val="none"/>
              </w:rPr>
              <w:t>注：供应商在线解密失败后，启用备份磋商响应文件，否则不启用备份磋商响应文件。</w:t>
            </w:r>
          </w:p>
        </w:tc>
      </w:tr>
      <w:tr w14:paraId="06A2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1165F7EA">
            <w:pPr>
              <w:ind w:left="-88" w:leftChars="-42" w:right="-113" w:rightChars="-54"/>
              <w:jc w:val="center"/>
              <w:rPr>
                <w:rFonts w:ascii="宋体" w:hAnsi="宋体" w:cs="宋体"/>
                <w:bCs/>
                <w:snapToGrid w:val="0"/>
                <w:color w:val="000000" w:themeColor="text1"/>
                <w:sz w:val="24"/>
                <w:szCs w:val="24"/>
                <w:highlight w:val="none"/>
              </w:rPr>
            </w:pPr>
            <w:r>
              <w:rPr>
                <w:rFonts w:hint="eastAsia" w:ascii="宋体" w:hAnsi="宋体" w:cs="宋体"/>
                <w:bCs/>
                <w:snapToGrid w:val="0"/>
                <w:color w:val="000000" w:themeColor="text1"/>
                <w:sz w:val="24"/>
                <w:szCs w:val="24"/>
                <w:highlight w:val="none"/>
              </w:rPr>
              <w:t>6.1.1</w:t>
            </w:r>
          </w:p>
        </w:tc>
        <w:tc>
          <w:tcPr>
            <w:tcW w:w="1560" w:type="dxa"/>
            <w:vAlign w:val="center"/>
          </w:tcPr>
          <w:p w14:paraId="02FE4CA1">
            <w:pPr>
              <w:ind w:left="-44" w:leftChars="-53" w:right="-65" w:rightChars="-31" w:hanging="67" w:hangingChars="28"/>
              <w:jc w:val="cente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开启时间和地点</w:t>
            </w:r>
          </w:p>
        </w:tc>
        <w:tc>
          <w:tcPr>
            <w:tcW w:w="6769" w:type="dxa"/>
            <w:vAlign w:val="center"/>
          </w:tcPr>
          <w:p w14:paraId="48FC042A">
            <w:pPr>
              <w:rPr>
                <w:rFonts w:ascii="宋体" w:hAnsi="宋体" w:cs="宋体"/>
                <w:color w:val="000000" w:themeColor="text1"/>
                <w:sz w:val="24"/>
                <w:szCs w:val="24"/>
                <w:highlight w:val="none"/>
              </w:rPr>
            </w:pPr>
            <w:r>
              <w:rPr>
                <w:rFonts w:hint="eastAsia" w:ascii="宋体" w:hAnsi="宋体" w:cs="宋体"/>
                <w:bCs/>
                <w:color w:val="000000" w:themeColor="text1"/>
                <w:sz w:val="24"/>
                <w:szCs w:val="24"/>
                <w:highlight w:val="none"/>
              </w:rPr>
              <w:t>见第一章竞争性磋商采购公告，</w:t>
            </w:r>
            <w:r>
              <w:rPr>
                <w:rFonts w:hint="eastAsia" w:ascii="宋体" w:hAnsi="宋体" w:cs="宋体"/>
                <w:b/>
                <w:bCs/>
                <w:color w:val="000000" w:themeColor="text1"/>
                <w:sz w:val="24"/>
                <w:szCs w:val="24"/>
                <w:highlight w:val="none"/>
              </w:rPr>
              <w:t>供应商可以远程在线参加，不需现场参加开标。</w:t>
            </w:r>
          </w:p>
        </w:tc>
      </w:tr>
      <w:tr w14:paraId="5E11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2DB476F9">
            <w:pPr>
              <w:ind w:left="-88" w:leftChars="-42" w:right="-113" w:rightChars="-54"/>
              <w:jc w:val="center"/>
              <w:rPr>
                <w:rFonts w:ascii="宋体" w:hAnsi="宋体" w:cs="宋体"/>
                <w:bCs/>
                <w:snapToGrid w:val="0"/>
                <w:color w:val="000000" w:themeColor="text1"/>
                <w:sz w:val="24"/>
                <w:szCs w:val="24"/>
                <w:highlight w:val="none"/>
              </w:rPr>
            </w:pPr>
            <w:r>
              <w:rPr>
                <w:rFonts w:hint="eastAsia" w:ascii="宋体" w:hAnsi="宋体" w:cs="宋体"/>
                <w:bCs/>
                <w:snapToGrid w:val="0"/>
                <w:color w:val="000000" w:themeColor="text1"/>
                <w:sz w:val="24"/>
                <w:szCs w:val="24"/>
                <w:highlight w:val="none"/>
              </w:rPr>
              <w:t>6.3.1</w:t>
            </w:r>
          </w:p>
        </w:tc>
        <w:tc>
          <w:tcPr>
            <w:tcW w:w="1560" w:type="dxa"/>
            <w:vAlign w:val="center"/>
          </w:tcPr>
          <w:p w14:paraId="2D18726A">
            <w:pPr>
              <w:ind w:left="-44" w:leftChars="-53" w:right="-65" w:rightChars="-31" w:hanging="67" w:hangingChars="28"/>
              <w:jc w:val="cente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评审办法</w:t>
            </w:r>
          </w:p>
        </w:tc>
        <w:tc>
          <w:tcPr>
            <w:tcW w:w="6769" w:type="dxa"/>
            <w:vAlign w:val="center"/>
          </w:tcPr>
          <w:p w14:paraId="1DFA53F9">
            <w:pP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综合评分法</w:t>
            </w:r>
          </w:p>
        </w:tc>
      </w:tr>
      <w:tr w14:paraId="0E26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0F387F92">
            <w:pPr>
              <w:ind w:left="-88" w:leftChars="-42" w:right="-113" w:rightChars="-54"/>
              <w:jc w:val="center"/>
              <w:rPr>
                <w:rFonts w:ascii="宋体" w:hAnsi="宋体" w:cs="宋体"/>
                <w:bCs/>
                <w:snapToGrid w:val="0"/>
                <w:color w:val="000000" w:themeColor="text1"/>
                <w:sz w:val="24"/>
                <w:szCs w:val="24"/>
                <w:highlight w:val="none"/>
              </w:rPr>
            </w:pPr>
            <w:r>
              <w:rPr>
                <w:rFonts w:hint="eastAsia" w:ascii="宋体" w:hAnsi="宋体" w:cs="宋体"/>
                <w:bCs/>
                <w:snapToGrid w:val="0"/>
                <w:color w:val="000000" w:themeColor="text1"/>
                <w:sz w:val="24"/>
                <w:szCs w:val="24"/>
                <w:highlight w:val="none"/>
              </w:rPr>
              <w:t>7.3</w:t>
            </w:r>
          </w:p>
        </w:tc>
        <w:tc>
          <w:tcPr>
            <w:tcW w:w="1560" w:type="dxa"/>
            <w:vAlign w:val="center"/>
          </w:tcPr>
          <w:p w14:paraId="653CC542">
            <w:pPr>
              <w:ind w:left="-99" w:leftChars="-47" w:right="-65" w:rightChars="-31" w:firstLine="26" w:firstLineChars="11"/>
              <w:jc w:val="left"/>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非实质性条款允许偏离项数</w:t>
            </w:r>
          </w:p>
        </w:tc>
        <w:tc>
          <w:tcPr>
            <w:tcW w:w="6769" w:type="dxa"/>
            <w:vAlign w:val="center"/>
          </w:tcPr>
          <w:p w14:paraId="530D835B">
            <w:pP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u w:val="single"/>
              </w:rPr>
              <w:t xml:space="preserve"> 5 </w:t>
            </w:r>
            <w:r>
              <w:rPr>
                <w:rFonts w:hint="eastAsia" w:ascii="宋体" w:hAnsi="宋体" w:cs="宋体"/>
                <w:color w:val="000000" w:themeColor="text1"/>
                <w:sz w:val="24"/>
                <w:szCs w:val="24"/>
                <w:highlight w:val="none"/>
              </w:rPr>
              <w:t>项</w:t>
            </w:r>
          </w:p>
        </w:tc>
      </w:tr>
      <w:tr w14:paraId="4EE3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4B3A2489">
            <w:pPr>
              <w:ind w:left="-88" w:leftChars="-42" w:right="-113" w:rightChars="-54"/>
              <w:jc w:val="center"/>
              <w:rPr>
                <w:rFonts w:ascii="宋体" w:hAnsi="宋体" w:cs="宋体"/>
                <w:bCs/>
                <w:snapToGrid w:val="0"/>
                <w:color w:val="000000" w:themeColor="text1"/>
                <w:sz w:val="24"/>
                <w:szCs w:val="24"/>
                <w:highlight w:val="none"/>
              </w:rPr>
            </w:pPr>
            <w:r>
              <w:rPr>
                <w:rFonts w:hint="eastAsia" w:ascii="宋体" w:hAnsi="宋体" w:cs="宋体"/>
                <w:color w:val="000000" w:themeColor="text1"/>
                <w:sz w:val="24"/>
                <w:highlight w:val="none"/>
              </w:rPr>
              <w:t>8.2.1</w:t>
            </w:r>
          </w:p>
        </w:tc>
        <w:tc>
          <w:tcPr>
            <w:tcW w:w="1560" w:type="dxa"/>
            <w:vAlign w:val="center"/>
          </w:tcPr>
          <w:p w14:paraId="7E087C38">
            <w:pPr>
              <w:ind w:left="-44" w:leftChars="-53" w:right="-65" w:rightChars="-31" w:hanging="67" w:hangingChars="28"/>
              <w:jc w:val="cente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成交公告发布网址</w:t>
            </w:r>
          </w:p>
        </w:tc>
        <w:tc>
          <w:tcPr>
            <w:tcW w:w="6769" w:type="dxa"/>
            <w:vAlign w:val="center"/>
          </w:tcPr>
          <w:p w14:paraId="7E00BBF0">
            <w:pP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1. 浙江政府采购网（</w:t>
            </w:r>
            <w:r>
              <w:rPr>
                <w:color w:val="000000" w:themeColor="text1"/>
                <w:highlight w:val="none"/>
              </w:rPr>
              <w:fldChar w:fldCharType="begin"/>
            </w:r>
            <w:r>
              <w:rPr>
                <w:color w:val="000000" w:themeColor="text1"/>
                <w:highlight w:val="none"/>
              </w:rPr>
              <w:instrText xml:space="preserve"> HYPERLINK "http://www.zjzfcg.gov.cn" </w:instrText>
            </w:r>
            <w:r>
              <w:rPr>
                <w:color w:val="000000" w:themeColor="text1"/>
                <w:highlight w:val="none"/>
              </w:rPr>
              <w:fldChar w:fldCharType="separate"/>
            </w:r>
            <w:r>
              <w:rPr>
                <w:rFonts w:hint="eastAsia" w:ascii="宋体" w:hAnsi="宋体" w:cs="宋体"/>
                <w:color w:val="000000" w:themeColor="text1"/>
                <w:sz w:val="24"/>
                <w:szCs w:val="24"/>
                <w:highlight w:val="none"/>
              </w:rPr>
              <w:t>zfcg.czt.zj.gov.cn</w:t>
            </w:r>
            <w:r>
              <w:rPr>
                <w:rFonts w:hint="eastAsia" w:ascii="宋体" w:hAnsi="宋体" w:cs="宋体"/>
                <w:color w:val="000000" w:themeColor="text1"/>
                <w:sz w:val="24"/>
                <w:szCs w:val="24"/>
                <w:highlight w:val="none"/>
              </w:rPr>
              <w:fldChar w:fldCharType="end"/>
            </w:r>
            <w:r>
              <w:rPr>
                <w:rFonts w:hint="eastAsia" w:ascii="宋体" w:hAnsi="宋体" w:cs="宋体"/>
                <w:bCs/>
                <w:color w:val="000000" w:themeColor="text1"/>
                <w:sz w:val="24"/>
                <w:szCs w:val="24"/>
                <w:highlight w:val="none"/>
              </w:rPr>
              <w:t>）</w:t>
            </w:r>
          </w:p>
          <w:p w14:paraId="7E75876F">
            <w:pP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2. 丽水市公共资源交易网（松阳）”</w:t>
            </w:r>
          </w:p>
          <w:p w14:paraId="68CE4002">
            <w:pPr>
              <w:rPr>
                <w:rFonts w:ascii="宋体" w:hAnsi="宋体" w:cs="宋体"/>
                <w:color w:val="000000" w:themeColor="text1"/>
                <w:sz w:val="24"/>
                <w:szCs w:val="24"/>
                <w:highlight w:val="none"/>
              </w:rPr>
            </w:pPr>
            <w:r>
              <w:rPr>
                <w:rFonts w:hint="eastAsia" w:ascii="宋体" w:hAnsi="宋体" w:cs="宋体"/>
                <w:bCs/>
                <w:color w:val="000000" w:themeColor="text1"/>
                <w:sz w:val="24"/>
                <w:szCs w:val="24"/>
                <w:highlight w:val="none"/>
              </w:rPr>
              <w:t>http://lssggzy.lishui.gov.cn/syweb/tzgg/</w:t>
            </w:r>
          </w:p>
        </w:tc>
      </w:tr>
      <w:tr w14:paraId="0137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3793938E">
            <w:pPr>
              <w:ind w:left="-88" w:leftChars="-42" w:right="-113" w:rightChars="-54"/>
              <w:jc w:val="center"/>
              <w:rPr>
                <w:rFonts w:ascii="宋体" w:hAnsi="宋体" w:cs="宋体"/>
                <w:bCs/>
                <w:snapToGrid w:val="0"/>
                <w:color w:val="000000" w:themeColor="text1"/>
                <w:sz w:val="24"/>
                <w:szCs w:val="24"/>
                <w:highlight w:val="none"/>
              </w:rPr>
            </w:pPr>
            <w:r>
              <w:rPr>
                <w:rFonts w:hint="eastAsia" w:ascii="宋体" w:hAnsi="宋体" w:cs="宋体"/>
                <w:bCs/>
                <w:snapToGrid w:val="0"/>
                <w:color w:val="000000" w:themeColor="text1"/>
                <w:sz w:val="24"/>
                <w:szCs w:val="24"/>
                <w:highlight w:val="none"/>
              </w:rPr>
              <w:t>8.3.1</w:t>
            </w:r>
          </w:p>
        </w:tc>
        <w:tc>
          <w:tcPr>
            <w:tcW w:w="1560" w:type="dxa"/>
            <w:vAlign w:val="center"/>
          </w:tcPr>
          <w:p w14:paraId="22580DCC">
            <w:pPr>
              <w:ind w:left="-44" w:leftChars="-53" w:right="-65" w:rightChars="-31" w:hanging="67" w:hangingChars="28"/>
              <w:jc w:val="cente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履约保证金</w:t>
            </w:r>
          </w:p>
        </w:tc>
        <w:tc>
          <w:tcPr>
            <w:tcW w:w="6769" w:type="dxa"/>
            <w:vAlign w:val="center"/>
          </w:tcPr>
          <w:p w14:paraId="7CE2DE99">
            <w:pPr>
              <w:rPr>
                <w:rFonts w:ascii="宋体" w:hAnsi="宋体" w:cs="宋体"/>
                <w:b/>
                <w:bCs/>
                <w:color w:val="000000" w:themeColor="text1"/>
                <w:sz w:val="24"/>
                <w:szCs w:val="24"/>
                <w:highlight w:val="none"/>
                <w:u w:val="single"/>
              </w:rPr>
            </w:pPr>
            <w:r>
              <w:rPr>
                <w:rFonts w:hint="eastAsia" w:ascii="宋体" w:hAnsi="宋体" w:cs="宋体"/>
                <w:bCs/>
                <w:color w:val="000000" w:themeColor="text1"/>
                <w:sz w:val="24"/>
                <w:szCs w:val="24"/>
                <w:highlight w:val="none"/>
              </w:rPr>
              <w:t>政府采购合同金额的</w:t>
            </w:r>
            <w:r>
              <w:rPr>
                <w:rFonts w:hint="eastAsia" w:ascii="宋体" w:hAnsi="宋体" w:cs="宋体"/>
                <w:bCs/>
                <w:color w:val="000000" w:themeColor="text1"/>
                <w:sz w:val="24"/>
                <w:szCs w:val="24"/>
                <w:highlight w:val="none"/>
                <w:u w:val="single"/>
              </w:rPr>
              <w:t>0%</w:t>
            </w:r>
          </w:p>
          <w:p w14:paraId="5D84657C">
            <w:pP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缴纳方式：电汇、转账、银行或保险公司出具履约保函</w:t>
            </w:r>
          </w:p>
          <w:p w14:paraId="2499BAF6">
            <w:pP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缴纳时间：合同签订之后10个工作日内</w:t>
            </w:r>
          </w:p>
          <w:p w14:paraId="4C04CCC0">
            <w:pP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退还时间：合同履约完成并通过组织验收后15天内予以退还</w:t>
            </w:r>
          </w:p>
          <w:p w14:paraId="2C5AF661">
            <w:pPr>
              <w:rPr>
                <w:rFonts w:ascii="宋体" w:hAnsi="宋体" w:cs="宋体"/>
                <w:color w:val="000000" w:themeColor="text1"/>
                <w:sz w:val="24"/>
                <w:szCs w:val="24"/>
                <w:highlight w:val="none"/>
              </w:rPr>
            </w:pPr>
            <w:r>
              <w:rPr>
                <w:rFonts w:hint="eastAsia" w:ascii="宋体" w:hAnsi="宋体" w:cs="宋体"/>
                <w:bCs/>
                <w:color w:val="000000" w:themeColor="text1"/>
                <w:sz w:val="24"/>
                <w:szCs w:val="24"/>
                <w:highlight w:val="none"/>
              </w:rPr>
              <w:t>履约保函：以银行或保险公司出具的为准。</w:t>
            </w:r>
          </w:p>
        </w:tc>
      </w:tr>
    </w:tbl>
    <w:p w14:paraId="2DF99EE3">
      <w:pPr>
        <w:pStyle w:val="43"/>
        <w:spacing w:after="240"/>
        <w:outlineLvl w:val="1"/>
        <w:rPr>
          <w:rFonts w:ascii="宋体" w:hAnsi="宋体" w:cs="宋体"/>
          <w:color w:val="000000" w:themeColor="text1"/>
          <w:sz w:val="30"/>
          <w:szCs w:val="30"/>
          <w:highlight w:val="none"/>
        </w:rPr>
        <w:sectPr>
          <w:pgSz w:w="11906" w:h="16838"/>
          <w:pgMar w:top="1418" w:right="1418" w:bottom="1418" w:left="1418" w:header="851" w:footer="851" w:gutter="0"/>
          <w:cols w:space="720" w:num="1"/>
          <w:docGrid w:linePitch="312" w:charSpace="0"/>
        </w:sectPr>
      </w:pPr>
    </w:p>
    <w:p w14:paraId="0771ACB1">
      <w:pPr>
        <w:pStyle w:val="43"/>
        <w:adjustRightInd w:val="0"/>
        <w:snapToGrid w:val="0"/>
        <w:spacing w:after="240"/>
        <w:jc w:val="left"/>
        <w:outlineLvl w:val="1"/>
        <w:rPr>
          <w:rFonts w:ascii="宋体" w:hAnsi="宋体" w:cs="宋体"/>
          <w:color w:val="000000" w:themeColor="text1"/>
          <w:sz w:val="30"/>
          <w:szCs w:val="30"/>
          <w:highlight w:val="none"/>
        </w:rPr>
      </w:pPr>
      <w:bookmarkStart w:id="62" w:name="_Toc80973232"/>
      <w:r>
        <w:rPr>
          <w:rFonts w:hint="eastAsia" w:ascii="宋体" w:hAnsi="宋体" w:cs="宋体"/>
          <w:color w:val="000000" w:themeColor="text1"/>
          <w:sz w:val="30"/>
          <w:szCs w:val="30"/>
          <w:highlight w:val="none"/>
        </w:rPr>
        <w:t>供应商须知前附表（二）</w:t>
      </w:r>
      <w:bookmarkEnd w:id="62"/>
    </w:p>
    <w:p w14:paraId="56C820E6">
      <w:pPr>
        <w:adjustRightInd w:val="0"/>
        <w:snapToGrid w:val="0"/>
        <w:jc w:val="center"/>
        <w:rPr>
          <w:rFonts w:ascii="宋体" w:hAnsi="宋体" w:cs="宋体"/>
          <w:b/>
          <w:color w:val="000000" w:themeColor="text1"/>
          <w:sz w:val="30"/>
          <w:szCs w:val="30"/>
          <w:highlight w:val="none"/>
        </w:rPr>
      </w:pPr>
      <w:r>
        <w:rPr>
          <w:rFonts w:hint="eastAsia" w:ascii="宋体" w:hAnsi="宋体" w:cs="宋体"/>
          <w:b/>
          <w:color w:val="000000" w:themeColor="text1"/>
          <w:sz w:val="30"/>
          <w:szCs w:val="30"/>
          <w:highlight w:val="none"/>
        </w:rPr>
        <w:t>采购活动日程安排表</w:t>
      </w:r>
    </w:p>
    <w:tbl>
      <w:tblPr>
        <w:tblStyle w:val="46"/>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3152"/>
      </w:tblGrid>
      <w:tr w14:paraId="1B3B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59FE6FDC">
            <w:pPr>
              <w:ind w:left="-126" w:leftChars="-60" w:right="-99" w:rightChars="-47"/>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序号</w:t>
            </w:r>
          </w:p>
        </w:tc>
        <w:tc>
          <w:tcPr>
            <w:tcW w:w="2144" w:type="dxa"/>
            <w:vAlign w:val="center"/>
          </w:tcPr>
          <w:p w14:paraId="7F421C65">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工作内容</w:t>
            </w:r>
          </w:p>
        </w:tc>
        <w:tc>
          <w:tcPr>
            <w:tcW w:w="3969" w:type="dxa"/>
            <w:vAlign w:val="center"/>
          </w:tcPr>
          <w:p w14:paraId="7328A464">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时间安排</w:t>
            </w:r>
          </w:p>
        </w:tc>
        <w:tc>
          <w:tcPr>
            <w:tcW w:w="3152" w:type="dxa"/>
            <w:vAlign w:val="center"/>
          </w:tcPr>
          <w:p w14:paraId="63EE2A3C">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备注</w:t>
            </w:r>
          </w:p>
        </w:tc>
      </w:tr>
      <w:tr w14:paraId="2504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767C15D2">
            <w:pPr>
              <w:ind w:left="-126" w:leftChars="-60" w:right="-99" w:rightChars="-47"/>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w:t>
            </w:r>
          </w:p>
        </w:tc>
        <w:tc>
          <w:tcPr>
            <w:tcW w:w="2144" w:type="dxa"/>
            <w:vAlign w:val="center"/>
          </w:tcPr>
          <w:p w14:paraId="6EB65BB4">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发布竞争性磋商</w:t>
            </w:r>
          </w:p>
          <w:p w14:paraId="35D99E71">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邀请函</w:t>
            </w:r>
          </w:p>
        </w:tc>
        <w:tc>
          <w:tcPr>
            <w:tcW w:w="3969" w:type="dxa"/>
            <w:vAlign w:val="center"/>
          </w:tcPr>
          <w:p w14:paraId="2769C110">
            <w:pPr>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u w:val="single"/>
                <w:lang w:eastAsia="zh-CN"/>
              </w:rPr>
              <w:t>2024</w:t>
            </w:r>
            <w:r>
              <w:rPr>
                <w:rFonts w:hint="eastAsia" w:ascii="宋体" w:hAnsi="宋体" w:cs="宋体"/>
                <w:color w:val="000000" w:themeColor="text1"/>
                <w:sz w:val="24"/>
                <w:szCs w:val="24"/>
                <w:highlight w:val="none"/>
              </w:rPr>
              <w:t>年</w:t>
            </w:r>
            <w:r>
              <w:rPr>
                <w:rFonts w:hint="eastAsia" w:ascii="宋体" w:hAnsi="宋体" w:cs="宋体"/>
                <w:bCs/>
                <w:snapToGrid w:val="0"/>
                <w:color w:val="000000" w:themeColor="text1"/>
                <w:sz w:val="24"/>
                <w:szCs w:val="24"/>
                <w:highlight w:val="none"/>
                <w:u w:val="single"/>
                <w:lang w:val="en-US" w:eastAsia="zh-CN"/>
              </w:rPr>
              <w:t>9</w:t>
            </w:r>
            <w:r>
              <w:rPr>
                <w:rFonts w:hint="eastAsia" w:ascii="宋体" w:hAnsi="宋体" w:cs="宋体"/>
                <w:bCs/>
                <w:color w:val="000000" w:themeColor="text1"/>
                <w:sz w:val="24"/>
                <w:szCs w:val="24"/>
                <w:highlight w:val="none"/>
              </w:rPr>
              <w:t>月</w:t>
            </w:r>
            <w:r>
              <w:rPr>
                <w:rFonts w:hint="eastAsia" w:ascii="宋体" w:hAnsi="宋体" w:cs="宋体"/>
                <w:bCs/>
                <w:color w:val="000000" w:themeColor="text1"/>
                <w:sz w:val="24"/>
                <w:szCs w:val="24"/>
                <w:highlight w:val="none"/>
                <w:u w:val="single"/>
                <w:lang w:val="en-US" w:eastAsia="zh-CN"/>
              </w:rPr>
              <w:t>19</w:t>
            </w:r>
            <w:r>
              <w:rPr>
                <w:rFonts w:hint="eastAsia" w:ascii="宋体" w:hAnsi="宋体" w:cs="宋体"/>
                <w:color w:val="000000" w:themeColor="text1"/>
                <w:sz w:val="24"/>
                <w:szCs w:val="24"/>
                <w:highlight w:val="none"/>
              </w:rPr>
              <w:t>日</w:t>
            </w:r>
          </w:p>
        </w:tc>
        <w:tc>
          <w:tcPr>
            <w:tcW w:w="3152" w:type="dxa"/>
            <w:vAlign w:val="center"/>
          </w:tcPr>
          <w:p w14:paraId="570CAF70">
            <w:pPr>
              <w:wordWrap w:val="0"/>
              <w:jc w:val="left"/>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1.浙江政府采购网（</w:t>
            </w:r>
            <w:r>
              <w:rPr>
                <w:color w:val="000000" w:themeColor="text1"/>
                <w:highlight w:val="none"/>
              </w:rPr>
              <w:fldChar w:fldCharType="begin"/>
            </w:r>
            <w:r>
              <w:rPr>
                <w:color w:val="000000" w:themeColor="text1"/>
                <w:highlight w:val="none"/>
              </w:rPr>
              <w:instrText xml:space="preserve"> HYPERLINK "http://www.zjzfcg.gov.cn" </w:instrText>
            </w:r>
            <w:r>
              <w:rPr>
                <w:color w:val="000000" w:themeColor="text1"/>
                <w:highlight w:val="none"/>
              </w:rPr>
              <w:fldChar w:fldCharType="separate"/>
            </w:r>
            <w:r>
              <w:rPr>
                <w:rFonts w:hint="eastAsia" w:ascii="宋体" w:hAnsi="宋体" w:cs="宋体"/>
                <w:color w:val="000000" w:themeColor="text1"/>
                <w:sz w:val="24"/>
                <w:szCs w:val="24"/>
                <w:highlight w:val="none"/>
              </w:rPr>
              <w:t>zfcg.czt.zj.gov.cn</w:t>
            </w:r>
            <w:r>
              <w:rPr>
                <w:rFonts w:hint="eastAsia" w:ascii="宋体" w:hAnsi="宋体" w:cs="宋体"/>
                <w:color w:val="000000" w:themeColor="text1"/>
                <w:sz w:val="24"/>
                <w:szCs w:val="24"/>
                <w:highlight w:val="none"/>
              </w:rPr>
              <w:fldChar w:fldCharType="end"/>
            </w:r>
            <w:r>
              <w:rPr>
                <w:rFonts w:hint="eastAsia" w:ascii="宋体" w:hAnsi="宋体" w:cs="宋体"/>
                <w:bCs/>
                <w:color w:val="000000" w:themeColor="text1"/>
                <w:sz w:val="24"/>
                <w:szCs w:val="24"/>
                <w:highlight w:val="none"/>
              </w:rPr>
              <w:t>）</w:t>
            </w:r>
          </w:p>
          <w:p w14:paraId="2E3B3430">
            <w:pP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2.丽水市公共资源交易网（松阳）”</w:t>
            </w:r>
          </w:p>
          <w:p w14:paraId="4619050C">
            <w:pPr>
              <w:jc w:val="left"/>
              <w:rPr>
                <w:rFonts w:ascii="宋体" w:hAnsi="宋体" w:cs="宋体"/>
                <w:color w:val="000000" w:themeColor="text1"/>
                <w:sz w:val="24"/>
                <w:szCs w:val="24"/>
                <w:highlight w:val="none"/>
              </w:rPr>
            </w:pPr>
            <w:r>
              <w:rPr>
                <w:rFonts w:hint="eastAsia" w:ascii="宋体" w:hAnsi="宋体" w:cs="宋体"/>
                <w:bCs/>
                <w:color w:val="000000" w:themeColor="text1"/>
                <w:sz w:val="24"/>
                <w:szCs w:val="24"/>
                <w:highlight w:val="none"/>
              </w:rPr>
              <w:t>http://lssggzy.lishui.gov.cn/syweb/tzgg/</w:t>
            </w:r>
          </w:p>
        </w:tc>
      </w:tr>
      <w:tr w14:paraId="4C83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75113E42">
            <w:pPr>
              <w:ind w:left="-126" w:leftChars="-60" w:right="-99" w:rightChars="-47"/>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w:t>
            </w:r>
          </w:p>
        </w:tc>
        <w:tc>
          <w:tcPr>
            <w:tcW w:w="2144" w:type="dxa"/>
            <w:vAlign w:val="center"/>
          </w:tcPr>
          <w:p w14:paraId="72B49865">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发放磋商文件</w:t>
            </w:r>
          </w:p>
        </w:tc>
        <w:tc>
          <w:tcPr>
            <w:tcW w:w="3969" w:type="dxa"/>
            <w:vAlign w:val="center"/>
          </w:tcPr>
          <w:p w14:paraId="3A12F33C">
            <w:pPr>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u w:val="single"/>
                <w:lang w:eastAsia="zh-CN"/>
              </w:rPr>
              <w:t>2024</w:t>
            </w:r>
            <w:r>
              <w:rPr>
                <w:rFonts w:hint="eastAsia" w:ascii="宋体" w:hAnsi="宋体" w:cs="宋体"/>
                <w:color w:val="000000" w:themeColor="text1"/>
                <w:sz w:val="24"/>
                <w:szCs w:val="24"/>
                <w:highlight w:val="none"/>
              </w:rPr>
              <w:t>年</w:t>
            </w:r>
            <w:r>
              <w:rPr>
                <w:rFonts w:hint="eastAsia" w:ascii="宋体" w:hAnsi="宋体" w:cs="宋体"/>
                <w:color w:val="000000" w:themeColor="text1"/>
                <w:sz w:val="24"/>
                <w:szCs w:val="24"/>
                <w:highlight w:val="none"/>
                <w:u w:val="single"/>
                <w:lang w:val="en-US" w:eastAsia="zh-CN"/>
              </w:rPr>
              <w:t>9</w:t>
            </w:r>
            <w:r>
              <w:rPr>
                <w:rFonts w:hint="eastAsia" w:ascii="宋体" w:hAnsi="宋体" w:cs="宋体"/>
                <w:color w:val="000000" w:themeColor="text1"/>
                <w:sz w:val="24"/>
                <w:szCs w:val="24"/>
                <w:highlight w:val="none"/>
              </w:rPr>
              <w:t>月</w:t>
            </w:r>
            <w:r>
              <w:rPr>
                <w:rFonts w:hint="eastAsia" w:ascii="宋体" w:hAnsi="宋体" w:cs="宋体"/>
                <w:color w:val="000000" w:themeColor="text1"/>
                <w:sz w:val="24"/>
                <w:szCs w:val="24"/>
                <w:highlight w:val="none"/>
                <w:u w:val="single"/>
                <w:lang w:val="en-US" w:eastAsia="zh-CN"/>
              </w:rPr>
              <w:t>19</w:t>
            </w:r>
            <w:r>
              <w:rPr>
                <w:rFonts w:hint="eastAsia" w:ascii="宋体" w:hAnsi="宋体" w:cs="宋体"/>
                <w:color w:val="000000" w:themeColor="text1"/>
                <w:sz w:val="24"/>
                <w:szCs w:val="24"/>
                <w:highlight w:val="none"/>
              </w:rPr>
              <w:t>日起</w:t>
            </w:r>
          </w:p>
        </w:tc>
        <w:tc>
          <w:tcPr>
            <w:tcW w:w="3152" w:type="dxa"/>
            <w:vAlign w:val="center"/>
          </w:tcPr>
          <w:p w14:paraId="3F37FB99">
            <w:pPr>
              <w:tabs>
                <w:tab w:val="left" w:pos="2752"/>
              </w:tabs>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获取方式：竞争性磋商采购公告附件自行下载</w:t>
            </w:r>
          </w:p>
        </w:tc>
      </w:tr>
      <w:tr w14:paraId="084A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34" w:type="dxa"/>
            <w:vAlign w:val="center"/>
          </w:tcPr>
          <w:p w14:paraId="0BB03312">
            <w:pPr>
              <w:ind w:left="-126" w:leftChars="-60" w:right="-99" w:rightChars="-47"/>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w:t>
            </w:r>
          </w:p>
        </w:tc>
        <w:tc>
          <w:tcPr>
            <w:tcW w:w="2144" w:type="dxa"/>
            <w:vAlign w:val="center"/>
          </w:tcPr>
          <w:p w14:paraId="4C4586C1">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现场踏勘和地点</w:t>
            </w:r>
          </w:p>
        </w:tc>
        <w:tc>
          <w:tcPr>
            <w:tcW w:w="3969" w:type="dxa"/>
            <w:vAlign w:val="center"/>
          </w:tcPr>
          <w:p w14:paraId="6BB92338">
            <w:pP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无 </w:t>
            </w:r>
          </w:p>
        </w:tc>
        <w:tc>
          <w:tcPr>
            <w:tcW w:w="3152" w:type="dxa"/>
            <w:vAlign w:val="center"/>
          </w:tcPr>
          <w:p w14:paraId="6C57E57F">
            <w:pPr>
              <w:rPr>
                <w:rFonts w:ascii="宋体" w:hAnsi="宋体" w:cs="宋体"/>
                <w:color w:val="000000" w:themeColor="text1"/>
                <w:sz w:val="24"/>
                <w:szCs w:val="24"/>
                <w:highlight w:val="none"/>
              </w:rPr>
            </w:pPr>
          </w:p>
        </w:tc>
      </w:tr>
      <w:tr w14:paraId="77C8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740990C4">
            <w:pPr>
              <w:ind w:left="-126" w:leftChars="-60" w:right="-99" w:rightChars="-47"/>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w:t>
            </w:r>
          </w:p>
        </w:tc>
        <w:tc>
          <w:tcPr>
            <w:tcW w:w="2144" w:type="dxa"/>
            <w:vAlign w:val="center"/>
          </w:tcPr>
          <w:p w14:paraId="1EF1D7F3">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更正公告</w:t>
            </w:r>
          </w:p>
        </w:tc>
        <w:tc>
          <w:tcPr>
            <w:tcW w:w="3969" w:type="dxa"/>
            <w:vAlign w:val="center"/>
          </w:tcPr>
          <w:p w14:paraId="57A9E8F0">
            <w:pPr>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澄清或修改内容可能影响磋商响应文件编制的，响应文件提交</w:t>
            </w:r>
            <w:r>
              <w:rPr>
                <w:rFonts w:hint="eastAsia" w:ascii="宋体" w:hAnsi="宋体" w:cs="宋体"/>
                <w:bCs/>
                <w:color w:val="000000" w:themeColor="text1"/>
                <w:sz w:val="24"/>
                <w:szCs w:val="24"/>
                <w:highlight w:val="none"/>
              </w:rPr>
              <w:t>截止时间</w:t>
            </w:r>
            <w:r>
              <w:rPr>
                <w:rFonts w:hint="eastAsia" w:ascii="宋体" w:hAnsi="宋体" w:cs="宋体"/>
                <w:color w:val="000000" w:themeColor="text1"/>
                <w:sz w:val="24"/>
                <w:szCs w:val="24"/>
                <w:highlight w:val="none"/>
              </w:rPr>
              <w:t>时间5日前，</w:t>
            </w:r>
            <w:r>
              <w:rPr>
                <w:rFonts w:hint="eastAsia" w:ascii="宋体" w:hAnsi="宋体" w:cs="宋体"/>
                <w:color w:val="000000" w:themeColor="text1"/>
                <w:sz w:val="24"/>
                <w:highlight w:val="none"/>
              </w:rPr>
              <w:t>不足5日的，顺延</w:t>
            </w:r>
            <w:r>
              <w:rPr>
                <w:rFonts w:hint="eastAsia" w:ascii="宋体" w:hAnsi="宋体" w:cs="宋体"/>
                <w:color w:val="000000" w:themeColor="text1"/>
                <w:sz w:val="24"/>
                <w:szCs w:val="24"/>
                <w:highlight w:val="none"/>
              </w:rPr>
              <w:t>响应文件提交</w:t>
            </w:r>
            <w:r>
              <w:rPr>
                <w:rFonts w:hint="eastAsia" w:ascii="宋体" w:hAnsi="宋体" w:cs="宋体"/>
                <w:bCs/>
                <w:color w:val="000000" w:themeColor="text1"/>
                <w:sz w:val="24"/>
                <w:szCs w:val="24"/>
                <w:highlight w:val="none"/>
              </w:rPr>
              <w:t>截止时间</w:t>
            </w:r>
            <w:r>
              <w:rPr>
                <w:rFonts w:hint="eastAsia" w:ascii="宋体" w:hAnsi="宋体" w:cs="宋体"/>
                <w:color w:val="000000" w:themeColor="text1"/>
                <w:sz w:val="24"/>
                <w:highlight w:val="none"/>
              </w:rPr>
              <w:t>；</w:t>
            </w:r>
          </w:p>
        </w:tc>
        <w:tc>
          <w:tcPr>
            <w:tcW w:w="3152" w:type="dxa"/>
            <w:vAlign w:val="center"/>
          </w:tcPr>
          <w:p w14:paraId="035E9840">
            <w:pPr>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澄清或修改内容获取方式：更正公告</w:t>
            </w:r>
          </w:p>
        </w:tc>
      </w:tr>
      <w:tr w14:paraId="08C6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34E82F4B">
            <w:pPr>
              <w:ind w:left="-126" w:leftChars="-60" w:right="-99" w:rightChars="-47"/>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w:t>
            </w:r>
          </w:p>
        </w:tc>
        <w:tc>
          <w:tcPr>
            <w:tcW w:w="2144" w:type="dxa"/>
            <w:vAlign w:val="center"/>
          </w:tcPr>
          <w:p w14:paraId="1EC683B5">
            <w:pPr>
              <w:ind w:left="-44" w:leftChars="-53" w:right="-65" w:rightChars="-31" w:hanging="67" w:hangingChars="28"/>
              <w:jc w:val="center"/>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响应文件提交截止时间</w:t>
            </w:r>
          </w:p>
        </w:tc>
        <w:tc>
          <w:tcPr>
            <w:tcW w:w="3969" w:type="dxa"/>
            <w:vAlign w:val="center"/>
          </w:tcPr>
          <w:p w14:paraId="1EE1B28A">
            <w:pPr>
              <w:rPr>
                <w:rFonts w:ascii="宋体" w:hAnsi="宋体" w:cs="宋体"/>
                <w:color w:val="000000" w:themeColor="text1"/>
                <w:sz w:val="24"/>
                <w:szCs w:val="24"/>
                <w:highlight w:val="none"/>
              </w:rPr>
            </w:pPr>
            <w:r>
              <w:rPr>
                <w:rFonts w:hint="eastAsia" w:ascii="宋体" w:hAnsi="宋体" w:cs="宋体"/>
                <w:bCs/>
                <w:color w:val="000000" w:themeColor="text1"/>
                <w:sz w:val="24"/>
                <w:szCs w:val="24"/>
                <w:highlight w:val="none"/>
              </w:rPr>
              <w:t>见第一章竞争性磋商</w:t>
            </w:r>
            <w:r>
              <w:rPr>
                <w:rFonts w:hint="eastAsia" w:ascii="宋体" w:hAnsi="宋体" w:cs="宋体"/>
                <w:color w:val="000000" w:themeColor="text1"/>
                <w:sz w:val="24"/>
                <w:szCs w:val="24"/>
                <w:highlight w:val="none"/>
              </w:rPr>
              <w:t>采购公告</w:t>
            </w:r>
          </w:p>
        </w:tc>
        <w:tc>
          <w:tcPr>
            <w:tcW w:w="3152" w:type="dxa"/>
            <w:vAlign w:val="center"/>
          </w:tcPr>
          <w:p w14:paraId="472ABDC8">
            <w:pPr>
              <w:rPr>
                <w:rFonts w:ascii="宋体" w:hAnsi="宋体" w:cs="宋体"/>
                <w:color w:val="000000" w:themeColor="text1"/>
                <w:sz w:val="24"/>
                <w:szCs w:val="24"/>
                <w:highlight w:val="none"/>
              </w:rPr>
            </w:pPr>
          </w:p>
        </w:tc>
      </w:tr>
      <w:tr w14:paraId="34B9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4" w:type="dxa"/>
            <w:vAlign w:val="center"/>
          </w:tcPr>
          <w:p w14:paraId="51FBCBE4">
            <w:pPr>
              <w:ind w:left="-126" w:leftChars="-60" w:right="-99" w:rightChars="-47"/>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6</w:t>
            </w:r>
          </w:p>
        </w:tc>
        <w:tc>
          <w:tcPr>
            <w:tcW w:w="2144" w:type="dxa"/>
            <w:vAlign w:val="center"/>
          </w:tcPr>
          <w:p w14:paraId="2C8F48DA">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开启时间</w:t>
            </w:r>
          </w:p>
        </w:tc>
        <w:tc>
          <w:tcPr>
            <w:tcW w:w="3969" w:type="dxa"/>
            <w:vAlign w:val="center"/>
          </w:tcPr>
          <w:p w14:paraId="4D12E5B2">
            <w:pPr>
              <w:jc w:val="left"/>
              <w:rPr>
                <w:rFonts w:ascii="宋体" w:hAnsi="宋体" w:cs="宋体"/>
                <w:color w:val="000000" w:themeColor="text1"/>
                <w:sz w:val="24"/>
                <w:szCs w:val="24"/>
                <w:highlight w:val="none"/>
              </w:rPr>
            </w:pPr>
            <w:r>
              <w:rPr>
                <w:rFonts w:hint="eastAsia" w:ascii="宋体" w:hAnsi="宋体" w:cs="宋体"/>
                <w:bCs/>
                <w:color w:val="000000" w:themeColor="text1"/>
                <w:sz w:val="24"/>
                <w:szCs w:val="24"/>
                <w:highlight w:val="none"/>
              </w:rPr>
              <w:t>见第一章竞争性磋商</w:t>
            </w:r>
            <w:r>
              <w:rPr>
                <w:rFonts w:hint="eastAsia" w:ascii="宋体" w:hAnsi="宋体" w:cs="宋体"/>
                <w:color w:val="000000" w:themeColor="text1"/>
                <w:sz w:val="24"/>
                <w:szCs w:val="24"/>
                <w:highlight w:val="none"/>
              </w:rPr>
              <w:t>采购公告</w:t>
            </w:r>
          </w:p>
        </w:tc>
        <w:tc>
          <w:tcPr>
            <w:tcW w:w="3152" w:type="dxa"/>
            <w:vAlign w:val="center"/>
          </w:tcPr>
          <w:p w14:paraId="68305287">
            <w:pPr>
              <w:rPr>
                <w:rFonts w:ascii="宋体" w:hAnsi="宋体" w:cs="宋体"/>
                <w:color w:val="000000" w:themeColor="text1"/>
                <w:sz w:val="24"/>
                <w:szCs w:val="24"/>
                <w:highlight w:val="none"/>
              </w:rPr>
            </w:pPr>
          </w:p>
        </w:tc>
      </w:tr>
      <w:tr w14:paraId="539E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24EC8B19">
            <w:pPr>
              <w:ind w:left="-126" w:leftChars="-60" w:right="-99" w:rightChars="-47"/>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7</w:t>
            </w:r>
          </w:p>
        </w:tc>
        <w:tc>
          <w:tcPr>
            <w:tcW w:w="2144" w:type="dxa"/>
            <w:vAlign w:val="center"/>
          </w:tcPr>
          <w:p w14:paraId="41A3D642">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成交公告及成交通知书</w:t>
            </w:r>
          </w:p>
        </w:tc>
        <w:tc>
          <w:tcPr>
            <w:tcW w:w="3969" w:type="dxa"/>
            <w:vAlign w:val="center"/>
          </w:tcPr>
          <w:p w14:paraId="6B3264F8">
            <w:pPr>
              <w:jc w:val="left"/>
              <w:rPr>
                <w:rFonts w:ascii="宋体" w:hAnsi="宋体" w:cs="宋体"/>
                <w:color w:val="000000" w:themeColor="text1"/>
                <w:sz w:val="24"/>
                <w:szCs w:val="24"/>
                <w:highlight w:val="none"/>
              </w:rPr>
            </w:pPr>
            <w:r>
              <w:rPr>
                <w:rFonts w:hint="eastAsia" w:ascii="宋体" w:hAnsi="宋体" w:cs="宋体"/>
                <w:color w:val="000000" w:themeColor="text1"/>
                <w:sz w:val="24"/>
                <w:highlight w:val="none"/>
              </w:rPr>
              <w:t>成交人确定之日起2个工作日内</w:t>
            </w:r>
          </w:p>
        </w:tc>
        <w:tc>
          <w:tcPr>
            <w:tcW w:w="3152" w:type="dxa"/>
            <w:vAlign w:val="center"/>
          </w:tcPr>
          <w:p w14:paraId="5FE956AA">
            <w:pPr>
              <w:rPr>
                <w:rFonts w:ascii="宋体" w:hAnsi="宋体" w:cs="宋体"/>
                <w:color w:val="000000" w:themeColor="text1"/>
                <w:sz w:val="24"/>
                <w:szCs w:val="24"/>
                <w:highlight w:val="none"/>
              </w:rPr>
            </w:pPr>
          </w:p>
        </w:tc>
      </w:tr>
      <w:tr w14:paraId="4434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0FC25204">
            <w:pPr>
              <w:ind w:left="-126" w:leftChars="-60" w:right="-99" w:rightChars="-47"/>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8</w:t>
            </w:r>
          </w:p>
        </w:tc>
        <w:tc>
          <w:tcPr>
            <w:tcW w:w="2144" w:type="dxa"/>
            <w:vAlign w:val="center"/>
          </w:tcPr>
          <w:p w14:paraId="706DD618">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成交结果质疑期限</w:t>
            </w:r>
          </w:p>
        </w:tc>
        <w:tc>
          <w:tcPr>
            <w:tcW w:w="3969" w:type="dxa"/>
            <w:vAlign w:val="center"/>
          </w:tcPr>
          <w:p w14:paraId="448D2EB0">
            <w:pPr>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成交结果公告期限届满之日起7个工作日内</w:t>
            </w:r>
          </w:p>
        </w:tc>
        <w:tc>
          <w:tcPr>
            <w:tcW w:w="3152" w:type="dxa"/>
            <w:vAlign w:val="center"/>
          </w:tcPr>
          <w:p w14:paraId="5EC45FB6">
            <w:pPr>
              <w:rPr>
                <w:rFonts w:ascii="宋体" w:hAnsi="宋体" w:cs="宋体"/>
                <w:color w:val="000000" w:themeColor="text1"/>
                <w:sz w:val="24"/>
                <w:szCs w:val="24"/>
                <w:highlight w:val="none"/>
              </w:rPr>
            </w:pPr>
          </w:p>
        </w:tc>
      </w:tr>
      <w:tr w14:paraId="6315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34" w:type="dxa"/>
            <w:vAlign w:val="center"/>
          </w:tcPr>
          <w:p w14:paraId="44A260DD">
            <w:pPr>
              <w:ind w:left="-126" w:leftChars="-60" w:right="-99" w:rightChars="-47"/>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9</w:t>
            </w:r>
          </w:p>
        </w:tc>
        <w:tc>
          <w:tcPr>
            <w:tcW w:w="2144" w:type="dxa"/>
            <w:vAlign w:val="center"/>
          </w:tcPr>
          <w:p w14:paraId="5B262CB6">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成交结果投诉期限</w:t>
            </w:r>
          </w:p>
        </w:tc>
        <w:tc>
          <w:tcPr>
            <w:tcW w:w="3969" w:type="dxa"/>
            <w:vAlign w:val="center"/>
          </w:tcPr>
          <w:p w14:paraId="73FCD348">
            <w:pPr>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质疑答复期满后15个工作日</w:t>
            </w:r>
          </w:p>
        </w:tc>
        <w:tc>
          <w:tcPr>
            <w:tcW w:w="3152" w:type="dxa"/>
            <w:vAlign w:val="center"/>
          </w:tcPr>
          <w:p w14:paraId="1686ED25">
            <w:pPr>
              <w:rPr>
                <w:rFonts w:ascii="宋体" w:hAnsi="宋体" w:cs="宋体"/>
                <w:color w:val="000000" w:themeColor="text1"/>
                <w:sz w:val="24"/>
                <w:szCs w:val="24"/>
                <w:highlight w:val="none"/>
              </w:rPr>
            </w:pPr>
          </w:p>
        </w:tc>
      </w:tr>
      <w:tr w14:paraId="016C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749AADE8">
            <w:pPr>
              <w:ind w:left="-126" w:leftChars="-60" w:right="-99" w:rightChars="-47"/>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10</w:t>
            </w:r>
          </w:p>
        </w:tc>
        <w:tc>
          <w:tcPr>
            <w:tcW w:w="2144" w:type="dxa"/>
            <w:vAlign w:val="center"/>
          </w:tcPr>
          <w:p w14:paraId="59D2FAE6">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签订合同</w:t>
            </w:r>
          </w:p>
        </w:tc>
        <w:tc>
          <w:tcPr>
            <w:tcW w:w="3969" w:type="dxa"/>
            <w:vAlign w:val="center"/>
          </w:tcPr>
          <w:p w14:paraId="5B5CB5B2">
            <w:pP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成交通知书发出之日起</w:t>
            </w:r>
            <w:r>
              <w:rPr>
                <w:rFonts w:hint="eastAsia" w:ascii="宋体" w:hAnsi="宋体" w:cs="宋体"/>
                <w:color w:val="000000" w:themeColor="text1"/>
                <w:sz w:val="24"/>
                <w:szCs w:val="24"/>
                <w:highlight w:val="none"/>
                <w:u w:val="single"/>
              </w:rPr>
              <w:t>30</w:t>
            </w:r>
            <w:r>
              <w:rPr>
                <w:rFonts w:hint="eastAsia" w:ascii="宋体" w:hAnsi="宋体" w:cs="宋体"/>
                <w:color w:val="000000" w:themeColor="text1"/>
                <w:sz w:val="24"/>
                <w:szCs w:val="24"/>
                <w:highlight w:val="none"/>
              </w:rPr>
              <w:t>日内，</w:t>
            </w:r>
            <w:r>
              <w:rPr>
                <w:rFonts w:hint="eastAsia" w:ascii="宋体" w:hAnsi="宋体" w:cs="宋体"/>
                <w:color w:val="000000" w:themeColor="text1"/>
                <w:sz w:val="24"/>
                <w:highlight w:val="none"/>
              </w:rPr>
              <w:t>按照磋商文件和成交人磋商响应文件的规定，与成交人签订书面合同。</w:t>
            </w:r>
          </w:p>
        </w:tc>
        <w:tc>
          <w:tcPr>
            <w:tcW w:w="3152" w:type="dxa"/>
            <w:vAlign w:val="center"/>
          </w:tcPr>
          <w:p w14:paraId="57395895">
            <w:pPr>
              <w:rPr>
                <w:rFonts w:ascii="宋体" w:hAnsi="宋体" w:cs="宋体"/>
                <w:color w:val="000000" w:themeColor="text1"/>
                <w:sz w:val="24"/>
                <w:szCs w:val="24"/>
                <w:highlight w:val="none"/>
              </w:rPr>
            </w:pPr>
          </w:p>
        </w:tc>
      </w:tr>
      <w:tr w14:paraId="2A0C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1CCF3E46">
            <w:pPr>
              <w:ind w:left="-126" w:leftChars="-60" w:right="-99" w:rightChars="-47"/>
              <w:jc w:val="center"/>
              <w:rPr>
                <w:rFonts w:hint="eastAsia" w:ascii="宋体" w:hAnsi="宋体" w:eastAsia="宋体" w:cs="宋体"/>
                <w:color w:val="000000" w:themeColor="text1"/>
                <w:kern w:val="2"/>
                <w:sz w:val="24"/>
                <w:szCs w:val="24"/>
                <w:highlight w:val="none"/>
                <w:lang w:val="en-US" w:eastAsia="zh-CN" w:bidi="ar-SA"/>
              </w:rPr>
            </w:pPr>
            <w:bookmarkStart w:id="63" w:name="_Toc531358976"/>
            <w:bookmarkStart w:id="64" w:name="_Toc530551821"/>
            <w:r>
              <w:rPr>
                <w:rFonts w:hint="eastAsia" w:ascii="宋体" w:hAnsi="宋体" w:cs="宋体"/>
                <w:color w:val="000000" w:themeColor="text1"/>
                <w:sz w:val="24"/>
                <w:szCs w:val="24"/>
                <w:highlight w:val="none"/>
              </w:rPr>
              <w:t>11</w:t>
            </w:r>
          </w:p>
        </w:tc>
        <w:tc>
          <w:tcPr>
            <w:tcW w:w="2144" w:type="dxa"/>
            <w:vAlign w:val="center"/>
          </w:tcPr>
          <w:p w14:paraId="0F9BF5C5">
            <w:pPr>
              <w:spacing w:line="400" w:lineRule="exact"/>
              <w:rPr>
                <w:rFonts w:hint="eastAsia" w:ascii="宋体" w:hAnsi="宋体" w:eastAsia="宋体" w:cs="宋体"/>
                <w:color w:val="000000" w:themeColor="text1"/>
                <w:kern w:val="2"/>
                <w:sz w:val="24"/>
                <w:szCs w:val="24"/>
                <w:highlight w:val="none"/>
                <w:lang w:val="en-US" w:eastAsia="zh-CN" w:bidi="ar-SA"/>
              </w:rPr>
            </w:pPr>
            <w:r>
              <w:rPr>
                <w:rFonts w:hint="eastAsia" w:ascii="宋体" w:hAnsi="宋体" w:cs="宋体"/>
                <w:bCs/>
                <w:color w:val="000000" w:themeColor="text1"/>
                <w:sz w:val="24"/>
                <w:highlight w:val="none"/>
              </w:rPr>
              <w:t>采购代理服务费</w:t>
            </w:r>
          </w:p>
        </w:tc>
        <w:tc>
          <w:tcPr>
            <w:tcW w:w="7121" w:type="dxa"/>
            <w:gridSpan w:val="2"/>
            <w:vAlign w:val="center"/>
          </w:tcPr>
          <w:p w14:paraId="08443BA3">
            <w:pPr>
              <w:ind w:firstLine="482" w:firstLineChars="200"/>
              <w:rPr>
                <w:rFonts w:hint="eastAsia" w:ascii="宋体" w:hAnsi="宋体" w:eastAsia="宋体" w:cs="宋体"/>
                <w:b/>
                <w:bCs/>
                <w:color w:val="000000" w:themeColor="text1"/>
                <w:sz w:val="24"/>
                <w:highlight w:val="none"/>
                <w:lang w:eastAsia="zh-CN"/>
              </w:rPr>
            </w:pPr>
            <w:r>
              <w:rPr>
                <w:rFonts w:hint="eastAsia" w:ascii="宋体" w:hAnsi="宋体" w:cs="宋体"/>
                <w:b/>
                <w:bCs/>
                <w:color w:val="000000" w:themeColor="text1"/>
                <w:sz w:val="24"/>
                <w:highlight w:val="none"/>
              </w:rPr>
              <w:t>根据中招协〔2015〕026号通知，本次采购代理服务费参照计价格[2002]1980号文件规定的收费标准的</w:t>
            </w:r>
            <w:r>
              <w:rPr>
                <w:rFonts w:hint="eastAsia" w:ascii="宋体" w:hAnsi="宋体" w:cs="宋体"/>
                <w:b/>
                <w:bCs/>
                <w:color w:val="000000" w:themeColor="text1"/>
                <w:sz w:val="24"/>
                <w:highlight w:val="none"/>
                <w:lang w:val="en-US" w:eastAsia="zh-CN"/>
              </w:rPr>
              <w:t>5</w:t>
            </w:r>
            <w:r>
              <w:rPr>
                <w:rFonts w:hint="eastAsia" w:ascii="宋体" w:hAnsi="宋体" w:cs="宋体"/>
                <w:b/>
                <w:bCs/>
                <w:color w:val="000000" w:themeColor="text1"/>
                <w:sz w:val="24"/>
                <w:highlight w:val="none"/>
              </w:rPr>
              <w:t>0%收取，采用差额累进的方式计算</w:t>
            </w:r>
            <w:r>
              <w:rPr>
                <w:rFonts w:hint="eastAsia" w:ascii="宋体" w:hAnsi="宋体" w:cs="宋体"/>
                <w:b/>
                <w:bCs/>
                <w:color w:val="000000" w:themeColor="text1"/>
                <w:sz w:val="24"/>
                <w:highlight w:val="none"/>
                <w:lang w:eastAsia="zh-CN"/>
              </w:rPr>
              <w:t>，如</w:t>
            </w:r>
            <w:r>
              <w:rPr>
                <w:rFonts w:hint="eastAsia" w:ascii="宋体" w:hAnsi="宋体" w:cs="宋体"/>
                <w:b/>
                <w:bCs/>
                <w:color w:val="000000" w:themeColor="text1"/>
                <w:sz w:val="24"/>
                <w:highlight w:val="none"/>
              </w:rPr>
              <w:t>不足5500元的，按5500元收取。</w:t>
            </w:r>
          </w:p>
          <w:p w14:paraId="53D177E8">
            <w:pPr>
              <w:spacing w:line="400" w:lineRule="exact"/>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收费标准如下：</w:t>
            </w:r>
          </w:p>
          <w:tbl>
            <w:tblPr>
              <w:tblStyle w:val="46"/>
              <w:tblW w:w="6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4"/>
              <w:gridCol w:w="925"/>
              <w:gridCol w:w="1906"/>
            </w:tblGrid>
            <w:tr w14:paraId="4D2D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664" w:type="dxa"/>
                  <w:tcBorders>
                    <w:tl2br w:val="single" w:color="auto" w:sz="4" w:space="0"/>
                  </w:tcBorders>
                </w:tcPr>
                <w:p w14:paraId="5ADE6E54">
                  <w:pPr>
                    <w:spacing w:line="360" w:lineRule="auto"/>
                    <w:ind w:firstLine="538"/>
                    <w:jc w:val="center"/>
                    <w:rPr>
                      <w:rFonts w:ascii="宋体" w:hAnsi="宋体" w:cs="宋体"/>
                      <w:b/>
                      <w:color w:val="000000" w:themeColor="text1"/>
                      <w:highlight w:val="none"/>
                    </w:rPr>
                  </w:pPr>
                  <w:r>
                    <w:rPr>
                      <w:rFonts w:hint="eastAsia" w:ascii="宋体" w:hAnsi="宋体" w:cs="宋体"/>
                      <w:b/>
                      <w:color w:val="000000" w:themeColor="text1"/>
                      <w:highlight w:val="none"/>
                    </w:rPr>
                    <w:t xml:space="preserve">           类型</w:t>
                  </w:r>
                </w:p>
                <w:p w14:paraId="142BAE57">
                  <w:pPr>
                    <w:spacing w:line="360" w:lineRule="auto"/>
                    <w:ind w:firstLine="538"/>
                    <w:rPr>
                      <w:rFonts w:ascii="宋体" w:hAnsi="宋体" w:cs="宋体"/>
                      <w:b/>
                      <w:color w:val="000000" w:themeColor="text1"/>
                      <w:highlight w:val="none"/>
                    </w:rPr>
                  </w:pPr>
                  <w:r>
                    <w:rPr>
                      <w:rFonts w:hint="eastAsia" w:ascii="宋体" w:hAnsi="宋体" w:cs="宋体"/>
                      <w:b/>
                      <w:color w:val="000000" w:themeColor="text1"/>
                      <w:highlight w:val="none"/>
                    </w:rPr>
                    <w:t>中标金额</w:t>
                  </w:r>
                </w:p>
              </w:tc>
              <w:tc>
                <w:tcPr>
                  <w:tcW w:w="925" w:type="dxa"/>
                  <w:vAlign w:val="center"/>
                </w:tcPr>
                <w:p w14:paraId="6CDDD60C">
                  <w:pPr>
                    <w:spacing w:line="360" w:lineRule="auto"/>
                    <w:ind w:firstLine="538"/>
                    <w:jc w:val="center"/>
                    <w:rPr>
                      <w:rFonts w:ascii="宋体" w:hAnsi="宋体" w:cs="宋体"/>
                      <w:b/>
                      <w:color w:val="000000" w:themeColor="text1"/>
                      <w:highlight w:val="none"/>
                    </w:rPr>
                  </w:pPr>
                  <w:r>
                    <w:rPr>
                      <w:rFonts w:hint="eastAsia" w:ascii="宋体" w:hAnsi="宋体" w:cs="宋体"/>
                      <w:b/>
                      <w:color w:val="000000" w:themeColor="text1"/>
                      <w:highlight w:val="none"/>
                    </w:rPr>
                    <w:t>费率</w:t>
                  </w:r>
                </w:p>
              </w:tc>
              <w:tc>
                <w:tcPr>
                  <w:tcW w:w="1906" w:type="dxa"/>
                  <w:vAlign w:val="center"/>
                </w:tcPr>
                <w:p w14:paraId="3514DE6D">
                  <w:pPr>
                    <w:spacing w:line="360" w:lineRule="auto"/>
                    <w:ind w:left="279" w:leftChars="133" w:firstLine="258"/>
                    <w:jc w:val="center"/>
                    <w:rPr>
                      <w:rFonts w:ascii="宋体" w:hAnsi="宋体" w:cs="宋体"/>
                      <w:b/>
                      <w:color w:val="000000" w:themeColor="text1"/>
                      <w:highlight w:val="none"/>
                    </w:rPr>
                  </w:pPr>
                  <w:r>
                    <w:rPr>
                      <w:rFonts w:hint="eastAsia" w:ascii="宋体" w:hAnsi="宋体" w:cs="宋体"/>
                      <w:b/>
                      <w:color w:val="000000" w:themeColor="text1"/>
                      <w:highlight w:val="none"/>
                    </w:rPr>
                    <w:t>备注</w:t>
                  </w:r>
                </w:p>
              </w:tc>
            </w:tr>
            <w:tr w14:paraId="78D3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664" w:type="dxa"/>
                  <w:vAlign w:val="center"/>
                </w:tcPr>
                <w:p w14:paraId="78B4DA16">
                  <w:pPr>
                    <w:spacing w:before="100" w:beforeAutospacing="1" w:after="100" w:afterAutospacing="1" w:line="360" w:lineRule="auto"/>
                    <w:ind w:firstLine="211" w:firstLineChars="100"/>
                    <w:jc w:val="center"/>
                    <w:rPr>
                      <w:rFonts w:ascii="宋体" w:hAnsi="宋体" w:cs="宋体"/>
                      <w:b/>
                      <w:color w:val="000000" w:themeColor="text1"/>
                      <w:highlight w:val="none"/>
                    </w:rPr>
                  </w:pPr>
                  <w:r>
                    <w:rPr>
                      <w:rFonts w:hint="eastAsia" w:ascii="宋体" w:hAnsi="宋体" w:cs="宋体"/>
                      <w:b/>
                      <w:color w:val="000000" w:themeColor="text1"/>
                      <w:highlight w:val="none"/>
                    </w:rPr>
                    <w:t>中标金额≤100万元</w:t>
                  </w:r>
                </w:p>
              </w:tc>
              <w:tc>
                <w:tcPr>
                  <w:tcW w:w="925" w:type="dxa"/>
                  <w:vAlign w:val="center"/>
                </w:tcPr>
                <w:p w14:paraId="1AB55836">
                  <w:pPr>
                    <w:spacing w:line="360" w:lineRule="auto"/>
                    <w:jc w:val="center"/>
                    <w:rPr>
                      <w:rFonts w:ascii="宋体" w:hAnsi="宋体" w:cs="宋体"/>
                      <w:b/>
                      <w:color w:val="000000" w:themeColor="text1"/>
                      <w:highlight w:val="none"/>
                    </w:rPr>
                  </w:pPr>
                  <w:r>
                    <w:rPr>
                      <w:rFonts w:hint="eastAsia" w:ascii="宋体" w:hAnsi="宋体" w:cs="宋体"/>
                      <w:b/>
                      <w:color w:val="000000" w:themeColor="text1"/>
                      <w:highlight w:val="none"/>
                    </w:rPr>
                    <w:t>1.50%</w:t>
                  </w:r>
                </w:p>
              </w:tc>
              <w:tc>
                <w:tcPr>
                  <w:tcW w:w="1906" w:type="dxa"/>
                  <w:vMerge w:val="restart"/>
                  <w:vAlign w:val="center"/>
                </w:tcPr>
                <w:p w14:paraId="56056946">
                  <w:pPr>
                    <w:spacing w:line="360" w:lineRule="auto"/>
                    <w:rPr>
                      <w:rFonts w:ascii="宋体" w:hAnsi="宋体" w:cs="宋体"/>
                      <w:b/>
                      <w:color w:val="000000" w:themeColor="text1"/>
                      <w:highlight w:val="none"/>
                    </w:rPr>
                  </w:pPr>
                  <w:r>
                    <w:rPr>
                      <w:rFonts w:hint="eastAsia" w:ascii="宋体" w:hAnsi="宋体" w:cs="宋体"/>
                      <w:b/>
                      <w:color w:val="000000" w:themeColor="text1"/>
                      <w:highlight w:val="none"/>
                    </w:rPr>
                    <w:t>差额定率累进法</w:t>
                  </w:r>
                </w:p>
                <w:p w14:paraId="622DF6BE">
                  <w:pPr>
                    <w:spacing w:line="360" w:lineRule="auto"/>
                    <w:rPr>
                      <w:rFonts w:ascii="宋体" w:hAnsi="宋体" w:cs="宋体"/>
                      <w:b/>
                      <w:color w:val="000000" w:themeColor="text1"/>
                      <w:highlight w:val="none"/>
                    </w:rPr>
                  </w:pPr>
                  <w:r>
                    <w:rPr>
                      <w:rFonts w:hint="eastAsia" w:ascii="宋体" w:hAnsi="宋体" w:cs="宋体"/>
                      <w:b/>
                      <w:color w:val="000000" w:themeColor="text1"/>
                      <w:highlight w:val="none"/>
                    </w:rPr>
                    <w:t xml:space="preserve">计算 </w:t>
                  </w:r>
                </w:p>
              </w:tc>
            </w:tr>
            <w:tr w14:paraId="2BE6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664" w:type="dxa"/>
                  <w:vAlign w:val="center"/>
                </w:tcPr>
                <w:p w14:paraId="53BE01A7">
                  <w:pPr>
                    <w:spacing w:before="100" w:beforeAutospacing="1" w:after="100" w:afterAutospacing="1" w:line="360" w:lineRule="auto"/>
                    <w:ind w:firstLine="211" w:firstLineChars="100"/>
                    <w:jc w:val="center"/>
                    <w:rPr>
                      <w:rFonts w:ascii="宋体" w:hAnsi="宋体" w:cs="宋体"/>
                      <w:b/>
                      <w:color w:val="000000" w:themeColor="text1"/>
                      <w:highlight w:val="none"/>
                    </w:rPr>
                  </w:pPr>
                  <w:r>
                    <w:rPr>
                      <w:rFonts w:hint="eastAsia" w:ascii="宋体" w:hAnsi="宋体" w:cs="宋体"/>
                      <w:b/>
                      <w:color w:val="000000" w:themeColor="text1"/>
                      <w:highlight w:val="none"/>
                    </w:rPr>
                    <w:t>100万元﹤中标金额≤500万元</w:t>
                  </w:r>
                </w:p>
              </w:tc>
              <w:tc>
                <w:tcPr>
                  <w:tcW w:w="925" w:type="dxa"/>
                  <w:vAlign w:val="center"/>
                </w:tcPr>
                <w:p w14:paraId="32ADAC86">
                  <w:pPr>
                    <w:spacing w:line="360" w:lineRule="auto"/>
                    <w:jc w:val="center"/>
                    <w:rPr>
                      <w:rFonts w:ascii="宋体" w:hAnsi="宋体" w:cs="宋体"/>
                      <w:b/>
                      <w:color w:val="000000" w:themeColor="text1"/>
                      <w:highlight w:val="none"/>
                    </w:rPr>
                  </w:pPr>
                  <w:r>
                    <w:rPr>
                      <w:rFonts w:hint="eastAsia" w:ascii="宋体" w:hAnsi="宋体" w:cs="宋体"/>
                      <w:b/>
                      <w:color w:val="000000" w:themeColor="text1"/>
                      <w:highlight w:val="none"/>
                    </w:rPr>
                    <w:t>0.8%</w:t>
                  </w:r>
                </w:p>
              </w:tc>
              <w:tc>
                <w:tcPr>
                  <w:tcW w:w="1906" w:type="dxa"/>
                  <w:vMerge w:val="continue"/>
                  <w:vAlign w:val="center"/>
                </w:tcPr>
                <w:p w14:paraId="089CBE88">
                  <w:pPr>
                    <w:spacing w:line="360" w:lineRule="auto"/>
                    <w:rPr>
                      <w:rFonts w:ascii="宋体" w:hAnsi="宋体" w:cs="宋体"/>
                      <w:b/>
                      <w:color w:val="000000" w:themeColor="text1"/>
                      <w:highlight w:val="none"/>
                    </w:rPr>
                  </w:pPr>
                </w:p>
              </w:tc>
            </w:tr>
          </w:tbl>
          <w:p w14:paraId="59D6AED0">
            <w:pPr>
              <w:rPr>
                <w:rFonts w:ascii="宋体" w:hAnsi="宋体" w:eastAsia="宋体" w:cs="宋体"/>
                <w:color w:val="000000" w:themeColor="text1"/>
                <w:kern w:val="2"/>
                <w:sz w:val="24"/>
                <w:szCs w:val="24"/>
                <w:highlight w:val="none"/>
                <w:lang w:val="en-US" w:eastAsia="zh-CN" w:bidi="ar-SA"/>
              </w:rPr>
            </w:pPr>
          </w:p>
        </w:tc>
      </w:tr>
      <w:bookmarkEnd w:id="60"/>
    </w:tbl>
    <w:p w14:paraId="19DFED95">
      <w:pPr>
        <w:pStyle w:val="43"/>
        <w:spacing w:beforeLines="100" w:afterLines="100"/>
        <w:jc w:val="left"/>
        <w:outlineLvl w:val="1"/>
        <w:rPr>
          <w:rFonts w:ascii="宋体" w:hAnsi="宋体" w:cs="宋体"/>
          <w:color w:val="000000" w:themeColor="text1"/>
          <w:sz w:val="30"/>
          <w:szCs w:val="30"/>
          <w:highlight w:val="none"/>
        </w:rPr>
        <w:sectPr>
          <w:footerReference r:id="rId8" w:type="even"/>
          <w:pgSz w:w="11906" w:h="16838"/>
          <w:pgMar w:top="1418" w:right="1418" w:bottom="1418" w:left="1418" w:header="851" w:footer="851" w:gutter="0"/>
          <w:cols w:space="720" w:num="1"/>
          <w:docGrid w:linePitch="312" w:charSpace="0"/>
        </w:sectPr>
      </w:pPr>
    </w:p>
    <w:p w14:paraId="782E4D41">
      <w:pPr>
        <w:pStyle w:val="43"/>
        <w:spacing w:beforeLines="100" w:afterLines="100"/>
        <w:jc w:val="left"/>
        <w:outlineLvl w:val="1"/>
        <w:rPr>
          <w:rFonts w:ascii="宋体" w:hAnsi="宋体" w:cs="宋体"/>
          <w:color w:val="000000" w:themeColor="text1"/>
          <w:sz w:val="30"/>
          <w:szCs w:val="30"/>
          <w:highlight w:val="none"/>
        </w:rPr>
      </w:pPr>
      <w:bookmarkStart w:id="65" w:name="_Toc80973233"/>
      <w:r>
        <w:rPr>
          <w:rFonts w:hint="eastAsia" w:ascii="宋体" w:hAnsi="宋体" w:cs="宋体"/>
          <w:color w:val="000000" w:themeColor="text1"/>
          <w:sz w:val="30"/>
          <w:szCs w:val="30"/>
          <w:highlight w:val="none"/>
        </w:rPr>
        <w:t>一    总则</w:t>
      </w:r>
      <w:bookmarkEnd w:id="61"/>
      <w:bookmarkEnd w:id="63"/>
      <w:bookmarkEnd w:id="64"/>
      <w:bookmarkEnd w:id="65"/>
    </w:p>
    <w:p w14:paraId="26203539">
      <w:pPr>
        <w:pStyle w:val="258"/>
        <w:rPr>
          <w:rFonts w:ascii="宋体" w:eastAsia="宋体"/>
          <w:color w:val="000000" w:themeColor="text1"/>
          <w:highlight w:val="none"/>
        </w:rPr>
      </w:pPr>
      <w:bookmarkStart w:id="66" w:name="_Toc80973234"/>
      <w:bookmarkStart w:id="67" w:name="_Toc531358977"/>
      <w:bookmarkStart w:id="68" w:name="_Toc530551822"/>
      <w:r>
        <w:rPr>
          <w:rFonts w:hint="eastAsia" w:ascii="宋体" w:eastAsia="宋体"/>
          <w:color w:val="000000" w:themeColor="text1"/>
          <w:highlight w:val="none"/>
        </w:rPr>
        <w:t>1.1     适用范围</w:t>
      </w:r>
      <w:bookmarkEnd w:id="66"/>
      <w:bookmarkEnd w:id="67"/>
      <w:bookmarkEnd w:id="68"/>
    </w:p>
    <w:p w14:paraId="0BFBA57E">
      <w:pPr>
        <w:spacing w:line="360" w:lineRule="auto"/>
        <w:ind w:firstLine="960" w:firstLineChars="400"/>
        <w:rPr>
          <w:rFonts w:ascii="宋体" w:hAnsi="宋体" w:cs="宋体"/>
          <w:color w:val="000000" w:themeColor="text1"/>
          <w:sz w:val="24"/>
          <w:szCs w:val="24"/>
          <w:highlight w:val="none"/>
        </w:rPr>
      </w:pPr>
      <w:r>
        <w:rPr>
          <w:rFonts w:hint="eastAsia" w:ascii="宋体" w:hAnsi="宋体" w:cs="宋体"/>
          <w:bCs/>
          <w:color w:val="000000" w:themeColor="text1"/>
          <w:sz w:val="24"/>
          <w:szCs w:val="24"/>
          <w:highlight w:val="none"/>
        </w:rPr>
        <w:t>磋商文件</w:t>
      </w:r>
      <w:r>
        <w:rPr>
          <w:rFonts w:hint="eastAsia" w:ascii="宋体" w:hAnsi="宋体" w:cs="宋体"/>
          <w:color w:val="000000" w:themeColor="text1"/>
          <w:sz w:val="24"/>
          <w:szCs w:val="24"/>
          <w:highlight w:val="none"/>
        </w:rPr>
        <w:t>适用于本次采购项目的采购行为，法律、法规另有规定的，从其规定。</w:t>
      </w:r>
    </w:p>
    <w:p w14:paraId="5DDCD706">
      <w:pPr>
        <w:pStyle w:val="258"/>
        <w:rPr>
          <w:rFonts w:ascii="宋体" w:eastAsia="宋体"/>
          <w:color w:val="000000" w:themeColor="text1"/>
          <w:highlight w:val="none"/>
        </w:rPr>
      </w:pPr>
      <w:bookmarkStart w:id="69" w:name="_Toc530551823"/>
      <w:bookmarkStart w:id="70" w:name="_Toc80973235"/>
      <w:bookmarkStart w:id="71" w:name="_Toc531358978"/>
      <w:r>
        <w:rPr>
          <w:rFonts w:hint="eastAsia" w:ascii="宋体" w:eastAsia="宋体"/>
          <w:color w:val="000000" w:themeColor="text1"/>
          <w:highlight w:val="none"/>
        </w:rPr>
        <w:t>1.2     定义</w:t>
      </w:r>
      <w:bookmarkEnd w:id="69"/>
      <w:bookmarkEnd w:id="70"/>
      <w:bookmarkEnd w:id="71"/>
    </w:p>
    <w:p w14:paraId="5DD319B7">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1.2.1   “采购人”是指：详见供应商须知前附表（一）；</w:t>
      </w:r>
    </w:p>
    <w:p w14:paraId="563142FA">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1.2.2   “采购代理机构”系指竞争性磋商采购公告中载明的本项目的采购代理机构，详见供应商须知前附表（一）；</w:t>
      </w:r>
    </w:p>
    <w:p w14:paraId="7E797A0F">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1.2.3   “供应商”系指按照本磋商文件的规定参加并递交磋商响应文件的自然人、法人或其他组织；</w:t>
      </w:r>
    </w:p>
    <w:p w14:paraId="1F7E6A3F">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1.2.4   “负责人”系指法人企业的法定代表人，或其他组织为法律、行政法规规定代表单位行使职权的主要负责人，或自然人本人；</w:t>
      </w:r>
    </w:p>
    <w:p w14:paraId="41D4612D">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1.2.5   “供应商代表”系指负责人或其授权的委托代理人；</w:t>
      </w:r>
    </w:p>
    <w:p w14:paraId="63E0A582">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1.2.6   “合同”系指采购人与成交人双方签署的规定双方权利与义务的协议，以及所有附件、附录、磋商文件和磋商响应文件所提到的构成合同的所有文件；</w:t>
      </w:r>
    </w:p>
    <w:p w14:paraId="6DB7F6C4">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1.2.7   “服务”系指供应商按磋商文件规定应承担的本项目售后以及其他类似的附随义务；</w:t>
      </w:r>
    </w:p>
    <w:p w14:paraId="0502D0C1">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1.2.8   “产品”系指供应商按磋商文件规定，须向采购人提供的一切产品（包括：虚拟产品），以及产品相关的保险、税金、备品备件、附件、耗材、工具、手册及其它有关技术资料和材料等；</w:t>
      </w:r>
    </w:p>
    <w:p w14:paraId="411F29CE">
      <w:pPr>
        <w:spacing w:line="360" w:lineRule="auto"/>
        <w:ind w:left="720" w:hanging="720" w:hangingChars="3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1.2.9   “项目”系指供应商按磋商文件规定向采购人提供的服务和产品；</w:t>
      </w:r>
    </w:p>
    <w:p w14:paraId="0E1F7DFB">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1.2.10  标有“</w:t>
      </w:r>
      <w:r>
        <w:rPr>
          <w:rFonts w:hint="eastAsia" w:ascii="宋体" w:hAnsi="宋体" w:cs="宋体"/>
          <w:color w:val="000000" w:themeColor="text1"/>
          <w:sz w:val="24"/>
          <w:highlight w:val="none"/>
        </w:rPr>
        <w:t>▲</w:t>
      </w:r>
      <w:r>
        <w:rPr>
          <w:rFonts w:hint="eastAsia" w:ascii="宋体" w:hAnsi="宋体" w:cs="宋体"/>
          <w:color w:val="000000" w:themeColor="text1"/>
          <w:sz w:val="24"/>
          <w:szCs w:val="24"/>
          <w:highlight w:val="none"/>
        </w:rPr>
        <w:t>”符号均属于“实质性条款”，不允许负偏离；</w:t>
      </w:r>
    </w:p>
    <w:p w14:paraId="279346B7">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highlight w:val="none"/>
        </w:rPr>
        <w:t xml:space="preserve">1.2.11  </w:t>
      </w:r>
      <w:r>
        <w:rPr>
          <w:rFonts w:hint="eastAsia" w:ascii="宋体" w:hAnsi="宋体" w:cs="宋体"/>
          <w:color w:val="000000" w:themeColor="text1"/>
          <w:sz w:val="24"/>
          <w:szCs w:val="24"/>
          <w:highlight w:val="none"/>
        </w:rPr>
        <w:t>标有“★”系指项目关键核心产品；</w:t>
      </w:r>
    </w:p>
    <w:p w14:paraId="74867ADA">
      <w:pPr>
        <w:spacing w:line="360" w:lineRule="auto"/>
        <w:ind w:left="964" w:hanging="964" w:hangingChars="400"/>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1.2.12  “电子磋商响应文件”系指供应商通过“政采云电子交易客户端”编制的数据电文形式的“电子加密磋商响应文件”。</w:t>
      </w:r>
    </w:p>
    <w:p w14:paraId="13907716">
      <w:pPr>
        <w:spacing w:line="360" w:lineRule="auto"/>
        <w:ind w:left="964" w:hanging="964" w:hangingChars="400"/>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1.2.13  “备份磋商响应文件”系指与“电子磋商响应文件”同时生成的数据电文形式的电子文件。</w:t>
      </w:r>
    </w:p>
    <w:p w14:paraId="19102ADA">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1.2.14  “磋商响应文件”系指供应商提交的首次响应文件。</w:t>
      </w:r>
    </w:p>
    <w:p w14:paraId="67146F85">
      <w:pPr>
        <w:pStyle w:val="258"/>
        <w:rPr>
          <w:rFonts w:ascii="宋体" w:eastAsia="宋体"/>
          <w:color w:val="000000" w:themeColor="text1"/>
          <w:highlight w:val="none"/>
        </w:rPr>
      </w:pPr>
      <w:bookmarkStart w:id="72" w:name="_Toc531358980"/>
      <w:bookmarkStart w:id="73" w:name="_Toc80973236"/>
      <w:bookmarkStart w:id="74" w:name="_Toc530551825"/>
      <w:r>
        <w:rPr>
          <w:rFonts w:hint="eastAsia" w:ascii="宋体" w:eastAsia="宋体"/>
          <w:color w:val="000000" w:themeColor="text1"/>
          <w:highlight w:val="none"/>
        </w:rPr>
        <w:t>1.3     供应商应具备资格条件</w:t>
      </w:r>
      <w:bookmarkEnd w:id="72"/>
      <w:bookmarkEnd w:id="73"/>
      <w:bookmarkEnd w:id="74"/>
    </w:p>
    <w:p w14:paraId="11785E50">
      <w:pPr>
        <w:spacing w:line="360" w:lineRule="auto"/>
        <w:ind w:left="960" w:hanging="960" w:hangingChars="400"/>
        <w:rPr>
          <w:rFonts w:ascii="宋体" w:hAnsi="宋体" w:cs="宋体"/>
          <w:color w:val="000000" w:themeColor="text1"/>
          <w:sz w:val="24"/>
          <w:szCs w:val="24"/>
          <w:highlight w:val="none"/>
        </w:rPr>
      </w:pPr>
      <w:bookmarkStart w:id="75" w:name="_Toc530551826"/>
      <w:r>
        <w:rPr>
          <w:rFonts w:hint="eastAsia" w:ascii="宋体" w:hAnsi="宋体" w:cs="宋体"/>
          <w:color w:val="000000" w:themeColor="text1"/>
          <w:sz w:val="24"/>
          <w:szCs w:val="24"/>
          <w:highlight w:val="none"/>
        </w:rPr>
        <w:t>1.3.1   符合本文件第一章“第二条”的规定。</w:t>
      </w:r>
    </w:p>
    <w:p w14:paraId="2510A8C8">
      <w:pPr>
        <w:pStyle w:val="258"/>
        <w:rPr>
          <w:rFonts w:ascii="宋体" w:eastAsia="宋体"/>
          <w:color w:val="000000" w:themeColor="text1"/>
          <w:highlight w:val="none"/>
        </w:rPr>
      </w:pPr>
      <w:bookmarkStart w:id="76" w:name="_Toc80973237"/>
      <w:bookmarkStart w:id="77" w:name="_Toc531358981"/>
      <w:r>
        <w:rPr>
          <w:rFonts w:hint="eastAsia" w:ascii="宋体" w:eastAsia="宋体"/>
          <w:color w:val="000000" w:themeColor="text1"/>
          <w:highlight w:val="none"/>
        </w:rPr>
        <w:t>1.4     联合体</w:t>
      </w:r>
      <w:bookmarkEnd w:id="75"/>
      <w:bookmarkEnd w:id="76"/>
      <w:bookmarkEnd w:id="77"/>
    </w:p>
    <w:p w14:paraId="7705C229">
      <w:pPr>
        <w:spacing w:line="360" w:lineRule="auto"/>
        <w:ind w:left="720" w:hanging="720" w:hangingChars="3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1.4.1   联合体：见供应商须知前附表（一）；</w:t>
      </w:r>
    </w:p>
    <w:p w14:paraId="34943FE9">
      <w:pPr>
        <w:spacing w:line="360" w:lineRule="auto"/>
        <w:ind w:left="720" w:hanging="720" w:hangingChars="3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1.4.2   联合体各方均符合政府采购法第二十二条第一款规定；</w:t>
      </w:r>
    </w:p>
    <w:p w14:paraId="42FA2A9C">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1.4.3   联合体中至少有一方符合本文件规定的特定资质要求。但联合体中有同类资质的供应商按照联合体分工承担相同工作的，应当按照资质等级较低的供应商确定资质等级；</w:t>
      </w:r>
    </w:p>
    <w:p w14:paraId="17754CE6">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1.4.4   以联合体形式参加政府采购活动的，联合体各方不得再单独参加或者与其他供应商另外组成联合体参加同一合同项下的政府采购活动；</w:t>
      </w:r>
    </w:p>
    <w:p w14:paraId="4C400E53">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1.4.5   联合体参与的，必须提供《联合体协议书》。</w:t>
      </w:r>
    </w:p>
    <w:p w14:paraId="5BD9D479">
      <w:pPr>
        <w:pStyle w:val="258"/>
        <w:rPr>
          <w:rFonts w:ascii="宋体" w:eastAsia="宋体"/>
          <w:color w:val="000000" w:themeColor="text1"/>
          <w:highlight w:val="none"/>
        </w:rPr>
      </w:pPr>
      <w:bookmarkStart w:id="78" w:name="_Toc530551827"/>
      <w:bookmarkStart w:id="79" w:name="_Toc80973238"/>
      <w:bookmarkStart w:id="80" w:name="_Toc531358982"/>
      <w:r>
        <w:rPr>
          <w:rFonts w:hint="eastAsia" w:ascii="宋体" w:eastAsia="宋体"/>
          <w:color w:val="000000" w:themeColor="text1"/>
          <w:highlight w:val="none"/>
        </w:rPr>
        <w:t>1.5     磋商响应文件的语言及计量</w:t>
      </w:r>
      <w:bookmarkEnd w:id="78"/>
      <w:bookmarkEnd w:id="79"/>
      <w:bookmarkEnd w:id="80"/>
    </w:p>
    <w:p w14:paraId="7A86F919">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1.5.1   磋商响应文件以及供应商、采购人与采购代理机构就有关磋商事宜的所有来往函电，均应以简体中文书写，除签名、盖章、专用名称等特殊情形外；</w:t>
      </w:r>
    </w:p>
    <w:p w14:paraId="1BD9D80B">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1.5.2   磋商响应资料提供外文证书或者外国语视听资料的，应当附有中文译本，由翻译机构盖章或者翻译人员签名；</w:t>
      </w:r>
    </w:p>
    <w:p w14:paraId="2C2E033E">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1.5.3   磋商响应计量单位，磋商文件已有明确规定的，使用磋商文件规定的计量单位；磋商文件没有规定的，应当采用中华人民共和国法定计量单位。</w:t>
      </w:r>
    </w:p>
    <w:p w14:paraId="425693AA">
      <w:pPr>
        <w:pStyle w:val="258"/>
        <w:rPr>
          <w:rFonts w:ascii="宋体" w:eastAsia="宋体"/>
          <w:color w:val="000000" w:themeColor="text1"/>
          <w:highlight w:val="none"/>
        </w:rPr>
      </w:pPr>
      <w:bookmarkStart w:id="81" w:name="_Toc531358983"/>
      <w:bookmarkStart w:id="82" w:name="_Toc530551828"/>
      <w:bookmarkStart w:id="83" w:name="_Toc80973239"/>
      <w:r>
        <w:rPr>
          <w:rFonts w:hint="eastAsia" w:ascii="宋体" w:eastAsia="宋体"/>
          <w:color w:val="000000" w:themeColor="text1"/>
          <w:highlight w:val="none"/>
        </w:rPr>
        <w:t xml:space="preserve">1.6     </w:t>
      </w:r>
      <w:r>
        <w:rPr>
          <w:rFonts w:hint="eastAsia" w:ascii="宋体" w:eastAsia="宋体"/>
          <w:color w:val="000000" w:themeColor="text1"/>
          <w:szCs w:val="24"/>
          <w:highlight w:val="none"/>
        </w:rPr>
        <w:t>磋商</w:t>
      </w:r>
      <w:r>
        <w:rPr>
          <w:rFonts w:hint="eastAsia" w:ascii="宋体" w:eastAsia="宋体"/>
          <w:color w:val="000000" w:themeColor="text1"/>
          <w:highlight w:val="none"/>
        </w:rPr>
        <w:t>费用</w:t>
      </w:r>
      <w:bookmarkEnd w:id="81"/>
      <w:bookmarkEnd w:id="82"/>
      <w:bookmarkEnd w:id="83"/>
    </w:p>
    <w:p w14:paraId="7CF50900">
      <w:pPr>
        <w:spacing w:line="360" w:lineRule="auto"/>
        <w:ind w:firstLine="960" w:firstLine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不论磋商的结果如何，供应商均应自行承担所有与磋商有关的全部费用。</w:t>
      </w:r>
    </w:p>
    <w:p w14:paraId="43919773">
      <w:pPr>
        <w:pStyle w:val="258"/>
        <w:rPr>
          <w:rFonts w:ascii="宋体" w:eastAsia="宋体"/>
          <w:color w:val="000000" w:themeColor="text1"/>
          <w:highlight w:val="none"/>
        </w:rPr>
      </w:pPr>
      <w:bookmarkStart w:id="84" w:name="_Toc531358984"/>
      <w:bookmarkStart w:id="85" w:name="_Toc530551829"/>
      <w:bookmarkStart w:id="86" w:name="_Toc80973240"/>
      <w:r>
        <w:rPr>
          <w:rFonts w:hint="eastAsia" w:ascii="宋体" w:eastAsia="宋体"/>
          <w:color w:val="000000" w:themeColor="text1"/>
          <w:highlight w:val="none"/>
        </w:rPr>
        <w:t>1.7     现场踏勘</w:t>
      </w:r>
      <w:bookmarkEnd w:id="84"/>
      <w:bookmarkEnd w:id="85"/>
      <w:bookmarkEnd w:id="86"/>
    </w:p>
    <w:p w14:paraId="1001DC2F">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1.7.1   采购人按供应商须知前附表（一）规定的时间、地点组织供应商现场踏勘；</w:t>
      </w:r>
    </w:p>
    <w:p w14:paraId="6EE380AD">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1.7.2   供应商踏勘现场发生的费用自理；</w:t>
      </w:r>
    </w:p>
    <w:p w14:paraId="6D699743">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1.7.3   除采购人的原因外，供应商自行负责在踏勘现场中所发生的人员伤亡和财产损失；</w:t>
      </w:r>
    </w:p>
    <w:p w14:paraId="7AEE63B7">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1.7.4   采购人在现场踏勘中介绍的场地和相关的周边环境情况，供供应商在编制磋商响应文件时参考，采购人不对供应商据此作出的判断和决策负责；</w:t>
      </w:r>
    </w:p>
    <w:p w14:paraId="1B7531AB">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1.7.5   供应商自身原因不参与答疑会的，不得就此提出质疑。</w:t>
      </w:r>
    </w:p>
    <w:p w14:paraId="27AC5269">
      <w:pPr>
        <w:pStyle w:val="258"/>
        <w:rPr>
          <w:rFonts w:ascii="宋体" w:eastAsia="宋体"/>
          <w:color w:val="000000" w:themeColor="text1"/>
          <w:highlight w:val="none"/>
        </w:rPr>
      </w:pPr>
      <w:bookmarkStart w:id="87" w:name="_Toc531358985"/>
      <w:bookmarkStart w:id="88" w:name="_Toc530551830"/>
      <w:bookmarkStart w:id="89" w:name="_Toc80973241"/>
      <w:r>
        <w:rPr>
          <w:rFonts w:hint="eastAsia" w:ascii="宋体" w:eastAsia="宋体"/>
          <w:color w:val="000000" w:themeColor="text1"/>
          <w:highlight w:val="none"/>
        </w:rPr>
        <w:t>1.8     答疑会</w:t>
      </w:r>
      <w:bookmarkEnd w:id="87"/>
      <w:bookmarkEnd w:id="88"/>
      <w:bookmarkEnd w:id="89"/>
    </w:p>
    <w:p w14:paraId="1A632B7E">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1.8.1   采购人或采购代理机构按供应商须知前附表（一）规定的时间和地点召开答疑会；</w:t>
      </w:r>
    </w:p>
    <w:p w14:paraId="05917866">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1.8.2   答疑会后，采购人或采购代理机构按本章第2.2款规定对供应商所提问题进行澄清答复；</w:t>
      </w:r>
    </w:p>
    <w:p w14:paraId="2ADF00C2">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1.8.3   供应商自身原因不参与答疑会的，不得就差别待遇或歧视待遇提出质疑。</w:t>
      </w:r>
    </w:p>
    <w:p w14:paraId="1783F0DF">
      <w:pPr>
        <w:pStyle w:val="258"/>
        <w:rPr>
          <w:rFonts w:ascii="宋体" w:eastAsia="宋体"/>
          <w:color w:val="000000" w:themeColor="text1"/>
          <w:highlight w:val="none"/>
        </w:rPr>
      </w:pPr>
      <w:bookmarkStart w:id="90" w:name="_Toc530551831"/>
      <w:bookmarkStart w:id="91" w:name="_Toc80973242"/>
      <w:bookmarkStart w:id="92" w:name="_Toc531358986"/>
      <w:r>
        <w:rPr>
          <w:rFonts w:hint="eastAsia" w:ascii="宋体" w:eastAsia="宋体"/>
          <w:color w:val="000000" w:themeColor="text1"/>
          <w:highlight w:val="none"/>
        </w:rPr>
        <w:t>1.9     分包</w:t>
      </w:r>
      <w:bookmarkEnd w:id="90"/>
      <w:bookmarkEnd w:id="91"/>
      <w:bookmarkEnd w:id="92"/>
    </w:p>
    <w:p w14:paraId="4508D9D9">
      <w:pPr>
        <w:spacing w:line="360" w:lineRule="auto"/>
        <w:ind w:left="720" w:hanging="720" w:hangingChars="3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1.9.1   分包：见供应商须知前附表（一）；</w:t>
      </w:r>
    </w:p>
    <w:p w14:paraId="401B977A">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1.9.2   供应商根据磋商文件的规定和采购项目的实际情况，拟在成交后将成交项目的非主体、非关键性工作分包的，应当在磋商响应文件中载明分包承担主体，分包承担主体应当具备相应资质条件且不得再次分包。</w:t>
      </w:r>
    </w:p>
    <w:p w14:paraId="71FB2D4E">
      <w:pPr>
        <w:pStyle w:val="258"/>
        <w:rPr>
          <w:rFonts w:ascii="宋体" w:eastAsia="宋体"/>
          <w:color w:val="000000" w:themeColor="text1"/>
          <w:highlight w:val="none"/>
        </w:rPr>
      </w:pPr>
      <w:bookmarkStart w:id="93" w:name="_Toc80973243"/>
      <w:bookmarkStart w:id="94" w:name="_Toc531358987"/>
      <w:bookmarkStart w:id="95" w:name="_Toc530551832"/>
      <w:r>
        <w:rPr>
          <w:rFonts w:hint="eastAsia" w:ascii="宋体" w:eastAsia="宋体"/>
          <w:color w:val="000000" w:themeColor="text1"/>
          <w:highlight w:val="none"/>
        </w:rPr>
        <w:t>1.10    保密</w:t>
      </w:r>
      <w:bookmarkEnd w:id="93"/>
      <w:bookmarkEnd w:id="94"/>
      <w:bookmarkEnd w:id="95"/>
    </w:p>
    <w:p w14:paraId="606D369F">
      <w:pPr>
        <w:spacing w:line="360" w:lineRule="auto"/>
        <w:ind w:left="945" w:leftChars="45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参与磋商响应活动的各方当事人应当对评审情况以及在评审过程中的获悉的国家秘密、商业秘密负有保密责任，违者应对由此造成的后果承担法律责任。</w:t>
      </w:r>
    </w:p>
    <w:p w14:paraId="6FC40122">
      <w:pPr>
        <w:pStyle w:val="258"/>
        <w:rPr>
          <w:rFonts w:ascii="宋体" w:eastAsia="宋体"/>
          <w:color w:val="000000" w:themeColor="text1"/>
          <w:highlight w:val="none"/>
        </w:rPr>
      </w:pPr>
      <w:bookmarkStart w:id="96" w:name="_Toc531358988"/>
      <w:bookmarkStart w:id="97" w:name="_Toc530551833"/>
      <w:bookmarkStart w:id="98" w:name="_Toc80973244"/>
      <w:r>
        <w:rPr>
          <w:rFonts w:hint="eastAsia" w:ascii="宋体" w:eastAsia="宋体"/>
          <w:color w:val="000000" w:themeColor="text1"/>
          <w:highlight w:val="none"/>
        </w:rPr>
        <w:t>1.11    政府采购政策</w:t>
      </w:r>
      <w:bookmarkEnd w:id="96"/>
      <w:bookmarkEnd w:id="97"/>
      <w:bookmarkEnd w:id="98"/>
    </w:p>
    <w:p w14:paraId="479975DE">
      <w:pPr>
        <w:spacing w:line="360" w:lineRule="auto"/>
        <w:ind w:left="960" w:hanging="960" w:hangingChars="400"/>
        <w:rPr>
          <w:rFonts w:ascii="宋体" w:hAnsi="宋体" w:cs="宋体"/>
          <w:bCs/>
          <w:color w:val="000000" w:themeColor="text1"/>
          <w:sz w:val="24"/>
          <w:highlight w:val="none"/>
        </w:rPr>
      </w:pPr>
      <w:r>
        <w:rPr>
          <w:rFonts w:hint="eastAsia" w:ascii="宋体" w:hAnsi="宋体" w:cs="宋体"/>
          <w:bCs/>
          <w:color w:val="000000" w:themeColor="text1"/>
          <w:sz w:val="24"/>
          <w:highlight w:val="none"/>
        </w:rPr>
        <w:t>1.11.1  根据</w:t>
      </w:r>
      <w:r>
        <w:rPr>
          <w:rFonts w:hint="eastAsia" w:ascii="宋体" w:hAnsi="宋体" w:cs="宋体"/>
          <w:bCs/>
          <w:color w:val="000000" w:themeColor="text1"/>
          <w:sz w:val="24"/>
          <w:szCs w:val="24"/>
          <w:highlight w:val="none"/>
        </w:rPr>
        <w:t>《政府采购促进中小企业发展管理办法》（财库〔2020〕46号）</w:t>
      </w:r>
      <w:r>
        <w:rPr>
          <w:rFonts w:hint="eastAsia" w:ascii="宋体" w:hAnsi="宋体" w:cs="宋体"/>
          <w:bCs/>
          <w:color w:val="000000" w:themeColor="text1"/>
          <w:sz w:val="24"/>
          <w:highlight w:val="none"/>
        </w:rPr>
        <w:t>文件要求，在政府采购活动按下列情形之一给予价格扣除：</w:t>
      </w:r>
    </w:p>
    <w:p w14:paraId="64B473FE">
      <w:pPr>
        <w:spacing w:line="360" w:lineRule="auto"/>
        <w:ind w:left="1185" w:leftChars="450" w:hanging="240" w:hangingChars="100"/>
        <w:rPr>
          <w:rFonts w:ascii="宋体" w:hAnsi="宋体" w:cs="宋体"/>
          <w:color w:val="000000" w:themeColor="text1"/>
          <w:sz w:val="24"/>
          <w:szCs w:val="24"/>
          <w:highlight w:val="none"/>
        </w:rPr>
      </w:pPr>
      <w:r>
        <w:rPr>
          <w:rFonts w:hint="eastAsia" w:ascii="宋体" w:hAnsi="宋体" w:cs="宋体"/>
          <w:bCs/>
          <w:color w:val="000000" w:themeColor="text1"/>
          <w:sz w:val="24"/>
          <w:highlight w:val="none"/>
        </w:rPr>
        <w:fldChar w:fldCharType="begin"/>
      </w:r>
      <w:r>
        <w:rPr>
          <w:rFonts w:hint="eastAsia" w:ascii="宋体" w:hAnsi="宋体" w:cs="宋体"/>
          <w:bCs/>
          <w:color w:val="000000" w:themeColor="text1"/>
          <w:sz w:val="24"/>
          <w:highlight w:val="none"/>
        </w:rPr>
        <w:instrText xml:space="preserve"> = 1 \* GB2 </w:instrText>
      </w:r>
      <w:r>
        <w:rPr>
          <w:rFonts w:hint="eastAsia" w:ascii="宋体" w:hAnsi="宋体" w:cs="宋体"/>
          <w:bCs/>
          <w:color w:val="000000" w:themeColor="text1"/>
          <w:sz w:val="24"/>
          <w:highlight w:val="none"/>
        </w:rPr>
        <w:fldChar w:fldCharType="separate"/>
      </w:r>
      <w:r>
        <w:rPr>
          <w:rFonts w:hint="eastAsia" w:ascii="宋体" w:hAnsi="宋体" w:cs="宋体"/>
          <w:bCs/>
          <w:color w:val="000000" w:themeColor="text1"/>
          <w:sz w:val="24"/>
          <w:highlight w:val="none"/>
        </w:rPr>
        <w:t>⑴</w:t>
      </w:r>
      <w:r>
        <w:rPr>
          <w:rFonts w:hint="eastAsia" w:ascii="宋体" w:hAnsi="宋体" w:cs="宋体"/>
          <w:bCs/>
          <w:color w:val="000000" w:themeColor="text1"/>
          <w:sz w:val="24"/>
          <w:highlight w:val="none"/>
        </w:rPr>
        <w:fldChar w:fldCharType="end"/>
      </w:r>
      <w:r>
        <w:rPr>
          <w:rFonts w:hint="eastAsia" w:ascii="宋体" w:hAnsi="宋体" w:cs="宋体"/>
          <w:bCs/>
          <w:color w:val="000000" w:themeColor="text1"/>
          <w:sz w:val="24"/>
          <w:highlight w:val="none"/>
        </w:rPr>
        <w:t>对于非专门面向中小企业的项目，对小型和微型企业产品的价格给予</w:t>
      </w:r>
      <w:r>
        <w:rPr>
          <w:rFonts w:hint="eastAsia" w:ascii="宋体" w:hAnsi="宋体" w:cs="宋体"/>
          <w:color w:val="000000" w:themeColor="text1"/>
          <w:sz w:val="24"/>
          <w:szCs w:val="24"/>
          <w:highlight w:val="none"/>
        </w:rPr>
        <w:t>扣除，用扣除后的价格参与评审，价格扣除比例见供应商须知前附表（一）；</w:t>
      </w:r>
    </w:p>
    <w:p w14:paraId="194260F2">
      <w:pPr>
        <w:spacing w:line="360" w:lineRule="auto"/>
        <w:ind w:left="1185" w:leftChars="450" w:hanging="240" w:hangingChars="100"/>
        <w:rPr>
          <w:rFonts w:ascii="宋体" w:hAnsi="宋体" w:cs="宋体"/>
          <w:bCs/>
          <w:color w:val="000000" w:themeColor="text1"/>
          <w:sz w:val="24"/>
          <w:highlight w:val="none"/>
        </w:rPr>
      </w:pPr>
      <w:r>
        <w:rPr>
          <w:rFonts w:hint="eastAsia" w:ascii="宋体" w:hAnsi="宋体" w:cs="宋体"/>
          <w:bCs/>
          <w:color w:val="000000" w:themeColor="text1"/>
          <w:sz w:val="24"/>
          <w:highlight w:val="none"/>
        </w:rPr>
        <w:fldChar w:fldCharType="begin"/>
      </w:r>
      <w:r>
        <w:rPr>
          <w:rFonts w:hint="eastAsia" w:ascii="宋体" w:hAnsi="宋体" w:cs="宋体"/>
          <w:bCs/>
          <w:color w:val="000000" w:themeColor="text1"/>
          <w:sz w:val="24"/>
          <w:highlight w:val="none"/>
        </w:rPr>
        <w:instrText xml:space="preserve"> = 2 \* GB2 </w:instrText>
      </w:r>
      <w:r>
        <w:rPr>
          <w:rFonts w:hint="eastAsia" w:ascii="宋体" w:hAnsi="宋体" w:cs="宋体"/>
          <w:bCs/>
          <w:color w:val="000000" w:themeColor="text1"/>
          <w:sz w:val="24"/>
          <w:highlight w:val="none"/>
        </w:rPr>
        <w:fldChar w:fldCharType="separate"/>
      </w:r>
      <w:r>
        <w:rPr>
          <w:rFonts w:hint="eastAsia" w:ascii="宋体" w:hAnsi="宋体" w:cs="宋体"/>
          <w:bCs/>
          <w:color w:val="000000" w:themeColor="text1"/>
          <w:sz w:val="24"/>
          <w:highlight w:val="none"/>
        </w:rPr>
        <w:t>⑵</w:t>
      </w:r>
      <w:r>
        <w:rPr>
          <w:rFonts w:hint="eastAsia" w:ascii="宋体" w:hAnsi="宋体" w:cs="宋体"/>
          <w:bCs/>
          <w:color w:val="000000" w:themeColor="text1"/>
          <w:sz w:val="24"/>
          <w:highlight w:val="none"/>
        </w:rPr>
        <w:fldChar w:fldCharType="end"/>
      </w:r>
      <w:r>
        <w:rPr>
          <w:rFonts w:hint="eastAsia" w:ascii="宋体" w:hAnsi="宋体" w:cs="宋体"/>
          <w:color w:val="000000" w:themeColor="text1"/>
          <w:sz w:val="24"/>
          <w:szCs w:val="24"/>
          <w:highlight w:val="none"/>
        </w:rPr>
        <w:t>大中型企业与小微企业组成联合体或者允许大中型企业向一家或者多家小微企业分包的采购项目，对于联合协议或者分包意向协议约定小微企业的合同份额占到合同总金额30%以上的，</w:t>
      </w:r>
      <w:r>
        <w:rPr>
          <w:rFonts w:hint="eastAsia" w:ascii="宋体" w:hAnsi="宋体" w:cs="宋体"/>
          <w:bCs/>
          <w:color w:val="000000" w:themeColor="text1"/>
          <w:sz w:val="24"/>
          <w:highlight w:val="none"/>
        </w:rPr>
        <w:t>可给予价格扣除，用扣除后的价格参与评审。联合体各方均为小型、微型企业的，联合体视同为小型、微型企业。价格扣除比例见供应商须知前附表（一）；</w:t>
      </w:r>
    </w:p>
    <w:p w14:paraId="54D64069">
      <w:pPr>
        <w:spacing w:line="360" w:lineRule="auto"/>
        <w:ind w:left="1185" w:leftChars="450" w:hanging="240" w:hangingChars="100"/>
        <w:rPr>
          <w:rFonts w:ascii="宋体" w:hAnsi="宋体" w:cs="宋体"/>
          <w:bCs/>
          <w:color w:val="000000" w:themeColor="text1"/>
          <w:sz w:val="24"/>
          <w:highlight w:val="none"/>
        </w:rPr>
      </w:pPr>
      <w:r>
        <w:rPr>
          <w:rFonts w:hint="eastAsia" w:ascii="宋体" w:hAnsi="宋体" w:cs="宋体"/>
          <w:bCs/>
          <w:color w:val="000000" w:themeColor="text1"/>
          <w:sz w:val="24"/>
          <w:highlight w:val="none"/>
        </w:rPr>
        <w:fldChar w:fldCharType="begin"/>
      </w:r>
      <w:r>
        <w:rPr>
          <w:rFonts w:hint="eastAsia" w:ascii="宋体" w:hAnsi="宋体" w:cs="宋体"/>
          <w:bCs/>
          <w:color w:val="000000" w:themeColor="text1"/>
          <w:sz w:val="24"/>
          <w:highlight w:val="none"/>
        </w:rPr>
        <w:instrText xml:space="preserve"> = 3 \* GB2 </w:instrText>
      </w:r>
      <w:r>
        <w:rPr>
          <w:rFonts w:hint="eastAsia" w:ascii="宋体" w:hAnsi="宋体" w:cs="宋体"/>
          <w:bCs/>
          <w:color w:val="000000" w:themeColor="text1"/>
          <w:sz w:val="24"/>
          <w:highlight w:val="none"/>
        </w:rPr>
        <w:fldChar w:fldCharType="separate"/>
      </w:r>
      <w:r>
        <w:rPr>
          <w:rFonts w:hint="eastAsia" w:ascii="宋体" w:hAnsi="宋体" w:cs="宋体"/>
          <w:bCs/>
          <w:color w:val="000000" w:themeColor="text1"/>
          <w:sz w:val="24"/>
          <w:highlight w:val="none"/>
        </w:rPr>
        <w:t>⑶</w:t>
      </w:r>
      <w:r>
        <w:rPr>
          <w:rFonts w:hint="eastAsia" w:ascii="宋体" w:hAnsi="宋体" w:cs="宋体"/>
          <w:bCs/>
          <w:color w:val="000000" w:themeColor="text1"/>
          <w:sz w:val="24"/>
          <w:highlight w:val="none"/>
        </w:rPr>
        <w:fldChar w:fldCharType="end"/>
      </w:r>
      <w:r>
        <w:rPr>
          <w:rFonts w:hint="eastAsia" w:ascii="宋体" w:hAnsi="宋体" w:cs="宋体"/>
          <w:bCs/>
          <w:color w:val="000000" w:themeColor="text1"/>
          <w:sz w:val="24"/>
          <w:highlight w:val="none"/>
        </w:rPr>
        <w:t>参加政府采购活动的中小企业应当提供《中小企业声明函》。</w:t>
      </w:r>
    </w:p>
    <w:p w14:paraId="2869489E">
      <w:pPr>
        <w:spacing w:line="360" w:lineRule="auto"/>
        <w:ind w:left="960" w:hanging="960" w:hangingChars="400"/>
        <w:rPr>
          <w:rFonts w:ascii="宋体" w:hAnsi="宋体" w:cs="宋体"/>
          <w:bCs/>
          <w:color w:val="000000" w:themeColor="text1"/>
          <w:sz w:val="24"/>
          <w:highlight w:val="none"/>
        </w:rPr>
      </w:pPr>
      <w:r>
        <w:rPr>
          <w:rFonts w:hint="eastAsia" w:ascii="宋体" w:hAnsi="宋体" w:cs="宋体"/>
          <w:bCs/>
          <w:color w:val="000000" w:themeColor="text1"/>
          <w:sz w:val="24"/>
          <w:highlight w:val="none"/>
        </w:rPr>
        <w:t>1.11.2  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1.11.1条的扶持政策；</w:t>
      </w:r>
    </w:p>
    <w:p w14:paraId="14043A88">
      <w:pPr>
        <w:spacing w:line="360" w:lineRule="auto"/>
        <w:ind w:left="960" w:hanging="960" w:hangingChars="400"/>
        <w:rPr>
          <w:rFonts w:ascii="宋体" w:hAnsi="宋体" w:cs="宋体"/>
          <w:bCs/>
          <w:color w:val="000000" w:themeColor="text1"/>
          <w:sz w:val="24"/>
          <w:highlight w:val="none"/>
        </w:rPr>
      </w:pPr>
      <w:r>
        <w:rPr>
          <w:rFonts w:hint="eastAsia" w:ascii="宋体" w:hAnsi="宋体" w:cs="宋体"/>
          <w:bCs/>
          <w:color w:val="000000" w:themeColor="text1"/>
          <w:sz w:val="24"/>
          <w:highlight w:val="none"/>
        </w:rPr>
        <w:t>1.11.3  供应商符合《三部门联合发布关于促进残疾人就业政府采购政策的通知》（财库〔2017〕141号）文件要求，并提供《残疾人福利性单位声明函》的，则视同小型、微型企业，享受第1.11.1条的扶持政策。</w:t>
      </w:r>
    </w:p>
    <w:p w14:paraId="1E5755B1">
      <w:pPr>
        <w:spacing w:line="360" w:lineRule="auto"/>
        <w:ind w:left="960" w:hanging="960" w:hangingChars="400"/>
        <w:rPr>
          <w:rFonts w:ascii="宋体" w:hAnsi="宋体" w:cs="宋体"/>
          <w:b/>
          <w:color w:val="000000" w:themeColor="text1"/>
          <w:sz w:val="24"/>
          <w:szCs w:val="24"/>
          <w:highlight w:val="none"/>
        </w:rPr>
      </w:pPr>
      <w:r>
        <w:rPr>
          <w:rFonts w:hint="eastAsia" w:ascii="宋体" w:hAnsi="宋体" w:cs="宋体"/>
          <w:color w:val="000000" w:themeColor="text1"/>
          <w:sz w:val="24"/>
          <w:szCs w:val="24"/>
          <w:highlight w:val="none"/>
        </w:rPr>
        <w:t>1.11.4  ▲采购进口产品：采购需求中未注明进口产品或允许进口产品，不得提供进口产品。</w:t>
      </w:r>
    </w:p>
    <w:p w14:paraId="3667316A">
      <w:pPr>
        <w:pStyle w:val="258"/>
        <w:rPr>
          <w:rFonts w:ascii="宋体" w:eastAsia="宋体"/>
          <w:color w:val="000000" w:themeColor="text1"/>
          <w:highlight w:val="none"/>
        </w:rPr>
      </w:pPr>
      <w:bookmarkStart w:id="99" w:name="_Toc531358990"/>
      <w:bookmarkStart w:id="100" w:name="_Toc530551835"/>
      <w:bookmarkStart w:id="101" w:name="_Toc80973245"/>
      <w:r>
        <w:rPr>
          <w:rFonts w:hint="eastAsia" w:ascii="宋体" w:eastAsia="宋体"/>
          <w:color w:val="000000" w:themeColor="text1"/>
          <w:highlight w:val="none"/>
        </w:rPr>
        <w:t>1.12    信用信息记录查询</w:t>
      </w:r>
      <w:bookmarkEnd w:id="99"/>
      <w:bookmarkEnd w:id="100"/>
      <w:bookmarkEnd w:id="101"/>
    </w:p>
    <w:p w14:paraId="386C3F3E">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1.12.1  查询渠道：信用中国网站（www.creditchina.gov.cn）、中国政府采购网（www.ccgp.gov.cn）；</w:t>
      </w:r>
    </w:p>
    <w:p w14:paraId="1F188F61">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1.12.2  信用信息记录查询截止时间：同资格审查结束时间，网站显示的信用信息记录将作为供应商资格审查的依据；</w:t>
      </w:r>
    </w:p>
    <w:p w14:paraId="0FFD7191">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1.12.3  查询内容：列入失信被执行人、重大税收违法案件当事人名单、政府采购严重违法失信行为记录名单；</w:t>
      </w:r>
    </w:p>
    <w:p w14:paraId="36331A7E">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1.12.4  信用信息留存方式：信用信息查询记录和证据以网页页面打印（或截图）等方式进行留存；</w:t>
      </w:r>
    </w:p>
    <w:p w14:paraId="2FD8CDCC">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1.12.5  联合体成员存在不良信用信息记录的，视同联合体存在不良信用记录。</w:t>
      </w:r>
    </w:p>
    <w:p w14:paraId="4B704917">
      <w:pPr>
        <w:pStyle w:val="258"/>
        <w:rPr>
          <w:rFonts w:ascii="宋体" w:eastAsia="宋体"/>
          <w:color w:val="000000" w:themeColor="text1"/>
          <w:highlight w:val="none"/>
        </w:rPr>
      </w:pPr>
      <w:bookmarkStart w:id="102" w:name="_Toc531358991"/>
      <w:bookmarkStart w:id="103" w:name="_Toc80973246"/>
      <w:bookmarkStart w:id="104" w:name="_Toc530551836"/>
      <w:r>
        <w:rPr>
          <w:rFonts w:hint="eastAsia" w:ascii="宋体" w:eastAsia="宋体"/>
          <w:color w:val="000000" w:themeColor="text1"/>
          <w:highlight w:val="none"/>
        </w:rPr>
        <w:t>1.13    质疑和投诉</w:t>
      </w:r>
      <w:bookmarkEnd w:id="102"/>
      <w:bookmarkEnd w:id="103"/>
      <w:bookmarkEnd w:id="104"/>
    </w:p>
    <w:p w14:paraId="0EB90B42">
      <w:pPr>
        <w:spacing w:line="360" w:lineRule="auto"/>
        <w:ind w:left="960" w:hanging="960" w:hangingChars="4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1.13.1  供应商认为磋商文件、采购过程、成交结果使自己的权益受到损害的，可以在知道或者应知其权益受到损害之日起7个工作日内，以书面形式向采购人、采购代理机构提出质疑。</w:t>
      </w:r>
    </w:p>
    <w:p w14:paraId="3E9A7DDA">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1.13.2  提出质疑的供应商应当是参与所质疑项目采购活动的供应商；</w:t>
      </w:r>
    </w:p>
    <w:p w14:paraId="3EEA988A">
      <w:pPr>
        <w:spacing w:line="360" w:lineRule="auto"/>
        <w:ind w:left="945" w:leftChars="450"/>
        <w:rPr>
          <w:rFonts w:ascii="宋体" w:hAnsi="宋体" w:cs="宋体"/>
          <w:color w:val="000000" w:themeColor="text1"/>
          <w:sz w:val="24"/>
          <w:highlight w:val="none"/>
        </w:rPr>
      </w:pPr>
      <w:r>
        <w:rPr>
          <w:rFonts w:hint="eastAsia" w:ascii="宋体" w:hAnsi="宋体" w:cs="宋体"/>
          <w:color w:val="000000" w:themeColor="text1"/>
          <w:sz w:val="24"/>
          <w:highlight w:val="none"/>
        </w:rPr>
        <w:t>潜在供应商已依法获取其可质疑的磋商文件的，可以对该文件提出质疑。对磋商文件提出质疑的，应当在获取磋商文件或者磋商文件公告期限届满之日起7个工作日内提出；</w:t>
      </w:r>
    </w:p>
    <w:p w14:paraId="73D6A135">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1.13.3  同一采购程序环节的质疑，供应商须一次性提出，否则不予以答复；</w:t>
      </w:r>
    </w:p>
    <w:p w14:paraId="358668A0">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1.13.4  质疑主要内容应符合《政府采购质疑和投诉办法》（财政部94号令）等相关规定，质疑内容涉及保密事项，质疑人应提供有效的信息来源或有效证据；</w:t>
      </w:r>
    </w:p>
    <w:p w14:paraId="7B549D7F">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1.13.5  质疑人可直接提交、传真或邮寄方式提交质疑函（一式三份以上）。以其他方式提出的质疑，采购人或采购代理机构可不予接受、答复。</w:t>
      </w:r>
    </w:p>
    <w:p w14:paraId="17548986">
      <w:pPr>
        <w:spacing w:line="360" w:lineRule="auto"/>
        <w:ind w:left="1185" w:leftChars="450" w:hanging="240" w:hangingChars="10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1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⑴</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邮寄方式送达质疑函的，以采购人或采购代理机构实际收到邮件之日作为收到质疑的日期。</w:t>
      </w:r>
    </w:p>
    <w:p w14:paraId="79657FD3">
      <w:pPr>
        <w:spacing w:line="360" w:lineRule="auto"/>
        <w:ind w:left="1185" w:leftChars="450" w:hanging="240" w:hangingChars="10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2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⑵</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2D7ED174">
      <w:pPr>
        <w:spacing w:line="360" w:lineRule="auto"/>
        <w:ind w:left="945" w:leftChars="45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3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⑶</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在质疑期限届满前，质疑函已经邮寄或传真成功的，质疑不视为过期。</w:t>
      </w:r>
    </w:p>
    <w:p w14:paraId="48C46221">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1.13.6  质疑联系人：见供应商须知前附表（一）</w:t>
      </w:r>
    </w:p>
    <w:p w14:paraId="4D1CD40C">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1.13.7  相关当事人提供外文证书或者外国语视听资料的，应当附有中文译本，由翻译机构盖章或者翻译人员签名。</w:t>
      </w:r>
    </w:p>
    <w:p w14:paraId="4CDE01ED">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1.13.8  采购人或采购代理机构在收到质疑人的书面质疑后7个工作日内作出答复，并以书面形式答复质疑人；</w:t>
      </w:r>
    </w:p>
    <w:p w14:paraId="5E4F394A">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1.13.9  质疑人捏造事实、提供虚假材料进行质疑的，采购人或采购代理机构报告同级政府采购监督管理部门，由同级政府采购监督管理部门审查，情况属实的，应列入不良行为记录，并在指定的媒体上公告；</w:t>
      </w:r>
    </w:p>
    <w:p w14:paraId="16159942">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1.13.10 质疑人对采购人或采购代理机构的答复不满意或者采购人、采购代理机构未在规定时间内答复的，可以在答复期满后15个工作日内向同级政府采购监督管理部门提起投诉；</w:t>
      </w:r>
    </w:p>
    <w:p w14:paraId="5A37A5FF">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1.13.11 同级政府采购监督管理部门：见供应商须知前附表（一）</w:t>
      </w:r>
    </w:p>
    <w:p w14:paraId="72ADE11E">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1.13.12 质疑函、投诉书范本在浙江政府采购网（zfcg.czt.zj.gov.cn）-下载专区中下载。</w:t>
      </w:r>
    </w:p>
    <w:p w14:paraId="7B31578B">
      <w:pPr>
        <w:pStyle w:val="258"/>
        <w:rPr>
          <w:rFonts w:ascii="宋体" w:eastAsia="宋体"/>
          <w:color w:val="000000" w:themeColor="text1"/>
          <w:highlight w:val="none"/>
        </w:rPr>
      </w:pPr>
      <w:bookmarkStart w:id="105" w:name="_Toc80973247"/>
      <w:bookmarkStart w:id="106" w:name="_Toc530551837"/>
      <w:bookmarkStart w:id="107" w:name="_Toc531358992"/>
      <w:r>
        <w:rPr>
          <w:rFonts w:hint="eastAsia" w:ascii="宋体" w:eastAsia="宋体"/>
          <w:color w:val="000000" w:themeColor="text1"/>
          <w:highlight w:val="none"/>
        </w:rPr>
        <w:t>1.14    特别声明</w:t>
      </w:r>
      <w:bookmarkEnd w:id="105"/>
      <w:bookmarkEnd w:id="106"/>
      <w:bookmarkEnd w:id="107"/>
    </w:p>
    <w:p w14:paraId="3BFC6C8D">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1.14.1   </w:t>
      </w:r>
      <w:r>
        <w:rPr>
          <w:rFonts w:hint="eastAsia" w:ascii="宋体" w:hAnsi="宋体" w:cs="宋体"/>
          <w:color w:val="000000" w:themeColor="text1"/>
          <w:sz w:val="24"/>
          <w:highlight w:val="none"/>
        </w:rPr>
        <w:t>▲</w:t>
      </w:r>
      <w:r>
        <w:rPr>
          <w:rFonts w:hint="eastAsia" w:ascii="宋体" w:hAnsi="宋体" w:cs="宋体"/>
          <w:color w:val="000000" w:themeColor="text1"/>
          <w:sz w:val="24"/>
          <w:szCs w:val="24"/>
          <w:highlight w:val="none"/>
        </w:rPr>
        <w:t>单位负责人为同一人或者存在直接控股、管理关系的不同供应商，以及属于同一母公司或集团的不同供应商不得参加同一合同项下的政府采购活动；</w:t>
      </w:r>
    </w:p>
    <w:p w14:paraId="634982B9">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1.14.2   </w:t>
      </w:r>
      <w:r>
        <w:rPr>
          <w:rFonts w:hint="eastAsia" w:ascii="宋体" w:hAnsi="宋体" w:cs="宋体"/>
          <w:color w:val="000000" w:themeColor="text1"/>
          <w:sz w:val="24"/>
          <w:highlight w:val="none"/>
        </w:rPr>
        <w:t>▲</w:t>
      </w:r>
      <w:r>
        <w:rPr>
          <w:rFonts w:hint="eastAsia" w:ascii="宋体" w:hAnsi="宋体" w:cs="宋体"/>
          <w:color w:val="000000" w:themeColor="text1"/>
          <w:sz w:val="24"/>
          <w:szCs w:val="24"/>
          <w:highlight w:val="none"/>
        </w:rPr>
        <w:t>为采购项目提供整体设计、规范编制或者项目管理、监理、检测等服务的供应商，不得再参加该采购项目的其他采购活动；</w:t>
      </w:r>
    </w:p>
    <w:p w14:paraId="25B33220">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1.14.3  本项目排名第一的成交候选人未注册成为浙江省政府采购网“正式供应商”的，将会影响该项目合同备案及付款，由此造成的不利影响由供应商自行承担。</w:t>
      </w:r>
    </w:p>
    <w:p w14:paraId="5608F4EB">
      <w:pPr>
        <w:pStyle w:val="43"/>
        <w:spacing w:beforeLines="100" w:afterLines="100"/>
        <w:jc w:val="left"/>
        <w:outlineLvl w:val="1"/>
        <w:rPr>
          <w:rFonts w:ascii="宋体" w:hAnsi="宋体" w:cs="宋体"/>
          <w:color w:val="000000" w:themeColor="text1"/>
          <w:sz w:val="30"/>
          <w:szCs w:val="30"/>
          <w:highlight w:val="none"/>
        </w:rPr>
      </w:pPr>
      <w:bookmarkStart w:id="108" w:name="_Toc530551838"/>
      <w:bookmarkStart w:id="109" w:name="_Toc493956034"/>
      <w:bookmarkStart w:id="110" w:name="_Toc80973248"/>
      <w:bookmarkStart w:id="111" w:name="_Toc531358993"/>
      <w:r>
        <w:rPr>
          <w:rFonts w:hint="eastAsia" w:ascii="宋体" w:hAnsi="宋体" w:cs="宋体"/>
          <w:color w:val="000000" w:themeColor="text1"/>
          <w:sz w:val="30"/>
          <w:szCs w:val="30"/>
          <w:highlight w:val="none"/>
        </w:rPr>
        <w:t>二    磋商文件</w:t>
      </w:r>
      <w:bookmarkEnd w:id="108"/>
      <w:bookmarkEnd w:id="109"/>
      <w:bookmarkEnd w:id="110"/>
      <w:bookmarkEnd w:id="111"/>
    </w:p>
    <w:p w14:paraId="4FEF312E">
      <w:pPr>
        <w:pStyle w:val="258"/>
        <w:rPr>
          <w:rFonts w:ascii="宋体" w:eastAsia="宋体"/>
          <w:color w:val="000000" w:themeColor="text1"/>
          <w:highlight w:val="none"/>
        </w:rPr>
      </w:pPr>
      <w:bookmarkStart w:id="112" w:name="_Toc80973249"/>
      <w:bookmarkStart w:id="113" w:name="_Toc530551839"/>
      <w:bookmarkStart w:id="114" w:name="_Toc531358994"/>
      <w:r>
        <w:rPr>
          <w:rFonts w:hint="eastAsia" w:ascii="宋体" w:eastAsia="宋体"/>
          <w:color w:val="000000" w:themeColor="text1"/>
          <w:highlight w:val="none"/>
        </w:rPr>
        <w:t>2.1     磋商文件的组成</w:t>
      </w:r>
      <w:bookmarkEnd w:id="112"/>
      <w:bookmarkEnd w:id="113"/>
      <w:bookmarkEnd w:id="114"/>
    </w:p>
    <w:p w14:paraId="342F4DB7">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2.1.1   第一章  竞争性磋商采购公告；</w:t>
      </w:r>
    </w:p>
    <w:p w14:paraId="46315FEA">
      <w:pPr>
        <w:spacing w:line="360" w:lineRule="auto"/>
        <w:ind w:left="960" w:hanging="960" w:hangingChars="400"/>
        <w:rPr>
          <w:rFonts w:ascii="宋体" w:hAnsi="宋体" w:cs="宋体"/>
          <w:color w:val="000000" w:themeColor="text1"/>
          <w:sz w:val="24"/>
          <w:szCs w:val="24"/>
          <w:highlight w:val="none"/>
        </w:rPr>
      </w:pPr>
      <w:bookmarkStart w:id="115" w:name="_Toc301187619"/>
      <w:r>
        <w:rPr>
          <w:rFonts w:hint="eastAsia" w:ascii="宋体" w:hAnsi="宋体" w:cs="宋体"/>
          <w:color w:val="000000" w:themeColor="text1"/>
          <w:sz w:val="24"/>
          <w:szCs w:val="24"/>
          <w:highlight w:val="none"/>
        </w:rPr>
        <w:t>2.1.2   第二章  采购需求</w:t>
      </w:r>
      <w:bookmarkEnd w:id="115"/>
      <w:r>
        <w:rPr>
          <w:rFonts w:hint="eastAsia" w:ascii="宋体" w:hAnsi="宋体" w:cs="宋体"/>
          <w:color w:val="000000" w:themeColor="text1"/>
          <w:sz w:val="24"/>
          <w:szCs w:val="24"/>
          <w:highlight w:val="none"/>
        </w:rPr>
        <w:t>；</w:t>
      </w:r>
    </w:p>
    <w:p w14:paraId="44DA8093">
      <w:pPr>
        <w:spacing w:line="360" w:lineRule="auto"/>
        <w:ind w:left="960" w:hanging="960" w:hangingChars="400"/>
        <w:rPr>
          <w:rFonts w:ascii="宋体" w:hAnsi="宋体" w:cs="宋体"/>
          <w:color w:val="000000" w:themeColor="text1"/>
          <w:sz w:val="24"/>
          <w:szCs w:val="24"/>
          <w:highlight w:val="none"/>
        </w:rPr>
      </w:pPr>
      <w:bookmarkStart w:id="116" w:name="_Toc301187620"/>
      <w:r>
        <w:rPr>
          <w:rFonts w:hint="eastAsia" w:ascii="宋体" w:hAnsi="宋体" w:cs="宋体"/>
          <w:color w:val="000000" w:themeColor="text1"/>
          <w:sz w:val="24"/>
          <w:szCs w:val="24"/>
          <w:highlight w:val="none"/>
        </w:rPr>
        <w:t>2.1.3   第三章  供应商须知</w:t>
      </w:r>
      <w:bookmarkEnd w:id="116"/>
      <w:r>
        <w:rPr>
          <w:rFonts w:hint="eastAsia" w:ascii="宋体" w:hAnsi="宋体" w:cs="宋体"/>
          <w:color w:val="000000" w:themeColor="text1"/>
          <w:sz w:val="24"/>
          <w:szCs w:val="24"/>
          <w:highlight w:val="none"/>
        </w:rPr>
        <w:t>；</w:t>
      </w:r>
    </w:p>
    <w:p w14:paraId="5BF2CD84">
      <w:pPr>
        <w:spacing w:line="360" w:lineRule="auto"/>
        <w:ind w:left="960" w:hanging="960" w:hangingChars="400"/>
        <w:rPr>
          <w:rFonts w:ascii="宋体" w:hAnsi="宋体" w:cs="宋体"/>
          <w:color w:val="000000" w:themeColor="text1"/>
          <w:sz w:val="24"/>
          <w:szCs w:val="24"/>
          <w:highlight w:val="none"/>
        </w:rPr>
      </w:pPr>
      <w:bookmarkStart w:id="117" w:name="_Toc301187621"/>
      <w:r>
        <w:rPr>
          <w:rFonts w:hint="eastAsia" w:ascii="宋体" w:hAnsi="宋体" w:cs="宋体"/>
          <w:color w:val="000000" w:themeColor="text1"/>
          <w:sz w:val="24"/>
          <w:szCs w:val="24"/>
          <w:highlight w:val="none"/>
        </w:rPr>
        <w:t>2.1.4   第四章  政府采购合同格式；</w:t>
      </w:r>
    </w:p>
    <w:bookmarkEnd w:id="117"/>
    <w:p w14:paraId="017C4D7B">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2.1.5   第五章  磋商响应文件格式；</w:t>
      </w:r>
    </w:p>
    <w:p w14:paraId="52C88399">
      <w:pPr>
        <w:spacing w:line="360" w:lineRule="auto"/>
        <w:ind w:left="960" w:hanging="960" w:hangingChars="400"/>
        <w:rPr>
          <w:rFonts w:ascii="宋体" w:hAnsi="宋体" w:cs="宋体"/>
          <w:color w:val="000000" w:themeColor="text1"/>
          <w:sz w:val="24"/>
          <w:szCs w:val="24"/>
          <w:highlight w:val="none"/>
        </w:rPr>
      </w:pPr>
      <w:bookmarkStart w:id="118" w:name="_Toc301187623"/>
      <w:r>
        <w:rPr>
          <w:rFonts w:hint="eastAsia" w:ascii="宋体" w:hAnsi="宋体" w:cs="宋体"/>
          <w:color w:val="000000" w:themeColor="text1"/>
          <w:sz w:val="24"/>
          <w:szCs w:val="24"/>
          <w:highlight w:val="none"/>
        </w:rPr>
        <w:t>2.1.6   第六章  评审办法及标准</w:t>
      </w:r>
      <w:bookmarkEnd w:id="118"/>
      <w:r>
        <w:rPr>
          <w:rFonts w:hint="eastAsia" w:ascii="宋体" w:hAnsi="宋体" w:cs="宋体"/>
          <w:color w:val="000000" w:themeColor="text1"/>
          <w:sz w:val="24"/>
          <w:szCs w:val="24"/>
          <w:highlight w:val="none"/>
        </w:rPr>
        <w:t>；</w:t>
      </w:r>
    </w:p>
    <w:p w14:paraId="0BAA57D4">
      <w:pPr>
        <w:spacing w:line="360" w:lineRule="auto"/>
        <w:ind w:left="960" w:hanging="960" w:hangingChars="400"/>
        <w:rPr>
          <w:rFonts w:ascii="宋体" w:hAnsi="宋体" w:cs="宋体"/>
          <w:color w:val="000000" w:themeColor="text1"/>
          <w:sz w:val="24"/>
          <w:szCs w:val="24"/>
          <w:highlight w:val="none"/>
        </w:rPr>
      </w:pPr>
      <w:bookmarkStart w:id="119" w:name="_Toc301187624"/>
      <w:r>
        <w:rPr>
          <w:rFonts w:hint="eastAsia" w:ascii="宋体" w:hAnsi="宋体" w:cs="宋体"/>
          <w:color w:val="000000" w:themeColor="text1"/>
          <w:sz w:val="24"/>
          <w:szCs w:val="24"/>
          <w:highlight w:val="none"/>
        </w:rPr>
        <w:t>2.1.7   本项目磋商文件的澄清、修改的内容</w:t>
      </w:r>
      <w:bookmarkEnd w:id="119"/>
      <w:r>
        <w:rPr>
          <w:rFonts w:hint="eastAsia" w:ascii="宋体" w:hAnsi="宋体" w:cs="宋体"/>
          <w:color w:val="000000" w:themeColor="text1"/>
          <w:sz w:val="24"/>
          <w:szCs w:val="24"/>
          <w:highlight w:val="none"/>
        </w:rPr>
        <w:t>。</w:t>
      </w:r>
    </w:p>
    <w:p w14:paraId="28D5EF4B">
      <w:pPr>
        <w:pStyle w:val="258"/>
        <w:rPr>
          <w:rFonts w:ascii="宋体" w:eastAsia="宋体"/>
          <w:color w:val="000000" w:themeColor="text1"/>
          <w:highlight w:val="none"/>
        </w:rPr>
      </w:pPr>
      <w:bookmarkStart w:id="120" w:name="_Toc530551841"/>
      <w:bookmarkStart w:id="121" w:name="_Toc80973250"/>
      <w:bookmarkStart w:id="122" w:name="_Toc531358996"/>
      <w:r>
        <w:rPr>
          <w:rFonts w:hint="eastAsia" w:ascii="宋体" w:eastAsia="宋体"/>
          <w:color w:val="000000" w:themeColor="text1"/>
          <w:highlight w:val="none"/>
        </w:rPr>
        <w:t>2.2     磋商文件的澄清、修改</w:t>
      </w:r>
      <w:bookmarkEnd w:id="120"/>
      <w:bookmarkEnd w:id="121"/>
      <w:bookmarkEnd w:id="122"/>
    </w:p>
    <w:p w14:paraId="3A88BCC3">
      <w:pPr>
        <w:spacing w:line="360" w:lineRule="auto"/>
        <w:ind w:left="960" w:hanging="960" w:hangingChars="400"/>
        <w:rPr>
          <w:rFonts w:ascii="宋体" w:hAnsi="宋体" w:cs="宋体"/>
          <w:bCs/>
          <w:color w:val="000000" w:themeColor="text1"/>
          <w:sz w:val="24"/>
          <w:highlight w:val="none"/>
        </w:rPr>
      </w:pPr>
      <w:r>
        <w:rPr>
          <w:rFonts w:hint="eastAsia" w:ascii="宋体" w:hAnsi="宋体" w:cs="宋体"/>
          <w:bCs/>
          <w:color w:val="000000" w:themeColor="text1"/>
          <w:sz w:val="24"/>
          <w:highlight w:val="none"/>
        </w:rPr>
        <w:t xml:space="preserve">2.2.1   </w:t>
      </w:r>
      <w:r>
        <w:rPr>
          <w:rFonts w:hint="eastAsia" w:ascii="宋体" w:hAnsi="宋体" w:cs="宋体"/>
          <w:color w:val="000000" w:themeColor="text1"/>
          <w:sz w:val="24"/>
          <w:szCs w:val="24"/>
          <w:highlight w:val="none"/>
        </w:rPr>
        <w:t>供应商应仔细阅读和检查磋商文件的全部内容。发现其中有误或有不合理要求的，应当在磋商文件的澄清、修改截止时间前以书面形式要求采购人或采购代理机构对磋商文件予以澄清、修改；</w:t>
      </w:r>
    </w:p>
    <w:p w14:paraId="1A0E14FA">
      <w:pPr>
        <w:spacing w:line="360" w:lineRule="auto"/>
        <w:ind w:left="960" w:hanging="960" w:hangingChars="400"/>
        <w:rPr>
          <w:rFonts w:ascii="宋体" w:hAnsi="宋体" w:cs="宋体"/>
          <w:color w:val="000000" w:themeColor="text1"/>
          <w:sz w:val="24"/>
          <w:highlight w:val="none"/>
        </w:rPr>
      </w:pPr>
      <w:r>
        <w:rPr>
          <w:rFonts w:hint="eastAsia" w:ascii="宋体" w:hAnsi="宋体" w:cs="宋体"/>
          <w:bCs/>
          <w:color w:val="000000" w:themeColor="text1"/>
          <w:sz w:val="24"/>
          <w:highlight w:val="none"/>
        </w:rPr>
        <w:t>2.2.2   澄清或修改内容可能影响磋商响应文件编制的，采购代理机构</w:t>
      </w:r>
      <w:r>
        <w:rPr>
          <w:rFonts w:hint="eastAsia" w:ascii="宋体" w:hAnsi="宋体" w:cs="宋体"/>
          <w:color w:val="000000" w:themeColor="text1"/>
          <w:sz w:val="24"/>
          <w:highlight w:val="none"/>
        </w:rPr>
        <w:t>在</w:t>
      </w:r>
      <w:r>
        <w:rPr>
          <w:rFonts w:hint="eastAsia" w:ascii="宋体" w:hAnsi="宋体" w:cs="宋体"/>
          <w:color w:val="000000" w:themeColor="text1"/>
          <w:sz w:val="24"/>
          <w:szCs w:val="24"/>
          <w:highlight w:val="none"/>
        </w:rPr>
        <w:t>响应文件提交</w:t>
      </w:r>
      <w:r>
        <w:rPr>
          <w:rFonts w:hint="eastAsia" w:ascii="宋体" w:hAnsi="宋体" w:cs="宋体"/>
          <w:bCs/>
          <w:color w:val="000000" w:themeColor="text1"/>
          <w:sz w:val="24"/>
          <w:szCs w:val="24"/>
          <w:highlight w:val="none"/>
        </w:rPr>
        <w:t>截止时间</w:t>
      </w:r>
      <w:r>
        <w:rPr>
          <w:rFonts w:hint="eastAsia" w:ascii="宋体" w:hAnsi="宋体" w:cs="宋体"/>
          <w:color w:val="000000" w:themeColor="text1"/>
          <w:sz w:val="24"/>
          <w:highlight w:val="none"/>
        </w:rPr>
        <w:t>5日前，将以发布更正公告的形式通知各潜在的供应商。不足5日的，采购代理机构有权顺延</w:t>
      </w:r>
      <w:r>
        <w:rPr>
          <w:rFonts w:hint="eastAsia" w:ascii="宋体" w:hAnsi="宋体" w:cs="宋体"/>
          <w:color w:val="000000" w:themeColor="text1"/>
          <w:sz w:val="24"/>
          <w:szCs w:val="24"/>
          <w:highlight w:val="none"/>
        </w:rPr>
        <w:t>响应文件提交</w:t>
      </w:r>
      <w:r>
        <w:rPr>
          <w:rFonts w:hint="eastAsia" w:ascii="宋体" w:hAnsi="宋体" w:cs="宋体"/>
          <w:bCs/>
          <w:color w:val="000000" w:themeColor="text1"/>
          <w:sz w:val="24"/>
          <w:szCs w:val="24"/>
          <w:highlight w:val="none"/>
        </w:rPr>
        <w:t>截止时间</w:t>
      </w:r>
      <w:r>
        <w:rPr>
          <w:rFonts w:hint="eastAsia" w:ascii="宋体" w:hAnsi="宋体" w:cs="宋体"/>
          <w:color w:val="000000" w:themeColor="text1"/>
          <w:sz w:val="24"/>
          <w:highlight w:val="none"/>
        </w:rPr>
        <w:t>；</w:t>
      </w:r>
    </w:p>
    <w:p w14:paraId="6D567A32">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2.2.3   响应文件提交</w:t>
      </w:r>
      <w:r>
        <w:rPr>
          <w:rFonts w:hint="eastAsia" w:ascii="宋体" w:hAnsi="宋体" w:cs="宋体"/>
          <w:bCs/>
          <w:color w:val="000000" w:themeColor="text1"/>
          <w:sz w:val="24"/>
          <w:szCs w:val="24"/>
          <w:highlight w:val="none"/>
        </w:rPr>
        <w:t>截止时间</w:t>
      </w:r>
      <w:r>
        <w:rPr>
          <w:rFonts w:hint="eastAsia" w:ascii="宋体" w:hAnsi="宋体" w:cs="宋体"/>
          <w:color w:val="000000" w:themeColor="text1"/>
          <w:sz w:val="24"/>
          <w:szCs w:val="24"/>
          <w:highlight w:val="none"/>
        </w:rPr>
        <w:t>前，采购代理机构可以对发出的磋商文件进行必要的澄清或修改，澄清或修改后的补充文件，作为磋商文件的组成部分，对各供应商起同等约束作用；</w:t>
      </w:r>
    </w:p>
    <w:p w14:paraId="68320BF6">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2.2.4   澄清、修改等更正内容发布网址：见供应商须知前附表（一）；</w:t>
      </w:r>
    </w:p>
    <w:p w14:paraId="32AF1461">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2.2.5   当磋商文件与澄清或修改文件就同一内容的表述不一致时，以最后发出的澄清或修改文件为准。</w:t>
      </w:r>
    </w:p>
    <w:p w14:paraId="59F7C6E3">
      <w:pPr>
        <w:pStyle w:val="43"/>
        <w:spacing w:beforeLines="100" w:afterLines="100"/>
        <w:jc w:val="left"/>
        <w:outlineLvl w:val="1"/>
        <w:rPr>
          <w:rFonts w:ascii="宋体" w:hAnsi="宋体" w:cs="宋体"/>
          <w:color w:val="000000" w:themeColor="text1"/>
          <w:sz w:val="30"/>
          <w:szCs w:val="30"/>
          <w:highlight w:val="none"/>
        </w:rPr>
      </w:pPr>
      <w:bookmarkStart w:id="123" w:name="_Toc530551842"/>
      <w:bookmarkStart w:id="124" w:name="_Toc80973251"/>
      <w:bookmarkStart w:id="125" w:name="_Toc531358997"/>
      <w:r>
        <w:rPr>
          <w:rFonts w:hint="eastAsia" w:ascii="宋体" w:hAnsi="宋体" w:cs="宋体"/>
          <w:color w:val="000000" w:themeColor="text1"/>
          <w:sz w:val="30"/>
          <w:szCs w:val="30"/>
          <w:highlight w:val="none"/>
        </w:rPr>
        <w:t>三    磋商响应文件</w:t>
      </w:r>
      <w:bookmarkEnd w:id="123"/>
      <w:bookmarkEnd w:id="124"/>
      <w:bookmarkEnd w:id="125"/>
    </w:p>
    <w:p w14:paraId="1239EBAA">
      <w:pPr>
        <w:pStyle w:val="258"/>
        <w:rPr>
          <w:rFonts w:ascii="宋体" w:eastAsia="宋体"/>
          <w:color w:val="000000" w:themeColor="text1"/>
          <w:highlight w:val="none"/>
        </w:rPr>
      </w:pPr>
      <w:bookmarkStart w:id="126" w:name="_Toc80973252"/>
      <w:bookmarkStart w:id="127" w:name="_Toc34895545"/>
      <w:r>
        <w:rPr>
          <w:rFonts w:hint="eastAsia" w:ascii="宋体" w:eastAsia="宋体"/>
          <w:color w:val="000000" w:themeColor="text1"/>
          <w:highlight w:val="none"/>
        </w:rPr>
        <w:t xml:space="preserve">3.1   </w:t>
      </w:r>
      <w:bookmarkStart w:id="128" w:name="_Toc18592302"/>
      <w:r>
        <w:rPr>
          <w:rFonts w:hint="eastAsia" w:ascii="宋体" w:eastAsia="宋体"/>
          <w:color w:val="000000" w:themeColor="text1"/>
          <w:highlight w:val="none"/>
        </w:rPr>
        <w:t xml:space="preserve">  磋商响应文件的形式和效力</w:t>
      </w:r>
      <w:bookmarkEnd w:id="126"/>
      <w:bookmarkEnd w:id="127"/>
      <w:bookmarkEnd w:id="128"/>
    </w:p>
    <w:p w14:paraId="1EB74583">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3.1.1   磋商响应文件形式：电子磋商响应文件（包括“电子加密磋商响应文件”和“备份磋商响应文件”，“电子加密磋商响应文件”和“备份磋商响应文件”在磋商响应文件编制完成后同时生成）。</w:t>
      </w:r>
    </w:p>
    <w:p w14:paraId="615FC035">
      <w:pPr>
        <w:spacing w:line="360" w:lineRule="auto"/>
        <w:ind w:left="960" w:hanging="960" w:hangingChars="4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3.1.2   磋商响应文件的效力：“电子加密磋商响应文件”和“备份磋商响应文件”具有同等效力，数据电文内容应完全一致。</w:t>
      </w:r>
    </w:p>
    <w:p w14:paraId="55A96BAF">
      <w:pPr>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3.1.3   ▲电子加密磋商响应文件按时解密成功的，备份磋商响应文件自动失效；电子加密磋商响应文件解密失败，按采购文件规定提交备份磋商响应文件且有效的，以备份磋商响应文件为准；电子加密磋商响应文件解密失败，又未提交备份磋商响应文件，视同放弃投标。</w:t>
      </w:r>
    </w:p>
    <w:p w14:paraId="466CA783">
      <w:pPr>
        <w:pStyle w:val="258"/>
        <w:rPr>
          <w:rFonts w:ascii="宋体" w:eastAsia="宋体"/>
          <w:color w:val="000000" w:themeColor="text1"/>
          <w:highlight w:val="none"/>
        </w:rPr>
      </w:pPr>
      <w:bookmarkStart w:id="129" w:name="_Toc80973253"/>
      <w:bookmarkStart w:id="130" w:name="_Toc531358998"/>
      <w:bookmarkStart w:id="131" w:name="_Toc530551843"/>
      <w:r>
        <w:rPr>
          <w:rFonts w:hint="eastAsia" w:ascii="宋体" w:eastAsia="宋体"/>
          <w:color w:val="000000" w:themeColor="text1"/>
          <w:highlight w:val="none"/>
        </w:rPr>
        <w:t>3.2     在线磋商响应（电子投标）说明</w:t>
      </w:r>
      <w:bookmarkEnd w:id="129"/>
    </w:p>
    <w:p w14:paraId="6EA4F58E">
      <w:pPr>
        <w:wordWrap w:val="0"/>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3.2.1   本项目通过政府采购云平台实行电子磋商，应按照本项目磋商文件和政府采购云平台的要求编制；供应商在使用系统进行磋商的过程中遇到涉及平台使用的任何问题，可致电政府采购云平台技术支持热线咨询，联系方式：400-881-7190。</w:t>
      </w:r>
    </w:p>
    <w:p w14:paraId="1D74347A">
      <w:pPr>
        <w:wordWrap w:val="0"/>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3.2.2   标前准备：各供应商应在开标前确保成为浙江省政府采购网正式注册入库供应商，并完成CA数字证书办理（办理流程详见电子投标工具链接：</w:t>
      </w:r>
      <w:r>
        <w:rPr>
          <w:color w:val="000000" w:themeColor="text1"/>
          <w:highlight w:val="none"/>
        </w:rPr>
        <w:fldChar w:fldCharType="begin"/>
      </w:r>
      <w:r>
        <w:rPr>
          <w:color w:val="000000" w:themeColor="text1"/>
          <w:highlight w:val="none"/>
        </w:rPr>
        <w:instrText xml:space="preserve"> HYPERLINK "http://zfcg.czt.zj.gov.cn/bidClientTemplate/2019-05-27/12945.html" </w:instrText>
      </w:r>
      <w:r>
        <w:rPr>
          <w:color w:val="000000" w:themeColor="text1"/>
          <w:highlight w:val="none"/>
        </w:rPr>
        <w:fldChar w:fldCharType="separate"/>
      </w:r>
      <w:r>
        <w:rPr>
          <w:rFonts w:hint="eastAsia" w:ascii="宋体" w:hAnsi="宋体" w:cs="宋体"/>
          <w:color w:val="000000" w:themeColor="text1"/>
          <w:sz w:val="24"/>
          <w:szCs w:val="24"/>
          <w:highlight w:val="none"/>
        </w:rPr>
        <w:t>http://zfcg.czt.zj.gov.cn/bidClientTemplate/2019-05-27/12945.html</w:t>
      </w:r>
      <w:r>
        <w:rPr>
          <w:rFonts w:hint="eastAsia" w:ascii="宋体" w:hAnsi="宋体" w:cs="宋体"/>
          <w:color w:val="000000" w:themeColor="text1"/>
          <w:sz w:val="24"/>
          <w:szCs w:val="24"/>
          <w:highlight w:val="none"/>
        </w:rPr>
        <w:fldChar w:fldCharType="end"/>
      </w:r>
      <w:r>
        <w:rPr>
          <w:rFonts w:hint="eastAsia" w:ascii="宋体" w:hAnsi="宋体" w:cs="宋体"/>
          <w:color w:val="000000" w:themeColor="text1"/>
          <w:sz w:val="24"/>
          <w:szCs w:val="24"/>
          <w:highlight w:val="none"/>
        </w:rPr>
        <w:t>）。因未注册入库、未办理CA数字证书等原因造成无法磋商或磋商失败等后果由供应商自行承担。</w:t>
      </w:r>
    </w:p>
    <w:p w14:paraId="07ECE6BA">
      <w:pPr>
        <w:wordWrap w:val="0"/>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3.2.3   磋商响应文件制作：供应商通过政府采购云平台电子投标工具制作磋商响应文件，电子投标工具请供应商自行前往浙江省政府采购网下载并安装（下载网址：http://</w:t>
      </w:r>
      <w:r>
        <w:rPr>
          <w:color w:val="000000" w:themeColor="text1"/>
          <w:highlight w:val="none"/>
        </w:rPr>
        <w:fldChar w:fldCharType="begin"/>
      </w:r>
      <w:r>
        <w:rPr>
          <w:color w:val="000000" w:themeColor="text1"/>
          <w:highlight w:val="none"/>
        </w:rPr>
        <w:instrText xml:space="preserve"> HYPERLINK "http://zfcg.czt.zj.gov.cn/bidClientTemplate/2019-09-24/12975.html/" </w:instrText>
      </w:r>
      <w:r>
        <w:rPr>
          <w:color w:val="000000" w:themeColor="text1"/>
          <w:highlight w:val="none"/>
        </w:rPr>
        <w:fldChar w:fldCharType="separate"/>
      </w:r>
      <w:r>
        <w:rPr>
          <w:rFonts w:hint="eastAsia" w:ascii="宋体" w:hAnsi="宋体" w:cs="宋体"/>
          <w:color w:val="000000" w:themeColor="text1"/>
          <w:sz w:val="24"/>
          <w:szCs w:val="24"/>
          <w:highlight w:val="none"/>
        </w:rPr>
        <w:t>zfcg.czt.zj.gov.cn/bidClientTemplate/2019-09-24/12975.html</w:t>
      </w:r>
      <w:r>
        <w:rPr>
          <w:rFonts w:hint="eastAsia" w:ascii="宋体" w:hAnsi="宋体" w:cs="宋体"/>
          <w:color w:val="000000" w:themeColor="text1"/>
          <w:sz w:val="24"/>
          <w:szCs w:val="24"/>
          <w:highlight w:val="none"/>
        </w:rPr>
        <w:fldChar w:fldCharType="end"/>
      </w:r>
      <w:r>
        <w:rPr>
          <w:rFonts w:hint="eastAsia" w:ascii="宋体" w:hAnsi="宋体" w:cs="宋体"/>
          <w:color w:val="000000" w:themeColor="text1"/>
          <w:sz w:val="24"/>
          <w:szCs w:val="24"/>
          <w:highlight w:val="none"/>
        </w:rPr>
        <w:t>），电子投标具体流程文档详见网址：</w:t>
      </w:r>
      <w:r>
        <w:rPr>
          <w:color w:val="000000" w:themeColor="text1"/>
          <w:highlight w:val="none"/>
        </w:rPr>
        <w:fldChar w:fldCharType="begin"/>
      </w:r>
      <w:r>
        <w:rPr>
          <w:color w:val="000000" w:themeColor="text1"/>
          <w:highlight w:val="none"/>
        </w:rPr>
        <w:instrText xml:space="preserve"> HYPERLINK "https://service.zcygov.cn/" \l "/knowledges/CW1EtGwBFdiHxlNd6I3m/6IMVAG0BFdiHxlNdQ8Na" </w:instrText>
      </w:r>
      <w:r>
        <w:rPr>
          <w:color w:val="000000" w:themeColor="text1"/>
          <w:highlight w:val="none"/>
        </w:rPr>
        <w:fldChar w:fldCharType="separate"/>
      </w:r>
      <w:r>
        <w:rPr>
          <w:rFonts w:hint="eastAsia" w:ascii="宋体" w:hAnsi="宋体" w:cs="宋体"/>
          <w:color w:val="000000" w:themeColor="text1"/>
          <w:sz w:val="24"/>
          <w:szCs w:val="24"/>
          <w:highlight w:val="none"/>
        </w:rPr>
        <w:t>https://se</w:t>
      </w:r>
      <w:bookmarkStart w:id="132" w:name="_Hlt34897594"/>
      <w:r>
        <w:rPr>
          <w:rFonts w:hint="eastAsia" w:ascii="宋体" w:hAnsi="宋体" w:cs="宋体"/>
          <w:color w:val="000000" w:themeColor="text1"/>
          <w:sz w:val="24"/>
          <w:szCs w:val="24"/>
          <w:highlight w:val="none"/>
        </w:rPr>
        <w:t>r</w:t>
      </w:r>
      <w:bookmarkEnd w:id="132"/>
      <w:r>
        <w:rPr>
          <w:rFonts w:hint="eastAsia" w:ascii="宋体" w:hAnsi="宋体" w:cs="宋体"/>
          <w:color w:val="000000" w:themeColor="text1"/>
          <w:sz w:val="24"/>
          <w:szCs w:val="24"/>
          <w:highlight w:val="none"/>
        </w:rPr>
        <w:t>vice.zcygov.cn/#/knowledges/CW1EtGwBFdiHxlNd6I3m/6IMVAG0BFdiHxlNdQ8Na</w:t>
      </w:r>
      <w:r>
        <w:rPr>
          <w:rFonts w:hint="eastAsia" w:ascii="宋体" w:hAnsi="宋体" w:cs="宋体"/>
          <w:color w:val="000000" w:themeColor="text1"/>
          <w:sz w:val="24"/>
          <w:szCs w:val="24"/>
          <w:highlight w:val="none"/>
        </w:rPr>
        <w:fldChar w:fldCharType="end"/>
      </w:r>
      <w:r>
        <w:rPr>
          <w:rFonts w:hint="eastAsia" w:ascii="宋体" w:hAnsi="宋体" w:cs="宋体"/>
          <w:color w:val="000000" w:themeColor="text1"/>
          <w:sz w:val="24"/>
          <w:szCs w:val="24"/>
          <w:highlight w:val="none"/>
        </w:rPr>
        <w:t>。</w:t>
      </w:r>
    </w:p>
    <w:p w14:paraId="03C64053">
      <w:pPr>
        <w:wordWrap w:val="0"/>
        <w:spacing w:line="360" w:lineRule="auto"/>
        <w:ind w:left="960" w:hanging="960" w:hangingChars="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3.2.4   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4EF34707">
      <w:pPr>
        <w:pStyle w:val="258"/>
        <w:rPr>
          <w:rFonts w:ascii="宋体" w:eastAsia="宋体"/>
          <w:color w:val="000000" w:themeColor="text1"/>
          <w:highlight w:val="none"/>
        </w:rPr>
      </w:pPr>
      <w:bookmarkStart w:id="133" w:name="_Toc80973254"/>
      <w:r>
        <w:rPr>
          <w:rFonts w:hint="eastAsia" w:ascii="宋体" w:eastAsia="宋体"/>
          <w:color w:val="000000" w:themeColor="text1"/>
          <w:highlight w:val="none"/>
        </w:rPr>
        <w:t>3.3     磋商响应文件组成</w:t>
      </w:r>
      <w:bookmarkEnd w:id="130"/>
      <w:bookmarkEnd w:id="131"/>
      <w:bookmarkEnd w:id="133"/>
    </w:p>
    <w:p w14:paraId="77AD83CA">
      <w:pPr>
        <w:spacing w:line="360" w:lineRule="auto"/>
        <w:ind w:left="840" w:leftChars="400" w:firstLine="120" w:firstLineChars="50"/>
        <w:rPr>
          <w:rFonts w:ascii="宋体" w:hAnsi="宋体" w:cs="宋体"/>
          <w:color w:val="000000" w:themeColor="text1"/>
          <w:sz w:val="24"/>
          <w:highlight w:val="none"/>
        </w:rPr>
      </w:pPr>
      <w:r>
        <w:rPr>
          <w:rFonts w:hint="eastAsia" w:ascii="宋体" w:hAnsi="宋体" w:cs="宋体"/>
          <w:color w:val="000000" w:themeColor="text1"/>
          <w:sz w:val="24"/>
          <w:highlight w:val="none"/>
        </w:rPr>
        <w:t>磋商响应文件由资格审查文件、资信商务及技术文件、报价文件三部分组成。</w:t>
      </w:r>
    </w:p>
    <w:p w14:paraId="1492E05C">
      <w:pPr>
        <w:pStyle w:val="258"/>
        <w:rPr>
          <w:rFonts w:ascii="宋体" w:eastAsia="宋体"/>
          <w:color w:val="000000" w:themeColor="text1"/>
          <w:highlight w:val="none"/>
        </w:rPr>
      </w:pPr>
      <w:bookmarkStart w:id="134" w:name="_Toc530551844"/>
      <w:bookmarkStart w:id="135" w:name="_Toc531358999"/>
      <w:bookmarkStart w:id="136" w:name="_Toc80973255"/>
      <w:r>
        <w:rPr>
          <w:rFonts w:hint="eastAsia" w:ascii="宋体" w:eastAsia="宋体"/>
          <w:color w:val="000000" w:themeColor="text1"/>
          <w:highlight w:val="none"/>
        </w:rPr>
        <w:t>3.4     资格审查文件的组成</w:t>
      </w:r>
      <w:bookmarkEnd w:id="134"/>
      <w:bookmarkEnd w:id="135"/>
      <w:bookmarkEnd w:id="136"/>
    </w:p>
    <w:p w14:paraId="25EE780B">
      <w:pPr>
        <w:spacing w:line="360" w:lineRule="auto"/>
        <w:ind w:left="840" w:leftChars="400" w:firstLine="120" w:firstLineChars="50"/>
        <w:rPr>
          <w:rFonts w:ascii="宋体" w:hAnsi="宋体" w:cs="宋体"/>
          <w:color w:val="000000" w:themeColor="text1"/>
          <w:sz w:val="24"/>
          <w:highlight w:val="none"/>
        </w:rPr>
      </w:pPr>
      <w:bookmarkStart w:id="137" w:name="_Toc80973256"/>
      <w:bookmarkStart w:id="138" w:name="_Toc531359000"/>
      <w:bookmarkStart w:id="139" w:name="_Toc530551845"/>
      <w:r>
        <w:rPr>
          <w:rFonts w:hint="eastAsia" w:ascii="宋体" w:hAnsi="宋体" w:cs="宋体"/>
          <w:color w:val="000000" w:themeColor="text1"/>
          <w:sz w:val="24"/>
          <w:highlight w:val="none"/>
        </w:rPr>
        <w:t>▲1. 有效的营业执照电子文档；</w:t>
      </w:r>
    </w:p>
    <w:p w14:paraId="6C276887">
      <w:pPr>
        <w:spacing w:line="360" w:lineRule="auto"/>
        <w:ind w:left="840" w:leftChars="400" w:firstLine="120" w:firstLineChars="50"/>
        <w:rPr>
          <w:rFonts w:ascii="宋体" w:hAnsi="宋体" w:cs="宋体"/>
          <w:color w:val="000000" w:themeColor="text1"/>
          <w:sz w:val="24"/>
          <w:highlight w:val="none"/>
        </w:rPr>
      </w:pPr>
      <w:r>
        <w:rPr>
          <w:rFonts w:hint="eastAsia" w:ascii="宋体" w:hAnsi="宋体" w:cs="宋体"/>
          <w:color w:val="000000" w:themeColor="text1"/>
          <w:sz w:val="24"/>
          <w:highlight w:val="none"/>
        </w:rPr>
        <w:t>▲2. 负责人身份证电子文档。</w:t>
      </w:r>
    </w:p>
    <w:p w14:paraId="7E6EFF93">
      <w:pPr>
        <w:spacing w:line="360" w:lineRule="auto"/>
        <w:ind w:left="840" w:leftChars="400" w:firstLine="120" w:firstLineChars="50"/>
        <w:rPr>
          <w:rFonts w:ascii="宋体" w:hAnsi="宋体" w:cs="宋体"/>
          <w:color w:val="000000" w:themeColor="text1"/>
          <w:sz w:val="24"/>
          <w:highlight w:val="none"/>
        </w:rPr>
      </w:pPr>
      <w:r>
        <w:rPr>
          <w:rFonts w:hint="eastAsia" w:ascii="宋体" w:hAnsi="宋体" w:cs="宋体"/>
          <w:color w:val="000000" w:themeColor="text1"/>
          <w:sz w:val="24"/>
          <w:highlight w:val="none"/>
        </w:rPr>
        <w:t>▲3. 若有委托代理人的，则还应当提供授权委托书及委托代理人的身份证电子文档；</w:t>
      </w:r>
    </w:p>
    <w:p w14:paraId="180036D8">
      <w:pPr>
        <w:spacing w:line="360" w:lineRule="auto"/>
        <w:ind w:left="840" w:leftChars="400" w:firstLine="120" w:firstLineChars="50"/>
        <w:rPr>
          <w:rFonts w:ascii="宋体" w:hAnsi="宋体" w:cs="宋体"/>
          <w:color w:val="000000" w:themeColor="text1"/>
          <w:sz w:val="24"/>
          <w:highlight w:val="none"/>
        </w:rPr>
      </w:pPr>
      <w:r>
        <w:rPr>
          <w:rFonts w:hint="eastAsia" w:ascii="宋体" w:hAnsi="宋体" w:cs="宋体"/>
          <w:color w:val="000000" w:themeColor="text1"/>
          <w:sz w:val="24"/>
          <w:highlight w:val="none"/>
        </w:rPr>
        <w:t>▲4. 具有良好的财务会计制度、依法缴纳税收和社会保障资金的承诺函；</w:t>
      </w:r>
    </w:p>
    <w:p w14:paraId="7BC8351C">
      <w:pPr>
        <w:spacing w:line="360" w:lineRule="auto"/>
        <w:ind w:left="840" w:leftChars="400" w:firstLine="120" w:firstLineChars="50"/>
        <w:rPr>
          <w:rFonts w:ascii="宋体" w:hAnsi="宋体" w:cs="宋体"/>
          <w:color w:val="000000" w:themeColor="text1"/>
          <w:sz w:val="24"/>
          <w:highlight w:val="none"/>
        </w:rPr>
      </w:pPr>
      <w:r>
        <w:rPr>
          <w:rFonts w:hint="eastAsia" w:ascii="宋体" w:hAnsi="宋体" w:cs="宋体"/>
          <w:color w:val="000000" w:themeColor="text1"/>
          <w:sz w:val="24"/>
          <w:highlight w:val="none"/>
        </w:rPr>
        <w:t>▲5. 具有履行合同所必需设备和专业技术能力的承诺函；</w:t>
      </w:r>
    </w:p>
    <w:p w14:paraId="4FA67E36">
      <w:pPr>
        <w:spacing w:line="360" w:lineRule="auto"/>
        <w:ind w:left="840" w:leftChars="400" w:firstLine="120" w:firstLineChars="50"/>
        <w:rPr>
          <w:rFonts w:ascii="宋体" w:hAnsi="宋体" w:cs="宋体"/>
          <w:color w:val="000000" w:themeColor="text1"/>
          <w:sz w:val="24"/>
          <w:highlight w:val="none"/>
        </w:rPr>
      </w:pPr>
      <w:r>
        <w:rPr>
          <w:rFonts w:hint="eastAsia" w:ascii="宋体" w:hAnsi="宋体" w:cs="宋体"/>
          <w:color w:val="000000" w:themeColor="text1"/>
          <w:sz w:val="24"/>
          <w:highlight w:val="none"/>
        </w:rPr>
        <w:t>▲6. 无重大违法记录声明书；</w:t>
      </w:r>
    </w:p>
    <w:p w14:paraId="06CC6A55">
      <w:pPr>
        <w:spacing w:line="360" w:lineRule="auto"/>
        <w:ind w:left="840" w:leftChars="400" w:firstLine="120" w:firstLineChars="50"/>
        <w:rPr>
          <w:rFonts w:ascii="宋体" w:hAnsi="宋体" w:cs="宋体"/>
          <w:color w:val="000000" w:themeColor="text1"/>
          <w:sz w:val="24"/>
          <w:highlight w:val="none"/>
        </w:rPr>
      </w:pPr>
      <w:r>
        <w:rPr>
          <w:rFonts w:hint="eastAsia" w:ascii="宋体" w:hAnsi="宋体" w:cs="宋体"/>
          <w:color w:val="000000" w:themeColor="text1"/>
          <w:sz w:val="24"/>
          <w:highlight w:val="none"/>
        </w:rPr>
        <w:t>▲7.</w:t>
      </w:r>
      <w:r>
        <w:rPr>
          <w:rFonts w:hint="eastAsia" w:ascii="宋体" w:hAnsi="宋体" w:cs="宋体"/>
          <w:bCs/>
          <w:color w:val="000000" w:themeColor="text1"/>
          <w:sz w:val="24"/>
          <w:szCs w:val="24"/>
          <w:highlight w:val="none"/>
        </w:rPr>
        <w:t xml:space="preserve"> 联合体协议（若是</w:t>
      </w:r>
      <w:r>
        <w:rPr>
          <w:rFonts w:ascii="宋体" w:hAnsi="宋体" w:cs="宋体"/>
          <w:bCs/>
          <w:color w:val="000000" w:themeColor="text1"/>
          <w:sz w:val="24"/>
          <w:szCs w:val="24"/>
          <w:highlight w:val="none"/>
        </w:rPr>
        <w:t>联合体</w:t>
      </w:r>
      <w:r>
        <w:rPr>
          <w:rFonts w:hint="eastAsia" w:ascii="宋体" w:hAnsi="宋体" w:cs="宋体"/>
          <w:bCs/>
          <w:color w:val="000000" w:themeColor="text1"/>
          <w:sz w:val="24"/>
          <w:szCs w:val="24"/>
          <w:highlight w:val="none"/>
        </w:rPr>
        <w:t>参与磋商</w:t>
      </w:r>
      <w:r>
        <w:rPr>
          <w:rFonts w:ascii="宋体" w:hAnsi="宋体" w:cs="宋体"/>
          <w:bCs/>
          <w:color w:val="000000" w:themeColor="text1"/>
          <w:sz w:val="24"/>
          <w:szCs w:val="24"/>
          <w:highlight w:val="none"/>
        </w:rPr>
        <w:t>的，须提供本协议</w:t>
      </w:r>
      <w:r>
        <w:rPr>
          <w:rFonts w:hint="eastAsia" w:ascii="宋体" w:hAnsi="宋体" w:cs="宋体"/>
          <w:bCs/>
          <w:color w:val="000000" w:themeColor="text1"/>
          <w:sz w:val="24"/>
          <w:szCs w:val="24"/>
          <w:highlight w:val="none"/>
        </w:rPr>
        <w:t>）</w:t>
      </w:r>
    </w:p>
    <w:p w14:paraId="44886A61">
      <w:pPr>
        <w:spacing w:line="360" w:lineRule="auto"/>
        <w:ind w:left="840" w:leftChars="400" w:firstLine="120" w:firstLineChars="50"/>
        <w:rPr>
          <w:rFonts w:ascii="宋体" w:hAnsi="宋体" w:cs="宋体"/>
          <w:color w:val="000000" w:themeColor="text1"/>
          <w:sz w:val="24"/>
          <w:highlight w:val="none"/>
        </w:rPr>
      </w:pPr>
      <w:r>
        <w:rPr>
          <w:rFonts w:hint="eastAsia" w:ascii="宋体" w:hAnsi="宋体" w:cs="宋体"/>
          <w:color w:val="000000" w:themeColor="text1"/>
          <w:sz w:val="24"/>
          <w:highlight w:val="none"/>
        </w:rPr>
        <w:t>▲8.小企业声明函或监狱企业声明函或残疾人福利性企业声明函；</w:t>
      </w:r>
    </w:p>
    <w:p w14:paraId="73A25869">
      <w:pPr>
        <w:spacing w:line="360" w:lineRule="auto"/>
        <w:ind w:left="840" w:leftChars="400" w:firstLine="120" w:firstLineChars="50"/>
        <w:rPr>
          <w:rFonts w:ascii="宋体" w:hAnsi="宋体" w:cs="宋体"/>
          <w:color w:val="000000" w:themeColor="text1"/>
          <w:sz w:val="24"/>
          <w:highlight w:val="none"/>
        </w:rPr>
      </w:pPr>
      <w:r>
        <w:rPr>
          <w:rFonts w:hint="eastAsia" w:ascii="宋体" w:hAnsi="宋体" w:cs="宋体"/>
          <w:color w:val="000000" w:themeColor="text1"/>
          <w:sz w:val="24"/>
          <w:highlight w:val="none"/>
        </w:rPr>
        <w:t>9.其他。</w:t>
      </w:r>
    </w:p>
    <w:p w14:paraId="5C62B8AD">
      <w:pPr>
        <w:spacing w:line="360" w:lineRule="auto"/>
        <w:ind w:left="840" w:leftChars="400" w:firstLine="120" w:firstLineChars="50"/>
        <w:rPr>
          <w:rFonts w:ascii="宋体" w:hAnsi="宋体" w:cs="宋体"/>
          <w:color w:val="000000" w:themeColor="text1"/>
          <w:sz w:val="24"/>
          <w:highlight w:val="none"/>
        </w:rPr>
      </w:pPr>
      <w:r>
        <w:rPr>
          <w:rFonts w:hint="eastAsia" w:ascii="宋体" w:hAnsi="宋体" w:cs="宋体"/>
          <w:color w:val="000000" w:themeColor="text1"/>
          <w:sz w:val="24"/>
          <w:highlight w:val="none"/>
        </w:rPr>
        <w:t>注：编制格式要求见第五章投标文件格式，无格式的自行设计。</w:t>
      </w:r>
    </w:p>
    <w:p w14:paraId="58DDB380">
      <w:pPr>
        <w:pStyle w:val="258"/>
        <w:rPr>
          <w:rFonts w:ascii="宋体" w:eastAsia="宋体"/>
          <w:color w:val="000000" w:themeColor="text1"/>
          <w:highlight w:val="none"/>
        </w:rPr>
      </w:pPr>
      <w:r>
        <w:rPr>
          <w:rFonts w:hint="eastAsia" w:ascii="宋体" w:eastAsia="宋体"/>
          <w:color w:val="000000" w:themeColor="text1"/>
          <w:highlight w:val="none"/>
        </w:rPr>
        <w:t>3.5     资信商务及技术文件的组成</w:t>
      </w:r>
      <w:bookmarkEnd w:id="137"/>
      <w:bookmarkEnd w:id="138"/>
      <w:bookmarkEnd w:id="139"/>
    </w:p>
    <w:p w14:paraId="411E1CD8">
      <w:pPr>
        <w:spacing w:line="360" w:lineRule="auto"/>
        <w:ind w:left="840" w:leftChars="400" w:firstLine="120" w:firstLineChars="50"/>
        <w:rPr>
          <w:rFonts w:hint="eastAsia" w:ascii="宋体" w:hAnsi="宋体" w:cs="宋体"/>
          <w:color w:val="000000" w:themeColor="text1"/>
          <w:sz w:val="24"/>
          <w:highlight w:val="none"/>
        </w:rPr>
      </w:pPr>
      <w:bookmarkStart w:id="140" w:name="_Toc80973257"/>
      <w:bookmarkStart w:id="141" w:name="_Toc530551846"/>
      <w:bookmarkStart w:id="142" w:name="_Toc531359001"/>
      <w:r>
        <w:rPr>
          <w:rFonts w:hint="eastAsia" w:ascii="宋体" w:hAnsi="宋体" w:cs="宋体"/>
          <w:color w:val="000000" w:themeColor="text1"/>
          <w:sz w:val="24"/>
          <w:highlight w:val="none"/>
        </w:rPr>
        <w:t>1）磋商响应函</w:t>
      </w:r>
    </w:p>
    <w:p w14:paraId="1F2B32E0">
      <w:pPr>
        <w:spacing w:line="360" w:lineRule="auto"/>
        <w:ind w:left="840" w:leftChars="400" w:firstLine="120" w:firstLineChars="50"/>
        <w:rPr>
          <w:rFonts w:hint="eastAsia" w:ascii="宋体" w:hAnsi="宋体" w:cs="宋体"/>
          <w:color w:val="000000" w:themeColor="text1"/>
          <w:sz w:val="24"/>
          <w:highlight w:val="none"/>
        </w:rPr>
      </w:pPr>
      <w:r>
        <w:rPr>
          <w:rFonts w:hint="eastAsia" w:ascii="宋体" w:hAnsi="宋体" w:cs="宋体"/>
          <w:color w:val="000000" w:themeColor="text1"/>
          <w:sz w:val="24"/>
          <w:highlight w:val="none"/>
        </w:rPr>
        <w:t>（2）类似业绩（如有请提供）</w:t>
      </w:r>
    </w:p>
    <w:p w14:paraId="5AFB0F54">
      <w:pPr>
        <w:spacing w:line="360" w:lineRule="auto"/>
        <w:ind w:left="840" w:leftChars="400" w:firstLine="120" w:firstLineChars="50"/>
        <w:rPr>
          <w:rFonts w:hint="eastAsia" w:ascii="宋体" w:hAnsi="宋体" w:cs="宋体"/>
          <w:color w:val="000000" w:themeColor="text1"/>
          <w:sz w:val="24"/>
          <w:highlight w:val="none"/>
        </w:rPr>
      </w:pPr>
      <w:r>
        <w:rPr>
          <w:rFonts w:hint="eastAsia" w:ascii="宋体" w:hAnsi="宋体" w:cs="宋体"/>
          <w:color w:val="000000" w:themeColor="text1"/>
          <w:sz w:val="24"/>
          <w:highlight w:val="none"/>
        </w:rPr>
        <w:t>（3）商务响应表格式</w:t>
      </w:r>
    </w:p>
    <w:p w14:paraId="06FE799C">
      <w:pPr>
        <w:spacing w:line="360" w:lineRule="auto"/>
        <w:ind w:left="840" w:leftChars="400" w:firstLine="120" w:firstLineChars="50"/>
        <w:rPr>
          <w:rFonts w:hint="eastAsia" w:ascii="宋体" w:hAnsi="宋体" w:cs="宋体"/>
          <w:color w:val="000000" w:themeColor="text1"/>
          <w:sz w:val="24"/>
          <w:highlight w:val="none"/>
        </w:rPr>
      </w:pPr>
      <w:r>
        <w:rPr>
          <w:rFonts w:hint="eastAsia" w:ascii="宋体" w:hAnsi="宋体" w:cs="宋体"/>
          <w:color w:val="000000" w:themeColor="text1"/>
          <w:sz w:val="24"/>
          <w:highlight w:val="none"/>
        </w:rPr>
        <w:t>（4）实施方案</w:t>
      </w:r>
    </w:p>
    <w:p w14:paraId="6078258E">
      <w:pPr>
        <w:spacing w:line="360" w:lineRule="auto"/>
        <w:ind w:left="840" w:leftChars="400" w:firstLine="120" w:firstLineChars="50"/>
        <w:rPr>
          <w:rFonts w:hint="eastAsia" w:ascii="宋体" w:hAnsi="宋体" w:cs="宋体"/>
          <w:color w:val="000000" w:themeColor="text1"/>
          <w:sz w:val="24"/>
          <w:highlight w:val="none"/>
        </w:rPr>
      </w:pPr>
      <w:r>
        <w:rPr>
          <w:rFonts w:hint="eastAsia" w:ascii="宋体" w:hAnsi="宋体" w:cs="宋体"/>
          <w:color w:val="000000" w:themeColor="text1"/>
          <w:sz w:val="24"/>
          <w:highlight w:val="none"/>
        </w:rPr>
        <w:t>（5）质量控制措施</w:t>
      </w:r>
    </w:p>
    <w:p w14:paraId="6D0029F4">
      <w:pPr>
        <w:spacing w:line="360" w:lineRule="auto"/>
        <w:ind w:left="840" w:leftChars="400" w:firstLine="120" w:firstLineChars="50"/>
        <w:rPr>
          <w:rFonts w:hint="eastAsia" w:ascii="宋体" w:hAnsi="宋体" w:cs="宋体"/>
          <w:color w:val="000000" w:themeColor="text1"/>
          <w:sz w:val="24"/>
          <w:highlight w:val="none"/>
        </w:rPr>
      </w:pPr>
      <w:r>
        <w:rPr>
          <w:rFonts w:hint="eastAsia" w:ascii="宋体" w:hAnsi="宋体" w:cs="宋体"/>
          <w:color w:val="000000" w:themeColor="text1"/>
          <w:sz w:val="24"/>
          <w:highlight w:val="none"/>
        </w:rPr>
        <w:t>（6）人员配置</w:t>
      </w:r>
    </w:p>
    <w:p w14:paraId="14FA3232">
      <w:pPr>
        <w:spacing w:line="360" w:lineRule="auto"/>
        <w:ind w:left="840" w:leftChars="400" w:firstLine="120" w:firstLineChars="50"/>
        <w:rPr>
          <w:rFonts w:hint="eastAsia" w:ascii="宋体" w:hAnsi="宋体" w:cs="宋体"/>
          <w:color w:val="000000" w:themeColor="text1"/>
          <w:sz w:val="24"/>
          <w:highlight w:val="none"/>
        </w:rPr>
      </w:pPr>
      <w:r>
        <w:rPr>
          <w:rFonts w:hint="eastAsia" w:ascii="宋体" w:hAnsi="宋体" w:cs="宋体"/>
          <w:color w:val="000000" w:themeColor="text1"/>
          <w:sz w:val="24"/>
          <w:highlight w:val="none"/>
        </w:rPr>
        <w:t>（7）设备配置方案</w:t>
      </w:r>
    </w:p>
    <w:p w14:paraId="05007507">
      <w:pPr>
        <w:spacing w:line="360" w:lineRule="auto"/>
        <w:ind w:left="840" w:leftChars="400" w:firstLine="120" w:firstLineChars="50"/>
        <w:rPr>
          <w:rFonts w:hint="eastAsia" w:ascii="宋体" w:hAnsi="宋体" w:cs="宋体"/>
          <w:color w:val="000000" w:themeColor="text1"/>
          <w:sz w:val="24"/>
          <w:highlight w:val="none"/>
        </w:rPr>
      </w:pPr>
      <w:r>
        <w:rPr>
          <w:rFonts w:hint="eastAsia" w:ascii="宋体" w:hAnsi="宋体" w:cs="宋体"/>
          <w:color w:val="000000" w:themeColor="text1"/>
          <w:sz w:val="24"/>
          <w:highlight w:val="none"/>
        </w:rPr>
        <w:t>（8）项目进度安排</w:t>
      </w:r>
    </w:p>
    <w:p w14:paraId="5DE53AAF">
      <w:pPr>
        <w:spacing w:line="360" w:lineRule="auto"/>
        <w:ind w:left="840" w:leftChars="400" w:firstLine="120" w:firstLineChars="50"/>
        <w:rPr>
          <w:rFonts w:hint="eastAsia" w:ascii="宋体" w:hAnsi="宋体" w:cs="宋体"/>
          <w:color w:val="000000" w:themeColor="text1"/>
          <w:sz w:val="24"/>
          <w:highlight w:val="none"/>
        </w:rPr>
      </w:pPr>
      <w:r>
        <w:rPr>
          <w:rFonts w:hint="eastAsia" w:ascii="宋体" w:hAnsi="宋体" w:cs="宋体"/>
          <w:color w:val="000000" w:themeColor="text1"/>
          <w:sz w:val="24"/>
          <w:highlight w:val="none"/>
        </w:rPr>
        <w:t>（9）安全生产、文明作业、环保措施方案</w:t>
      </w:r>
    </w:p>
    <w:p w14:paraId="7C0167A6">
      <w:pPr>
        <w:spacing w:line="360" w:lineRule="auto"/>
        <w:ind w:left="840" w:leftChars="400" w:firstLine="120" w:firstLineChars="50"/>
        <w:rPr>
          <w:rFonts w:hint="eastAsia" w:ascii="宋体" w:hAnsi="宋体" w:cs="宋体"/>
          <w:color w:val="000000" w:themeColor="text1"/>
          <w:sz w:val="24"/>
          <w:highlight w:val="none"/>
        </w:rPr>
      </w:pPr>
      <w:r>
        <w:rPr>
          <w:rFonts w:hint="eastAsia" w:ascii="宋体" w:hAnsi="宋体" w:cs="宋体"/>
          <w:color w:val="000000" w:themeColor="text1"/>
          <w:sz w:val="24"/>
          <w:highlight w:val="none"/>
        </w:rPr>
        <w:t>（10）突发事件应急处理能力</w:t>
      </w:r>
    </w:p>
    <w:p w14:paraId="4381F10E">
      <w:pPr>
        <w:spacing w:line="360" w:lineRule="auto"/>
        <w:ind w:left="840" w:leftChars="400" w:firstLine="120" w:firstLineChars="50"/>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rPr>
        <w:t>（11）服务</w:t>
      </w:r>
      <w:r>
        <w:rPr>
          <w:rFonts w:hint="eastAsia" w:ascii="宋体" w:hAnsi="宋体" w:cs="宋体"/>
          <w:color w:val="000000" w:themeColor="text1"/>
          <w:sz w:val="24"/>
          <w:highlight w:val="none"/>
          <w:lang w:eastAsia="zh-CN"/>
        </w:rPr>
        <w:t>承诺</w:t>
      </w:r>
    </w:p>
    <w:p w14:paraId="3691FC43">
      <w:pPr>
        <w:spacing w:line="360" w:lineRule="auto"/>
        <w:ind w:left="840" w:leftChars="400" w:firstLine="120" w:firstLineChars="50"/>
        <w:rPr>
          <w:rFonts w:ascii="宋体" w:hAnsi="宋体" w:cs="宋体"/>
          <w:bCs/>
          <w:color w:val="000000" w:themeColor="text1"/>
          <w:sz w:val="24"/>
          <w:szCs w:val="24"/>
          <w:highlight w:val="none"/>
        </w:rPr>
      </w:pPr>
      <w:r>
        <w:rPr>
          <w:rFonts w:hint="eastAsia" w:ascii="宋体" w:hAnsi="宋体" w:cs="宋体"/>
          <w:color w:val="000000" w:themeColor="text1"/>
          <w:sz w:val="24"/>
          <w:highlight w:val="none"/>
        </w:rPr>
        <w:t>（12）供应商需要说明的其他文件和说明</w:t>
      </w:r>
    </w:p>
    <w:p w14:paraId="3C145455">
      <w:pPr>
        <w:spacing w:line="360" w:lineRule="auto"/>
        <w:ind w:left="840" w:leftChars="400" w:firstLine="120" w:firstLineChars="50"/>
        <w:rPr>
          <w:rFonts w:ascii="宋体" w:hAnsi="宋体" w:cs="宋体"/>
          <w:color w:val="000000" w:themeColor="text1"/>
          <w:sz w:val="24"/>
          <w:highlight w:val="none"/>
        </w:rPr>
      </w:pPr>
      <w:r>
        <w:rPr>
          <w:rFonts w:hint="eastAsia" w:ascii="宋体" w:hAnsi="宋体" w:cs="宋体"/>
          <w:color w:val="000000" w:themeColor="text1"/>
          <w:sz w:val="24"/>
          <w:highlight w:val="none"/>
        </w:rPr>
        <w:t>注:结合“第二章 采购需求”和“第六章 评标办法和细则”进行编制，编制格式要求见第五章磋商响应文件格式，无格式的自行设计。</w:t>
      </w:r>
    </w:p>
    <w:p w14:paraId="1AF37F93">
      <w:pPr>
        <w:pStyle w:val="258"/>
        <w:rPr>
          <w:rFonts w:ascii="宋体" w:eastAsia="宋体"/>
          <w:color w:val="000000" w:themeColor="text1"/>
          <w:highlight w:val="none"/>
        </w:rPr>
      </w:pPr>
      <w:r>
        <w:rPr>
          <w:rFonts w:hint="eastAsia" w:ascii="宋体" w:eastAsia="宋体"/>
          <w:color w:val="000000" w:themeColor="text1"/>
          <w:highlight w:val="none"/>
        </w:rPr>
        <w:t>3.6     报价文件的组成</w:t>
      </w:r>
      <w:bookmarkEnd w:id="140"/>
      <w:bookmarkEnd w:id="141"/>
      <w:bookmarkEnd w:id="142"/>
    </w:p>
    <w:p w14:paraId="005E3903">
      <w:pPr>
        <w:spacing w:line="360" w:lineRule="auto"/>
        <w:ind w:left="840" w:leftChars="400" w:firstLine="120" w:firstLineChars="50"/>
        <w:rPr>
          <w:rFonts w:ascii="宋体" w:hAnsi="宋体" w:cs="宋体"/>
          <w:color w:val="000000" w:themeColor="text1"/>
          <w:sz w:val="24"/>
          <w:highlight w:val="none"/>
        </w:rPr>
      </w:pPr>
      <w:bookmarkStart w:id="143" w:name="_Toc80973258"/>
      <w:bookmarkStart w:id="144" w:name="_Toc530551847"/>
      <w:bookmarkStart w:id="145" w:name="_Toc531359002"/>
      <w:r>
        <w:rPr>
          <w:rFonts w:hint="eastAsia" w:ascii="宋体" w:hAnsi="宋体" w:cs="宋体"/>
          <w:color w:val="000000" w:themeColor="text1"/>
          <w:sz w:val="24"/>
          <w:highlight w:val="none"/>
        </w:rPr>
        <w:t>1.开标一览表；</w:t>
      </w:r>
    </w:p>
    <w:p w14:paraId="157C2CC9">
      <w:pPr>
        <w:spacing w:line="360" w:lineRule="auto"/>
        <w:ind w:left="840" w:leftChars="400" w:firstLine="120" w:firstLineChars="50"/>
        <w:rPr>
          <w:rFonts w:ascii="宋体" w:hAnsi="宋体" w:cs="宋体"/>
          <w:color w:val="000000" w:themeColor="text1"/>
          <w:sz w:val="24"/>
          <w:highlight w:val="none"/>
        </w:rPr>
      </w:pPr>
      <w:r>
        <w:rPr>
          <w:rFonts w:hint="eastAsia" w:ascii="宋体" w:hAnsi="宋体" w:cs="宋体"/>
          <w:color w:val="000000" w:themeColor="text1"/>
          <w:sz w:val="24"/>
          <w:highlight w:val="none"/>
        </w:rPr>
        <w:t>2.报价明细表；</w:t>
      </w:r>
    </w:p>
    <w:p w14:paraId="3D483B0A">
      <w:pPr>
        <w:spacing w:line="360" w:lineRule="auto"/>
        <w:ind w:left="840" w:leftChars="400" w:firstLine="120" w:firstLineChars="50"/>
        <w:rPr>
          <w:rFonts w:ascii="宋体" w:hAnsi="宋体" w:cs="宋体"/>
          <w:color w:val="000000" w:themeColor="text1"/>
          <w:sz w:val="24"/>
          <w:highlight w:val="none"/>
        </w:rPr>
      </w:pPr>
      <w:r>
        <w:rPr>
          <w:rFonts w:hint="eastAsia" w:ascii="宋体" w:hAnsi="宋体" w:cs="宋体"/>
          <w:color w:val="000000" w:themeColor="text1"/>
          <w:sz w:val="24"/>
          <w:highlight w:val="none"/>
        </w:rPr>
        <w:t>注：编制格式要求见第五章 磋商响应文件格式，无格式的自行设计。</w:t>
      </w:r>
    </w:p>
    <w:p w14:paraId="1880C0D5">
      <w:pPr>
        <w:pStyle w:val="43"/>
        <w:spacing w:beforeLines="100" w:afterLines="100"/>
        <w:jc w:val="left"/>
        <w:outlineLvl w:val="1"/>
        <w:rPr>
          <w:rFonts w:ascii="宋体" w:hAnsi="宋体" w:cs="宋体"/>
          <w:color w:val="000000" w:themeColor="text1"/>
          <w:sz w:val="30"/>
          <w:szCs w:val="30"/>
          <w:highlight w:val="none"/>
        </w:rPr>
      </w:pPr>
      <w:r>
        <w:rPr>
          <w:rFonts w:hint="eastAsia" w:ascii="宋体" w:hAnsi="宋体" w:cs="宋体"/>
          <w:color w:val="000000" w:themeColor="text1"/>
          <w:sz w:val="30"/>
          <w:szCs w:val="30"/>
          <w:highlight w:val="none"/>
        </w:rPr>
        <w:t>四    磋商响应文件的编制</w:t>
      </w:r>
      <w:bookmarkEnd w:id="143"/>
      <w:bookmarkEnd w:id="144"/>
      <w:bookmarkEnd w:id="145"/>
    </w:p>
    <w:p w14:paraId="79449FD3">
      <w:pPr>
        <w:pStyle w:val="258"/>
        <w:rPr>
          <w:rFonts w:ascii="宋体" w:eastAsia="宋体"/>
          <w:color w:val="000000" w:themeColor="text1"/>
          <w:highlight w:val="none"/>
        </w:rPr>
      </w:pPr>
      <w:bookmarkStart w:id="146" w:name="_Toc80973259"/>
      <w:bookmarkStart w:id="147" w:name="_Toc530551849"/>
      <w:bookmarkStart w:id="148" w:name="_Toc531359004"/>
      <w:r>
        <w:rPr>
          <w:rFonts w:hint="eastAsia" w:ascii="宋体" w:eastAsia="宋体"/>
          <w:color w:val="000000" w:themeColor="text1"/>
          <w:highlight w:val="none"/>
        </w:rPr>
        <w:t>4.1     磋商响应文件编制</w:t>
      </w:r>
      <w:bookmarkEnd w:id="146"/>
      <w:bookmarkEnd w:id="147"/>
      <w:bookmarkEnd w:id="148"/>
    </w:p>
    <w:p w14:paraId="13566B4E">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4.1.1   ▲本磋商文件中若有多标项的，若参与多标项磋商的，则按每个标项分别独立编制磋商响应文件；</w:t>
      </w:r>
    </w:p>
    <w:p w14:paraId="53A53DFD">
      <w:pPr>
        <w:wordWrap w:val="0"/>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4.1.2   电子磋商响应文件编制请按政府采购云平台供应商项目采购-电子招投标操作指南（网址：</w:t>
      </w:r>
      <w:r>
        <w:rPr>
          <w:color w:val="000000" w:themeColor="text1"/>
          <w:highlight w:val="none"/>
        </w:rPr>
        <w:fldChar w:fldCharType="begin"/>
      </w:r>
      <w:r>
        <w:rPr>
          <w:color w:val="000000" w:themeColor="text1"/>
          <w:highlight w:val="none"/>
        </w:rPr>
        <w:instrText xml:space="preserve"> HYPERLINK "https://service.zcygov.cn/" \l "/knowledges/CW1EtGwBFdiHxlNd6I3m/6IMVAG0BFdiHxlNdQ8Na" </w:instrText>
      </w:r>
      <w:r>
        <w:rPr>
          <w:color w:val="000000" w:themeColor="text1"/>
          <w:highlight w:val="none"/>
        </w:rPr>
        <w:fldChar w:fldCharType="separate"/>
      </w:r>
      <w:r>
        <w:rPr>
          <w:rStyle w:val="52"/>
          <w:rFonts w:hint="eastAsia" w:ascii="宋体" w:hAnsi="宋体" w:cs="宋体"/>
          <w:color w:val="000000" w:themeColor="text1"/>
          <w:sz w:val="24"/>
          <w:highlight w:val="none"/>
        </w:rPr>
        <w:t>https://service.zcygov.cn/#/knowledges/CW1EtGwBFdiHxlNd6I3m/6IMVAG0BFdiHxlNdQ8Na</w:t>
      </w:r>
      <w:r>
        <w:rPr>
          <w:rStyle w:val="52"/>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）和本磋商文件要求编制并进行关联定位。</w:t>
      </w:r>
    </w:p>
    <w:p w14:paraId="57F07460">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4.1.3   供应商应按磋商文件的要求提供相关资料，并对磋商文件中提出的所有内容要求给予明确响应，须保证磋商响应文件的准确、真实、明确。磋商响应文件响应内容对磋商文件要求如有偏离均应填写偏离表，如不填写，磋商小组有权视作磋商响应文件不完全响应磋商文件要求；</w:t>
      </w:r>
    </w:p>
    <w:p w14:paraId="422ADA81">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4.1.4   磋商响应文件编制时应有正确的索引目录及连续页码标注；</w:t>
      </w:r>
    </w:p>
    <w:p w14:paraId="4C6DDEF4">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4.1.5   磋商响应文件须清晰可辨，因模糊不清所引起的后果由供应商自行负责。</w:t>
      </w:r>
    </w:p>
    <w:p w14:paraId="482F695F">
      <w:pPr>
        <w:pStyle w:val="258"/>
        <w:rPr>
          <w:rFonts w:ascii="宋体" w:eastAsia="宋体"/>
          <w:color w:val="000000" w:themeColor="text1"/>
          <w:highlight w:val="none"/>
        </w:rPr>
      </w:pPr>
      <w:bookmarkStart w:id="149" w:name="_Toc531359005"/>
      <w:bookmarkStart w:id="150" w:name="_Toc80973260"/>
      <w:bookmarkStart w:id="151" w:name="_Toc530551850"/>
      <w:r>
        <w:rPr>
          <w:rFonts w:hint="eastAsia" w:ascii="宋体" w:eastAsia="宋体"/>
          <w:color w:val="000000" w:themeColor="text1"/>
          <w:highlight w:val="none"/>
        </w:rPr>
        <w:t>4.2     磋商报价要求</w:t>
      </w:r>
      <w:bookmarkEnd w:id="149"/>
      <w:bookmarkEnd w:id="150"/>
      <w:bookmarkEnd w:id="151"/>
    </w:p>
    <w:p w14:paraId="519D7E6F">
      <w:pPr>
        <w:spacing w:line="360" w:lineRule="auto"/>
        <w:ind w:left="960" w:hanging="960" w:hangingChars="400"/>
        <w:rPr>
          <w:rFonts w:ascii="宋体" w:hAnsi="宋体" w:cs="宋体"/>
          <w:bCs/>
          <w:color w:val="000000" w:themeColor="text1"/>
          <w:sz w:val="24"/>
          <w:highlight w:val="none"/>
        </w:rPr>
      </w:pPr>
      <w:r>
        <w:rPr>
          <w:rFonts w:hint="eastAsia" w:ascii="宋体" w:hAnsi="宋体" w:cs="宋体"/>
          <w:color w:val="000000" w:themeColor="text1"/>
          <w:sz w:val="24"/>
          <w:highlight w:val="none"/>
        </w:rPr>
        <w:t>4.2.1   ▲磋商报价是履行合同的最终价格，为</w:t>
      </w:r>
      <w:r>
        <w:rPr>
          <w:rFonts w:hint="eastAsia" w:ascii="宋体" w:hAnsi="宋体" w:cs="宋体"/>
          <w:bCs/>
          <w:color w:val="000000" w:themeColor="text1"/>
          <w:sz w:val="24"/>
          <w:highlight w:val="none"/>
        </w:rPr>
        <w:t>实施本项目所需的一切费用；</w:t>
      </w:r>
    </w:p>
    <w:p w14:paraId="084F3492">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4.2.2   ▲每轮磋商只允许有一个报价，有选择的或有条件的报价将不予接受。</w:t>
      </w:r>
    </w:p>
    <w:p w14:paraId="1497B879">
      <w:pPr>
        <w:pStyle w:val="258"/>
        <w:rPr>
          <w:rFonts w:ascii="宋体" w:eastAsia="宋体"/>
          <w:color w:val="000000" w:themeColor="text1"/>
          <w:highlight w:val="none"/>
        </w:rPr>
      </w:pPr>
      <w:bookmarkStart w:id="152" w:name="_Toc80973261"/>
      <w:bookmarkStart w:id="153" w:name="_Toc530551853"/>
      <w:bookmarkStart w:id="154" w:name="_Toc531359008"/>
      <w:r>
        <w:rPr>
          <w:rFonts w:hint="eastAsia" w:ascii="宋体" w:eastAsia="宋体"/>
          <w:color w:val="000000" w:themeColor="text1"/>
          <w:highlight w:val="none"/>
        </w:rPr>
        <w:t>4.3     磋商有效期</w:t>
      </w:r>
      <w:bookmarkEnd w:id="152"/>
      <w:bookmarkEnd w:id="153"/>
      <w:bookmarkEnd w:id="154"/>
    </w:p>
    <w:p w14:paraId="6000AE3A">
      <w:pPr>
        <w:spacing w:line="360" w:lineRule="auto"/>
        <w:ind w:left="960" w:hanging="960" w:hangingChars="400"/>
        <w:rPr>
          <w:rFonts w:ascii="宋体" w:hAnsi="宋体" w:cs="宋体"/>
          <w:color w:val="000000" w:themeColor="text1"/>
          <w:sz w:val="24"/>
          <w:highlight w:val="none"/>
        </w:rPr>
      </w:pPr>
      <w:bookmarkStart w:id="155" w:name="_Toc301187640"/>
      <w:r>
        <w:rPr>
          <w:rFonts w:hint="eastAsia" w:ascii="宋体" w:hAnsi="宋体" w:cs="宋体"/>
          <w:color w:val="000000" w:themeColor="text1"/>
          <w:sz w:val="24"/>
          <w:highlight w:val="none"/>
        </w:rPr>
        <w:t>4.3.1   ▲</w:t>
      </w:r>
      <w:r>
        <w:rPr>
          <w:rFonts w:hint="eastAsia" w:ascii="宋体" w:hAnsi="宋体" w:cs="宋体"/>
          <w:color w:val="000000" w:themeColor="text1"/>
          <w:sz w:val="24"/>
          <w:szCs w:val="24"/>
          <w:highlight w:val="none"/>
        </w:rPr>
        <w:t>磋商</w:t>
      </w:r>
      <w:r>
        <w:rPr>
          <w:rFonts w:hint="eastAsia" w:ascii="宋体" w:hAnsi="宋体" w:cs="宋体"/>
          <w:color w:val="000000" w:themeColor="text1"/>
          <w:sz w:val="24"/>
          <w:highlight w:val="none"/>
        </w:rPr>
        <w:t>有效期：见供应商须知前附表（一）。</w:t>
      </w:r>
      <w:r>
        <w:rPr>
          <w:rFonts w:hint="eastAsia" w:ascii="宋体" w:hAnsi="宋体" w:cs="宋体"/>
          <w:color w:val="000000" w:themeColor="text1"/>
          <w:sz w:val="24"/>
          <w:szCs w:val="24"/>
          <w:highlight w:val="none"/>
        </w:rPr>
        <w:t>磋商响应</w:t>
      </w:r>
      <w:r>
        <w:rPr>
          <w:rFonts w:hint="eastAsia" w:ascii="宋体" w:hAnsi="宋体" w:cs="宋体"/>
          <w:color w:val="000000" w:themeColor="text1"/>
          <w:sz w:val="24"/>
          <w:highlight w:val="none"/>
        </w:rPr>
        <w:t>有效期从提交磋商响应文件的截止之日起算。磋商响应文件中承诺的</w:t>
      </w:r>
      <w:r>
        <w:rPr>
          <w:rFonts w:hint="eastAsia" w:ascii="宋体" w:hAnsi="宋体" w:cs="宋体"/>
          <w:color w:val="000000" w:themeColor="text1"/>
          <w:sz w:val="24"/>
          <w:szCs w:val="24"/>
          <w:highlight w:val="none"/>
        </w:rPr>
        <w:t>磋商</w:t>
      </w:r>
      <w:r>
        <w:rPr>
          <w:rFonts w:hint="eastAsia" w:ascii="宋体" w:hAnsi="宋体" w:cs="宋体"/>
          <w:color w:val="000000" w:themeColor="text1"/>
          <w:sz w:val="24"/>
          <w:highlight w:val="none"/>
        </w:rPr>
        <w:t>有效期应当不少于磋商文件中载明的</w:t>
      </w:r>
      <w:r>
        <w:rPr>
          <w:rFonts w:hint="eastAsia" w:ascii="宋体" w:hAnsi="宋体" w:cs="宋体"/>
          <w:color w:val="000000" w:themeColor="text1"/>
          <w:sz w:val="24"/>
          <w:szCs w:val="24"/>
          <w:highlight w:val="none"/>
        </w:rPr>
        <w:t>磋商</w:t>
      </w:r>
      <w:r>
        <w:rPr>
          <w:rFonts w:hint="eastAsia" w:ascii="宋体" w:hAnsi="宋体" w:cs="宋体"/>
          <w:color w:val="000000" w:themeColor="text1"/>
          <w:sz w:val="24"/>
          <w:highlight w:val="none"/>
        </w:rPr>
        <w:t>有效期</w:t>
      </w:r>
      <w:bookmarkEnd w:id="155"/>
      <w:r>
        <w:rPr>
          <w:rFonts w:hint="eastAsia" w:ascii="宋体" w:hAnsi="宋体" w:cs="宋体"/>
          <w:color w:val="000000" w:themeColor="text1"/>
          <w:sz w:val="24"/>
          <w:highlight w:val="none"/>
        </w:rPr>
        <w:t>；</w:t>
      </w:r>
    </w:p>
    <w:p w14:paraId="1351DC20">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4.3.2   在特殊情况下，采购人可与供应商协商延长磋商的有效期，这种要求和答复均以书面形式进行。</w:t>
      </w:r>
    </w:p>
    <w:p w14:paraId="679C4ABA">
      <w:pPr>
        <w:pStyle w:val="258"/>
        <w:rPr>
          <w:rFonts w:ascii="宋体" w:eastAsia="宋体"/>
          <w:color w:val="000000" w:themeColor="text1"/>
          <w:highlight w:val="none"/>
        </w:rPr>
      </w:pPr>
      <w:bookmarkStart w:id="156" w:name="_Toc530551854"/>
      <w:bookmarkStart w:id="157" w:name="_Toc531359009"/>
      <w:bookmarkStart w:id="158" w:name="_Toc80973262"/>
      <w:r>
        <w:rPr>
          <w:rFonts w:hint="eastAsia" w:ascii="宋体" w:eastAsia="宋体"/>
          <w:color w:val="000000" w:themeColor="text1"/>
          <w:highlight w:val="none"/>
        </w:rPr>
        <w:t>4.4     磋商响应文件格式</w:t>
      </w:r>
      <w:bookmarkEnd w:id="156"/>
      <w:bookmarkEnd w:id="157"/>
      <w:bookmarkEnd w:id="158"/>
    </w:p>
    <w:p w14:paraId="2F001AB3">
      <w:pPr>
        <w:spacing w:line="360" w:lineRule="auto"/>
        <w:ind w:left="945" w:leftChars="450"/>
        <w:rPr>
          <w:rFonts w:ascii="宋体" w:hAnsi="宋体" w:cs="宋体"/>
          <w:color w:val="000000" w:themeColor="text1"/>
          <w:sz w:val="24"/>
          <w:highlight w:val="none"/>
        </w:rPr>
      </w:pPr>
      <w:r>
        <w:rPr>
          <w:rFonts w:hint="eastAsia" w:ascii="宋体" w:hAnsi="宋体" w:cs="宋体"/>
          <w:color w:val="000000" w:themeColor="text1"/>
          <w:sz w:val="24"/>
          <w:highlight w:val="none"/>
        </w:rPr>
        <w:t>磋商响应文件格式见磋商文件“第五章磋商响应文件格式”，磋商响应文件应当按照磋商文件已提供的格式填写，无格式的可自行设计。</w:t>
      </w:r>
    </w:p>
    <w:p w14:paraId="2356047B">
      <w:pPr>
        <w:pStyle w:val="258"/>
        <w:rPr>
          <w:rFonts w:ascii="宋体" w:eastAsia="宋体"/>
          <w:color w:val="000000" w:themeColor="text1"/>
          <w:highlight w:val="none"/>
        </w:rPr>
      </w:pPr>
      <w:bookmarkStart w:id="159" w:name="_Toc530551855"/>
      <w:bookmarkStart w:id="160" w:name="_Toc80973263"/>
      <w:bookmarkStart w:id="161" w:name="_Toc531359010"/>
      <w:r>
        <w:rPr>
          <w:rFonts w:hint="eastAsia" w:ascii="宋体" w:eastAsia="宋体"/>
          <w:color w:val="000000" w:themeColor="text1"/>
          <w:highlight w:val="none"/>
        </w:rPr>
        <w:t>4.5     磋商响应文件份数及签署</w:t>
      </w:r>
      <w:bookmarkEnd w:id="159"/>
      <w:bookmarkEnd w:id="160"/>
      <w:bookmarkEnd w:id="161"/>
    </w:p>
    <w:p w14:paraId="38F642D1">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4.5.1   ▲磋商响应文件份数：见供应商须知前附表（一）；</w:t>
      </w:r>
    </w:p>
    <w:p w14:paraId="17A75A53">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4.5.2   磋商响应文件中所须加盖公章部分均采用CA签章。</w:t>
      </w:r>
    </w:p>
    <w:p w14:paraId="2833CEAA">
      <w:pPr>
        <w:pStyle w:val="43"/>
        <w:spacing w:beforeLines="100" w:afterLines="100"/>
        <w:jc w:val="left"/>
        <w:outlineLvl w:val="1"/>
        <w:rPr>
          <w:rFonts w:ascii="宋体" w:hAnsi="宋体" w:cs="宋体"/>
          <w:color w:val="000000" w:themeColor="text1"/>
          <w:sz w:val="30"/>
          <w:szCs w:val="30"/>
          <w:highlight w:val="none"/>
        </w:rPr>
      </w:pPr>
      <w:bookmarkStart w:id="162" w:name="_Toc530551856"/>
      <w:bookmarkStart w:id="163" w:name="_Toc80973264"/>
      <w:bookmarkStart w:id="164" w:name="_Toc531359011"/>
      <w:r>
        <w:rPr>
          <w:rFonts w:hint="eastAsia" w:ascii="宋体" w:hAnsi="宋体" w:cs="宋体"/>
          <w:color w:val="000000" w:themeColor="text1"/>
          <w:sz w:val="30"/>
          <w:szCs w:val="30"/>
          <w:highlight w:val="none"/>
        </w:rPr>
        <w:t>五    磋商响应文件的提交</w:t>
      </w:r>
      <w:bookmarkEnd w:id="162"/>
      <w:bookmarkEnd w:id="163"/>
      <w:bookmarkEnd w:id="164"/>
    </w:p>
    <w:p w14:paraId="3BF64181">
      <w:pPr>
        <w:pStyle w:val="258"/>
        <w:rPr>
          <w:rFonts w:ascii="宋体" w:eastAsia="宋体"/>
          <w:color w:val="000000" w:themeColor="text1"/>
          <w:highlight w:val="none"/>
        </w:rPr>
      </w:pPr>
      <w:bookmarkStart w:id="165" w:name="_Toc531359012"/>
      <w:bookmarkStart w:id="166" w:name="_Toc530551857"/>
      <w:bookmarkStart w:id="167" w:name="_Toc34895557"/>
      <w:bookmarkStart w:id="168" w:name="_Toc80973265"/>
      <w:r>
        <w:rPr>
          <w:rFonts w:hint="eastAsia" w:ascii="宋体" w:eastAsia="宋体"/>
          <w:color w:val="000000" w:themeColor="text1"/>
          <w:highlight w:val="none"/>
        </w:rPr>
        <w:t>5.1     磋商响应文件导入</w:t>
      </w:r>
      <w:bookmarkEnd w:id="165"/>
      <w:bookmarkEnd w:id="166"/>
      <w:r>
        <w:rPr>
          <w:rFonts w:hint="eastAsia" w:ascii="宋体" w:eastAsia="宋体"/>
          <w:color w:val="000000" w:themeColor="text1"/>
          <w:highlight w:val="none"/>
        </w:rPr>
        <w:t>和加密</w:t>
      </w:r>
      <w:bookmarkEnd w:id="167"/>
      <w:bookmarkEnd w:id="168"/>
    </w:p>
    <w:p w14:paraId="244D768C">
      <w:pPr>
        <w:wordWrap w:val="0"/>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5.1.1   供应商应当按照资格审查文件、资信商务及技术文件和报价文件三部分分别导入相应位置，各文件之间不得导错位置；</w:t>
      </w:r>
    </w:p>
    <w:p w14:paraId="2A23E2E8">
      <w:pPr>
        <w:wordWrap w:val="0"/>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5.1.2   磋商响应文件编制好后应当生成电子加密磋商响应文件，生成电子加密磋商响应文件具体操作详见（电子招投标操作指南网址：</w:t>
      </w:r>
      <w:r>
        <w:rPr>
          <w:color w:val="000000" w:themeColor="text1"/>
          <w:highlight w:val="none"/>
        </w:rPr>
        <w:fldChar w:fldCharType="begin"/>
      </w:r>
      <w:r>
        <w:rPr>
          <w:color w:val="000000" w:themeColor="text1"/>
          <w:highlight w:val="none"/>
        </w:rPr>
        <w:instrText xml:space="preserve"> HYPERLINK "https://service.zcygov.cn/" \l "/knowledges/CW1EtGwBFdiHxlNd6I3m/6IMVAG0BFdiHxlNdQ8Na" </w:instrText>
      </w:r>
      <w:r>
        <w:rPr>
          <w:color w:val="000000" w:themeColor="text1"/>
          <w:highlight w:val="none"/>
        </w:rPr>
        <w:fldChar w:fldCharType="separate"/>
      </w:r>
      <w:r>
        <w:rPr>
          <w:rFonts w:hint="eastAsia" w:ascii="宋体" w:hAnsi="宋体" w:cs="宋体"/>
          <w:color w:val="000000" w:themeColor="text1"/>
          <w:sz w:val="24"/>
          <w:highlight w:val="none"/>
        </w:rPr>
        <w:t>https://service.zcygov.cn/#/knowledges/CW1EtGwBFdiHxlNd6I3m/6IMVAG0BFdiHxlNdQ</w:t>
      </w:r>
      <w:bookmarkStart w:id="169" w:name="_Hlt34895752"/>
      <w:r>
        <w:rPr>
          <w:rFonts w:hint="eastAsia" w:ascii="宋体" w:hAnsi="宋体" w:cs="宋体"/>
          <w:color w:val="000000" w:themeColor="text1"/>
          <w:sz w:val="24"/>
          <w:highlight w:val="none"/>
        </w:rPr>
        <w:t>8</w:t>
      </w:r>
      <w:bookmarkEnd w:id="169"/>
      <w:r>
        <w:rPr>
          <w:rFonts w:hint="eastAsia" w:ascii="宋体" w:hAnsi="宋体" w:cs="宋体"/>
          <w:color w:val="000000" w:themeColor="text1"/>
          <w:sz w:val="24"/>
          <w:highlight w:val="none"/>
        </w:rPr>
        <w:t>Na</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w:t>
      </w:r>
    </w:p>
    <w:p w14:paraId="4C102142">
      <w:pPr>
        <w:pStyle w:val="258"/>
        <w:rPr>
          <w:rFonts w:ascii="宋体" w:eastAsia="宋体"/>
          <w:color w:val="000000" w:themeColor="text1"/>
          <w:highlight w:val="none"/>
        </w:rPr>
      </w:pPr>
      <w:bookmarkStart w:id="170" w:name="_Toc80973266"/>
      <w:bookmarkStart w:id="171" w:name="_Toc530551858"/>
      <w:bookmarkStart w:id="172" w:name="_Toc531359013"/>
      <w:r>
        <w:rPr>
          <w:rFonts w:hint="eastAsia" w:ascii="宋体" w:eastAsia="宋体"/>
          <w:color w:val="000000" w:themeColor="text1"/>
          <w:highlight w:val="none"/>
        </w:rPr>
        <w:t>5.2     磋商响应文件的提交</w:t>
      </w:r>
      <w:bookmarkEnd w:id="170"/>
      <w:bookmarkEnd w:id="171"/>
      <w:bookmarkEnd w:id="172"/>
    </w:p>
    <w:p w14:paraId="5567888F">
      <w:pPr>
        <w:spacing w:line="360" w:lineRule="auto"/>
        <w:ind w:left="960" w:hanging="960" w:hangingChars="400"/>
        <w:rPr>
          <w:rFonts w:ascii="宋体" w:hAnsi="宋体" w:cs="宋体"/>
          <w:color w:val="000000" w:themeColor="text1"/>
          <w:sz w:val="24"/>
          <w:highlight w:val="none"/>
        </w:rPr>
      </w:pPr>
      <w:bookmarkStart w:id="173" w:name="_Toc301187685"/>
      <w:r>
        <w:rPr>
          <w:rFonts w:hint="eastAsia" w:ascii="宋体" w:hAnsi="宋体" w:cs="宋体"/>
          <w:color w:val="000000" w:themeColor="text1"/>
          <w:sz w:val="24"/>
          <w:highlight w:val="none"/>
        </w:rPr>
        <w:t>5.2.1</w:t>
      </w:r>
      <w:bookmarkEnd w:id="173"/>
      <w:r>
        <w:rPr>
          <w:rFonts w:hint="eastAsia" w:ascii="宋体" w:hAnsi="宋体" w:cs="宋体"/>
          <w:color w:val="000000" w:themeColor="text1"/>
          <w:sz w:val="24"/>
          <w:szCs w:val="24"/>
          <w:highlight w:val="none"/>
        </w:rPr>
        <w:t>响应文件提交</w:t>
      </w:r>
      <w:r>
        <w:rPr>
          <w:rFonts w:hint="eastAsia" w:ascii="宋体" w:hAnsi="宋体" w:cs="宋体"/>
          <w:bCs/>
          <w:color w:val="000000" w:themeColor="text1"/>
          <w:sz w:val="24"/>
          <w:szCs w:val="24"/>
          <w:highlight w:val="none"/>
        </w:rPr>
        <w:t>截止时间</w:t>
      </w:r>
      <w:r>
        <w:rPr>
          <w:rFonts w:hint="eastAsia" w:ascii="宋体" w:hAnsi="宋体" w:cs="宋体"/>
          <w:color w:val="000000" w:themeColor="text1"/>
          <w:sz w:val="24"/>
          <w:highlight w:val="none"/>
        </w:rPr>
        <w:t>：见第一章竞争性磋商</w:t>
      </w:r>
      <w:r>
        <w:rPr>
          <w:rFonts w:hint="eastAsia" w:ascii="宋体" w:hAnsi="宋体" w:cs="宋体"/>
          <w:color w:val="000000" w:themeColor="text1"/>
          <w:sz w:val="24"/>
          <w:szCs w:val="24"/>
          <w:highlight w:val="none"/>
        </w:rPr>
        <w:t>采购公告</w:t>
      </w:r>
    </w:p>
    <w:p w14:paraId="2BB5EF05">
      <w:pPr>
        <w:spacing w:line="360" w:lineRule="auto"/>
        <w:ind w:left="960" w:hanging="960" w:hangingChars="400"/>
        <w:rPr>
          <w:rFonts w:ascii="宋体" w:hAnsi="宋体" w:cs="宋体"/>
          <w:color w:val="000000" w:themeColor="text1"/>
          <w:sz w:val="24"/>
          <w:highlight w:val="none"/>
        </w:rPr>
      </w:pPr>
      <w:bookmarkStart w:id="174" w:name="_Toc301187686"/>
      <w:r>
        <w:rPr>
          <w:rFonts w:hint="eastAsia" w:ascii="宋体" w:hAnsi="宋体" w:cs="宋体"/>
          <w:color w:val="000000" w:themeColor="text1"/>
          <w:sz w:val="24"/>
          <w:highlight w:val="none"/>
        </w:rPr>
        <w:t xml:space="preserve">5.2.2   </w:t>
      </w:r>
      <w:bookmarkEnd w:id="174"/>
      <w:r>
        <w:rPr>
          <w:rFonts w:hint="eastAsia" w:ascii="宋体" w:hAnsi="宋体" w:cs="宋体"/>
          <w:color w:val="000000" w:themeColor="text1"/>
          <w:sz w:val="24"/>
          <w:highlight w:val="none"/>
        </w:rPr>
        <w:t>响应文件提交地点：见第一章竞争性磋商</w:t>
      </w:r>
      <w:r>
        <w:rPr>
          <w:rFonts w:hint="eastAsia" w:ascii="宋体" w:hAnsi="宋体" w:cs="宋体"/>
          <w:color w:val="000000" w:themeColor="text1"/>
          <w:sz w:val="24"/>
          <w:szCs w:val="24"/>
          <w:highlight w:val="none"/>
        </w:rPr>
        <w:t>采购公告</w:t>
      </w:r>
    </w:p>
    <w:p w14:paraId="6A0F5CA1">
      <w:pPr>
        <w:spacing w:line="360" w:lineRule="auto"/>
        <w:ind w:left="960" w:hanging="960" w:hangingChars="400"/>
        <w:rPr>
          <w:rFonts w:ascii="宋体" w:hAnsi="宋体" w:cs="宋体"/>
          <w:color w:val="000000" w:themeColor="text1"/>
          <w:sz w:val="24"/>
          <w:highlight w:val="none"/>
        </w:rPr>
      </w:pPr>
      <w:bookmarkStart w:id="175" w:name="_Toc301187687"/>
      <w:r>
        <w:rPr>
          <w:rFonts w:hint="eastAsia" w:ascii="宋体" w:hAnsi="宋体" w:cs="宋体"/>
          <w:color w:val="000000" w:themeColor="text1"/>
          <w:sz w:val="24"/>
          <w:highlight w:val="none"/>
        </w:rPr>
        <w:t>5.2.3   不予接收的磋商响应文件情形</w:t>
      </w:r>
    </w:p>
    <w:bookmarkEnd w:id="175"/>
    <w:p w14:paraId="674A48C6">
      <w:pPr>
        <w:spacing w:line="360" w:lineRule="auto"/>
        <w:ind w:left="840" w:leftChars="400" w:firstLine="120" w:firstLineChars="50"/>
        <w:rPr>
          <w:rFonts w:ascii="宋体" w:hAnsi="宋体" w:cs="宋体"/>
          <w:color w:val="000000" w:themeColor="text1"/>
          <w:sz w:val="24"/>
          <w:highlight w:val="none"/>
        </w:rPr>
      </w:pPr>
      <w:r>
        <w:rPr>
          <w:rFonts w:hint="eastAsia" w:ascii="宋体" w:hAnsi="宋体" w:cs="宋体"/>
          <w:color w:val="000000" w:themeColor="text1"/>
          <w:sz w:val="24"/>
          <w:highlight w:val="none"/>
        </w:rPr>
        <w:t>▲</w:t>
      </w: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1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⑴</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响应文件提交截止时间前未完成传输的磋商响应文件；</w:t>
      </w:r>
    </w:p>
    <w:p w14:paraId="0041415F">
      <w:pPr>
        <w:spacing w:line="360" w:lineRule="auto"/>
        <w:ind w:left="840" w:leftChars="400" w:firstLine="120" w:firstLineChars="50"/>
        <w:rPr>
          <w:rFonts w:ascii="宋体" w:hAnsi="宋体" w:cs="宋体"/>
          <w:color w:val="000000" w:themeColor="text1"/>
          <w:sz w:val="24"/>
          <w:highlight w:val="none"/>
        </w:rPr>
      </w:pPr>
      <w:r>
        <w:rPr>
          <w:rFonts w:hint="eastAsia" w:ascii="宋体" w:hAnsi="宋体" w:cs="宋体"/>
          <w:color w:val="000000" w:themeColor="text1"/>
          <w:sz w:val="24"/>
          <w:highlight w:val="none"/>
        </w:rPr>
        <w:t>▲⑵未生成加密的磋商响应文件；</w:t>
      </w:r>
    </w:p>
    <w:p w14:paraId="5C31959B">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5.2.4   供应商所提交的磋商响应文件不予退还。</w:t>
      </w:r>
    </w:p>
    <w:p w14:paraId="7EB00B46">
      <w:pPr>
        <w:pStyle w:val="258"/>
        <w:rPr>
          <w:rFonts w:ascii="宋体" w:eastAsia="宋体"/>
          <w:color w:val="000000" w:themeColor="text1"/>
          <w:highlight w:val="none"/>
        </w:rPr>
      </w:pPr>
      <w:bookmarkStart w:id="176" w:name="_Toc530551859"/>
      <w:bookmarkStart w:id="177" w:name="_Toc531359014"/>
      <w:bookmarkStart w:id="178" w:name="_Toc80973267"/>
      <w:r>
        <w:rPr>
          <w:rFonts w:hint="eastAsia" w:ascii="宋体" w:eastAsia="宋体"/>
          <w:color w:val="000000" w:themeColor="text1"/>
          <w:highlight w:val="none"/>
        </w:rPr>
        <w:t>5.3     磋商响应文件修改和撤回</w:t>
      </w:r>
      <w:bookmarkEnd w:id="176"/>
      <w:bookmarkEnd w:id="177"/>
      <w:bookmarkEnd w:id="178"/>
    </w:p>
    <w:p w14:paraId="779ECCE9">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5.3.1   在</w:t>
      </w:r>
      <w:r>
        <w:rPr>
          <w:rFonts w:hint="eastAsia" w:ascii="宋体" w:hAnsi="宋体" w:cs="宋体"/>
          <w:color w:val="000000" w:themeColor="text1"/>
          <w:sz w:val="24"/>
          <w:szCs w:val="24"/>
          <w:highlight w:val="none"/>
        </w:rPr>
        <w:t>响应文件提交</w:t>
      </w:r>
      <w:r>
        <w:rPr>
          <w:rFonts w:hint="eastAsia" w:ascii="宋体" w:hAnsi="宋体" w:cs="宋体"/>
          <w:bCs/>
          <w:color w:val="000000" w:themeColor="text1"/>
          <w:sz w:val="24"/>
          <w:szCs w:val="24"/>
          <w:highlight w:val="none"/>
        </w:rPr>
        <w:t>截止时间</w:t>
      </w:r>
      <w:r>
        <w:rPr>
          <w:rFonts w:hint="eastAsia" w:ascii="宋体" w:hAnsi="宋体" w:cs="宋体"/>
          <w:color w:val="000000" w:themeColor="text1"/>
          <w:sz w:val="24"/>
          <w:highlight w:val="none"/>
        </w:rPr>
        <w:t>前，供应商可对已提交的</w:t>
      </w:r>
      <w:r>
        <w:rPr>
          <w:rFonts w:hint="eastAsia" w:ascii="宋体" w:hAnsi="宋体" w:cs="宋体"/>
          <w:color w:val="000000" w:themeColor="text1"/>
          <w:kern w:val="0"/>
          <w:sz w:val="24"/>
          <w:highlight w:val="none"/>
        </w:rPr>
        <w:t>磋商响应文件</w:t>
      </w:r>
      <w:r>
        <w:rPr>
          <w:rFonts w:hint="eastAsia" w:ascii="宋体" w:hAnsi="宋体" w:cs="宋体"/>
          <w:color w:val="000000" w:themeColor="text1"/>
          <w:sz w:val="24"/>
          <w:highlight w:val="none"/>
        </w:rPr>
        <w:t>进行补充、修改或撤回。补充、修改磋商响应文件的，应当先行撤回原文件，补充、修改后重新生成加密的磋商响应文件并重新上传提交；</w:t>
      </w:r>
    </w:p>
    <w:p w14:paraId="05F6EEE4">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5.3.2   补充、修改后重新提交的磋商响应文件应按磋商文件的规定编制、加密、导入和提交；</w:t>
      </w:r>
    </w:p>
    <w:p w14:paraId="44F270CC">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5.3.3   在</w:t>
      </w:r>
      <w:r>
        <w:rPr>
          <w:rFonts w:hint="eastAsia" w:ascii="宋体" w:hAnsi="宋体" w:cs="宋体"/>
          <w:color w:val="000000" w:themeColor="text1"/>
          <w:sz w:val="24"/>
          <w:szCs w:val="24"/>
          <w:highlight w:val="none"/>
        </w:rPr>
        <w:t>响应文件提交</w:t>
      </w:r>
      <w:r>
        <w:rPr>
          <w:rFonts w:hint="eastAsia" w:ascii="宋体" w:hAnsi="宋体" w:cs="宋体"/>
          <w:bCs/>
          <w:color w:val="000000" w:themeColor="text1"/>
          <w:sz w:val="24"/>
          <w:szCs w:val="24"/>
          <w:highlight w:val="none"/>
        </w:rPr>
        <w:t>截止时间</w:t>
      </w:r>
      <w:r>
        <w:rPr>
          <w:rFonts w:hint="eastAsia" w:ascii="宋体" w:hAnsi="宋体" w:cs="宋体"/>
          <w:color w:val="000000" w:themeColor="text1"/>
          <w:sz w:val="24"/>
          <w:highlight w:val="none"/>
        </w:rPr>
        <w:t>后，供应商不得撤回已提交的磋商响应文件。</w:t>
      </w:r>
    </w:p>
    <w:p w14:paraId="40EC0A7B">
      <w:pPr>
        <w:pStyle w:val="258"/>
        <w:rPr>
          <w:rFonts w:ascii="宋体" w:eastAsia="宋体"/>
          <w:color w:val="000000" w:themeColor="text1"/>
          <w:highlight w:val="none"/>
        </w:rPr>
      </w:pPr>
      <w:bookmarkStart w:id="179" w:name="_Toc14077291"/>
      <w:bookmarkStart w:id="180" w:name="_Toc80973268"/>
      <w:bookmarkStart w:id="181" w:name="_Toc531359015"/>
      <w:bookmarkStart w:id="182" w:name="_Toc530551861"/>
      <w:bookmarkStart w:id="183" w:name="_Toc531359017"/>
      <w:r>
        <w:rPr>
          <w:rFonts w:hint="eastAsia" w:ascii="宋体" w:eastAsia="宋体"/>
          <w:color w:val="000000" w:themeColor="text1"/>
          <w:highlight w:val="none"/>
        </w:rPr>
        <w:t>5.4     备选磋商方案</w:t>
      </w:r>
      <w:bookmarkEnd w:id="179"/>
      <w:bookmarkEnd w:id="180"/>
      <w:bookmarkEnd w:id="181"/>
    </w:p>
    <w:p w14:paraId="02487FF3">
      <w:pPr>
        <w:spacing w:line="360" w:lineRule="auto"/>
        <w:ind w:left="945" w:leftChars="450"/>
        <w:rPr>
          <w:rFonts w:ascii="宋体" w:hAnsi="宋体" w:cs="宋体"/>
          <w:color w:val="000000" w:themeColor="text1"/>
          <w:sz w:val="24"/>
          <w:highlight w:val="none"/>
        </w:rPr>
      </w:pPr>
      <w:r>
        <w:rPr>
          <w:rFonts w:hint="eastAsia" w:ascii="宋体" w:hAnsi="宋体" w:cs="宋体"/>
          <w:color w:val="000000" w:themeColor="text1"/>
          <w:sz w:val="24"/>
          <w:highlight w:val="none"/>
        </w:rPr>
        <w:t>本项目不接受备选磋商方案。与“电子磋商响应文件”同时生成的“备份磋商响应文件”不是磋商备选（替代）磋商方案。</w:t>
      </w:r>
    </w:p>
    <w:p w14:paraId="59C8A0DC">
      <w:pPr>
        <w:keepNext/>
        <w:keepLines/>
        <w:spacing w:line="360" w:lineRule="auto"/>
        <w:outlineLvl w:val="2"/>
        <w:rPr>
          <w:rFonts w:ascii="宋体" w:hAnsi="宋体" w:cs="宋体"/>
          <w:b/>
          <w:bCs/>
          <w:color w:val="000000" w:themeColor="text1"/>
          <w:sz w:val="24"/>
          <w:szCs w:val="20"/>
          <w:highlight w:val="none"/>
        </w:rPr>
      </w:pPr>
      <w:bookmarkStart w:id="184" w:name="_Toc14170771"/>
      <w:bookmarkStart w:id="185" w:name="_Toc28354563"/>
      <w:bookmarkStart w:id="186" w:name="_Toc80973269"/>
      <w:bookmarkStart w:id="187" w:name="_Toc34895561"/>
      <w:r>
        <w:rPr>
          <w:rFonts w:hint="eastAsia" w:ascii="宋体" w:hAnsi="宋体" w:cs="宋体"/>
          <w:b/>
          <w:bCs/>
          <w:color w:val="000000" w:themeColor="text1"/>
          <w:sz w:val="24"/>
          <w:szCs w:val="20"/>
          <w:highlight w:val="none"/>
        </w:rPr>
        <w:t>5.5     磋商诚实信用</w:t>
      </w:r>
      <w:bookmarkEnd w:id="184"/>
      <w:bookmarkEnd w:id="185"/>
      <w:bookmarkEnd w:id="186"/>
      <w:bookmarkEnd w:id="187"/>
    </w:p>
    <w:p w14:paraId="7C595943">
      <w:pPr>
        <w:spacing w:line="360" w:lineRule="auto"/>
        <w:ind w:left="960" w:hanging="960" w:hangingChars="400"/>
        <w:rPr>
          <w:rFonts w:ascii="宋体" w:hAnsi="宋体" w:cs="宋体"/>
          <w:color w:val="000000" w:themeColor="text1"/>
          <w:sz w:val="24"/>
          <w:highlight w:val="none"/>
        </w:rPr>
      </w:pPr>
      <w:bookmarkStart w:id="188" w:name="_Toc301187651"/>
      <w:r>
        <w:rPr>
          <w:rFonts w:hint="eastAsia" w:ascii="宋体" w:hAnsi="宋体" w:cs="宋体"/>
          <w:color w:val="000000" w:themeColor="text1"/>
          <w:sz w:val="24"/>
          <w:highlight w:val="none"/>
        </w:rPr>
        <w:t>5.5.1   供应商应当遵守诚实信用原则。</w:t>
      </w:r>
    </w:p>
    <w:p w14:paraId="183D6437">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5.5.2   供应商有下列情形之一的，将会报告财政部门并按照相关规定处理：</w:t>
      </w:r>
      <w:bookmarkEnd w:id="188"/>
    </w:p>
    <w:p w14:paraId="329E9D6E">
      <w:pPr>
        <w:spacing w:line="360" w:lineRule="auto"/>
        <w:ind w:left="840" w:leftChars="400" w:firstLine="120" w:firstLineChars="50"/>
        <w:rPr>
          <w:rFonts w:ascii="宋体" w:hAnsi="宋体" w:cs="宋体"/>
          <w:color w:val="000000" w:themeColor="text1"/>
          <w:sz w:val="24"/>
          <w:highlight w:val="none"/>
        </w:rPr>
      </w:pPr>
      <w:bookmarkStart w:id="189" w:name="_Toc301187652"/>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1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⑴</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供应商在磋商有效期内撤销磋商响应文件的；</w:t>
      </w:r>
      <w:bookmarkEnd w:id="189"/>
      <w:bookmarkStart w:id="190" w:name="_Toc301187653"/>
    </w:p>
    <w:p w14:paraId="1034EE85">
      <w:pPr>
        <w:spacing w:line="360" w:lineRule="auto"/>
        <w:ind w:left="840" w:leftChars="400" w:firstLine="120" w:firstLineChars="5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2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⑵</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未按规定提交履约保证金的；</w:t>
      </w:r>
      <w:bookmarkEnd w:id="190"/>
      <w:bookmarkStart w:id="191" w:name="_Toc301187654"/>
    </w:p>
    <w:p w14:paraId="5FAB7471">
      <w:pPr>
        <w:spacing w:line="360" w:lineRule="auto"/>
        <w:ind w:left="840" w:leftChars="400" w:firstLine="120" w:firstLineChars="5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3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⑶</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供应商在磋商过程中弄虚作假，提供虚假材料的；</w:t>
      </w:r>
      <w:bookmarkEnd w:id="191"/>
      <w:bookmarkStart w:id="192" w:name="_Toc301187655"/>
    </w:p>
    <w:p w14:paraId="2312A297">
      <w:pPr>
        <w:spacing w:line="360" w:lineRule="auto"/>
        <w:ind w:left="840" w:leftChars="400" w:firstLine="120" w:firstLineChars="5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4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⑷</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成交人无正当理由不与采购人签订合同的；</w:t>
      </w:r>
      <w:bookmarkEnd w:id="192"/>
    </w:p>
    <w:p w14:paraId="06607841">
      <w:pPr>
        <w:spacing w:line="360" w:lineRule="auto"/>
        <w:ind w:left="840" w:leftChars="400" w:firstLine="120" w:firstLineChars="5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5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⑸</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供应商有串通磋商行为的；</w:t>
      </w:r>
    </w:p>
    <w:p w14:paraId="1323EAB6">
      <w:pPr>
        <w:spacing w:line="360" w:lineRule="auto"/>
        <w:ind w:left="840" w:leftChars="400" w:firstLine="120" w:firstLineChars="5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6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⑹</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严重扰乱政府采购程序的；</w:t>
      </w:r>
      <w:bookmarkStart w:id="193" w:name="_Toc301187658"/>
    </w:p>
    <w:p w14:paraId="488A2178">
      <w:pPr>
        <w:spacing w:line="360" w:lineRule="auto"/>
        <w:ind w:left="840" w:leftChars="400" w:firstLine="120" w:firstLineChars="5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7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⑺</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违反其他法律法规规定的情形。</w:t>
      </w:r>
      <w:bookmarkEnd w:id="193"/>
    </w:p>
    <w:p w14:paraId="3FBCFA0C">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5.5.3   因供应商有第5.6.2条情形之一造成采购人和采购代理机构损失的，采购人和采购代理机构有权追究供应商赔偿责任。</w:t>
      </w:r>
    </w:p>
    <w:p w14:paraId="34C46585">
      <w:pPr>
        <w:pStyle w:val="43"/>
        <w:spacing w:beforeLines="100" w:afterLines="100"/>
        <w:jc w:val="left"/>
        <w:outlineLvl w:val="1"/>
        <w:rPr>
          <w:rFonts w:ascii="宋体" w:hAnsi="宋体" w:cs="宋体"/>
          <w:color w:val="000000" w:themeColor="text1"/>
          <w:sz w:val="30"/>
          <w:szCs w:val="30"/>
          <w:highlight w:val="none"/>
        </w:rPr>
      </w:pPr>
      <w:bookmarkStart w:id="194" w:name="_Toc80973270"/>
      <w:r>
        <w:rPr>
          <w:rFonts w:hint="eastAsia" w:ascii="宋体" w:hAnsi="宋体" w:cs="宋体"/>
          <w:color w:val="000000" w:themeColor="text1"/>
          <w:sz w:val="30"/>
          <w:szCs w:val="30"/>
          <w:highlight w:val="none"/>
        </w:rPr>
        <w:t>六    开标</w:t>
      </w:r>
      <w:bookmarkEnd w:id="182"/>
      <w:bookmarkEnd w:id="183"/>
      <w:r>
        <w:rPr>
          <w:rFonts w:hint="eastAsia" w:ascii="宋体" w:hAnsi="宋体" w:cs="宋体"/>
          <w:color w:val="000000" w:themeColor="text1"/>
          <w:sz w:val="30"/>
          <w:szCs w:val="30"/>
          <w:highlight w:val="none"/>
        </w:rPr>
        <w:t>、资格审查、磋商和评审</w:t>
      </w:r>
      <w:bookmarkEnd w:id="194"/>
    </w:p>
    <w:p w14:paraId="01B0E40E">
      <w:pPr>
        <w:spacing w:line="360" w:lineRule="auto"/>
        <w:ind w:left="945" w:leftChars="450"/>
        <w:rPr>
          <w:rFonts w:ascii="宋体" w:hAnsi="宋体" w:cs="宋体"/>
          <w:b/>
          <w:color w:val="000000" w:themeColor="text1"/>
          <w:sz w:val="24"/>
          <w:highlight w:val="none"/>
        </w:rPr>
      </w:pPr>
      <w:r>
        <w:rPr>
          <w:rFonts w:hint="eastAsia" w:ascii="宋体" w:hAnsi="宋体" w:cs="宋体"/>
          <w:b/>
          <w:color w:val="000000" w:themeColor="text1"/>
          <w:sz w:val="24"/>
          <w:highlight w:val="none"/>
        </w:rPr>
        <w:t>本项目通过政府采购云平台进行开标、资格审查、评审、询标，供应商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0F0A1836">
      <w:pPr>
        <w:pStyle w:val="258"/>
        <w:rPr>
          <w:rFonts w:ascii="宋体" w:eastAsia="宋体"/>
          <w:color w:val="000000" w:themeColor="text1"/>
          <w:highlight w:val="none"/>
        </w:rPr>
      </w:pPr>
      <w:bookmarkStart w:id="195" w:name="_Toc531359018"/>
      <w:bookmarkStart w:id="196" w:name="_Toc530551862"/>
      <w:bookmarkStart w:id="197" w:name="_Toc80973271"/>
      <w:bookmarkStart w:id="198" w:name="_Toc531359019"/>
      <w:bookmarkStart w:id="199" w:name="_Toc530551863"/>
      <w:r>
        <w:rPr>
          <w:rFonts w:hint="eastAsia" w:ascii="宋体" w:eastAsia="宋体"/>
          <w:color w:val="000000" w:themeColor="text1"/>
          <w:highlight w:val="none"/>
        </w:rPr>
        <w:t>6.1     开标</w:t>
      </w:r>
      <w:bookmarkEnd w:id="195"/>
      <w:bookmarkEnd w:id="196"/>
      <w:bookmarkEnd w:id="197"/>
    </w:p>
    <w:p w14:paraId="1CEBDA77">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6.1.1   开标时间和地点：见供应商须知前附表（一）</w:t>
      </w:r>
    </w:p>
    <w:p w14:paraId="5E584F15">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6.1.2   供应商的供应商代表应当在线参加，否则视同认可开标结果，事后不得对采购相关人员、开标过程和开标结果提出质疑；</w:t>
      </w:r>
    </w:p>
    <w:p w14:paraId="26463678">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6.1.3   开标程序</w:t>
      </w:r>
    </w:p>
    <w:p w14:paraId="1CB8401B">
      <w:pPr>
        <w:spacing w:line="360" w:lineRule="auto"/>
        <w:ind w:left="840" w:leftChars="400" w:firstLine="120" w:firstLineChars="5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1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⑴</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 xml:space="preserve">主持人宣布项目开标会开始，介绍参加本次开标会的相关人员； </w:t>
      </w:r>
    </w:p>
    <w:p w14:paraId="107D435E">
      <w:pPr>
        <w:spacing w:line="360" w:lineRule="auto"/>
        <w:ind w:left="1185" w:leftChars="450" w:hanging="240" w:hangingChars="10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2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⑵</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介绍采购项目采购情况，包括采购方式，发布媒体，提交磋商响应文件的供应商家数、供应商名称；</w:t>
      </w:r>
    </w:p>
    <w:p w14:paraId="5AD50DB6">
      <w:pPr>
        <w:spacing w:line="360" w:lineRule="auto"/>
        <w:ind w:left="840" w:leftChars="400" w:firstLine="120" w:firstLineChars="5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3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⑶</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宣布开标纪律；</w:t>
      </w:r>
    </w:p>
    <w:p w14:paraId="018805D7">
      <w:pPr>
        <w:wordWrap w:val="0"/>
        <w:spacing w:line="360" w:lineRule="auto"/>
        <w:ind w:left="1185" w:leftChars="450" w:hanging="240" w:hangingChars="10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4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⑷</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供应商进行在线解密（解密时间为响应文件提交截止时间后60分钟内）；解密未成功的，启动备份磋商响应文件，未提供备份磋商响应文件的，视为放弃投标；</w:t>
      </w:r>
    </w:p>
    <w:p w14:paraId="48EB4041">
      <w:pPr>
        <w:wordWrap w:val="0"/>
        <w:spacing w:line="360" w:lineRule="auto"/>
        <w:ind w:left="1185" w:leftChars="450" w:hanging="240" w:hangingChars="10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5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⑸</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 xml:space="preserve">供应商填写并通过邮件发送方式递交《政府采购活动现场确认声明书》（见磋商文件附件），递交时间为解密指令发出后30分钟内； </w:t>
      </w:r>
    </w:p>
    <w:p w14:paraId="3E35A5EE">
      <w:pPr>
        <w:wordWrap w:val="0"/>
        <w:spacing w:line="360" w:lineRule="auto"/>
        <w:ind w:left="1185" w:leftChars="450" w:hanging="240" w:hangingChars="10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6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⑹</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采购代理机构做好开标记录，供应商在解密完成后点击【查看开标记录】查看开标记录，并在线确认开标结果；</w:t>
      </w:r>
    </w:p>
    <w:p w14:paraId="213304E1">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6.1.4   供应商代表对开标过程和开标记录有疑义，以及认为采购人、采购代理机构相关工作人员有需要回避的情形，应通过电子邮件、传真等形式向采购代理机构提出询问或回避申请；</w:t>
      </w:r>
    </w:p>
    <w:p w14:paraId="1842286B">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6.1.5   </w:t>
      </w:r>
      <w:r>
        <w:rPr>
          <w:rFonts w:hint="eastAsia" w:ascii="宋体" w:hAnsi="宋体" w:cs="宋体"/>
          <w:color w:val="000000" w:themeColor="text1"/>
          <w:kern w:val="0"/>
          <w:sz w:val="24"/>
          <w:highlight w:val="none"/>
        </w:rPr>
        <w:t>开标会议结束。</w:t>
      </w:r>
    </w:p>
    <w:p w14:paraId="75992B8A">
      <w:pPr>
        <w:pStyle w:val="258"/>
        <w:rPr>
          <w:rFonts w:ascii="宋体" w:eastAsia="宋体"/>
          <w:color w:val="000000" w:themeColor="text1"/>
          <w:highlight w:val="none"/>
        </w:rPr>
      </w:pPr>
      <w:bookmarkStart w:id="200" w:name="_Toc80973272"/>
      <w:r>
        <w:rPr>
          <w:rFonts w:hint="eastAsia" w:ascii="宋体" w:eastAsia="宋体"/>
          <w:color w:val="000000" w:themeColor="text1"/>
          <w:highlight w:val="none"/>
        </w:rPr>
        <w:t>6.2     资格审查</w:t>
      </w:r>
      <w:bookmarkEnd w:id="198"/>
      <w:bookmarkEnd w:id="199"/>
      <w:bookmarkEnd w:id="200"/>
    </w:p>
    <w:p w14:paraId="443B4804">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6.2.1   资格审查内容：</w:t>
      </w:r>
    </w:p>
    <w:p w14:paraId="40FFD40D">
      <w:pPr>
        <w:spacing w:line="360" w:lineRule="auto"/>
        <w:ind w:left="945" w:leftChars="450"/>
        <w:rPr>
          <w:rFonts w:ascii="宋体" w:hAnsi="宋体" w:cs="宋体"/>
          <w:color w:val="000000" w:themeColor="text1"/>
          <w:sz w:val="24"/>
          <w:highlight w:val="none"/>
        </w:rPr>
      </w:pPr>
      <w:r>
        <w:rPr>
          <w:rFonts w:hint="eastAsia" w:ascii="宋体" w:hAnsi="宋体" w:cs="宋体"/>
          <w:color w:val="000000" w:themeColor="text1"/>
          <w:sz w:val="24"/>
          <w:highlight w:val="none"/>
        </w:rPr>
        <w:t>采购人或采购代理机构按竞争性磋商</w:t>
      </w:r>
      <w:r>
        <w:rPr>
          <w:rFonts w:hint="eastAsia" w:ascii="宋体" w:hAnsi="宋体" w:cs="宋体"/>
          <w:color w:val="000000" w:themeColor="text1"/>
          <w:sz w:val="24"/>
          <w:szCs w:val="24"/>
          <w:highlight w:val="none"/>
        </w:rPr>
        <w:t>采购公告</w:t>
      </w:r>
      <w:r>
        <w:rPr>
          <w:rFonts w:hint="eastAsia" w:ascii="宋体" w:hAnsi="宋体" w:cs="宋体"/>
          <w:color w:val="000000" w:themeColor="text1"/>
          <w:sz w:val="24"/>
          <w:highlight w:val="none"/>
        </w:rPr>
        <w:t>内供应商资格要求及本章第3.4条资格审查文件的组成内容进行审查；</w:t>
      </w:r>
    </w:p>
    <w:p w14:paraId="49A351F4">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6.2.2   ▲资格审查：全部满足下表要求的供应商为合格供应商，否则资格审查不予以通过；</w:t>
      </w:r>
    </w:p>
    <w:tbl>
      <w:tblPr>
        <w:tblStyle w:val="46"/>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48"/>
        <w:gridCol w:w="6317"/>
      </w:tblGrid>
      <w:tr w14:paraId="0962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shd w:val="clear" w:color="auto" w:fill="auto"/>
            <w:vAlign w:val="center"/>
          </w:tcPr>
          <w:p w14:paraId="0AEDA76C">
            <w:pPr>
              <w:ind w:left="-90" w:leftChars="-43" w:right="-101" w:rightChars="-48"/>
              <w:jc w:val="center"/>
              <w:rPr>
                <w:rFonts w:ascii="宋体" w:hAnsi="宋体"/>
                <w:b/>
                <w:color w:val="000000" w:themeColor="text1"/>
                <w:sz w:val="24"/>
                <w:szCs w:val="24"/>
                <w:highlight w:val="none"/>
              </w:rPr>
            </w:pPr>
            <w:bookmarkStart w:id="201" w:name="_Toc531359020"/>
            <w:r>
              <w:rPr>
                <w:rFonts w:hint="eastAsia" w:ascii="宋体" w:hAnsi="宋体"/>
                <w:b/>
                <w:color w:val="000000" w:themeColor="text1"/>
                <w:sz w:val="24"/>
                <w:szCs w:val="24"/>
                <w:highlight w:val="none"/>
              </w:rPr>
              <w:t>序号</w:t>
            </w:r>
          </w:p>
        </w:tc>
        <w:tc>
          <w:tcPr>
            <w:tcW w:w="1748" w:type="dxa"/>
            <w:shd w:val="clear" w:color="auto" w:fill="auto"/>
            <w:vAlign w:val="center"/>
          </w:tcPr>
          <w:p w14:paraId="62753E55">
            <w:pPr>
              <w:ind w:left="-92" w:leftChars="-44" w:right="-80" w:rightChars="-38"/>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资格审查内容</w:t>
            </w:r>
          </w:p>
        </w:tc>
        <w:tc>
          <w:tcPr>
            <w:tcW w:w="6317" w:type="dxa"/>
            <w:shd w:val="clear" w:color="auto" w:fill="auto"/>
            <w:vAlign w:val="center"/>
          </w:tcPr>
          <w:p w14:paraId="7F2598B1">
            <w:pPr>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审查因素</w:t>
            </w:r>
          </w:p>
        </w:tc>
      </w:tr>
      <w:tr w14:paraId="0092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restart"/>
            <w:shd w:val="clear" w:color="auto" w:fill="auto"/>
            <w:vAlign w:val="center"/>
          </w:tcPr>
          <w:p w14:paraId="76C9DFB6">
            <w:pPr>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1</w:t>
            </w:r>
          </w:p>
        </w:tc>
        <w:tc>
          <w:tcPr>
            <w:tcW w:w="1748" w:type="dxa"/>
            <w:shd w:val="clear" w:color="auto" w:fill="auto"/>
            <w:vAlign w:val="center"/>
          </w:tcPr>
          <w:p w14:paraId="6146EBFC">
            <w:pPr>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营业执照</w:t>
            </w:r>
          </w:p>
        </w:tc>
        <w:tc>
          <w:tcPr>
            <w:tcW w:w="6317" w:type="dxa"/>
            <w:shd w:val="clear" w:color="auto" w:fill="auto"/>
            <w:vAlign w:val="center"/>
          </w:tcPr>
          <w:p w14:paraId="0587721D">
            <w:pPr>
              <w:ind w:left="-92" w:leftChars="-44" w:firstLine="91" w:firstLineChars="38"/>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营业期限在有效期内；</w:t>
            </w:r>
          </w:p>
        </w:tc>
      </w:tr>
      <w:tr w14:paraId="6DD9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shd w:val="clear" w:color="auto" w:fill="auto"/>
            <w:vAlign w:val="center"/>
          </w:tcPr>
          <w:p w14:paraId="7B0EBC8B">
            <w:pPr>
              <w:jc w:val="center"/>
              <w:rPr>
                <w:rFonts w:ascii="宋体" w:hAnsi="宋体"/>
                <w:color w:val="000000" w:themeColor="text1"/>
                <w:sz w:val="24"/>
                <w:szCs w:val="24"/>
                <w:highlight w:val="none"/>
              </w:rPr>
            </w:pPr>
          </w:p>
        </w:tc>
        <w:tc>
          <w:tcPr>
            <w:tcW w:w="1748" w:type="dxa"/>
            <w:shd w:val="clear" w:color="auto" w:fill="auto"/>
            <w:vAlign w:val="center"/>
          </w:tcPr>
          <w:p w14:paraId="0A076B43">
            <w:pPr>
              <w:ind w:left="-92" w:leftChars="-44" w:right="-80" w:rightChars="-38"/>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负责人身份</w:t>
            </w:r>
          </w:p>
        </w:tc>
        <w:tc>
          <w:tcPr>
            <w:tcW w:w="6317" w:type="dxa"/>
            <w:shd w:val="clear" w:color="auto" w:fill="auto"/>
            <w:vAlign w:val="center"/>
          </w:tcPr>
          <w:p w14:paraId="13C064FE">
            <w:pPr>
              <w:ind w:left="-92" w:leftChars="-44" w:firstLine="91" w:firstLineChars="38"/>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1. 负责人身份证正、反面电子文档；</w:t>
            </w:r>
          </w:p>
          <w:p w14:paraId="0A86FEAD">
            <w:pPr>
              <w:ind w:left="-92" w:leftChars="-44" w:right="-80" w:rightChars="-38" w:firstLine="120" w:firstLineChars="5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2. 和营业执照上的法定代表人或负责人一致；</w:t>
            </w:r>
          </w:p>
        </w:tc>
      </w:tr>
      <w:tr w14:paraId="75BF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shd w:val="clear" w:color="auto" w:fill="auto"/>
            <w:vAlign w:val="center"/>
          </w:tcPr>
          <w:p w14:paraId="39C98CE3">
            <w:pPr>
              <w:jc w:val="center"/>
              <w:rPr>
                <w:rFonts w:ascii="宋体" w:hAnsi="宋体"/>
                <w:color w:val="000000" w:themeColor="text1"/>
                <w:sz w:val="24"/>
                <w:szCs w:val="24"/>
                <w:highlight w:val="none"/>
              </w:rPr>
            </w:pPr>
          </w:p>
        </w:tc>
        <w:tc>
          <w:tcPr>
            <w:tcW w:w="1748" w:type="dxa"/>
            <w:shd w:val="clear" w:color="auto" w:fill="auto"/>
            <w:vAlign w:val="center"/>
          </w:tcPr>
          <w:p w14:paraId="7146F7A3">
            <w:pPr>
              <w:ind w:left="-92" w:leftChars="-44" w:right="-80" w:rightChars="-38"/>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授权委托书及委托代理人</w:t>
            </w:r>
          </w:p>
        </w:tc>
        <w:tc>
          <w:tcPr>
            <w:tcW w:w="6317" w:type="dxa"/>
            <w:shd w:val="clear" w:color="auto" w:fill="auto"/>
            <w:vAlign w:val="center"/>
          </w:tcPr>
          <w:p w14:paraId="6D50CA46">
            <w:pPr>
              <w:ind w:left="-92" w:leftChars="-44" w:firstLine="91" w:firstLineChars="38"/>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1. 是否按授权委托书格式内容填写且盖章；</w:t>
            </w:r>
          </w:p>
          <w:p w14:paraId="2F975000">
            <w:pPr>
              <w:ind w:left="-92" w:leftChars="-44" w:right="-80" w:rightChars="-38" w:firstLine="120" w:firstLineChars="5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2. 委托代理人的身份证正、反面电子文档；</w:t>
            </w:r>
          </w:p>
        </w:tc>
      </w:tr>
      <w:tr w14:paraId="7512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shd w:val="clear" w:color="auto" w:fill="auto"/>
            <w:vAlign w:val="center"/>
          </w:tcPr>
          <w:p w14:paraId="23416BD4">
            <w:pPr>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2</w:t>
            </w:r>
          </w:p>
        </w:tc>
        <w:tc>
          <w:tcPr>
            <w:tcW w:w="1748" w:type="dxa"/>
            <w:shd w:val="clear" w:color="auto" w:fill="auto"/>
            <w:vAlign w:val="center"/>
          </w:tcPr>
          <w:p w14:paraId="57C15F04">
            <w:pPr>
              <w:ind w:left="-92" w:leftChars="-44" w:right="-80" w:rightChars="-38"/>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财务状况报告依法缴纳税收和社会保障资金</w:t>
            </w:r>
          </w:p>
        </w:tc>
        <w:tc>
          <w:tcPr>
            <w:tcW w:w="6317" w:type="dxa"/>
            <w:shd w:val="clear" w:color="auto" w:fill="auto"/>
            <w:vAlign w:val="center"/>
          </w:tcPr>
          <w:p w14:paraId="2E67D355">
            <w:pPr>
              <w:rPr>
                <w:rFonts w:ascii="宋体" w:hAnsi="宋体"/>
                <w:color w:val="000000" w:themeColor="text1"/>
                <w:sz w:val="24"/>
                <w:szCs w:val="24"/>
                <w:highlight w:val="none"/>
              </w:rPr>
            </w:pPr>
            <w:r>
              <w:rPr>
                <w:rFonts w:hint="eastAsia" w:ascii="宋体" w:hAnsi="宋体"/>
                <w:color w:val="000000" w:themeColor="text1"/>
                <w:sz w:val="24"/>
                <w:szCs w:val="24"/>
                <w:highlight w:val="none"/>
              </w:rPr>
              <w:t>是否按《具有良好的财务会计制度、依法缴纳税收和社会保障资金的承诺函》格式填写且盖章</w:t>
            </w:r>
          </w:p>
        </w:tc>
      </w:tr>
      <w:tr w14:paraId="5CC0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shd w:val="clear" w:color="auto" w:fill="auto"/>
            <w:vAlign w:val="center"/>
          </w:tcPr>
          <w:p w14:paraId="49C4CCB0">
            <w:pPr>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3</w:t>
            </w:r>
          </w:p>
        </w:tc>
        <w:tc>
          <w:tcPr>
            <w:tcW w:w="1748" w:type="dxa"/>
            <w:shd w:val="clear" w:color="auto" w:fill="auto"/>
            <w:vAlign w:val="center"/>
          </w:tcPr>
          <w:p w14:paraId="3718E3D3">
            <w:pPr>
              <w:ind w:left="-92" w:leftChars="-44" w:right="-80" w:rightChars="-38"/>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履行合同所必需的设备和专业技术能力</w:t>
            </w:r>
          </w:p>
        </w:tc>
        <w:tc>
          <w:tcPr>
            <w:tcW w:w="6317" w:type="dxa"/>
            <w:shd w:val="clear" w:color="auto" w:fill="auto"/>
            <w:vAlign w:val="center"/>
          </w:tcPr>
          <w:p w14:paraId="70BA56D6">
            <w:pPr>
              <w:ind w:left="13" w:leftChars="6"/>
              <w:rPr>
                <w:rFonts w:ascii="宋体" w:hAnsi="宋体"/>
                <w:color w:val="000000" w:themeColor="text1"/>
                <w:sz w:val="24"/>
                <w:szCs w:val="24"/>
                <w:highlight w:val="none"/>
              </w:rPr>
            </w:pPr>
            <w:r>
              <w:rPr>
                <w:rFonts w:hint="eastAsia" w:ascii="宋体" w:hAnsi="宋体"/>
                <w:color w:val="000000" w:themeColor="text1"/>
                <w:sz w:val="24"/>
                <w:szCs w:val="24"/>
                <w:highlight w:val="none"/>
              </w:rPr>
              <w:t>是否按《具有履行合同所必需设备和专业技术能力的承诺函》格式填写且盖章</w:t>
            </w:r>
          </w:p>
        </w:tc>
      </w:tr>
      <w:tr w14:paraId="20D1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shd w:val="clear" w:color="auto" w:fill="auto"/>
            <w:vAlign w:val="center"/>
          </w:tcPr>
          <w:p w14:paraId="010572FB">
            <w:pPr>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4</w:t>
            </w:r>
          </w:p>
        </w:tc>
        <w:tc>
          <w:tcPr>
            <w:tcW w:w="1748" w:type="dxa"/>
            <w:shd w:val="clear" w:color="auto" w:fill="auto"/>
            <w:vAlign w:val="center"/>
          </w:tcPr>
          <w:p w14:paraId="52F4CA4D">
            <w:pPr>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无重大违法记录</w:t>
            </w:r>
          </w:p>
        </w:tc>
        <w:tc>
          <w:tcPr>
            <w:tcW w:w="6317" w:type="dxa"/>
            <w:shd w:val="clear" w:color="auto" w:fill="auto"/>
            <w:vAlign w:val="center"/>
          </w:tcPr>
          <w:p w14:paraId="42C50AD0">
            <w:pPr>
              <w:ind w:left="-92" w:leftChars="-44" w:firstLine="91" w:firstLineChars="38"/>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是否按《无重大违法记录声明书》格式填写且盖章</w:t>
            </w:r>
          </w:p>
        </w:tc>
      </w:tr>
      <w:tr w14:paraId="6433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shd w:val="clear" w:color="auto" w:fill="auto"/>
            <w:vAlign w:val="center"/>
          </w:tcPr>
          <w:p w14:paraId="0593339A">
            <w:pPr>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5</w:t>
            </w:r>
          </w:p>
        </w:tc>
        <w:tc>
          <w:tcPr>
            <w:tcW w:w="1748" w:type="dxa"/>
            <w:shd w:val="clear" w:color="auto" w:fill="auto"/>
            <w:vAlign w:val="center"/>
          </w:tcPr>
          <w:p w14:paraId="6D3C174A">
            <w:pPr>
              <w:jc w:val="center"/>
              <w:rPr>
                <w:rFonts w:ascii="宋体" w:hAnsi="宋体"/>
                <w:color w:val="000000" w:themeColor="text1"/>
                <w:sz w:val="24"/>
                <w:szCs w:val="24"/>
                <w:highlight w:val="none"/>
              </w:rPr>
            </w:pPr>
            <w:r>
              <w:rPr>
                <w:rFonts w:hint="eastAsia" w:ascii="宋体" w:hAnsi="宋体" w:cs="宋体"/>
                <w:color w:val="000000" w:themeColor="text1"/>
                <w:sz w:val="24"/>
                <w:szCs w:val="24"/>
                <w:highlight w:val="none"/>
              </w:rPr>
              <w:t>落实政府采购政策需满足的资格要求</w:t>
            </w:r>
          </w:p>
        </w:tc>
        <w:tc>
          <w:tcPr>
            <w:tcW w:w="6317" w:type="dxa"/>
            <w:shd w:val="clear" w:color="auto" w:fill="auto"/>
            <w:vAlign w:val="center"/>
          </w:tcPr>
          <w:p w14:paraId="2754539B">
            <w:pPr>
              <w:ind w:left="-92" w:leftChars="-44" w:firstLine="91" w:firstLineChars="38"/>
              <w:jc w:val="left"/>
              <w:rPr>
                <w:rFonts w:ascii="宋体" w:hAnsi="宋体"/>
                <w:color w:val="000000" w:themeColor="text1"/>
                <w:sz w:val="24"/>
                <w:szCs w:val="24"/>
                <w:highlight w:val="none"/>
              </w:rPr>
            </w:pPr>
            <w:r>
              <w:rPr>
                <w:rFonts w:hint="eastAsia" w:ascii="宋体" w:hAnsi="宋体" w:cs="宋体"/>
                <w:bCs/>
                <w:color w:val="000000" w:themeColor="text1"/>
                <w:sz w:val="24"/>
                <w:szCs w:val="24"/>
                <w:highlight w:val="none"/>
              </w:rPr>
              <w:t>中小企业声明函或监狱企业声明函或残疾人福利性企业声明函</w:t>
            </w:r>
          </w:p>
        </w:tc>
      </w:tr>
      <w:tr w14:paraId="1164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shd w:val="clear" w:color="auto" w:fill="auto"/>
            <w:vAlign w:val="center"/>
          </w:tcPr>
          <w:p w14:paraId="3B032E1C">
            <w:pPr>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6</w:t>
            </w:r>
          </w:p>
        </w:tc>
        <w:tc>
          <w:tcPr>
            <w:tcW w:w="1748" w:type="dxa"/>
            <w:shd w:val="clear" w:color="auto" w:fill="auto"/>
            <w:vAlign w:val="center"/>
          </w:tcPr>
          <w:p w14:paraId="07146DC9">
            <w:pPr>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信用信息查询</w:t>
            </w:r>
          </w:p>
        </w:tc>
        <w:tc>
          <w:tcPr>
            <w:tcW w:w="6317" w:type="dxa"/>
            <w:shd w:val="clear" w:color="auto" w:fill="auto"/>
            <w:vAlign w:val="center"/>
          </w:tcPr>
          <w:p w14:paraId="39AF67AE">
            <w:pPr>
              <w:ind w:left="-92" w:leftChars="-44" w:firstLine="91" w:firstLineChars="38"/>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1. 查询网址：</w:t>
            </w:r>
          </w:p>
          <w:p w14:paraId="6CF1B891">
            <w:pPr>
              <w:ind w:left="-92" w:leftChars="-44" w:firstLine="91" w:firstLineChars="38"/>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fldChar w:fldCharType="begin"/>
            </w:r>
            <w:r>
              <w:rPr>
                <w:rFonts w:hint="eastAsia" w:ascii="宋体" w:hAnsi="宋体"/>
                <w:color w:val="000000" w:themeColor="text1"/>
                <w:sz w:val="24"/>
                <w:szCs w:val="24"/>
                <w:highlight w:val="none"/>
              </w:rPr>
              <w:instrText xml:space="preserve"> = 1 \* GB2 </w:instrText>
            </w:r>
            <w:r>
              <w:rPr>
                <w:rFonts w:hint="eastAsia" w:ascii="宋体" w:hAnsi="宋体"/>
                <w:color w:val="000000" w:themeColor="text1"/>
                <w:sz w:val="24"/>
                <w:szCs w:val="24"/>
                <w:highlight w:val="none"/>
              </w:rPr>
              <w:fldChar w:fldCharType="separate"/>
            </w:r>
            <w:r>
              <w:rPr>
                <w:rFonts w:hint="eastAsia" w:ascii="宋体" w:hAnsi="宋体"/>
                <w:color w:val="000000" w:themeColor="text1"/>
                <w:sz w:val="24"/>
                <w:szCs w:val="24"/>
                <w:highlight w:val="none"/>
              </w:rPr>
              <w:t>⑴</w:t>
            </w:r>
            <w:r>
              <w:rPr>
                <w:rFonts w:hint="eastAsia" w:ascii="宋体" w:hAnsi="宋体"/>
                <w:color w:val="000000" w:themeColor="text1"/>
                <w:sz w:val="24"/>
                <w:szCs w:val="24"/>
                <w:highlight w:val="none"/>
              </w:rPr>
              <w:fldChar w:fldCharType="end"/>
            </w:r>
            <w:r>
              <w:rPr>
                <w:rFonts w:hint="eastAsia" w:ascii="宋体" w:hAnsi="宋体"/>
                <w:color w:val="000000" w:themeColor="text1"/>
                <w:sz w:val="24"/>
                <w:szCs w:val="24"/>
                <w:highlight w:val="none"/>
              </w:rPr>
              <w:t>信用中国（</w:t>
            </w:r>
            <w:r>
              <w:rPr>
                <w:color w:val="000000" w:themeColor="text1"/>
                <w:highlight w:val="none"/>
              </w:rPr>
              <w:fldChar w:fldCharType="begin"/>
            </w:r>
            <w:r>
              <w:rPr>
                <w:color w:val="000000" w:themeColor="text1"/>
                <w:highlight w:val="none"/>
              </w:rPr>
              <w:instrText xml:space="preserve"> HYPERLINK "http://www.creditchina.gov.cn" </w:instrText>
            </w:r>
            <w:r>
              <w:rPr>
                <w:color w:val="000000" w:themeColor="text1"/>
                <w:highlight w:val="none"/>
              </w:rPr>
              <w:fldChar w:fldCharType="separate"/>
            </w:r>
            <w:r>
              <w:rPr>
                <w:rStyle w:val="52"/>
                <w:rFonts w:hint="eastAsia" w:ascii="宋体" w:hAnsi="宋体"/>
                <w:color w:val="000000" w:themeColor="text1"/>
                <w:sz w:val="24"/>
                <w:szCs w:val="24"/>
                <w:highlight w:val="none"/>
              </w:rPr>
              <w:t>www.creditchina.gov.cn</w:t>
            </w:r>
            <w:r>
              <w:rPr>
                <w:rStyle w:val="52"/>
                <w:rFonts w:hint="eastAsia" w:ascii="宋体" w:hAnsi="宋体"/>
                <w:color w:val="000000" w:themeColor="text1"/>
                <w:sz w:val="24"/>
                <w:szCs w:val="24"/>
                <w:highlight w:val="none"/>
              </w:rPr>
              <w:fldChar w:fldCharType="end"/>
            </w:r>
            <w:r>
              <w:rPr>
                <w:rFonts w:hint="eastAsia" w:ascii="宋体" w:hAnsi="宋体"/>
                <w:color w:val="000000" w:themeColor="text1"/>
                <w:sz w:val="24"/>
                <w:szCs w:val="24"/>
                <w:highlight w:val="none"/>
              </w:rPr>
              <w:t>）</w:t>
            </w:r>
          </w:p>
          <w:p w14:paraId="6E8389AA">
            <w:pPr>
              <w:ind w:left="-92" w:leftChars="-44" w:firstLine="91" w:firstLineChars="38"/>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fldChar w:fldCharType="begin"/>
            </w:r>
            <w:r>
              <w:rPr>
                <w:rFonts w:hint="eastAsia" w:ascii="宋体" w:hAnsi="宋体"/>
                <w:color w:val="000000" w:themeColor="text1"/>
                <w:sz w:val="24"/>
                <w:szCs w:val="24"/>
                <w:highlight w:val="none"/>
              </w:rPr>
              <w:instrText xml:space="preserve"> = 2 \* GB2 </w:instrText>
            </w:r>
            <w:r>
              <w:rPr>
                <w:rFonts w:hint="eastAsia" w:ascii="宋体" w:hAnsi="宋体"/>
                <w:color w:val="000000" w:themeColor="text1"/>
                <w:sz w:val="24"/>
                <w:szCs w:val="24"/>
                <w:highlight w:val="none"/>
              </w:rPr>
              <w:fldChar w:fldCharType="separate"/>
            </w:r>
            <w:r>
              <w:rPr>
                <w:rFonts w:hint="eastAsia" w:ascii="宋体" w:hAnsi="宋体"/>
                <w:color w:val="000000" w:themeColor="text1"/>
                <w:sz w:val="24"/>
                <w:szCs w:val="24"/>
                <w:highlight w:val="none"/>
              </w:rPr>
              <w:t>⑵</w:t>
            </w:r>
            <w:r>
              <w:rPr>
                <w:rFonts w:hint="eastAsia" w:ascii="宋体" w:hAnsi="宋体"/>
                <w:color w:val="000000" w:themeColor="text1"/>
                <w:sz w:val="24"/>
                <w:szCs w:val="24"/>
                <w:highlight w:val="none"/>
              </w:rPr>
              <w:fldChar w:fldCharType="end"/>
            </w:r>
            <w:r>
              <w:rPr>
                <w:rFonts w:hint="eastAsia" w:ascii="宋体" w:hAnsi="宋体"/>
                <w:color w:val="000000" w:themeColor="text1"/>
                <w:sz w:val="24"/>
                <w:szCs w:val="24"/>
                <w:highlight w:val="none"/>
              </w:rPr>
              <w:t>中国政府采购网（</w:t>
            </w:r>
            <w:r>
              <w:rPr>
                <w:color w:val="000000" w:themeColor="text1"/>
                <w:highlight w:val="none"/>
              </w:rPr>
              <w:fldChar w:fldCharType="begin"/>
            </w:r>
            <w:r>
              <w:rPr>
                <w:color w:val="000000" w:themeColor="text1"/>
                <w:highlight w:val="none"/>
              </w:rPr>
              <w:instrText xml:space="preserve"> HYPERLINK "http://www.ccgp.gov.cn" </w:instrText>
            </w:r>
            <w:r>
              <w:rPr>
                <w:color w:val="000000" w:themeColor="text1"/>
                <w:highlight w:val="none"/>
              </w:rPr>
              <w:fldChar w:fldCharType="separate"/>
            </w:r>
            <w:r>
              <w:rPr>
                <w:rStyle w:val="52"/>
                <w:rFonts w:hint="eastAsia" w:ascii="宋体" w:hAnsi="宋体"/>
                <w:color w:val="000000" w:themeColor="text1"/>
                <w:sz w:val="24"/>
                <w:szCs w:val="24"/>
                <w:highlight w:val="none"/>
              </w:rPr>
              <w:t>www.ccgp.gov.cn</w:t>
            </w:r>
            <w:r>
              <w:rPr>
                <w:rStyle w:val="52"/>
                <w:rFonts w:hint="eastAsia" w:ascii="宋体" w:hAnsi="宋体"/>
                <w:color w:val="000000" w:themeColor="text1"/>
                <w:sz w:val="24"/>
                <w:szCs w:val="24"/>
                <w:highlight w:val="none"/>
              </w:rPr>
              <w:fldChar w:fldCharType="end"/>
            </w:r>
            <w:r>
              <w:rPr>
                <w:rFonts w:hint="eastAsia" w:ascii="宋体" w:hAnsi="宋体"/>
                <w:color w:val="000000" w:themeColor="text1"/>
                <w:sz w:val="24"/>
                <w:szCs w:val="24"/>
                <w:highlight w:val="none"/>
              </w:rPr>
              <w:t>）</w:t>
            </w:r>
          </w:p>
          <w:p w14:paraId="6DBDB933">
            <w:pPr>
              <w:ind w:left="-92" w:leftChars="-44" w:firstLine="91" w:firstLineChars="38"/>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2. 核对事项：</w:t>
            </w:r>
          </w:p>
          <w:p w14:paraId="33A7F4BB">
            <w:pPr>
              <w:ind w:left="-92" w:leftChars="-44" w:firstLine="91" w:firstLineChars="38"/>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有无被列入失信被执行人、重大税收违法案件当事人名单、政府采购严重违法失信行为记录名单；</w:t>
            </w:r>
          </w:p>
          <w:p w14:paraId="6120E38F">
            <w:pPr>
              <w:ind w:left="-92" w:leftChars="-44" w:firstLine="92" w:firstLineChars="38"/>
              <w:jc w:val="left"/>
              <w:rPr>
                <w:rFonts w:ascii="宋体" w:hAnsi="宋体"/>
                <w:color w:val="000000" w:themeColor="text1"/>
                <w:sz w:val="24"/>
                <w:szCs w:val="24"/>
                <w:highlight w:val="none"/>
              </w:rPr>
            </w:pPr>
            <w:r>
              <w:rPr>
                <w:rFonts w:hint="eastAsia" w:ascii="宋体" w:hAnsi="宋体"/>
                <w:b/>
                <w:color w:val="000000" w:themeColor="text1"/>
                <w:sz w:val="24"/>
                <w:szCs w:val="24"/>
                <w:highlight w:val="none"/>
              </w:rPr>
              <w:t>注：</w:t>
            </w:r>
            <w:r>
              <w:rPr>
                <w:rFonts w:hint="eastAsia" w:ascii="宋体" w:hAnsi="宋体"/>
                <w:color w:val="000000" w:themeColor="text1"/>
                <w:sz w:val="24"/>
                <w:szCs w:val="24"/>
                <w:highlight w:val="none"/>
              </w:rPr>
              <w:t>信用信息已修复的，以修复后的信息为准。</w:t>
            </w:r>
          </w:p>
        </w:tc>
      </w:tr>
      <w:tr w14:paraId="45A2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69" w:type="dxa"/>
            <w:gridSpan w:val="3"/>
            <w:shd w:val="clear" w:color="auto" w:fill="auto"/>
            <w:vAlign w:val="center"/>
          </w:tcPr>
          <w:p w14:paraId="06E17E5C">
            <w:pPr>
              <w:jc w:val="left"/>
              <w:rPr>
                <w:rFonts w:ascii="宋体" w:hAnsi="宋体"/>
                <w:b/>
                <w:color w:val="000000" w:themeColor="text1"/>
                <w:sz w:val="24"/>
                <w:szCs w:val="24"/>
                <w:highlight w:val="none"/>
              </w:rPr>
            </w:pPr>
            <w:r>
              <w:rPr>
                <w:rFonts w:hint="eastAsia" w:ascii="宋体" w:hAnsi="宋体"/>
                <w:b/>
                <w:color w:val="000000" w:themeColor="text1"/>
                <w:sz w:val="24"/>
                <w:szCs w:val="24"/>
                <w:highlight w:val="none"/>
              </w:rPr>
              <w:t>注：以上资料内容须清晰可辨的，模糊不清造成资格审查不予以通过，由供应商自行负责；</w:t>
            </w:r>
          </w:p>
        </w:tc>
      </w:tr>
    </w:tbl>
    <w:p w14:paraId="12FF5FEF">
      <w:pPr>
        <w:spacing w:line="360" w:lineRule="auto"/>
        <w:ind w:left="964" w:hanging="964" w:hangingChars="400"/>
        <w:rPr>
          <w:rFonts w:ascii="宋体" w:hAnsi="宋体" w:cs="宋体"/>
          <w:b/>
          <w:color w:val="000000" w:themeColor="text1"/>
          <w:sz w:val="24"/>
          <w:highlight w:val="none"/>
        </w:rPr>
      </w:pPr>
      <w:r>
        <w:rPr>
          <w:rFonts w:hint="eastAsia" w:ascii="宋体" w:hAnsi="宋体" w:cs="宋体"/>
          <w:b/>
          <w:color w:val="000000" w:themeColor="text1"/>
          <w:sz w:val="24"/>
          <w:highlight w:val="none"/>
        </w:rPr>
        <w:t>6.2.3   供应商家数要求</w:t>
      </w:r>
    </w:p>
    <w:p w14:paraId="5EBC6296">
      <w:pPr>
        <w:spacing w:line="360" w:lineRule="auto"/>
        <w:ind w:left="1186" w:leftChars="450" w:hanging="241" w:hangingChars="100"/>
        <w:rPr>
          <w:rFonts w:ascii="宋体" w:hAnsi="宋体" w:cs="宋体"/>
          <w:b/>
          <w:color w:val="000000" w:themeColor="text1"/>
          <w:sz w:val="24"/>
          <w:highlight w:val="none"/>
        </w:rPr>
      </w:pPr>
      <w:r>
        <w:rPr>
          <w:rFonts w:hint="eastAsia" w:ascii="宋体" w:hAnsi="宋体" w:cs="宋体"/>
          <w:b/>
          <w:color w:val="000000" w:themeColor="text1"/>
          <w:sz w:val="24"/>
          <w:highlight w:val="none"/>
        </w:rPr>
        <w:fldChar w:fldCharType="begin"/>
      </w:r>
      <w:r>
        <w:rPr>
          <w:rFonts w:hint="eastAsia" w:ascii="宋体" w:hAnsi="宋体" w:cs="宋体"/>
          <w:b/>
          <w:color w:val="000000" w:themeColor="text1"/>
          <w:sz w:val="24"/>
          <w:highlight w:val="none"/>
        </w:rPr>
        <w:instrText xml:space="preserve"> = 1 \* GB2 </w:instrText>
      </w:r>
      <w:r>
        <w:rPr>
          <w:rFonts w:hint="eastAsia" w:ascii="宋体" w:hAnsi="宋体" w:cs="宋体"/>
          <w:b/>
          <w:color w:val="000000" w:themeColor="text1"/>
          <w:sz w:val="24"/>
          <w:highlight w:val="none"/>
        </w:rPr>
        <w:fldChar w:fldCharType="separate"/>
      </w:r>
      <w:r>
        <w:rPr>
          <w:rFonts w:hint="eastAsia" w:ascii="宋体" w:hAnsi="宋体" w:cs="宋体"/>
          <w:b/>
          <w:color w:val="000000" w:themeColor="text1"/>
          <w:sz w:val="24"/>
          <w:highlight w:val="none"/>
        </w:rPr>
        <w:t>⑴</w:t>
      </w:r>
      <w:r>
        <w:rPr>
          <w:rFonts w:hint="eastAsia" w:ascii="宋体" w:hAnsi="宋体" w:cs="宋体"/>
          <w:b/>
          <w:color w:val="000000" w:themeColor="text1"/>
          <w:sz w:val="24"/>
          <w:highlight w:val="none"/>
        </w:rPr>
        <w:fldChar w:fldCharType="end"/>
      </w:r>
      <w:r>
        <w:rPr>
          <w:rFonts w:hint="eastAsia" w:ascii="宋体" w:hAnsi="宋体" w:cs="宋体"/>
          <w:b/>
          <w:color w:val="000000" w:themeColor="text1"/>
          <w:sz w:val="24"/>
          <w:highlight w:val="none"/>
        </w:rPr>
        <w:t>因市场竞争不充分的科研项目以及需要扶持的科技成果转化项目提交最后报价的供应商可以为2家；</w:t>
      </w:r>
    </w:p>
    <w:p w14:paraId="27831DDE">
      <w:pPr>
        <w:spacing w:line="360" w:lineRule="auto"/>
        <w:ind w:left="1186" w:leftChars="450" w:hanging="241" w:hangingChars="100"/>
        <w:rPr>
          <w:rFonts w:ascii="宋体" w:hAnsi="宋体" w:cs="宋体"/>
          <w:b/>
          <w:color w:val="000000" w:themeColor="text1"/>
          <w:sz w:val="24"/>
          <w:highlight w:val="none"/>
        </w:rPr>
      </w:pPr>
      <w:r>
        <w:rPr>
          <w:rFonts w:hint="eastAsia" w:ascii="宋体" w:hAnsi="宋体" w:cs="宋体"/>
          <w:b/>
          <w:color w:val="000000" w:themeColor="text1"/>
          <w:sz w:val="24"/>
          <w:highlight w:val="none"/>
        </w:rPr>
        <w:fldChar w:fldCharType="begin"/>
      </w:r>
      <w:r>
        <w:rPr>
          <w:rFonts w:hint="eastAsia" w:ascii="宋体" w:hAnsi="宋体" w:cs="宋体"/>
          <w:b/>
          <w:color w:val="000000" w:themeColor="text1"/>
          <w:sz w:val="24"/>
          <w:highlight w:val="none"/>
        </w:rPr>
        <w:instrText xml:space="preserve"> = 2 \* GB2 </w:instrText>
      </w:r>
      <w:r>
        <w:rPr>
          <w:rFonts w:hint="eastAsia" w:ascii="宋体" w:hAnsi="宋体" w:cs="宋体"/>
          <w:b/>
          <w:color w:val="000000" w:themeColor="text1"/>
          <w:sz w:val="24"/>
          <w:highlight w:val="none"/>
        </w:rPr>
        <w:fldChar w:fldCharType="separate"/>
      </w:r>
      <w:r>
        <w:rPr>
          <w:rFonts w:hint="eastAsia" w:ascii="宋体" w:hAnsi="宋体" w:cs="宋体"/>
          <w:b/>
          <w:color w:val="000000" w:themeColor="text1"/>
          <w:sz w:val="24"/>
          <w:highlight w:val="none"/>
        </w:rPr>
        <w:t>⑵</w:t>
      </w:r>
      <w:r>
        <w:rPr>
          <w:rFonts w:hint="eastAsia" w:ascii="宋体" w:hAnsi="宋体" w:cs="宋体"/>
          <w:b/>
          <w:color w:val="000000" w:themeColor="text1"/>
          <w:sz w:val="24"/>
          <w:highlight w:val="none"/>
        </w:rPr>
        <w:fldChar w:fldCharType="end"/>
      </w:r>
      <w:r>
        <w:rPr>
          <w:rFonts w:hint="eastAsia" w:ascii="宋体" w:hAnsi="宋体" w:cs="宋体"/>
          <w:b/>
          <w:color w:val="000000" w:themeColor="text1"/>
          <w:sz w:val="24"/>
          <w:highlight w:val="none"/>
        </w:rPr>
        <w:t>政府购买服务项目（含政府和社会资格合作项目）在资格审查、符合性审查、提交最后报价过程中，符合要求的供应商只有2家的，采购活动可以继续进行；</w:t>
      </w:r>
    </w:p>
    <w:p w14:paraId="0E32C4DF">
      <w:pPr>
        <w:spacing w:line="360" w:lineRule="auto"/>
        <w:ind w:left="1186" w:leftChars="450" w:hanging="241" w:hangingChars="100"/>
        <w:rPr>
          <w:rFonts w:ascii="宋体" w:hAnsi="宋体" w:cs="宋体"/>
          <w:b/>
          <w:color w:val="000000" w:themeColor="text1"/>
          <w:sz w:val="24"/>
          <w:highlight w:val="none"/>
        </w:rPr>
      </w:pPr>
      <w:r>
        <w:rPr>
          <w:rFonts w:hint="eastAsia" w:ascii="宋体" w:hAnsi="宋体" w:cs="宋体"/>
          <w:b/>
          <w:color w:val="000000" w:themeColor="text1"/>
          <w:sz w:val="24"/>
          <w:highlight w:val="none"/>
        </w:rPr>
        <w:fldChar w:fldCharType="begin"/>
      </w:r>
      <w:r>
        <w:rPr>
          <w:rFonts w:hint="eastAsia" w:ascii="宋体" w:hAnsi="宋体" w:cs="宋体"/>
          <w:b/>
          <w:color w:val="000000" w:themeColor="text1"/>
          <w:sz w:val="24"/>
          <w:highlight w:val="none"/>
        </w:rPr>
        <w:instrText xml:space="preserve"> = 3 \* GB2 </w:instrText>
      </w:r>
      <w:r>
        <w:rPr>
          <w:rFonts w:hint="eastAsia" w:ascii="宋体" w:hAnsi="宋体" w:cs="宋体"/>
          <w:b/>
          <w:color w:val="000000" w:themeColor="text1"/>
          <w:sz w:val="24"/>
          <w:highlight w:val="none"/>
        </w:rPr>
        <w:fldChar w:fldCharType="separate"/>
      </w:r>
      <w:r>
        <w:rPr>
          <w:rFonts w:hint="eastAsia" w:ascii="宋体" w:hAnsi="宋体" w:cs="宋体"/>
          <w:b/>
          <w:color w:val="000000" w:themeColor="text1"/>
          <w:sz w:val="24"/>
          <w:highlight w:val="none"/>
        </w:rPr>
        <w:t>⑶</w:t>
      </w:r>
      <w:r>
        <w:rPr>
          <w:rFonts w:hint="eastAsia" w:ascii="宋体" w:hAnsi="宋体" w:cs="宋体"/>
          <w:b/>
          <w:color w:val="000000" w:themeColor="text1"/>
          <w:sz w:val="24"/>
          <w:highlight w:val="none"/>
        </w:rPr>
        <w:fldChar w:fldCharType="end"/>
      </w:r>
      <w:r>
        <w:rPr>
          <w:rFonts w:hint="eastAsia" w:ascii="宋体" w:hAnsi="宋体" w:cs="宋体"/>
          <w:b/>
          <w:color w:val="000000" w:themeColor="text1"/>
          <w:sz w:val="24"/>
          <w:highlight w:val="none"/>
        </w:rPr>
        <w:t>上述2种情形除外，采购过程中有效供应商均不的少于3家，否则不得进入评审，并按相关规定重新组织采购。</w:t>
      </w:r>
    </w:p>
    <w:p w14:paraId="395567B1">
      <w:pPr>
        <w:pStyle w:val="258"/>
        <w:rPr>
          <w:rFonts w:ascii="宋体" w:eastAsia="宋体"/>
          <w:color w:val="000000" w:themeColor="text1"/>
          <w:highlight w:val="none"/>
        </w:rPr>
      </w:pPr>
      <w:bookmarkStart w:id="202" w:name="_Toc80973273"/>
      <w:r>
        <w:rPr>
          <w:rFonts w:hint="eastAsia" w:ascii="宋体" w:eastAsia="宋体"/>
          <w:color w:val="000000" w:themeColor="text1"/>
          <w:highlight w:val="none"/>
        </w:rPr>
        <w:t xml:space="preserve">6.3     </w:t>
      </w:r>
      <w:bookmarkEnd w:id="201"/>
      <w:r>
        <w:rPr>
          <w:rFonts w:hint="eastAsia" w:ascii="宋体" w:eastAsia="宋体"/>
          <w:color w:val="000000" w:themeColor="text1"/>
          <w:highlight w:val="none"/>
        </w:rPr>
        <w:t>磋商和评审</w:t>
      </w:r>
      <w:bookmarkEnd w:id="202"/>
    </w:p>
    <w:p w14:paraId="39AE2992">
      <w:pPr>
        <w:pStyle w:val="7"/>
        <w:spacing w:line="360" w:lineRule="auto"/>
        <w:ind w:firstLine="0"/>
        <w:rPr>
          <w:rFonts w:ascii="宋体" w:hAnsi="宋体" w:cs="宋体"/>
          <w:color w:val="000000" w:themeColor="text1"/>
          <w:highlight w:val="none"/>
        </w:rPr>
      </w:pPr>
      <w:r>
        <w:rPr>
          <w:rFonts w:hint="eastAsia" w:ascii="宋体" w:hAnsi="宋体" w:cs="宋体"/>
          <w:color w:val="000000" w:themeColor="text1"/>
          <w:sz w:val="24"/>
          <w:highlight w:val="none"/>
        </w:rPr>
        <w:t>6.3.1   评审办法：见供应商须知前附表（一）；</w:t>
      </w:r>
    </w:p>
    <w:p w14:paraId="12A9902A">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6.3.2   磋商小组由采购代理机构组建：磋商小组由评审专家或采购人代表和评审专家组成，成员人数为3人以上单数，其中评审专家不少于成员总数的三分之二。评审专家按规定从评审专家库中随机抽取。如有特殊情况的，按相关规定组建磋商小组；</w:t>
      </w:r>
    </w:p>
    <w:p w14:paraId="79C6DFDA">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6.3.3   磋商和评审由磋商小组负责，磋商小组应当按照客观、公正、审慎的原则，根据磋商文件规定磋商和评审程序、评审办法和评审标准进行磋商、独立评审；</w:t>
      </w:r>
    </w:p>
    <w:p w14:paraId="7C4726D1">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6.3.4   磋商期间，磋商供应商代表必须在线等待，负责解答有关事宜；</w:t>
      </w:r>
    </w:p>
    <w:p w14:paraId="311C4023">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6.3.5   磋商和评审程序</w:t>
      </w:r>
    </w:p>
    <w:p w14:paraId="66800847">
      <w:pPr>
        <w:spacing w:line="360" w:lineRule="auto"/>
        <w:ind w:firstLine="964" w:firstLineChars="400"/>
        <w:jc w:val="left"/>
        <w:rPr>
          <w:rFonts w:ascii="宋体" w:hAnsi="宋体" w:cs="宋体"/>
          <w:b/>
          <w:color w:val="000000" w:themeColor="text1"/>
          <w:sz w:val="24"/>
          <w:highlight w:val="none"/>
        </w:rPr>
      </w:pPr>
      <w:r>
        <w:rPr>
          <w:rFonts w:hint="eastAsia" w:ascii="宋体" w:hAnsi="宋体" w:cs="宋体"/>
          <w:b/>
          <w:color w:val="000000" w:themeColor="text1"/>
          <w:sz w:val="24"/>
          <w:highlight w:val="none"/>
        </w:rPr>
        <w:fldChar w:fldCharType="begin"/>
      </w:r>
      <w:r>
        <w:rPr>
          <w:rFonts w:hint="eastAsia" w:ascii="宋体" w:hAnsi="宋体" w:cs="宋体"/>
          <w:b/>
          <w:color w:val="000000" w:themeColor="text1"/>
          <w:sz w:val="24"/>
          <w:highlight w:val="none"/>
        </w:rPr>
        <w:instrText xml:space="preserve"> = 1 \* GB2 </w:instrText>
      </w:r>
      <w:r>
        <w:rPr>
          <w:rFonts w:hint="eastAsia" w:ascii="宋体" w:hAnsi="宋体" w:cs="宋体"/>
          <w:b/>
          <w:color w:val="000000" w:themeColor="text1"/>
          <w:sz w:val="24"/>
          <w:highlight w:val="none"/>
        </w:rPr>
        <w:fldChar w:fldCharType="separate"/>
      </w:r>
      <w:r>
        <w:rPr>
          <w:rFonts w:hint="eastAsia" w:ascii="宋体" w:hAnsi="宋体" w:cs="宋体"/>
          <w:b/>
          <w:color w:val="000000" w:themeColor="text1"/>
          <w:sz w:val="24"/>
          <w:highlight w:val="none"/>
        </w:rPr>
        <w:t>⑴</w:t>
      </w:r>
      <w:r>
        <w:rPr>
          <w:rFonts w:hint="eastAsia" w:ascii="宋体" w:hAnsi="宋体" w:cs="宋体"/>
          <w:b/>
          <w:color w:val="000000" w:themeColor="text1"/>
          <w:sz w:val="24"/>
          <w:highlight w:val="none"/>
        </w:rPr>
        <w:fldChar w:fldCharType="end"/>
      </w:r>
      <w:r>
        <w:rPr>
          <w:rFonts w:hint="eastAsia" w:ascii="宋体" w:hAnsi="宋体" w:cs="宋体"/>
          <w:b/>
          <w:color w:val="000000" w:themeColor="text1"/>
          <w:sz w:val="24"/>
          <w:highlight w:val="none"/>
        </w:rPr>
        <w:t>符合性审查</w:t>
      </w:r>
    </w:p>
    <w:p w14:paraId="226F3946">
      <w:pPr>
        <w:numPr>
          <w:ilvl w:val="0"/>
          <w:numId w:val="3"/>
        </w:numPr>
        <w:spacing w:line="360" w:lineRule="auto"/>
        <w:ind w:left="1276" w:hanging="230"/>
        <w:jc w:val="left"/>
        <w:rPr>
          <w:rFonts w:ascii="宋体" w:hAnsi="宋体" w:cs="宋体"/>
          <w:color w:val="000000" w:themeColor="text1"/>
          <w:sz w:val="24"/>
          <w:highlight w:val="none"/>
        </w:rPr>
      </w:pPr>
      <w:r>
        <w:rPr>
          <w:rFonts w:hint="eastAsia" w:ascii="宋体" w:hAnsi="宋体" w:cs="宋体"/>
          <w:color w:val="000000" w:themeColor="text1"/>
          <w:sz w:val="24"/>
          <w:highlight w:val="none"/>
        </w:rPr>
        <w:t>磋商小组对磋商响应文件的有效性、完整性和对磋商文件的响应程度进行符合性审查，以确定是否对磋商文件的实质性要求作出响应，实质性响应是指磋商响应文件符合磋商文件规定的实质性内容、条件和规定；</w:t>
      </w:r>
    </w:p>
    <w:p w14:paraId="649AE15E">
      <w:pPr>
        <w:spacing w:line="360" w:lineRule="auto"/>
        <w:ind w:firstLine="964" w:firstLineChars="400"/>
        <w:jc w:val="left"/>
        <w:rPr>
          <w:rFonts w:ascii="宋体" w:hAnsi="宋体" w:cs="宋体"/>
          <w:b/>
          <w:color w:val="000000" w:themeColor="text1"/>
          <w:sz w:val="24"/>
          <w:highlight w:val="none"/>
        </w:rPr>
      </w:pPr>
      <w:r>
        <w:rPr>
          <w:rFonts w:hint="eastAsia" w:ascii="宋体" w:hAnsi="宋体" w:cs="宋体"/>
          <w:b/>
          <w:color w:val="000000" w:themeColor="text1"/>
          <w:sz w:val="24"/>
          <w:highlight w:val="none"/>
        </w:rPr>
        <w:fldChar w:fldCharType="begin"/>
      </w:r>
      <w:r>
        <w:rPr>
          <w:rFonts w:hint="eastAsia" w:ascii="宋体" w:hAnsi="宋体" w:cs="宋体"/>
          <w:b/>
          <w:color w:val="000000" w:themeColor="text1"/>
          <w:sz w:val="24"/>
          <w:highlight w:val="none"/>
        </w:rPr>
        <w:instrText xml:space="preserve"> = 2 \* GB2 </w:instrText>
      </w:r>
      <w:r>
        <w:rPr>
          <w:rFonts w:hint="eastAsia" w:ascii="宋体" w:hAnsi="宋体" w:cs="宋体"/>
          <w:b/>
          <w:color w:val="000000" w:themeColor="text1"/>
          <w:sz w:val="24"/>
          <w:highlight w:val="none"/>
        </w:rPr>
        <w:fldChar w:fldCharType="separate"/>
      </w:r>
      <w:r>
        <w:rPr>
          <w:rFonts w:hint="eastAsia" w:ascii="宋体" w:hAnsi="宋体" w:cs="宋体"/>
          <w:b/>
          <w:color w:val="000000" w:themeColor="text1"/>
          <w:sz w:val="24"/>
          <w:highlight w:val="none"/>
        </w:rPr>
        <w:t>⑵</w:t>
      </w:r>
      <w:r>
        <w:rPr>
          <w:rFonts w:hint="eastAsia" w:ascii="宋体" w:hAnsi="宋体" w:cs="宋体"/>
          <w:b/>
          <w:color w:val="000000" w:themeColor="text1"/>
          <w:sz w:val="24"/>
          <w:highlight w:val="none"/>
        </w:rPr>
        <w:fldChar w:fldCharType="end"/>
      </w:r>
      <w:r>
        <w:rPr>
          <w:rFonts w:hint="eastAsia" w:ascii="宋体" w:hAnsi="宋体" w:cs="宋体"/>
          <w:b/>
          <w:color w:val="000000" w:themeColor="text1"/>
          <w:sz w:val="24"/>
          <w:highlight w:val="none"/>
        </w:rPr>
        <w:t>磋商</w:t>
      </w:r>
    </w:p>
    <w:p w14:paraId="5D183D41">
      <w:pPr>
        <w:spacing w:line="360" w:lineRule="auto"/>
        <w:ind w:left="1260"/>
        <w:jc w:val="left"/>
        <w:rPr>
          <w:rFonts w:ascii="宋体" w:hAnsi="宋体" w:cs="宋体"/>
          <w:color w:val="000000" w:themeColor="text1"/>
          <w:sz w:val="24"/>
          <w:highlight w:val="none"/>
        </w:rPr>
      </w:pPr>
      <w:r>
        <w:rPr>
          <w:rFonts w:hint="eastAsia" w:ascii="宋体" w:hAnsi="宋体" w:cs="宋体"/>
          <w:color w:val="000000" w:themeColor="text1"/>
          <w:sz w:val="24"/>
          <w:highlight w:val="none"/>
        </w:rPr>
        <w:t>磋商小组对磋商响应文件进行评审，并根据磋商文件规定的程序、采购需求中的技术、服务要求以及合同格式条款等事项与实质性响应磋商文件要求的供应商进行多轮磋商。</w:t>
      </w:r>
    </w:p>
    <w:p w14:paraId="22281762">
      <w:pPr>
        <w:numPr>
          <w:ilvl w:val="0"/>
          <w:numId w:val="3"/>
        </w:numPr>
        <w:spacing w:line="360" w:lineRule="auto"/>
        <w:ind w:left="1260" w:hanging="214"/>
        <w:jc w:val="left"/>
        <w:rPr>
          <w:rFonts w:ascii="宋体" w:hAnsi="宋体" w:cs="宋体"/>
          <w:color w:val="000000" w:themeColor="text1"/>
          <w:sz w:val="24"/>
          <w:highlight w:val="none"/>
        </w:rPr>
      </w:pPr>
      <w:r>
        <w:rPr>
          <w:rFonts w:hint="eastAsia" w:ascii="宋体" w:hAnsi="宋体" w:cs="宋体"/>
          <w:color w:val="000000" w:themeColor="text1"/>
          <w:sz w:val="24"/>
          <w:highlight w:val="none"/>
        </w:rPr>
        <w:t>磋商小组按政采云平台系统自动生成</w:t>
      </w:r>
      <w:r>
        <w:rPr>
          <w:rFonts w:hint="eastAsia" w:ascii="宋体" w:hAnsi="宋体" w:cs="宋体"/>
          <w:color w:val="000000" w:themeColor="text1"/>
          <w:kern w:val="0"/>
          <w:sz w:val="24"/>
          <w:highlight w:val="none"/>
        </w:rPr>
        <w:t>的顺序</w:t>
      </w:r>
      <w:r>
        <w:rPr>
          <w:rFonts w:hint="eastAsia" w:ascii="宋体" w:hAnsi="宋体" w:cs="宋体"/>
          <w:color w:val="000000" w:themeColor="text1"/>
          <w:sz w:val="24"/>
          <w:highlight w:val="none"/>
        </w:rPr>
        <w:t>分别与供应商进行磋商（若有演示、讲解内容，演示、讲解顺序同磋商顺序）。磋商小组所有成员应当集中与单一供应商分别进行磋商，并给予所有参加磋商的供应商平等的磋商机会。</w:t>
      </w:r>
    </w:p>
    <w:p w14:paraId="601ED7E2">
      <w:pPr>
        <w:numPr>
          <w:ilvl w:val="0"/>
          <w:numId w:val="3"/>
        </w:numPr>
        <w:spacing w:line="360" w:lineRule="auto"/>
        <w:ind w:left="1260" w:hanging="214"/>
        <w:jc w:val="left"/>
        <w:rPr>
          <w:rFonts w:ascii="宋体" w:hAnsi="宋体" w:cs="宋体"/>
          <w:color w:val="000000" w:themeColor="text1"/>
          <w:sz w:val="24"/>
          <w:highlight w:val="none"/>
        </w:rPr>
      </w:pPr>
      <w:r>
        <w:rPr>
          <w:rFonts w:hint="eastAsia" w:ascii="宋体" w:hAnsi="宋体" w:cs="宋体"/>
          <w:color w:val="000000" w:themeColor="text1"/>
          <w:sz w:val="24"/>
          <w:highlight w:val="none"/>
        </w:rPr>
        <w:t>磋商过程中，磋商小组可以根据磋商文件和磋商情况实质性变动采购需求中的技术、服务要求以及合同格式条款，但不得变动磋商文件中的其他内容。实质性变动的内容，须经采购人代表确认。对磋商文件作出的实质性变动是磋商文件的有效组成部分，磋商小组采用政府采购云平台交换数据电文通知所有参加磋商的供应商。供应商应当按照磋商文件的变动情况和磋商小组的要求重新提交磋商响应文件。</w:t>
      </w:r>
    </w:p>
    <w:p w14:paraId="7ABEAFF4">
      <w:pPr>
        <w:numPr>
          <w:ilvl w:val="0"/>
          <w:numId w:val="3"/>
        </w:numPr>
        <w:spacing w:line="360" w:lineRule="auto"/>
        <w:ind w:left="1260" w:hanging="214"/>
        <w:jc w:val="left"/>
        <w:rPr>
          <w:rFonts w:ascii="宋体" w:hAnsi="宋体" w:cs="宋体"/>
          <w:color w:val="000000" w:themeColor="text1"/>
          <w:sz w:val="24"/>
          <w:highlight w:val="none"/>
        </w:rPr>
      </w:pPr>
      <w:r>
        <w:rPr>
          <w:rFonts w:hint="eastAsia" w:ascii="宋体" w:hAnsi="宋体" w:cs="宋体"/>
          <w:color w:val="000000" w:themeColor="text1"/>
          <w:sz w:val="24"/>
          <w:highlight w:val="none"/>
        </w:rPr>
        <w:t>经磋商确定最终采购需求和提交最后报价的供应商后，由磋商小组采用综合评分法对提交最后报价的供应商的磋商响应文件和最后报价进行综合评分。</w:t>
      </w:r>
    </w:p>
    <w:p w14:paraId="0EBEFFB7">
      <w:pPr>
        <w:spacing w:line="360" w:lineRule="auto"/>
        <w:ind w:firstLine="723" w:firstLineChars="300"/>
        <w:jc w:val="left"/>
        <w:rPr>
          <w:rFonts w:ascii="宋体" w:hAnsi="宋体" w:cs="宋体"/>
          <w:b/>
          <w:color w:val="000000" w:themeColor="text1"/>
          <w:sz w:val="24"/>
          <w:highlight w:val="none"/>
        </w:rPr>
      </w:pPr>
      <w:r>
        <w:rPr>
          <w:rFonts w:hint="eastAsia" w:ascii="宋体" w:hAnsi="宋体" w:cs="宋体"/>
          <w:b/>
          <w:color w:val="000000" w:themeColor="text1"/>
          <w:sz w:val="24"/>
          <w:highlight w:val="none"/>
        </w:rPr>
        <w:fldChar w:fldCharType="begin"/>
      </w:r>
      <w:r>
        <w:rPr>
          <w:rFonts w:hint="eastAsia" w:ascii="宋体" w:hAnsi="宋体" w:cs="宋体"/>
          <w:b/>
          <w:color w:val="000000" w:themeColor="text1"/>
          <w:sz w:val="24"/>
          <w:highlight w:val="none"/>
        </w:rPr>
        <w:instrText xml:space="preserve"> = 3 \* GB2 </w:instrText>
      </w:r>
      <w:r>
        <w:rPr>
          <w:rFonts w:hint="eastAsia" w:ascii="宋体" w:hAnsi="宋体" w:cs="宋体"/>
          <w:b/>
          <w:color w:val="000000" w:themeColor="text1"/>
          <w:sz w:val="24"/>
          <w:highlight w:val="none"/>
        </w:rPr>
        <w:fldChar w:fldCharType="separate"/>
      </w:r>
      <w:r>
        <w:rPr>
          <w:rFonts w:hint="eastAsia" w:ascii="宋体" w:hAnsi="宋体" w:cs="宋体"/>
          <w:b/>
          <w:color w:val="000000" w:themeColor="text1"/>
          <w:sz w:val="24"/>
          <w:highlight w:val="none"/>
        </w:rPr>
        <w:t>⑶</w:t>
      </w:r>
      <w:r>
        <w:rPr>
          <w:rFonts w:hint="eastAsia" w:ascii="宋体" w:hAnsi="宋体" w:cs="宋体"/>
          <w:b/>
          <w:color w:val="000000" w:themeColor="text1"/>
          <w:sz w:val="24"/>
          <w:highlight w:val="none"/>
        </w:rPr>
        <w:fldChar w:fldCharType="end"/>
      </w:r>
      <w:r>
        <w:rPr>
          <w:rFonts w:hint="eastAsia" w:ascii="宋体" w:hAnsi="宋体" w:cs="宋体"/>
          <w:b/>
          <w:color w:val="000000" w:themeColor="text1"/>
          <w:sz w:val="24"/>
          <w:highlight w:val="none"/>
        </w:rPr>
        <w:t>评审</w:t>
      </w:r>
    </w:p>
    <w:p w14:paraId="23810B64">
      <w:pPr>
        <w:numPr>
          <w:ilvl w:val="0"/>
          <w:numId w:val="3"/>
        </w:numPr>
        <w:spacing w:line="360" w:lineRule="auto"/>
        <w:ind w:left="1260" w:hanging="214"/>
        <w:jc w:val="left"/>
        <w:rPr>
          <w:rFonts w:ascii="宋体" w:hAnsi="宋体" w:cs="宋体"/>
          <w:b/>
          <w:color w:val="000000" w:themeColor="text1"/>
          <w:sz w:val="24"/>
          <w:highlight w:val="none"/>
        </w:rPr>
      </w:pPr>
      <w:r>
        <w:rPr>
          <w:rFonts w:hint="eastAsia" w:ascii="宋体" w:hAnsi="宋体" w:cs="宋体"/>
          <w:b/>
          <w:color w:val="000000" w:themeColor="text1"/>
          <w:sz w:val="24"/>
          <w:highlight w:val="none"/>
        </w:rPr>
        <w:t>资信商务及技术文件评审</w:t>
      </w:r>
    </w:p>
    <w:p w14:paraId="7EC518D7">
      <w:pPr>
        <w:numPr>
          <w:ilvl w:val="0"/>
          <w:numId w:val="4"/>
        </w:numPr>
        <w:spacing w:line="360" w:lineRule="auto"/>
        <w:ind w:left="1560" w:hanging="284"/>
        <w:jc w:val="left"/>
        <w:rPr>
          <w:rFonts w:ascii="宋体" w:hAnsi="宋体" w:cs="宋体"/>
          <w:color w:val="000000" w:themeColor="text1"/>
          <w:sz w:val="24"/>
          <w:highlight w:val="none"/>
        </w:rPr>
      </w:pPr>
      <w:r>
        <w:rPr>
          <w:rFonts w:hint="eastAsia" w:ascii="宋体" w:hAnsi="宋体" w:cs="宋体"/>
          <w:color w:val="000000" w:themeColor="text1"/>
          <w:sz w:val="24"/>
          <w:highlight w:val="none"/>
        </w:rPr>
        <w:t>磋商小组依据磋商文件的规定，对各供应商的资信商务及技术文件进行评审，其中客观部分应统一意见后统一给分，其他技术部分由评委委员会对各磋商响应文件进行比较和必要的澄清，并根据澄清、演示、样品等情况按评审细则进行独立打分；</w:t>
      </w:r>
    </w:p>
    <w:p w14:paraId="7A578A03">
      <w:pPr>
        <w:numPr>
          <w:ilvl w:val="0"/>
          <w:numId w:val="4"/>
        </w:numPr>
        <w:spacing w:line="360" w:lineRule="auto"/>
        <w:ind w:left="1560" w:hanging="284"/>
        <w:jc w:val="left"/>
        <w:rPr>
          <w:rFonts w:ascii="宋体" w:hAnsi="宋体" w:cs="宋体"/>
          <w:color w:val="000000" w:themeColor="text1"/>
          <w:sz w:val="24"/>
          <w:highlight w:val="none"/>
        </w:rPr>
      </w:pPr>
      <w:r>
        <w:rPr>
          <w:rFonts w:hint="eastAsia" w:ascii="宋体" w:hAnsi="宋体" w:cs="宋体"/>
          <w:color w:val="000000" w:themeColor="text1"/>
          <w:sz w:val="24"/>
          <w:highlight w:val="none"/>
        </w:rPr>
        <w:t>各供应商的资信商务及技术得分，为各评审专家对该供应商的评审得分结果汇总后的算术平均数。</w:t>
      </w:r>
    </w:p>
    <w:p w14:paraId="146294BA">
      <w:pPr>
        <w:numPr>
          <w:ilvl w:val="0"/>
          <w:numId w:val="3"/>
        </w:numPr>
        <w:spacing w:line="360" w:lineRule="auto"/>
        <w:ind w:left="1260" w:hanging="214"/>
        <w:jc w:val="left"/>
        <w:rPr>
          <w:rFonts w:ascii="宋体" w:hAnsi="宋体" w:cs="宋体"/>
          <w:b/>
          <w:color w:val="000000" w:themeColor="text1"/>
          <w:sz w:val="24"/>
          <w:highlight w:val="none"/>
        </w:rPr>
      </w:pPr>
      <w:r>
        <w:rPr>
          <w:rFonts w:hint="eastAsia" w:ascii="宋体" w:hAnsi="宋体" w:cs="宋体"/>
          <w:b/>
          <w:color w:val="000000" w:themeColor="text1"/>
          <w:sz w:val="24"/>
          <w:highlight w:val="none"/>
        </w:rPr>
        <w:t>报价文件评审</w:t>
      </w:r>
    </w:p>
    <w:p w14:paraId="31199516">
      <w:pPr>
        <w:numPr>
          <w:ilvl w:val="0"/>
          <w:numId w:val="4"/>
        </w:numPr>
        <w:spacing w:line="360" w:lineRule="auto"/>
        <w:ind w:left="1560" w:hanging="284"/>
        <w:jc w:val="left"/>
        <w:rPr>
          <w:rFonts w:ascii="宋体" w:hAnsi="宋体" w:cs="宋体"/>
          <w:color w:val="000000" w:themeColor="text1"/>
          <w:sz w:val="24"/>
          <w:highlight w:val="none"/>
        </w:rPr>
      </w:pPr>
      <w:r>
        <w:rPr>
          <w:rFonts w:hint="eastAsia" w:ascii="宋体" w:hAnsi="宋体" w:cs="宋体"/>
          <w:color w:val="000000" w:themeColor="text1"/>
          <w:sz w:val="24"/>
          <w:highlight w:val="none"/>
        </w:rPr>
        <w:t>磋商小组依据磋商文件的规定，对各供应商提交的最后报价的完整性、合理性进行审查，必要时可要求供应商对其报价做出澄清、说明；</w:t>
      </w:r>
    </w:p>
    <w:p w14:paraId="6C30F02E">
      <w:pPr>
        <w:numPr>
          <w:ilvl w:val="0"/>
          <w:numId w:val="4"/>
        </w:numPr>
        <w:spacing w:line="360" w:lineRule="auto"/>
        <w:ind w:left="1560" w:hanging="284"/>
        <w:jc w:val="left"/>
        <w:rPr>
          <w:rFonts w:ascii="宋体" w:hAnsi="宋体" w:cs="宋体"/>
          <w:color w:val="000000" w:themeColor="text1"/>
          <w:sz w:val="24"/>
          <w:highlight w:val="none"/>
        </w:rPr>
      </w:pPr>
      <w:r>
        <w:rPr>
          <w:rFonts w:hint="eastAsia" w:ascii="宋体" w:hAnsi="宋体" w:cs="宋体"/>
          <w:color w:val="000000" w:themeColor="text1"/>
          <w:sz w:val="24"/>
          <w:highlight w:val="none"/>
        </w:rPr>
        <w:t>报价修正；</w:t>
      </w:r>
    </w:p>
    <w:p w14:paraId="56E093FF">
      <w:pPr>
        <w:numPr>
          <w:ilvl w:val="0"/>
          <w:numId w:val="4"/>
        </w:numPr>
        <w:spacing w:line="360" w:lineRule="auto"/>
        <w:ind w:left="1560" w:hanging="284"/>
        <w:jc w:val="left"/>
        <w:rPr>
          <w:rFonts w:ascii="宋体" w:hAnsi="宋体" w:cs="宋体"/>
          <w:color w:val="000000" w:themeColor="text1"/>
          <w:sz w:val="24"/>
          <w:highlight w:val="none"/>
        </w:rPr>
      </w:pPr>
      <w:r>
        <w:rPr>
          <w:rFonts w:hint="eastAsia" w:ascii="宋体" w:hAnsi="宋体" w:cs="宋体"/>
          <w:color w:val="000000" w:themeColor="text1"/>
          <w:sz w:val="24"/>
          <w:highlight w:val="none"/>
        </w:rPr>
        <w:t>政府采购政策价格扣除；</w:t>
      </w:r>
    </w:p>
    <w:p w14:paraId="38895E61">
      <w:pPr>
        <w:numPr>
          <w:ilvl w:val="0"/>
          <w:numId w:val="4"/>
        </w:numPr>
        <w:spacing w:line="360" w:lineRule="auto"/>
        <w:ind w:left="1560" w:hanging="284"/>
        <w:jc w:val="left"/>
        <w:rPr>
          <w:rFonts w:ascii="宋体" w:hAnsi="宋体" w:cs="宋体"/>
          <w:color w:val="000000" w:themeColor="text1"/>
          <w:sz w:val="24"/>
          <w:highlight w:val="none"/>
        </w:rPr>
      </w:pPr>
      <w:r>
        <w:rPr>
          <w:rFonts w:hint="eastAsia" w:ascii="宋体" w:hAnsi="宋体" w:cs="宋体"/>
          <w:color w:val="000000" w:themeColor="text1"/>
          <w:sz w:val="24"/>
          <w:highlight w:val="none"/>
        </w:rPr>
        <w:t>磋商小组根据供应商的最后报价和评审标准，计算各供应商的报价得分。</w:t>
      </w:r>
    </w:p>
    <w:p w14:paraId="4247BA54">
      <w:pPr>
        <w:pStyle w:val="258"/>
        <w:rPr>
          <w:rFonts w:ascii="宋体" w:eastAsia="宋体"/>
          <w:color w:val="000000" w:themeColor="text1"/>
          <w:highlight w:val="none"/>
        </w:rPr>
      </w:pPr>
      <w:bookmarkStart w:id="203" w:name="_Toc80973274"/>
      <w:bookmarkStart w:id="204" w:name="_Toc531359021"/>
      <w:r>
        <w:rPr>
          <w:rFonts w:hint="eastAsia" w:ascii="宋体" w:eastAsia="宋体"/>
          <w:color w:val="000000" w:themeColor="text1"/>
          <w:highlight w:val="none"/>
        </w:rPr>
        <w:t>6.4     磋商响应文件的澄清、说明或补正</w:t>
      </w:r>
      <w:bookmarkEnd w:id="203"/>
      <w:bookmarkEnd w:id="204"/>
    </w:p>
    <w:p w14:paraId="317AD5F2">
      <w:pPr>
        <w:spacing w:line="360" w:lineRule="auto"/>
        <w:ind w:left="1200" w:hanging="1200" w:hangingChars="500"/>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6.4.1   </w:t>
      </w: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1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⑴</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对磋商响应文件中含义不明确、同类问题表述不一致或者有明显文字和计算错误的内容，</w:t>
      </w:r>
      <w:r>
        <w:rPr>
          <w:rFonts w:hint="eastAsia" w:ascii="宋体" w:hAnsi="宋体" w:cs="宋体"/>
          <w:b/>
          <w:color w:val="000000" w:themeColor="text1"/>
          <w:sz w:val="24"/>
          <w:highlight w:val="none"/>
        </w:rPr>
        <w:t>磋商小组通过政府采购云平台要求供应商作出必要的澄清、说明或者补正。电子磋商响应文件的澄清、说明或者补正采用政府采购云平台交换数据电文，供应商提交的澄清、说明或补正的时间为30分钟（供应商务必在线等待，留意手机短信，及时在线澄清、说明或补正）</w:t>
      </w:r>
      <w:r>
        <w:rPr>
          <w:rFonts w:hint="eastAsia" w:ascii="宋体" w:hAnsi="宋体" w:cs="宋体"/>
          <w:color w:val="000000" w:themeColor="text1"/>
          <w:sz w:val="24"/>
          <w:highlight w:val="none"/>
        </w:rPr>
        <w:t>。供应商的澄清、说明或者更正不得超出磋商响应文件的范围或者改变磋商响应文件的实质性内容；</w:t>
      </w:r>
    </w:p>
    <w:p w14:paraId="7AFA6A00">
      <w:pPr>
        <w:spacing w:line="360" w:lineRule="auto"/>
        <w:ind w:left="840" w:leftChars="400" w:firstLine="120" w:firstLineChars="5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2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⑵</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供应商的的澄清、说明或更正将作为磋商响应文件的一部分；</w:t>
      </w:r>
    </w:p>
    <w:p w14:paraId="730EC0A2">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6.4.2   评审时磋商小组认为供应商的最后报价明显低于其他供应商的最后报价，有可能影响服务（产品）质量或者不能诚信履约的，应当要求其在评审现场合理的时间内说明原因和提供证明材料；</w:t>
      </w:r>
    </w:p>
    <w:p w14:paraId="28941A5A">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6.4.3   不接受供应商主动对磋商响应文件的澄清、说明或者补正。</w:t>
      </w:r>
    </w:p>
    <w:p w14:paraId="4ED6DD30">
      <w:pPr>
        <w:pStyle w:val="258"/>
        <w:rPr>
          <w:rFonts w:ascii="宋体" w:eastAsia="宋体"/>
          <w:color w:val="000000" w:themeColor="text1"/>
          <w:highlight w:val="none"/>
        </w:rPr>
      </w:pPr>
      <w:bookmarkStart w:id="205" w:name="_Toc80973275"/>
      <w:bookmarkStart w:id="206" w:name="_Toc531359022"/>
      <w:r>
        <w:rPr>
          <w:rFonts w:hint="eastAsia" w:ascii="宋体" w:eastAsia="宋体"/>
          <w:color w:val="000000" w:themeColor="text1"/>
          <w:highlight w:val="none"/>
        </w:rPr>
        <w:t>6.5     报价错误修正</w:t>
      </w:r>
      <w:bookmarkEnd w:id="205"/>
      <w:bookmarkEnd w:id="206"/>
    </w:p>
    <w:p w14:paraId="74352EE9">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6.5.1   磋商小组对确定磋商响应文件为实质上响应磋商文件要求的，磋商响应文件报价出现前后不一致的，按照下列规定修正：</w:t>
      </w:r>
    </w:p>
    <w:p w14:paraId="07E18ECB">
      <w:pPr>
        <w:spacing w:line="360" w:lineRule="auto"/>
        <w:ind w:left="1185" w:leftChars="450" w:hanging="240" w:hangingChars="100"/>
        <w:rPr>
          <w:rFonts w:ascii="宋体" w:hAnsi="宋体" w:cs="宋体"/>
          <w:bCs/>
          <w:color w:val="000000" w:themeColor="text1"/>
          <w:sz w:val="24"/>
          <w:highlight w:val="none"/>
        </w:rPr>
      </w:pPr>
      <w:r>
        <w:rPr>
          <w:rFonts w:hint="eastAsia" w:ascii="宋体" w:hAnsi="宋体" w:cs="宋体"/>
          <w:bCs/>
          <w:color w:val="000000" w:themeColor="text1"/>
          <w:sz w:val="24"/>
          <w:highlight w:val="none"/>
        </w:rPr>
        <w:fldChar w:fldCharType="begin"/>
      </w:r>
      <w:r>
        <w:rPr>
          <w:rFonts w:hint="eastAsia" w:ascii="宋体" w:hAnsi="宋体" w:cs="宋体"/>
          <w:bCs/>
          <w:color w:val="000000" w:themeColor="text1"/>
          <w:sz w:val="24"/>
          <w:highlight w:val="none"/>
        </w:rPr>
        <w:instrText xml:space="preserve"> = 1 \* GB2 </w:instrText>
      </w:r>
      <w:r>
        <w:rPr>
          <w:rFonts w:hint="eastAsia" w:ascii="宋体" w:hAnsi="宋体" w:cs="宋体"/>
          <w:bCs/>
          <w:color w:val="000000" w:themeColor="text1"/>
          <w:sz w:val="24"/>
          <w:highlight w:val="none"/>
        </w:rPr>
        <w:fldChar w:fldCharType="separate"/>
      </w:r>
      <w:r>
        <w:rPr>
          <w:rFonts w:hint="eastAsia" w:ascii="宋体" w:hAnsi="宋体" w:cs="宋体"/>
          <w:bCs/>
          <w:color w:val="000000" w:themeColor="text1"/>
          <w:sz w:val="24"/>
          <w:highlight w:val="none"/>
        </w:rPr>
        <w:t>⑴</w:t>
      </w:r>
      <w:r>
        <w:rPr>
          <w:rFonts w:hint="eastAsia" w:ascii="宋体" w:hAnsi="宋体" w:cs="宋体"/>
          <w:bCs/>
          <w:color w:val="000000" w:themeColor="text1"/>
          <w:sz w:val="24"/>
          <w:highlight w:val="none"/>
        </w:rPr>
        <w:fldChar w:fldCharType="end"/>
      </w:r>
      <w:r>
        <w:rPr>
          <w:rFonts w:hint="eastAsia" w:ascii="宋体" w:hAnsi="宋体" w:cs="宋体"/>
          <w:bCs/>
          <w:color w:val="000000" w:themeColor="text1"/>
          <w:sz w:val="24"/>
          <w:highlight w:val="none"/>
        </w:rPr>
        <w:t>报价文件中开标一览表（报价表）内容与报价明细表相应内容不一致的，以开标一览表（报价表）为准（政采云系统开启报价若与报价文件不一致以报价文件为准）；</w:t>
      </w:r>
    </w:p>
    <w:p w14:paraId="7DFE043D">
      <w:pPr>
        <w:spacing w:line="360" w:lineRule="auto"/>
        <w:ind w:left="840" w:leftChars="400" w:firstLine="120" w:firstLineChars="50"/>
        <w:rPr>
          <w:rFonts w:ascii="宋体" w:hAnsi="宋体" w:cs="宋体"/>
          <w:bCs/>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2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⑵</w:t>
      </w:r>
      <w:r>
        <w:rPr>
          <w:rFonts w:hint="eastAsia" w:ascii="宋体" w:hAnsi="宋体" w:cs="宋体"/>
          <w:color w:val="000000" w:themeColor="text1"/>
          <w:sz w:val="24"/>
          <w:highlight w:val="none"/>
        </w:rPr>
        <w:fldChar w:fldCharType="end"/>
      </w:r>
      <w:r>
        <w:rPr>
          <w:rFonts w:hint="eastAsia" w:ascii="宋体" w:hAnsi="宋体" w:cs="宋体"/>
          <w:bCs/>
          <w:color w:val="000000" w:themeColor="text1"/>
          <w:sz w:val="24"/>
          <w:highlight w:val="none"/>
        </w:rPr>
        <w:t>报价文件的大写金额和小写金额不一致的，以大写金额为准；</w:t>
      </w:r>
    </w:p>
    <w:p w14:paraId="4D454189">
      <w:pPr>
        <w:spacing w:line="360" w:lineRule="auto"/>
        <w:ind w:left="1185" w:leftChars="450" w:hanging="240" w:hangingChars="100"/>
        <w:rPr>
          <w:rFonts w:ascii="宋体" w:hAnsi="宋体" w:cs="宋体"/>
          <w:bCs/>
          <w:color w:val="000000" w:themeColor="text1"/>
          <w:sz w:val="24"/>
          <w:highlight w:val="none"/>
        </w:rPr>
      </w:pPr>
      <w:r>
        <w:rPr>
          <w:rFonts w:hint="eastAsia" w:ascii="宋体" w:hAnsi="宋体" w:cs="宋体"/>
          <w:bCs/>
          <w:color w:val="000000" w:themeColor="text1"/>
          <w:sz w:val="24"/>
          <w:highlight w:val="none"/>
        </w:rPr>
        <w:fldChar w:fldCharType="begin"/>
      </w:r>
      <w:r>
        <w:rPr>
          <w:rFonts w:hint="eastAsia" w:ascii="宋体" w:hAnsi="宋体" w:cs="宋体"/>
          <w:bCs/>
          <w:color w:val="000000" w:themeColor="text1"/>
          <w:sz w:val="24"/>
          <w:highlight w:val="none"/>
        </w:rPr>
        <w:instrText xml:space="preserve"> = 3 \* GB2 </w:instrText>
      </w:r>
      <w:r>
        <w:rPr>
          <w:rFonts w:hint="eastAsia" w:ascii="宋体" w:hAnsi="宋体" w:cs="宋体"/>
          <w:bCs/>
          <w:color w:val="000000" w:themeColor="text1"/>
          <w:sz w:val="24"/>
          <w:highlight w:val="none"/>
        </w:rPr>
        <w:fldChar w:fldCharType="separate"/>
      </w:r>
      <w:r>
        <w:rPr>
          <w:rFonts w:hint="eastAsia" w:ascii="宋体" w:hAnsi="宋体" w:cs="宋体"/>
          <w:bCs/>
          <w:color w:val="000000" w:themeColor="text1"/>
          <w:sz w:val="24"/>
          <w:highlight w:val="none"/>
        </w:rPr>
        <w:t>⑶</w:t>
      </w:r>
      <w:r>
        <w:rPr>
          <w:rFonts w:hint="eastAsia" w:ascii="宋体" w:hAnsi="宋体" w:cs="宋体"/>
          <w:bCs/>
          <w:color w:val="000000" w:themeColor="text1"/>
          <w:sz w:val="24"/>
          <w:highlight w:val="none"/>
        </w:rPr>
        <w:fldChar w:fldCharType="end"/>
      </w:r>
      <w:r>
        <w:rPr>
          <w:rFonts w:hint="eastAsia" w:ascii="宋体" w:hAnsi="宋体" w:cs="宋体"/>
          <w:bCs/>
          <w:color w:val="000000" w:themeColor="text1"/>
          <w:sz w:val="24"/>
          <w:highlight w:val="none"/>
        </w:rPr>
        <w:t>单价金额小数点或者百分比有明显错位的，以开标一览表（报价表）的总价为准，并修改单价；</w:t>
      </w:r>
    </w:p>
    <w:p w14:paraId="330E1512">
      <w:pPr>
        <w:spacing w:line="360" w:lineRule="auto"/>
        <w:ind w:left="840" w:leftChars="400" w:firstLine="120" w:firstLineChars="50"/>
        <w:rPr>
          <w:rFonts w:ascii="宋体" w:hAnsi="宋体" w:cs="宋体"/>
          <w:bCs/>
          <w:color w:val="000000" w:themeColor="text1"/>
          <w:sz w:val="24"/>
          <w:highlight w:val="none"/>
        </w:rPr>
      </w:pPr>
      <w:r>
        <w:rPr>
          <w:rFonts w:hint="eastAsia" w:ascii="宋体" w:hAnsi="宋体" w:cs="宋体"/>
          <w:bCs/>
          <w:color w:val="000000" w:themeColor="text1"/>
          <w:sz w:val="24"/>
          <w:highlight w:val="none"/>
        </w:rPr>
        <w:fldChar w:fldCharType="begin"/>
      </w:r>
      <w:r>
        <w:rPr>
          <w:rFonts w:hint="eastAsia" w:ascii="宋体" w:hAnsi="宋体" w:cs="宋体"/>
          <w:bCs/>
          <w:color w:val="000000" w:themeColor="text1"/>
          <w:sz w:val="24"/>
          <w:highlight w:val="none"/>
        </w:rPr>
        <w:instrText xml:space="preserve"> = 4 \* GB2 </w:instrText>
      </w:r>
      <w:r>
        <w:rPr>
          <w:rFonts w:hint="eastAsia" w:ascii="宋体" w:hAnsi="宋体" w:cs="宋体"/>
          <w:bCs/>
          <w:color w:val="000000" w:themeColor="text1"/>
          <w:sz w:val="24"/>
          <w:highlight w:val="none"/>
        </w:rPr>
        <w:fldChar w:fldCharType="separate"/>
      </w:r>
      <w:r>
        <w:rPr>
          <w:rFonts w:hint="eastAsia" w:ascii="宋体" w:hAnsi="宋体" w:cs="宋体"/>
          <w:bCs/>
          <w:color w:val="000000" w:themeColor="text1"/>
          <w:sz w:val="24"/>
          <w:highlight w:val="none"/>
        </w:rPr>
        <w:t>⑷</w:t>
      </w:r>
      <w:r>
        <w:rPr>
          <w:rFonts w:hint="eastAsia" w:ascii="宋体" w:hAnsi="宋体" w:cs="宋体"/>
          <w:bCs/>
          <w:color w:val="000000" w:themeColor="text1"/>
          <w:sz w:val="24"/>
          <w:highlight w:val="none"/>
        </w:rPr>
        <w:fldChar w:fldCharType="end"/>
      </w:r>
      <w:r>
        <w:rPr>
          <w:rFonts w:hint="eastAsia" w:ascii="宋体" w:hAnsi="宋体" w:cs="宋体"/>
          <w:bCs/>
          <w:color w:val="000000" w:themeColor="text1"/>
          <w:sz w:val="24"/>
          <w:highlight w:val="none"/>
        </w:rPr>
        <w:t>总价金额与按单价汇总金额不一致的，以单价金额计算结果为准；</w:t>
      </w:r>
    </w:p>
    <w:p w14:paraId="2EF84386">
      <w:pPr>
        <w:spacing w:line="360" w:lineRule="auto"/>
        <w:ind w:left="840" w:leftChars="400" w:firstLine="120" w:firstLineChars="50"/>
        <w:rPr>
          <w:rFonts w:ascii="宋体" w:hAnsi="宋体" w:cs="宋体"/>
          <w:bCs/>
          <w:color w:val="000000" w:themeColor="text1"/>
          <w:sz w:val="24"/>
          <w:highlight w:val="none"/>
        </w:rPr>
      </w:pPr>
      <w:r>
        <w:rPr>
          <w:rFonts w:hint="eastAsia" w:ascii="宋体" w:hAnsi="宋体" w:cs="宋体"/>
          <w:bCs/>
          <w:color w:val="000000" w:themeColor="text1"/>
          <w:sz w:val="24"/>
          <w:highlight w:val="none"/>
        </w:rPr>
        <w:fldChar w:fldCharType="begin"/>
      </w:r>
      <w:r>
        <w:rPr>
          <w:rFonts w:hint="eastAsia" w:ascii="宋体" w:hAnsi="宋体" w:cs="宋体"/>
          <w:bCs/>
          <w:color w:val="000000" w:themeColor="text1"/>
          <w:sz w:val="24"/>
          <w:highlight w:val="none"/>
        </w:rPr>
        <w:instrText xml:space="preserve"> = 5 \* GB2 </w:instrText>
      </w:r>
      <w:r>
        <w:rPr>
          <w:rFonts w:hint="eastAsia" w:ascii="宋体" w:hAnsi="宋体" w:cs="宋体"/>
          <w:bCs/>
          <w:color w:val="000000" w:themeColor="text1"/>
          <w:sz w:val="24"/>
          <w:highlight w:val="none"/>
        </w:rPr>
        <w:fldChar w:fldCharType="separate"/>
      </w:r>
      <w:r>
        <w:rPr>
          <w:rFonts w:hint="eastAsia" w:ascii="宋体" w:hAnsi="宋体" w:cs="宋体"/>
          <w:bCs/>
          <w:color w:val="000000" w:themeColor="text1"/>
          <w:sz w:val="24"/>
          <w:highlight w:val="none"/>
        </w:rPr>
        <w:t>⑸</w:t>
      </w:r>
      <w:r>
        <w:rPr>
          <w:rFonts w:hint="eastAsia" w:ascii="宋体" w:hAnsi="宋体" w:cs="宋体"/>
          <w:bCs/>
          <w:color w:val="000000" w:themeColor="text1"/>
          <w:sz w:val="24"/>
          <w:highlight w:val="none"/>
        </w:rPr>
        <w:fldChar w:fldCharType="end"/>
      </w:r>
      <w:r>
        <w:rPr>
          <w:rFonts w:hint="eastAsia" w:ascii="宋体" w:hAnsi="宋体" w:cs="宋体"/>
          <w:bCs/>
          <w:color w:val="000000" w:themeColor="text1"/>
          <w:sz w:val="24"/>
          <w:highlight w:val="none"/>
        </w:rPr>
        <w:t>同时出现两种以上不一致的，按上述顺序修正；</w:t>
      </w:r>
    </w:p>
    <w:p w14:paraId="73905C99">
      <w:pPr>
        <w:spacing w:line="360" w:lineRule="auto"/>
        <w:ind w:left="840" w:leftChars="400" w:firstLine="120" w:firstLineChars="50"/>
        <w:rPr>
          <w:rFonts w:ascii="宋体" w:hAnsi="宋体" w:cs="宋体"/>
          <w:bCs/>
          <w:color w:val="000000" w:themeColor="text1"/>
          <w:sz w:val="24"/>
          <w:highlight w:val="none"/>
        </w:rPr>
      </w:pPr>
      <w:r>
        <w:rPr>
          <w:rFonts w:hint="eastAsia" w:ascii="宋体" w:hAnsi="宋体" w:cs="宋体"/>
          <w:bCs/>
          <w:color w:val="000000" w:themeColor="text1"/>
          <w:sz w:val="24"/>
          <w:highlight w:val="none"/>
        </w:rPr>
        <w:fldChar w:fldCharType="begin"/>
      </w:r>
      <w:r>
        <w:rPr>
          <w:rFonts w:hint="eastAsia" w:ascii="宋体" w:hAnsi="宋体" w:cs="宋体"/>
          <w:bCs/>
          <w:color w:val="000000" w:themeColor="text1"/>
          <w:sz w:val="24"/>
          <w:highlight w:val="none"/>
        </w:rPr>
        <w:instrText xml:space="preserve"> = 6 \* GB2 </w:instrText>
      </w:r>
      <w:r>
        <w:rPr>
          <w:rFonts w:hint="eastAsia" w:ascii="宋体" w:hAnsi="宋体" w:cs="宋体"/>
          <w:bCs/>
          <w:color w:val="000000" w:themeColor="text1"/>
          <w:sz w:val="24"/>
          <w:highlight w:val="none"/>
        </w:rPr>
        <w:fldChar w:fldCharType="separate"/>
      </w:r>
      <w:r>
        <w:rPr>
          <w:rFonts w:hint="eastAsia" w:ascii="宋体" w:hAnsi="宋体" w:cs="宋体"/>
          <w:bCs/>
          <w:color w:val="000000" w:themeColor="text1"/>
          <w:sz w:val="24"/>
          <w:highlight w:val="none"/>
        </w:rPr>
        <w:t>⑹</w:t>
      </w:r>
      <w:r>
        <w:rPr>
          <w:rFonts w:hint="eastAsia" w:ascii="宋体" w:hAnsi="宋体" w:cs="宋体"/>
          <w:bCs/>
          <w:color w:val="000000" w:themeColor="text1"/>
          <w:sz w:val="24"/>
          <w:highlight w:val="none"/>
        </w:rPr>
        <w:fldChar w:fldCharType="end"/>
      </w:r>
      <w:r>
        <w:rPr>
          <w:rFonts w:hint="eastAsia" w:ascii="宋体" w:hAnsi="宋体" w:cs="宋体"/>
          <w:bCs/>
          <w:color w:val="000000" w:themeColor="text1"/>
          <w:sz w:val="24"/>
          <w:highlight w:val="none"/>
        </w:rPr>
        <w:t>对不同文字文本</w:t>
      </w:r>
      <w:r>
        <w:rPr>
          <w:rFonts w:hint="eastAsia" w:ascii="宋体" w:hAnsi="宋体" w:cs="宋体"/>
          <w:color w:val="000000" w:themeColor="text1"/>
          <w:kern w:val="0"/>
          <w:sz w:val="24"/>
          <w:highlight w:val="none"/>
        </w:rPr>
        <w:t>磋商响应文件</w:t>
      </w:r>
      <w:r>
        <w:rPr>
          <w:rFonts w:hint="eastAsia" w:ascii="宋体" w:hAnsi="宋体" w:cs="宋体"/>
          <w:bCs/>
          <w:color w:val="000000" w:themeColor="text1"/>
          <w:sz w:val="24"/>
          <w:highlight w:val="none"/>
        </w:rPr>
        <w:t>的解释发生异议的，以中文文本为准；</w:t>
      </w:r>
    </w:p>
    <w:p w14:paraId="6DDE62E1">
      <w:pPr>
        <w:spacing w:line="360" w:lineRule="auto"/>
        <w:ind w:left="1185" w:leftChars="450" w:hanging="240" w:hangingChars="100"/>
        <w:rPr>
          <w:rFonts w:ascii="宋体" w:hAnsi="宋体" w:cs="宋体"/>
          <w:color w:val="000000" w:themeColor="text1"/>
          <w:sz w:val="24"/>
          <w:highlight w:val="none"/>
        </w:rPr>
      </w:pPr>
      <w:r>
        <w:rPr>
          <w:rFonts w:hint="eastAsia" w:ascii="宋体" w:hAnsi="宋体" w:cs="宋体"/>
          <w:bCs/>
          <w:color w:val="000000" w:themeColor="text1"/>
          <w:sz w:val="24"/>
          <w:highlight w:val="none"/>
        </w:rPr>
        <w:fldChar w:fldCharType="begin"/>
      </w:r>
      <w:r>
        <w:rPr>
          <w:rFonts w:hint="eastAsia" w:ascii="宋体" w:hAnsi="宋体" w:cs="宋体"/>
          <w:bCs/>
          <w:color w:val="000000" w:themeColor="text1"/>
          <w:sz w:val="24"/>
          <w:highlight w:val="none"/>
        </w:rPr>
        <w:instrText xml:space="preserve"> = 7 \* GB2 </w:instrText>
      </w:r>
      <w:r>
        <w:rPr>
          <w:rFonts w:hint="eastAsia" w:ascii="宋体" w:hAnsi="宋体" w:cs="宋体"/>
          <w:bCs/>
          <w:color w:val="000000" w:themeColor="text1"/>
          <w:sz w:val="24"/>
          <w:highlight w:val="none"/>
        </w:rPr>
        <w:fldChar w:fldCharType="separate"/>
      </w:r>
      <w:r>
        <w:rPr>
          <w:rFonts w:hint="eastAsia" w:ascii="宋体" w:hAnsi="宋体" w:cs="宋体"/>
          <w:bCs/>
          <w:color w:val="000000" w:themeColor="text1"/>
          <w:sz w:val="24"/>
          <w:highlight w:val="none"/>
        </w:rPr>
        <w:t>⑺</w:t>
      </w:r>
      <w:r>
        <w:rPr>
          <w:rFonts w:hint="eastAsia" w:ascii="宋体" w:hAnsi="宋体" w:cs="宋体"/>
          <w:bCs/>
          <w:color w:val="000000" w:themeColor="text1"/>
          <w:sz w:val="24"/>
          <w:highlight w:val="none"/>
        </w:rPr>
        <w:fldChar w:fldCharType="end"/>
      </w:r>
      <w:r>
        <w:rPr>
          <w:rFonts w:hint="eastAsia" w:ascii="宋体" w:hAnsi="宋体" w:cs="宋体"/>
          <w:color w:val="000000" w:themeColor="text1"/>
          <w:sz w:val="24"/>
          <w:highlight w:val="none"/>
        </w:rPr>
        <w:t>修正错误的响应报价，经供应商负责人（或委托代理人）同意签字确认后产生约束力。调整后的响应报价对供应商具有约束作用。若供应商不接受修正后的响应报价，则其响应无效。</w:t>
      </w:r>
    </w:p>
    <w:p w14:paraId="33FE6962">
      <w:pPr>
        <w:pStyle w:val="258"/>
        <w:rPr>
          <w:rFonts w:ascii="宋体" w:eastAsia="宋体"/>
          <w:color w:val="000000" w:themeColor="text1"/>
          <w:highlight w:val="none"/>
        </w:rPr>
      </w:pPr>
      <w:bookmarkStart w:id="207" w:name="_Toc531359024"/>
      <w:bookmarkStart w:id="208" w:name="_Toc80973276"/>
      <w:r>
        <w:rPr>
          <w:rFonts w:hint="eastAsia" w:ascii="宋体" w:eastAsia="宋体"/>
          <w:color w:val="000000" w:themeColor="text1"/>
          <w:highlight w:val="none"/>
        </w:rPr>
        <w:t>6.6     评审报告</w:t>
      </w:r>
      <w:bookmarkEnd w:id="207"/>
      <w:bookmarkEnd w:id="208"/>
    </w:p>
    <w:p w14:paraId="7203BF17">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6.6.1   评审结果汇总，供应商结果排序；</w:t>
      </w:r>
    </w:p>
    <w:p w14:paraId="2408111C">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6.6.2   磋商小组根据全体评审成员签字的原始评审记录和评审结果编写评审报告，并推荐成交候选人；</w:t>
      </w:r>
    </w:p>
    <w:p w14:paraId="2531BF5D">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6.6.3   评审报告由磋商小组成员签字确认生效，持不同意见的磋商小组成员应当在评审报告上签署不同意见及理由，否则视为同意评审报告；</w:t>
      </w:r>
    </w:p>
    <w:p w14:paraId="47665F55">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6.6.4   评标结束后，采购代理机构通过成交公告的形式宣布评标结果。</w:t>
      </w:r>
    </w:p>
    <w:p w14:paraId="74FBDE16">
      <w:pPr>
        <w:pStyle w:val="43"/>
        <w:spacing w:beforeLines="100" w:afterLines="100"/>
        <w:jc w:val="left"/>
        <w:outlineLvl w:val="1"/>
        <w:rPr>
          <w:rFonts w:ascii="宋体" w:hAnsi="宋体" w:cs="宋体"/>
          <w:color w:val="000000" w:themeColor="text1"/>
          <w:sz w:val="30"/>
          <w:szCs w:val="30"/>
          <w:highlight w:val="none"/>
        </w:rPr>
      </w:pPr>
      <w:bookmarkStart w:id="209" w:name="_Toc531359025"/>
      <w:bookmarkStart w:id="210" w:name="_Toc80973277"/>
      <w:bookmarkStart w:id="211" w:name="_Toc523398512"/>
      <w:r>
        <w:rPr>
          <w:rFonts w:hint="eastAsia" w:ascii="宋体" w:hAnsi="宋体" w:cs="宋体"/>
          <w:color w:val="000000" w:themeColor="text1"/>
          <w:sz w:val="30"/>
          <w:szCs w:val="30"/>
          <w:highlight w:val="none"/>
        </w:rPr>
        <w:t>七    响应无效的情形</w:t>
      </w:r>
      <w:bookmarkEnd w:id="209"/>
      <w:bookmarkEnd w:id="210"/>
      <w:bookmarkEnd w:id="211"/>
    </w:p>
    <w:p w14:paraId="3C24501E">
      <w:pPr>
        <w:pStyle w:val="258"/>
        <w:rPr>
          <w:rFonts w:ascii="宋体" w:eastAsia="宋体"/>
          <w:color w:val="000000" w:themeColor="text1"/>
          <w:highlight w:val="none"/>
        </w:rPr>
      </w:pPr>
      <w:bookmarkStart w:id="212" w:name="_Toc80973278"/>
      <w:r>
        <w:rPr>
          <w:rFonts w:hint="eastAsia" w:ascii="宋体" w:eastAsia="宋体"/>
          <w:color w:val="000000" w:themeColor="text1"/>
          <w:highlight w:val="none"/>
        </w:rPr>
        <w:t>7.1     在开标时，如发现有以下情形之一的，其响应无效</w:t>
      </w:r>
      <w:bookmarkEnd w:id="212"/>
    </w:p>
    <w:p w14:paraId="22F18496">
      <w:pPr>
        <w:spacing w:line="360" w:lineRule="auto"/>
        <w:ind w:left="840" w:leftChars="400" w:firstLine="120" w:firstLineChars="50"/>
        <w:rPr>
          <w:rFonts w:ascii="宋体" w:hAnsi="宋体" w:cs="宋体"/>
          <w:bCs/>
          <w:color w:val="000000" w:themeColor="text1"/>
          <w:sz w:val="24"/>
          <w:highlight w:val="none"/>
        </w:rPr>
      </w:pPr>
      <w:r>
        <w:rPr>
          <w:rFonts w:hint="eastAsia" w:ascii="宋体" w:hAnsi="宋体" w:cs="宋体"/>
          <w:bCs/>
          <w:color w:val="000000" w:themeColor="text1"/>
          <w:sz w:val="24"/>
          <w:highlight w:val="none"/>
        </w:rPr>
        <w:fldChar w:fldCharType="begin"/>
      </w:r>
      <w:r>
        <w:rPr>
          <w:rFonts w:hint="eastAsia" w:ascii="宋体" w:hAnsi="宋体" w:cs="宋体"/>
          <w:bCs/>
          <w:color w:val="000000" w:themeColor="text1"/>
          <w:sz w:val="24"/>
          <w:highlight w:val="none"/>
        </w:rPr>
        <w:instrText xml:space="preserve"> = 1 \* GB2 </w:instrText>
      </w:r>
      <w:r>
        <w:rPr>
          <w:rFonts w:hint="eastAsia" w:ascii="宋体" w:hAnsi="宋体" w:cs="宋体"/>
          <w:bCs/>
          <w:color w:val="000000" w:themeColor="text1"/>
          <w:sz w:val="24"/>
          <w:highlight w:val="none"/>
        </w:rPr>
        <w:fldChar w:fldCharType="separate"/>
      </w:r>
      <w:r>
        <w:rPr>
          <w:rFonts w:hint="eastAsia" w:ascii="宋体" w:hAnsi="宋体" w:cs="宋体"/>
          <w:bCs/>
          <w:color w:val="000000" w:themeColor="text1"/>
          <w:sz w:val="24"/>
          <w:highlight w:val="none"/>
        </w:rPr>
        <w:t>⑴</w:t>
      </w:r>
      <w:r>
        <w:rPr>
          <w:rFonts w:hint="eastAsia" w:ascii="宋体" w:hAnsi="宋体" w:cs="宋体"/>
          <w:bCs/>
          <w:color w:val="000000" w:themeColor="text1"/>
          <w:sz w:val="24"/>
          <w:highlight w:val="none"/>
        </w:rPr>
        <w:fldChar w:fldCharType="end"/>
      </w:r>
      <w:r>
        <w:rPr>
          <w:rFonts w:hint="eastAsia" w:ascii="宋体" w:hAnsi="宋体" w:cs="宋体"/>
          <w:bCs/>
          <w:color w:val="000000" w:themeColor="text1"/>
          <w:sz w:val="24"/>
          <w:highlight w:val="none"/>
        </w:rPr>
        <w:t>未按要求提交电子加密磋商响应文件的；</w:t>
      </w:r>
    </w:p>
    <w:p w14:paraId="1FED54EC">
      <w:pPr>
        <w:spacing w:line="360" w:lineRule="auto"/>
        <w:ind w:left="1185" w:leftChars="450" w:hanging="240" w:hangingChars="100"/>
        <w:rPr>
          <w:rFonts w:ascii="宋体" w:hAnsi="宋体" w:cs="宋体"/>
          <w:color w:val="000000" w:themeColor="text1"/>
          <w:sz w:val="24"/>
          <w:highlight w:val="none"/>
        </w:rPr>
      </w:pPr>
      <w:r>
        <w:rPr>
          <w:rFonts w:hint="eastAsia" w:ascii="宋体" w:hAnsi="宋体" w:cs="宋体"/>
          <w:bCs/>
          <w:color w:val="000000" w:themeColor="text1"/>
          <w:sz w:val="24"/>
          <w:highlight w:val="none"/>
        </w:rPr>
        <w:fldChar w:fldCharType="begin"/>
      </w:r>
      <w:r>
        <w:rPr>
          <w:rFonts w:hint="eastAsia" w:ascii="宋体" w:hAnsi="宋体" w:cs="宋体"/>
          <w:bCs/>
          <w:color w:val="000000" w:themeColor="text1"/>
          <w:sz w:val="24"/>
          <w:highlight w:val="none"/>
        </w:rPr>
        <w:instrText xml:space="preserve"> = 2 \* GB2 </w:instrText>
      </w:r>
      <w:r>
        <w:rPr>
          <w:rFonts w:hint="eastAsia" w:ascii="宋体" w:hAnsi="宋体" w:cs="宋体"/>
          <w:bCs/>
          <w:color w:val="000000" w:themeColor="text1"/>
          <w:sz w:val="24"/>
          <w:highlight w:val="none"/>
        </w:rPr>
        <w:fldChar w:fldCharType="separate"/>
      </w:r>
      <w:r>
        <w:rPr>
          <w:rFonts w:hint="eastAsia" w:ascii="宋体" w:hAnsi="宋体" w:cs="宋体"/>
          <w:bCs/>
          <w:color w:val="000000" w:themeColor="text1"/>
          <w:sz w:val="24"/>
          <w:highlight w:val="none"/>
        </w:rPr>
        <w:t>⑵</w:t>
      </w:r>
      <w:r>
        <w:rPr>
          <w:rFonts w:hint="eastAsia" w:ascii="宋体" w:hAnsi="宋体" w:cs="宋体"/>
          <w:bCs/>
          <w:color w:val="000000" w:themeColor="text1"/>
          <w:sz w:val="24"/>
          <w:highlight w:val="none"/>
        </w:rPr>
        <w:fldChar w:fldCharType="end"/>
      </w:r>
      <w:r>
        <w:rPr>
          <w:rFonts w:hint="eastAsia" w:ascii="宋体" w:hAnsi="宋体" w:cs="宋体"/>
          <w:color w:val="000000" w:themeColor="text1"/>
          <w:sz w:val="24"/>
          <w:highlight w:val="none"/>
        </w:rPr>
        <w:t>在规定时间内未解密电子加密磋商响应文件或</w:t>
      </w:r>
      <w:r>
        <w:rPr>
          <w:rFonts w:hint="eastAsia" w:ascii="宋体" w:hAnsi="宋体" w:cs="宋体"/>
          <w:bCs/>
          <w:color w:val="000000" w:themeColor="text1"/>
          <w:sz w:val="24"/>
          <w:highlight w:val="none"/>
        </w:rPr>
        <w:t>提交电子加密</w:t>
      </w:r>
      <w:r>
        <w:rPr>
          <w:rFonts w:hint="eastAsia" w:ascii="宋体" w:hAnsi="宋体" w:cs="宋体"/>
          <w:color w:val="000000" w:themeColor="text1"/>
          <w:sz w:val="24"/>
          <w:highlight w:val="none"/>
        </w:rPr>
        <w:t>磋商响应文件</w:t>
      </w:r>
      <w:r>
        <w:rPr>
          <w:rFonts w:hint="eastAsia" w:ascii="宋体" w:hAnsi="宋体" w:cs="宋体"/>
          <w:bCs/>
          <w:color w:val="000000" w:themeColor="text1"/>
          <w:sz w:val="24"/>
          <w:highlight w:val="none"/>
        </w:rPr>
        <w:t>无法解密，且未按规定提交备份</w:t>
      </w:r>
      <w:r>
        <w:rPr>
          <w:rFonts w:hint="eastAsia" w:ascii="宋体" w:hAnsi="宋体" w:cs="宋体"/>
          <w:color w:val="000000" w:themeColor="text1"/>
          <w:sz w:val="24"/>
          <w:highlight w:val="none"/>
        </w:rPr>
        <w:t>磋商响应文件</w:t>
      </w:r>
      <w:r>
        <w:rPr>
          <w:rFonts w:hint="eastAsia" w:ascii="宋体" w:hAnsi="宋体" w:cs="宋体"/>
          <w:bCs/>
          <w:color w:val="000000" w:themeColor="text1"/>
          <w:sz w:val="24"/>
          <w:highlight w:val="none"/>
        </w:rPr>
        <w:t>。</w:t>
      </w:r>
    </w:p>
    <w:p w14:paraId="40B89288">
      <w:pPr>
        <w:pStyle w:val="258"/>
        <w:rPr>
          <w:rFonts w:ascii="宋体" w:eastAsia="宋体"/>
          <w:color w:val="000000" w:themeColor="text1"/>
          <w:highlight w:val="none"/>
        </w:rPr>
      </w:pPr>
      <w:bookmarkStart w:id="213" w:name="_Toc80973279"/>
      <w:r>
        <w:rPr>
          <w:rFonts w:hint="eastAsia" w:ascii="宋体" w:eastAsia="宋体"/>
          <w:color w:val="000000" w:themeColor="text1"/>
          <w:highlight w:val="none"/>
        </w:rPr>
        <w:t>7.2     在符合性审查时，如发现下列情形之一的，其响应无效</w:t>
      </w:r>
      <w:bookmarkEnd w:id="213"/>
    </w:p>
    <w:p w14:paraId="4BA17F98">
      <w:pPr>
        <w:spacing w:line="360" w:lineRule="auto"/>
        <w:ind w:left="840" w:leftChars="400" w:firstLine="120" w:firstLineChars="50"/>
        <w:rPr>
          <w:rFonts w:ascii="宋体" w:hAnsi="宋体" w:cs="宋体"/>
          <w:bCs/>
          <w:color w:val="000000" w:themeColor="text1"/>
          <w:sz w:val="24"/>
          <w:highlight w:val="none"/>
        </w:rPr>
      </w:pPr>
      <w:r>
        <w:rPr>
          <w:rFonts w:hint="eastAsia" w:ascii="宋体" w:hAnsi="宋体" w:cs="宋体"/>
          <w:bCs/>
          <w:color w:val="000000" w:themeColor="text1"/>
          <w:sz w:val="24"/>
          <w:highlight w:val="none"/>
        </w:rPr>
        <w:fldChar w:fldCharType="begin"/>
      </w:r>
      <w:r>
        <w:rPr>
          <w:rFonts w:hint="eastAsia" w:ascii="宋体" w:hAnsi="宋体" w:cs="宋体"/>
          <w:bCs/>
          <w:color w:val="000000" w:themeColor="text1"/>
          <w:sz w:val="24"/>
          <w:highlight w:val="none"/>
        </w:rPr>
        <w:instrText xml:space="preserve"> = 1 \* GB2 </w:instrText>
      </w:r>
      <w:r>
        <w:rPr>
          <w:rFonts w:hint="eastAsia" w:ascii="宋体" w:hAnsi="宋体" w:cs="宋体"/>
          <w:bCs/>
          <w:color w:val="000000" w:themeColor="text1"/>
          <w:sz w:val="24"/>
          <w:highlight w:val="none"/>
        </w:rPr>
        <w:fldChar w:fldCharType="separate"/>
      </w:r>
      <w:r>
        <w:rPr>
          <w:rFonts w:hint="eastAsia" w:ascii="宋体" w:hAnsi="宋体" w:cs="宋体"/>
          <w:bCs/>
          <w:color w:val="000000" w:themeColor="text1"/>
          <w:sz w:val="24"/>
          <w:highlight w:val="none"/>
        </w:rPr>
        <w:t>⑴</w:t>
      </w:r>
      <w:r>
        <w:rPr>
          <w:rFonts w:hint="eastAsia" w:ascii="宋体" w:hAnsi="宋体" w:cs="宋体"/>
          <w:bCs/>
          <w:color w:val="000000" w:themeColor="text1"/>
          <w:sz w:val="24"/>
          <w:highlight w:val="none"/>
        </w:rPr>
        <w:fldChar w:fldCharType="end"/>
      </w:r>
      <w:r>
        <w:rPr>
          <w:rFonts w:hint="eastAsia" w:ascii="宋体" w:hAnsi="宋体" w:cs="宋体"/>
          <w:bCs/>
          <w:color w:val="000000" w:themeColor="text1"/>
          <w:sz w:val="24"/>
          <w:highlight w:val="none"/>
        </w:rPr>
        <w:t>未按磋商文件规定进行盖章、签字的；</w:t>
      </w:r>
    </w:p>
    <w:p w14:paraId="0F44BE45">
      <w:pPr>
        <w:spacing w:line="360" w:lineRule="auto"/>
        <w:ind w:left="840" w:leftChars="400" w:firstLine="120" w:firstLineChars="50"/>
        <w:rPr>
          <w:rFonts w:ascii="宋体" w:hAnsi="宋体" w:cs="宋体"/>
          <w:bCs/>
          <w:color w:val="000000" w:themeColor="text1"/>
          <w:sz w:val="24"/>
          <w:highlight w:val="none"/>
        </w:rPr>
      </w:pPr>
      <w:r>
        <w:rPr>
          <w:rFonts w:hint="eastAsia" w:ascii="宋体" w:hAnsi="宋体" w:cs="宋体"/>
          <w:bCs/>
          <w:color w:val="000000" w:themeColor="text1"/>
          <w:sz w:val="24"/>
          <w:highlight w:val="none"/>
        </w:rPr>
        <w:fldChar w:fldCharType="begin"/>
      </w:r>
      <w:r>
        <w:rPr>
          <w:rFonts w:hint="eastAsia" w:ascii="宋体" w:hAnsi="宋体" w:cs="宋体"/>
          <w:bCs/>
          <w:color w:val="000000" w:themeColor="text1"/>
          <w:sz w:val="24"/>
          <w:highlight w:val="none"/>
        </w:rPr>
        <w:instrText xml:space="preserve"> = 2 \* GB2 </w:instrText>
      </w:r>
      <w:r>
        <w:rPr>
          <w:rFonts w:hint="eastAsia" w:ascii="宋体" w:hAnsi="宋体" w:cs="宋体"/>
          <w:bCs/>
          <w:color w:val="000000" w:themeColor="text1"/>
          <w:sz w:val="24"/>
          <w:highlight w:val="none"/>
        </w:rPr>
        <w:fldChar w:fldCharType="separate"/>
      </w:r>
      <w:r>
        <w:rPr>
          <w:rFonts w:hint="eastAsia" w:ascii="宋体" w:hAnsi="宋体" w:cs="宋体"/>
          <w:bCs/>
          <w:color w:val="000000" w:themeColor="text1"/>
          <w:sz w:val="24"/>
          <w:highlight w:val="none"/>
        </w:rPr>
        <w:t>⑵</w:t>
      </w:r>
      <w:r>
        <w:rPr>
          <w:rFonts w:hint="eastAsia" w:ascii="宋体" w:hAnsi="宋体" w:cs="宋体"/>
          <w:bCs/>
          <w:color w:val="000000" w:themeColor="text1"/>
          <w:sz w:val="24"/>
          <w:highlight w:val="none"/>
        </w:rPr>
        <w:fldChar w:fldCharType="end"/>
      </w:r>
      <w:r>
        <w:rPr>
          <w:rFonts w:hint="eastAsia" w:ascii="宋体" w:hAnsi="宋体" w:cs="宋体"/>
          <w:color w:val="000000" w:themeColor="text1"/>
          <w:sz w:val="24"/>
          <w:highlight w:val="none"/>
        </w:rPr>
        <w:t>未实质响应磋商文件中带“▲”条款要求的磋商响应文件；</w:t>
      </w:r>
    </w:p>
    <w:p w14:paraId="69E07B48">
      <w:pPr>
        <w:spacing w:line="360" w:lineRule="auto"/>
        <w:ind w:left="1185" w:leftChars="450" w:hanging="240" w:hangingChars="100"/>
        <w:rPr>
          <w:rFonts w:ascii="宋体" w:hAnsi="宋体" w:cs="宋体"/>
          <w:color w:val="000000" w:themeColor="text1"/>
          <w:sz w:val="24"/>
          <w:highlight w:val="none"/>
        </w:rPr>
      </w:pPr>
      <w:r>
        <w:rPr>
          <w:rFonts w:hint="eastAsia" w:ascii="宋体" w:hAnsi="宋体" w:cs="宋体"/>
          <w:bCs/>
          <w:color w:val="000000" w:themeColor="text1"/>
          <w:sz w:val="24"/>
          <w:highlight w:val="none"/>
        </w:rPr>
        <w:fldChar w:fldCharType="begin"/>
      </w:r>
      <w:r>
        <w:rPr>
          <w:rFonts w:hint="eastAsia" w:ascii="宋体" w:hAnsi="宋体" w:cs="宋体"/>
          <w:bCs/>
          <w:color w:val="000000" w:themeColor="text1"/>
          <w:sz w:val="24"/>
          <w:highlight w:val="none"/>
        </w:rPr>
        <w:instrText xml:space="preserve"> = 3 \* GB2 </w:instrText>
      </w:r>
      <w:r>
        <w:rPr>
          <w:rFonts w:hint="eastAsia" w:ascii="宋体" w:hAnsi="宋体" w:cs="宋体"/>
          <w:bCs/>
          <w:color w:val="000000" w:themeColor="text1"/>
          <w:sz w:val="24"/>
          <w:highlight w:val="none"/>
        </w:rPr>
        <w:fldChar w:fldCharType="separate"/>
      </w:r>
      <w:r>
        <w:rPr>
          <w:rFonts w:hint="eastAsia" w:ascii="宋体" w:hAnsi="宋体" w:cs="宋体"/>
          <w:bCs/>
          <w:color w:val="000000" w:themeColor="text1"/>
          <w:sz w:val="24"/>
          <w:highlight w:val="none"/>
        </w:rPr>
        <w:t>⑶</w:t>
      </w:r>
      <w:r>
        <w:rPr>
          <w:rFonts w:hint="eastAsia" w:ascii="宋体" w:hAnsi="宋体" w:cs="宋体"/>
          <w:bCs/>
          <w:color w:val="000000" w:themeColor="text1"/>
          <w:sz w:val="24"/>
          <w:highlight w:val="none"/>
        </w:rPr>
        <w:fldChar w:fldCharType="end"/>
      </w:r>
      <w:r>
        <w:rPr>
          <w:rFonts w:hint="eastAsia" w:ascii="宋体" w:hAnsi="宋体" w:cs="宋体"/>
          <w:color w:val="000000" w:themeColor="text1"/>
          <w:sz w:val="24"/>
          <w:highlight w:val="none"/>
        </w:rPr>
        <w:t>存在一个或一个以上备选（替代）响应方案的；</w:t>
      </w:r>
    </w:p>
    <w:p w14:paraId="650F6167">
      <w:pPr>
        <w:spacing w:line="360" w:lineRule="auto"/>
        <w:ind w:left="1185" w:leftChars="450" w:hanging="240" w:hangingChars="10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4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⑷</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供应商提交两份或两份以上内容不同的磋商响应文件，未声明哪一份有效的。</w:t>
      </w:r>
    </w:p>
    <w:p w14:paraId="2C607B67">
      <w:pPr>
        <w:pStyle w:val="6"/>
        <w:spacing w:before="0" w:after="0"/>
        <w:ind w:left="964" w:hanging="964" w:hangingChars="400"/>
        <w:rPr>
          <w:rFonts w:ascii="宋体" w:hAnsi="宋体" w:eastAsia="宋体" w:cs="宋体"/>
          <w:color w:val="000000" w:themeColor="text1"/>
          <w:sz w:val="24"/>
          <w:szCs w:val="24"/>
          <w:highlight w:val="none"/>
        </w:rPr>
      </w:pPr>
      <w:bookmarkStart w:id="214" w:name="_Toc80973280"/>
      <w:r>
        <w:rPr>
          <w:rFonts w:hint="eastAsia" w:ascii="宋体" w:hAnsi="宋体" w:eastAsia="宋体" w:cs="宋体"/>
          <w:color w:val="000000" w:themeColor="text1"/>
          <w:sz w:val="24"/>
          <w:szCs w:val="24"/>
          <w:highlight w:val="none"/>
        </w:rPr>
        <w:t>7.3     在资信商务技术评审时，如发现下列情形之一的，其响应无效</w:t>
      </w:r>
      <w:bookmarkEnd w:id="214"/>
    </w:p>
    <w:p w14:paraId="78357DB2">
      <w:pPr>
        <w:spacing w:line="360" w:lineRule="auto"/>
        <w:ind w:left="1185" w:leftChars="450" w:hanging="240" w:hangingChars="100"/>
        <w:rPr>
          <w:rFonts w:ascii="宋体" w:hAnsi="宋体" w:cs="宋体"/>
          <w:bCs/>
          <w:color w:val="000000" w:themeColor="text1"/>
          <w:sz w:val="24"/>
          <w:highlight w:val="none"/>
        </w:rPr>
      </w:pPr>
      <w:r>
        <w:rPr>
          <w:rFonts w:hint="eastAsia" w:ascii="宋体" w:hAnsi="宋体" w:cs="宋体"/>
          <w:bCs/>
          <w:color w:val="000000" w:themeColor="text1"/>
          <w:sz w:val="24"/>
          <w:highlight w:val="none"/>
        </w:rPr>
        <w:fldChar w:fldCharType="begin"/>
      </w:r>
      <w:r>
        <w:rPr>
          <w:rFonts w:hint="eastAsia" w:ascii="宋体" w:hAnsi="宋体" w:cs="宋体"/>
          <w:bCs/>
          <w:color w:val="000000" w:themeColor="text1"/>
          <w:sz w:val="24"/>
          <w:highlight w:val="none"/>
        </w:rPr>
        <w:instrText xml:space="preserve"> = 1 \* GB2 </w:instrText>
      </w:r>
      <w:r>
        <w:rPr>
          <w:rFonts w:hint="eastAsia" w:ascii="宋体" w:hAnsi="宋体" w:cs="宋体"/>
          <w:bCs/>
          <w:color w:val="000000" w:themeColor="text1"/>
          <w:sz w:val="24"/>
          <w:highlight w:val="none"/>
        </w:rPr>
        <w:fldChar w:fldCharType="separate"/>
      </w:r>
      <w:r>
        <w:rPr>
          <w:rFonts w:hint="eastAsia" w:ascii="宋体" w:hAnsi="宋体" w:cs="宋体"/>
          <w:bCs/>
          <w:color w:val="000000" w:themeColor="text1"/>
          <w:sz w:val="24"/>
          <w:highlight w:val="none"/>
        </w:rPr>
        <w:t>⑴</w:t>
      </w:r>
      <w:r>
        <w:rPr>
          <w:rFonts w:hint="eastAsia" w:ascii="宋体" w:hAnsi="宋体" w:cs="宋体"/>
          <w:bCs/>
          <w:color w:val="000000" w:themeColor="text1"/>
          <w:sz w:val="24"/>
          <w:highlight w:val="none"/>
        </w:rPr>
        <w:fldChar w:fldCharType="end"/>
      </w:r>
      <w:r>
        <w:rPr>
          <w:rFonts w:hint="eastAsia" w:ascii="宋体" w:hAnsi="宋体" w:cs="宋体"/>
          <w:color w:val="000000" w:themeColor="text1"/>
          <w:sz w:val="24"/>
          <w:highlight w:val="none"/>
        </w:rPr>
        <w:t>磋商响应文件含有采购人不能接受的附加条款的；</w:t>
      </w:r>
    </w:p>
    <w:p w14:paraId="4B418706">
      <w:pPr>
        <w:spacing w:line="360" w:lineRule="auto"/>
        <w:ind w:left="840" w:leftChars="400" w:firstLine="120" w:firstLineChars="50"/>
        <w:rPr>
          <w:rFonts w:ascii="宋体" w:hAnsi="宋体" w:cs="宋体"/>
          <w:bCs/>
          <w:color w:val="000000" w:themeColor="text1"/>
          <w:sz w:val="24"/>
          <w:highlight w:val="none"/>
        </w:rPr>
      </w:pPr>
      <w:r>
        <w:rPr>
          <w:rFonts w:hint="eastAsia" w:ascii="宋体" w:hAnsi="宋体" w:cs="宋体"/>
          <w:bCs/>
          <w:color w:val="000000" w:themeColor="text1"/>
          <w:sz w:val="24"/>
          <w:highlight w:val="none"/>
        </w:rPr>
        <w:fldChar w:fldCharType="begin"/>
      </w:r>
      <w:r>
        <w:rPr>
          <w:rFonts w:hint="eastAsia" w:ascii="宋体" w:hAnsi="宋体" w:cs="宋体"/>
          <w:bCs/>
          <w:color w:val="000000" w:themeColor="text1"/>
          <w:sz w:val="24"/>
          <w:highlight w:val="none"/>
        </w:rPr>
        <w:instrText xml:space="preserve"> = 2 \* GB2 </w:instrText>
      </w:r>
      <w:r>
        <w:rPr>
          <w:rFonts w:hint="eastAsia" w:ascii="宋体" w:hAnsi="宋体" w:cs="宋体"/>
          <w:bCs/>
          <w:color w:val="000000" w:themeColor="text1"/>
          <w:sz w:val="24"/>
          <w:highlight w:val="none"/>
        </w:rPr>
        <w:fldChar w:fldCharType="separate"/>
      </w:r>
      <w:r>
        <w:rPr>
          <w:rFonts w:hint="eastAsia" w:ascii="宋体" w:hAnsi="宋体" w:cs="宋体"/>
          <w:bCs/>
          <w:color w:val="000000" w:themeColor="text1"/>
          <w:sz w:val="24"/>
          <w:highlight w:val="none"/>
        </w:rPr>
        <w:t>⑵</w:t>
      </w:r>
      <w:r>
        <w:rPr>
          <w:rFonts w:hint="eastAsia" w:ascii="宋体" w:hAnsi="宋体" w:cs="宋体"/>
          <w:bCs/>
          <w:color w:val="000000" w:themeColor="text1"/>
          <w:sz w:val="24"/>
          <w:highlight w:val="none"/>
        </w:rPr>
        <w:fldChar w:fldCharType="end"/>
      </w:r>
      <w:r>
        <w:rPr>
          <w:rFonts w:hint="eastAsia" w:ascii="宋体" w:hAnsi="宋体" w:cs="宋体"/>
          <w:color w:val="000000" w:themeColor="text1"/>
          <w:sz w:val="24"/>
          <w:highlight w:val="none"/>
        </w:rPr>
        <w:t>磋商响应文件中提供赠品、回扣或者与采购无关的其他商品、服务的；</w:t>
      </w:r>
    </w:p>
    <w:p w14:paraId="5F9A1494">
      <w:pPr>
        <w:spacing w:line="360" w:lineRule="auto"/>
        <w:ind w:left="1185" w:leftChars="450" w:hanging="240" w:hangingChars="100"/>
        <w:rPr>
          <w:rFonts w:ascii="宋体" w:hAnsi="宋体" w:cs="宋体"/>
          <w:color w:val="000000" w:themeColor="text1"/>
          <w:sz w:val="24"/>
          <w:highlight w:val="none"/>
        </w:rPr>
      </w:pPr>
      <w:r>
        <w:rPr>
          <w:rFonts w:hint="eastAsia" w:ascii="宋体" w:hAnsi="宋体" w:cs="宋体"/>
          <w:bCs/>
          <w:color w:val="000000" w:themeColor="text1"/>
          <w:sz w:val="24"/>
          <w:highlight w:val="none"/>
        </w:rPr>
        <w:fldChar w:fldCharType="begin"/>
      </w:r>
      <w:r>
        <w:rPr>
          <w:rFonts w:hint="eastAsia" w:ascii="宋体" w:hAnsi="宋体" w:cs="宋体"/>
          <w:bCs/>
          <w:color w:val="000000" w:themeColor="text1"/>
          <w:sz w:val="24"/>
          <w:highlight w:val="none"/>
        </w:rPr>
        <w:instrText xml:space="preserve"> = 3 \* GB2 </w:instrText>
      </w:r>
      <w:r>
        <w:rPr>
          <w:rFonts w:hint="eastAsia" w:ascii="宋体" w:hAnsi="宋体" w:cs="宋体"/>
          <w:bCs/>
          <w:color w:val="000000" w:themeColor="text1"/>
          <w:sz w:val="24"/>
          <w:highlight w:val="none"/>
        </w:rPr>
        <w:fldChar w:fldCharType="separate"/>
      </w:r>
      <w:r>
        <w:rPr>
          <w:rFonts w:hint="eastAsia" w:ascii="宋体" w:hAnsi="宋体" w:cs="宋体"/>
          <w:bCs/>
          <w:color w:val="000000" w:themeColor="text1"/>
          <w:sz w:val="24"/>
          <w:highlight w:val="none"/>
        </w:rPr>
        <w:t>⑶</w:t>
      </w:r>
      <w:r>
        <w:rPr>
          <w:rFonts w:hint="eastAsia" w:ascii="宋体" w:hAnsi="宋体" w:cs="宋体"/>
          <w:bCs/>
          <w:color w:val="000000" w:themeColor="text1"/>
          <w:sz w:val="24"/>
          <w:highlight w:val="none"/>
        </w:rPr>
        <w:fldChar w:fldCharType="end"/>
      </w:r>
      <w:r>
        <w:rPr>
          <w:rFonts w:hint="eastAsia" w:ascii="宋体" w:hAnsi="宋体" w:cs="宋体"/>
          <w:color w:val="000000" w:themeColor="text1"/>
          <w:sz w:val="24"/>
          <w:highlight w:val="none"/>
        </w:rPr>
        <w:t>磋商小组评定有非实质性条款负偏离超过磋商文件规定项数的，项数要求见供应商须知前附表（一）；</w:t>
      </w:r>
    </w:p>
    <w:p w14:paraId="694ABB54">
      <w:pPr>
        <w:spacing w:line="360" w:lineRule="auto"/>
        <w:ind w:left="1185" w:leftChars="450" w:hanging="240" w:hangingChars="10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4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⑷</w:t>
      </w:r>
      <w:r>
        <w:rPr>
          <w:rFonts w:hint="eastAsia" w:ascii="宋体" w:hAnsi="宋体" w:cs="宋体"/>
          <w:color w:val="000000" w:themeColor="text1"/>
          <w:sz w:val="24"/>
          <w:highlight w:val="none"/>
        </w:rPr>
        <w:fldChar w:fldCharType="end"/>
      </w:r>
      <w:r>
        <w:rPr>
          <w:rFonts w:hint="eastAsia" w:ascii="宋体" w:hAnsi="宋体" w:cs="宋体"/>
          <w:bCs/>
          <w:color w:val="000000" w:themeColor="text1"/>
          <w:sz w:val="24"/>
          <w:highlight w:val="none"/>
        </w:rPr>
        <w:t>供应商已明知采购期间或之后企业将发生兼并改制，或提供的产品将停产、淘汰，或必须有偿使用专供的备品备件和试剂耗材的，及其他应当告知采购人可能影响采购项目实施或损害采购人利益的信息，不在磋商响应文件中予以特别说明的；</w:t>
      </w:r>
    </w:p>
    <w:p w14:paraId="7D1D1D9E">
      <w:pPr>
        <w:spacing w:line="360" w:lineRule="auto"/>
        <w:ind w:left="1185" w:leftChars="450" w:hanging="240" w:hangingChars="100"/>
        <w:rPr>
          <w:rFonts w:ascii="宋体" w:hAnsi="宋体" w:cs="宋体"/>
          <w:bCs/>
          <w:color w:val="000000" w:themeColor="text1"/>
          <w:sz w:val="24"/>
          <w:highlight w:val="none"/>
        </w:rPr>
      </w:pPr>
      <w:r>
        <w:rPr>
          <w:rFonts w:hint="eastAsia" w:ascii="宋体" w:hAnsi="宋体" w:cs="宋体"/>
          <w:bCs/>
          <w:color w:val="000000" w:themeColor="text1"/>
          <w:sz w:val="24"/>
          <w:highlight w:val="none"/>
        </w:rPr>
        <w:fldChar w:fldCharType="begin"/>
      </w:r>
      <w:r>
        <w:rPr>
          <w:rFonts w:hint="eastAsia" w:ascii="宋体" w:hAnsi="宋体" w:cs="宋体"/>
          <w:bCs/>
          <w:color w:val="000000" w:themeColor="text1"/>
          <w:sz w:val="24"/>
          <w:highlight w:val="none"/>
        </w:rPr>
        <w:instrText xml:space="preserve"> = 5 \* GB2 </w:instrText>
      </w:r>
      <w:r>
        <w:rPr>
          <w:rFonts w:hint="eastAsia" w:ascii="宋体" w:hAnsi="宋体" w:cs="宋体"/>
          <w:bCs/>
          <w:color w:val="000000" w:themeColor="text1"/>
          <w:sz w:val="24"/>
          <w:highlight w:val="none"/>
        </w:rPr>
        <w:fldChar w:fldCharType="separate"/>
      </w:r>
      <w:r>
        <w:rPr>
          <w:rFonts w:hint="eastAsia" w:ascii="宋体" w:hAnsi="宋体" w:cs="宋体"/>
          <w:bCs/>
          <w:color w:val="000000" w:themeColor="text1"/>
          <w:sz w:val="24"/>
          <w:highlight w:val="none"/>
        </w:rPr>
        <w:t>⑸</w:t>
      </w:r>
      <w:r>
        <w:rPr>
          <w:rFonts w:hint="eastAsia" w:ascii="宋体" w:hAnsi="宋体" w:cs="宋体"/>
          <w:bCs/>
          <w:color w:val="000000" w:themeColor="text1"/>
          <w:sz w:val="24"/>
          <w:highlight w:val="none"/>
        </w:rPr>
        <w:fldChar w:fldCharType="end"/>
      </w:r>
      <w:r>
        <w:rPr>
          <w:rFonts w:hint="eastAsia" w:ascii="宋体" w:hAnsi="宋体" w:cs="宋体"/>
          <w:bCs/>
          <w:color w:val="000000" w:themeColor="text1"/>
          <w:sz w:val="24"/>
          <w:highlight w:val="none"/>
        </w:rPr>
        <w:t>采购产品为政府强制采购的节能产品，供应商未提供节能产品认证证书的；</w:t>
      </w:r>
    </w:p>
    <w:p w14:paraId="5289F1E2">
      <w:pPr>
        <w:spacing w:line="360" w:lineRule="auto"/>
        <w:ind w:left="1185" w:leftChars="450" w:hanging="240" w:hangingChars="100"/>
        <w:rPr>
          <w:rFonts w:ascii="宋体" w:hAnsi="宋体" w:cs="宋体"/>
          <w:bCs/>
          <w:color w:val="000000" w:themeColor="text1"/>
          <w:sz w:val="24"/>
          <w:highlight w:val="none"/>
        </w:rPr>
      </w:pPr>
      <w:r>
        <w:rPr>
          <w:rFonts w:hint="eastAsia" w:ascii="宋体" w:hAnsi="宋体" w:cs="宋体"/>
          <w:bCs/>
          <w:color w:val="000000" w:themeColor="text1"/>
          <w:sz w:val="24"/>
          <w:highlight w:val="none"/>
        </w:rPr>
        <w:fldChar w:fldCharType="begin"/>
      </w:r>
      <w:r>
        <w:rPr>
          <w:rFonts w:hint="eastAsia" w:ascii="宋体" w:hAnsi="宋体" w:cs="宋体"/>
          <w:bCs/>
          <w:color w:val="000000" w:themeColor="text1"/>
          <w:sz w:val="24"/>
          <w:highlight w:val="none"/>
        </w:rPr>
        <w:instrText xml:space="preserve"> = 6 \* GB2 </w:instrText>
      </w:r>
      <w:r>
        <w:rPr>
          <w:rFonts w:hint="eastAsia" w:ascii="宋体" w:hAnsi="宋体" w:cs="宋体"/>
          <w:bCs/>
          <w:color w:val="000000" w:themeColor="text1"/>
          <w:sz w:val="24"/>
          <w:highlight w:val="none"/>
        </w:rPr>
        <w:fldChar w:fldCharType="separate"/>
      </w:r>
      <w:r>
        <w:rPr>
          <w:rFonts w:hint="eastAsia" w:ascii="宋体" w:hAnsi="宋体" w:cs="宋体"/>
          <w:bCs/>
          <w:color w:val="000000" w:themeColor="text1"/>
          <w:sz w:val="24"/>
          <w:highlight w:val="none"/>
        </w:rPr>
        <w:t>⑹</w:t>
      </w:r>
      <w:r>
        <w:rPr>
          <w:rFonts w:hint="eastAsia" w:ascii="宋体" w:hAnsi="宋体" w:cs="宋体"/>
          <w:bCs/>
          <w:color w:val="000000" w:themeColor="text1"/>
          <w:sz w:val="24"/>
          <w:highlight w:val="none"/>
        </w:rPr>
        <w:fldChar w:fldCharType="end"/>
      </w:r>
      <w:r>
        <w:rPr>
          <w:rFonts w:hint="eastAsia" w:ascii="宋体" w:hAnsi="宋体" w:cs="宋体"/>
          <w:bCs/>
          <w:color w:val="000000" w:themeColor="text1"/>
          <w:sz w:val="24"/>
          <w:highlight w:val="none"/>
        </w:rPr>
        <w:t>磋商响应文件内容不全或内容字迹模糊辨认不清的而导致评审无法正常进行（经磋商小组认定并允许其当场更正的笔误除外的）；</w:t>
      </w:r>
    </w:p>
    <w:p w14:paraId="21658A19">
      <w:pPr>
        <w:spacing w:line="360" w:lineRule="auto"/>
        <w:ind w:left="1185" w:leftChars="450" w:hanging="240" w:hangingChars="100"/>
        <w:rPr>
          <w:rFonts w:ascii="宋体" w:hAnsi="宋体" w:cs="宋体"/>
          <w:bCs/>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7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⑺</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违反国家及政府部门相关法律、法规、文件规定或经评审委员认定的其他属于重大偏离的。</w:t>
      </w:r>
    </w:p>
    <w:p w14:paraId="3A98EFF6">
      <w:pPr>
        <w:pStyle w:val="6"/>
        <w:spacing w:before="0" w:after="0"/>
        <w:ind w:left="964" w:hanging="964" w:hangingChars="400"/>
        <w:rPr>
          <w:rFonts w:ascii="宋体" w:hAnsi="宋体" w:eastAsia="宋体" w:cs="宋体"/>
          <w:color w:val="000000" w:themeColor="text1"/>
          <w:sz w:val="24"/>
          <w:szCs w:val="24"/>
          <w:highlight w:val="none"/>
        </w:rPr>
      </w:pPr>
      <w:bookmarkStart w:id="215" w:name="_Toc80973281"/>
      <w:r>
        <w:rPr>
          <w:rFonts w:hint="eastAsia" w:ascii="宋体" w:hAnsi="宋体" w:eastAsia="宋体" w:cs="宋体"/>
          <w:color w:val="000000" w:themeColor="text1"/>
          <w:sz w:val="24"/>
          <w:szCs w:val="24"/>
          <w:highlight w:val="none"/>
        </w:rPr>
        <w:t>7.4     在报价评审时，如发现下列情形之一的，其响应无效</w:t>
      </w:r>
      <w:bookmarkEnd w:id="215"/>
    </w:p>
    <w:p w14:paraId="6A42CC6C">
      <w:pPr>
        <w:spacing w:line="360" w:lineRule="auto"/>
        <w:ind w:left="945" w:leftChars="450"/>
        <w:rPr>
          <w:rFonts w:ascii="宋体" w:hAnsi="宋体" w:cs="宋体"/>
          <w:b/>
          <w:bCs/>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1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⑴</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报价超过磋商文件中规定的最高限价的；</w:t>
      </w:r>
    </w:p>
    <w:p w14:paraId="0239D74B">
      <w:pPr>
        <w:spacing w:line="360" w:lineRule="auto"/>
        <w:ind w:left="1185" w:leftChars="450" w:hanging="240" w:hangingChars="10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2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⑵</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响应报价存在漏项或报价数量少于采购要求的，报价文件内容与对应资信商务及技术文件内容不一致的；</w:t>
      </w:r>
    </w:p>
    <w:p w14:paraId="67711210">
      <w:pPr>
        <w:spacing w:line="360" w:lineRule="auto"/>
        <w:ind w:left="1185" w:leftChars="450" w:hanging="240" w:hangingChars="10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3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⑶</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磋商小组评定其响应的报价明显不合理或低于成本，有可能影响产品质量或者不能诚信履约的，在评审现场合理的时间内不能合理说明原因和提供证明材料的来证明其报价合理性的；</w:t>
      </w:r>
    </w:p>
    <w:p w14:paraId="2CFED7CF">
      <w:pPr>
        <w:spacing w:line="360" w:lineRule="auto"/>
        <w:ind w:left="1185" w:leftChars="450" w:hanging="240" w:hangingChars="10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4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⑷</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拒不接受报价错误修正或报价错误修正后在线确认的。</w:t>
      </w:r>
    </w:p>
    <w:p w14:paraId="24BBF3C2">
      <w:pPr>
        <w:pStyle w:val="6"/>
        <w:spacing w:before="0" w:after="0"/>
        <w:ind w:left="964" w:hanging="964" w:hangingChars="400"/>
        <w:rPr>
          <w:rFonts w:ascii="宋体" w:hAnsi="宋体" w:eastAsia="宋体" w:cs="宋体"/>
          <w:color w:val="000000" w:themeColor="text1"/>
          <w:sz w:val="24"/>
          <w:szCs w:val="24"/>
          <w:highlight w:val="none"/>
        </w:rPr>
      </w:pPr>
      <w:bookmarkStart w:id="216" w:name="_Toc80973282"/>
      <w:r>
        <w:rPr>
          <w:rFonts w:hint="eastAsia" w:ascii="宋体" w:hAnsi="宋体" w:eastAsia="宋体" w:cs="宋体"/>
          <w:color w:val="000000" w:themeColor="text1"/>
          <w:sz w:val="24"/>
          <w:szCs w:val="24"/>
          <w:highlight w:val="none"/>
        </w:rPr>
        <w:t>7.5     如有下列情形之一的，其响应无效</w:t>
      </w:r>
      <w:bookmarkEnd w:id="216"/>
    </w:p>
    <w:p w14:paraId="0F2D0592">
      <w:pPr>
        <w:spacing w:line="360" w:lineRule="auto"/>
        <w:ind w:left="1185" w:leftChars="450" w:hanging="240" w:hangingChars="10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1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⑴</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供应商直接或者间接从采购人或者采购代理机构处获得其他供应商的相关情况并修改其磋商响应文件；</w:t>
      </w:r>
    </w:p>
    <w:p w14:paraId="2ADE70D6">
      <w:pPr>
        <w:spacing w:line="360" w:lineRule="auto"/>
        <w:ind w:left="945" w:leftChars="45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2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⑵</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供应商按照采购人或者采购代理机构的授意撤换、修改磋商响应文件；</w:t>
      </w:r>
    </w:p>
    <w:p w14:paraId="7F422080">
      <w:pPr>
        <w:spacing w:line="360" w:lineRule="auto"/>
        <w:ind w:left="945" w:leftChars="45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3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⑶</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供应商之间协商磋商响应文件的实质性内容；</w:t>
      </w:r>
    </w:p>
    <w:p w14:paraId="48A03DF9">
      <w:pPr>
        <w:spacing w:line="360" w:lineRule="auto"/>
        <w:ind w:left="1185" w:leftChars="450" w:hanging="240" w:hangingChars="10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4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⑷</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属于同一集团、协会、商会等组织成员的供应商按照该组织要求协同参加政府采购活动；</w:t>
      </w:r>
    </w:p>
    <w:p w14:paraId="58394909">
      <w:pPr>
        <w:spacing w:line="360" w:lineRule="auto"/>
        <w:ind w:left="945" w:leftChars="45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5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⑸</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供应商之间事先约定由某一特定供应商中标、成交；</w:t>
      </w:r>
    </w:p>
    <w:p w14:paraId="7AAD53B2">
      <w:pPr>
        <w:spacing w:line="360" w:lineRule="auto"/>
        <w:ind w:left="945" w:leftChars="45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6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⑹</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供应商之间商定部分供应商放弃参加政府采购活动或者放弃中标、成交；</w:t>
      </w:r>
    </w:p>
    <w:p w14:paraId="4B034692">
      <w:pPr>
        <w:spacing w:line="360" w:lineRule="auto"/>
        <w:ind w:left="1185" w:leftChars="450" w:hanging="240" w:hangingChars="10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7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⑺</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供应商与采购人或者采购代理机构之间、供应商相互之间，为谋求特定供应商中标、成交或者排斥其他供应商的其他串通行为；</w:t>
      </w:r>
    </w:p>
    <w:p w14:paraId="52E93AA2">
      <w:pPr>
        <w:spacing w:line="360" w:lineRule="auto"/>
        <w:ind w:left="945" w:leftChars="45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8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⑻</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不同供应商的磋商响应文件由同一单位或者个人编制；</w:t>
      </w:r>
    </w:p>
    <w:p w14:paraId="19953AE5">
      <w:pPr>
        <w:spacing w:line="360" w:lineRule="auto"/>
        <w:ind w:left="945" w:leftChars="45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9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⑼</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不同供应商委托同一单位或者个人办理磋商事宜；</w:t>
      </w:r>
    </w:p>
    <w:p w14:paraId="3AE34398">
      <w:pPr>
        <w:spacing w:line="360" w:lineRule="auto"/>
        <w:ind w:left="945" w:leftChars="45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10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⑽</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不同供应商的磋商响应文件载明的项目管理成员或者联系人员为同一人；</w:t>
      </w:r>
    </w:p>
    <w:p w14:paraId="12469D74">
      <w:pPr>
        <w:spacing w:line="360" w:lineRule="auto"/>
        <w:ind w:left="945" w:leftChars="45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11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⑾</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不同供应商的磋商响应文件异常一致或者响应报价呈规律性差异；</w:t>
      </w:r>
    </w:p>
    <w:p w14:paraId="32B7B5FE">
      <w:pPr>
        <w:spacing w:line="360" w:lineRule="auto"/>
        <w:ind w:left="945" w:leftChars="450"/>
        <w:rPr>
          <w:rFonts w:ascii="宋体" w:hAnsi="宋体" w:cs="宋体"/>
          <w:color w:val="000000" w:themeColor="text1"/>
          <w:sz w:val="24"/>
          <w:highlight w:val="none"/>
        </w:rPr>
      </w:pPr>
      <w:r>
        <w:rPr>
          <w:rFonts w:hint="eastAsia" w:ascii="宋体" w:hAnsi="宋体" w:cs="宋体"/>
          <w:color w:val="000000" w:themeColor="text1"/>
          <w:sz w:val="24"/>
          <w:highlight w:val="none"/>
        </w:rPr>
        <w:fldChar w:fldCharType="begin"/>
      </w:r>
      <w:r>
        <w:rPr>
          <w:rFonts w:hint="eastAsia" w:ascii="宋体" w:hAnsi="宋体" w:cs="宋体"/>
          <w:color w:val="000000" w:themeColor="text1"/>
          <w:sz w:val="24"/>
          <w:highlight w:val="none"/>
        </w:rPr>
        <w:instrText xml:space="preserve"> = 12 \* GB2 </w:instrText>
      </w:r>
      <w:r>
        <w:rPr>
          <w:rFonts w:hint="eastAsia" w:ascii="宋体" w:hAnsi="宋体" w:cs="宋体"/>
          <w:color w:val="000000" w:themeColor="text1"/>
          <w:sz w:val="24"/>
          <w:highlight w:val="none"/>
        </w:rPr>
        <w:fldChar w:fldCharType="separate"/>
      </w:r>
      <w:r>
        <w:rPr>
          <w:rFonts w:hint="eastAsia" w:ascii="宋体" w:hAnsi="宋体" w:cs="宋体"/>
          <w:color w:val="000000" w:themeColor="text1"/>
          <w:sz w:val="24"/>
          <w:highlight w:val="none"/>
        </w:rPr>
        <w:t>⑿</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提供虚假材料谋取成交的。</w:t>
      </w:r>
    </w:p>
    <w:p w14:paraId="2DD8152D">
      <w:pPr>
        <w:pStyle w:val="43"/>
        <w:spacing w:beforeLines="100" w:afterLines="100"/>
        <w:jc w:val="left"/>
        <w:outlineLvl w:val="1"/>
        <w:rPr>
          <w:rFonts w:ascii="宋体" w:hAnsi="宋体" w:cs="宋体"/>
          <w:color w:val="000000" w:themeColor="text1"/>
          <w:sz w:val="30"/>
          <w:szCs w:val="30"/>
          <w:highlight w:val="none"/>
        </w:rPr>
      </w:pPr>
      <w:bookmarkStart w:id="217" w:name="_Toc303756400"/>
      <w:bookmarkStart w:id="218" w:name="_Toc80973283"/>
      <w:bookmarkStart w:id="219" w:name="_Toc515526193"/>
      <w:bookmarkStart w:id="220" w:name="_Toc531359026"/>
      <w:bookmarkStart w:id="221" w:name="_Toc301187772"/>
      <w:bookmarkStart w:id="222" w:name="_Toc359934597"/>
      <w:r>
        <w:rPr>
          <w:rFonts w:hint="eastAsia" w:ascii="宋体" w:hAnsi="宋体" w:cs="宋体"/>
          <w:color w:val="000000" w:themeColor="text1"/>
          <w:sz w:val="30"/>
          <w:szCs w:val="30"/>
          <w:highlight w:val="none"/>
        </w:rPr>
        <w:t>八    成交和合同</w:t>
      </w:r>
      <w:bookmarkEnd w:id="217"/>
      <w:bookmarkEnd w:id="218"/>
      <w:bookmarkEnd w:id="219"/>
      <w:bookmarkEnd w:id="220"/>
      <w:bookmarkEnd w:id="221"/>
      <w:bookmarkEnd w:id="222"/>
    </w:p>
    <w:p w14:paraId="5E94776F">
      <w:pPr>
        <w:pStyle w:val="258"/>
        <w:rPr>
          <w:rFonts w:ascii="宋体" w:eastAsia="宋体"/>
          <w:color w:val="000000" w:themeColor="text1"/>
          <w:highlight w:val="none"/>
        </w:rPr>
      </w:pPr>
      <w:bookmarkStart w:id="223" w:name="_Toc359934599"/>
      <w:bookmarkStart w:id="224" w:name="_Toc303756402"/>
      <w:bookmarkStart w:id="225" w:name="_Toc301187776"/>
      <w:bookmarkStart w:id="226" w:name="_Toc80973284"/>
      <w:bookmarkStart w:id="227" w:name="_Toc531359027"/>
      <w:bookmarkStart w:id="228" w:name="_Toc515526194"/>
      <w:r>
        <w:rPr>
          <w:rFonts w:hint="eastAsia" w:ascii="宋体" w:eastAsia="宋体"/>
          <w:color w:val="000000" w:themeColor="text1"/>
          <w:highlight w:val="none"/>
        </w:rPr>
        <w:t>8.1</w:t>
      </w:r>
      <w:bookmarkEnd w:id="223"/>
      <w:bookmarkEnd w:id="224"/>
      <w:bookmarkEnd w:id="225"/>
      <w:r>
        <w:rPr>
          <w:rFonts w:hint="eastAsia" w:ascii="宋体" w:eastAsia="宋体"/>
          <w:color w:val="000000" w:themeColor="text1"/>
          <w:highlight w:val="none"/>
        </w:rPr>
        <w:t xml:space="preserve">     成交</w:t>
      </w:r>
      <w:bookmarkEnd w:id="226"/>
      <w:bookmarkEnd w:id="227"/>
      <w:bookmarkEnd w:id="228"/>
    </w:p>
    <w:p w14:paraId="51A53CED">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8.1.1   采购代理机构在评审结束后2个工作日内将评审报告提交采购人确认；</w:t>
      </w:r>
    </w:p>
    <w:p w14:paraId="1D99E11B">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8.1.2   采购人应当自收到评审报告之日起5个工作日内，在评审报告确定的成交候选人名单中按顺序确定成交人；</w:t>
      </w:r>
    </w:p>
    <w:p w14:paraId="147F44ED">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8.1.3   采购人在收到评审报告5个工作日内未按评审报告推荐的成交候选人顺序确定成交人，又不能说明合法理由的，视同按评审报告推荐的顺序确定排名第一的成交候选人为成交人；</w:t>
      </w:r>
    </w:p>
    <w:p w14:paraId="01B3B2B6">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8.1.4   成交人拒绝与采购人签订合同的，采购人可以按照评审报告推荐的成交人名单排序，确定下一候选人为成交人，也可以重新开展政府采购活动。</w:t>
      </w:r>
    </w:p>
    <w:p w14:paraId="24A50CB9">
      <w:pPr>
        <w:pStyle w:val="258"/>
        <w:rPr>
          <w:rFonts w:ascii="宋体" w:eastAsia="宋体"/>
          <w:color w:val="000000" w:themeColor="text1"/>
          <w:highlight w:val="none"/>
        </w:rPr>
      </w:pPr>
      <w:bookmarkStart w:id="229" w:name="_Toc531359028"/>
      <w:bookmarkStart w:id="230" w:name="_Toc80973285"/>
      <w:r>
        <w:rPr>
          <w:rFonts w:hint="eastAsia" w:ascii="宋体" w:eastAsia="宋体"/>
          <w:color w:val="000000" w:themeColor="text1"/>
          <w:highlight w:val="none"/>
        </w:rPr>
        <w:t>8.2     成交公告和成交通知书</w:t>
      </w:r>
      <w:bookmarkEnd w:id="229"/>
      <w:bookmarkEnd w:id="230"/>
    </w:p>
    <w:p w14:paraId="4B4C6CA8">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8.2.1   采购代理机构应当自成交人确定之日起2个工作日内，在供应商须知前附表（一）规定的网址发布成交结果；</w:t>
      </w:r>
    </w:p>
    <w:p w14:paraId="5981F87F">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8.2.2   成交结果公告内容包括采购人和采购代理机构的名称、地址、联系方式，项目名称和项目编号，成交人名称、地址和成交金额，主要成交标的的名称、规格型号、数量、单价、服务要求，成交公告期限以及评审专家名单，但不包括国家秘密或商业秘密；</w:t>
      </w:r>
    </w:p>
    <w:p w14:paraId="1D9B3CFB">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8.2.3   成交公告期限为1个工作日；</w:t>
      </w:r>
    </w:p>
    <w:p w14:paraId="0466EE35">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8.2.4   采购代理机构将在成交结果公告中附成交通知书，视同向成交人发出成交通知书，同时成交人应在成交结果公告发布后签订合同前，赴政府采购代理机构项目负责人处领取书面成交通知书；</w:t>
      </w:r>
    </w:p>
    <w:p w14:paraId="24E98983">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8.2.5   成交通知书发出后，采购人不得改变成交结果，成交人无正当理由不得放弃成交。否则将作为不良行为记录上报财政部门，由财政部门按相关法律法规给予处理。</w:t>
      </w:r>
    </w:p>
    <w:p w14:paraId="21A33EA1">
      <w:pPr>
        <w:pStyle w:val="258"/>
        <w:rPr>
          <w:rFonts w:ascii="宋体" w:eastAsia="宋体"/>
          <w:color w:val="000000" w:themeColor="text1"/>
          <w:highlight w:val="none"/>
        </w:rPr>
      </w:pPr>
      <w:bookmarkStart w:id="231" w:name="_Toc80973286"/>
      <w:bookmarkStart w:id="232" w:name="_Toc531359029"/>
      <w:r>
        <w:rPr>
          <w:rFonts w:hint="eastAsia" w:ascii="宋体" w:eastAsia="宋体"/>
          <w:color w:val="000000" w:themeColor="text1"/>
          <w:highlight w:val="none"/>
        </w:rPr>
        <w:t>8.3     履约保证金</w:t>
      </w:r>
      <w:bookmarkEnd w:id="231"/>
      <w:bookmarkEnd w:id="232"/>
    </w:p>
    <w:p w14:paraId="6FB9A5D3">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8.3.1   履约保证金：见供应商须知前附表（一）。</w:t>
      </w:r>
    </w:p>
    <w:p w14:paraId="67A57236">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8.3.2   成交人提供的服务及相关货物符合合同约定并经验收合格的，其履约保证金按规定要求由采购人无息退还。</w:t>
      </w:r>
    </w:p>
    <w:p w14:paraId="6B0536B1">
      <w:pPr>
        <w:pStyle w:val="258"/>
        <w:rPr>
          <w:rFonts w:ascii="宋体" w:eastAsia="宋体"/>
          <w:color w:val="000000" w:themeColor="text1"/>
          <w:highlight w:val="none"/>
        </w:rPr>
      </w:pPr>
      <w:bookmarkStart w:id="233" w:name="_Toc531359030"/>
      <w:bookmarkStart w:id="234" w:name="_Toc80973287"/>
      <w:r>
        <w:rPr>
          <w:rFonts w:hint="eastAsia" w:ascii="宋体" w:eastAsia="宋体"/>
          <w:color w:val="000000" w:themeColor="text1"/>
          <w:highlight w:val="none"/>
        </w:rPr>
        <w:t>8.4     合同</w:t>
      </w:r>
      <w:bookmarkEnd w:id="233"/>
      <w:bookmarkEnd w:id="234"/>
    </w:p>
    <w:p w14:paraId="2969B79D">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8.4.1   采购人应当自成交通知书发出之日起30日内，按照磋商文件和成交人磋商响应文件的规定，与成交人签订书面合同。所签订的合同不得对磋商文件确定的事项和成交人磋商响应文件作实质性修改。</w:t>
      </w:r>
    </w:p>
    <w:p w14:paraId="4FF77D93">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8.4.2   询问或者质疑事项可能影响中标（成交）结果的，采购人应当暂停签订合同，已经签订合同的，应当中止履行合同。</w:t>
      </w:r>
    </w:p>
    <w:p w14:paraId="0682531F">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8.4.3   采购人应当自政府采购合同签订之日起2个工作日内，将政府采购合同在浙江省政府采购网（zfcg.czt.zj.gov.cn）上公告，但政府采购合同中涉及国家秘密、商业秘密的内容除外。</w:t>
      </w:r>
    </w:p>
    <w:p w14:paraId="430910CC">
      <w:pPr>
        <w:pStyle w:val="43"/>
        <w:spacing w:beforeLines="100" w:afterLines="100"/>
        <w:jc w:val="left"/>
        <w:outlineLvl w:val="1"/>
        <w:rPr>
          <w:rFonts w:ascii="宋体" w:hAnsi="宋体" w:cs="宋体"/>
          <w:color w:val="000000" w:themeColor="text1"/>
          <w:sz w:val="30"/>
          <w:szCs w:val="30"/>
          <w:highlight w:val="none"/>
        </w:rPr>
      </w:pPr>
      <w:bookmarkStart w:id="235" w:name="_Toc80973288"/>
      <w:bookmarkStart w:id="236" w:name="_Toc530551873"/>
      <w:bookmarkStart w:id="237" w:name="_Toc45506731"/>
      <w:bookmarkStart w:id="238" w:name="_Toc15805937"/>
      <w:bookmarkStart w:id="239" w:name="_Toc531359032"/>
      <w:bookmarkStart w:id="240" w:name="_Toc47756031"/>
      <w:bookmarkStart w:id="241" w:name="_Toc15813254"/>
      <w:bookmarkStart w:id="242" w:name="_Toc335664282"/>
      <w:bookmarkStart w:id="243" w:name="_Toc493956048"/>
      <w:bookmarkStart w:id="244" w:name="_Toc334087240"/>
      <w:bookmarkStart w:id="245" w:name="_Toc107820052"/>
      <w:r>
        <w:rPr>
          <w:rFonts w:hint="eastAsia" w:ascii="宋体" w:hAnsi="宋体" w:cs="宋体"/>
          <w:color w:val="000000" w:themeColor="text1"/>
          <w:sz w:val="30"/>
          <w:szCs w:val="30"/>
          <w:highlight w:val="none"/>
        </w:rPr>
        <w:t>九    其他事项</w:t>
      </w:r>
      <w:bookmarkEnd w:id="235"/>
      <w:bookmarkEnd w:id="236"/>
      <w:bookmarkEnd w:id="237"/>
      <w:bookmarkEnd w:id="238"/>
      <w:bookmarkEnd w:id="239"/>
      <w:bookmarkEnd w:id="240"/>
      <w:bookmarkEnd w:id="241"/>
      <w:bookmarkEnd w:id="242"/>
      <w:bookmarkEnd w:id="243"/>
      <w:bookmarkEnd w:id="244"/>
      <w:bookmarkEnd w:id="245"/>
    </w:p>
    <w:p w14:paraId="741AB411">
      <w:pPr>
        <w:pStyle w:val="258"/>
        <w:rPr>
          <w:rFonts w:ascii="宋体" w:eastAsia="宋体"/>
          <w:color w:val="000000" w:themeColor="text1"/>
          <w:highlight w:val="none"/>
        </w:rPr>
      </w:pPr>
      <w:bookmarkStart w:id="246" w:name="_Toc531359033"/>
      <w:bookmarkStart w:id="247" w:name="_Toc80973289"/>
      <w:r>
        <w:rPr>
          <w:rFonts w:hint="eastAsia" w:ascii="宋体" w:eastAsia="宋体"/>
          <w:color w:val="000000" w:themeColor="text1"/>
          <w:highlight w:val="none"/>
        </w:rPr>
        <w:t>9.1     解释权</w:t>
      </w:r>
      <w:bookmarkEnd w:id="246"/>
      <w:bookmarkEnd w:id="247"/>
    </w:p>
    <w:p w14:paraId="10D6745D">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9.1.1   本磋商文件解释权属采购代理机构；</w:t>
      </w:r>
    </w:p>
    <w:p w14:paraId="23E63D2F">
      <w:pPr>
        <w:spacing w:line="360" w:lineRule="auto"/>
        <w:ind w:left="960" w:hanging="960" w:hangingChars="400"/>
        <w:rPr>
          <w:rFonts w:ascii="宋体" w:hAnsi="宋体" w:cs="宋体"/>
          <w:color w:val="000000" w:themeColor="text1"/>
          <w:sz w:val="24"/>
          <w:highlight w:val="none"/>
        </w:rPr>
      </w:pPr>
      <w:r>
        <w:rPr>
          <w:rFonts w:hint="eastAsia" w:ascii="宋体" w:hAnsi="宋体" w:cs="宋体"/>
          <w:color w:val="000000" w:themeColor="text1"/>
          <w:sz w:val="24"/>
          <w:highlight w:val="none"/>
        </w:rPr>
        <w:t>9.1.2   采购代理机构对决标结果不负责解释。</w:t>
      </w:r>
    </w:p>
    <w:p w14:paraId="20EC2C3B">
      <w:pPr>
        <w:spacing w:line="360" w:lineRule="auto"/>
        <w:ind w:firstLine="840" w:firstLineChars="400"/>
        <w:rPr>
          <w:rFonts w:ascii="宋体" w:hAnsi="宋体" w:cs="宋体"/>
          <w:color w:val="000000" w:themeColor="text1"/>
          <w:highlight w:val="none"/>
        </w:rPr>
        <w:sectPr>
          <w:pgSz w:w="11906" w:h="16838"/>
          <w:pgMar w:top="1418" w:right="1418" w:bottom="1418" w:left="1418" w:header="851" w:footer="851" w:gutter="0"/>
          <w:cols w:space="720" w:num="1"/>
          <w:docGrid w:linePitch="312" w:charSpace="0"/>
        </w:sectPr>
      </w:pPr>
    </w:p>
    <w:p w14:paraId="59A5315E">
      <w:pPr>
        <w:pStyle w:val="43"/>
        <w:spacing w:before="0" w:after="0" w:line="360" w:lineRule="auto"/>
        <w:rPr>
          <w:rFonts w:ascii="仿宋_GB2312" w:hAnsi="宋体" w:eastAsia="仿宋_GB2312"/>
          <w:color w:val="000000" w:themeColor="text1"/>
          <w:kern w:val="0"/>
          <w:sz w:val="24"/>
          <w:highlight w:val="none"/>
        </w:rPr>
      </w:pPr>
      <w:bookmarkStart w:id="248" w:name="_Toc531359036"/>
      <w:bookmarkStart w:id="249" w:name="_Toc493956049"/>
      <w:bookmarkStart w:id="250" w:name="_Toc80973290"/>
      <w:bookmarkStart w:id="251" w:name="_Toc530551874"/>
      <w:r>
        <w:rPr>
          <w:rFonts w:hint="eastAsia" w:ascii="宋体" w:hAnsi="宋体" w:cs="宋体"/>
          <w:color w:val="000000" w:themeColor="text1"/>
          <w:sz w:val="36"/>
          <w:szCs w:val="36"/>
          <w:highlight w:val="none"/>
        </w:rPr>
        <w:t>第四章  合同格式</w:t>
      </w:r>
      <w:bookmarkEnd w:id="248"/>
      <w:bookmarkEnd w:id="249"/>
      <w:bookmarkEnd w:id="250"/>
      <w:bookmarkEnd w:id="251"/>
      <w:bookmarkStart w:id="252" w:name="EB71043f696a4a44f887ee243392871b71"/>
      <w:bookmarkStart w:id="253" w:name="_Toc531359037"/>
      <w:bookmarkStart w:id="254" w:name="_Toc80973292"/>
      <w:bookmarkStart w:id="255" w:name="_Toc530551875"/>
      <w:bookmarkStart w:id="256" w:name="_Toc493956050"/>
    </w:p>
    <w:p w14:paraId="01824077">
      <w:pPr>
        <w:spacing w:line="360" w:lineRule="auto"/>
        <w:ind w:left="964" w:hanging="964" w:hangingChars="400"/>
        <w:jc w:val="center"/>
        <w:rPr>
          <w:rFonts w:hint="eastAsia" w:ascii="宋体" w:hAnsi="宋体" w:eastAsia="宋体" w:cs="宋体"/>
          <w:sz w:val="32"/>
          <w:szCs w:val="32"/>
        </w:rPr>
      </w:pPr>
      <w:r>
        <w:rPr>
          <w:rFonts w:hint="eastAsia" w:ascii="宋体" w:hAnsi="宋体" w:cs="宋体"/>
          <w:b/>
          <w:color w:val="000000" w:themeColor="text1"/>
          <w:sz w:val="24"/>
          <w:highlight w:val="none"/>
        </w:rPr>
        <w:t>病枯死松树清理除治合同</w:t>
      </w:r>
      <w:bookmarkEnd w:id="252"/>
    </w:p>
    <w:p w14:paraId="6AB8E4A8">
      <w:pPr>
        <w:spacing w:line="560" w:lineRule="exact"/>
        <w:ind w:firstLine="660"/>
        <w:rPr>
          <w:rFonts w:hint="eastAsia" w:ascii="宋体" w:hAnsi="宋体" w:eastAsia="宋体" w:cs="宋体"/>
          <w:sz w:val="28"/>
          <w:szCs w:val="28"/>
        </w:rPr>
      </w:pPr>
      <w:r>
        <w:rPr>
          <w:rFonts w:hint="eastAsia" w:ascii="宋体" w:hAnsi="宋体" w:eastAsia="宋体" w:cs="宋体"/>
          <w:sz w:val="28"/>
          <w:szCs w:val="28"/>
        </w:rPr>
        <w:t>甲方(以下简称甲方):_________乡镇人民政府（街道办、国有林场等）</w:t>
      </w:r>
    </w:p>
    <w:p w14:paraId="6062B6B6">
      <w:pPr>
        <w:spacing w:line="560" w:lineRule="exact"/>
        <w:ind w:firstLine="660"/>
        <w:rPr>
          <w:rFonts w:hint="eastAsia" w:ascii="宋体" w:hAnsi="宋体" w:eastAsia="宋体" w:cs="宋体"/>
          <w:sz w:val="28"/>
          <w:szCs w:val="28"/>
        </w:rPr>
      </w:pPr>
      <w:r>
        <w:rPr>
          <w:rFonts w:hint="eastAsia" w:ascii="宋体" w:hAnsi="宋体" w:eastAsia="宋体" w:cs="宋体"/>
          <w:sz w:val="28"/>
          <w:szCs w:val="28"/>
        </w:rPr>
        <w:t>乙方(以下简称乙方):___________________</w:t>
      </w:r>
    </w:p>
    <w:p w14:paraId="642F638E">
      <w:pPr>
        <w:keepNext w:val="0"/>
        <w:keepLines w:val="0"/>
        <w:pageBreakBefore w:val="0"/>
        <w:kinsoku/>
        <w:wordWrap/>
        <w:overflowPunct/>
        <w:topLinePunct w:val="0"/>
        <w:autoSpaceDE/>
        <w:autoSpaceDN/>
        <w:bidi w:val="0"/>
        <w:spacing w:line="340" w:lineRule="exact"/>
        <w:ind w:firstLine="660"/>
        <w:textAlignment w:val="auto"/>
        <w:rPr>
          <w:rFonts w:hint="eastAsia" w:ascii="宋体" w:hAnsi="宋体" w:eastAsia="宋体" w:cs="宋体"/>
          <w:sz w:val="28"/>
          <w:szCs w:val="28"/>
        </w:rPr>
      </w:pPr>
      <w:r>
        <w:rPr>
          <w:rFonts w:hint="eastAsia" w:ascii="宋体" w:hAnsi="宋体" w:eastAsia="宋体" w:cs="宋体"/>
          <w:sz w:val="28"/>
          <w:szCs w:val="28"/>
        </w:rPr>
        <w:t>为有效开展松材线虫病防治工作，根据《中华人民共和国民法典》《松材线虫病疫区和疫木管理办法》《松材线虫病防治技术方案（2022年版）》《浙江省松材线虫病防治条例》等有关规定，双方秉持自愿平等、公平守信原则，就松材线虫病枯死树除治工程施工有关事项协商一致，订立本合同，具体内容如下：</w:t>
      </w:r>
    </w:p>
    <w:p w14:paraId="01C217CB">
      <w:pPr>
        <w:pStyle w:val="281"/>
        <w:keepNext w:val="0"/>
        <w:keepLines w:val="0"/>
        <w:pageBreakBefore w:val="0"/>
        <w:widowControl/>
        <w:kinsoku/>
        <w:wordWrap/>
        <w:overflowPunct/>
        <w:topLinePunct w:val="0"/>
        <w:autoSpaceDE/>
        <w:autoSpaceDN/>
        <w:bidi w:val="0"/>
        <w:spacing w:line="340" w:lineRule="exact"/>
        <w:ind w:firstLine="562"/>
        <w:textAlignment w:val="auto"/>
        <w:rPr>
          <w:rFonts w:hint="eastAsia" w:ascii="宋体" w:hAnsi="宋体" w:eastAsia="宋体" w:cs="宋体"/>
          <w:b/>
          <w:sz w:val="28"/>
          <w:szCs w:val="28"/>
        </w:rPr>
      </w:pPr>
      <w:r>
        <w:rPr>
          <w:rFonts w:hint="eastAsia" w:ascii="宋体" w:hAnsi="宋体" w:eastAsia="宋体" w:cs="宋体"/>
          <w:b/>
          <w:sz w:val="28"/>
          <w:szCs w:val="28"/>
        </w:rPr>
        <w:t>一、工程概况</w:t>
      </w:r>
    </w:p>
    <w:p w14:paraId="4629C0B0">
      <w:pPr>
        <w:keepNext w:val="0"/>
        <w:keepLines w:val="0"/>
        <w:pageBreakBefore w:val="0"/>
        <w:kinsoku/>
        <w:wordWrap/>
        <w:overflowPunct/>
        <w:topLinePunct w:val="0"/>
        <w:autoSpaceDE/>
        <w:autoSpaceDN/>
        <w:bidi w:val="0"/>
        <w:spacing w:line="3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工程内容：采用择伐等方式，在规定期限对约定范围内所有病死、枯死等死亡的松树进行除治，并对伐除的松木、清理的枝桠以及伐桩进行管理、处理。</w:t>
      </w:r>
    </w:p>
    <w:p w14:paraId="33601788">
      <w:pPr>
        <w:keepNext w:val="0"/>
        <w:keepLines w:val="0"/>
        <w:pageBreakBefore w:val="0"/>
        <w:kinsoku/>
        <w:wordWrap/>
        <w:overflowPunct/>
        <w:topLinePunct w:val="0"/>
        <w:autoSpaceDE/>
        <w:autoSpaceDN/>
        <w:bidi w:val="0"/>
        <w:spacing w:line="240" w:lineRule="auto"/>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二、施工范围、时间、合同价格及支付方式</w:t>
      </w:r>
    </w:p>
    <w:p w14:paraId="4AA48B7B">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施工范围（村）：</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以本乡镇、村行政区域范围界为准</w:t>
      </w:r>
      <w:r>
        <w:rPr>
          <w:rFonts w:hint="eastAsia" w:ascii="宋体" w:hAnsi="宋体" w:eastAsia="宋体" w:cs="宋体"/>
          <w:sz w:val="28"/>
          <w:szCs w:val="28"/>
        </w:rPr>
        <w:t>）</w:t>
      </w:r>
    </w:p>
    <w:p w14:paraId="6280DD2A">
      <w:pPr>
        <w:keepNext w:val="0"/>
        <w:keepLines w:val="0"/>
        <w:pageBreakBefore w:val="0"/>
        <w:kinsoku/>
        <w:wordWrap/>
        <w:overflowPunct/>
        <w:topLinePunct w:val="0"/>
        <w:autoSpaceDE/>
        <w:autoSpaceDN/>
        <w:bidi w:val="0"/>
        <w:spacing w:line="3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施工时间：集中除治阶</w:t>
      </w:r>
      <w:r>
        <w:rPr>
          <w:rFonts w:hint="eastAsia" w:ascii="宋体" w:hAnsi="宋体" w:eastAsia="宋体" w:cs="宋体"/>
          <w:color w:val="auto"/>
          <w:sz w:val="28"/>
          <w:szCs w:val="28"/>
          <w:highlight w:val="none"/>
        </w:rPr>
        <w:t>段：</w:t>
      </w:r>
      <w:r>
        <w:rPr>
          <w:rFonts w:hint="eastAsia" w:ascii="宋体" w:hAnsi="宋体" w:eastAsia="宋体" w:cs="宋体"/>
          <w:color w:val="auto"/>
          <w:sz w:val="28"/>
          <w:szCs w:val="28"/>
          <w:highlight w:val="none"/>
          <w:lang w:eastAsia="zh-CN"/>
        </w:rPr>
        <w:t>疫木清理除治服务期截止</w:t>
      </w:r>
      <w:r>
        <w:rPr>
          <w:rFonts w:hint="eastAsia" w:ascii="宋体" w:hAnsi="宋体" w:cs="宋体"/>
          <w:color w:val="auto"/>
          <w:sz w:val="28"/>
          <w:szCs w:val="28"/>
          <w:highlight w:val="none"/>
          <w:lang w:eastAsia="zh-CN"/>
        </w:rPr>
        <w:t>2025年3月31</w:t>
      </w:r>
      <w:r>
        <w:rPr>
          <w:rFonts w:hint="eastAsia" w:ascii="宋体" w:hAnsi="宋体" w:eastAsia="宋体" w:cs="宋体"/>
          <w:sz w:val="28"/>
          <w:szCs w:val="28"/>
        </w:rPr>
        <w:t>日。除治对象：集中除治阶段，施工范围内所有病死、枯死的松树，除治其主干、枝桠和伐桩；</w:t>
      </w:r>
    </w:p>
    <w:p w14:paraId="2DB47A15">
      <w:pPr>
        <w:keepNext w:val="0"/>
        <w:keepLines w:val="0"/>
        <w:pageBreakBefore w:val="0"/>
        <w:kinsoku/>
        <w:wordWrap/>
        <w:overflowPunct/>
        <w:topLinePunct w:val="0"/>
        <w:autoSpaceDE/>
        <w:autoSpaceDN/>
        <w:bidi w:val="0"/>
        <w:spacing w:line="340" w:lineRule="exact"/>
        <w:ind w:firstLine="645"/>
        <w:textAlignment w:val="auto"/>
        <w:rPr>
          <w:rFonts w:hint="eastAsia" w:ascii="宋体" w:hAnsi="宋体" w:eastAsia="宋体" w:cs="宋体"/>
          <w:sz w:val="28"/>
          <w:szCs w:val="28"/>
        </w:rPr>
      </w:pPr>
      <w:r>
        <w:rPr>
          <w:rFonts w:hint="eastAsia" w:ascii="宋体" w:hAnsi="宋体" w:eastAsia="宋体" w:cs="宋体"/>
          <w:sz w:val="28"/>
          <w:szCs w:val="28"/>
        </w:rPr>
        <w:t>合同价格（工程量）：</w:t>
      </w:r>
      <w:r>
        <w:rPr>
          <w:rFonts w:hint="eastAsia" w:ascii="宋体" w:hAnsi="宋体" w:eastAsia="宋体" w:cs="宋体"/>
          <w:b/>
          <w:bCs/>
          <w:sz w:val="28"/>
          <w:szCs w:val="28"/>
        </w:rPr>
        <w:t>按下山进厂疫木除治重量和县级质量验收结果支付计算</w:t>
      </w:r>
      <w:r>
        <w:rPr>
          <w:rFonts w:hint="eastAsia" w:ascii="宋体" w:hAnsi="宋体" w:eastAsia="宋体" w:cs="宋体"/>
          <w:sz w:val="28"/>
          <w:szCs w:val="28"/>
        </w:rPr>
        <w:t>。支付清理费用已经包括技术资料、调查费用、人员管理、保险费用、税费等，涉及到本项目所有相关费用（包括开具履约保证金、农民工工资保证金等费用）均包含在投标报价中。</w:t>
      </w:r>
    </w:p>
    <w:p w14:paraId="1A89591A">
      <w:pPr>
        <w:keepNext w:val="0"/>
        <w:keepLines w:val="0"/>
        <w:pageBreakBefore w:val="0"/>
        <w:kinsoku/>
        <w:wordWrap/>
        <w:overflowPunct/>
        <w:topLinePunct w:val="0"/>
        <w:autoSpaceDE/>
        <w:autoSpaceDN/>
        <w:bidi w:val="0"/>
        <w:spacing w:line="340" w:lineRule="exact"/>
        <w:ind w:firstLine="645"/>
        <w:textAlignment w:val="auto"/>
        <w:rPr>
          <w:rFonts w:hint="eastAsia" w:ascii="宋体" w:hAnsi="宋体" w:eastAsia="宋体" w:cs="宋体"/>
          <w:sz w:val="28"/>
          <w:szCs w:val="28"/>
        </w:rPr>
      </w:pPr>
      <w:r>
        <w:rPr>
          <w:rFonts w:hint="eastAsia" w:ascii="宋体" w:hAnsi="宋体" w:eastAsia="宋体" w:cs="宋体"/>
          <w:b/>
          <w:bCs/>
          <w:sz w:val="28"/>
          <w:szCs w:val="28"/>
        </w:rPr>
        <w:t>按下山进厂重量和验收质量结果计算清理经费方式：</w:t>
      </w:r>
      <w:r>
        <w:rPr>
          <w:rFonts w:hint="eastAsia" w:ascii="宋体" w:hAnsi="宋体" w:eastAsia="宋体" w:cs="宋体"/>
          <w:sz w:val="28"/>
          <w:szCs w:val="28"/>
        </w:rPr>
        <w:t>合同生效且具备实施条件后7个工作日内支付合同价款的40%作为预付款；其余款项支付：根据砍伐下山的当年病死（枯死）的松树总重量，按进厂过磅重量并经驻厂监管员确认的计算重量和验收结果支付。历年疫木、非法采伐的活松木、工程项目合法审批采伐的活松木、火烧迹地等松木和其他树木不计入财政补助结算重量。</w:t>
      </w:r>
    </w:p>
    <w:p w14:paraId="22F054D3">
      <w:pPr>
        <w:keepNext w:val="0"/>
        <w:keepLines w:val="0"/>
        <w:pageBreakBefore w:val="0"/>
        <w:kinsoku/>
        <w:wordWrap/>
        <w:overflowPunct/>
        <w:topLinePunct w:val="0"/>
        <w:autoSpaceDE/>
        <w:autoSpaceDN/>
        <w:bidi w:val="0"/>
        <w:spacing w:line="340" w:lineRule="exact"/>
        <w:ind w:firstLine="645"/>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auto"/>
          <w:sz w:val="28"/>
          <w:szCs w:val="28"/>
          <w:highlight w:val="none"/>
        </w:rPr>
        <w:t>清理经费由财政补助7</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0元/吨（</w:t>
      </w:r>
      <w:r>
        <w:rPr>
          <w:rFonts w:hint="eastAsia" w:ascii="宋体" w:hAnsi="宋体" w:eastAsia="宋体" w:cs="宋体"/>
          <w:color w:val="auto"/>
          <w:sz w:val="28"/>
          <w:szCs w:val="28"/>
          <w:highlight w:val="none"/>
          <w:lang w:eastAsia="zh-CN"/>
        </w:rPr>
        <w:t>包含进厂</w:t>
      </w:r>
      <w:r>
        <w:rPr>
          <w:rFonts w:hint="eastAsia" w:ascii="宋体" w:hAnsi="宋体" w:eastAsia="宋体" w:cs="宋体"/>
          <w:color w:val="auto"/>
          <w:sz w:val="28"/>
          <w:szCs w:val="28"/>
          <w:highlight w:val="none"/>
        </w:rPr>
        <w:t>疫木处置款450元/吨）。</w:t>
      </w:r>
      <w:r>
        <w:rPr>
          <w:rFonts w:hint="eastAsia" w:ascii="宋体" w:hAnsi="宋体" w:eastAsia="宋体" w:cs="宋体"/>
          <w:color w:val="000000" w:themeColor="text1"/>
          <w:sz w:val="28"/>
          <w:szCs w:val="28"/>
          <w:highlight w:val="none"/>
        </w:rPr>
        <w:t>乙方对所承包区域通过县级验收得分90分（含）以上的全额拨付清理经费，并以进厂疫木重量（含枝桠材）为基数增加绩效清理经费400元/吨；90分至70(含)分按得分率拨付清理经费，不享受绩效清理经费；70分以下不拨付清理经费，不享受绩效清理经费。</w:t>
      </w:r>
    </w:p>
    <w:p w14:paraId="1E170120">
      <w:pPr>
        <w:pStyle w:val="45"/>
        <w:keepNext w:val="0"/>
        <w:keepLines w:val="0"/>
        <w:pageBreakBefore w:val="0"/>
        <w:kinsoku/>
        <w:wordWrap/>
        <w:overflowPunct/>
        <w:topLinePunct w:val="0"/>
        <w:autoSpaceDE/>
        <w:autoSpaceDN/>
        <w:bidi w:val="0"/>
        <w:spacing w:line="340" w:lineRule="exact"/>
        <w:ind w:left="0" w:leftChars="0" w:firstLine="56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经县级验收合格拔付清理经费后甲方按要求支付给乙方。</w:t>
      </w:r>
    </w:p>
    <w:p w14:paraId="0FC1B6D6">
      <w:pPr>
        <w:keepNext w:val="0"/>
        <w:keepLines w:val="0"/>
        <w:pageBreakBefore w:val="0"/>
        <w:kinsoku/>
        <w:wordWrap/>
        <w:overflowPunct/>
        <w:topLinePunct w:val="0"/>
        <w:autoSpaceDE/>
        <w:autoSpaceDN/>
        <w:bidi w:val="0"/>
        <w:spacing w:line="340" w:lineRule="exact"/>
        <w:ind w:firstLine="645"/>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2025年1月25日前完成的结算金额=中标单价×</w:t>
      </w:r>
      <w:r>
        <w:rPr>
          <w:rFonts w:hint="eastAsia" w:ascii="宋体" w:hAnsi="宋体" w:eastAsia="宋体" w:cs="宋体"/>
          <w:color w:val="000000" w:themeColor="text1"/>
          <w:sz w:val="28"/>
          <w:szCs w:val="28"/>
          <w:highlight w:val="none"/>
        </w:rPr>
        <w:t>实际工程量</w:t>
      </w:r>
    </w:p>
    <w:p w14:paraId="707A2C9C">
      <w:pPr>
        <w:keepNext w:val="0"/>
        <w:keepLines w:val="0"/>
        <w:pageBreakBefore w:val="0"/>
        <w:kinsoku/>
        <w:wordWrap/>
        <w:overflowPunct/>
        <w:topLinePunct w:val="0"/>
        <w:autoSpaceDE/>
        <w:autoSpaceDN/>
        <w:bidi w:val="0"/>
        <w:spacing w:line="340" w:lineRule="exact"/>
        <w:ind w:firstLine="645"/>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2025年1月26日-2025年3月31日完成的工程结算金额=</w:t>
      </w:r>
      <w:r>
        <w:rPr>
          <w:rFonts w:hint="eastAsia" w:ascii="宋体" w:hAnsi="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lang w:val="en-US" w:eastAsia="zh-CN"/>
        </w:rPr>
        <w:t>中标单价</w:t>
      </w:r>
      <w:r>
        <w:rPr>
          <w:rFonts w:hint="eastAsia" w:ascii="宋体" w:hAnsi="宋体" w:cs="宋体"/>
          <w:color w:val="000000" w:themeColor="text1"/>
          <w:sz w:val="28"/>
          <w:szCs w:val="28"/>
          <w:highlight w:val="none"/>
          <w:lang w:val="en-US" w:eastAsia="zh-CN"/>
        </w:rPr>
        <w:t>-400）</w:t>
      </w:r>
      <w:r>
        <w:rPr>
          <w:rFonts w:hint="eastAsia"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rPr>
        <w:t>实际</w:t>
      </w:r>
      <w:r>
        <w:rPr>
          <w:rFonts w:hint="eastAsia" w:ascii="宋体" w:hAnsi="宋体" w:eastAsia="宋体" w:cs="宋体"/>
          <w:color w:val="000000" w:themeColor="text1"/>
          <w:sz w:val="28"/>
          <w:szCs w:val="28"/>
          <w:highlight w:val="none"/>
          <w:lang w:eastAsia="zh-CN"/>
        </w:rPr>
        <w:t>完成</w:t>
      </w:r>
      <w:r>
        <w:rPr>
          <w:rFonts w:hint="eastAsia" w:ascii="宋体" w:hAnsi="宋体" w:eastAsia="宋体" w:cs="宋体"/>
          <w:color w:val="000000" w:themeColor="text1"/>
          <w:sz w:val="28"/>
          <w:szCs w:val="28"/>
          <w:highlight w:val="none"/>
        </w:rPr>
        <w:t>工程量</w:t>
      </w:r>
    </w:p>
    <w:p w14:paraId="3B6410ED">
      <w:pPr>
        <w:keepNext w:val="0"/>
        <w:keepLines w:val="0"/>
        <w:pageBreakBefore w:val="0"/>
        <w:kinsoku/>
        <w:wordWrap/>
        <w:overflowPunct/>
        <w:topLinePunct w:val="0"/>
        <w:autoSpaceDE/>
        <w:autoSpaceDN/>
        <w:bidi w:val="0"/>
        <w:spacing w:line="340" w:lineRule="exact"/>
        <w:ind w:firstLine="645"/>
        <w:textAlignment w:val="auto"/>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例：总工程500吨，在2025年1月25日前完成400吨</w:t>
      </w:r>
    </w:p>
    <w:p w14:paraId="685E5302">
      <w:pPr>
        <w:keepNext w:val="0"/>
        <w:keepLines w:val="0"/>
        <w:pageBreakBefore w:val="0"/>
        <w:kinsoku/>
        <w:wordWrap/>
        <w:overflowPunct/>
        <w:topLinePunct w:val="0"/>
        <w:autoSpaceDE/>
        <w:autoSpaceDN/>
        <w:bidi w:val="0"/>
        <w:spacing w:line="340" w:lineRule="exact"/>
        <w:ind w:firstLine="645"/>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结算总金额=中标单价×400吨+</w:t>
      </w:r>
      <w:r>
        <w:rPr>
          <w:rFonts w:hint="eastAsia" w:ascii="宋体" w:hAnsi="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lang w:val="en-US" w:eastAsia="zh-CN"/>
        </w:rPr>
        <w:t>中标单价</w:t>
      </w:r>
      <w:r>
        <w:rPr>
          <w:rFonts w:hint="eastAsia" w:ascii="宋体" w:hAnsi="宋体" w:cs="宋体"/>
          <w:color w:val="000000" w:themeColor="text1"/>
          <w:sz w:val="28"/>
          <w:szCs w:val="28"/>
          <w:highlight w:val="none"/>
          <w:lang w:val="en-US" w:eastAsia="zh-CN"/>
        </w:rPr>
        <w:t>-400）</w:t>
      </w:r>
      <w:r>
        <w:rPr>
          <w:rFonts w:hint="eastAsia" w:ascii="宋体" w:hAnsi="宋体" w:eastAsia="宋体" w:cs="宋体"/>
          <w:color w:val="000000" w:themeColor="text1"/>
          <w:sz w:val="28"/>
          <w:szCs w:val="28"/>
          <w:highlight w:val="none"/>
          <w:lang w:val="en-US" w:eastAsia="zh-CN"/>
        </w:rPr>
        <w:t>×100吨</w:t>
      </w:r>
    </w:p>
    <w:p w14:paraId="1F9940F1">
      <w:pPr>
        <w:pStyle w:val="281"/>
        <w:keepNext w:val="0"/>
        <w:keepLines w:val="0"/>
        <w:pageBreakBefore w:val="0"/>
        <w:widowControl/>
        <w:kinsoku/>
        <w:wordWrap/>
        <w:overflowPunct/>
        <w:topLinePunct w:val="0"/>
        <w:autoSpaceDE/>
        <w:autoSpaceDN/>
        <w:bidi w:val="0"/>
        <w:spacing w:line="340" w:lineRule="exact"/>
        <w:ind w:firstLine="562"/>
        <w:textAlignment w:val="auto"/>
        <w:rPr>
          <w:rFonts w:hint="eastAsia" w:ascii="宋体" w:hAnsi="宋体" w:eastAsia="宋体" w:cs="宋体"/>
          <w:b/>
          <w:color w:val="000000" w:themeColor="text1"/>
          <w:sz w:val="28"/>
          <w:szCs w:val="28"/>
        </w:rPr>
      </w:pPr>
      <w:r>
        <w:rPr>
          <w:rFonts w:hint="eastAsia" w:ascii="宋体" w:hAnsi="宋体" w:eastAsia="宋体" w:cs="宋体"/>
          <w:b/>
          <w:color w:val="000000" w:themeColor="text1"/>
          <w:sz w:val="28"/>
          <w:szCs w:val="28"/>
        </w:rPr>
        <w:t>三、合同工期</w:t>
      </w:r>
    </w:p>
    <w:p w14:paraId="058D1D75">
      <w:pPr>
        <w:keepNext w:val="0"/>
        <w:keepLines w:val="0"/>
        <w:pageBreakBefore w:val="0"/>
        <w:kinsoku/>
        <w:wordWrap/>
        <w:overflowPunct/>
        <w:topLinePunct w:val="0"/>
        <w:autoSpaceDE/>
        <w:autoSpaceDN/>
        <w:bidi w:val="0"/>
        <w:spacing w:line="340" w:lineRule="exact"/>
        <w:ind w:firstLine="645"/>
        <w:textAlignment w:val="auto"/>
        <w:rPr>
          <w:rFonts w:hint="eastAsia" w:ascii="宋体" w:hAnsi="宋体" w:eastAsia="宋体" w:cs="宋体"/>
          <w:sz w:val="28"/>
          <w:szCs w:val="28"/>
        </w:rPr>
      </w:pPr>
      <w:r>
        <w:rPr>
          <w:rFonts w:hint="eastAsia" w:ascii="宋体" w:hAnsi="宋体" w:eastAsia="宋体" w:cs="宋体"/>
          <w:sz w:val="28"/>
          <w:szCs w:val="28"/>
        </w:rPr>
        <w:t>开工日期：合同签订日期。</w:t>
      </w:r>
    </w:p>
    <w:p w14:paraId="0884ADC5">
      <w:pPr>
        <w:keepNext w:val="0"/>
        <w:keepLines w:val="0"/>
        <w:pageBreakBefore w:val="0"/>
        <w:kinsoku/>
        <w:wordWrap/>
        <w:overflowPunct/>
        <w:topLinePunct w:val="0"/>
        <w:autoSpaceDE/>
        <w:autoSpaceDN/>
        <w:bidi w:val="0"/>
        <w:spacing w:line="340" w:lineRule="exact"/>
        <w:ind w:firstLine="645"/>
        <w:textAlignment w:val="auto"/>
        <w:rPr>
          <w:rFonts w:hint="eastAsia" w:ascii="宋体" w:hAnsi="宋体" w:eastAsia="宋体" w:cs="宋体"/>
          <w:sz w:val="28"/>
          <w:szCs w:val="28"/>
        </w:rPr>
      </w:pPr>
      <w:r>
        <w:rPr>
          <w:rFonts w:hint="eastAsia" w:ascii="宋体" w:hAnsi="宋体" w:eastAsia="宋体" w:cs="宋体"/>
          <w:sz w:val="28"/>
          <w:szCs w:val="28"/>
        </w:rPr>
        <w:t>竣工日期：</w:t>
      </w:r>
      <w:r>
        <w:rPr>
          <w:rFonts w:hint="eastAsia" w:ascii="宋体" w:hAnsi="宋体" w:cs="宋体"/>
          <w:sz w:val="28"/>
          <w:szCs w:val="28"/>
          <w:u w:val="single"/>
          <w:lang w:eastAsia="zh-CN"/>
        </w:rPr>
        <w:t>2025年3月31</w:t>
      </w:r>
      <w:r>
        <w:rPr>
          <w:rFonts w:hint="eastAsia" w:ascii="宋体" w:hAnsi="宋体" w:eastAsia="宋体" w:cs="宋体"/>
          <w:sz w:val="28"/>
          <w:szCs w:val="28"/>
          <w:u w:val="single"/>
        </w:rPr>
        <w:t>日</w:t>
      </w:r>
      <w:r>
        <w:rPr>
          <w:rFonts w:hint="eastAsia" w:ascii="宋体" w:hAnsi="宋体" w:eastAsia="宋体" w:cs="宋体"/>
          <w:sz w:val="28"/>
          <w:szCs w:val="28"/>
        </w:rPr>
        <w:t>。</w:t>
      </w:r>
    </w:p>
    <w:p w14:paraId="2BDC2E0F">
      <w:pPr>
        <w:pStyle w:val="281"/>
        <w:keepNext w:val="0"/>
        <w:keepLines w:val="0"/>
        <w:pageBreakBefore w:val="0"/>
        <w:widowControl/>
        <w:kinsoku/>
        <w:wordWrap/>
        <w:overflowPunct/>
        <w:topLinePunct w:val="0"/>
        <w:autoSpaceDE/>
        <w:autoSpaceDN/>
        <w:bidi w:val="0"/>
        <w:spacing w:line="340" w:lineRule="exact"/>
        <w:ind w:firstLine="0" w:firstLineChars="0"/>
        <w:textAlignment w:val="auto"/>
        <w:rPr>
          <w:rFonts w:hint="eastAsia" w:ascii="宋体" w:hAnsi="宋体" w:eastAsia="宋体" w:cs="宋体"/>
          <w:b/>
          <w:sz w:val="28"/>
          <w:szCs w:val="28"/>
        </w:rPr>
      </w:pPr>
      <w:r>
        <w:rPr>
          <w:rFonts w:hint="eastAsia" w:ascii="宋体" w:hAnsi="宋体" w:eastAsia="宋体" w:cs="宋体"/>
          <w:b/>
          <w:sz w:val="28"/>
          <w:szCs w:val="28"/>
        </w:rPr>
        <w:t xml:space="preserve">    四、工程质量要求标准</w:t>
      </w:r>
    </w:p>
    <w:p w14:paraId="6DDF4CA7">
      <w:pPr>
        <w:pStyle w:val="281"/>
        <w:keepNext w:val="0"/>
        <w:keepLines w:val="0"/>
        <w:pageBreakBefore w:val="0"/>
        <w:widowControl/>
        <w:kinsoku/>
        <w:wordWrap/>
        <w:overflowPunct/>
        <w:topLinePunct w:val="0"/>
        <w:autoSpaceDE/>
        <w:autoSpaceDN/>
        <w:bidi w:val="0"/>
        <w:spacing w:line="340" w:lineRule="exact"/>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严格执行《松材线虫病防治技术方案（2022年版）》相关规定</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采伐的每株枯死木需拍照上传省“数字森防”系统，每株上传3张清理照片，包含“清理前立木+胸径测量照片+伐桩测量照片”，采伐的每株枯死木需对伐桩按要求编号。</w:t>
      </w:r>
    </w:p>
    <w:p w14:paraId="1155F749">
      <w:pPr>
        <w:keepNext w:val="0"/>
        <w:keepLines w:val="0"/>
        <w:pageBreakBefore w:val="0"/>
        <w:tabs>
          <w:tab w:val="left" w:pos="1320"/>
        </w:tabs>
        <w:kinsoku/>
        <w:wordWrap/>
        <w:overflowPunct/>
        <w:topLinePunct w:val="0"/>
        <w:autoSpaceDE/>
        <w:autoSpaceDN/>
        <w:bidi w:val="0"/>
        <w:adjustRightInd w:val="0"/>
        <w:snapToGrid w:val="0"/>
        <w:spacing w:line="3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1.伐桩处理：疫木伐除后，伐桩最高处上坡度面的高度不得超过5cm</w:t>
      </w:r>
      <w:r>
        <w:rPr>
          <w:rFonts w:hint="eastAsia" w:ascii="宋体" w:hAnsi="宋体" w:eastAsia="宋体" w:cs="宋体"/>
          <w:spacing w:val="-6"/>
          <w:sz w:val="28"/>
          <w:szCs w:val="28"/>
        </w:rPr>
        <w:t>（上山面方向），露出泥土的树皮须全部剥除。</w:t>
      </w:r>
      <w:r>
        <w:rPr>
          <w:rFonts w:hint="eastAsia" w:ascii="宋体" w:hAnsi="宋体" w:eastAsia="宋体" w:cs="宋体"/>
          <w:sz w:val="28"/>
          <w:szCs w:val="28"/>
        </w:rPr>
        <w:t>按照《松材线虫病防治技术方案（2022年版）》相关规定处理。</w:t>
      </w:r>
    </w:p>
    <w:p w14:paraId="066FED0E">
      <w:pPr>
        <w:pStyle w:val="281"/>
        <w:keepNext w:val="0"/>
        <w:keepLines w:val="0"/>
        <w:pageBreakBefore w:val="0"/>
        <w:widowControl/>
        <w:kinsoku/>
        <w:wordWrap/>
        <w:overflowPunct/>
        <w:topLinePunct w:val="0"/>
        <w:autoSpaceDE/>
        <w:autoSpaceDN/>
        <w:bidi w:val="0"/>
        <w:spacing w:line="34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2.枝桠处理：除治山场范围内，清理收集所有直径大于1cm的病死（病死、不明原因枯死、濒死）和其他原因（确认由干旱、风折、雪压、火烧、环剥等）致死的松树枝桠，随疫木主干运到指定的疫木定点加工企业进行除害处理，或就近采取粉碎、烧毁等除害措施。</w:t>
      </w:r>
    </w:p>
    <w:p w14:paraId="3B3498E0">
      <w:pPr>
        <w:keepNext w:val="0"/>
        <w:keepLines w:val="0"/>
        <w:pageBreakBefore w:val="0"/>
        <w:kinsoku/>
        <w:wordWrap/>
        <w:overflowPunct/>
        <w:topLinePunct w:val="0"/>
        <w:autoSpaceDE/>
        <w:autoSpaceDN/>
        <w:bidi w:val="0"/>
        <w:spacing w:line="3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3.疫木处理：伐除的松木必须</w:t>
      </w:r>
      <w:r>
        <w:rPr>
          <w:rFonts w:hint="eastAsia" w:ascii="宋体" w:hAnsi="宋体" w:eastAsia="宋体" w:cs="宋体"/>
          <w:sz w:val="28"/>
          <w:szCs w:val="28"/>
          <w:lang w:eastAsia="zh-CN"/>
        </w:rPr>
        <w:t>及时</w:t>
      </w:r>
      <w:r>
        <w:rPr>
          <w:rFonts w:hint="eastAsia" w:ascii="宋体" w:hAnsi="宋体" w:eastAsia="宋体" w:cs="宋体"/>
          <w:sz w:val="28"/>
          <w:szCs w:val="28"/>
        </w:rPr>
        <w:t>下山，运到指定的疫木定点</w:t>
      </w:r>
      <w:r>
        <w:rPr>
          <w:rFonts w:hint="eastAsia" w:ascii="宋体" w:hAnsi="宋体" w:eastAsia="宋体" w:cs="宋体"/>
          <w:sz w:val="28"/>
          <w:szCs w:val="28"/>
          <w:lang w:eastAsia="zh-CN"/>
        </w:rPr>
        <w:t>处理</w:t>
      </w:r>
      <w:r>
        <w:rPr>
          <w:rFonts w:hint="eastAsia" w:ascii="宋体" w:hAnsi="宋体" w:eastAsia="宋体" w:cs="宋体"/>
          <w:sz w:val="28"/>
          <w:szCs w:val="28"/>
        </w:rPr>
        <w:t>企业进行安全除害处理，或就近采取粉碎、烧毁等除害措施。加强对疫木的监管，造成疫木人为流失的，按有关法律规定追究相关责任。</w:t>
      </w:r>
    </w:p>
    <w:p w14:paraId="6DF466D8">
      <w:pPr>
        <w:pStyle w:val="281"/>
        <w:keepNext w:val="0"/>
        <w:keepLines w:val="0"/>
        <w:pageBreakBefore w:val="0"/>
        <w:widowControl/>
        <w:kinsoku/>
        <w:wordWrap/>
        <w:overflowPunct/>
        <w:topLinePunct w:val="0"/>
        <w:autoSpaceDE/>
        <w:autoSpaceDN/>
        <w:bidi w:val="0"/>
        <w:spacing w:line="340" w:lineRule="exact"/>
        <w:ind w:firstLine="562"/>
        <w:textAlignment w:val="auto"/>
        <w:rPr>
          <w:rFonts w:hint="eastAsia" w:ascii="宋体" w:hAnsi="宋体" w:eastAsia="宋体" w:cs="宋体"/>
          <w:b/>
          <w:sz w:val="28"/>
          <w:szCs w:val="28"/>
        </w:rPr>
      </w:pPr>
      <w:r>
        <w:rPr>
          <w:rFonts w:hint="eastAsia" w:ascii="宋体" w:hAnsi="宋体" w:eastAsia="宋体" w:cs="宋体"/>
          <w:b/>
          <w:sz w:val="28"/>
          <w:szCs w:val="28"/>
        </w:rPr>
        <w:t>五、违约责任</w:t>
      </w:r>
    </w:p>
    <w:p w14:paraId="701C0553">
      <w:pPr>
        <w:keepNext w:val="0"/>
        <w:keepLines w:val="0"/>
        <w:pageBreakBefore w:val="0"/>
        <w:tabs>
          <w:tab w:val="left" w:pos="1320"/>
        </w:tabs>
        <w:kinsoku/>
        <w:wordWrap/>
        <w:overflowPunct/>
        <w:topLinePunct w:val="0"/>
        <w:autoSpaceDE/>
        <w:autoSpaceDN/>
        <w:bidi w:val="0"/>
        <w:adjustRightInd w:val="0"/>
        <w:snapToGrid w:val="0"/>
        <w:spacing w:line="3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1.乙方</w:t>
      </w:r>
      <w:r>
        <w:rPr>
          <w:rFonts w:hint="eastAsia" w:ascii="宋体" w:hAnsi="宋体" w:eastAsia="宋体" w:cs="宋体"/>
          <w:sz w:val="28"/>
          <w:szCs w:val="28"/>
          <w:lang w:eastAsia="zh-CN"/>
        </w:rPr>
        <w:t>应严格按照《</w:t>
      </w:r>
      <w:r>
        <w:rPr>
          <w:rFonts w:hint="eastAsia" w:ascii="宋体" w:hAnsi="宋体" w:cs="宋体"/>
          <w:sz w:val="28"/>
          <w:szCs w:val="28"/>
          <w:lang w:eastAsia="zh-CN"/>
        </w:rPr>
        <w:t>松阳县2024-2025年度松材线虫病防控实施方案</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明确的</w:t>
      </w:r>
      <w:r>
        <w:rPr>
          <w:rFonts w:hint="eastAsia" w:ascii="宋体" w:hAnsi="宋体" w:eastAsia="宋体" w:cs="宋体"/>
          <w:sz w:val="28"/>
          <w:szCs w:val="28"/>
          <w:lang w:val="zh-TW" w:eastAsia="zh-CN"/>
        </w:rPr>
        <w:t>防治技术规程</w:t>
      </w:r>
      <w:r>
        <w:rPr>
          <w:rFonts w:hint="eastAsia" w:ascii="宋体" w:hAnsi="宋体" w:eastAsia="宋体" w:cs="宋体"/>
          <w:sz w:val="28"/>
          <w:szCs w:val="28"/>
          <w:lang w:val="zh-TW" w:eastAsia="zh-TW"/>
        </w:rPr>
        <w:t>规定</w:t>
      </w:r>
      <w:r>
        <w:rPr>
          <w:rFonts w:hint="eastAsia" w:ascii="宋体" w:hAnsi="宋体" w:eastAsia="宋体" w:cs="宋体"/>
          <w:sz w:val="28"/>
          <w:szCs w:val="28"/>
          <w:lang w:val="en-US" w:eastAsia="zh-CN"/>
        </w:rPr>
        <w:t>除治清理疫木。加强疫木规范除治和森林防火管控，出现森林防火火情、火灾的，每次扣减1000元。</w:t>
      </w:r>
    </w:p>
    <w:p w14:paraId="0AFF90A2">
      <w:pPr>
        <w:keepNext w:val="0"/>
        <w:keepLines w:val="0"/>
        <w:pageBreakBefore w:val="0"/>
        <w:tabs>
          <w:tab w:val="left" w:pos="1320"/>
        </w:tabs>
        <w:kinsoku/>
        <w:wordWrap/>
        <w:overflowPunct/>
        <w:topLinePunct w:val="0"/>
        <w:autoSpaceDE/>
        <w:autoSpaceDN/>
        <w:bidi w:val="0"/>
        <w:adjustRightInd w:val="0"/>
        <w:snapToGrid w:val="0"/>
        <w:spacing w:line="3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乙方对疫木运输车辆采用专车、专人、挂牌（疫木运输专用牌，由县森防站制作发放），每辆运输车实行GPS定位，疫木起运前、过磅时及卸货后空车由驾驶员拍摄三张照片留存。无照片或者三张照片不全的车次甲方有权不予承认。</w:t>
      </w:r>
    </w:p>
    <w:p w14:paraId="4861D64E">
      <w:pPr>
        <w:keepNext w:val="0"/>
        <w:keepLines w:val="0"/>
        <w:pageBreakBefore w:val="0"/>
        <w:tabs>
          <w:tab w:val="left" w:pos="1320"/>
        </w:tabs>
        <w:kinsoku/>
        <w:wordWrap/>
        <w:overflowPunct/>
        <w:topLinePunct w:val="0"/>
        <w:autoSpaceDE/>
        <w:autoSpaceDN/>
        <w:bidi w:val="0"/>
        <w:adjustRightInd w:val="0"/>
        <w:snapToGrid w:val="0"/>
        <w:spacing w:line="3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在甲方或相关单位抽查过程中发现的每个质量问题以不低于1%的比例扣减疫木除治款，对故意藏匿主杆、枝桠、伐桩高于5cm的行为，以不低于10%的比例扣减疫木除治款。由于乙方原因，造成施工质量整体不达标或疫木流失且无法追回的，甲方可根据实际情况扣减工程进度款、质量保证金等款项。</w:t>
      </w:r>
    </w:p>
    <w:p w14:paraId="705BCE40">
      <w:pPr>
        <w:keepNext w:val="0"/>
        <w:keepLines w:val="0"/>
        <w:pageBreakBefore w:val="0"/>
        <w:tabs>
          <w:tab w:val="left" w:pos="1320"/>
        </w:tabs>
        <w:kinsoku/>
        <w:wordWrap/>
        <w:overflowPunct/>
        <w:topLinePunct w:val="0"/>
        <w:autoSpaceDE/>
        <w:autoSpaceDN/>
        <w:bidi w:val="0"/>
        <w:adjustRightInd w:val="0"/>
        <w:snapToGrid w:val="0"/>
        <w:spacing w:line="3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4.乙方对除治的疫木及其枝桠负有管理责任，因乙方管理问题导致疫木及其枝桠流失，或未按要求运至指定疫木定点加工企业的，以不低于10%的比例扣减疫木除治款。</w:t>
      </w:r>
    </w:p>
    <w:p w14:paraId="03F4BB1E">
      <w:pPr>
        <w:keepNext w:val="0"/>
        <w:keepLines w:val="0"/>
        <w:pageBreakBefore w:val="0"/>
        <w:tabs>
          <w:tab w:val="left" w:pos="1320"/>
        </w:tabs>
        <w:kinsoku/>
        <w:wordWrap/>
        <w:overflowPunct/>
        <w:topLinePunct w:val="0"/>
        <w:autoSpaceDE/>
        <w:autoSpaceDN/>
        <w:bidi w:val="0"/>
        <w:adjustRightInd w:val="0"/>
        <w:snapToGrid w:val="0"/>
        <w:spacing w:line="3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由于乙方原因（除不可抗力外）不能按期完成集中除治的，每超出一天，乙方须按合同约定疫木除治款的千分之三承担违约金，在合同款项支付时一次性扣除。若超出交付期十天或以上的，甲方有权终止合同，并追偿已支付的合同款项。</w:t>
      </w:r>
    </w:p>
    <w:p w14:paraId="61605063">
      <w:pPr>
        <w:keepNext w:val="0"/>
        <w:keepLines w:val="0"/>
        <w:pageBreakBefore w:val="0"/>
        <w:tabs>
          <w:tab w:val="left" w:pos="1320"/>
        </w:tabs>
        <w:kinsoku/>
        <w:wordWrap/>
        <w:overflowPunct/>
        <w:topLinePunct w:val="0"/>
        <w:autoSpaceDE/>
        <w:autoSpaceDN/>
        <w:bidi w:val="0"/>
        <w:adjustRightInd w:val="0"/>
        <w:snapToGrid w:val="0"/>
        <w:spacing w:line="3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乙方按合同要求完成除治任务，提交初验、竣工验收资料并由甲方验收合格后，甲方须按照有关规定及时付款，超出付款期，甲方每逾一天，应向乙方支付合同总价款的千分之三滞纳金。如遇特殊情况甲方要求推迟验收的，必须事先征得乙方的同意，否则应承担由此给乙方造成的损失。</w:t>
      </w:r>
    </w:p>
    <w:p w14:paraId="056ED641">
      <w:pPr>
        <w:keepNext w:val="0"/>
        <w:keepLines w:val="0"/>
        <w:pageBreakBefore w:val="0"/>
        <w:tabs>
          <w:tab w:val="left" w:pos="1320"/>
        </w:tabs>
        <w:kinsoku/>
        <w:wordWrap/>
        <w:overflowPunct/>
        <w:topLinePunct w:val="0"/>
        <w:autoSpaceDE/>
        <w:autoSpaceDN/>
        <w:bidi w:val="0"/>
        <w:adjustRightInd w:val="0"/>
        <w:snapToGrid w:val="0"/>
        <w:spacing w:line="3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7、乙方按要求除治疫木，必须整株松树的松针全部枯黄才能按枯病死松木进行清理。发现采伐活体松树的，每株扣除违约清理经费2000元。</w:t>
      </w:r>
      <w:r>
        <w:rPr>
          <w:rFonts w:hint="eastAsia" w:ascii="宋体" w:hAnsi="宋体" w:eastAsia="宋体" w:cs="宋体"/>
          <w:b/>
          <w:bCs/>
          <w:color w:val="auto"/>
          <w:sz w:val="28"/>
          <w:szCs w:val="28"/>
          <w:highlight w:val="none"/>
          <w:lang w:val="en-US" w:eastAsia="zh-CN"/>
        </w:rPr>
        <w:t>由于砍伐活树等造成信访和赔偿费用由乙方承担。</w:t>
      </w:r>
    </w:p>
    <w:p w14:paraId="73BFFD2D">
      <w:pPr>
        <w:keepNext w:val="0"/>
        <w:keepLines w:val="0"/>
        <w:pageBreakBefore w:val="0"/>
        <w:tabs>
          <w:tab w:val="left" w:pos="1320"/>
        </w:tabs>
        <w:kinsoku/>
        <w:wordWrap/>
        <w:overflowPunct/>
        <w:topLinePunct w:val="0"/>
        <w:autoSpaceDE/>
        <w:autoSpaceDN/>
        <w:bidi w:val="0"/>
        <w:adjustRightInd w:val="0"/>
        <w:snapToGrid w:val="0"/>
        <w:spacing w:line="3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若发现有历年疫木、非法采伐活松及其他树木进厂的由县林业主管部门派驻的监管员扣减相应的重量。其中活松木、其他树木按每段（不分大小长短）扣减200公斤；往年疫木按每段（不分大小长短）扣减100公斤重量；工程项目合法审批采伐的活松必需先报县林业主管部门备案登记允许后才能进疫木定点处理厂无害化处理；历年疫木、非法采伐的活松木、工程项目合法审批采伐的活松木、火烧迹地等松木和其他阔叶树不计入补助重量。</w:t>
      </w:r>
    </w:p>
    <w:p w14:paraId="0B1C46C8">
      <w:pPr>
        <w:keepNext w:val="0"/>
        <w:keepLines w:val="0"/>
        <w:pageBreakBefore w:val="0"/>
        <w:tabs>
          <w:tab w:val="left" w:pos="1320"/>
        </w:tabs>
        <w:kinsoku/>
        <w:wordWrap/>
        <w:overflowPunct/>
        <w:topLinePunct w:val="0"/>
        <w:autoSpaceDE/>
        <w:autoSpaceDN/>
        <w:bidi w:val="0"/>
        <w:adjustRightInd w:val="0"/>
        <w:snapToGrid w:val="0"/>
        <w:spacing w:line="3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8、乙方承包除治小班被省、市督查检查发现问题严重的，给予每个小班扣除2000元除治经费和黄牌警告。</w:t>
      </w:r>
    </w:p>
    <w:p w14:paraId="4FE87118">
      <w:pPr>
        <w:keepNext w:val="0"/>
        <w:keepLines w:val="0"/>
        <w:pageBreakBefore w:val="0"/>
        <w:tabs>
          <w:tab w:val="left" w:pos="1320"/>
        </w:tabs>
        <w:kinsoku/>
        <w:wordWrap/>
        <w:overflowPunct/>
        <w:topLinePunct w:val="0"/>
        <w:autoSpaceDE/>
        <w:autoSpaceDN/>
        <w:bidi w:val="0"/>
        <w:adjustRightInd w:val="0"/>
        <w:snapToGrid w:val="0"/>
        <w:spacing w:line="3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9、乙方按要求将疫木安全送达定点疫木企业厂，禁止以任何形式任何方式用疫木资源向定点疫木处理企业索要额外补贴。</w:t>
      </w:r>
    </w:p>
    <w:p w14:paraId="14A3A80E">
      <w:pPr>
        <w:keepNext w:val="0"/>
        <w:keepLines w:val="0"/>
        <w:pageBreakBefore w:val="0"/>
        <w:tabs>
          <w:tab w:val="left" w:pos="1320"/>
        </w:tabs>
        <w:kinsoku/>
        <w:wordWrap/>
        <w:overflowPunct/>
        <w:topLinePunct w:val="0"/>
        <w:autoSpaceDE/>
        <w:autoSpaceDN/>
        <w:bidi w:val="0"/>
        <w:adjustRightInd w:val="0"/>
        <w:snapToGrid w:val="0"/>
        <w:spacing w:line="3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乙方未按要求落实疫木除治清理质量，阻碍和影响验收工作，发现有藏匿疫木（枝桠）行为的，第1次每小班扣除除治经费5000元，第二次每个小班扣除除治经费10000元，第3次甲方有权中止合同；违规向验收人员送钱物扰乱影响验收公平公正的，甲方有权中止合同。</w:t>
      </w:r>
    </w:p>
    <w:p w14:paraId="5F7924A8">
      <w:pPr>
        <w:keepNext w:val="0"/>
        <w:keepLines w:val="0"/>
        <w:pageBreakBefore w:val="0"/>
        <w:tabs>
          <w:tab w:val="left" w:pos="1320"/>
        </w:tabs>
        <w:kinsoku/>
        <w:wordWrap/>
        <w:overflowPunct/>
        <w:topLinePunct w:val="0"/>
        <w:autoSpaceDE/>
        <w:autoSpaceDN/>
        <w:bidi w:val="0"/>
        <w:adjustRightInd w:val="0"/>
        <w:snapToGrid w:val="0"/>
        <w:spacing w:line="34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11、乙方</w:t>
      </w:r>
      <w:r>
        <w:rPr>
          <w:rFonts w:hint="eastAsia" w:ascii="宋体" w:hAnsi="宋体" w:eastAsia="宋体" w:cs="宋体"/>
          <w:color w:val="auto"/>
          <w:sz w:val="28"/>
          <w:szCs w:val="28"/>
          <w:highlight w:val="none"/>
          <w:lang w:eastAsia="zh-CN"/>
        </w:rPr>
        <w:t>未按要求落实和拒不整改的，每个不合格小班扣除清理队伍补助资金5000元，并由甲方另行委托其他清理队伍整改至合格，委托费用由原清理队伍承担。因乙方责任造成的增加补充验收或者复验的费用由乙方承担。</w:t>
      </w:r>
    </w:p>
    <w:p w14:paraId="12C30688">
      <w:pPr>
        <w:keepNext w:val="0"/>
        <w:keepLines w:val="0"/>
        <w:pageBreakBefore w:val="0"/>
        <w:tabs>
          <w:tab w:val="left" w:pos="1320"/>
        </w:tabs>
        <w:kinsoku/>
        <w:wordWrap/>
        <w:overflowPunct/>
        <w:topLinePunct w:val="0"/>
        <w:autoSpaceDE/>
        <w:autoSpaceDN/>
        <w:bidi w:val="0"/>
        <w:adjustRightInd w:val="0"/>
        <w:snapToGrid w:val="0"/>
        <w:spacing w:line="340" w:lineRule="exact"/>
        <w:ind w:firstLine="560" w:firstLineChars="200"/>
        <w:textAlignment w:val="auto"/>
        <w:rPr>
          <w:rFonts w:hint="eastAsia" w:ascii="宋体" w:hAnsi="宋体" w:eastAsia="宋体" w:cs="宋体"/>
          <w:color w:val="auto"/>
          <w:spacing w:val="0"/>
          <w:sz w:val="28"/>
          <w:szCs w:val="28"/>
          <w:highlight w:val="none"/>
          <w:lang w:val="zh-TW" w:eastAsia="zh-TW" w:bidi="zh-TW"/>
        </w:rPr>
      </w:pPr>
      <w:r>
        <w:rPr>
          <w:rFonts w:hint="eastAsia" w:ascii="宋体" w:hAnsi="宋体" w:eastAsia="宋体" w:cs="宋体"/>
          <w:color w:val="auto"/>
          <w:sz w:val="28"/>
          <w:szCs w:val="28"/>
          <w:highlight w:val="none"/>
          <w:lang w:val="en-US" w:eastAsia="zh-CN"/>
        </w:rPr>
        <w:t>12、乙方</w:t>
      </w:r>
      <w:r>
        <w:rPr>
          <w:rFonts w:hint="eastAsia" w:ascii="宋体" w:hAnsi="宋体" w:eastAsia="宋体" w:cs="宋体"/>
          <w:color w:val="auto"/>
          <w:sz w:val="28"/>
          <w:szCs w:val="28"/>
          <w:highlight w:val="none"/>
          <w:lang w:val="zh-TW" w:eastAsia="zh-CN"/>
        </w:rPr>
        <w:t>对疫木</w:t>
      </w:r>
      <w:r>
        <w:rPr>
          <w:rFonts w:hint="eastAsia" w:ascii="宋体" w:hAnsi="宋体" w:eastAsia="宋体" w:cs="宋体"/>
          <w:color w:val="auto"/>
          <w:sz w:val="28"/>
          <w:szCs w:val="28"/>
          <w:highlight w:val="none"/>
          <w:lang w:eastAsia="zh-CN"/>
        </w:rPr>
        <w:t>清理</w:t>
      </w:r>
      <w:r>
        <w:rPr>
          <w:rFonts w:hint="eastAsia" w:ascii="宋体" w:hAnsi="宋体" w:eastAsia="宋体" w:cs="宋体"/>
          <w:color w:val="auto"/>
          <w:sz w:val="28"/>
          <w:szCs w:val="28"/>
          <w:highlight w:val="none"/>
          <w:lang w:val="zh-TW" w:eastAsia="zh-CN"/>
        </w:rPr>
        <w:t>重量、清理质量的真实性和准确性负责，</w:t>
      </w:r>
      <w:r>
        <w:rPr>
          <w:rFonts w:hint="eastAsia" w:ascii="宋体" w:hAnsi="宋体" w:eastAsia="宋体" w:cs="宋体"/>
          <w:color w:val="auto"/>
          <w:sz w:val="28"/>
          <w:szCs w:val="28"/>
          <w:highlight w:val="none"/>
          <w:lang w:val="en-US" w:eastAsia="zh-CN"/>
        </w:rPr>
        <w:t>乙方及</w:t>
      </w:r>
      <w:r>
        <w:rPr>
          <w:rFonts w:hint="eastAsia" w:ascii="宋体" w:hAnsi="宋体" w:eastAsia="宋体" w:cs="宋体"/>
          <w:color w:val="auto"/>
          <w:spacing w:val="0"/>
          <w:sz w:val="28"/>
          <w:szCs w:val="28"/>
          <w:highlight w:val="none"/>
          <w:lang w:val="zh-TW" w:eastAsia="zh-CN" w:bidi="zh-TW"/>
        </w:rPr>
        <w:t>除治工人有以下情形的，甲方有权扣减或者取消清理经费补助政策、赔偿损失、解除承包合同等措施追究乙方违约责任</w:t>
      </w:r>
      <w:r>
        <w:rPr>
          <w:rFonts w:hint="eastAsia" w:ascii="宋体" w:hAnsi="宋体" w:eastAsia="宋体" w:cs="宋体"/>
          <w:color w:val="auto"/>
          <w:spacing w:val="0"/>
          <w:sz w:val="28"/>
          <w:szCs w:val="28"/>
          <w:highlight w:val="none"/>
          <w:lang w:val="zh-TW" w:eastAsia="zh-TW" w:bidi="zh-TW"/>
        </w:rPr>
        <w:t>：</w:t>
      </w:r>
    </w:p>
    <w:p w14:paraId="2FF10F8F">
      <w:pPr>
        <w:keepNext w:val="0"/>
        <w:keepLines w:val="0"/>
        <w:pageBreakBefore w:val="0"/>
        <w:tabs>
          <w:tab w:val="left" w:pos="1320"/>
        </w:tabs>
        <w:kinsoku/>
        <w:wordWrap/>
        <w:overflowPunct/>
        <w:topLinePunct w:val="0"/>
        <w:autoSpaceDE/>
        <w:autoSpaceDN/>
        <w:bidi w:val="0"/>
        <w:adjustRightInd w:val="0"/>
        <w:snapToGrid w:val="0"/>
        <w:spacing w:line="340" w:lineRule="exact"/>
        <w:ind w:firstLine="560" w:firstLineChars="200"/>
        <w:textAlignment w:val="auto"/>
        <w:rPr>
          <w:rFonts w:hint="eastAsia" w:ascii="宋体" w:hAnsi="宋体" w:eastAsia="宋体" w:cs="宋体"/>
          <w:color w:val="auto"/>
          <w:spacing w:val="0"/>
          <w:kern w:val="2"/>
          <w:sz w:val="28"/>
          <w:szCs w:val="28"/>
          <w:highlight w:val="none"/>
          <w:lang w:val="en-US" w:eastAsia="zh-CN" w:bidi="zh-TW"/>
        </w:rPr>
      </w:pPr>
      <w:r>
        <w:rPr>
          <w:rFonts w:hint="eastAsia" w:ascii="宋体" w:hAnsi="宋体" w:eastAsia="宋体" w:cs="宋体"/>
          <w:color w:val="auto"/>
          <w:spacing w:val="0"/>
          <w:kern w:val="2"/>
          <w:sz w:val="28"/>
          <w:szCs w:val="28"/>
          <w:highlight w:val="none"/>
          <w:lang w:val="en-US" w:eastAsia="zh-CN" w:bidi="zh-TW"/>
        </w:rPr>
        <w:t>（1）疫木除治数据上传“数字森防”与进厂数量重量比例低于90%，每吨进厂疫木扣减100元清理补助经费；</w:t>
      </w:r>
    </w:p>
    <w:p w14:paraId="6F0F6C4D">
      <w:pPr>
        <w:pStyle w:val="38"/>
        <w:keepNext w:val="0"/>
        <w:keepLines w:val="0"/>
        <w:pageBreakBefore w:val="0"/>
        <w:widowControl w:val="0"/>
        <w:numPr>
          <w:ilvl w:val="0"/>
          <w:numId w:val="0"/>
        </w:numPr>
        <w:kinsoku/>
        <w:wordWrap/>
        <w:overflowPunct/>
        <w:topLinePunct w:val="0"/>
        <w:autoSpaceDE/>
        <w:autoSpaceDN/>
        <w:bidi w:val="0"/>
        <w:spacing w:line="340" w:lineRule="exact"/>
        <w:ind w:leftChars="0" w:firstLine="560" w:firstLineChars="200"/>
        <w:jc w:val="left"/>
        <w:textAlignment w:val="auto"/>
        <w:rPr>
          <w:rFonts w:hint="eastAsia" w:ascii="宋体" w:hAnsi="宋体" w:eastAsia="宋体" w:cs="宋体"/>
          <w:color w:val="auto"/>
          <w:spacing w:val="0"/>
          <w:kern w:val="2"/>
          <w:sz w:val="28"/>
          <w:szCs w:val="28"/>
          <w:highlight w:val="none"/>
          <w:lang w:val="zh-TW" w:eastAsia="zh-TW" w:bidi="zh-TW"/>
        </w:rPr>
      </w:pPr>
      <w:r>
        <w:rPr>
          <w:rFonts w:hint="eastAsia" w:ascii="宋体" w:hAnsi="宋体" w:eastAsia="宋体" w:cs="宋体"/>
          <w:color w:val="auto"/>
          <w:spacing w:val="0"/>
          <w:kern w:val="2"/>
          <w:sz w:val="28"/>
          <w:szCs w:val="28"/>
          <w:highlight w:val="none"/>
          <w:lang w:val="en-US" w:eastAsia="zh-CN" w:bidi="zh-TW"/>
        </w:rPr>
        <w:t>（2）</w:t>
      </w:r>
      <w:r>
        <w:rPr>
          <w:rFonts w:hint="eastAsia" w:ascii="宋体" w:hAnsi="宋体" w:eastAsia="宋体" w:cs="宋体"/>
          <w:color w:val="auto"/>
          <w:spacing w:val="0"/>
          <w:sz w:val="28"/>
          <w:szCs w:val="28"/>
          <w:highlight w:val="none"/>
          <w:lang w:val="zh-TW" w:eastAsia="zh-TW" w:bidi="zh-TW"/>
        </w:rPr>
        <w:t>不按</w:t>
      </w:r>
      <w:r>
        <w:rPr>
          <w:rFonts w:hint="eastAsia" w:ascii="宋体" w:hAnsi="宋体" w:eastAsia="宋体" w:cs="宋体"/>
          <w:color w:val="auto"/>
          <w:spacing w:val="0"/>
          <w:sz w:val="28"/>
          <w:szCs w:val="28"/>
          <w:highlight w:val="none"/>
          <w:lang w:val="zh-TW" w:eastAsia="zh-CN" w:bidi="zh-TW"/>
        </w:rPr>
        <w:t>防治技术规程</w:t>
      </w:r>
      <w:r>
        <w:rPr>
          <w:rFonts w:hint="eastAsia" w:ascii="宋体" w:hAnsi="宋体" w:eastAsia="宋体" w:cs="宋体"/>
          <w:color w:val="auto"/>
          <w:spacing w:val="0"/>
          <w:sz w:val="28"/>
          <w:szCs w:val="28"/>
          <w:highlight w:val="none"/>
          <w:lang w:val="zh-TW" w:eastAsia="zh-TW" w:bidi="zh-TW"/>
        </w:rPr>
        <w:t>规定</w:t>
      </w:r>
      <w:r>
        <w:rPr>
          <w:rFonts w:hint="eastAsia" w:ascii="宋体" w:hAnsi="宋体" w:eastAsia="宋体" w:cs="宋体"/>
          <w:color w:val="auto"/>
          <w:spacing w:val="0"/>
          <w:sz w:val="28"/>
          <w:szCs w:val="28"/>
          <w:highlight w:val="none"/>
          <w:lang w:val="en-US" w:eastAsia="zh-CN" w:bidi="zh-TW"/>
        </w:rPr>
        <w:t>除治清理疫木或未</w:t>
      </w:r>
      <w:r>
        <w:rPr>
          <w:rFonts w:hint="eastAsia" w:ascii="宋体" w:hAnsi="宋体" w:eastAsia="宋体" w:cs="宋体"/>
          <w:color w:val="auto"/>
          <w:spacing w:val="0"/>
          <w:kern w:val="2"/>
          <w:sz w:val="28"/>
          <w:szCs w:val="28"/>
          <w:highlight w:val="none"/>
          <w:lang w:val="en-US" w:eastAsia="zh-CN" w:bidi="zh-TW"/>
        </w:rPr>
        <w:t>经采伐审批进厂的松疫木，</w:t>
      </w:r>
      <w:r>
        <w:rPr>
          <w:rFonts w:hint="eastAsia" w:ascii="宋体" w:hAnsi="宋体" w:eastAsia="宋体" w:cs="宋体"/>
          <w:color w:val="auto"/>
          <w:spacing w:val="0"/>
          <w:kern w:val="2"/>
          <w:sz w:val="28"/>
          <w:szCs w:val="28"/>
          <w:highlight w:val="none"/>
          <w:lang w:val="zh-TW" w:eastAsia="zh-CN" w:bidi="zh-TW"/>
        </w:rPr>
        <w:t>夹带</w:t>
      </w:r>
      <w:r>
        <w:rPr>
          <w:rFonts w:hint="eastAsia" w:ascii="宋体" w:hAnsi="宋体" w:eastAsia="宋体" w:cs="宋体"/>
          <w:color w:val="auto"/>
          <w:spacing w:val="0"/>
          <w:kern w:val="2"/>
          <w:sz w:val="28"/>
          <w:szCs w:val="28"/>
          <w:highlight w:val="none"/>
          <w:lang w:val="en-US" w:eastAsia="zh-CN" w:bidi="zh-TW"/>
        </w:rPr>
        <w:t>烂木</w:t>
      </w:r>
      <w:r>
        <w:rPr>
          <w:rFonts w:hint="eastAsia" w:ascii="宋体" w:hAnsi="宋体" w:eastAsia="宋体" w:cs="宋体"/>
          <w:color w:val="auto"/>
          <w:spacing w:val="0"/>
          <w:kern w:val="2"/>
          <w:sz w:val="28"/>
          <w:szCs w:val="28"/>
          <w:highlight w:val="none"/>
          <w:lang w:val="zh-TW" w:eastAsia="zh-CN" w:bidi="zh-TW"/>
        </w:rPr>
        <w:t>、其他杂木等情况的惩罚性扣减疫木重量</w:t>
      </w:r>
      <w:r>
        <w:rPr>
          <w:rFonts w:hint="eastAsia" w:ascii="宋体" w:hAnsi="宋体" w:eastAsia="宋体" w:cs="宋体"/>
          <w:color w:val="auto"/>
          <w:spacing w:val="0"/>
          <w:kern w:val="2"/>
          <w:sz w:val="28"/>
          <w:szCs w:val="28"/>
          <w:highlight w:val="none"/>
          <w:lang w:val="en-US" w:eastAsia="zh-CN" w:bidi="zh-TW"/>
        </w:rPr>
        <w:t>；</w:t>
      </w:r>
    </w:p>
    <w:p w14:paraId="46329E27">
      <w:pPr>
        <w:keepNext w:val="0"/>
        <w:keepLines w:val="0"/>
        <w:pageBreakBefore w:val="0"/>
        <w:widowControl w:val="0"/>
        <w:kinsoku/>
        <w:wordWrap/>
        <w:overflowPunct/>
        <w:topLinePunct w:val="0"/>
        <w:autoSpaceDE/>
        <w:autoSpaceDN/>
        <w:bidi w:val="0"/>
        <w:adjustRightInd w:val="0"/>
        <w:snapToGrid w:val="0"/>
        <w:spacing w:line="340" w:lineRule="exact"/>
        <w:ind w:firstLine="560" w:firstLineChars="200"/>
        <w:textAlignment w:val="auto"/>
        <w:rPr>
          <w:rFonts w:hint="eastAsia" w:ascii="宋体" w:hAnsi="宋体" w:eastAsia="宋体" w:cs="宋体"/>
          <w:color w:val="auto"/>
          <w:spacing w:val="0"/>
          <w:sz w:val="28"/>
          <w:szCs w:val="28"/>
          <w:highlight w:val="none"/>
          <w:lang w:val="zh-TW" w:eastAsia="zh-TW" w:bidi="zh-TW"/>
        </w:rPr>
      </w:pPr>
      <w:r>
        <w:rPr>
          <w:rFonts w:hint="eastAsia" w:ascii="宋体" w:hAnsi="宋体" w:eastAsia="宋体" w:cs="宋体"/>
          <w:color w:val="auto"/>
          <w:spacing w:val="0"/>
          <w:kern w:val="2"/>
          <w:sz w:val="28"/>
          <w:szCs w:val="28"/>
          <w:highlight w:val="none"/>
          <w:lang w:val="en-US" w:eastAsia="zh-CN" w:bidi="zh-TW"/>
        </w:rPr>
        <w:t>（3）</w:t>
      </w:r>
      <w:r>
        <w:rPr>
          <w:rFonts w:hint="eastAsia" w:ascii="宋体" w:hAnsi="宋体" w:eastAsia="宋体" w:cs="宋体"/>
          <w:color w:val="auto"/>
          <w:spacing w:val="0"/>
          <w:sz w:val="28"/>
          <w:szCs w:val="28"/>
          <w:highlight w:val="none"/>
          <w:lang w:val="zh-TW" w:eastAsia="zh-TW" w:bidi="zh-TW"/>
        </w:rPr>
        <w:t>虚报重量、弄虚作假、骗取财政资金的</w:t>
      </w:r>
      <w:r>
        <w:rPr>
          <w:rFonts w:hint="eastAsia" w:ascii="宋体" w:hAnsi="宋体" w:eastAsia="宋体" w:cs="宋体"/>
          <w:color w:val="auto"/>
          <w:spacing w:val="0"/>
          <w:sz w:val="28"/>
          <w:szCs w:val="28"/>
          <w:highlight w:val="none"/>
          <w:lang w:val="zh-TW" w:eastAsia="zh-CN" w:bidi="zh-TW"/>
        </w:rPr>
        <w:t>取消</w:t>
      </w:r>
      <w:r>
        <w:rPr>
          <w:rFonts w:hint="eastAsia" w:ascii="宋体" w:hAnsi="宋体" w:eastAsia="宋体" w:cs="宋体"/>
          <w:color w:val="auto"/>
          <w:spacing w:val="0"/>
          <w:kern w:val="2"/>
          <w:sz w:val="28"/>
          <w:szCs w:val="28"/>
          <w:highlight w:val="none"/>
          <w:lang w:val="en-US" w:eastAsia="zh-CN" w:bidi="zh-TW"/>
        </w:rPr>
        <w:t>疫木清理补助经费</w:t>
      </w:r>
      <w:r>
        <w:rPr>
          <w:rFonts w:hint="eastAsia" w:ascii="宋体" w:hAnsi="宋体" w:eastAsia="宋体" w:cs="宋体"/>
          <w:color w:val="auto"/>
          <w:spacing w:val="0"/>
          <w:sz w:val="28"/>
          <w:szCs w:val="28"/>
          <w:highlight w:val="none"/>
          <w:lang w:val="zh-TW" w:eastAsia="zh-TW" w:bidi="zh-TW"/>
        </w:rPr>
        <w:t>；</w:t>
      </w:r>
    </w:p>
    <w:p w14:paraId="1ABF714E">
      <w:pPr>
        <w:keepNext w:val="0"/>
        <w:keepLines w:val="0"/>
        <w:pageBreakBefore w:val="0"/>
        <w:widowControl w:val="0"/>
        <w:kinsoku/>
        <w:wordWrap/>
        <w:overflowPunct/>
        <w:topLinePunct w:val="0"/>
        <w:autoSpaceDE/>
        <w:autoSpaceDN/>
        <w:bidi w:val="0"/>
        <w:adjustRightInd w:val="0"/>
        <w:snapToGrid w:val="0"/>
        <w:spacing w:line="340" w:lineRule="exact"/>
        <w:ind w:firstLine="560" w:firstLineChars="200"/>
        <w:textAlignment w:val="auto"/>
        <w:rPr>
          <w:rFonts w:hint="eastAsia" w:ascii="宋体" w:hAnsi="宋体" w:eastAsia="宋体" w:cs="宋体"/>
          <w:color w:val="auto"/>
          <w:spacing w:val="0"/>
          <w:sz w:val="28"/>
          <w:szCs w:val="28"/>
          <w:highlight w:val="none"/>
          <w:lang w:val="zh-TW" w:eastAsia="zh-TW" w:bidi="zh-TW"/>
        </w:rPr>
      </w:pPr>
      <w:r>
        <w:rPr>
          <w:rFonts w:hint="eastAsia" w:ascii="宋体" w:hAnsi="宋体" w:eastAsia="宋体" w:cs="宋体"/>
          <w:color w:val="auto"/>
          <w:spacing w:val="0"/>
          <w:kern w:val="2"/>
          <w:sz w:val="28"/>
          <w:szCs w:val="28"/>
          <w:highlight w:val="none"/>
          <w:lang w:val="en-US" w:eastAsia="zh-CN" w:bidi="zh-TW"/>
        </w:rPr>
        <w:t>（4）</w:t>
      </w:r>
      <w:r>
        <w:rPr>
          <w:rFonts w:hint="eastAsia" w:ascii="宋体" w:hAnsi="宋体" w:eastAsia="宋体" w:cs="宋体"/>
          <w:color w:val="auto"/>
          <w:spacing w:val="0"/>
          <w:sz w:val="28"/>
          <w:szCs w:val="28"/>
          <w:highlight w:val="none"/>
          <w:lang w:val="zh-TW" w:eastAsia="zh-TW" w:bidi="zh-TW"/>
        </w:rPr>
        <w:t>未按协议完成工作，经协商、调解等程序依然不履行协议约定的</w:t>
      </w:r>
      <w:r>
        <w:rPr>
          <w:rFonts w:hint="eastAsia" w:ascii="宋体" w:hAnsi="宋体" w:eastAsia="宋体" w:cs="宋体"/>
          <w:color w:val="auto"/>
          <w:spacing w:val="0"/>
          <w:sz w:val="28"/>
          <w:szCs w:val="28"/>
          <w:highlight w:val="none"/>
          <w:lang w:val="zh-TW" w:eastAsia="zh-CN" w:bidi="zh-TW"/>
        </w:rPr>
        <w:t>解除承包合同</w:t>
      </w:r>
      <w:r>
        <w:rPr>
          <w:rFonts w:hint="eastAsia" w:ascii="宋体" w:hAnsi="宋体" w:eastAsia="宋体" w:cs="宋体"/>
          <w:color w:val="auto"/>
          <w:spacing w:val="0"/>
          <w:sz w:val="28"/>
          <w:szCs w:val="28"/>
          <w:highlight w:val="none"/>
          <w:lang w:val="zh-TW" w:eastAsia="zh-TW" w:bidi="zh-TW"/>
        </w:rPr>
        <w:t>；</w:t>
      </w:r>
    </w:p>
    <w:p w14:paraId="2DCCF166">
      <w:pPr>
        <w:keepNext w:val="0"/>
        <w:keepLines w:val="0"/>
        <w:pageBreakBefore w:val="0"/>
        <w:widowControl w:val="0"/>
        <w:kinsoku/>
        <w:wordWrap/>
        <w:overflowPunct/>
        <w:topLinePunct w:val="0"/>
        <w:autoSpaceDE/>
        <w:autoSpaceDN/>
        <w:bidi w:val="0"/>
        <w:adjustRightInd w:val="0"/>
        <w:snapToGrid w:val="0"/>
        <w:spacing w:line="340" w:lineRule="exact"/>
        <w:ind w:firstLine="560" w:firstLineChars="200"/>
        <w:textAlignment w:val="auto"/>
        <w:rPr>
          <w:rFonts w:hint="eastAsia" w:ascii="宋体" w:hAnsi="宋体" w:eastAsia="宋体" w:cs="宋体"/>
          <w:color w:val="auto"/>
          <w:spacing w:val="0"/>
          <w:sz w:val="28"/>
          <w:szCs w:val="28"/>
          <w:highlight w:val="none"/>
          <w:lang w:val="zh-TW" w:eastAsia="zh-TW" w:bidi="zh-TW"/>
        </w:rPr>
      </w:pPr>
      <w:r>
        <w:rPr>
          <w:rFonts w:hint="eastAsia" w:ascii="宋体" w:hAnsi="宋体" w:eastAsia="宋体" w:cs="宋体"/>
          <w:color w:val="auto"/>
          <w:spacing w:val="0"/>
          <w:kern w:val="2"/>
          <w:sz w:val="28"/>
          <w:szCs w:val="28"/>
          <w:highlight w:val="none"/>
          <w:lang w:val="en-US" w:eastAsia="zh-CN" w:bidi="zh-TW"/>
        </w:rPr>
        <w:t>（5）</w:t>
      </w:r>
      <w:r>
        <w:rPr>
          <w:rFonts w:hint="eastAsia" w:ascii="宋体" w:hAnsi="宋体" w:eastAsia="宋体" w:cs="宋体"/>
          <w:color w:val="auto"/>
          <w:spacing w:val="0"/>
          <w:sz w:val="28"/>
          <w:szCs w:val="28"/>
          <w:highlight w:val="none"/>
          <w:lang w:val="zh-TW" w:eastAsia="zh-TW" w:bidi="zh-TW"/>
        </w:rPr>
        <w:t>未按年</w:t>
      </w:r>
      <w:r>
        <w:rPr>
          <w:rFonts w:hint="eastAsia" w:ascii="宋体" w:hAnsi="宋体" w:eastAsia="宋体" w:cs="宋体"/>
          <w:color w:val="auto"/>
          <w:spacing w:val="0"/>
          <w:sz w:val="28"/>
          <w:szCs w:val="28"/>
          <w:highlight w:val="none"/>
          <w:lang w:val="zh-TW" w:eastAsia="zh-CN" w:bidi="zh-TW"/>
        </w:rPr>
        <w:t>度</w:t>
      </w:r>
      <w:r>
        <w:rPr>
          <w:rFonts w:hint="eastAsia" w:ascii="宋体" w:hAnsi="宋体" w:eastAsia="宋体" w:cs="宋体"/>
          <w:color w:val="auto"/>
          <w:spacing w:val="0"/>
          <w:sz w:val="28"/>
          <w:szCs w:val="28"/>
          <w:highlight w:val="none"/>
          <w:lang w:val="zh-TW" w:eastAsia="zh-TW" w:bidi="zh-TW"/>
        </w:rPr>
        <w:t>实施方案执行擅自变更清理计划的</w:t>
      </w:r>
      <w:r>
        <w:rPr>
          <w:rFonts w:hint="eastAsia" w:ascii="宋体" w:hAnsi="宋体" w:eastAsia="宋体" w:cs="宋体"/>
          <w:color w:val="auto"/>
          <w:spacing w:val="0"/>
          <w:sz w:val="28"/>
          <w:szCs w:val="28"/>
          <w:highlight w:val="none"/>
          <w:lang w:val="zh-TW" w:eastAsia="zh-CN" w:bidi="zh-TW"/>
        </w:rPr>
        <w:t>解除承包合同</w:t>
      </w:r>
      <w:r>
        <w:rPr>
          <w:rFonts w:hint="eastAsia" w:ascii="宋体" w:hAnsi="宋体" w:eastAsia="宋体" w:cs="宋体"/>
          <w:color w:val="auto"/>
          <w:spacing w:val="0"/>
          <w:sz w:val="28"/>
          <w:szCs w:val="28"/>
          <w:highlight w:val="none"/>
          <w:lang w:val="zh-TW" w:eastAsia="zh-TW" w:bidi="zh-TW"/>
        </w:rPr>
        <w:t>；</w:t>
      </w:r>
    </w:p>
    <w:p w14:paraId="44E8EAB5">
      <w:pPr>
        <w:pStyle w:val="38"/>
        <w:keepNext w:val="0"/>
        <w:keepLines w:val="0"/>
        <w:pageBreakBefore w:val="0"/>
        <w:widowControl w:val="0"/>
        <w:kinsoku/>
        <w:wordWrap/>
        <w:overflowPunct/>
        <w:topLinePunct w:val="0"/>
        <w:autoSpaceDE/>
        <w:autoSpaceDN/>
        <w:bidi w:val="0"/>
        <w:spacing w:line="340" w:lineRule="exact"/>
        <w:ind w:left="0" w:leftChars="0" w:firstLine="560" w:firstLineChars="200"/>
        <w:textAlignment w:val="auto"/>
        <w:rPr>
          <w:rFonts w:hint="eastAsia" w:ascii="宋体" w:hAnsi="宋体" w:eastAsia="宋体" w:cs="宋体"/>
          <w:color w:val="auto"/>
          <w:sz w:val="28"/>
          <w:szCs w:val="28"/>
          <w:lang w:val="zh-TW" w:eastAsia="zh-CN"/>
        </w:rPr>
      </w:pPr>
      <w:r>
        <w:rPr>
          <w:rFonts w:hint="eastAsia" w:ascii="宋体" w:hAnsi="宋体" w:eastAsia="宋体" w:cs="宋体"/>
          <w:color w:val="auto"/>
          <w:spacing w:val="0"/>
          <w:kern w:val="2"/>
          <w:sz w:val="28"/>
          <w:szCs w:val="28"/>
          <w:highlight w:val="none"/>
          <w:lang w:val="en-US" w:eastAsia="zh-CN" w:bidi="zh-TW"/>
        </w:rPr>
        <w:t>（6）</w:t>
      </w:r>
      <w:r>
        <w:rPr>
          <w:rFonts w:hint="eastAsia" w:ascii="宋体" w:hAnsi="宋体" w:eastAsia="宋体" w:cs="宋体"/>
          <w:color w:val="auto"/>
          <w:sz w:val="28"/>
          <w:szCs w:val="28"/>
          <w:lang w:val="en-US" w:eastAsia="zh-CN"/>
        </w:rPr>
        <w:t>藏匿、滞留疫木，违规从县内县外收购非本除治队伍清理的病枯死疫木和工程项目釆伐项目活松树，以及将松疫木卖到县域外和县内非疫木定点处理企业的</w:t>
      </w:r>
      <w:r>
        <w:rPr>
          <w:rFonts w:hint="eastAsia" w:ascii="宋体" w:hAnsi="宋体" w:eastAsia="宋体" w:cs="宋体"/>
          <w:color w:val="auto"/>
          <w:spacing w:val="0"/>
          <w:sz w:val="28"/>
          <w:szCs w:val="28"/>
          <w:highlight w:val="none"/>
          <w:lang w:val="zh-TW" w:eastAsia="zh-CN" w:bidi="zh-TW"/>
        </w:rPr>
        <w:t>取消</w:t>
      </w:r>
      <w:r>
        <w:rPr>
          <w:rFonts w:hint="eastAsia" w:ascii="宋体" w:hAnsi="宋体" w:eastAsia="宋体" w:cs="宋体"/>
          <w:color w:val="auto"/>
          <w:spacing w:val="0"/>
          <w:kern w:val="2"/>
          <w:sz w:val="28"/>
          <w:szCs w:val="28"/>
          <w:highlight w:val="none"/>
          <w:lang w:val="en-US" w:eastAsia="zh-CN" w:bidi="zh-TW"/>
        </w:rPr>
        <w:t>疫木清理补助经费</w:t>
      </w:r>
      <w:r>
        <w:rPr>
          <w:rFonts w:hint="eastAsia" w:ascii="宋体" w:hAnsi="宋体" w:eastAsia="宋体" w:cs="宋体"/>
          <w:color w:val="auto"/>
          <w:sz w:val="28"/>
          <w:szCs w:val="28"/>
          <w:lang w:val="en-US" w:eastAsia="zh-CN"/>
        </w:rPr>
        <w:t>；</w:t>
      </w:r>
    </w:p>
    <w:p w14:paraId="3DA43738">
      <w:pPr>
        <w:keepNext w:val="0"/>
        <w:keepLines w:val="0"/>
        <w:pageBreakBefore w:val="0"/>
        <w:widowControl w:val="0"/>
        <w:kinsoku/>
        <w:wordWrap/>
        <w:overflowPunct/>
        <w:topLinePunct w:val="0"/>
        <w:autoSpaceDE/>
        <w:autoSpaceDN/>
        <w:bidi w:val="0"/>
        <w:adjustRightInd w:val="0"/>
        <w:snapToGrid w:val="0"/>
        <w:spacing w:line="340" w:lineRule="exact"/>
        <w:ind w:firstLine="560" w:firstLineChars="200"/>
        <w:textAlignment w:val="auto"/>
        <w:rPr>
          <w:rFonts w:hint="eastAsia" w:ascii="宋体" w:hAnsi="宋体" w:eastAsia="宋体" w:cs="宋体"/>
          <w:color w:val="auto"/>
          <w:spacing w:val="0"/>
          <w:sz w:val="28"/>
          <w:szCs w:val="28"/>
          <w:highlight w:val="none"/>
          <w:lang w:val="zh-TW" w:eastAsia="zh-TW" w:bidi="zh-TW"/>
        </w:rPr>
      </w:pPr>
      <w:r>
        <w:rPr>
          <w:rFonts w:hint="eastAsia" w:ascii="宋体" w:hAnsi="宋体" w:eastAsia="宋体" w:cs="宋体"/>
          <w:color w:val="auto"/>
          <w:spacing w:val="0"/>
          <w:kern w:val="2"/>
          <w:sz w:val="28"/>
          <w:szCs w:val="28"/>
          <w:highlight w:val="none"/>
          <w:lang w:val="en-US" w:eastAsia="zh-CN" w:bidi="zh-TW"/>
        </w:rPr>
        <w:t>（7）</w:t>
      </w:r>
      <w:r>
        <w:rPr>
          <w:rFonts w:hint="eastAsia" w:ascii="宋体" w:hAnsi="宋体" w:eastAsia="宋体" w:cs="宋体"/>
          <w:color w:val="auto"/>
          <w:spacing w:val="0"/>
          <w:sz w:val="28"/>
          <w:szCs w:val="28"/>
          <w:highlight w:val="none"/>
          <w:lang w:val="zh-TW" w:eastAsia="zh-TW" w:bidi="zh-TW"/>
        </w:rPr>
        <w:t>其他违反相关法律法规和规定的。</w:t>
      </w:r>
    </w:p>
    <w:p w14:paraId="5C9D7FD3">
      <w:pPr>
        <w:keepNext w:val="0"/>
        <w:keepLines w:val="0"/>
        <w:pageBreakBefore w:val="0"/>
        <w:kinsoku/>
        <w:wordWrap/>
        <w:overflowPunct/>
        <w:topLinePunct w:val="0"/>
        <w:autoSpaceDE/>
        <w:autoSpaceDN/>
        <w:bidi w:val="0"/>
        <w:adjustRightInd w:val="0"/>
        <w:snapToGrid w:val="0"/>
        <w:spacing w:line="3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六、有关生产安全的约定</w:t>
      </w:r>
    </w:p>
    <w:p w14:paraId="03809836">
      <w:pPr>
        <w:keepNext w:val="0"/>
        <w:keepLines w:val="0"/>
        <w:pageBreakBefore w:val="0"/>
        <w:tabs>
          <w:tab w:val="left" w:pos="1320"/>
        </w:tabs>
        <w:kinsoku/>
        <w:wordWrap/>
        <w:overflowPunct/>
        <w:topLinePunct w:val="0"/>
        <w:autoSpaceDE/>
        <w:autoSpaceDN/>
        <w:bidi w:val="0"/>
        <w:adjustRightInd w:val="0"/>
        <w:snapToGrid w:val="0"/>
        <w:spacing w:line="3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1、乙方在施工作业范围内应做好森林防火工作，并接受甲方对森林防火工作的检查指导，因乙方作业原因产生的火灾火情后果概由乙方负责。</w:t>
      </w:r>
    </w:p>
    <w:p w14:paraId="5CB1D767">
      <w:pPr>
        <w:keepNext w:val="0"/>
        <w:keepLines w:val="0"/>
        <w:pageBreakBefore w:val="0"/>
        <w:tabs>
          <w:tab w:val="left" w:pos="1320"/>
        </w:tabs>
        <w:kinsoku/>
        <w:wordWrap/>
        <w:overflowPunct/>
        <w:topLinePunct w:val="0"/>
        <w:autoSpaceDE/>
        <w:autoSpaceDN/>
        <w:bidi w:val="0"/>
        <w:adjustRightInd w:val="0"/>
        <w:snapToGrid w:val="0"/>
        <w:spacing w:line="3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2、乙方须对施工人员进行安全培训，加强人身安全保护意识，做到文明施工、安全施工、确保对所有清理人员进行保险。因乙方作业原因，产生的作业人员及第三方人身伤害后果概由乙方负责。</w:t>
      </w:r>
    </w:p>
    <w:p w14:paraId="181B09FD">
      <w:pPr>
        <w:keepNext w:val="0"/>
        <w:keepLines w:val="0"/>
        <w:pageBreakBefore w:val="0"/>
        <w:tabs>
          <w:tab w:val="left" w:pos="1320"/>
        </w:tabs>
        <w:kinsoku/>
        <w:wordWrap/>
        <w:overflowPunct/>
        <w:topLinePunct w:val="0"/>
        <w:autoSpaceDE/>
        <w:autoSpaceDN/>
        <w:bidi w:val="0"/>
        <w:adjustRightInd w:val="0"/>
        <w:snapToGrid w:val="0"/>
        <w:spacing w:line="3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七、其他事项</w:t>
      </w:r>
    </w:p>
    <w:p w14:paraId="2EF05ADA">
      <w:pPr>
        <w:pStyle w:val="281"/>
        <w:keepNext w:val="0"/>
        <w:keepLines w:val="0"/>
        <w:pageBreakBefore w:val="0"/>
        <w:widowControl/>
        <w:kinsoku/>
        <w:wordWrap/>
        <w:overflowPunct/>
        <w:topLinePunct w:val="0"/>
        <w:autoSpaceDE/>
        <w:autoSpaceDN/>
        <w:bidi w:val="0"/>
        <w:spacing w:line="34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1.甲方应维护乙方合法的权利，及时支付合同约定的款项。</w:t>
      </w:r>
    </w:p>
    <w:p w14:paraId="727065D9">
      <w:pPr>
        <w:pStyle w:val="281"/>
        <w:keepNext w:val="0"/>
        <w:keepLines w:val="0"/>
        <w:pageBreakBefore w:val="0"/>
        <w:widowControl/>
        <w:kinsoku/>
        <w:wordWrap/>
        <w:overflowPunct/>
        <w:topLinePunct w:val="0"/>
        <w:autoSpaceDE/>
        <w:autoSpaceDN/>
        <w:bidi w:val="0"/>
        <w:spacing w:line="34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2.甲方应为乙方开展除治工作提供相应条件，做好政策处理等工作，因甲方原因导致工期延误，由甲方承担相应后果。</w:t>
      </w:r>
    </w:p>
    <w:p w14:paraId="7B343AE1">
      <w:pPr>
        <w:pStyle w:val="281"/>
        <w:keepNext w:val="0"/>
        <w:keepLines w:val="0"/>
        <w:pageBreakBefore w:val="0"/>
        <w:widowControl/>
        <w:kinsoku/>
        <w:wordWrap/>
        <w:overflowPunct/>
        <w:topLinePunct w:val="0"/>
        <w:autoSpaceDE/>
        <w:autoSpaceDN/>
        <w:bidi w:val="0"/>
        <w:spacing w:line="34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3.乙方在履行合同义务期间，应遵守国家有关法律、法规，维护甲方的合法权益。确保安全生产，如因乙方违规操作造成的一切后果由乙方自行承担。</w:t>
      </w:r>
    </w:p>
    <w:p w14:paraId="5666A184">
      <w:pPr>
        <w:pStyle w:val="281"/>
        <w:keepNext w:val="0"/>
        <w:keepLines w:val="0"/>
        <w:pageBreakBefore w:val="0"/>
        <w:widowControl/>
        <w:kinsoku/>
        <w:wordWrap/>
        <w:overflowPunct/>
        <w:topLinePunct w:val="0"/>
        <w:autoSpaceDE/>
        <w:autoSpaceDN/>
        <w:bidi w:val="0"/>
        <w:spacing w:line="34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4.乙方应组建能够满足本工程服务需要的队伍，并为所有施工、监管等除治工作相关人员进行投保；乙方需按照工程管理的有关规定，交足履约保证金、农民工工资保证金等。乙方不得以任何理由，拖欠支付农民工工资。</w:t>
      </w:r>
    </w:p>
    <w:p w14:paraId="0760A4EC">
      <w:pPr>
        <w:pStyle w:val="281"/>
        <w:keepNext w:val="0"/>
        <w:keepLines w:val="0"/>
        <w:pageBreakBefore w:val="0"/>
        <w:widowControl/>
        <w:kinsoku/>
        <w:wordWrap/>
        <w:overflowPunct/>
        <w:topLinePunct w:val="0"/>
        <w:autoSpaceDE/>
        <w:autoSpaceDN/>
        <w:bidi w:val="0"/>
        <w:spacing w:line="34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5.乙方应按照除治工作范围和内容，须如实提供枯死松木清理的数量、进度、属地等资料并做好相关数据的登记工作，并定期向甲方汇报除治工作进展。</w:t>
      </w:r>
    </w:p>
    <w:p w14:paraId="440001E7">
      <w:pPr>
        <w:pStyle w:val="281"/>
        <w:keepNext w:val="0"/>
        <w:keepLines w:val="0"/>
        <w:pageBreakBefore w:val="0"/>
        <w:widowControl/>
        <w:kinsoku/>
        <w:wordWrap/>
        <w:overflowPunct/>
        <w:topLinePunct w:val="0"/>
        <w:autoSpaceDE/>
        <w:autoSpaceDN/>
        <w:bidi w:val="0"/>
        <w:spacing w:line="34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6.乙方在施工作业范围内应做好森林防火工作，在确保安全的情况下，方可采取烧毁的方式处理疫木主杆及其枝桠，并接受甲方对森林防火工作的检查指导。因操作不当导致火情，后果由乙方负责。</w:t>
      </w:r>
    </w:p>
    <w:p w14:paraId="130C0909">
      <w:pPr>
        <w:pStyle w:val="281"/>
        <w:keepNext w:val="0"/>
        <w:keepLines w:val="0"/>
        <w:pageBreakBefore w:val="0"/>
        <w:widowControl/>
        <w:kinsoku/>
        <w:wordWrap/>
        <w:overflowPunct/>
        <w:topLinePunct w:val="0"/>
        <w:autoSpaceDE/>
        <w:autoSpaceDN/>
        <w:bidi w:val="0"/>
        <w:spacing w:line="34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7.乙方应接受甲方或其委托的第三方机构及林业等部门对除治工作的核查指导。</w:t>
      </w:r>
    </w:p>
    <w:p w14:paraId="0A90F458">
      <w:pPr>
        <w:pStyle w:val="281"/>
        <w:keepNext w:val="0"/>
        <w:keepLines w:val="0"/>
        <w:pageBreakBefore w:val="0"/>
        <w:widowControl/>
        <w:kinsoku/>
        <w:wordWrap/>
        <w:overflowPunct/>
        <w:topLinePunct w:val="0"/>
        <w:autoSpaceDE/>
        <w:autoSpaceDN/>
        <w:bidi w:val="0"/>
        <w:spacing w:line="34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8.乙方应根据甲方要求，落实专人负责施工质量现场管理，并安装应用数字森防手机APP，对疫木除治和运输过程等环节，实施拍照留痕，确保甲方能随时了解除治进程。</w:t>
      </w:r>
    </w:p>
    <w:p w14:paraId="19921A75">
      <w:pPr>
        <w:keepNext w:val="0"/>
        <w:keepLines w:val="0"/>
        <w:pageBreakBefore w:val="0"/>
        <w:tabs>
          <w:tab w:val="left" w:pos="1320"/>
        </w:tabs>
        <w:kinsoku/>
        <w:wordWrap/>
        <w:overflowPunct/>
        <w:topLinePunct w:val="0"/>
        <w:autoSpaceDE/>
        <w:autoSpaceDN/>
        <w:bidi w:val="0"/>
        <w:adjustRightInd w:val="0"/>
        <w:snapToGrid w:val="0"/>
        <w:spacing w:line="3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9、合同未尽事宜，双方协商解决。</w:t>
      </w:r>
    </w:p>
    <w:p w14:paraId="44344928">
      <w:pPr>
        <w:pStyle w:val="281"/>
        <w:keepNext w:val="0"/>
        <w:keepLines w:val="0"/>
        <w:pageBreakBefore w:val="0"/>
        <w:widowControl/>
        <w:kinsoku/>
        <w:wordWrap/>
        <w:overflowPunct/>
        <w:topLinePunct w:val="0"/>
        <w:autoSpaceDE/>
        <w:autoSpaceDN/>
        <w:bidi w:val="0"/>
        <w:spacing w:line="340" w:lineRule="exact"/>
        <w:ind w:firstLine="562"/>
        <w:textAlignment w:val="auto"/>
        <w:rPr>
          <w:rFonts w:hint="eastAsia" w:ascii="宋体" w:hAnsi="宋体" w:eastAsia="宋体" w:cs="宋体"/>
          <w:b/>
          <w:sz w:val="28"/>
          <w:szCs w:val="28"/>
        </w:rPr>
      </w:pPr>
      <w:r>
        <w:rPr>
          <w:rFonts w:hint="eastAsia" w:ascii="宋体" w:hAnsi="宋体" w:eastAsia="宋体" w:cs="宋体"/>
          <w:b/>
          <w:sz w:val="28"/>
          <w:szCs w:val="28"/>
        </w:rPr>
        <w:t>八、合同的生效</w:t>
      </w:r>
    </w:p>
    <w:p w14:paraId="116D016F">
      <w:pPr>
        <w:pStyle w:val="281"/>
        <w:keepNext w:val="0"/>
        <w:keepLines w:val="0"/>
        <w:pageBreakBefore w:val="0"/>
        <w:widowControl/>
        <w:kinsoku/>
        <w:wordWrap/>
        <w:overflowPunct/>
        <w:topLinePunct w:val="0"/>
        <w:autoSpaceDE/>
        <w:autoSpaceDN/>
        <w:bidi w:val="0"/>
        <w:spacing w:line="34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 xml:space="preserve">本合同一式六份，经甲、乙双方法定代表人或者委托代理人签字并加盖公章后即生效。合同执行中，若产生纠纷，由甲方所在地的法院或仲裁机构进行管辖。 </w:t>
      </w:r>
    </w:p>
    <w:p w14:paraId="7DF7697E">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甲方：（盖章）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乙方：（盖章）</w:t>
      </w:r>
    </w:p>
    <w:p w14:paraId="2718789F">
      <w:pPr>
        <w:spacing w:line="560" w:lineRule="exact"/>
        <w:rPr>
          <w:rFonts w:hint="eastAsia" w:ascii="宋体" w:hAnsi="宋体" w:eastAsia="宋体" w:cs="宋体"/>
          <w:sz w:val="28"/>
          <w:szCs w:val="28"/>
        </w:rPr>
      </w:pPr>
      <w:r>
        <w:rPr>
          <w:rFonts w:hint="eastAsia" w:ascii="宋体" w:hAnsi="宋体" w:eastAsia="宋体" w:cs="宋体"/>
          <w:w w:val="80"/>
          <w:sz w:val="28"/>
          <w:szCs w:val="28"/>
        </w:rPr>
        <w:t xml:space="preserve">法定代表人或者委托代理人         </w:t>
      </w:r>
      <w:r>
        <w:rPr>
          <w:rFonts w:hint="eastAsia" w:ascii="宋体" w:hAnsi="宋体" w:eastAsia="宋体" w:cs="宋体"/>
          <w:w w:val="80"/>
          <w:sz w:val="28"/>
          <w:szCs w:val="28"/>
          <w:lang w:val="en-US" w:eastAsia="zh-CN"/>
        </w:rPr>
        <w:t xml:space="preserve">         </w:t>
      </w:r>
      <w:r>
        <w:rPr>
          <w:rFonts w:hint="eastAsia" w:ascii="宋体" w:hAnsi="宋体" w:eastAsia="宋体" w:cs="宋体"/>
          <w:w w:val="80"/>
          <w:sz w:val="28"/>
          <w:szCs w:val="28"/>
        </w:rPr>
        <w:t>法定代表人或者委托代理人</w:t>
      </w:r>
    </w:p>
    <w:p w14:paraId="53AE5A48">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（签字）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（签字）</w:t>
      </w:r>
    </w:p>
    <w:p w14:paraId="6EEC412E">
      <w:pPr>
        <w:spacing w:line="560" w:lineRule="exact"/>
        <w:rPr>
          <w:rFonts w:hint="eastAsia" w:ascii="宋体" w:hAnsi="宋体" w:eastAsia="宋体" w:cs="宋体"/>
        </w:rPr>
      </w:pPr>
      <w:r>
        <w:rPr>
          <w:rFonts w:hint="eastAsia" w:ascii="宋体" w:hAnsi="宋体" w:eastAsia="宋体" w:cs="宋体"/>
          <w:sz w:val="28"/>
          <w:szCs w:val="28"/>
        </w:rPr>
        <w:t xml:space="preserve">签订日期：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日</w:t>
      </w:r>
    </w:p>
    <w:p w14:paraId="7EDD06DD">
      <w:pPr>
        <w:spacing w:line="360" w:lineRule="auto"/>
        <w:ind w:left="960" w:hanging="960" w:hangingChars="400"/>
        <w:rPr>
          <w:rFonts w:ascii="宋体" w:hAnsi="宋体" w:cs="宋体"/>
          <w:color w:val="000000" w:themeColor="text1"/>
          <w:sz w:val="24"/>
          <w:highlight w:val="none"/>
        </w:rPr>
      </w:pPr>
      <w:r>
        <w:rPr>
          <w:rFonts w:ascii="宋体" w:hAnsi="宋体" w:cs="宋体"/>
          <w:color w:val="000000" w:themeColor="text1"/>
          <w:sz w:val="24"/>
          <w:highlight w:val="none"/>
        </w:rPr>
        <w:br w:type="page"/>
      </w:r>
    </w:p>
    <w:p w14:paraId="1766CB5B">
      <w:pPr>
        <w:pStyle w:val="43"/>
        <w:spacing w:before="0" w:after="0" w:line="360" w:lineRule="auto"/>
        <w:rPr>
          <w:rFonts w:ascii="宋体" w:hAnsi="宋体" w:cs="宋体"/>
          <w:color w:val="000000" w:themeColor="text1"/>
          <w:sz w:val="36"/>
          <w:szCs w:val="36"/>
          <w:highlight w:val="none"/>
        </w:rPr>
      </w:pPr>
      <w:r>
        <w:rPr>
          <w:rFonts w:hint="eastAsia" w:ascii="宋体" w:hAnsi="宋体" w:cs="宋体"/>
          <w:color w:val="000000" w:themeColor="text1"/>
          <w:sz w:val="36"/>
          <w:szCs w:val="36"/>
          <w:highlight w:val="none"/>
        </w:rPr>
        <w:t>第五章  磋商响应文件格式</w:t>
      </w:r>
      <w:bookmarkEnd w:id="253"/>
      <w:bookmarkEnd w:id="254"/>
      <w:bookmarkEnd w:id="255"/>
      <w:bookmarkEnd w:id="256"/>
      <w:bookmarkStart w:id="257" w:name="_Toc15805942"/>
    </w:p>
    <w:p w14:paraId="250ACCE7">
      <w:pPr>
        <w:pStyle w:val="43"/>
        <w:spacing w:beforeLines="100" w:afterLines="100"/>
        <w:outlineLvl w:val="1"/>
        <w:rPr>
          <w:rFonts w:ascii="宋体" w:hAnsi="宋体" w:cs="宋体"/>
          <w:color w:val="000000" w:themeColor="text1"/>
          <w:sz w:val="44"/>
          <w:szCs w:val="44"/>
          <w:highlight w:val="none"/>
        </w:rPr>
      </w:pPr>
      <w:bookmarkStart w:id="258" w:name="_Toc531359038"/>
      <w:bookmarkStart w:id="259" w:name="_Toc493956051"/>
      <w:bookmarkStart w:id="260" w:name="_Toc80973293"/>
      <w:bookmarkStart w:id="261" w:name="_Toc530551876"/>
      <w:r>
        <w:rPr>
          <w:rFonts w:hint="eastAsia" w:ascii="宋体" w:hAnsi="宋体" w:cs="宋体"/>
          <w:color w:val="000000" w:themeColor="text1"/>
          <w:sz w:val="44"/>
          <w:szCs w:val="44"/>
          <w:highlight w:val="none"/>
        </w:rPr>
        <w:t>一  资格审查文件格式</w:t>
      </w:r>
      <w:bookmarkEnd w:id="258"/>
      <w:bookmarkEnd w:id="259"/>
      <w:bookmarkEnd w:id="260"/>
      <w:bookmarkEnd w:id="261"/>
    </w:p>
    <w:p w14:paraId="1FC433C0">
      <w:pPr>
        <w:spacing w:line="360" w:lineRule="auto"/>
        <w:rPr>
          <w:rFonts w:ascii="宋体" w:hAnsi="宋体" w:cs="宋体"/>
          <w:color w:val="000000" w:themeColor="text1"/>
          <w:sz w:val="24"/>
          <w:szCs w:val="24"/>
          <w:highlight w:val="none"/>
        </w:rPr>
      </w:pPr>
      <w:bookmarkStart w:id="262" w:name="_Toc531359039"/>
    </w:p>
    <w:bookmarkEnd w:id="262"/>
    <w:p w14:paraId="0AD5AA94">
      <w:pPr>
        <w:pStyle w:val="6"/>
        <w:spacing w:before="0" w:after="0"/>
        <w:ind w:firstLine="0" w:firstLineChars="0"/>
        <w:jc w:val="left"/>
        <w:rPr>
          <w:rFonts w:ascii="宋体" w:hAnsi="宋体" w:eastAsia="宋体" w:cs="宋体"/>
          <w:color w:val="000000" w:themeColor="text1"/>
          <w:sz w:val="24"/>
          <w:szCs w:val="24"/>
          <w:highlight w:val="none"/>
        </w:rPr>
      </w:pPr>
      <w:bookmarkStart w:id="263" w:name="_Toc531359040"/>
      <w:bookmarkStart w:id="264" w:name="_Toc80973294"/>
      <w:r>
        <w:rPr>
          <w:rFonts w:hint="eastAsia" w:ascii="宋体" w:hAnsi="宋体" w:eastAsia="宋体" w:cs="宋体"/>
          <w:color w:val="000000" w:themeColor="text1"/>
          <w:sz w:val="24"/>
          <w:szCs w:val="24"/>
          <w:highlight w:val="none"/>
        </w:rPr>
        <w:t>1.1    资格审查文件封面</w:t>
      </w:r>
      <w:bookmarkEnd w:id="263"/>
      <w:r>
        <w:rPr>
          <w:rFonts w:hint="eastAsia" w:ascii="宋体" w:hAnsi="宋体" w:eastAsia="宋体" w:cs="宋体"/>
          <w:color w:val="000000" w:themeColor="text1"/>
          <w:sz w:val="24"/>
          <w:szCs w:val="24"/>
          <w:highlight w:val="none"/>
        </w:rPr>
        <w:t>格式</w:t>
      </w:r>
      <w:bookmarkEnd w:id="264"/>
    </w:p>
    <w:p w14:paraId="7066DFD5">
      <w:pPr>
        <w:pStyle w:val="7"/>
        <w:ind w:firstLine="0"/>
        <w:rPr>
          <w:rFonts w:ascii="宋体" w:hAnsi="宋体" w:cs="宋体"/>
          <w:color w:val="000000" w:themeColor="text1"/>
          <w:highlight w:val="none"/>
        </w:rPr>
      </w:pPr>
    </w:p>
    <w:p w14:paraId="29C9DA0C">
      <w:pPr>
        <w:pStyle w:val="7"/>
        <w:spacing w:line="360" w:lineRule="auto"/>
        <w:ind w:firstLine="0"/>
        <w:jc w:val="center"/>
        <w:rPr>
          <w:rFonts w:ascii="宋体" w:hAnsi="宋体" w:cs="宋体"/>
          <w:b/>
          <w:color w:val="000000" w:themeColor="text1"/>
          <w:sz w:val="32"/>
          <w:szCs w:val="32"/>
          <w:highlight w:val="none"/>
        </w:rPr>
      </w:pPr>
      <w:r>
        <w:rPr>
          <w:rFonts w:hint="eastAsia" w:ascii="宋体" w:hAnsi="宋体" w:cs="宋体"/>
          <w:b/>
          <w:color w:val="000000" w:themeColor="text1"/>
          <w:sz w:val="32"/>
          <w:szCs w:val="32"/>
          <w:highlight w:val="none"/>
        </w:rPr>
        <w:t>磋商响应文件</w:t>
      </w:r>
    </w:p>
    <w:p w14:paraId="453D218C">
      <w:pPr>
        <w:snapToGrid w:val="0"/>
        <w:spacing w:beforeLines="50" w:after="50"/>
        <w:rPr>
          <w:rFonts w:ascii="宋体" w:hAnsi="宋体" w:cs="宋体"/>
          <w:bCs/>
          <w:color w:val="000000" w:themeColor="text1"/>
          <w:sz w:val="24"/>
          <w:szCs w:val="20"/>
          <w:highlight w:val="none"/>
        </w:rPr>
      </w:pPr>
    </w:p>
    <w:tbl>
      <w:tblPr>
        <w:tblStyle w:val="46"/>
        <w:tblW w:w="7054" w:type="dxa"/>
        <w:jc w:val="center"/>
        <w:tblLayout w:type="fixed"/>
        <w:tblCellMar>
          <w:top w:w="0" w:type="dxa"/>
          <w:left w:w="108" w:type="dxa"/>
          <w:bottom w:w="0" w:type="dxa"/>
          <w:right w:w="108" w:type="dxa"/>
        </w:tblCellMar>
      </w:tblPr>
      <w:tblGrid>
        <w:gridCol w:w="2518"/>
        <w:gridCol w:w="4536"/>
      </w:tblGrid>
      <w:tr w14:paraId="66605113">
        <w:tblPrEx>
          <w:tblCellMar>
            <w:top w:w="0" w:type="dxa"/>
            <w:left w:w="108" w:type="dxa"/>
            <w:bottom w:w="0" w:type="dxa"/>
            <w:right w:w="108" w:type="dxa"/>
          </w:tblCellMar>
        </w:tblPrEx>
        <w:trPr>
          <w:trHeight w:val="850" w:hRule="atLeast"/>
          <w:jc w:val="center"/>
        </w:trPr>
        <w:tc>
          <w:tcPr>
            <w:tcW w:w="2518" w:type="dxa"/>
            <w:vAlign w:val="center"/>
          </w:tcPr>
          <w:p w14:paraId="09774166">
            <w:pPr>
              <w:jc w:val="distribute"/>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磋商响应文件名称：</w:t>
            </w:r>
          </w:p>
        </w:tc>
        <w:tc>
          <w:tcPr>
            <w:tcW w:w="4536" w:type="dxa"/>
            <w:vAlign w:val="center"/>
          </w:tcPr>
          <w:p w14:paraId="402102B0">
            <w:pPr>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u w:val="single"/>
              </w:rPr>
              <w:t xml:space="preserve"> 资格审查文件           </w:t>
            </w:r>
          </w:p>
        </w:tc>
      </w:tr>
      <w:tr w14:paraId="10A449C8">
        <w:tblPrEx>
          <w:tblCellMar>
            <w:top w:w="0" w:type="dxa"/>
            <w:left w:w="108" w:type="dxa"/>
            <w:bottom w:w="0" w:type="dxa"/>
            <w:right w:w="108" w:type="dxa"/>
          </w:tblCellMar>
        </w:tblPrEx>
        <w:trPr>
          <w:trHeight w:val="850" w:hRule="atLeast"/>
          <w:jc w:val="center"/>
        </w:trPr>
        <w:tc>
          <w:tcPr>
            <w:tcW w:w="2518" w:type="dxa"/>
            <w:vAlign w:val="center"/>
          </w:tcPr>
          <w:p w14:paraId="48B53855">
            <w:pPr>
              <w:jc w:val="distribute"/>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项 目 编 号：</w:t>
            </w:r>
          </w:p>
        </w:tc>
        <w:tc>
          <w:tcPr>
            <w:tcW w:w="4536" w:type="dxa"/>
            <w:vAlign w:val="center"/>
          </w:tcPr>
          <w:p w14:paraId="514C851D">
            <w:pPr>
              <w:jc w:val="left"/>
              <w:rPr>
                <w:rFonts w:ascii="宋体" w:hAnsi="宋体" w:cs="宋体"/>
                <w:color w:val="000000" w:themeColor="text1"/>
                <w:sz w:val="24"/>
                <w:szCs w:val="24"/>
                <w:highlight w:val="none"/>
              </w:rPr>
            </w:pPr>
          </w:p>
        </w:tc>
      </w:tr>
      <w:tr w14:paraId="146CF0CE">
        <w:tblPrEx>
          <w:tblCellMar>
            <w:top w:w="0" w:type="dxa"/>
            <w:left w:w="108" w:type="dxa"/>
            <w:bottom w:w="0" w:type="dxa"/>
            <w:right w:w="108" w:type="dxa"/>
          </w:tblCellMar>
        </w:tblPrEx>
        <w:trPr>
          <w:trHeight w:val="850" w:hRule="atLeast"/>
          <w:jc w:val="center"/>
        </w:trPr>
        <w:tc>
          <w:tcPr>
            <w:tcW w:w="2518" w:type="dxa"/>
            <w:vAlign w:val="center"/>
          </w:tcPr>
          <w:p w14:paraId="3EF3F5E6">
            <w:pPr>
              <w:jc w:val="distribute"/>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项 目 名 称：</w:t>
            </w:r>
          </w:p>
        </w:tc>
        <w:tc>
          <w:tcPr>
            <w:tcW w:w="4536" w:type="dxa"/>
            <w:vAlign w:val="center"/>
          </w:tcPr>
          <w:p w14:paraId="349683F3">
            <w:pPr>
              <w:jc w:val="left"/>
              <w:rPr>
                <w:rFonts w:ascii="宋体" w:hAnsi="宋体" w:cs="宋体"/>
                <w:color w:val="000000" w:themeColor="text1"/>
                <w:sz w:val="24"/>
                <w:szCs w:val="24"/>
                <w:highlight w:val="none"/>
              </w:rPr>
            </w:pPr>
          </w:p>
        </w:tc>
      </w:tr>
      <w:tr w14:paraId="2409CD05">
        <w:tblPrEx>
          <w:tblCellMar>
            <w:top w:w="0" w:type="dxa"/>
            <w:left w:w="108" w:type="dxa"/>
            <w:bottom w:w="0" w:type="dxa"/>
            <w:right w:w="108" w:type="dxa"/>
          </w:tblCellMar>
        </w:tblPrEx>
        <w:trPr>
          <w:trHeight w:val="850" w:hRule="atLeast"/>
          <w:jc w:val="center"/>
        </w:trPr>
        <w:tc>
          <w:tcPr>
            <w:tcW w:w="2518" w:type="dxa"/>
            <w:vAlign w:val="center"/>
          </w:tcPr>
          <w:p w14:paraId="1A50E555">
            <w:pPr>
              <w:jc w:val="distribute"/>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标      项：</w:t>
            </w:r>
          </w:p>
        </w:tc>
        <w:tc>
          <w:tcPr>
            <w:tcW w:w="4536" w:type="dxa"/>
            <w:vAlign w:val="center"/>
          </w:tcPr>
          <w:p w14:paraId="3DEE485B">
            <w:pPr>
              <w:jc w:val="left"/>
              <w:rPr>
                <w:rFonts w:ascii="宋体" w:hAnsi="宋体" w:cs="宋体"/>
                <w:color w:val="000000" w:themeColor="text1"/>
                <w:sz w:val="24"/>
                <w:szCs w:val="24"/>
                <w:highlight w:val="none"/>
              </w:rPr>
            </w:pPr>
          </w:p>
        </w:tc>
      </w:tr>
      <w:tr w14:paraId="03C46BC0">
        <w:tblPrEx>
          <w:tblCellMar>
            <w:top w:w="0" w:type="dxa"/>
            <w:left w:w="108" w:type="dxa"/>
            <w:bottom w:w="0" w:type="dxa"/>
            <w:right w:w="108" w:type="dxa"/>
          </w:tblCellMar>
        </w:tblPrEx>
        <w:trPr>
          <w:trHeight w:val="850" w:hRule="atLeast"/>
          <w:jc w:val="center"/>
        </w:trPr>
        <w:tc>
          <w:tcPr>
            <w:tcW w:w="2518" w:type="dxa"/>
            <w:vAlign w:val="center"/>
          </w:tcPr>
          <w:p w14:paraId="0245D6C0">
            <w:pPr>
              <w:jc w:val="distribute"/>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供应商全称（盖章）：</w:t>
            </w:r>
          </w:p>
        </w:tc>
        <w:tc>
          <w:tcPr>
            <w:tcW w:w="4536" w:type="dxa"/>
            <w:vAlign w:val="center"/>
          </w:tcPr>
          <w:p w14:paraId="46217AAF">
            <w:pPr>
              <w:jc w:val="left"/>
              <w:rPr>
                <w:rFonts w:ascii="宋体" w:hAnsi="宋体" w:cs="宋体"/>
                <w:color w:val="000000" w:themeColor="text1"/>
                <w:sz w:val="24"/>
                <w:szCs w:val="24"/>
                <w:highlight w:val="none"/>
              </w:rPr>
            </w:pPr>
          </w:p>
        </w:tc>
      </w:tr>
      <w:tr w14:paraId="0C39B3B2">
        <w:tblPrEx>
          <w:tblCellMar>
            <w:top w:w="0" w:type="dxa"/>
            <w:left w:w="108" w:type="dxa"/>
            <w:bottom w:w="0" w:type="dxa"/>
            <w:right w:w="108" w:type="dxa"/>
          </w:tblCellMar>
        </w:tblPrEx>
        <w:trPr>
          <w:trHeight w:val="850" w:hRule="atLeast"/>
          <w:jc w:val="center"/>
        </w:trPr>
        <w:tc>
          <w:tcPr>
            <w:tcW w:w="2518" w:type="dxa"/>
            <w:vAlign w:val="center"/>
          </w:tcPr>
          <w:p w14:paraId="4F1C0358">
            <w:pPr>
              <w:jc w:val="distribute"/>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供应商地址：</w:t>
            </w:r>
          </w:p>
        </w:tc>
        <w:tc>
          <w:tcPr>
            <w:tcW w:w="4536" w:type="dxa"/>
            <w:vAlign w:val="center"/>
          </w:tcPr>
          <w:p w14:paraId="350E7D9D">
            <w:pPr>
              <w:jc w:val="left"/>
              <w:rPr>
                <w:rFonts w:ascii="宋体" w:hAnsi="宋体" w:cs="宋体"/>
                <w:color w:val="000000" w:themeColor="text1"/>
                <w:sz w:val="24"/>
                <w:szCs w:val="24"/>
                <w:highlight w:val="none"/>
              </w:rPr>
            </w:pPr>
          </w:p>
        </w:tc>
      </w:tr>
      <w:tr w14:paraId="1470C55E">
        <w:tblPrEx>
          <w:tblCellMar>
            <w:top w:w="0" w:type="dxa"/>
            <w:left w:w="108" w:type="dxa"/>
            <w:bottom w:w="0" w:type="dxa"/>
            <w:right w:w="108" w:type="dxa"/>
          </w:tblCellMar>
        </w:tblPrEx>
        <w:trPr>
          <w:trHeight w:val="850" w:hRule="atLeast"/>
          <w:jc w:val="center"/>
        </w:trPr>
        <w:tc>
          <w:tcPr>
            <w:tcW w:w="7054" w:type="dxa"/>
            <w:gridSpan w:val="2"/>
            <w:vAlign w:val="center"/>
          </w:tcPr>
          <w:p w14:paraId="7C900B50">
            <w:pPr>
              <w:jc w:val="left"/>
              <w:rPr>
                <w:rFonts w:ascii="宋体" w:hAnsi="宋体" w:cs="宋体"/>
                <w:color w:val="000000" w:themeColor="text1"/>
                <w:sz w:val="24"/>
                <w:szCs w:val="24"/>
                <w:highlight w:val="none"/>
                <w:u w:val="single"/>
              </w:rPr>
            </w:pPr>
          </w:p>
        </w:tc>
      </w:tr>
      <w:tr w14:paraId="6E9FF759">
        <w:tblPrEx>
          <w:tblCellMar>
            <w:top w:w="0" w:type="dxa"/>
            <w:left w:w="108" w:type="dxa"/>
            <w:bottom w:w="0" w:type="dxa"/>
            <w:right w:w="108" w:type="dxa"/>
          </w:tblCellMar>
        </w:tblPrEx>
        <w:trPr>
          <w:trHeight w:val="850" w:hRule="atLeast"/>
          <w:jc w:val="center"/>
        </w:trPr>
        <w:tc>
          <w:tcPr>
            <w:tcW w:w="7054" w:type="dxa"/>
            <w:gridSpan w:val="2"/>
            <w:vAlign w:val="center"/>
          </w:tcPr>
          <w:p w14:paraId="707A89F4">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年  月  日</w:t>
            </w:r>
          </w:p>
        </w:tc>
      </w:tr>
    </w:tbl>
    <w:p w14:paraId="00C5EEC1">
      <w:pPr>
        <w:rPr>
          <w:rFonts w:ascii="宋体" w:hAnsi="宋体" w:cs="宋体"/>
          <w:color w:val="000000" w:themeColor="text1"/>
          <w:highlight w:val="none"/>
        </w:rPr>
      </w:pPr>
      <w:bookmarkStart w:id="265" w:name="_Toc531359041"/>
      <w:bookmarkStart w:id="266" w:name="_Toc523398524"/>
      <w:bookmarkStart w:id="267" w:name="_Toc493956052"/>
      <w:bookmarkStart w:id="268" w:name="_Toc493956053"/>
      <w:bookmarkStart w:id="269" w:name="_Toc530551878"/>
      <w:r>
        <w:rPr>
          <w:rFonts w:hint="eastAsia" w:ascii="宋体" w:hAnsi="宋体" w:cs="宋体"/>
          <w:color w:val="000000" w:themeColor="text1"/>
          <w:highlight w:val="none"/>
        </w:rPr>
        <w:tab/>
      </w:r>
    </w:p>
    <w:p w14:paraId="635BDD58">
      <w:pPr>
        <w:rPr>
          <w:rFonts w:ascii="宋体" w:hAnsi="宋体" w:cs="宋体"/>
          <w:color w:val="000000" w:themeColor="text1"/>
          <w:highlight w:val="none"/>
        </w:rPr>
        <w:sectPr>
          <w:pgSz w:w="11906" w:h="16838"/>
          <w:pgMar w:top="1418" w:right="1418" w:bottom="1418" w:left="1418" w:header="851" w:footer="851" w:gutter="0"/>
          <w:cols w:space="720" w:num="1"/>
          <w:docGrid w:linePitch="312" w:charSpace="0"/>
        </w:sectPr>
      </w:pPr>
    </w:p>
    <w:p w14:paraId="2FB7E120">
      <w:pPr>
        <w:pStyle w:val="6"/>
        <w:spacing w:before="0" w:after="0"/>
        <w:ind w:firstLine="0" w:firstLineChars="0"/>
        <w:jc w:val="center"/>
        <w:rPr>
          <w:rFonts w:ascii="宋体" w:hAnsi="宋体" w:eastAsia="宋体" w:cs="宋体"/>
          <w:color w:val="000000" w:themeColor="text1"/>
          <w:sz w:val="24"/>
          <w:szCs w:val="24"/>
          <w:highlight w:val="none"/>
        </w:rPr>
      </w:pPr>
      <w:bookmarkStart w:id="270" w:name="_Toc80973295"/>
      <w:r>
        <w:rPr>
          <w:rFonts w:hint="eastAsia" w:ascii="宋体" w:hAnsi="宋体" w:eastAsia="宋体" w:cs="宋体"/>
          <w:color w:val="000000" w:themeColor="text1"/>
          <w:sz w:val="24"/>
          <w:szCs w:val="24"/>
          <w:highlight w:val="none"/>
        </w:rPr>
        <w:t>1.2    资格审查文件目录</w:t>
      </w:r>
      <w:bookmarkEnd w:id="265"/>
      <w:bookmarkEnd w:id="270"/>
    </w:p>
    <w:p w14:paraId="176F8BFC">
      <w:pPr>
        <w:pStyle w:val="7"/>
        <w:rPr>
          <w:rFonts w:ascii="宋体" w:hAnsi="宋体" w:cs="宋体"/>
          <w:color w:val="000000" w:themeColor="text1"/>
          <w:sz w:val="24"/>
          <w:szCs w:val="24"/>
          <w:highlight w:val="none"/>
        </w:rPr>
      </w:pPr>
    </w:p>
    <w:p w14:paraId="02BA33E6">
      <w:pPr>
        <w:pStyle w:val="7"/>
        <w:rPr>
          <w:rFonts w:ascii="宋体" w:hAnsi="宋体" w:cs="宋体"/>
          <w:color w:val="000000" w:themeColor="text1"/>
          <w:sz w:val="24"/>
          <w:szCs w:val="24"/>
          <w:highlight w:val="none"/>
        </w:rPr>
      </w:pPr>
    </w:p>
    <w:p w14:paraId="590D9E97">
      <w:pPr>
        <w:pStyle w:val="7"/>
        <w:spacing w:line="60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（1）有效的营业执照电子文档；</w:t>
      </w:r>
    </w:p>
    <w:p w14:paraId="6C75BFAE">
      <w:pPr>
        <w:pStyle w:val="7"/>
        <w:spacing w:line="60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（2）负责人身份证电子文档。</w:t>
      </w:r>
    </w:p>
    <w:p w14:paraId="36441DC0">
      <w:pPr>
        <w:pStyle w:val="7"/>
        <w:spacing w:line="60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（3）若有委托代理人的，则还应当提供授权委托书及委托代理人的身份证电子文档；</w:t>
      </w:r>
    </w:p>
    <w:p w14:paraId="07F6132E">
      <w:pPr>
        <w:pStyle w:val="7"/>
        <w:spacing w:line="60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（4）具有良好的财务会计制度、依法缴纳税收和社会保障资金的承诺函；</w:t>
      </w:r>
    </w:p>
    <w:p w14:paraId="2F316985">
      <w:pPr>
        <w:pStyle w:val="7"/>
        <w:spacing w:line="60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（5）具有履行合同所必需设备和专业技术能力的承诺函；</w:t>
      </w:r>
    </w:p>
    <w:p w14:paraId="238FFE1B">
      <w:pPr>
        <w:pStyle w:val="7"/>
        <w:spacing w:line="60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（6）无重大违法记录声明书；</w:t>
      </w:r>
    </w:p>
    <w:p w14:paraId="26A9F952">
      <w:pPr>
        <w:pStyle w:val="7"/>
        <w:spacing w:line="60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（7）小企业声明函或监狱企业声明函或残疾人福利性企业声明函；</w:t>
      </w:r>
    </w:p>
    <w:p w14:paraId="32FFB272">
      <w:pPr>
        <w:pStyle w:val="7"/>
        <w:spacing w:line="600" w:lineRule="auto"/>
        <w:ind w:firstLine="360" w:firstLineChars="15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8</w:t>
      </w:r>
      <w:r>
        <w:rPr>
          <w:rFonts w:hint="eastAsia" w:ascii="宋体" w:hAnsi="宋体" w:cs="宋体"/>
          <w:color w:val="000000" w:themeColor="text1"/>
          <w:sz w:val="24"/>
          <w:szCs w:val="24"/>
          <w:highlight w:val="none"/>
        </w:rPr>
        <w:t>）其他。</w:t>
      </w:r>
    </w:p>
    <w:p w14:paraId="7AA262D3">
      <w:pPr>
        <w:pStyle w:val="7"/>
        <w:spacing w:line="600" w:lineRule="auto"/>
        <w:rPr>
          <w:rFonts w:ascii="宋体" w:hAnsi="宋体" w:cs="宋体"/>
          <w:color w:val="000000" w:themeColor="text1"/>
          <w:sz w:val="24"/>
          <w:szCs w:val="24"/>
          <w:highlight w:val="none"/>
        </w:rPr>
      </w:pPr>
    </w:p>
    <w:p w14:paraId="431BD429">
      <w:pPr>
        <w:pStyle w:val="7"/>
        <w:spacing w:line="360" w:lineRule="auto"/>
        <w:rPr>
          <w:rFonts w:ascii="宋体" w:hAnsi="宋体" w:cs="宋体"/>
          <w:color w:val="000000" w:themeColor="text1"/>
          <w:sz w:val="24"/>
          <w:szCs w:val="24"/>
          <w:highlight w:val="none"/>
        </w:rPr>
      </w:pPr>
    </w:p>
    <w:p w14:paraId="36770104">
      <w:pPr>
        <w:pStyle w:val="7"/>
        <w:spacing w:line="360" w:lineRule="auto"/>
        <w:rPr>
          <w:rFonts w:ascii="宋体" w:hAnsi="宋体" w:cs="宋体"/>
          <w:color w:val="000000" w:themeColor="text1"/>
          <w:sz w:val="24"/>
          <w:szCs w:val="24"/>
          <w:highlight w:val="none"/>
        </w:rPr>
      </w:pPr>
    </w:p>
    <w:p w14:paraId="3C748A88">
      <w:pPr>
        <w:pStyle w:val="7"/>
        <w:spacing w:line="360" w:lineRule="auto"/>
        <w:rPr>
          <w:rFonts w:ascii="宋体" w:hAnsi="宋体" w:cs="宋体"/>
          <w:color w:val="000000" w:themeColor="text1"/>
          <w:sz w:val="24"/>
          <w:szCs w:val="24"/>
          <w:highlight w:val="none"/>
        </w:rPr>
      </w:pPr>
    </w:p>
    <w:p w14:paraId="68F809BC">
      <w:pPr>
        <w:pStyle w:val="7"/>
        <w:spacing w:line="360" w:lineRule="auto"/>
        <w:rPr>
          <w:rFonts w:ascii="宋体" w:hAnsi="宋体" w:cs="宋体"/>
          <w:color w:val="000000" w:themeColor="text1"/>
          <w:sz w:val="24"/>
          <w:szCs w:val="24"/>
          <w:highlight w:val="none"/>
        </w:rPr>
      </w:pPr>
    </w:p>
    <w:p w14:paraId="0BC33EC7">
      <w:pPr>
        <w:pStyle w:val="7"/>
        <w:spacing w:line="360" w:lineRule="auto"/>
        <w:rPr>
          <w:rFonts w:ascii="宋体" w:hAnsi="宋体" w:cs="宋体"/>
          <w:color w:val="000000" w:themeColor="text1"/>
          <w:sz w:val="24"/>
          <w:szCs w:val="24"/>
          <w:highlight w:val="none"/>
        </w:rPr>
      </w:pPr>
    </w:p>
    <w:p w14:paraId="2417ED9B">
      <w:pPr>
        <w:pStyle w:val="7"/>
        <w:spacing w:line="360" w:lineRule="auto"/>
        <w:rPr>
          <w:rFonts w:ascii="宋体" w:hAnsi="宋体" w:cs="宋体"/>
          <w:color w:val="000000" w:themeColor="text1"/>
          <w:sz w:val="24"/>
          <w:szCs w:val="24"/>
          <w:highlight w:val="none"/>
        </w:rPr>
      </w:pPr>
    </w:p>
    <w:p w14:paraId="298E68AA">
      <w:pPr>
        <w:pStyle w:val="7"/>
        <w:spacing w:line="360" w:lineRule="auto"/>
        <w:rPr>
          <w:rFonts w:ascii="宋体" w:hAnsi="宋体" w:cs="宋体"/>
          <w:color w:val="000000" w:themeColor="text1"/>
          <w:sz w:val="24"/>
          <w:szCs w:val="24"/>
          <w:highlight w:val="none"/>
        </w:rPr>
      </w:pPr>
    </w:p>
    <w:p w14:paraId="48E527C6">
      <w:pPr>
        <w:pStyle w:val="7"/>
        <w:spacing w:line="360" w:lineRule="auto"/>
        <w:rPr>
          <w:rFonts w:ascii="宋体" w:hAnsi="宋体" w:cs="宋体"/>
          <w:color w:val="000000" w:themeColor="text1"/>
          <w:sz w:val="24"/>
          <w:szCs w:val="24"/>
          <w:highlight w:val="none"/>
        </w:rPr>
      </w:pPr>
    </w:p>
    <w:p w14:paraId="730D6566">
      <w:pPr>
        <w:pStyle w:val="7"/>
        <w:spacing w:line="360" w:lineRule="auto"/>
        <w:rPr>
          <w:rFonts w:ascii="宋体" w:hAnsi="宋体" w:cs="宋体"/>
          <w:color w:val="000000" w:themeColor="text1"/>
          <w:sz w:val="24"/>
          <w:szCs w:val="24"/>
          <w:highlight w:val="none"/>
        </w:rPr>
      </w:pPr>
    </w:p>
    <w:p w14:paraId="25EAE0C6">
      <w:pPr>
        <w:pStyle w:val="7"/>
        <w:spacing w:line="360" w:lineRule="auto"/>
        <w:rPr>
          <w:rFonts w:ascii="宋体" w:hAnsi="宋体" w:cs="宋体"/>
          <w:color w:val="000000" w:themeColor="text1"/>
          <w:sz w:val="24"/>
          <w:szCs w:val="24"/>
          <w:highlight w:val="none"/>
        </w:rPr>
      </w:pPr>
    </w:p>
    <w:p w14:paraId="30AD4CB6">
      <w:pPr>
        <w:pStyle w:val="7"/>
        <w:spacing w:line="360" w:lineRule="auto"/>
        <w:rPr>
          <w:rFonts w:ascii="宋体" w:hAnsi="宋体" w:cs="宋体"/>
          <w:color w:val="000000" w:themeColor="text1"/>
          <w:sz w:val="24"/>
          <w:szCs w:val="24"/>
          <w:highlight w:val="none"/>
        </w:rPr>
      </w:pPr>
    </w:p>
    <w:p w14:paraId="3DFEC636">
      <w:pPr>
        <w:pStyle w:val="6"/>
        <w:spacing w:before="0" w:after="0"/>
        <w:ind w:firstLine="0" w:firstLineChars="0"/>
        <w:jc w:val="left"/>
        <w:rPr>
          <w:rFonts w:ascii="宋体" w:hAnsi="宋体" w:eastAsia="宋体" w:cs="宋体"/>
          <w:color w:val="000000" w:themeColor="text1"/>
          <w:sz w:val="24"/>
          <w:szCs w:val="24"/>
          <w:highlight w:val="none"/>
        </w:rPr>
      </w:pPr>
      <w:bookmarkStart w:id="271" w:name="_Toc531359042"/>
      <w:bookmarkStart w:id="272" w:name="_Toc80973296"/>
      <w:r>
        <w:rPr>
          <w:rFonts w:hint="eastAsia" w:ascii="宋体" w:hAnsi="宋体" w:eastAsia="宋体" w:cs="宋体"/>
          <w:color w:val="000000" w:themeColor="text1"/>
          <w:sz w:val="24"/>
          <w:szCs w:val="24"/>
          <w:highlight w:val="none"/>
        </w:rPr>
        <w:t>1.3    有效营业执照电子文档</w:t>
      </w:r>
      <w:bookmarkEnd w:id="266"/>
      <w:bookmarkEnd w:id="267"/>
      <w:bookmarkEnd w:id="271"/>
      <w:bookmarkEnd w:id="272"/>
    </w:p>
    <w:p w14:paraId="485B889E">
      <w:pPr>
        <w:pStyle w:val="7"/>
        <w:ind w:firstLine="0"/>
        <w:rPr>
          <w:rFonts w:ascii="宋体" w:hAnsi="宋体" w:cs="宋体"/>
          <w:color w:val="000000" w:themeColor="text1"/>
          <w:highlight w:val="none"/>
        </w:rPr>
      </w:pPr>
    </w:p>
    <w:p w14:paraId="28F2D4DE">
      <w:pPr>
        <w:spacing w:line="360" w:lineRule="auto"/>
        <w:ind w:right="-187" w:rightChars="-89"/>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内容要求：</w:t>
      </w:r>
    </w:p>
    <w:p w14:paraId="4D04F4C0">
      <w:pPr>
        <w:spacing w:line="360" w:lineRule="auto"/>
        <w:ind w:right="-187" w:rightChars="-89"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提供有效的营业执照电子文档并加盖公司公章；事业单位的，则提供有效的《事业单位法人证书》副本电子文档并加盖单位公章；自然人的，则提供有效的身份证电子文档。</w:t>
      </w:r>
    </w:p>
    <w:p w14:paraId="498F98E7">
      <w:pPr>
        <w:spacing w:line="360" w:lineRule="auto"/>
        <w:ind w:firstLine="480" w:firstLineChars="200"/>
        <w:rPr>
          <w:rFonts w:ascii="宋体" w:hAnsi="宋体" w:cs="宋体"/>
          <w:color w:val="000000" w:themeColor="text1"/>
          <w:sz w:val="24"/>
          <w:highlight w:val="none"/>
        </w:rPr>
      </w:pPr>
    </w:p>
    <w:p w14:paraId="0A819632">
      <w:pPr>
        <w:spacing w:line="360" w:lineRule="auto"/>
        <w:rPr>
          <w:rFonts w:ascii="宋体" w:hAnsi="宋体" w:cs="宋体"/>
          <w:color w:val="000000" w:themeColor="text1"/>
          <w:sz w:val="24"/>
          <w:highlight w:val="none"/>
        </w:rPr>
      </w:pPr>
    </w:p>
    <w:p w14:paraId="1E2AA16C">
      <w:pPr>
        <w:spacing w:line="360" w:lineRule="auto"/>
        <w:rPr>
          <w:rFonts w:ascii="宋体" w:hAnsi="宋体" w:cs="宋体"/>
          <w:color w:val="000000" w:themeColor="text1"/>
          <w:sz w:val="24"/>
          <w:highlight w:val="none"/>
        </w:rPr>
      </w:pPr>
    </w:p>
    <w:p w14:paraId="55EBA410">
      <w:pPr>
        <w:pStyle w:val="6"/>
        <w:spacing w:before="0" w:after="0"/>
        <w:ind w:firstLine="0" w:firstLineChars="0"/>
        <w:jc w:val="left"/>
        <w:rPr>
          <w:rFonts w:ascii="宋体" w:hAnsi="宋体" w:eastAsia="宋体" w:cs="宋体"/>
          <w:color w:val="000000" w:themeColor="text1"/>
          <w:sz w:val="24"/>
          <w:szCs w:val="24"/>
          <w:highlight w:val="none"/>
        </w:rPr>
      </w:pPr>
      <w:bookmarkStart w:id="273" w:name="_Toc80973297"/>
      <w:bookmarkStart w:id="274" w:name="_Toc531359043"/>
      <w:r>
        <w:rPr>
          <w:rFonts w:hint="eastAsia" w:ascii="宋体" w:hAnsi="宋体" w:eastAsia="宋体" w:cs="宋体"/>
          <w:color w:val="000000" w:themeColor="text1"/>
          <w:sz w:val="24"/>
          <w:szCs w:val="24"/>
          <w:highlight w:val="none"/>
        </w:rPr>
        <w:t>1.</w:t>
      </w:r>
      <w:bookmarkEnd w:id="268"/>
      <w:bookmarkEnd w:id="269"/>
      <w:r>
        <w:rPr>
          <w:rFonts w:hint="eastAsia" w:ascii="宋体" w:hAnsi="宋体" w:eastAsia="宋体" w:cs="宋体"/>
          <w:color w:val="000000" w:themeColor="text1"/>
          <w:sz w:val="24"/>
          <w:szCs w:val="24"/>
          <w:highlight w:val="none"/>
        </w:rPr>
        <w:t>4    负责人身份证电子文档</w:t>
      </w:r>
      <w:bookmarkEnd w:id="273"/>
      <w:bookmarkEnd w:id="274"/>
    </w:p>
    <w:p w14:paraId="55A8E52F">
      <w:pPr>
        <w:pStyle w:val="7"/>
        <w:ind w:firstLine="0"/>
        <w:rPr>
          <w:rFonts w:ascii="宋体" w:hAnsi="宋体" w:cs="宋体"/>
          <w:color w:val="000000" w:themeColor="text1"/>
          <w:highlight w:val="none"/>
        </w:rPr>
      </w:pPr>
    </w:p>
    <w:p w14:paraId="732186D2">
      <w:pPr>
        <w:pStyle w:val="7"/>
        <w:ind w:firstLine="0"/>
        <w:rPr>
          <w:rFonts w:ascii="宋体" w:hAnsi="宋体" w:cs="宋体"/>
          <w:color w:val="000000" w:themeColor="text1"/>
          <w:highlight w:val="none"/>
        </w:rPr>
      </w:pPr>
    </w:p>
    <w:p w14:paraId="71D906A1">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内容要求：</w:t>
      </w:r>
    </w:p>
    <w:p w14:paraId="5F2BFFB0">
      <w:pPr>
        <w:spacing w:line="360" w:lineRule="auto"/>
        <w:ind w:firstLine="48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1、负责人身份证正、反面电子文档；</w:t>
      </w:r>
    </w:p>
    <w:p w14:paraId="240D4604">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2、若有委托代理人的，则还应当提供授权委托书及委托代理人的身份证电子文档。</w:t>
      </w:r>
    </w:p>
    <w:p w14:paraId="2944884D">
      <w:pPr>
        <w:spacing w:line="360" w:lineRule="auto"/>
        <w:ind w:firstLine="480" w:firstLineChars="200"/>
        <w:rPr>
          <w:rFonts w:ascii="宋体" w:hAnsi="宋体" w:cs="宋体"/>
          <w:color w:val="000000" w:themeColor="text1"/>
          <w:sz w:val="24"/>
          <w:highlight w:val="none"/>
        </w:rPr>
      </w:pPr>
    </w:p>
    <w:p w14:paraId="581B4EA5">
      <w:pPr>
        <w:pStyle w:val="7"/>
        <w:rPr>
          <w:rFonts w:ascii="宋体" w:hAnsi="宋体" w:cs="宋体"/>
          <w:color w:val="000000" w:themeColor="text1"/>
          <w:highlight w:val="none"/>
        </w:rPr>
        <w:sectPr>
          <w:pgSz w:w="11906" w:h="16838"/>
          <w:pgMar w:top="1418" w:right="1418" w:bottom="1418" w:left="1418" w:header="851" w:footer="851" w:gutter="0"/>
          <w:cols w:space="720" w:num="1"/>
          <w:docGrid w:linePitch="312" w:charSpace="0"/>
        </w:sectPr>
      </w:pPr>
    </w:p>
    <w:p w14:paraId="6F11E133">
      <w:pPr>
        <w:pStyle w:val="6"/>
        <w:spacing w:before="0" w:after="0"/>
        <w:ind w:firstLine="0" w:firstLineChars="0"/>
        <w:jc w:val="left"/>
        <w:rPr>
          <w:rFonts w:ascii="宋体" w:hAnsi="宋体" w:eastAsia="宋体" w:cs="宋体"/>
          <w:color w:val="000000" w:themeColor="text1"/>
          <w:sz w:val="24"/>
          <w:szCs w:val="24"/>
          <w:highlight w:val="none"/>
        </w:rPr>
      </w:pPr>
      <w:bookmarkStart w:id="275" w:name="_Toc531359044"/>
      <w:bookmarkStart w:id="276" w:name="_Toc80973298"/>
      <w:r>
        <w:rPr>
          <w:rFonts w:hint="eastAsia" w:ascii="宋体" w:hAnsi="宋体" w:eastAsia="宋体" w:cs="宋体"/>
          <w:color w:val="000000" w:themeColor="text1"/>
          <w:sz w:val="24"/>
          <w:szCs w:val="24"/>
          <w:highlight w:val="none"/>
        </w:rPr>
        <w:t>1.5    授权委托书</w:t>
      </w:r>
      <w:bookmarkEnd w:id="275"/>
      <w:r>
        <w:rPr>
          <w:rFonts w:hint="eastAsia" w:ascii="宋体" w:hAnsi="宋体" w:eastAsia="宋体" w:cs="宋体"/>
          <w:color w:val="000000" w:themeColor="text1"/>
          <w:sz w:val="24"/>
          <w:szCs w:val="24"/>
          <w:highlight w:val="none"/>
        </w:rPr>
        <w:t>格式</w:t>
      </w:r>
      <w:bookmarkEnd w:id="276"/>
    </w:p>
    <w:p w14:paraId="3526BEB1">
      <w:pPr>
        <w:pStyle w:val="7"/>
        <w:ind w:firstLine="0"/>
        <w:rPr>
          <w:rFonts w:ascii="宋体" w:hAnsi="宋体" w:cs="宋体"/>
          <w:color w:val="000000" w:themeColor="text1"/>
          <w:highlight w:val="none"/>
        </w:rPr>
      </w:pPr>
    </w:p>
    <w:p w14:paraId="100D5AB9">
      <w:pPr>
        <w:pStyle w:val="7"/>
        <w:spacing w:line="360" w:lineRule="auto"/>
        <w:ind w:firstLine="0"/>
        <w:jc w:val="center"/>
        <w:rPr>
          <w:rFonts w:ascii="宋体" w:hAnsi="宋体" w:cs="宋体"/>
          <w:b/>
          <w:color w:val="000000" w:themeColor="text1"/>
          <w:sz w:val="32"/>
          <w:szCs w:val="32"/>
          <w:highlight w:val="none"/>
        </w:rPr>
      </w:pPr>
      <w:r>
        <w:rPr>
          <w:rFonts w:hint="eastAsia" w:ascii="宋体" w:hAnsi="宋体" w:cs="宋体"/>
          <w:b/>
          <w:color w:val="000000" w:themeColor="text1"/>
          <w:sz w:val="32"/>
          <w:szCs w:val="32"/>
          <w:highlight w:val="none"/>
        </w:rPr>
        <w:t>授权委托书</w:t>
      </w:r>
    </w:p>
    <w:p w14:paraId="5BF02F79">
      <w:pPr>
        <w:pStyle w:val="188"/>
        <w:spacing w:line="360" w:lineRule="auto"/>
        <w:rPr>
          <w:rFonts w:ascii="宋体" w:hAnsi="宋体" w:cs="宋体"/>
          <w:b/>
          <w:color w:val="000000" w:themeColor="text1"/>
          <w:sz w:val="24"/>
          <w:szCs w:val="21"/>
          <w:highlight w:val="none"/>
        </w:rPr>
      </w:pPr>
      <w:r>
        <w:rPr>
          <w:rFonts w:hint="eastAsia" w:ascii="宋体" w:hAnsi="宋体" w:cs="宋体"/>
          <w:i/>
          <w:color w:val="000000" w:themeColor="text1"/>
          <w:spacing w:val="6"/>
          <w:sz w:val="24"/>
          <w:szCs w:val="20"/>
          <w:highlight w:val="none"/>
          <w:u w:val="single"/>
        </w:rPr>
        <w:t>（采购人名称）</w:t>
      </w:r>
      <w:r>
        <w:rPr>
          <w:rFonts w:hint="eastAsia" w:ascii="宋体" w:hAnsi="宋体" w:cs="宋体"/>
          <w:color w:val="000000" w:themeColor="text1"/>
          <w:sz w:val="24"/>
          <w:szCs w:val="21"/>
          <w:highlight w:val="none"/>
        </w:rPr>
        <w:t>：</w:t>
      </w:r>
    </w:p>
    <w:p w14:paraId="4E17A1F3">
      <w:pPr>
        <w:pStyle w:val="188"/>
        <w:autoSpaceDE w:val="0"/>
        <w:autoSpaceDN w:val="0"/>
        <w:spacing w:line="360" w:lineRule="auto"/>
        <w:ind w:firstLine="480" w:firstLineChars="200"/>
        <w:textAlignment w:val="bottom"/>
        <w:rPr>
          <w:rFonts w:ascii="宋体" w:hAnsi="宋体" w:cs="宋体"/>
          <w:color w:val="000000" w:themeColor="text1"/>
          <w:sz w:val="24"/>
          <w:szCs w:val="20"/>
          <w:highlight w:val="none"/>
        </w:rPr>
      </w:pPr>
      <w:r>
        <w:rPr>
          <w:rFonts w:hint="eastAsia" w:ascii="宋体" w:hAnsi="宋体" w:cs="宋体"/>
          <w:color w:val="000000" w:themeColor="text1"/>
          <w:sz w:val="24"/>
          <w:szCs w:val="20"/>
          <w:highlight w:val="none"/>
        </w:rPr>
        <w:t>我</w:t>
      </w:r>
      <w:r>
        <w:rPr>
          <w:rFonts w:hint="eastAsia" w:ascii="宋体" w:hAnsi="宋体" w:cs="宋体"/>
          <w:i/>
          <w:color w:val="000000" w:themeColor="text1"/>
          <w:sz w:val="24"/>
          <w:szCs w:val="20"/>
          <w:highlight w:val="none"/>
          <w:u w:val="single"/>
        </w:rPr>
        <w:t>法定代表人（负责人）</w:t>
      </w:r>
      <w:r>
        <w:rPr>
          <w:rFonts w:hint="eastAsia" w:ascii="宋体" w:hAnsi="宋体" w:cs="宋体"/>
          <w:color w:val="000000" w:themeColor="text1"/>
          <w:sz w:val="24"/>
          <w:szCs w:val="20"/>
          <w:highlight w:val="none"/>
        </w:rPr>
        <w:t>系</w:t>
      </w:r>
      <w:r>
        <w:rPr>
          <w:rFonts w:hint="eastAsia" w:ascii="宋体" w:hAnsi="宋体" w:cs="宋体"/>
          <w:i/>
          <w:color w:val="000000" w:themeColor="text1"/>
          <w:sz w:val="24"/>
          <w:szCs w:val="20"/>
          <w:highlight w:val="none"/>
          <w:u w:val="single"/>
        </w:rPr>
        <w:t>（供应商全称）</w:t>
      </w:r>
      <w:r>
        <w:rPr>
          <w:rFonts w:hint="eastAsia" w:ascii="宋体" w:hAnsi="宋体" w:cs="宋体"/>
          <w:color w:val="000000" w:themeColor="text1"/>
          <w:sz w:val="24"/>
          <w:szCs w:val="20"/>
          <w:highlight w:val="none"/>
        </w:rPr>
        <w:t>的法定代表人（或负责人），现授权委托本单位在职职工</w:t>
      </w:r>
      <w:r>
        <w:rPr>
          <w:rFonts w:hint="eastAsia" w:ascii="宋体" w:hAnsi="宋体" w:cs="宋体"/>
          <w:i/>
          <w:color w:val="000000" w:themeColor="text1"/>
          <w:sz w:val="24"/>
          <w:szCs w:val="20"/>
          <w:highlight w:val="none"/>
          <w:u w:val="single"/>
        </w:rPr>
        <w:t>（姓名）</w:t>
      </w:r>
      <w:r>
        <w:rPr>
          <w:rFonts w:hint="eastAsia" w:ascii="宋体" w:hAnsi="宋体" w:cs="宋体"/>
          <w:color w:val="000000" w:themeColor="text1"/>
          <w:sz w:val="24"/>
          <w:szCs w:val="20"/>
          <w:highlight w:val="none"/>
        </w:rPr>
        <w:t>以我方的名义参加就贵方组织的</w:t>
      </w:r>
      <w:r>
        <w:rPr>
          <w:rFonts w:hint="eastAsia" w:ascii="宋体" w:hAnsi="宋体" w:cs="宋体"/>
          <w:i/>
          <w:color w:val="000000" w:themeColor="text1"/>
          <w:sz w:val="24"/>
          <w:szCs w:val="21"/>
          <w:highlight w:val="none"/>
          <w:u w:val="single"/>
        </w:rPr>
        <w:t>（项目名称）（项目编号）</w:t>
      </w:r>
      <w:r>
        <w:rPr>
          <w:rFonts w:hint="eastAsia" w:ascii="宋体" w:hAnsi="宋体" w:cs="宋体"/>
          <w:color w:val="000000" w:themeColor="text1"/>
          <w:sz w:val="24"/>
          <w:szCs w:val="20"/>
          <w:highlight w:val="none"/>
        </w:rPr>
        <w:t>的磋商活动，并代表我方全权办理针对上述项目的磋商、开标、评审、签约等具体事务和签署相关文件。</w:t>
      </w:r>
    </w:p>
    <w:p w14:paraId="55BFFC48">
      <w:pPr>
        <w:pStyle w:val="188"/>
        <w:autoSpaceDE w:val="0"/>
        <w:autoSpaceDN w:val="0"/>
        <w:spacing w:line="360" w:lineRule="auto"/>
        <w:ind w:firstLine="480" w:firstLineChars="200"/>
        <w:textAlignment w:val="bottom"/>
        <w:rPr>
          <w:rFonts w:ascii="宋体" w:hAnsi="宋体" w:cs="宋体"/>
          <w:color w:val="000000" w:themeColor="text1"/>
          <w:sz w:val="24"/>
          <w:szCs w:val="20"/>
          <w:highlight w:val="none"/>
        </w:rPr>
      </w:pPr>
      <w:r>
        <w:rPr>
          <w:rFonts w:hint="eastAsia" w:ascii="宋体" w:hAnsi="宋体" w:cs="宋体"/>
          <w:color w:val="000000" w:themeColor="text1"/>
          <w:sz w:val="24"/>
          <w:szCs w:val="20"/>
          <w:highlight w:val="none"/>
        </w:rPr>
        <w:t>我方对委托代理人的签字或盖章事项负全部责任。</w:t>
      </w:r>
    </w:p>
    <w:p w14:paraId="64B24FE5">
      <w:pPr>
        <w:pStyle w:val="188"/>
        <w:spacing w:line="360" w:lineRule="auto"/>
        <w:ind w:firstLine="480"/>
        <w:rPr>
          <w:rFonts w:ascii="宋体" w:hAnsi="宋体" w:cs="宋体"/>
          <w:color w:val="000000" w:themeColor="text1"/>
          <w:sz w:val="24"/>
          <w:szCs w:val="21"/>
          <w:highlight w:val="none"/>
        </w:rPr>
      </w:pPr>
      <w:r>
        <w:rPr>
          <w:rFonts w:hint="eastAsia" w:ascii="宋体" w:hAnsi="宋体" w:cs="宋体"/>
          <w:color w:val="000000" w:themeColor="text1"/>
          <w:sz w:val="24"/>
          <w:szCs w:val="21"/>
          <w:highlight w:val="none"/>
        </w:rPr>
        <w:t>本授权书自签署之日起生效，在撤销授权的书面通知送达贵方以前，本授权委托书一直有效。委托代理人在授权书有效期内签署的所有文件不因授权的撤销而失效。</w:t>
      </w:r>
    </w:p>
    <w:p w14:paraId="79228A1B">
      <w:pPr>
        <w:pStyle w:val="188"/>
        <w:spacing w:line="360" w:lineRule="auto"/>
        <w:ind w:firstLine="480"/>
        <w:rPr>
          <w:rFonts w:ascii="宋体" w:hAnsi="宋体" w:cs="宋体"/>
          <w:color w:val="000000" w:themeColor="text1"/>
          <w:sz w:val="24"/>
          <w:szCs w:val="21"/>
          <w:highlight w:val="none"/>
        </w:rPr>
      </w:pPr>
      <w:r>
        <w:rPr>
          <w:rFonts w:hint="eastAsia" w:ascii="宋体" w:hAnsi="宋体" w:cs="宋体"/>
          <w:color w:val="000000" w:themeColor="text1"/>
          <w:sz w:val="24"/>
          <w:szCs w:val="21"/>
          <w:highlight w:val="none"/>
        </w:rPr>
        <w:t>委托代理人无转委托权，特此声明。</w:t>
      </w:r>
    </w:p>
    <w:p w14:paraId="4755B509">
      <w:pPr>
        <w:pStyle w:val="188"/>
        <w:spacing w:line="360" w:lineRule="auto"/>
        <w:ind w:firstLine="480"/>
        <w:rPr>
          <w:rFonts w:ascii="宋体" w:hAnsi="宋体" w:cs="宋体"/>
          <w:color w:val="000000" w:themeColor="text1"/>
          <w:sz w:val="24"/>
          <w:szCs w:val="21"/>
          <w:highlight w:val="none"/>
        </w:rPr>
      </w:pPr>
    </w:p>
    <w:p w14:paraId="2D16B7C8">
      <w:pPr>
        <w:pStyle w:val="188"/>
        <w:wordWrap w:val="0"/>
        <w:spacing w:line="360" w:lineRule="auto"/>
        <w:ind w:firstLine="480"/>
        <w:jc w:val="right"/>
        <w:rPr>
          <w:rFonts w:ascii="宋体" w:hAnsi="宋体" w:cs="宋体"/>
          <w:color w:val="000000" w:themeColor="text1"/>
          <w:sz w:val="24"/>
          <w:szCs w:val="21"/>
          <w:highlight w:val="none"/>
          <w:u w:val="single"/>
        </w:rPr>
      </w:pPr>
    </w:p>
    <w:p w14:paraId="61BFAEC6">
      <w:pPr>
        <w:pStyle w:val="188"/>
        <w:wordWrap w:val="0"/>
        <w:spacing w:line="360" w:lineRule="auto"/>
        <w:ind w:firstLine="480"/>
        <w:jc w:val="right"/>
        <w:rPr>
          <w:rFonts w:ascii="宋体" w:hAnsi="宋体" w:cs="宋体"/>
          <w:color w:val="000000" w:themeColor="text1"/>
          <w:sz w:val="24"/>
          <w:szCs w:val="21"/>
          <w:highlight w:val="none"/>
          <w:u w:val="single"/>
        </w:rPr>
      </w:pPr>
      <w:r>
        <w:rPr>
          <w:rFonts w:hint="eastAsia" w:ascii="宋体" w:hAnsi="宋体" w:cs="宋体"/>
          <w:color w:val="000000" w:themeColor="text1"/>
          <w:sz w:val="24"/>
          <w:szCs w:val="21"/>
          <w:highlight w:val="none"/>
        </w:rPr>
        <w:t>供应商盖章：</w:t>
      </w:r>
    </w:p>
    <w:p w14:paraId="2D021514">
      <w:pPr>
        <w:pStyle w:val="188"/>
        <w:wordWrap w:val="0"/>
        <w:spacing w:line="360" w:lineRule="auto"/>
        <w:ind w:firstLine="480"/>
        <w:jc w:val="right"/>
        <w:rPr>
          <w:rFonts w:ascii="宋体" w:hAnsi="宋体" w:cs="宋体"/>
          <w:color w:val="000000" w:themeColor="text1"/>
          <w:sz w:val="24"/>
          <w:szCs w:val="21"/>
          <w:highlight w:val="none"/>
          <w:u w:val="single"/>
        </w:rPr>
      </w:pPr>
      <w:r>
        <w:rPr>
          <w:rFonts w:hint="eastAsia" w:ascii="宋体" w:hAnsi="宋体" w:cs="宋体"/>
          <w:color w:val="000000" w:themeColor="text1"/>
          <w:sz w:val="24"/>
          <w:szCs w:val="21"/>
          <w:highlight w:val="none"/>
        </w:rPr>
        <w:t>日      期：</w:t>
      </w:r>
    </w:p>
    <w:p w14:paraId="3B14134C">
      <w:pPr>
        <w:pStyle w:val="188"/>
        <w:spacing w:line="440" w:lineRule="exact"/>
        <w:rPr>
          <w:rFonts w:ascii="宋体" w:hAnsi="宋体" w:cs="宋体"/>
          <w:color w:val="000000" w:themeColor="text1"/>
          <w:sz w:val="24"/>
          <w:szCs w:val="21"/>
          <w:highlight w:val="none"/>
        </w:rPr>
      </w:pPr>
      <w:r>
        <w:rPr>
          <w:rFonts w:ascii="宋体" w:hAnsi="宋体" w:cs="宋体"/>
          <w:color w:val="000000" w:themeColor="text1"/>
          <w:sz w:val="24"/>
          <w:szCs w:val="21"/>
          <w:highlight w:val="none"/>
        </w:rPr>
        <w:pict>
          <v:shape id="AutoShape 2" o:spid="_x0000_s2051" o:spt="32" type="#_x0000_t32" style="position:absolute;left:0pt;margin-left:-16.5pt;margin-top:10.5pt;height:0pt;width:477.75pt;z-index:251659264;mso-width-relative:page;mso-height-relative:page;" filled="f"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Qwsg2AAAAAkB&#10;AAAPAAAAAAAAAAEAIAAAACIAAABkcnMvZG93bnJldi54bWxQSwECFAAUAAAACACHTuJA/+veROIB&#10;AADaAwAADgAAAAAAAAABACAAAAAnAQAAZHJzL2Uyb0RvYy54bWxQSwUGAAAAAAYABgBZAQAAewUA&#10;AAAA&#10;">
            <v:path arrowok="t"/>
            <v:fill on="f" focussize="0,0"/>
            <v:stroke dashstyle="longDash"/>
            <v:imagedata o:title=""/>
            <o:lock v:ext="edit"/>
          </v:shape>
        </w:pict>
      </w:r>
    </w:p>
    <w:p w14:paraId="691543ED">
      <w:pPr>
        <w:pStyle w:val="188"/>
        <w:spacing w:line="440" w:lineRule="exact"/>
        <w:rPr>
          <w:rFonts w:ascii="宋体" w:hAnsi="宋体" w:cs="宋体"/>
          <w:color w:val="000000" w:themeColor="text1"/>
          <w:sz w:val="24"/>
          <w:szCs w:val="21"/>
          <w:highlight w:val="none"/>
        </w:rPr>
      </w:pPr>
      <w:r>
        <w:rPr>
          <w:rFonts w:hint="eastAsia" w:ascii="宋体" w:hAnsi="宋体" w:cs="宋体"/>
          <w:color w:val="000000" w:themeColor="text1"/>
          <w:sz w:val="24"/>
          <w:szCs w:val="21"/>
          <w:highlight w:val="none"/>
        </w:rPr>
        <w:t>附：1、委托代理人工作单位：</w:t>
      </w:r>
      <w:r>
        <w:rPr>
          <w:rFonts w:hint="eastAsia" w:ascii="宋体" w:hAnsi="宋体" w:cs="宋体"/>
          <w:color w:val="000000" w:themeColor="text1"/>
          <w:sz w:val="24"/>
          <w:szCs w:val="21"/>
          <w:highlight w:val="none"/>
        </w:rPr>
        <w:tab/>
      </w:r>
      <w:r>
        <w:rPr>
          <w:rFonts w:hint="eastAsia" w:ascii="宋体" w:hAnsi="宋体" w:cs="宋体"/>
          <w:color w:val="000000" w:themeColor="text1"/>
          <w:sz w:val="24"/>
          <w:szCs w:val="21"/>
          <w:highlight w:val="none"/>
        </w:rPr>
        <w:tab/>
      </w:r>
      <w:r>
        <w:rPr>
          <w:rFonts w:hint="eastAsia" w:ascii="宋体" w:hAnsi="宋体" w:cs="宋体"/>
          <w:color w:val="000000" w:themeColor="text1"/>
          <w:sz w:val="24"/>
          <w:szCs w:val="21"/>
          <w:highlight w:val="none"/>
        </w:rPr>
        <w:tab/>
      </w:r>
      <w:r>
        <w:rPr>
          <w:rFonts w:hint="eastAsia" w:ascii="宋体" w:hAnsi="宋体" w:cs="宋体"/>
          <w:color w:val="000000" w:themeColor="text1"/>
          <w:sz w:val="24"/>
          <w:szCs w:val="21"/>
          <w:highlight w:val="none"/>
        </w:rPr>
        <w:tab/>
      </w:r>
      <w:r>
        <w:rPr>
          <w:rFonts w:hint="eastAsia" w:ascii="宋体" w:hAnsi="宋体" w:cs="宋体"/>
          <w:color w:val="000000" w:themeColor="text1"/>
          <w:sz w:val="24"/>
          <w:szCs w:val="21"/>
          <w:highlight w:val="none"/>
        </w:rPr>
        <w:tab/>
      </w:r>
      <w:r>
        <w:rPr>
          <w:rFonts w:hint="eastAsia" w:ascii="宋体" w:hAnsi="宋体" w:cs="宋体"/>
          <w:color w:val="000000" w:themeColor="text1"/>
          <w:sz w:val="24"/>
          <w:szCs w:val="21"/>
          <w:highlight w:val="none"/>
        </w:rPr>
        <w:t xml:space="preserve">职务： </w:t>
      </w:r>
    </w:p>
    <w:p w14:paraId="3CA3FAEC">
      <w:pPr>
        <w:pStyle w:val="188"/>
        <w:spacing w:line="440" w:lineRule="exact"/>
        <w:ind w:firstLine="480"/>
        <w:rPr>
          <w:rFonts w:ascii="宋体" w:hAnsi="宋体" w:cs="宋体"/>
          <w:color w:val="000000" w:themeColor="text1"/>
          <w:sz w:val="24"/>
          <w:szCs w:val="21"/>
          <w:highlight w:val="none"/>
        </w:rPr>
      </w:pPr>
      <w:r>
        <w:rPr>
          <w:rFonts w:hint="eastAsia" w:ascii="宋体" w:hAnsi="宋体" w:cs="宋体"/>
          <w:color w:val="000000" w:themeColor="text1"/>
          <w:sz w:val="24"/>
          <w:szCs w:val="21"/>
          <w:highlight w:val="none"/>
        </w:rPr>
        <w:t xml:space="preserve">   身份证号码：　　　　　　　　　　</w:t>
      </w:r>
      <w:r>
        <w:rPr>
          <w:rFonts w:hint="eastAsia" w:ascii="宋体" w:hAnsi="宋体" w:cs="宋体"/>
          <w:color w:val="000000" w:themeColor="text1"/>
          <w:sz w:val="24"/>
          <w:szCs w:val="21"/>
          <w:highlight w:val="none"/>
        </w:rPr>
        <w:tab/>
      </w:r>
      <w:r>
        <w:rPr>
          <w:rFonts w:hint="eastAsia" w:ascii="宋体" w:hAnsi="宋体" w:cs="宋体"/>
          <w:color w:val="000000" w:themeColor="text1"/>
          <w:sz w:val="24"/>
          <w:szCs w:val="21"/>
          <w:highlight w:val="none"/>
        </w:rPr>
        <w:t xml:space="preserve">性别： </w:t>
      </w:r>
    </w:p>
    <w:p w14:paraId="45425E9B">
      <w:pPr>
        <w:pStyle w:val="188"/>
        <w:spacing w:line="440" w:lineRule="exact"/>
        <w:ind w:firstLine="480"/>
        <w:rPr>
          <w:rFonts w:ascii="宋体" w:hAnsi="宋体" w:cs="宋体"/>
          <w:color w:val="000000" w:themeColor="text1"/>
          <w:spacing w:val="20"/>
          <w:sz w:val="24"/>
          <w:highlight w:val="none"/>
          <w:u w:val="single"/>
        </w:rPr>
      </w:pPr>
      <w:r>
        <w:rPr>
          <w:rFonts w:hint="eastAsia" w:ascii="宋体" w:hAnsi="宋体" w:cs="宋体"/>
          <w:color w:val="000000" w:themeColor="text1"/>
          <w:sz w:val="24"/>
          <w:szCs w:val="21"/>
          <w:highlight w:val="none"/>
        </w:rPr>
        <w:t>2、</w:t>
      </w:r>
      <w:r>
        <w:rPr>
          <w:rFonts w:hint="eastAsia" w:ascii="宋体" w:hAnsi="宋体" w:cs="宋体"/>
          <w:bCs/>
          <w:color w:val="000000" w:themeColor="text1"/>
          <w:sz w:val="24"/>
          <w:highlight w:val="none"/>
        </w:rPr>
        <w:t>委托代理人身份证正、反面电子文档：</w:t>
      </w:r>
    </w:p>
    <w:tbl>
      <w:tblPr>
        <w:tblStyle w:val="46"/>
        <w:tblW w:w="9242" w:type="dxa"/>
        <w:tblInd w:w="0" w:type="dxa"/>
        <w:tblLayout w:type="fixed"/>
        <w:tblCellMar>
          <w:top w:w="0" w:type="dxa"/>
          <w:left w:w="108" w:type="dxa"/>
          <w:bottom w:w="0" w:type="dxa"/>
          <w:right w:w="108" w:type="dxa"/>
        </w:tblCellMar>
      </w:tblPr>
      <w:tblGrid>
        <w:gridCol w:w="4621"/>
        <w:gridCol w:w="4621"/>
      </w:tblGrid>
      <w:tr w14:paraId="3EE5E9E8">
        <w:tblPrEx>
          <w:tblCellMar>
            <w:top w:w="0" w:type="dxa"/>
            <w:left w:w="108" w:type="dxa"/>
            <w:bottom w:w="0" w:type="dxa"/>
            <w:right w:w="108" w:type="dxa"/>
          </w:tblCellMar>
        </w:tblPrEx>
        <w:trPr>
          <w:trHeight w:val="2733" w:hRule="atLeast"/>
        </w:trPr>
        <w:tc>
          <w:tcPr>
            <w:tcW w:w="4621" w:type="dxa"/>
          </w:tcPr>
          <w:p w14:paraId="71D52155">
            <w:pPr>
              <w:pStyle w:val="188"/>
              <w:spacing w:line="440" w:lineRule="exact"/>
              <w:rPr>
                <w:rFonts w:ascii="宋体" w:hAnsi="宋体" w:cs="宋体"/>
                <w:color w:val="000000" w:themeColor="text1"/>
                <w:spacing w:val="20"/>
                <w:sz w:val="24"/>
                <w:highlight w:val="none"/>
              </w:rPr>
            </w:pPr>
            <w:r>
              <w:rPr>
                <w:rFonts w:hint="eastAsia" w:ascii="宋体" w:hAnsi="宋体" w:cs="宋体"/>
                <w:color w:val="000000" w:themeColor="text1"/>
                <w:spacing w:val="20"/>
                <w:sz w:val="24"/>
                <w:highlight w:val="none"/>
              </w:rPr>
              <w:t>正面：</w:t>
            </w:r>
          </w:p>
          <w:p w14:paraId="2603C826">
            <w:pPr>
              <w:pStyle w:val="188"/>
              <w:spacing w:line="440" w:lineRule="exact"/>
              <w:rPr>
                <w:rFonts w:ascii="宋体" w:hAnsi="宋体" w:cs="宋体"/>
                <w:color w:val="000000" w:themeColor="text1"/>
                <w:spacing w:val="20"/>
                <w:sz w:val="24"/>
                <w:highlight w:val="none"/>
              </w:rPr>
            </w:pPr>
          </w:p>
        </w:tc>
        <w:tc>
          <w:tcPr>
            <w:tcW w:w="4621" w:type="dxa"/>
          </w:tcPr>
          <w:p w14:paraId="3102D798">
            <w:pPr>
              <w:pStyle w:val="188"/>
              <w:spacing w:line="440" w:lineRule="exact"/>
              <w:rPr>
                <w:rFonts w:ascii="宋体" w:hAnsi="宋体" w:cs="宋体"/>
                <w:color w:val="000000" w:themeColor="text1"/>
                <w:spacing w:val="20"/>
                <w:sz w:val="24"/>
                <w:highlight w:val="none"/>
              </w:rPr>
            </w:pPr>
            <w:r>
              <w:rPr>
                <w:rFonts w:hint="eastAsia" w:ascii="宋体" w:hAnsi="宋体" w:cs="宋体"/>
                <w:color w:val="000000" w:themeColor="text1"/>
                <w:spacing w:val="20"/>
                <w:sz w:val="24"/>
                <w:highlight w:val="none"/>
              </w:rPr>
              <w:t>反面：</w:t>
            </w:r>
          </w:p>
          <w:p w14:paraId="3857B46A">
            <w:pPr>
              <w:pStyle w:val="188"/>
              <w:spacing w:line="440" w:lineRule="exact"/>
              <w:rPr>
                <w:rFonts w:ascii="宋体" w:hAnsi="宋体" w:cs="宋体"/>
                <w:color w:val="000000" w:themeColor="text1"/>
                <w:spacing w:val="20"/>
                <w:sz w:val="24"/>
                <w:highlight w:val="none"/>
                <w:u w:val="single"/>
              </w:rPr>
            </w:pPr>
          </w:p>
        </w:tc>
      </w:tr>
    </w:tbl>
    <w:p w14:paraId="5879A8C5">
      <w:pPr>
        <w:pStyle w:val="188"/>
        <w:ind w:left="860" w:leftChars="8" w:hanging="843" w:hangingChars="350"/>
        <w:rPr>
          <w:rFonts w:ascii="宋体" w:hAnsi="宋体" w:cs="宋体"/>
          <w:color w:val="000000" w:themeColor="text1"/>
          <w:sz w:val="24"/>
          <w:szCs w:val="21"/>
          <w:highlight w:val="none"/>
        </w:rPr>
      </w:pPr>
      <w:r>
        <w:rPr>
          <w:rFonts w:hint="eastAsia" w:ascii="宋体" w:hAnsi="宋体" w:cs="宋体"/>
          <w:b/>
          <w:color w:val="000000" w:themeColor="text1"/>
          <w:sz w:val="24"/>
          <w:szCs w:val="21"/>
          <w:highlight w:val="none"/>
        </w:rPr>
        <w:t>注：</w:t>
      </w:r>
      <w:r>
        <w:rPr>
          <w:rFonts w:hint="eastAsia" w:ascii="宋体" w:hAnsi="宋体" w:cs="宋体"/>
          <w:color w:val="000000" w:themeColor="text1"/>
          <w:sz w:val="24"/>
          <w:szCs w:val="21"/>
          <w:highlight w:val="none"/>
        </w:rPr>
        <w:t>1. 供应商为法人企业的，其负责人为其法定代表人；供应商为其他组织的，其负责人为法律、行政法规规定代表单位行使职权的主要负责人；供应商为自然人的，其负责人为自然人本人。</w:t>
      </w:r>
    </w:p>
    <w:p w14:paraId="76DF77C0">
      <w:pPr>
        <w:pStyle w:val="188"/>
        <w:ind w:left="525" w:leftChars="250"/>
        <w:rPr>
          <w:rFonts w:ascii="宋体" w:hAnsi="宋体" w:cs="宋体"/>
          <w:color w:val="000000" w:themeColor="text1"/>
          <w:sz w:val="24"/>
          <w:szCs w:val="21"/>
          <w:highlight w:val="none"/>
        </w:rPr>
      </w:pPr>
      <w:r>
        <w:rPr>
          <w:rFonts w:hint="eastAsia" w:ascii="宋体" w:hAnsi="宋体" w:cs="宋体"/>
          <w:color w:val="000000" w:themeColor="text1"/>
          <w:sz w:val="24"/>
          <w:szCs w:val="21"/>
          <w:highlight w:val="none"/>
        </w:rPr>
        <w:t>2. 若是负责人参会的，不需要提供此授权委托书。</w:t>
      </w:r>
    </w:p>
    <w:p w14:paraId="783F0F58">
      <w:pPr>
        <w:pStyle w:val="188"/>
        <w:ind w:left="525" w:leftChars="250"/>
        <w:rPr>
          <w:rFonts w:ascii="宋体" w:hAnsi="宋体" w:cs="宋体"/>
          <w:color w:val="000000" w:themeColor="text1"/>
          <w:highlight w:val="none"/>
        </w:rPr>
      </w:pPr>
    </w:p>
    <w:p w14:paraId="50C91A9E">
      <w:pPr>
        <w:rPr>
          <w:rFonts w:ascii="宋体" w:hAnsi="宋体" w:cs="宋体"/>
          <w:color w:val="000000" w:themeColor="text1"/>
          <w:highlight w:val="none"/>
        </w:rPr>
        <w:sectPr>
          <w:pgSz w:w="11906" w:h="16838"/>
          <w:pgMar w:top="1418" w:right="1418" w:bottom="1418" w:left="1418" w:header="851" w:footer="851" w:gutter="0"/>
          <w:cols w:space="720" w:num="1"/>
          <w:docGrid w:linePitch="312" w:charSpace="0"/>
        </w:sectPr>
      </w:pPr>
    </w:p>
    <w:p w14:paraId="4D0513D9">
      <w:pPr>
        <w:pStyle w:val="6"/>
        <w:spacing w:before="0" w:after="0"/>
        <w:ind w:firstLine="0" w:firstLineChars="0"/>
        <w:jc w:val="left"/>
        <w:rPr>
          <w:rFonts w:ascii="宋体" w:hAnsi="宋体" w:eastAsia="宋体" w:cs="宋体"/>
          <w:color w:val="000000" w:themeColor="text1"/>
          <w:sz w:val="24"/>
          <w:szCs w:val="24"/>
          <w:highlight w:val="none"/>
        </w:rPr>
      </w:pPr>
      <w:bookmarkStart w:id="277" w:name="_Toc530551879"/>
      <w:bookmarkStart w:id="278" w:name="_Toc493956054"/>
      <w:bookmarkStart w:id="279" w:name="_Toc531359045"/>
      <w:bookmarkStart w:id="280" w:name="_Toc60739036"/>
      <w:bookmarkStart w:id="281" w:name="_Toc80973299"/>
      <w:r>
        <w:rPr>
          <w:rFonts w:hint="eastAsia" w:ascii="宋体" w:hAnsi="宋体" w:eastAsia="宋体" w:cs="宋体"/>
          <w:color w:val="000000" w:themeColor="text1"/>
          <w:sz w:val="24"/>
          <w:szCs w:val="24"/>
          <w:highlight w:val="none"/>
        </w:rPr>
        <w:t xml:space="preserve">1.6    </w:t>
      </w:r>
      <w:bookmarkEnd w:id="277"/>
      <w:bookmarkEnd w:id="278"/>
      <w:bookmarkEnd w:id="279"/>
      <w:r>
        <w:rPr>
          <w:rFonts w:hint="eastAsia" w:ascii="宋体" w:hAnsi="宋体" w:eastAsia="宋体" w:cs="宋体"/>
          <w:color w:val="000000" w:themeColor="text1"/>
          <w:sz w:val="24"/>
          <w:szCs w:val="24"/>
          <w:highlight w:val="none"/>
        </w:rPr>
        <w:t>具有良好的财务会计制度、依法缴纳税收和社会保障资金的承诺函格式</w:t>
      </w:r>
      <w:bookmarkEnd w:id="280"/>
      <w:bookmarkEnd w:id="281"/>
    </w:p>
    <w:p w14:paraId="3DB92CC3">
      <w:pPr>
        <w:pStyle w:val="7"/>
        <w:spacing w:line="360" w:lineRule="auto"/>
        <w:ind w:firstLine="0"/>
        <w:rPr>
          <w:rFonts w:ascii="宋体" w:hAnsi="宋体" w:cs="宋体"/>
          <w:color w:val="000000" w:themeColor="text1"/>
          <w:highlight w:val="none"/>
        </w:rPr>
      </w:pPr>
    </w:p>
    <w:p w14:paraId="2B30BB6A">
      <w:pPr>
        <w:pStyle w:val="7"/>
        <w:ind w:left="630" w:leftChars="300" w:right="630" w:rightChars="300" w:firstLine="0"/>
        <w:jc w:val="center"/>
        <w:rPr>
          <w:rFonts w:ascii="宋体" w:hAnsi="宋体" w:cs="宋体"/>
          <w:b/>
          <w:color w:val="000000" w:themeColor="text1"/>
          <w:sz w:val="32"/>
          <w:szCs w:val="32"/>
          <w:highlight w:val="none"/>
        </w:rPr>
      </w:pPr>
      <w:r>
        <w:rPr>
          <w:rFonts w:hint="eastAsia" w:ascii="宋体" w:hAnsi="宋体" w:cs="宋体"/>
          <w:b/>
          <w:color w:val="000000" w:themeColor="text1"/>
          <w:sz w:val="32"/>
          <w:szCs w:val="32"/>
          <w:highlight w:val="none"/>
        </w:rPr>
        <w:t>具有良好的财务会计制度、依法缴纳税收和社会保障资金的承诺函</w:t>
      </w:r>
    </w:p>
    <w:p w14:paraId="6A66CB0A">
      <w:pPr>
        <w:pStyle w:val="199"/>
        <w:spacing w:line="360" w:lineRule="auto"/>
        <w:rPr>
          <w:rFonts w:ascii="宋体" w:hAnsi="宋体" w:cs="宋体"/>
          <w:color w:val="000000" w:themeColor="text1"/>
          <w:sz w:val="24"/>
          <w:highlight w:val="none"/>
          <w:u w:val="single"/>
        </w:rPr>
      </w:pPr>
    </w:p>
    <w:p w14:paraId="126E529A">
      <w:pPr>
        <w:pStyle w:val="199"/>
        <w:spacing w:line="360" w:lineRule="auto"/>
        <w:rPr>
          <w:rFonts w:ascii="宋体" w:hAnsi="宋体" w:cs="宋体"/>
          <w:color w:val="000000" w:themeColor="text1"/>
          <w:spacing w:val="6"/>
          <w:sz w:val="24"/>
          <w:highlight w:val="none"/>
        </w:rPr>
      </w:pPr>
      <w:r>
        <w:rPr>
          <w:rFonts w:hint="eastAsia" w:ascii="宋体" w:hAnsi="宋体" w:cs="宋体"/>
          <w:i/>
          <w:color w:val="000000" w:themeColor="text1"/>
          <w:spacing w:val="6"/>
          <w:sz w:val="24"/>
          <w:szCs w:val="20"/>
          <w:highlight w:val="none"/>
          <w:u w:val="single"/>
        </w:rPr>
        <w:t>（采购人名称）</w:t>
      </w:r>
      <w:r>
        <w:rPr>
          <w:rFonts w:hint="eastAsia" w:ascii="宋体" w:hAnsi="宋体" w:cs="宋体"/>
          <w:color w:val="000000" w:themeColor="text1"/>
          <w:spacing w:val="6"/>
          <w:sz w:val="24"/>
          <w:highlight w:val="none"/>
        </w:rPr>
        <w:t>：</w:t>
      </w:r>
    </w:p>
    <w:p w14:paraId="412915C9">
      <w:pPr>
        <w:pStyle w:val="7"/>
        <w:spacing w:line="360" w:lineRule="auto"/>
        <w:ind w:firstLine="504" w:firstLineChars="200"/>
        <w:jc w:val="left"/>
        <w:rPr>
          <w:rFonts w:ascii="宋体" w:hAnsi="宋体" w:cs="宋体"/>
          <w:color w:val="000000" w:themeColor="text1"/>
          <w:highlight w:val="none"/>
        </w:rPr>
      </w:pPr>
      <w:r>
        <w:rPr>
          <w:rFonts w:hint="eastAsia" w:ascii="宋体" w:hAnsi="宋体" w:cs="宋体"/>
          <w:color w:val="000000" w:themeColor="text1"/>
          <w:spacing w:val="6"/>
          <w:sz w:val="24"/>
          <w:highlight w:val="none"/>
        </w:rPr>
        <w:t>我方参与的</w:t>
      </w:r>
      <w:r>
        <w:rPr>
          <w:rFonts w:hint="eastAsia" w:ascii="宋体" w:hAnsi="宋体" w:cs="宋体"/>
          <w:i/>
          <w:color w:val="000000" w:themeColor="text1"/>
          <w:spacing w:val="6"/>
          <w:sz w:val="24"/>
          <w:highlight w:val="none"/>
          <w:u w:val="single"/>
        </w:rPr>
        <w:t>（项目名称）（项目编号）</w:t>
      </w:r>
      <w:r>
        <w:rPr>
          <w:rFonts w:hint="eastAsia" w:ascii="宋体" w:hAnsi="宋体" w:cs="宋体"/>
          <w:color w:val="000000" w:themeColor="text1"/>
          <w:spacing w:val="6"/>
          <w:sz w:val="24"/>
          <w:highlight w:val="none"/>
        </w:rPr>
        <w:t>的磋商活动，我方郑重承诺，我方具有良好的财务会计制度、依法缴纳税收和社会保障资金，不偷逃税款和逃避缴纳社会保障资金。如有虚假，采购人可取消我方任何资格（投标/成交/签订合同），我方对此无任何异议。</w:t>
      </w:r>
    </w:p>
    <w:p w14:paraId="48B2855D">
      <w:pPr>
        <w:pStyle w:val="199"/>
        <w:spacing w:line="360" w:lineRule="auto"/>
        <w:ind w:firstLine="504" w:firstLineChars="200"/>
        <w:rPr>
          <w:rFonts w:ascii="宋体" w:hAnsi="宋体" w:cs="宋体"/>
          <w:color w:val="000000" w:themeColor="text1"/>
          <w:spacing w:val="6"/>
          <w:sz w:val="24"/>
          <w:highlight w:val="none"/>
        </w:rPr>
      </w:pPr>
    </w:p>
    <w:p w14:paraId="2BDF1D53">
      <w:pPr>
        <w:pStyle w:val="199"/>
        <w:spacing w:line="360" w:lineRule="auto"/>
        <w:ind w:firstLine="504" w:firstLineChars="200"/>
        <w:rPr>
          <w:rFonts w:ascii="宋体" w:hAnsi="宋体" w:cs="宋体"/>
          <w:color w:val="000000" w:themeColor="text1"/>
          <w:spacing w:val="6"/>
          <w:sz w:val="24"/>
          <w:highlight w:val="none"/>
        </w:rPr>
      </w:pPr>
      <w:r>
        <w:rPr>
          <w:rFonts w:hint="eastAsia" w:ascii="宋体" w:hAnsi="宋体" w:cs="宋体"/>
          <w:color w:val="000000" w:themeColor="text1"/>
          <w:spacing w:val="6"/>
          <w:sz w:val="24"/>
          <w:highlight w:val="none"/>
        </w:rPr>
        <w:t>特此承诺！</w:t>
      </w:r>
    </w:p>
    <w:p w14:paraId="00636365">
      <w:pPr>
        <w:pStyle w:val="199"/>
        <w:spacing w:line="360" w:lineRule="auto"/>
        <w:ind w:firstLine="504" w:firstLineChars="200"/>
        <w:rPr>
          <w:rFonts w:ascii="宋体" w:hAnsi="宋体" w:cs="宋体"/>
          <w:color w:val="000000" w:themeColor="text1"/>
          <w:spacing w:val="6"/>
          <w:sz w:val="24"/>
          <w:highlight w:val="none"/>
        </w:rPr>
      </w:pPr>
    </w:p>
    <w:p w14:paraId="049B9629">
      <w:pPr>
        <w:pStyle w:val="188"/>
        <w:wordWrap w:val="0"/>
        <w:spacing w:line="360" w:lineRule="auto"/>
        <w:ind w:firstLine="480"/>
        <w:jc w:val="right"/>
        <w:rPr>
          <w:rFonts w:ascii="宋体" w:hAnsi="宋体" w:cs="宋体"/>
          <w:color w:val="000000" w:themeColor="text1"/>
          <w:sz w:val="24"/>
          <w:szCs w:val="21"/>
          <w:highlight w:val="none"/>
          <w:u w:val="single"/>
        </w:rPr>
      </w:pPr>
      <w:r>
        <w:rPr>
          <w:rFonts w:hint="eastAsia" w:ascii="宋体" w:hAnsi="宋体" w:cs="宋体"/>
          <w:color w:val="000000" w:themeColor="text1"/>
          <w:sz w:val="24"/>
          <w:szCs w:val="21"/>
          <w:highlight w:val="none"/>
        </w:rPr>
        <w:t>供应商盖章：</w:t>
      </w:r>
    </w:p>
    <w:p w14:paraId="2D2DC25D">
      <w:pPr>
        <w:pStyle w:val="188"/>
        <w:wordWrap w:val="0"/>
        <w:spacing w:line="360" w:lineRule="auto"/>
        <w:ind w:firstLine="480"/>
        <w:jc w:val="right"/>
        <w:rPr>
          <w:rFonts w:ascii="宋体" w:hAnsi="宋体" w:cs="宋体"/>
          <w:color w:val="000000" w:themeColor="text1"/>
          <w:sz w:val="24"/>
          <w:szCs w:val="21"/>
          <w:highlight w:val="none"/>
          <w:u w:val="single"/>
        </w:rPr>
      </w:pPr>
      <w:r>
        <w:rPr>
          <w:rFonts w:hint="eastAsia" w:ascii="宋体" w:hAnsi="宋体" w:cs="宋体"/>
          <w:color w:val="000000" w:themeColor="text1"/>
          <w:sz w:val="24"/>
          <w:szCs w:val="21"/>
          <w:highlight w:val="none"/>
        </w:rPr>
        <w:t>日      期：</w:t>
      </w:r>
    </w:p>
    <w:p w14:paraId="6664375A">
      <w:pPr>
        <w:pStyle w:val="188"/>
        <w:spacing w:line="360" w:lineRule="auto"/>
        <w:jc w:val="left"/>
        <w:rPr>
          <w:rFonts w:ascii="宋体" w:hAnsi="宋体" w:cs="宋体"/>
          <w:color w:val="000000" w:themeColor="text1"/>
          <w:sz w:val="24"/>
          <w:szCs w:val="21"/>
          <w:highlight w:val="none"/>
          <w:u w:val="single"/>
        </w:rPr>
      </w:pPr>
    </w:p>
    <w:p w14:paraId="5EACBB34">
      <w:pPr>
        <w:pStyle w:val="6"/>
        <w:spacing w:before="0" w:after="0"/>
        <w:ind w:firstLine="0" w:firstLineChars="0"/>
        <w:jc w:val="left"/>
        <w:rPr>
          <w:rFonts w:ascii="宋体" w:hAnsi="宋体" w:eastAsia="宋体" w:cs="宋体"/>
          <w:color w:val="000000" w:themeColor="text1"/>
          <w:sz w:val="24"/>
          <w:szCs w:val="24"/>
          <w:highlight w:val="none"/>
        </w:rPr>
      </w:pPr>
      <w:bookmarkStart w:id="282" w:name="_Toc34895593"/>
      <w:bookmarkStart w:id="283" w:name="_Toc80973300"/>
      <w:bookmarkStart w:id="284" w:name="_Toc493956056"/>
      <w:bookmarkStart w:id="285" w:name="_Toc531359049"/>
      <w:bookmarkStart w:id="286" w:name="_Toc530551882"/>
      <w:r>
        <w:rPr>
          <w:rFonts w:hint="eastAsia" w:ascii="宋体" w:hAnsi="宋体" w:eastAsia="宋体" w:cs="宋体"/>
          <w:color w:val="000000" w:themeColor="text1"/>
          <w:sz w:val="24"/>
          <w:szCs w:val="24"/>
          <w:highlight w:val="none"/>
        </w:rPr>
        <w:t>1.7    具有履行合同所必需的设备和专业技术能力承诺函格式</w:t>
      </w:r>
      <w:bookmarkEnd w:id="282"/>
      <w:bookmarkEnd w:id="283"/>
    </w:p>
    <w:p w14:paraId="329396CA">
      <w:pPr>
        <w:pStyle w:val="7"/>
        <w:rPr>
          <w:rFonts w:ascii="宋体" w:hAnsi="宋体" w:cs="宋体"/>
          <w:color w:val="000000" w:themeColor="text1"/>
          <w:highlight w:val="none"/>
        </w:rPr>
      </w:pPr>
    </w:p>
    <w:p w14:paraId="3306719A">
      <w:pPr>
        <w:pStyle w:val="7"/>
        <w:spacing w:line="360" w:lineRule="auto"/>
        <w:ind w:firstLine="0"/>
        <w:jc w:val="center"/>
        <w:rPr>
          <w:rFonts w:ascii="宋体" w:hAnsi="宋体" w:cs="宋体"/>
          <w:b/>
          <w:color w:val="000000" w:themeColor="text1"/>
          <w:sz w:val="32"/>
          <w:szCs w:val="32"/>
          <w:highlight w:val="none"/>
        </w:rPr>
      </w:pPr>
      <w:r>
        <w:rPr>
          <w:rFonts w:hint="eastAsia" w:ascii="宋体" w:hAnsi="宋体" w:cs="宋体"/>
          <w:b/>
          <w:color w:val="000000" w:themeColor="text1"/>
          <w:sz w:val="32"/>
          <w:szCs w:val="32"/>
          <w:highlight w:val="none"/>
        </w:rPr>
        <w:t>具有履行合同所必需设备和专业技术能力的承诺函</w:t>
      </w:r>
    </w:p>
    <w:p w14:paraId="78A2B0C8">
      <w:pPr>
        <w:snapToGrid w:val="0"/>
        <w:spacing w:line="360" w:lineRule="auto"/>
        <w:rPr>
          <w:rFonts w:ascii="宋体" w:hAnsi="宋体" w:cs="宋体"/>
          <w:color w:val="000000" w:themeColor="text1"/>
          <w:highlight w:val="none"/>
        </w:rPr>
      </w:pPr>
    </w:p>
    <w:p w14:paraId="37BB3430">
      <w:pPr>
        <w:pStyle w:val="199"/>
        <w:spacing w:line="360" w:lineRule="auto"/>
        <w:rPr>
          <w:rFonts w:ascii="宋体" w:hAnsi="宋体" w:cs="宋体"/>
          <w:color w:val="000000" w:themeColor="text1"/>
          <w:spacing w:val="6"/>
          <w:sz w:val="24"/>
          <w:highlight w:val="none"/>
        </w:rPr>
      </w:pPr>
      <w:r>
        <w:rPr>
          <w:rFonts w:hint="eastAsia" w:ascii="宋体" w:hAnsi="宋体" w:cs="宋体"/>
          <w:i/>
          <w:color w:val="000000" w:themeColor="text1"/>
          <w:spacing w:val="6"/>
          <w:sz w:val="24"/>
          <w:highlight w:val="none"/>
          <w:u w:val="single"/>
        </w:rPr>
        <w:t>（采购人名称）</w:t>
      </w:r>
      <w:r>
        <w:rPr>
          <w:rFonts w:hint="eastAsia" w:ascii="宋体" w:hAnsi="宋体" w:cs="宋体"/>
          <w:color w:val="000000" w:themeColor="text1"/>
          <w:spacing w:val="6"/>
          <w:sz w:val="24"/>
          <w:highlight w:val="none"/>
        </w:rPr>
        <w:t>：</w:t>
      </w:r>
    </w:p>
    <w:p w14:paraId="26B9A70C">
      <w:pPr>
        <w:pStyle w:val="199"/>
        <w:spacing w:line="360" w:lineRule="auto"/>
        <w:ind w:firstLine="504" w:firstLineChars="200"/>
        <w:rPr>
          <w:rFonts w:ascii="宋体" w:hAnsi="宋体" w:cs="宋体"/>
          <w:color w:val="000000" w:themeColor="text1"/>
          <w:spacing w:val="6"/>
          <w:sz w:val="24"/>
          <w:highlight w:val="none"/>
        </w:rPr>
      </w:pPr>
      <w:r>
        <w:rPr>
          <w:rFonts w:hint="eastAsia" w:ascii="宋体" w:hAnsi="宋体" w:cs="宋体"/>
          <w:color w:val="000000" w:themeColor="text1"/>
          <w:spacing w:val="6"/>
          <w:sz w:val="24"/>
          <w:highlight w:val="none"/>
        </w:rPr>
        <w:t>我方参与的</w:t>
      </w:r>
      <w:r>
        <w:rPr>
          <w:rFonts w:hint="eastAsia" w:ascii="宋体" w:hAnsi="宋体" w:cs="宋体"/>
          <w:i/>
          <w:color w:val="000000" w:themeColor="text1"/>
          <w:spacing w:val="6"/>
          <w:sz w:val="24"/>
          <w:highlight w:val="none"/>
          <w:u w:val="single"/>
        </w:rPr>
        <w:t xml:space="preserve"> （项目名称）（项目编号）</w:t>
      </w:r>
      <w:r>
        <w:rPr>
          <w:rFonts w:hint="eastAsia" w:ascii="宋体" w:hAnsi="宋体" w:cs="宋体"/>
          <w:color w:val="000000" w:themeColor="text1"/>
          <w:spacing w:val="6"/>
          <w:sz w:val="24"/>
          <w:highlight w:val="none"/>
        </w:rPr>
        <w:t>的磋商活动，我方郑重承诺，我方承诺具有履行合同所必需设备和专业技术能力。如有虚假，采购人可取消我方任何资格（投标/成交/签订合同），我方对此无任何异议。</w:t>
      </w:r>
    </w:p>
    <w:p w14:paraId="25B6A63C">
      <w:pPr>
        <w:pStyle w:val="199"/>
        <w:spacing w:line="360" w:lineRule="auto"/>
        <w:ind w:firstLine="504" w:firstLineChars="200"/>
        <w:rPr>
          <w:rFonts w:ascii="宋体" w:hAnsi="宋体" w:cs="宋体"/>
          <w:color w:val="000000" w:themeColor="text1"/>
          <w:spacing w:val="6"/>
          <w:sz w:val="24"/>
          <w:highlight w:val="none"/>
        </w:rPr>
      </w:pPr>
    </w:p>
    <w:p w14:paraId="5D175998">
      <w:pPr>
        <w:pStyle w:val="199"/>
        <w:spacing w:line="360" w:lineRule="auto"/>
        <w:ind w:firstLine="504" w:firstLineChars="200"/>
        <w:rPr>
          <w:rFonts w:ascii="宋体" w:hAnsi="宋体" w:cs="宋体"/>
          <w:color w:val="000000" w:themeColor="text1"/>
          <w:spacing w:val="6"/>
          <w:sz w:val="24"/>
          <w:highlight w:val="none"/>
        </w:rPr>
      </w:pPr>
      <w:r>
        <w:rPr>
          <w:rFonts w:hint="eastAsia" w:ascii="宋体" w:hAnsi="宋体" w:cs="宋体"/>
          <w:color w:val="000000" w:themeColor="text1"/>
          <w:spacing w:val="6"/>
          <w:sz w:val="24"/>
          <w:highlight w:val="none"/>
        </w:rPr>
        <w:t>特此承诺！</w:t>
      </w:r>
    </w:p>
    <w:p w14:paraId="5FC770F8">
      <w:pPr>
        <w:pStyle w:val="199"/>
        <w:spacing w:line="360" w:lineRule="auto"/>
        <w:ind w:firstLine="504" w:firstLineChars="200"/>
        <w:rPr>
          <w:rFonts w:ascii="宋体" w:hAnsi="宋体" w:cs="宋体"/>
          <w:color w:val="000000" w:themeColor="text1"/>
          <w:spacing w:val="6"/>
          <w:sz w:val="24"/>
          <w:highlight w:val="none"/>
        </w:rPr>
      </w:pPr>
    </w:p>
    <w:p w14:paraId="647728FA">
      <w:pPr>
        <w:pStyle w:val="188"/>
        <w:wordWrap w:val="0"/>
        <w:spacing w:line="360" w:lineRule="auto"/>
        <w:ind w:firstLine="480"/>
        <w:jc w:val="right"/>
        <w:rPr>
          <w:rFonts w:ascii="宋体" w:hAnsi="宋体" w:cs="宋体"/>
          <w:color w:val="000000" w:themeColor="text1"/>
          <w:sz w:val="24"/>
          <w:szCs w:val="21"/>
          <w:highlight w:val="none"/>
          <w:u w:val="single"/>
        </w:rPr>
      </w:pPr>
      <w:r>
        <w:rPr>
          <w:rFonts w:hint="eastAsia" w:ascii="宋体" w:hAnsi="宋体" w:cs="宋体"/>
          <w:color w:val="000000" w:themeColor="text1"/>
          <w:sz w:val="24"/>
          <w:szCs w:val="21"/>
          <w:highlight w:val="none"/>
        </w:rPr>
        <w:t>供应商盖章：</w:t>
      </w:r>
    </w:p>
    <w:p w14:paraId="0E281BD9">
      <w:pPr>
        <w:pStyle w:val="188"/>
        <w:wordWrap w:val="0"/>
        <w:spacing w:line="360" w:lineRule="auto"/>
        <w:ind w:firstLine="480"/>
        <w:jc w:val="right"/>
        <w:rPr>
          <w:rFonts w:ascii="宋体" w:hAnsi="宋体" w:cs="宋体"/>
          <w:color w:val="000000" w:themeColor="text1"/>
          <w:sz w:val="24"/>
          <w:szCs w:val="21"/>
          <w:highlight w:val="none"/>
          <w:u w:val="single"/>
        </w:rPr>
      </w:pPr>
      <w:r>
        <w:rPr>
          <w:rFonts w:hint="eastAsia" w:ascii="宋体" w:hAnsi="宋体" w:cs="宋体"/>
          <w:color w:val="000000" w:themeColor="text1"/>
          <w:sz w:val="24"/>
          <w:szCs w:val="21"/>
          <w:highlight w:val="none"/>
        </w:rPr>
        <w:t>日      期：</w:t>
      </w:r>
    </w:p>
    <w:p w14:paraId="413BD214">
      <w:pPr>
        <w:pStyle w:val="188"/>
        <w:spacing w:line="360" w:lineRule="auto"/>
        <w:jc w:val="left"/>
        <w:rPr>
          <w:rFonts w:ascii="宋体" w:hAnsi="宋体" w:cs="宋体"/>
          <w:color w:val="000000" w:themeColor="text1"/>
          <w:sz w:val="24"/>
          <w:szCs w:val="21"/>
          <w:highlight w:val="none"/>
          <w:u w:val="single"/>
        </w:rPr>
      </w:pPr>
    </w:p>
    <w:p w14:paraId="50ED8042">
      <w:pPr>
        <w:pStyle w:val="188"/>
        <w:spacing w:line="360" w:lineRule="auto"/>
        <w:jc w:val="left"/>
        <w:rPr>
          <w:rFonts w:ascii="宋体" w:hAnsi="宋体" w:cs="宋体"/>
          <w:color w:val="000000" w:themeColor="text1"/>
          <w:sz w:val="24"/>
          <w:szCs w:val="21"/>
          <w:highlight w:val="none"/>
          <w:u w:val="single"/>
        </w:rPr>
        <w:sectPr>
          <w:pgSz w:w="11906" w:h="16838"/>
          <w:pgMar w:top="1418" w:right="1418" w:bottom="1418" w:left="1418" w:header="851" w:footer="851" w:gutter="0"/>
          <w:cols w:space="720" w:num="1"/>
          <w:docGrid w:linePitch="312" w:charSpace="0"/>
        </w:sectPr>
      </w:pPr>
    </w:p>
    <w:p w14:paraId="70A8B401">
      <w:pPr>
        <w:pStyle w:val="6"/>
        <w:spacing w:before="0" w:after="0"/>
        <w:ind w:firstLine="0" w:firstLineChars="0"/>
        <w:jc w:val="left"/>
        <w:rPr>
          <w:rFonts w:ascii="宋体" w:hAnsi="宋体" w:eastAsia="宋体" w:cs="宋体"/>
          <w:color w:val="000000" w:themeColor="text1"/>
          <w:sz w:val="24"/>
          <w:szCs w:val="24"/>
          <w:highlight w:val="none"/>
        </w:rPr>
      </w:pPr>
      <w:bookmarkStart w:id="287" w:name="_Toc80973301"/>
      <w:r>
        <w:rPr>
          <w:rFonts w:hint="eastAsia" w:ascii="宋体" w:hAnsi="宋体" w:eastAsia="宋体" w:cs="宋体"/>
          <w:color w:val="000000" w:themeColor="text1"/>
          <w:sz w:val="24"/>
          <w:szCs w:val="24"/>
          <w:highlight w:val="none"/>
        </w:rPr>
        <w:t>1.8    无重大违法记录声明书</w:t>
      </w:r>
      <w:bookmarkEnd w:id="284"/>
      <w:bookmarkEnd w:id="285"/>
      <w:bookmarkEnd w:id="286"/>
      <w:r>
        <w:rPr>
          <w:rFonts w:hint="eastAsia" w:ascii="宋体" w:hAnsi="宋体" w:eastAsia="宋体" w:cs="宋体"/>
          <w:color w:val="000000" w:themeColor="text1"/>
          <w:sz w:val="24"/>
          <w:szCs w:val="24"/>
          <w:highlight w:val="none"/>
        </w:rPr>
        <w:t>格式</w:t>
      </w:r>
      <w:bookmarkEnd w:id="287"/>
    </w:p>
    <w:p w14:paraId="562183D9">
      <w:pPr>
        <w:pStyle w:val="7"/>
        <w:ind w:firstLine="0"/>
        <w:rPr>
          <w:rFonts w:ascii="宋体" w:hAnsi="宋体" w:cs="宋体"/>
          <w:color w:val="000000" w:themeColor="text1"/>
          <w:highlight w:val="none"/>
        </w:rPr>
      </w:pPr>
    </w:p>
    <w:p w14:paraId="60158F3C">
      <w:pPr>
        <w:pStyle w:val="7"/>
        <w:spacing w:line="360" w:lineRule="auto"/>
        <w:ind w:firstLine="0"/>
        <w:jc w:val="center"/>
        <w:rPr>
          <w:rFonts w:ascii="宋体" w:hAnsi="宋体" w:cs="宋体"/>
          <w:b/>
          <w:color w:val="000000" w:themeColor="text1"/>
          <w:sz w:val="32"/>
          <w:szCs w:val="32"/>
          <w:highlight w:val="none"/>
        </w:rPr>
      </w:pPr>
      <w:r>
        <w:rPr>
          <w:rFonts w:hint="eastAsia" w:ascii="宋体" w:hAnsi="宋体" w:cs="宋体"/>
          <w:b/>
          <w:color w:val="000000" w:themeColor="text1"/>
          <w:sz w:val="32"/>
          <w:szCs w:val="32"/>
          <w:highlight w:val="none"/>
        </w:rPr>
        <w:t>无重大违法记录声明书</w:t>
      </w:r>
    </w:p>
    <w:p w14:paraId="43A8D86F">
      <w:pPr>
        <w:pStyle w:val="199"/>
        <w:spacing w:line="360" w:lineRule="auto"/>
        <w:rPr>
          <w:rFonts w:ascii="宋体" w:hAnsi="宋体" w:cs="宋体"/>
          <w:color w:val="000000" w:themeColor="text1"/>
          <w:spacing w:val="6"/>
          <w:sz w:val="24"/>
          <w:highlight w:val="none"/>
        </w:rPr>
      </w:pPr>
      <w:r>
        <w:rPr>
          <w:rFonts w:hint="eastAsia" w:ascii="宋体" w:hAnsi="宋体" w:cs="宋体"/>
          <w:i/>
          <w:color w:val="000000" w:themeColor="text1"/>
          <w:spacing w:val="6"/>
          <w:sz w:val="24"/>
          <w:szCs w:val="20"/>
          <w:highlight w:val="none"/>
          <w:u w:val="single"/>
        </w:rPr>
        <w:t>（采购人名称）</w:t>
      </w:r>
      <w:r>
        <w:rPr>
          <w:rFonts w:hint="eastAsia" w:ascii="宋体" w:hAnsi="宋体" w:cs="宋体"/>
          <w:color w:val="000000" w:themeColor="text1"/>
          <w:spacing w:val="6"/>
          <w:sz w:val="24"/>
          <w:highlight w:val="none"/>
        </w:rPr>
        <w:t>：</w:t>
      </w:r>
    </w:p>
    <w:p w14:paraId="5A1ADAB6">
      <w:pPr>
        <w:pStyle w:val="199"/>
        <w:spacing w:line="360" w:lineRule="auto"/>
        <w:ind w:firstLine="504" w:firstLineChars="200"/>
        <w:rPr>
          <w:rFonts w:ascii="宋体" w:hAnsi="宋体" w:cs="宋体"/>
          <w:color w:val="000000" w:themeColor="text1"/>
          <w:spacing w:val="6"/>
          <w:sz w:val="24"/>
          <w:highlight w:val="none"/>
        </w:rPr>
      </w:pPr>
      <w:r>
        <w:rPr>
          <w:rFonts w:hint="eastAsia" w:ascii="宋体" w:hAnsi="宋体" w:cs="宋体"/>
          <w:color w:val="000000" w:themeColor="text1"/>
          <w:spacing w:val="6"/>
          <w:sz w:val="24"/>
          <w:highlight w:val="none"/>
        </w:rPr>
        <w:t>我方参与的</w:t>
      </w:r>
      <w:r>
        <w:rPr>
          <w:rFonts w:hint="eastAsia" w:ascii="宋体" w:hAnsi="宋体" w:cs="宋体"/>
          <w:i/>
          <w:color w:val="000000" w:themeColor="text1"/>
          <w:spacing w:val="6"/>
          <w:sz w:val="24"/>
          <w:szCs w:val="20"/>
          <w:highlight w:val="none"/>
          <w:u w:val="single"/>
        </w:rPr>
        <w:t>（项目名称）（项目编号）</w:t>
      </w:r>
      <w:r>
        <w:rPr>
          <w:rFonts w:hint="eastAsia" w:ascii="宋体" w:hAnsi="宋体" w:cs="宋体"/>
          <w:color w:val="000000" w:themeColor="text1"/>
          <w:spacing w:val="6"/>
          <w:sz w:val="24"/>
          <w:highlight w:val="none"/>
        </w:rPr>
        <w:t>的响应活动，我方郑重声明，我方参加本项目响应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3E38C708">
      <w:pPr>
        <w:pStyle w:val="199"/>
        <w:spacing w:line="360" w:lineRule="auto"/>
        <w:ind w:firstLine="504" w:firstLineChars="200"/>
        <w:rPr>
          <w:rFonts w:ascii="宋体" w:hAnsi="宋体" w:cs="宋体"/>
          <w:color w:val="000000" w:themeColor="text1"/>
          <w:spacing w:val="6"/>
          <w:sz w:val="24"/>
          <w:highlight w:val="none"/>
        </w:rPr>
      </w:pPr>
      <w:r>
        <w:rPr>
          <w:rFonts w:hint="eastAsia" w:ascii="宋体" w:hAnsi="宋体" w:cs="宋体"/>
          <w:color w:val="000000" w:themeColor="text1"/>
          <w:spacing w:val="6"/>
          <w:sz w:val="24"/>
          <w:highlight w:val="none"/>
        </w:rPr>
        <w:t>特此声明。</w:t>
      </w:r>
      <w:bookmarkStart w:id="288" w:name="_Toc500333505"/>
      <w:bookmarkStart w:id="289" w:name="_Toc523398458"/>
      <w:bookmarkStart w:id="290" w:name="_Toc531359051"/>
    </w:p>
    <w:p w14:paraId="76BF7F70">
      <w:pPr>
        <w:pStyle w:val="199"/>
        <w:spacing w:line="360" w:lineRule="auto"/>
        <w:rPr>
          <w:rFonts w:ascii="宋体" w:hAnsi="宋体" w:cs="宋体"/>
          <w:color w:val="000000" w:themeColor="text1"/>
          <w:spacing w:val="6"/>
          <w:sz w:val="24"/>
          <w:highlight w:val="none"/>
        </w:rPr>
      </w:pPr>
    </w:p>
    <w:p w14:paraId="656CB3E7">
      <w:pPr>
        <w:pStyle w:val="199"/>
        <w:spacing w:line="360" w:lineRule="auto"/>
        <w:ind w:right="140"/>
        <w:jc w:val="left"/>
        <w:rPr>
          <w:rFonts w:ascii="宋体" w:hAnsi="宋体" w:cs="宋体"/>
          <w:color w:val="000000" w:themeColor="text1"/>
          <w:spacing w:val="20"/>
          <w:sz w:val="24"/>
          <w:szCs w:val="21"/>
          <w:highlight w:val="none"/>
        </w:rPr>
      </w:pPr>
    </w:p>
    <w:p w14:paraId="1C93DDA9">
      <w:pPr>
        <w:pStyle w:val="188"/>
        <w:wordWrap w:val="0"/>
        <w:spacing w:line="360" w:lineRule="auto"/>
        <w:ind w:firstLine="480"/>
        <w:jc w:val="right"/>
        <w:rPr>
          <w:rFonts w:ascii="宋体" w:hAnsi="宋体" w:cs="宋体"/>
          <w:color w:val="000000" w:themeColor="text1"/>
          <w:sz w:val="24"/>
          <w:szCs w:val="21"/>
          <w:highlight w:val="none"/>
          <w:u w:val="single"/>
        </w:rPr>
      </w:pPr>
      <w:r>
        <w:rPr>
          <w:rFonts w:hint="eastAsia" w:ascii="宋体" w:hAnsi="宋体" w:cs="宋体"/>
          <w:color w:val="000000" w:themeColor="text1"/>
          <w:sz w:val="24"/>
          <w:szCs w:val="21"/>
          <w:highlight w:val="none"/>
        </w:rPr>
        <w:t>供应商盖章：</w:t>
      </w:r>
    </w:p>
    <w:p w14:paraId="15BD560F">
      <w:pPr>
        <w:pStyle w:val="188"/>
        <w:wordWrap w:val="0"/>
        <w:spacing w:line="360" w:lineRule="auto"/>
        <w:ind w:firstLine="480"/>
        <w:jc w:val="right"/>
        <w:rPr>
          <w:rFonts w:ascii="宋体" w:hAnsi="宋体" w:cs="宋体"/>
          <w:color w:val="000000" w:themeColor="text1"/>
          <w:sz w:val="24"/>
          <w:szCs w:val="21"/>
          <w:highlight w:val="none"/>
        </w:rPr>
      </w:pPr>
      <w:r>
        <w:rPr>
          <w:rFonts w:hint="eastAsia" w:ascii="宋体" w:hAnsi="宋体" w:cs="宋体"/>
          <w:color w:val="000000" w:themeColor="text1"/>
          <w:sz w:val="24"/>
          <w:szCs w:val="21"/>
          <w:highlight w:val="none"/>
        </w:rPr>
        <w:t>日      期：</w:t>
      </w:r>
      <w:bookmarkStart w:id="291" w:name="_Toc80973302"/>
    </w:p>
    <w:p w14:paraId="2C2C92E4">
      <w:pPr>
        <w:widowControl/>
        <w:jc w:val="left"/>
        <w:rPr>
          <w:rFonts w:ascii="宋体" w:hAnsi="宋体" w:cs="宋体"/>
          <w:color w:val="000000" w:themeColor="text1"/>
          <w:sz w:val="24"/>
          <w:szCs w:val="21"/>
          <w:highlight w:val="none"/>
        </w:rPr>
      </w:pPr>
      <w:r>
        <w:rPr>
          <w:rFonts w:ascii="宋体" w:hAnsi="宋体" w:cs="宋体"/>
          <w:color w:val="000000" w:themeColor="text1"/>
          <w:sz w:val="24"/>
          <w:szCs w:val="21"/>
          <w:highlight w:val="none"/>
        </w:rPr>
        <w:br w:type="page"/>
      </w:r>
    </w:p>
    <w:p w14:paraId="0E5C8300">
      <w:pPr>
        <w:pStyle w:val="188"/>
        <w:spacing w:line="360" w:lineRule="auto"/>
        <w:ind w:right="240"/>
        <w:jc w:val="left"/>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 xml:space="preserve">1.9   </w:t>
      </w:r>
      <w:bookmarkStart w:id="292" w:name="_Toc51500872"/>
      <w:bookmarkStart w:id="293" w:name="_Toc96338076"/>
      <w:r>
        <w:rPr>
          <w:rFonts w:hint="eastAsia" w:ascii="宋体" w:hAnsi="宋体" w:eastAsia="宋体" w:cs="宋体"/>
          <w:b/>
          <w:bCs/>
          <w:color w:val="000000" w:themeColor="text1"/>
          <w:sz w:val="24"/>
          <w:szCs w:val="24"/>
          <w:highlight w:val="none"/>
        </w:rPr>
        <w:t>中小企业声明函格式</w:t>
      </w:r>
      <w:bookmarkEnd w:id="292"/>
      <w:bookmarkEnd w:id="293"/>
    </w:p>
    <w:p w14:paraId="47D8C38E">
      <w:pPr>
        <w:spacing w:line="360" w:lineRule="auto"/>
        <w:ind w:left="420" w:firstLine="643" w:firstLineChars="200"/>
        <w:jc w:val="center"/>
        <w:rPr>
          <w:rFonts w:ascii="仿宋_GB2312" w:hAnsi="宋体" w:eastAsia="仿宋_GB2312"/>
          <w:b/>
          <w:color w:val="000000" w:themeColor="text1"/>
          <w:sz w:val="32"/>
          <w:szCs w:val="32"/>
          <w:highlight w:val="none"/>
        </w:rPr>
      </w:pPr>
      <w:r>
        <w:rPr>
          <w:rFonts w:hint="eastAsia" w:ascii="仿宋_GB2312" w:hAnsi="宋体" w:eastAsia="仿宋_GB2312"/>
          <w:b/>
          <w:color w:val="000000" w:themeColor="text1"/>
          <w:sz w:val="32"/>
          <w:szCs w:val="32"/>
          <w:highlight w:val="none"/>
        </w:rPr>
        <w:t>中小企业声明函（工程、服务）</w:t>
      </w:r>
    </w:p>
    <w:p w14:paraId="543A14B7">
      <w:pPr>
        <w:spacing w:line="360" w:lineRule="auto"/>
        <w:ind w:firstLine="643" w:firstLineChars="200"/>
        <w:jc w:val="center"/>
        <w:rPr>
          <w:rFonts w:ascii="仿宋_GB2312" w:hAnsi="宋体" w:eastAsia="仿宋_GB2312"/>
          <w:b/>
          <w:color w:val="000000" w:themeColor="text1"/>
          <w:sz w:val="32"/>
          <w:szCs w:val="32"/>
          <w:highlight w:val="none"/>
        </w:rPr>
      </w:pPr>
    </w:p>
    <w:p w14:paraId="15FEF8D8">
      <w:pPr>
        <w:spacing w:line="360" w:lineRule="auto"/>
        <w:ind w:firstLine="560" w:firstLineChars="200"/>
        <w:rPr>
          <w:rFonts w:ascii="仿宋_GB2312" w:eastAsia="仿宋_GB2312"/>
          <w:color w:val="000000" w:themeColor="text1"/>
          <w:sz w:val="28"/>
          <w:szCs w:val="28"/>
          <w:highlight w:val="none"/>
        </w:rPr>
      </w:pPr>
      <w:r>
        <w:rPr>
          <w:rFonts w:hint="eastAsia" w:ascii="仿宋_GB2312" w:eastAsia="仿宋_GB2312"/>
          <w:color w:val="000000" w:themeColor="text1"/>
          <w:sz w:val="28"/>
          <w:szCs w:val="28"/>
          <w:highlight w:val="none"/>
        </w:rPr>
        <w:t>本公司（联合体）郑重声明，根据《政府采购促进中小企业发展管理办法》（财库</w:t>
      </w:r>
      <w:r>
        <w:rPr>
          <w:rFonts w:hint="eastAsia" w:ascii="微软雅黑" w:hAnsi="微软雅黑" w:eastAsia="微软雅黑" w:cs="微软雅黑"/>
          <w:color w:val="000000" w:themeColor="text1"/>
          <w:sz w:val="28"/>
          <w:szCs w:val="28"/>
          <w:highlight w:val="none"/>
        </w:rPr>
        <w:t>〔</w:t>
      </w:r>
      <w:r>
        <w:rPr>
          <w:rFonts w:hint="eastAsia" w:ascii="仿宋_GB2312" w:eastAsia="仿宋_GB2312"/>
          <w:color w:val="000000" w:themeColor="text1"/>
          <w:sz w:val="28"/>
          <w:szCs w:val="28"/>
          <w:highlight w:val="none"/>
        </w:rPr>
        <w:t>2020</w:t>
      </w:r>
      <w:r>
        <w:rPr>
          <w:rFonts w:hint="eastAsia" w:ascii="微软雅黑" w:hAnsi="微软雅黑" w:eastAsia="微软雅黑" w:cs="微软雅黑"/>
          <w:color w:val="000000" w:themeColor="text1"/>
          <w:sz w:val="28"/>
          <w:szCs w:val="28"/>
          <w:highlight w:val="none"/>
        </w:rPr>
        <w:t>〕</w:t>
      </w:r>
      <w:r>
        <w:rPr>
          <w:rFonts w:hint="eastAsia" w:ascii="仿宋_GB2312" w:eastAsia="仿宋_GB2312"/>
          <w:color w:val="000000" w:themeColor="text1"/>
          <w:sz w:val="28"/>
          <w:szCs w:val="28"/>
          <w:highlight w:val="none"/>
        </w:rPr>
        <w:t>46号）的规定，本公司（联合体）参加</w:t>
      </w:r>
      <w:r>
        <w:rPr>
          <w:rFonts w:hint="eastAsia" w:ascii="仿宋_GB2312" w:eastAsia="仿宋_GB2312"/>
          <w:i/>
          <w:color w:val="000000" w:themeColor="text1"/>
          <w:sz w:val="28"/>
          <w:szCs w:val="28"/>
          <w:highlight w:val="none"/>
          <w:u w:val="single"/>
        </w:rPr>
        <w:t>（采购人名称）</w:t>
      </w:r>
      <w:r>
        <w:rPr>
          <w:rFonts w:hint="eastAsia" w:ascii="仿宋_GB2312" w:eastAsia="仿宋_GB2312"/>
          <w:color w:val="000000" w:themeColor="text1"/>
          <w:sz w:val="28"/>
          <w:szCs w:val="28"/>
          <w:highlight w:val="none"/>
        </w:rPr>
        <w:t>的</w:t>
      </w:r>
      <w:r>
        <w:rPr>
          <w:rFonts w:hint="eastAsia" w:ascii="仿宋_GB2312" w:eastAsia="仿宋_GB2312"/>
          <w:i/>
          <w:color w:val="000000" w:themeColor="text1"/>
          <w:sz w:val="28"/>
          <w:szCs w:val="28"/>
          <w:highlight w:val="none"/>
          <w:u w:val="single"/>
        </w:rPr>
        <w:t>（项目名称）</w:t>
      </w:r>
      <w:r>
        <w:rPr>
          <w:rFonts w:hint="eastAsia" w:ascii="仿宋_GB2312" w:eastAsia="仿宋_GB2312"/>
          <w:color w:val="000000" w:themeColor="text1"/>
          <w:sz w:val="28"/>
          <w:szCs w:val="28"/>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1FE2B4D">
      <w:pPr>
        <w:spacing w:line="360" w:lineRule="auto"/>
        <w:ind w:firstLine="560" w:firstLineChars="200"/>
        <w:rPr>
          <w:rFonts w:ascii="仿宋_GB2312" w:eastAsia="仿宋_GB2312"/>
          <w:color w:val="000000" w:themeColor="text1"/>
          <w:sz w:val="28"/>
          <w:szCs w:val="28"/>
          <w:highlight w:val="none"/>
        </w:rPr>
      </w:pPr>
      <w:r>
        <w:rPr>
          <w:rFonts w:hint="eastAsia" w:ascii="仿宋_GB2312" w:eastAsia="仿宋_GB2312"/>
          <w:color w:val="000000" w:themeColor="text1"/>
          <w:sz w:val="28"/>
          <w:szCs w:val="28"/>
          <w:highlight w:val="none"/>
        </w:rPr>
        <w:t>1.</w:t>
      </w:r>
      <w:r>
        <w:rPr>
          <w:rFonts w:hint="eastAsia" w:ascii="仿宋_GB2312" w:eastAsia="仿宋_GB2312"/>
          <w:i/>
          <w:color w:val="000000" w:themeColor="text1"/>
          <w:sz w:val="28"/>
          <w:szCs w:val="28"/>
          <w:highlight w:val="none"/>
          <w:u w:val="single"/>
        </w:rPr>
        <w:t xml:space="preserve"> （标的名称） </w:t>
      </w:r>
      <w:r>
        <w:rPr>
          <w:rFonts w:hint="eastAsia" w:ascii="仿宋_GB2312" w:eastAsia="仿宋_GB2312"/>
          <w:color w:val="000000" w:themeColor="text1"/>
          <w:sz w:val="28"/>
          <w:szCs w:val="28"/>
          <w:highlight w:val="none"/>
        </w:rPr>
        <w:t>，属于</w:t>
      </w:r>
      <w:r>
        <w:rPr>
          <w:rFonts w:hint="eastAsia" w:ascii="仿宋_GB2312" w:eastAsia="仿宋_GB2312"/>
          <w:i/>
          <w:color w:val="000000" w:themeColor="text1"/>
          <w:sz w:val="28"/>
          <w:szCs w:val="28"/>
          <w:highlight w:val="none"/>
          <w:u w:val="single"/>
        </w:rPr>
        <w:t>（采购文件中明确的所属行业）</w:t>
      </w:r>
      <w:r>
        <w:rPr>
          <w:rFonts w:hint="eastAsia" w:ascii="仿宋_GB2312" w:eastAsia="仿宋_GB2312"/>
          <w:color w:val="000000" w:themeColor="text1"/>
          <w:sz w:val="28"/>
          <w:szCs w:val="28"/>
          <w:highlight w:val="none"/>
        </w:rPr>
        <w:t>；承建（承接）企业为</w:t>
      </w:r>
      <w:r>
        <w:rPr>
          <w:rFonts w:hint="eastAsia" w:ascii="仿宋_GB2312" w:eastAsia="仿宋_GB2312"/>
          <w:i/>
          <w:color w:val="000000" w:themeColor="text1"/>
          <w:sz w:val="28"/>
          <w:szCs w:val="28"/>
          <w:highlight w:val="none"/>
          <w:u w:val="single"/>
        </w:rPr>
        <w:t>（企业名称）</w:t>
      </w:r>
      <w:r>
        <w:rPr>
          <w:rFonts w:hint="eastAsia" w:ascii="仿宋_GB2312" w:eastAsia="仿宋_GB2312"/>
          <w:color w:val="000000" w:themeColor="text1"/>
          <w:sz w:val="28"/>
          <w:szCs w:val="28"/>
          <w:highlight w:val="none"/>
        </w:rPr>
        <w:t>，从业人员人，营业收入为万元，资产总额为万元</w:t>
      </w:r>
      <w:r>
        <w:rPr>
          <w:rFonts w:ascii="仿宋_GB2312" w:eastAsia="仿宋_GB2312"/>
          <w:color w:val="000000" w:themeColor="text1"/>
          <w:sz w:val="32"/>
          <w:szCs w:val="28"/>
          <w:highlight w:val="none"/>
          <w:vertAlign w:val="superscript"/>
        </w:rPr>
        <w:fldChar w:fldCharType="begin"/>
      </w:r>
      <w:r>
        <w:rPr>
          <w:rFonts w:hint="eastAsia" w:ascii="仿宋_GB2312" w:eastAsia="仿宋_GB2312"/>
          <w:color w:val="000000" w:themeColor="text1"/>
          <w:sz w:val="32"/>
          <w:szCs w:val="28"/>
          <w:highlight w:val="none"/>
          <w:vertAlign w:val="superscript"/>
        </w:rPr>
        <w:instrText xml:space="preserve">= 1 \* GB3</w:instrText>
      </w:r>
      <w:r>
        <w:rPr>
          <w:rFonts w:ascii="仿宋_GB2312" w:eastAsia="仿宋_GB2312"/>
          <w:color w:val="000000" w:themeColor="text1"/>
          <w:sz w:val="32"/>
          <w:szCs w:val="28"/>
          <w:highlight w:val="none"/>
          <w:vertAlign w:val="superscript"/>
        </w:rPr>
        <w:fldChar w:fldCharType="separate"/>
      </w:r>
      <w:r>
        <w:rPr>
          <w:rFonts w:hint="eastAsia" w:ascii="仿宋_GB2312" w:eastAsia="仿宋_GB2312"/>
          <w:color w:val="000000" w:themeColor="text1"/>
          <w:sz w:val="32"/>
          <w:szCs w:val="28"/>
          <w:highlight w:val="none"/>
          <w:vertAlign w:val="superscript"/>
        </w:rPr>
        <w:t>①</w:t>
      </w:r>
      <w:r>
        <w:rPr>
          <w:rFonts w:ascii="仿宋_GB2312" w:eastAsia="仿宋_GB2312"/>
          <w:color w:val="000000" w:themeColor="text1"/>
          <w:sz w:val="32"/>
          <w:szCs w:val="28"/>
          <w:highlight w:val="none"/>
          <w:vertAlign w:val="superscript"/>
        </w:rPr>
        <w:fldChar w:fldCharType="end"/>
      </w:r>
      <w:r>
        <w:rPr>
          <w:rFonts w:hint="eastAsia" w:ascii="仿宋_GB2312" w:eastAsia="仿宋_GB2312"/>
          <w:color w:val="000000" w:themeColor="text1"/>
          <w:sz w:val="28"/>
          <w:szCs w:val="28"/>
          <w:highlight w:val="none"/>
        </w:rPr>
        <w:t>，属于（中型企业、小型企业、微型企业）；</w:t>
      </w:r>
    </w:p>
    <w:p w14:paraId="5601ABEF">
      <w:pPr>
        <w:spacing w:line="360" w:lineRule="auto"/>
        <w:ind w:firstLine="560" w:firstLineChars="200"/>
        <w:rPr>
          <w:rFonts w:ascii="仿宋_GB2312" w:eastAsia="仿宋_GB2312"/>
          <w:color w:val="000000" w:themeColor="text1"/>
          <w:sz w:val="28"/>
          <w:szCs w:val="28"/>
          <w:highlight w:val="none"/>
        </w:rPr>
      </w:pPr>
      <w:r>
        <w:rPr>
          <w:rFonts w:hint="eastAsia" w:ascii="仿宋_GB2312" w:eastAsia="仿宋_GB2312"/>
          <w:color w:val="000000" w:themeColor="text1"/>
          <w:sz w:val="28"/>
          <w:szCs w:val="28"/>
          <w:highlight w:val="none"/>
        </w:rPr>
        <w:t>2.</w:t>
      </w:r>
      <w:r>
        <w:rPr>
          <w:rFonts w:hint="eastAsia" w:ascii="仿宋_GB2312" w:eastAsia="仿宋_GB2312"/>
          <w:i/>
          <w:color w:val="000000" w:themeColor="text1"/>
          <w:sz w:val="28"/>
          <w:szCs w:val="28"/>
          <w:highlight w:val="none"/>
          <w:u w:val="single"/>
        </w:rPr>
        <w:t xml:space="preserve"> （标的名称） </w:t>
      </w:r>
      <w:r>
        <w:rPr>
          <w:rFonts w:hint="eastAsia" w:ascii="仿宋_GB2312" w:eastAsia="仿宋_GB2312"/>
          <w:color w:val="000000" w:themeColor="text1"/>
          <w:sz w:val="28"/>
          <w:szCs w:val="28"/>
          <w:highlight w:val="none"/>
        </w:rPr>
        <w:t>，属于</w:t>
      </w:r>
      <w:r>
        <w:rPr>
          <w:rFonts w:hint="eastAsia" w:ascii="仿宋_GB2312" w:eastAsia="仿宋_GB2312"/>
          <w:i/>
          <w:color w:val="000000" w:themeColor="text1"/>
          <w:sz w:val="28"/>
          <w:szCs w:val="28"/>
          <w:highlight w:val="none"/>
          <w:u w:val="single"/>
        </w:rPr>
        <w:t xml:space="preserve">（采购文件中明确的所属行业） </w:t>
      </w:r>
      <w:r>
        <w:rPr>
          <w:rFonts w:hint="eastAsia" w:ascii="仿宋_GB2312" w:eastAsia="仿宋_GB2312"/>
          <w:color w:val="000000" w:themeColor="text1"/>
          <w:sz w:val="28"/>
          <w:szCs w:val="28"/>
          <w:highlight w:val="none"/>
        </w:rPr>
        <w:t>；承建（承接）企业为</w:t>
      </w:r>
      <w:r>
        <w:rPr>
          <w:rFonts w:hint="eastAsia" w:ascii="仿宋_GB2312" w:eastAsia="仿宋_GB2312"/>
          <w:i/>
          <w:color w:val="000000" w:themeColor="text1"/>
          <w:sz w:val="28"/>
          <w:szCs w:val="28"/>
          <w:highlight w:val="none"/>
          <w:u w:val="single"/>
        </w:rPr>
        <w:t>（企业名称）</w:t>
      </w:r>
      <w:r>
        <w:rPr>
          <w:rFonts w:hint="eastAsia" w:ascii="仿宋_GB2312" w:eastAsia="仿宋_GB2312"/>
          <w:color w:val="000000" w:themeColor="text1"/>
          <w:sz w:val="28"/>
          <w:szCs w:val="28"/>
          <w:highlight w:val="none"/>
        </w:rPr>
        <w:t>，从业人员人，营业收入为万元，资产总额为万元，属于（中型企业、小型企业、微型企业）；</w:t>
      </w:r>
    </w:p>
    <w:p w14:paraId="103E4105">
      <w:pPr>
        <w:spacing w:line="360" w:lineRule="auto"/>
        <w:ind w:firstLine="560" w:firstLineChars="200"/>
        <w:rPr>
          <w:rFonts w:ascii="仿宋_GB2312" w:eastAsia="仿宋_GB2312"/>
          <w:color w:val="000000" w:themeColor="text1"/>
          <w:sz w:val="28"/>
          <w:szCs w:val="28"/>
          <w:highlight w:val="none"/>
        </w:rPr>
      </w:pPr>
      <w:r>
        <w:rPr>
          <w:rFonts w:hint="eastAsia" w:ascii="仿宋_GB2312" w:eastAsia="仿宋_GB2312"/>
          <w:color w:val="000000" w:themeColor="text1"/>
          <w:sz w:val="28"/>
          <w:szCs w:val="28"/>
          <w:highlight w:val="none"/>
        </w:rPr>
        <w:t>……</w:t>
      </w:r>
    </w:p>
    <w:p w14:paraId="39CA0F27">
      <w:pPr>
        <w:spacing w:line="360" w:lineRule="auto"/>
        <w:ind w:firstLine="560" w:firstLineChars="200"/>
        <w:rPr>
          <w:rFonts w:ascii="仿宋_GB2312" w:eastAsia="仿宋_GB2312"/>
          <w:color w:val="000000" w:themeColor="text1"/>
          <w:sz w:val="28"/>
          <w:szCs w:val="28"/>
          <w:highlight w:val="none"/>
        </w:rPr>
      </w:pPr>
      <w:r>
        <w:rPr>
          <w:rFonts w:hint="eastAsia" w:ascii="仿宋_GB2312" w:eastAsia="仿宋_GB2312"/>
          <w:color w:val="000000" w:themeColor="text1"/>
          <w:sz w:val="28"/>
          <w:szCs w:val="28"/>
          <w:highlight w:val="none"/>
        </w:rPr>
        <w:t>以上企业，不属于大企业的分支机构，不存在控股股东为大企业的情形，也不存在与大企业的负责人为同一人的情形。</w:t>
      </w:r>
    </w:p>
    <w:p w14:paraId="1CDB49D8">
      <w:pPr>
        <w:spacing w:line="360" w:lineRule="auto"/>
        <w:ind w:firstLine="560" w:firstLineChars="200"/>
        <w:rPr>
          <w:rFonts w:ascii="仿宋_GB2312" w:eastAsia="仿宋_GB2312"/>
          <w:color w:val="000000" w:themeColor="text1"/>
          <w:sz w:val="28"/>
          <w:szCs w:val="28"/>
          <w:highlight w:val="none"/>
        </w:rPr>
      </w:pPr>
      <w:r>
        <w:rPr>
          <w:rFonts w:hint="eastAsia" w:ascii="仿宋_GB2312" w:eastAsia="仿宋_GB2312"/>
          <w:color w:val="000000" w:themeColor="text1"/>
          <w:sz w:val="28"/>
          <w:szCs w:val="28"/>
          <w:highlight w:val="none"/>
        </w:rPr>
        <w:t>本企业对上述声明内容的真实性负责。如有虚假，将依法承担相应责任。</w:t>
      </w:r>
    </w:p>
    <w:p w14:paraId="05083B8F">
      <w:pPr>
        <w:wordWrap w:val="0"/>
        <w:spacing w:line="360" w:lineRule="auto"/>
        <w:ind w:firstLine="560" w:firstLineChars="200"/>
        <w:jc w:val="right"/>
        <w:rPr>
          <w:rFonts w:ascii="仿宋_GB2312" w:eastAsia="仿宋_GB2312"/>
          <w:color w:val="000000" w:themeColor="text1"/>
          <w:sz w:val="28"/>
          <w:szCs w:val="28"/>
          <w:highlight w:val="none"/>
        </w:rPr>
      </w:pPr>
      <w:r>
        <w:rPr>
          <w:rFonts w:hint="eastAsia" w:ascii="仿宋_GB2312" w:eastAsia="仿宋_GB2312"/>
          <w:color w:val="000000" w:themeColor="text1"/>
          <w:sz w:val="28"/>
          <w:szCs w:val="28"/>
          <w:highlight w:val="none"/>
        </w:rPr>
        <w:t xml:space="preserve">企业名称（盖章）： </w:t>
      </w:r>
    </w:p>
    <w:p w14:paraId="78A4BC59">
      <w:pPr>
        <w:wordWrap w:val="0"/>
        <w:spacing w:line="360" w:lineRule="auto"/>
        <w:ind w:firstLine="560" w:firstLineChars="200"/>
        <w:jc w:val="right"/>
        <w:rPr>
          <w:rFonts w:ascii="仿宋_GB2312" w:eastAsia="仿宋_GB2312"/>
          <w:color w:val="000000" w:themeColor="text1"/>
          <w:sz w:val="28"/>
          <w:szCs w:val="28"/>
          <w:highlight w:val="none"/>
        </w:rPr>
      </w:pPr>
      <w:r>
        <w:rPr>
          <w:rFonts w:hint="eastAsia" w:ascii="仿宋_GB2312" w:eastAsia="仿宋_GB2312"/>
          <w:color w:val="000000" w:themeColor="text1"/>
          <w:sz w:val="28"/>
          <w:szCs w:val="28"/>
          <w:highlight w:val="none"/>
        </w:rPr>
        <w:t xml:space="preserve">日 期： </w:t>
      </w:r>
    </w:p>
    <w:p w14:paraId="3A930F18">
      <w:pPr>
        <w:spacing w:line="360" w:lineRule="auto"/>
        <w:rPr>
          <w:rFonts w:ascii="宋体" w:hAnsi="宋体"/>
          <w:color w:val="000000" w:themeColor="text1"/>
          <w:szCs w:val="21"/>
          <w:highlight w:val="none"/>
        </w:rPr>
      </w:pPr>
      <w:r>
        <w:rPr>
          <w:color w:val="000000" w:themeColor="text1"/>
          <w:highlight w:val="none"/>
        </w:rPr>
        <w:pict>
          <v:line id="直接连接符 1" o:spid="_x0000_s2053" o:spt="20" style="position:absolute;left:0pt;margin-left:0.4pt;margin-top:16.3pt;height:0pt;width:23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">
            <v:path arrowok="t"/>
            <v:fill focussize="0,0"/>
            <v:stroke weight="1.25pt" joinstyle="miter"/>
            <v:imagedata o:title=""/>
            <o:lock v:ext="edit"/>
          </v:line>
        </w:pict>
      </w:r>
    </w:p>
    <w:p w14:paraId="3FF40E73">
      <w:pPr>
        <w:spacing w:line="360" w:lineRule="auto"/>
        <w:rPr>
          <w:rFonts w:ascii="宋体" w:hAnsi="宋体"/>
          <w:color w:val="000000" w:themeColor="text1"/>
          <w:szCs w:val="21"/>
          <w:highlight w:val="none"/>
        </w:rPr>
      </w:pPr>
      <w:r>
        <w:rPr>
          <w:rFonts w:ascii="宋体" w:hAnsi="宋体"/>
          <w:color w:val="000000" w:themeColor="text1"/>
          <w:szCs w:val="21"/>
          <w:highlight w:val="none"/>
        </w:rPr>
        <w:fldChar w:fldCharType="begin"/>
      </w:r>
      <w:r>
        <w:rPr>
          <w:rFonts w:hint="eastAsia" w:ascii="宋体" w:hAnsi="宋体"/>
          <w:color w:val="000000" w:themeColor="text1"/>
          <w:szCs w:val="21"/>
          <w:highlight w:val="none"/>
        </w:rPr>
        <w:instrText xml:space="preserve">= 1 \* GB3</w:instrText>
      </w:r>
      <w:r>
        <w:rPr>
          <w:rFonts w:ascii="宋体" w:hAnsi="宋体"/>
          <w:color w:val="000000" w:themeColor="text1"/>
          <w:szCs w:val="21"/>
          <w:highlight w:val="none"/>
        </w:rPr>
        <w:fldChar w:fldCharType="separate"/>
      </w:r>
      <w:r>
        <w:rPr>
          <w:rFonts w:hint="eastAsia" w:ascii="宋体" w:hAnsi="宋体"/>
          <w:color w:val="000000" w:themeColor="text1"/>
          <w:szCs w:val="21"/>
          <w:highlight w:val="none"/>
        </w:rPr>
        <w:t>①</w:t>
      </w:r>
      <w:r>
        <w:rPr>
          <w:rFonts w:ascii="宋体" w:hAnsi="宋体"/>
          <w:color w:val="000000" w:themeColor="text1"/>
          <w:szCs w:val="21"/>
          <w:highlight w:val="none"/>
        </w:rPr>
        <w:fldChar w:fldCharType="end"/>
      </w:r>
      <w:r>
        <w:rPr>
          <w:rFonts w:hint="eastAsia" w:ascii="宋体" w:hAnsi="宋体"/>
          <w:color w:val="000000" w:themeColor="text1"/>
          <w:szCs w:val="21"/>
          <w:highlight w:val="none"/>
        </w:rPr>
        <w:t>从业人员、营业收入、资产总额填报上一年度数据，无上一年度数据的新成立企业可不填报。</w:t>
      </w:r>
    </w:p>
    <w:p w14:paraId="52A17637">
      <w:pPr>
        <w:spacing w:line="360" w:lineRule="auto"/>
        <w:rPr>
          <w:color w:val="000000" w:themeColor="text1"/>
          <w:highlight w:val="none"/>
        </w:rPr>
      </w:pPr>
    </w:p>
    <w:p w14:paraId="00DE89DB">
      <w:pPr>
        <w:rPr>
          <w:color w:val="000000" w:themeColor="text1"/>
          <w:highlight w:val="none"/>
        </w:rPr>
        <w:sectPr>
          <w:pgSz w:w="11906" w:h="16838"/>
          <w:pgMar w:top="1418" w:right="1418" w:bottom="1418" w:left="1418" w:header="851" w:footer="851" w:gutter="0"/>
          <w:cols w:space="425" w:num="1"/>
          <w:titlePg/>
          <w:docGrid w:linePitch="312" w:charSpace="0"/>
        </w:sectPr>
      </w:pPr>
    </w:p>
    <w:p w14:paraId="5F4DA736">
      <w:pPr>
        <w:pStyle w:val="6"/>
        <w:spacing w:before="0" w:after="0"/>
        <w:ind w:firstLine="0" w:firstLineChars="0"/>
        <w:jc w:val="left"/>
        <w:rPr>
          <w:rFonts w:ascii="宋体" w:hAnsi="宋体" w:eastAsia="宋体" w:cs="宋体"/>
          <w:color w:val="000000" w:themeColor="text1"/>
          <w:sz w:val="24"/>
          <w:szCs w:val="24"/>
          <w:highlight w:val="none"/>
        </w:rPr>
      </w:pPr>
      <w:bookmarkStart w:id="294" w:name="_Toc96338077"/>
      <w:r>
        <w:rPr>
          <w:rFonts w:hint="eastAsia" w:ascii="宋体" w:hAnsi="宋体" w:eastAsia="宋体" w:cs="宋体"/>
          <w:color w:val="000000" w:themeColor="text1"/>
          <w:sz w:val="24"/>
          <w:szCs w:val="24"/>
          <w:highlight w:val="none"/>
        </w:rPr>
        <w:t>1.1</w:t>
      </w:r>
      <w:r>
        <w:rPr>
          <w:rFonts w:hint="eastAsia" w:ascii="宋体" w:hAnsi="宋体" w:eastAsia="宋体" w:cs="宋体"/>
          <w:color w:val="000000" w:themeColor="text1"/>
          <w:sz w:val="24"/>
          <w:szCs w:val="24"/>
          <w:highlight w:val="none"/>
          <w:lang w:val="en-US" w:eastAsia="zh-CN"/>
        </w:rPr>
        <w:t>0</w:t>
      </w:r>
      <w:r>
        <w:rPr>
          <w:rFonts w:hint="eastAsia" w:ascii="宋体" w:hAnsi="宋体" w:eastAsia="宋体" w:cs="宋体"/>
          <w:color w:val="000000" w:themeColor="text1"/>
          <w:sz w:val="24"/>
          <w:szCs w:val="24"/>
          <w:highlight w:val="none"/>
        </w:rPr>
        <w:t>残疾人福利性</w:t>
      </w:r>
      <w:r>
        <w:rPr>
          <w:rFonts w:ascii="宋体" w:hAnsi="宋体" w:eastAsia="宋体" w:cs="宋体"/>
          <w:color w:val="000000" w:themeColor="text1"/>
          <w:sz w:val="24"/>
          <w:szCs w:val="24"/>
          <w:highlight w:val="none"/>
        </w:rPr>
        <w:t>单位</w:t>
      </w:r>
      <w:r>
        <w:rPr>
          <w:rFonts w:hint="eastAsia" w:ascii="宋体" w:hAnsi="宋体" w:eastAsia="宋体" w:cs="宋体"/>
          <w:color w:val="000000" w:themeColor="text1"/>
          <w:sz w:val="24"/>
          <w:szCs w:val="24"/>
          <w:highlight w:val="none"/>
        </w:rPr>
        <w:t>声明函格式</w:t>
      </w:r>
      <w:bookmarkEnd w:id="294"/>
    </w:p>
    <w:p w14:paraId="22EE24E0">
      <w:pPr>
        <w:widowControl/>
        <w:spacing w:line="360" w:lineRule="auto"/>
        <w:jc w:val="center"/>
        <w:rPr>
          <w:rFonts w:ascii="仿宋_GB2312" w:hAnsi="Times New Roman" w:eastAsia="仿宋_GB2312"/>
          <w:b/>
          <w:bCs/>
          <w:color w:val="000000" w:themeColor="text1"/>
          <w:spacing w:val="6"/>
          <w:kern w:val="0"/>
          <w:sz w:val="32"/>
          <w:szCs w:val="32"/>
          <w:highlight w:val="none"/>
        </w:rPr>
      </w:pPr>
      <w:r>
        <w:rPr>
          <w:rFonts w:hint="eastAsia" w:ascii="仿宋_GB2312" w:hAnsi="Times New Roman" w:eastAsia="仿宋_GB2312"/>
          <w:b/>
          <w:bCs/>
          <w:color w:val="000000" w:themeColor="text1"/>
          <w:spacing w:val="6"/>
          <w:kern w:val="0"/>
          <w:sz w:val="32"/>
          <w:szCs w:val="32"/>
          <w:highlight w:val="none"/>
        </w:rPr>
        <w:t>残疾人福利性单位声明函</w:t>
      </w:r>
    </w:p>
    <w:p w14:paraId="5D991FBB">
      <w:pPr>
        <w:widowControl/>
        <w:spacing w:line="360" w:lineRule="auto"/>
        <w:jc w:val="center"/>
        <w:rPr>
          <w:rFonts w:ascii="Times New Roman" w:hAnsi="Times New Roman" w:eastAsia="方正小标宋_GBK"/>
          <w:bCs/>
          <w:color w:val="000000" w:themeColor="text1"/>
          <w:spacing w:val="6"/>
          <w:kern w:val="0"/>
          <w:sz w:val="36"/>
          <w:szCs w:val="36"/>
          <w:highlight w:val="none"/>
        </w:rPr>
      </w:pPr>
    </w:p>
    <w:p w14:paraId="69ACF14C">
      <w:pPr>
        <w:widowControl/>
        <w:spacing w:line="360" w:lineRule="auto"/>
        <w:ind w:firstLine="601"/>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i/>
          <w:color w:val="000000" w:themeColor="text1"/>
          <w:sz w:val="24"/>
          <w:szCs w:val="24"/>
          <w:highlight w:val="none"/>
          <w:u w:val="single"/>
        </w:rPr>
        <w:t>（采购</w:t>
      </w:r>
      <w:r>
        <w:rPr>
          <w:rFonts w:asciiTheme="minorEastAsia" w:hAnsiTheme="minorEastAsia" w:eastAsiaTheme="minorEastAsia"/>
          <w:i/>
          <w:color w:val="000000" w:themeColor="text1"/>
          <w:sz w:val="24"/>
          <w:szCs w:val="24"/>
          <w:highlight w:val="none"/>
          <w:u w:val="single"/>
        </w:rPr>
        <w:t>人名称</w:t>
      </w:r>
      <w:r>
        <w:rPr>
          <w:rFonts w:hint="eastAsia" w:asciiTheme="minorEastAsia" w:hAnsiTheme="minorEastAsia" w:eastAsiaTheme="minorEastAsia"/>
          <w:i/>
          <w:color w:val="000000" w:themeColor="text1"/>
          <w:sz w:val="24"/>
          <w:szCs w:val="24"/>
          <w:highlight w:val="none"/>
          <w:u w:val="single"/>
        </w:rPr>
        <w:t>）</w:t>
      </w:r>
      <w:r>
        <w:rPr>
          <w:rFonts w:hint="eastAsia" w:asciiTheme="minorEastAsia" w:hAnsiTheme="minorEastAsia" w:eastAsiaTheme="minorEastAsia"/>
          <w:color w:val="000000" w:themeColor="text1"/>
          <w:sz w:val="24"/>
          <w:szCs w:val="24"/>
          <w:highlight w:val="none"/>
        </w:rPr>
        <w:t>的项目采购活动提供本单位制造的货物（由本单位承担工程/提供服务），或者提供其他残疾人福利性单位制造的货物（不包括使用非残疾人福利性单位注册商标的货物）。</w:t>
      </w:r>
    </w:p>
    <w:p w14:paraId="65FEB268">
      <w:pPr>
        <w:widowControl/>
        <w:spacing w:line="360" w:lineRule="auto"/>
        <w:ind w:firstLine="60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本单位对上述声明的真实性负责。如有虚假，将依法承担相应责任。</w:t>
      </w:r>
    </w:p>
    <w:p w14:paraId="61D7066E">
      <w:pPr>
        <w:widowControl/>
        <w:spacing w:line="360" w:lineRule="auto"/>
        <w:rPr>
          <w:rFonts w:asciiTheme="minorEastAsia" w:hAnsiTheme="minorEastAsia" w:eastAsiaTheme="minorEastAsia"/>
          <w:color w:val="000000" w:themeColor="text1"/>
          <w:spacing w:val="6"/>
          <w:kern w:val="0"/>
          <w:sz w:val="24"/>
          <w:szCs w:val="24"/>
          <w:highlight w:val="none"/>
        </w:rPr>
      </w:pPr>
    </w:p>
    <w:p w14:paraId="57E3B44D">
      <w:pPr>
        <w:widowControl/>
        <w:spacing w:line="360" w:lineRule="auto"/>
        <w:rPr>
          <w:rFonts w:asciiTheme="minorEastAsia" w:hAnsiTheme="minorEastAsia" w:eastAsiaTheme="minorEastAsia"/>
          <w:color w:val="000000" w:themeColor="text1"/>
          <w:spacing w:val="6"/>
          <w:kern w:val="0"/>
          <w:sz w:val="24"/>
          <w:szCs w:val="24"/>
          <w:highlight w:val="none"/>
        </w:rPr>
      </w:pPr>
    </w:p>
    <w:p w14:paraId="6D07E9D3">
      <w:pPr>
        <w:widowControl/>
        <w:spacing w:line="360" w:lineRule="auto"/>
        <w:ind w:right="1560" w:firstLine="600"/>
        <w:jc w:val="center"/>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单位名称（盖章）：</w:t>
      </w:r>
    </w:p>
    <w:p w14:paraId="22882833">
      <w:pPr>
        <w:widowControl/>
        <w:spacing w:line="360" w:lineRule="auto"/>
        <w:ind w:right="1560" w:firstLine="600"/>
        <w:jc w:val="center"/>
        <w:rPr>
          <w:rFonts w:cs="宋体" w:asciiTheme="minorEastAsia" w:hAnsiTheme="minorEastAsia" w:eastAsiaTheme="minorEastAsia"/>
          <w:color w:val="000000" w:themeColor="text1"/>
          <w:kern w:val="0"/>
          <w:sz w:val="24"/>
          <w:szCs w:val="24"/>
          <w:highlight w:val="none"/>
        </w:rPr>
      </w:pPr>
      <w:r>
        <w:rPr>
          <w:rFonts w:hint="eastAsia" w:asciiTheme="minorEastAsia" w:hAnsiTheme="minorEastAsia" w:eastAsiaTheme="minorEastAsia"/>
          <w:color w:val="000000" w:themeColor="text1"/>
          <w:sz w:val="24"/>
          <w:szCs w:val="24"/>
          <w:highlight w:val="none"/>
        </w:rPr>
        <w:t>日  期：</w:t>
      </w:r>
    </w:p>
    <w:p w14:paraId="7DA40FD3">
      <w:pPr>
        <w:spacing w:line="360" w:lineRule="auto"/>
        <w:rPr>
          <w:color w:val="000000" w:themeColor="text1"/>
          <w:sz w:val="28"/>
          <w:szCs w:val="28"/>
          <w:highlight w:val="none"/>
        </w:rPr>
      </w:pPr>
    </w:p>
    <w:p w14:paraId="220163DB">
      <w:pPr>
        <w:spacing w:line="360" w:lineRule="auto"/>
        <w:rPr>
          <w:color w:val="000000" w:themeColor="text1"/>
          <w:highlight w:val="none"/>
        </w:rPr>
        <w:sectPr>
          <w:pgSz w:w="11906" w:h="16838"/>
          <w:pgMar w:top="1418" w:right="1418" w:bottom="1418" w:left="1418" w:header="851" w:footer="851" w:gutter="0"/>
          <w:cols w:space="425" w:num="1"/>
          <w:titlePg/>
          <w:docGrid w:linePitch="312" w:charSpace="0"/>
        </w:sectPr>
      </w:pPr>
    </w:p>
    <w:p w14:paraId="5C816576">
      <w:pPr>
        <w:pStyle w:val="6"/>
        <w:spacing w:before="0" w:after="0"/>
        <w:ind w:firstLine="0" w:firstLineChars="0"/>
        <w:jc w:val="left"/>
        <w:rPr>
          <w:rFonts w:ascii="宋体" w:hAnsi="宋体" w:eastAsia="宋体" w:cs="宋体"/>
          <w:color w:val="000000" w:themeColor="text1"/>
          <w:sz w:val="24"/>
          <w:szCs w:val="24"/>
          <w:highlight w:val="none"/>
        </w:rPr>
      </w:pPr>
      <w:bookmarkStart w:id="295" w:name="_Toc96338078"/>
      <w:r>
        <w:rPr>
          <w:rFonts w:hint="eastAsia" w:ascii="宋体" w:hAnsi="宋体" w:eastAsia="宋体" w:cs="宋体"/>
          <w:color w:val="000000" w:themeColor="text1"/>
          <w:sz w:val="24"/>
          <w:szCs w:val="24"/>
          <w:highlight w:val="none"/>
        </w:rPr>
        <w:t>1.1</w:t>
      </w:r>
      <w:r>
        <w:rPr>
          <w:rFonts w:hint="eastAsia" w:ascii="宋体" w:hAnsi="宋体" w:eastAsia="宋体" w:cs="宋体"/>
          <w:color w:val="000000" w:themeColor="text1"/>
          <w:sz w:val="24"/>
          <w:szCs w:val="24"/>
          <w:highlight w:val="none"/>
          <w:lang w:val="en-US" w:eastAsia="zh-CN"/>
        </w:rPr>
        <w:t>1</w:t>
      </w:r>
      <w:r>
        <w:rPr>
          <w:rFonts w:hint="eastAsia" w:ascii="宋体" w:hAnsi="宋体" w:eastAsia="宋体" w:cs="宋体"/>
          <w:color w:val="000000" w:themeColor="text1"/>
          <w:sz w:val="24"/>
          <w:szCs w:val="24"/>
          <w:highlight w:val="none"/>
        </w:rPr>
        <w:t>监狱企业</w:t>
      </w:r>
      <w:r>
        <w:rPr>
          <w:rFonts w:ascii="宋体" w:hAnsi="宋体" w:eastAsia="宋体" w:cs="宋体"/>
          <w:color w:val="000000" w:themeColor="text1"/>
          <w:sz w:val="24"/>
          <w:szCs w:val="24"/>
          <w:highlight w:val="none"/>
        </w:rPr>
        <w:t>证明</w:t>
      </w:r>
      <w:r>
        <w:rPr>
          <w:rFonts w:hint="eastAsia" w:ascii="宋体" w:hAnsi="宋体" w:eastAsia="宋体" w:cs="宋体"/>
          <w:color w:val="000000" w:themeColor="text1"/>
          <w:sz w:val="24"/>
          <w:szCs w:val="24"/>
          <w:highlight w:val="none"/>
        </w:rPr>
        <w:t>格式</w:t>
      </w:r>
      <w:bookmarkEnd w:id="295"/>
    </w:p>
    <w:p w14:paraId="0285C0B0">
      <w:pPr>
        <w:spacing w:line="360" w:lineRule="auto"/>
        <w:jc w:val="center"/>
        <w:rPr>
          <w:rFonts w:ascii="仿宋_GB2312" w:hAnsi="Times New Roman" w:eastAsia="仿宋_GB2312"/>
          <w:b/>
          <w:color w:val="000000" w:themeColor="text1"/>
          <w:sz w:val="32"/>
          <w:szCs w:val="32"/>
          <w:highlight w:val="none"/>
        </w:rPr>
      </w:pPr>
      <w:r>
        <w:rPr>
          <w:rFonts w:hint="eastAsia" w:ascii="仿宋_GB2312" w:hAnsi="宋体" w:eastAsia="仿宋_GB2312"/>
          <w:b/>
          <w:color w:val="000000" w:themeColor="text1"/>
          <w:sz w:val="32"/>
          <w:szCs w:val="32"/>
          <w:highlight w:val="none"/>
        </w:rPr>
        <w:t>监狱企业证明</w:t>
      </w:r>
    </w:p>
    <w:p w14:paraId="05868899">
      <w:pPr>
        <w:spacing w:line="360" w:lineRule="auto"/>
        <w:jc w:val="center"/>
        <w:rPr>
          <w:rFonts w:asciiTheme="minorEastAsia" w:hAnsiTheme="minorEastAsia" w:eastAsiaTheme="minorEastAsia"/>
          <w:color w:val="000000" w:themeColor="text1"/>
          <w:sz w:val="24"/>
          <w:szCs w:val="24"/>
          <w:highlight w:val="none"/>
        </w:rPr>
      </w:pPr>
    </w:p>
    <w:p w14:paraId="38644654">
      <w:pPr>
        <w:spacing w:line="360" w:lineRule="auto"/>
        <w:ind w:firstLine="482" w:firstLineChars="200"/>
        <w:jc w:val="left"/>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b/>
          <w:color w:val="000000" w:themeColor="text1"/>
          <w:sz w:val="24"/>
          <w:szCs w:val="24"/>
          <w:highlight w:val="none"/>
        </w:rPr>
        <w:t>注</w:t>
      </w:r>
      <w:r>
        <w:rPr>
          <w:rFonts w:asciiTheme="minorEastAsia" w:hAnsiTheme="minorEastAsia" w:eastAsiaTheme="minorEastAsia"/>
          <w:b/>
          <w:color w:val="000000" w:themeColor="text1"/>
          <w:sz w:val="24"/>
          <w:szCs w:val="24"/>
          <w:highlight w:val="none"/>
        </w:rPr>
        <w:t>：</w:t>
      </w:r>
      <w:r>
        <w:rPr>
          <w:rFonts w:hint="eastAsia" w:asciiTheme="minorEastAsia" w:hAnsiTheme="minorEastAsia" w:eastAsiaTheme="minorEastAsia"/>
          <w:color w:val="000000" w:themeColor="text1"/>
          <w:sz w:val="24"/>
          <w:szCs w:val="24"/>
          <w:highlight w:val="none"/>
        </w:rPr>
        <w:t>须</w:t>
      </w:r>
      <w:r>
        <w:rPr>
          <w:rFonts w:asciiTheme="minorEastAsia" w:hAnsiTheme="minorEastAsia" w:eastAsiaTheme="minorEastAsia"/>
          <w:color w:val="000000" w:themeColor="text1"/>
          <w:sz w:val="24"/>
          <w:szCs w:val="24"/>
          <w:highlight w:val="none"/>
        </w:rPr>
        <w:t>提供</w:t>
      </w:r>
      <w:r>
        <w:rPr>
          <w:rFonts w:hint="eastAsia" w:asciiTheme="minorEastAsia" w:hAnsiTheme="minorEastAsia" w:eastAsiaTheme="minorEastAsia"/>
          <w:color w:val="000000" w:themeColor="text1"/>
          <w:sz w:val="24"/>
          <w:szCs w:val="24"/>
          <w:highlight w:val="none"/>
        </w:rPr>
        <w:t>省级以上监狱管理局、戒毒管理局（含新疆生产建设兵团）出具的属于监狱企业的证明文件</w:t>
      </w:r>
    </w:p>
    <w:p w14:paraId="35DE2522">
      <w:pPr>
        <w:rPr>
          <w:rFonts w:asciiTheme="minorEastAsia" w:hAnsiTheme="minorEastAsia" w:eastAsiaTheme="minorEastAsia"/>
          <w:color w:val="000000" w:themeColor="text1"/>
          <w:sz w:val="24"/>
          <w:szCs w:val="24"/>
          <w:highlight w:val="none"/>
        </w:rPr>
      </w:pPr>
    </w:p>
    <w:p w14:paraId="1D5F0504">
      <w:pPr>
        <w:pStyle w:val="188"/>
        <w:spacing w:line="360" w:lineRule="auto"/>
        <w:ind w:right="420"/>
        <w:rPr>
          <w:rFonts w:cs="宋体" w:asciiTheme="minorEastAsia" w:hAnsiTheme="minorEastAsia" w:eastAsiaTheme="minorEastAsia"/>
          <w:b/>
          <w:bCs/>
          <w:color w:val="000000" w:themeColor="text1"/>
          <w:sz w:val="24"/>
          <w:highlight w:val="none"/>
        </w:rPr>
      </w:pPr>
    </w:p>
    <w:bookmarkEnd w:id="288"/>
    <w:bookmarkEnd w:id="289"/>
    <w:bookmarkEnd w:id="290"/>
    <w:bookmarkEnd w:id="291"/>
    <w:p w14:paraId="643F300F">
      <w:pPr>
        <w:pStyle w:val="6"/>
        <w:spacing w:before="0" w:after="0"/>
        <w:ind w:firstLine="0" w:firstLineChars="0"/>
        <w:jc w:val="lef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w:t>
      </w:r>
      <w:r>
        <w:rPr>
          <w:rFonts w:hint="eastAsia" w:ascii="宋体" w:hAnsi="宋体" w:eastAsia="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rPr>
        <w:t>其他</w:t>
      </w:r>
    </w:p>
    <w:p w14:paraId="6FA5A4E6">
      <w:pPr>
        <w:pStyle w:val="199"/>
        <w:spacing w:line="360" w:lineRule="auto"/>
        <w:rPr>
          <w:rFonts w:cs="宋体" w:asciiTheme="minorEastAsia" w:hAnsiTheme="minorEastAsia" w:eastAsiaTheme="minorEastAsia"/>
          <w:b/>
          <w:bCs/>
          <w:color w:val="000000" w:themeColor="text1"/>
          <w:sz w:val="24"/>
          <w:highlight w:val="none"/>
        </w:rPr>
      </w:pPr>
    </w:p>
    <w:p w14:paraId="16AAB7B9">
      <w:pPr>
        <w:pStyle w:val="199"/>
        <w:spacing w:line="360" w:lineRule="auto"/>
        <w:jc w:val="center"/>
        <w:rPr>
          <w:rFonts w:cs="宋体" w:asciiTheme="minorEastAsia" w:hAnsiTheme="minorEastAsia" w:eastAsiaTheme="minorEastAsia"/>
          <w:color w:val="000000" w:themeColor="text1"/>
          <w:spacing w:val="6"/>
          <w:sz w:val="24"/>
          <w:highlight w:val="none"/>
        </w:rPr>
      </w:pPr>
      <w:r>
        <w:rPr>
          <w:rFonts w:hint="eastAsia" w:cs="宋体" w:asciiTheme="minorEastAsia" w:hAnsiTheme="minorEastAsia" w:eastAsiaTheme="minorEastAsia"/>
          <w:color w:val="000000" w:themeColor="text1"/>
          <w:spacing w:val="6"/>
          <w:sz w:val="24"/>
          <w:highlight w:val="none"/>
        </w:rPr>
        <w:t>（供应商认为有利于其本次响应的其它资格证明材料等。）</w:t>
      </w:r>
    </w:p>
    <w:p w14:paraId="24E481D6">
      <w:pPr>
        <w:pStyle w:val="7"/>
        <w:rPr>
          <w:rFonts w:ascii="宋体" w:hAnsi="宋体" w:cs="宋体"/>
          <w:color w:val="000000" w:themeColor="text1"/>
          <w:highlight w:val="none"/>
        </w:rPr>
        <w:sectPr>
          <w:pgSz w:w="11906" w:h="16838"/>
          <w:pgMar w:top="1418" w:right="1418" w:bottom="1418" w:left="1418" w:header="851" w:footer="851" w:gutter="0"/>
          <w:cols w:space="720" w:num="1"/>
          <w:docGrid w:linePitch="312" w:charSpace="0"/>
        </w:sectPr>
      </w:pPr>
    </w:p>
    <w:p w14:paraId="5273AA25">
      <w:pPr>
        <w:pStyle w:val="43"/>
        <w:spacing w:beforeLines="100" w:afterLines="100"/>
        <w:outlineLvl w:val="1"/>
        <w:rPr>
          <w:rFonts w:ascii="宋体" w:hAnsi="宋体" w:cs="宋体"/>
          <w:color w:val="000000" w:themeColor="text1"/>
          <w:sz w:val="44"/>
          <w:szCs w:val="44"/>
          <w:highlight w:val="none"/>
        </w:rPr>
      </w:pPr>
      <w:bookmarkStart w:id="296" w:name="_Toc531359054"/>
      <w:bookmarkStart w:id="297" w:name="_Toc530551883"/>
      <w:bookmarkStart w:id="298" w:name="_Toc80973306"/>
      <w:bookmarkStart w:id="299" w:name="_Toc493956058"/>
      <w:r>
        <w:rPr>
          <w:rFonts w:hint="eastAsia" w:ascii="宋体" w:hAnsi="宋体" w:cs="宋体"/>
          <w:color w:val="000000" w:themeColor="text1"/>
          <w:sz w:val="44"/>
          <w:szCs w:val="44"/>
          <w:highlight w:val="none"/>
        </w:rPr>
        <w:t>二  资信商务及技术文件格式</w:t>
      </w:r>
      <w:bookmarkEnd w:id="296"/>
      <w:bookmarkEnd w:id="297"/>
      <w:bookmarkEnd w:id="298"/>
      <w:bookmarkEnd w:id="299"/>
    </w:p>
    <w:p w14:paraId="14F3F566">
      <w:pPr>
        <w:pStyle w:val="182"/>
        <w:spacing w:line="360" w:lineRule="auto"/>
        <w:jc w:val="left"/>
        <w:rPr>
          <w:rFonts w:ascii="宋体" w:hAnsi="宋体" w:cs="宋体"/>
          <w:color w:val="000000" w:themeColor="text1"/>
          <w:sz w:val="24"/>
          <w:szCs w:val="24"/>
          <w:highlight w:val="none"/>
        </w:rPr>
      </w:pPr>
      <w:bookmarkStart w:id="300" w:name="_Toc531359055"/>
      <w:bookmarkStart w:id="301" w:name="_Toc530551884"/>
      <w:bookmarkStart w:id="302" w:name="_Toc493956059"/>
    </w:p>
    <w:bookmarkEnd w:id="300"/>
    <w:p w14:paraId="21831061">
      <w:pPr>
        <w:pStyle w:val="6"/>
        <w:spacing w:before="0" w:after="0"/>
        <w:ind w:firstLine="0" w:firstLineChars="0"/>
        <w:jc w:val="left"/>
        <w:rPr>
          <w:rFonts w:ascii="宋体" w:hAnsi="宋体" w:eastAsia="宋体" w:cs="宋体"/>
          <w:color w:val="000000" w:themeColor="text1"/>
          <w:sz w:val="24"/>
          <w:szCs w:val="24"/>
          <w:highlight w:val="none"/>
        </w:rPr>
      </w:pPr>
      <w:bookmarkStart w:id="303" w:name="_Toc531359056"/>
      <w:bookmarkStart w:id="304" w:name="_Toc80973307"/>
      <w:r>
        <w:rPr>
          <w:rFonts w:hint="eastAsia" w:ascii="宋体" w:hAnsi="宋体" w:eastAsia="宋体" w:cs="宋体"/>
          <w:color w:val="000000" w:themeColor="text1"/>
          <w:sz w:val="24"/>
          <w:szCs w:val="24"/>
          <w:highlight w:val="none"/>
        </w:rPr>
        <w:t>2.1    资信商务及技术文件封面</w:t>
      </w:r>
      <w:bookmarkEnd w:id="303"/>
      <w:r>
        <w:rPr>
          <w:rFonts w:hint="eastAsia" w:ascii="宋体" w:hAnsi="宋体" w:eastAsia="宋体" w:cs="宋体"/>
          <w:color w:val="000000" w:themeColor="text1"/>
          <w:sz w:val="24"/>
          <w:szCs w:val="24"/>
          <w:highlight w:val="none"/>
        </w:rPr>
        <w:t>格式</w:t>
      </w:r>
      <w:bookmarkEnd w:id="304"/>
    </w:p>
    <w:p w14:paraId="7DA13B77">
      <w:pPr>
        <w:pStyle w:val="7"/>
        <w:ind w:firstLine="0"/>
        <w:rPr>
          <w:rFonts w:ascii="宋体" w:hAnsi="宋体" w:cs="宋体"/>
          <w:color w:val="000000" w:themeColor="text1"/>
          <w:highlight w:val="none"/>
        </w:rPr>
      </w:pPr>
    </w:p>
    <w:p w14:paraId="46121226">
      <w:pPr>
        <w:pStyle w:val="7"/>
        <w:ind w:firstLine="0"/>
        <w:rPr>
          <w:rFonts w:ascii="宋体" w:hAnsi="宋体" w:cs="宋体"/>
          <w:color w:val="000000" w:themeColor="text1"/>
          <w:highlight w:val="none"/>
        </w:rPr>
      </w:pPr>
    </w:p>
    <w:p w14:paraId="7886C5EF">
      <w:pPr>
        <w:pStyle w:val="7"/>
        <w:ind w:firstLine="0"/>
        <w:rPr>
          <w:rFonts w:ascii="宋体" w:hAnsi="宋体" w:cs="宋体"/>
          <w:color w:val="000000" w:themeColor="text1"/>
          <w:highlight w:val="none"/>
        </w:rPr>
      </w:pPr>
    </w:p>
    <w:p w14:paraId="47065FCC">
      <w:pPr>
        <w:pStyle w:val="7"/>
        <w:ind w:firstLine="0"/>
        <w:rPr>
          <w:rFonts w:ascii="宋体" w:hAnsi="宋体" w:cs="宋体"/>
          <w:color w:val="000000" w:themeColor="text1"/>
          <w:highlight w:val="none"/>
        </w:rPr>
      </w:pPr>
    </w:p>
    <w:p w14:paraId="4CCCA621">
      <w:pPr>
        <w:pStyle w:val="7"/>
        <w:ind w:firstLine="0"/>
        <w:rPr>
          <w:rFonts w:ascii="宋体" w:hAnsi="宋体" w:cs="宋体"/>
          <w:color w:val="000000" w:themeColor="text1"/>
          <w:highlight w:val="none"/>
        </w:rPr>
      </w:pPr>
    </w:p>
    <w:p w14:paraId="2B0DD3B7">
      <w:pPr>
        <w:pStyle w:val="7"/>
        <w:spacing w:line="360" w:lineRule="auto"/>
        <w:ind w:firstLine="0"/>
        <w:jc w:val="center"/>
        <w:rPr>
          <w:rFonts w:ascii="宋体" w:hAnsi="宋体" w:cs="宋体"/>
          <w:bCs/>
          <w:color w:val="000000" w:themeColor="text1"/>
          <w:sz w:val="24"/>
          <w:highlight w:val="none"/>
        </w:rPr>
      </w:pPr>
      <w:r>
        <w:rPr>
          <w:rFonts w:hint="eastAsia" w:ascii="宋体" w:hAnsi="宋体" w:cs="宋体"/>
          <w:b/>
          <w:color w:val="000000" w:themeColor="text1"/>
          <w:sz w:val="32"/>
          <w:szCs w:val="32"/>
          <w:highlight w:val="none"/>
        </w:rPr>
        <w:t>磋商响应文件</w:t>
      </w:r>
    </w:p>
    <w:tbl>
      <w:tblPr>
        <w:tblStyle w:val="46"/>
        <w:tblW w:w="7054" w:type="dxa"/>
        <w:jc w:val="center"/>
        <w:tblLayout w:type="fixed"/>
        <w:tblCellMar>
          <w:top w:w="0" w:type="dxa"/>
          <w:left w:w="108" w:type="dxa"/>
          <w:bottom w:w="0" w:type="dxa"/>
          <w:right w:w="108" w:type="dxa"/>
        </w:tblCellMar>
      </w:tblPr>
      <w:tblGrid>
        <w:gridCol w:w="2518"/>
        <w:gridCol w:w="4536"/>
      </w:tblGrid>
      <w:tr w14:paraId="3218A855">
        <w:tblPrEx>
          <w:tblCellMar>
            <w:top w:w="0" w:type="dxa"/>
            <w:left w:w="108" w:type="dxa"/>
            <w:bottom w:w="0" w:type="dxa"/>
            <w:right w:w="108" w:type="dxa"/>
          </w:tblCellMar>
        </w:tblPrEx>
        <w:trPr>
          <w:trHeight w:val="850" w:hRule="atLeast"/>
          <w:jc w:val="center"/>
        </w:trPr>
        <w:tc>
          <w:tcPr>
            <w:tcW w:w="2518" w:type="dxa"/>
            <w:vAlign w:val="center"/>
          </w:tcPr>
          <w:p w14:paraId="3DA4EC5C">
            <w:pPr>
              <w:jc w:val="distribute"/>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磋商响应文件名称：</w:t>
            </w:r>
          </w:p>
        </w:tc>
        <w:tc>
          <w:tcPr>
            <w:tcW w:w="4536" w:type="dxa"/>
            <w:vAlign w:val="center"/>
          </w:tcPr>
          <w:p w14:paraId="42C6F7E8">
            <w:pPr>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u w:val="single"/>
              </w:rPr>
              <w:t xml:space="preserve"> 资信商务及技术文件           </w:t>
            </w:r>
          </w:p>
        </w:tc>
      </w:tr>
      <w:tr w14:paraId="6D09C59E">
        <w:tblPrEx>
          <w:tblCellMar>
            <w:top w:w="0" w:type="dxa"/>
            <w:left w:w="108" w:type="dxa"/>
            <w:bottom w:w="0" w:type="dxa"/>
            <w:right w:w="108" w:type="dxa"/>
          </w:tblCellMar>
        </w:tblPrEx>
        <w:trPr>
          <w:trHeight w:val="850" w:hRule="atLeast"/>
          <w:jc w:val="center"/>
        </w:trPr>
        <w:tc>
          <w:tcPr>
            <w:tcW w:w="2518" w:type="dxa"/>
            <w:vAlign w:val="center"/>
          </w:tcPr>
          <w:p w14:paraId="49130C51">
            <w:pPr>
              <w:jc w:val="distribute"/>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项 目 编 号：</w:t>
            </w:r>
          </w:p>
        </w:tc>
        <w:tc>
          <w:tcPr>
            <w:tcW w:w="4536" w:type="dxa"/>
            <w:vAlign w:val="center"/>
          </w:tcPr>
          <w:p w14:paraId="05CBA781">
            <w:pPr>
              <w:jc w:val="left"/>
              <w:rPr>
                <w:rFonts w:ascii="宋体" w:hAnsi="宋体" w:cs="宋体"/>
                <w:color w:val="000000" w:themeColor="text1"/>
                <w:sz w:val="24"/>
                <w:szCs w:val="24"/>
                <w:highlight w:val="none"/>
              </w:rPr>
            </w:pPr>
          </w:p>
        </w:tc>
      </w:tr>
      <w:tr w14:paraId="55409BB4">
        <w:tblPrEx>
          <w:tblCellMar>
            <w:top w:w="0" w:type="dxa"/>
            <w:left w:w="108" w:type="dxa"/>
            <w:bottom w:w="0" w:type="dxa"/>
            <w:right w:w="108" w:type="dxa"/>
          </w:tblCellMar>
        </w:tblPrEx>
        <w:trPr>
          <w:trHeight w:val="850" w:hRule="atLeast"/>
          <w:jc w:val="center"/>
        </w:trPr>
        <w:tc>
          <w:tcPr>
            <w:tcW w:w="2518" w:type="dxa"/>
            <w:vAlign w:val="center"/>
          </w:tcPr>
          <w:p w14:paraId="2DAF3709">
            <w:pPr>
              <w:jc w:val="distribute"/>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项 目 名 称：</w:t>
            </w:r>
          </w:p>
        </w:tc>
        <w:tc>
          <w:tcPr>
            <w:tcW w:w="4536" w:type="dxa"/>
            <w:vAlign w:val="center"/>
          </w:tcPr>
          <w:p w14:paraId="56386CF5">
            <w:pPr>
              <w:jc w:val="left"/>
              <w:rPr>
                <w:rFonts w:ascii="宋体" w:hAnsi="宋体" w:cs="宋体"/>
                <w:color w:val="000000" w:themeColor="text1"/>
                <w:sz w:val="24"/>
                <w:szCs w:val="24"/>
                <w:highlight w:val="none"/>
              </w:rPr>
            </w:pPr>
          </w:p>
        </w:tc>
      </w:tr>
      <w:tr w14:paraId="660A7306">
        <w:tblPrEx>
          <w:tblCellMar>
            <w:top w:w="0" w:type="dxa"/>
            <w:left w:w="108" w:type="dxa"/>
            <w:bottom w:w="0" w:type="dxa"/>
            <w:right w:w="108" w:type="dxa"/>
          </w:tblCellMar>
        </w:tblPrEx>
        <w:trPr>
          <w:trHeight w:val="850" w:hRule="atLeast"/>
          <w:jc w:val="center"/>
        </w:trPr>
        <w:tc>
          <w:tcPr>
            <w:tcW w:w="2518" w:type="dxa"/>
            <w:vAlign w:val="center"/>
          </w:tcPr>
          <w:p w14:paraId="4766599A">
            <w:pPr>
              <w:jc w:val="distribute"/>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标      项：</w:t>
            </w:r>
          </w:p>
        </w:tc>
        <w:tc>
          <w:tcPr>
            <w:tcW w:w="4536" w:type="dxa"/>
            <w:vAlign w:val="center"/>
          </w:tcPr>
          <w:p w14:paraId="0D15CC42">
            <w:pPr>
              <w:jc w:val="left"/>
              <w:rPr>
                <w:rFonts w:ascii="宋体" w:hAnsi="宋体" w:cs="宋体"/>
                <w:color w:val="000000" w:themeColor="text1"/>
                <w:sz w:val="24"/>
                <w:szCs w:val="24"/>
                <w:highlight w:val="none"/>
              </w:rPr>
            </w:pPr>
          </w:p>
        </w:tc>
      </w:tr>
      <w:tr w14:paraId="302F075F">
        <w:tblPrEx>
          <w:tblCellMar>
            <w:top w:w="0" w:type="dxa"/>
            <w:left w:w="108" w:type="dxa"/>
            <w:bottom w:w="0" w:type="dxa"/>
            <w:right w:w="108" w:type="dxa"/>
          </w:tblCellMar>
        </w:tblPrEx>
        <w:trPr>
          <w:trHeight w:val="850" w:hRule="atLeast"/>
          <w:jc w:val="center"/>
        </w:trPr>
        <w:tc>
          <w:tcPr>
            <w:tcW w:w="2518" w:type="dxa"/>
            <w:vAlign w:val="center"/>
          </w:tcPr>
          <w:p w14:paraId="36707131">
            <w:pPr>
              <w:jc w:val="distribute"/>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供应商全称（盖章）：</w:t>
            </w:r>
          </w:p>
        </w:tc>
        <w:tc>
          <w:tcPr>
            <w:tcW w:w="4536" w:type="dxa"/>
            <w:vAlign w:val="center"/>
          </w:tcPr>
          <w:p w14:paraId="6DB99E78">
            <w:pPr>
              <w:jc w:val="left"/>
              <w:rPr>
                <w:rFonts w:ascii="宋体" w:hAnsi="宋体" w:cs="宋体"/>
                <w:color w:val="000000" w:themeColor="text1"/>
                <w:sz w:val="24"/>
                <w:szCs w:val="24"/>
                <w:highlight w:val="none"/>
              </w:rPr>
            </w:pPr>
          </w:p>
        </w:tc>
      </w:tr>
      <w:tr w14:paraId="20B98720">
        <w:tblPrEx>
          <w:tblCellMar>
            <w:top w:w="0" w:type="dxa"/>
            <w:left w:w="108" w:type="dxa"/>
            <w:bottom w:w="0" w:type="dxa"/>
            <w:right w:w="108" w:type="dxa"/>
          </w:tblCellMar>
        </w:tblPrEx>
        <w:trPr>
          <w:trHeight w:val="850" w:hRule="atLeast"/>
          <w:jc w:val="center"/>
        </w:trPr>
        <w:tc>
          <w:tcPr>
            <w:tcW w:w="2518" w:type="dxa"/>
            <w:vAlign w:val="center"/>
          </w:tcPr>
          <w:p w14:paraId="20E13E64">
            <w:pPr>
              <w:jc w:val="distribute"/>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供应商地址：</w:t>
            </w:r>
          </w:p>
        </w:tc>
        <w:tc>
          <w:tcPr>
            <w:tcW w:w="4536" w:type="dxa"/>
            <w:vAlign w:val="center"/>
          </w:tcPr>
          <w:p w14:paraId="4AB018A6">
            <w:pPr>
              <w:jc w:val="left"/>
              <w:rPr>
                <w:rFonts w:ascii="宋体" w:hAnsi="宋体" w:cs="宋体"/>
                <w:color w:val="000000" w:themeColor="text1"/>
                <w:sz w:val="24"/>
                <w:szCs w:val="24"/>
                <w:highlight w:val="none"/>
              </w:rPr>
            </w:pPr>
          </w:p>
        </w:tc>
      </w:tr>
      <w:tr w14:paraId="18FA213F">
        <w:tblPrEx>
          <w:tblCellMar>
            <w:top w:w="0" w:type="dxa"/>
            <w:left w:w="108" w:type="dxa"/>
            <w:bottom w:w="0" w:type="dxa"/>
            <w:right w:w="108" w:type="dxa"/>
          </w:tblCellMar>
        </w:tblPrEx>
        <w:trPr>
          <w:trHeight w:val="850" w:hRule="atLeast"/>
          <w:jc w:val="center"/>
        </w:trPr>
        <w:tc>
          <w:tcPr>
            <w:tcW w:w="7054" w:type="dxa"/>
            <w:gridSpan w:val="2"/>
            <w:vAlign w:val="center"/>
          </w:tcPr>
          <w:p w14:paraId="5E625D52">
            <w:pPr>
              <w:jc w:val="left"/>
              <w:rPr>
                <w:rFonts w:ascii="宋体" w:hAnsi="宋体" w:cs="宋体"/>
                <w:color w:val="000000" w:themeColor="text1"/>
                <w:sz w:val="24"/>
                <w:szCs w:val="24"/>
                <w:highlight w:val="none"/>
                <w:u w:val="single"/>
              </w:rPr>
            </w:pPr>
          </w:p>
        </w:tc>
      </w:tr>
      <w:tr w14:paraId="60B20E99">
        <w:tblPrEx>
          <w:tblCellMar>
            <w:top w:w="0" w:type="dxa"/>
            <w:left w:w="108" w:type="dxa"/>
            <w:bottom w:w="0" w:type="dxa"/>
            <w:right w:w="108" w:type="dxa"/>
          </w:tblCellMar>
        </w:tblPrEx>
        <w:trPr>
          <w:trHeight w:val="850" w:hRule="atLeast"/>
          <w:jc w:val="center"/>
        </w:trPr>
        <w:tc>
          <w:tcPr>
            <w:tcW w:w="7054" w:type="dxa"/>
            <w:gridSpan w:val="2"/>
            <w:vAlign w:val="center"/>
          </w:tcPr>
          <w:p w14:paraId="5F6E9964">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年  月  日</w:t>
            </w:r>
          </w:p>
        </w:tc>
      </w:tr>
    </w:tbl>
    <w:p w14:paraId="76B76E9B">
      <w:pPr>
        <w:spacing w:line="360" w:lineRule="auto"/>
        <w:rPr>
          <w:rFonts w:ascii="宋体" w:hAnsi="宋体" w:cs="宋体"/>
          <w:color w:val="000000" w:themeColor="text1"/>
          <w:sz w:val="24"/>
          <w:szCs w:val="24"/>
          <w:highlight w:val="none"/>
        </w:rPr>
      </w:pPr>
    </w:p>
    <w:p w14:paraId="5D6F2DEA">
      <w:pPr>
        <w:spacing w:line="360" w:lineRule="auto"/>
        <w:rPr>
          <w:rFonts w:ascii="宋体" w:hAnsi="宋体" w:cs="宋体"/>
          <w:color w:val="000000" w:themeColor="text1"/>
          <w:sz w:val="24"/>
          <w:szCs w:val="24"/>
          <w:highlight w:val="none"/>
        </w:rPr>
      </w:pPr>
    </w:p>
    <w:p w14:paraId="7CC17689">
      <w:pPr>
        <w:rPr>
          <w:rFonts w:ascii="宋体" w:hAnsi="宋体" w:cs="宋体"/>
          <w:color w:val="000000" w:themeColor="text1"/>
          <w:highlight w:val="none"/>
        </w:rPr>
      </w:pPr>
      <w:bookmarkStart w:id="305" w:name="_Toc80973308"/>
      <w:bookmarkStart w:id="306" w:name="_Toc531359057"/>
    </w:p>
    <w:p w14:paraId="4AD9B3A8">
      <w:pPr>
        <w:rPr>
          <w:rFonts w:ascii="宋体" w:hAnsi="宋体" w:cs="宋体"/>
          <w:color w:val="000000" w:themeColor="text1"/>
          <w:highlight w:val="none"/>
        </w:rPr>
      </w:pPr>
    </w:p>
    <w:p w14:paraId="18DF996F">
      <w:pPr>
        <w:rPr>
          <w:rFonts w:ascii="宋体" w:hAnsi="宋体" w:cs="宋体"/>
          <w:color w:val="000000" w:themeColor="text1"/>
          <w:highlight w:val="none"/>
        </w:rPr>
      </w:pPr>
    </w:p>
    <w:p w14:paraId="56C77697">
      <w:pPr>
        <w:rPr>
          <w:rFonts w:ascii="宋体" w:hAnsi="宋体" w:cs="宋体"/>
          <w:color w:val="000000" w:themeColor="text1"/>
          <w:highlight w:val="none"/>
        </w:rPr>
      </w:pPr>
    </w:p>
    <w:p w14:paraId="391E864F">
      <w:pPr>
        <w:rPr>
          <w:rFonts w:ascii="宋体" w:hAnsi="宋体" w:cs="宋体"/>
          <w:color w:val="000000" w:themeColor="text1"/>
          <w:highlight w:val="none"/>
        </w:rPr>
      </w:pPr>
    </w:p>
    <w:p w14:paraId="6552F427">
      <w:pPr>
        <w:rPr>
          <w:rFonts w:ascii="宋体" w:hAnsi="宋体" w:cs="宋体"/>
          <w:color w:val="000000" w:themeColor="text1"/>
          <w:highlight w:val="none"/>
        </w:rPr>
      </w:pPr>
    </w:p>
    <w:p w14:paraId="10A1C390">
      <w:pPr>
        <w:rPr>
          <w:rFonts w:ascii="宋体" w:hAnsi="宋体" w:cs="宋体"/>
          <w:color w:val="000000" w:themeColor="text1"/>
          <w:highlight w:val="none"/>
        </w:rPr>
      </w:pPr>
    </w:p>
    <w:p w14:paraId="257625CE">
      <w:pPr>
        <w:rPr>
          <w:rFonts w:ascii="宋体" w:hAnsi="宋体" w:cs="宋体"/>
          <w:color w:val="000000" w:themeColor="text1"/>
          <w:highlight w:val="none"/>
        </w:rPr>
      </w:pPr>
    </w:p>
    <w:p w14:paraId="2861FD7E">
      <w:pPr>
        <w:pStyle w:val="6"/>
        <w:spacing w:before="0" w:after="0"/>
        <w:ind w:firstLine="2597" w:firstLineChars="1078"/>
        <w:jc w:val="lef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    资信商务及技术文件目录</w:t>
      </w:r>
      <w:bookmarkEnd w:id="305"/>
      <w:bookmarkEnd w:id="306"/>
    </w:p>
    <w:p w14:paraId="36AECB01">
      <w:pPr>
        <w:pStyle w:val="7"/>
        <w:rPr>
          <w:color w:val="000000" w:themeColor="text1"/>
          <w:highlight w:val="none"/>
        </w:rPr>
      </w:pPr>
    </w:p>
    <w:bookmarkEnd w:id="257"/>
    <w:bookmarkEnd w:id="301"/>
    <w:bookmarkEnd w:id="302"/>
    <w:p w14:paraId="31C80A78">
      <w:pPr>
        <w:pStyle w:val="6"/>
        <w:spacing w:before="0" w:after="0"/>
        <w:ind w:firstLine="2597" w:firstLineChars="1078"/>
        <w:jc w:val="left"/>
        <w:rPr>
          <w:rFonts w:ascii="宋体" w:hAnsi="宋体" w:eastAsia="宋体" w:cs="宋体"/>
          <w:sz w:val="24"/>
          <w:szCs w:val="24"/>
        </w:rPr>
      </w:pPr>
      <w:r>
        <w:rPr>
          <w:rFonts w:hint="eastAsia" w:ascii="宋体" w:hAnsi="宋体" w:eastAsia="宋体" w:cs="宋体"/>
          <w:sz w:val="24"/>
          <w:szCs w:val="24"/>
        </w:rPr>
        <w:t xml:space="preserve"> 资信商务及技术文件目录</w:t>
      </w:r>
    </w:p>
    <w:p w14:paraId="77245FEC">
      <w:pPr>
        <w:pStyle w:val="7"/>
      </w:pPr>
    </w:p>
    <w:p w14:paraId="05797750">
      <w:pPr>
        <w:spacing w:line="360" w:lineRule="auto"/>
        <w:jc w:val="left"/>
        <w:rPr>
          <w:rFonts w:hint="eastAsia" w:ascii="宋体" w:hAnsi="宋体" w:cs="宋体"/>
          <w:bCs/>
          <w:sz w:val="24"/>
          <w:szCs w:val="24"/>
        </w:rPr>
      </w:pPr>
      <w:bookmarkStart w:id="307" w:name="_Toc531359058"/>
      <w:r>
        <w:rPr>
          <w:rFonts w:hint="eastAsia" w:ascii="宋体" w:hAnsi="宋体" w:cs="宋体"/>
          <w:bCs/>
          <w:sz w:val="24"/>
          <w:szCs w:val="24"/>
          <w:lang w:eastAsia="zh-CN"/>
        </w:rPr>
        <w:t>（</w:t>
      </w:r>
      <w:r>
        <w:rPr>
          <w:rFonts w:hint="eastAsia" w:ascii="宋体" w:hAnsi="宋体" w:cs="宋体"/>
          <w:bCs/>
          <w:sz w:val="24"/>
          <w:szCs w:val="24"/>
        </w:rPr>
        <w:t>1）磋商响应函</w:t>
      </w:r>
    </w:p>
    <w:p w14:paraId="04C41659">
      <w:pPr>
        <w:spacing w:line="360" w:lineRule="auto"/>
        <w:jc w:val="left"/>
        <w:rPr>
          <w:rFonts w:hint="eastAsia" w:ascii="宋体" w:hAnsi="宋体" w:cs="宋体"/>
          <w:bCs/>
          <w:sz w:val="24"/>
          <w:szCs w:val="24"/>
        </w:rPr>
      </w:pPr>
      <w:r>
        <w:rPr>
          <w:rFonts w:hint="eastAsia" w:ascii="宋体" w:hAnsi="宋体" w:cs="宋体"/>
          <w:bCs/>
          <w:sz w:val="24"/>
          <w:szCs w:val="24"/>
        </w:rPr>
        <w:t>（2）类似业绩（如有请提供）</w:t>
      </w:r>
    </w:p>
    <w:p w14:paraId="02CB60EC">
      <w:pPr>
        <w:spacing w:line="360" w:lineRule="auto"/>
        <w:jc w:val="left"/>
        <w:rPr>
          <w:rFonts w:hint="eastAsia" w:ascii="宋体" w:hAnsi="宋体" w:cs="宋体"/>
          <w:bCs/>
          <w:sz w:val="24"/>
          <w:szCs w:val="24"/>
        </w:rPr>
      </w:pPr>
      <w:r>
        <w:rPr>
          <w:rFonts w:hint="eastAsia" w:ascii="宋体" w:hAnsi="宋体" w:cs="宋体"/>
          <w:bCs/>
          <w:sz w:val="24"/>
          <w:szCs w:val="24"/>
        </w:rPr>
        <w:t>（3）商务响应表格式</w:t>
      </w:r>
    </w:p>
    <w:p w14:paraId="37DBDF77">
      <w:pPr>
        <w:spacing w:line="360" w:lineRule="auto"/>
        <w:jc w:val="left"/>
        <w:rPr>
          <w:rFonts w:hint="eastAsia" w:ascii="宋体" w:hAnsi="宋体" w:cs="宋体"/>
          <w:bCs/>
          <w:sz w:val="24"/>
          <w:szCs w:val="24"/>
        </w:rPr>
      </w:pPr>
      <w:r>
        <w:rPr>
          <w:rFonts w:hint="eastAsia" w:ascii="宋体" w:hAnsi="宋体" w:cs="宋体"/>
          <w:bCs/>
          <w:sz w:val="24"/>
          <w:szCs w:val="24"/>
        </w:rPr>
        <w:t>（4）实施方案</w:t>
      </w:r>
    </w:p>
    <w:p w14:paraId="7684C797">
      <w:pPr>
        <w:spacing w:line="360" w:lineRule="auto"/>
        <w:jc w:val="left"/>
        <w:rPr>
          <w:rFonts w:hint="eastAsia" w:ascii="宋体" w:hAnsi="宋体" w:cs="宋体"/>
          <w:bCs/>
          <w:sz w:val="24"/>
          <w:szCs w:val="24"/>
        </w:rPr>
      </w:pPr>
      <w:r>
        <w:rPr>
          <w:rFonts w:hint="eastAsia" w:ascii="宋体" w:hAnsi="宋体" w:cs="宋体"/>
          <w:bCs/>
          <w:sz w:val="24"/>
          <w:szCs w:val="24"/>
        </w:rPr>
        <w:t>（5）质量控制措施</w:t>
      </w:r>
    </w:p>
    <w:p w14:paraId="43784165">
      <w:pPr>
        <w:spacing w:line="360" w:lineRule="auto"/>
        <w:jc w:val="left"/>
        <w:rPr>
          <w:rFonts w:hint="eastAsia" w:ascii="宋体" w:hAnsi="宋体" w:cs="宋体"/>
          <w:bCs/>
          <w:sz w:val="24"/>
          <w:szCs w:val="24"/>
        </w:rPr>
      </w:pPr>
      <w:r>
        <w:rPr>
          <w:rFonts w:hint="eastAsia" w:ascii="宋体" w:hAnsi="宋体" w:cs="宋体"/>
          <w:bCs/>
          <w:sz w:val="24"/>
          <w:szCs w:val="24"/>
        </w:rPr>
        <w:t>（6）人员配置</w:t>
      </w:r>
    </w:p>
    <w:p w14:paraId="1C20443B">
      <w:pPr>
        <w:spacing w:line="360" w:lineRule="auto"/>
        <w:jc w:val="left"/>
        <w:rPr>
          <w:rFonts w:hint="eastAsia" w:ascii="宋体" w:hAnsi="宋体" w:cs="宋体"/>
          <w:bCs/>
          <w:sz w:val="24"/>
          <w:szCs w:val="24"/>
        </w:rPr>
      </w:pPr>
      <w:r>
        <w:rPr>
          <w:rFonts w:hint="eastAsia" w:ascii="宋体" w:hAnsi="宋体" w:cs="宋体"/>
          <w:bCs/>
          <w:sz w:val="24"/>
          <w:szCs w:val="24"/>
        </w:rPr>
        <w:t>（7）设备配置方案</w:t>
      </w:r>
    </w:p>
    <w:p w14:paraId="7D93F497">
      <w:pPr>
        <w:spacing w:line="360" w:lineRule="auto"/>
        <w:jc w:val="left"/>
        <w:rPr>
          <w:rFonts w:hint="eastAsia" w:ascii="宋体" w:hAnsi="宋体" w:cs="宋体"/>
          <w:bCs/>
          <w:sz w:val="24"/>
          <w:szCs w:val="24"/>
        </w:rPr>
      </w:pPr>
      <w:r>
        <w:rPr>
          <w:rFonts w:hint="eastAsia" w:ascii="宋体" w:hAnsi="宋体" w:cs="宋体"/>
          <w:bCs/>
          <w:sz w:val="24"/>
          <w:szCs w:val="24"/>
        </w:rPr>
        <w:t>（8）项目进度安排</w:t>
      </w:r>
    </w:p>
    <w:p w14:paraId="20F9DC62">
      <w:pPr>
        <w:spacing w:line="360" w:lineRule="auto"/>
        <w:jc w:val="left"/>
        <w:rPr>
          <w:rFonts w:hint="eastAsia" w:ascii="宋体" w:hAnsi="宋体" w:cs="宋体"/>
          <w:bCs/>
          <w:sz w:val="24"/>
          <w:szCs w:val="24"/>
        </w:rPr>
      </w:pPr>
      <w:r>
        <w:rPr>
          <w:rFonts w:hint="eastAsia" w:ascii="宋体" w:hAnsi="宋体" w:cs="宋体"/>
          <w:bCs/>
          <w:sz w:val="24"/>
          <w:szCs w:val="24"/>
        </w:rPr>
        <w:t>（9）安全生产、文明作业、环保措施方案</w:t>
      </w:r>
    </w:p>
    <w:p w14:paraId="04422819">
      <w:pPr>
        <w:spacing w:line="360" w:lineRule="auto"/>
        <w:jc w:val="left"/>
        <w:rPr>
          <w:rFonts w:hint="eastAsia" w:ascii="宋体" w:hAnsi="宋体" w:cs="宋体"/>
          <w:bCs/>
          <w:sz w:val="24"/>
          <w:szCs w:val="24"/>
        </w:rPr>
      </w:pPr>
      <w:r>
        <w:rPr>
          <w:rFonts w:hint="eastAsia" w:ascii="宋体" w:hAnsi="宋体" w:cs="宋体"/>
          <w:bCs/>
          <w:sz w:val="24"/>
          <w:szCs w:val="24"/>
        </w:rPr>
        <w:t>（10）突发事件应急处理能力</w:t>
      </w:r>
    </w:p>
    <w:p w14:paraId="1BD28F62">
      <w:pPr>
        <w:spacing w:line="360" w:lineRule="auto"/>
        <w:jc w:val="left"/>
        <w:rPr>
          <w:rFonts w:hint="eastAsia" w:ascii="宋体" w:hAnsi="宋体" w:eastAsia="宋体" w:cs="宋体"/>
          <w:bCs/>
          <w:sz w:val="24"/>
          <w:szCs w:val="24"/>
          <w:lang w:eastAsia="zh-CN"/>
        </w:rPr>
      </w:pPr>
      <w:r>
        <w:rPr>
          <w:rFonts w:hint="eastAsia" w:ascii="宋体" w:hAnsi="宋体" w:cs="宋体"/>
          <w:bCs/>
          <w:sz w:val="24"/>
          <w:szCs w:val="24"/>
        </w:rPr>
        <w:t>（11）服务</w:t>
      </w:r>
      <w:r>
        <w:rPr>
          <w:rFonts w:hint="eastAsia" w:ascii="宋体" w:hAnsi="宋体" w:cs="宋体"/>
          <w:bCs/>
          <w:sz w:val="24"/>
          <w:szCs w:val="24"/>
          <w:lang w:eastAsia="zh-CN"/>
        </w:rPr>
        <w:t>承诺</w:t>
      </w:r>
    </w:p>
    <w:p w14:paraId="6536E31A">
      <w:pPr>
        <w:spacing w:line="360" w:lineRule="auto"/>
        <w:jc w:val="left"/>
        <w:rPr>
          <w:rFonts w:ascii="宋体" w:hAnsi="宋体" w:cs="宋体"/>
          <w:bCs/>
          <w:sz w:val="24"/>
          <w:szCs w:val="24"/>
        </w:rPr>
      </w:pPr>
      <w:r>
        <w:rPr>
          <w:rFonts w:hint="eastAsia" w:ascii="宋体" w:hAnsi="宋体" w:cs="宋体"/>
          <w:bCs/>
          <w:sz w:val="24"/>
          <w:szCs w:val="24"/>
        </w:rPr>
        <w:t>（12）供应商需要说明的其他文件和说明</w:t>
      </w:r>
    </w:p>
    <w:p w14:paraId="1D84959D">
      <w:pPr>
        <w:spacing w:line="360" w:lineRule="auto"/>
        <w:ind w:left="840" w:leftChars="400" w:firstLine="240" w:firstLineChars="100"/>
        <w:jc w:val="left"/>
        <w:rPr>
          <w:rFonts w:ascii="宋体" w:hAnsi="宋体" w:cs="宋体"/>
          <w:sz w:val="24"/>
        </w:rPr>
      </w:pPr>
    </w:p>
    <w:p w14:paraId="27B7B846">
      <w:pPr>
        <w:pStyle w:val="7"/>
        <w:ind w:firstLine="0"/>
        <w:sectPr>
          <w:pgSz w:w="11906" w:h="16838"/>
          <w:pgMar w:top="1418" w:right="1418" w:bottom="1418" w:left="1418" w:header="851" w:footer="851" w:gutter="0"/>
          <w:cols w:space="720" w:num="1"/>
          <w:docGrid w:linePitch="312" w:charSpace="0"/>
        </w:sectPr>
      </w:pPr>
    </w:p>
    <w:p w14:paraId="3028AAF7">
      <w:pPr>
        <w:pStyle w:val="6"/>
        <w:spacing w:before="0" w:after="0"/>
        <w:ind w:firstLine="0" w:firstLineChars="0"/>
        <w:jc w:val="left"/>
        <w:rPr>
          <w:rFonts w:ascii="宋体" w:hAnsi="宋体" w:eastAsia="宋体" w:cs="宋体"/>
          <w:sz w:val="24"/>
          <w:szCs w:val="24"/>
        </w:rPr>
      </w:pPr>
      <w:bookmarkStart w:id="308" w:name="_Toc80973309"/>
      <w:r>
        <w:rPr>
          <w:rFonts w:hint="eastAsia" w:ascii="宋体" w:hAnsi="宋体" w:eastAsia="宋体" w:cs="宋体"/>
          <w:sz w:val="24"/>
          <w:szCs w:val="24"/>
        </w:rPr>
        <w:t>2.3    磋商响应函</w:t>
      </w:r>
      <w:bookmarkEnd w:id="307"/>
      <w:r>
        <w:rPr>
          <w:rFonts w:hint="eastAsia" w:ascii="宋体" w:hAnsi="宋体" w:eastAsia="宋体" w:cs="宋体"/>
          <w:sz w:val="24"/>
          <w:szCs w:val="24"/>
        </w:rPr>
        <w:t>格式</w:t>
      </w:r>
      <w:bookmarkEnd w:id="308"/>
    </w:p>
    <w:p w14:paraId="281671C6">
      <w:pPr>
        <w:pStyle w:val="7"/>
        <w:spacing w:line="360" w:lineRule="auto"/>
        <w:ind w:firstLine="0"/>
        <w:jc w:val="center"/>
        <w:rPr>
          <w:rFonts w:ascii="宋体" w:hAnsi="宋体" w:cs="宋体"/>
          <w:b/>
          <w:sz w:val="32"/>
          <w:szCs w:val="32"/>
        </w:rPr>
      </w:pPr>
      <w:r>
        <w:rPr>
          <w:rFonts w:hint="eastAsia" w:ascii="宋体" w:hAnsi="宋体" w:cs="宋体"/>
          <w:b/>
          <w:sz w:val="32"/>
          <w:szCs w:val="32"/>
        </w:rPr>
        <w:t>磋商响应函</w:t>
      </w:r>
    </w:p>
    <w:p w14:paraId="4A4482DA">
      <w:pPr>
        <w:pStyle w:val="185"/>
        <w:tabs>
          <w:tab w:val="left" w:pos="0"/>
        </w:tabs>
        <w:spacing w:line="360" w:lineRule="auto"/>
        <w:rPr>
          <w:rFonts w:hAnsi="宋体" w:cs="宋体"/>
          <w:sz w:val="24"/>
        </w:rPr>
      </w:pPr>
      <w:r>
        <w:rPr>
          <w:rFonts w:hint="eastAsia" w:hAnsi="宋体" w:cs="宋体"/>
          <w:sz w:val="24"/>
        </w:rPr>
        <w:t>致：</w:t>
      </w:r>
      <w:r>
        <w:rPr>
          <w:rFonts w:hint="eastAsia" w:hAnsi="宋体" w:cs="宋体"/>
          <w:i/>
          <w:spacing w:val="6"/>
          <w:kern w:val="2"/>
          <w:sz w:val="24"/>
          <w:u w:val="single"/>
        </w:rPr>
        <w:t>（采购人名称）</w:t>
      </w:r>
      <w:r>
        <w:rPr>
          <w:rFonts w:hint="eastAsia" w:hAnsi="宋体" w:cs="宋体"/>
          <w:sz w:val="24"/>
        </w:rPr>
        <w:t>：</w:t>
      </w:r>
    </w:p>
    <w:p w14:paraId="7F62AF4C">
      <w:pPr>
        <w:pStyle w:val="185"/>
        <w:tabs>
          <w:tab w:val="left" w:pos="0"/>
        </w:tabs>
        <w:spacing w:line="360" w:lineRule="auto"/>
        <w:ind w:firstLine="480" w:firstLineChars="200"/>
        <w:rPr>
          <w:rFonts w:hAnsi="宋体" w:cs="宋体"/>
          <w:sz w:val="24"/>
          <w:szCs w:val="21"/>
        </w:rPr>
      </w:pPr>
      <w:r>
        <w:rPr>
          <w:rFonts w:hint="eastAsia" w:hAnsi="宋体" w:cs="宋体"/>
          <w:sz w:val="24"/>
          <w:szCs w:val="21"/>
        </w:rPr>
        <w:t>根据贵方</w:t>
      </w:r>
      <w:r>
        <w:rPr>
          <w:rFonts w:hint="eastAsia" w:hAnsi="宋体" w:cs="宋体"/>
          <w:i/>
          <w:spacing w:val="6"/>
          <w:kern w:val="2"/>
          <w:sz w:val="24"/>
          <w:u w:val="single"/>
        </w:rPr>
        <w:t>（项目名称）（项目编号）</w:t>
      </w:r>
      <w:r>
        <w:rPr>
          <w:rFonts w:hint="eastAsia" w:hAnsi="宋体" w:cs="宋体"/>
          <w:sz w:val="24"/>
          <w:szCs w:val="21"/>
        </w:rPr>
        <w:t>的磋商文件要求，正式授权下述签字人</w:t>
      </w:r>
      <w:r>
        <w:rPr>
          <w:rFonts w:hint="eastAsia" w:hAnsi="宋体" w:cs="宋体"/>
          <w:i/>
          <w:spacing w:val="6"/>
          <w:kern w:val="2"/>
          <w:sz w:val="24"/>
          <w:u w:val="single"/>
        </w:rPr>
        <w:t>（姓名和职务）</w:t>
      </w:r>
      <w:r>
        <w:rPr>
          <w:rFonts w:hint="eastAsia" w:hAnsi="宋体" w:cs="宋体"/>
          <w:sz w:val="24"/>
          <w:szCs w:val="21"/>
        </w:rPr>
        <w:t>全权代表供应商</w:t>
      </w:r>
      <w:r>
        <w:rPr>
          <w:rFonts w:hint="eastAsia" w:hAnsi="宋体" w:cs="宋体"/>
          <w:i/>
          <w:spacing w:val="6"/>
          <w:kern w:val="2"/>
          <w:sz w:val="24"/>
          <w:u w:val="single"/>
        </w:rPr>
        <w:t>（供应商全称）</w:t>
      </w:r>
      <w:r>
        <w:rPr>
          <w:rFonts w:hint="eastAsia" w:hAnsi="宋体" w:cs="宋体"/>
          <w:sz w:val="24"/>
          <w:szCs w:val="21"/>
        </w:rPr>
        <w:t>参加贵方组织的有关采购活动，并提交下述文件：</w:t>
      </w:r>
    </w:p>
    <w:p w14:paraId="3EFA7F54">
      <w:pPr>
        <w:pStyle w:val="185"/>
        <w:tabs>
          <w:tab w:val="left" w:pos="0"/>
        </w:tabs>
        <w:spacing w:line="360" w:lineRule="auto"/>
        <w:ind w:firstLine="480" w:firstLineChars="200"/>
        <w:rPr>
          <w:rFonts w:hAnsi="宋体" w:cs="宋体"/>
          <w:sz w:val="24"/>
          <w:szCs w:val="21"/>
        </w:rPr>
      </w:pPr>
      <w:r>
        <w:rPr>
          <w:rFonts w:hint="eastAsia" w:hAnsi="宋体" w:cs="宋体"/>
          <w:sz w:val="24"/>
          <w:szCs w:val="21"/>
        </w:rPr>
        <w:t>政府采购云系统提交电子加密磋商响应文件份；</w:t>
      </w:r>
    </w:p>
    <w:p w14:paraId="1B99E7D6">
      <w:pPr>
        <w:pStyle w:val="185"/>
        <w:tabs>
          <w:tab w:val="left" w:pos="0"/>
        </w:tabs>
        <w:spacing w:line="360" w:lineRule="auto"/>
        <w:ind w:firstLine="480" w:firstLineChars="200"/>
        <w:rPr>
          <w:rFonts w:hAnsi="宋体" w:cs="宋体"/>
          <w:sz w:val="24"/>
          <w:szCs w:val="21"/>
        </w:rPr>
      </w:pPr>
      <w:r>
        <w:rPr>
          <w:rFonts w:hint="eastAsia" w:hAnsi="宋体" w:cs="宋体"/>
          <w:sz w:val="24"/>
          <w:szCs w:val="24"/>
        </w:rPr>
        <w:t>通过电子邮件提交备份电子</w:t>
      </w:r>
      <w:r>
        <w:rPr>
          <w:rFonts w:hint="eastAsia" w:hAnsi="宋体" w:cs="宋体"/>
          <w:sz w:val="24"/>
          <w:szCs w:val="21"/>
        </w:rPr>
        <w:t>磋商响应</w:t>
      </w:r>
      <w:r>
        <w:rPr>
          <w:rFonts w:hint="eastAsia" w:hAnsi="宋体" w:cs="宋体"/>
          <w:sz w:val="24"/>
          <w:szCs w:val="24"/>
        </w:rPr>
        <w:t>文件（打包压缩加密）</w:t>
      </w:r>
      <w:r>
        <w:rPr>
          <w:rFonts w:hint="eastAsia" w:hAnsi="宋体" w:cs="宋体"/>
          <w:sz w:val="24"/>
          <w:szCs w:val="21"/>
        </w:rPr>
        <w:t>份；</w:t>
      </w:r>
    </w:p>
    <w:p w14:paraId="61E2CCB2">
      <w:pPr>
        <w:pStyle w:val="185"/>
        <w:tabs>
          <w:tab w:val="left" w:pos="0"/>
        </w:tabs>
        <w:spacing w:line="360" w:lineRule="auto"/>
        <w:ind w:firstLine="480" w:firstLineChars="200"/>
        <w:rPr>
          <w:rFonts w:hAnsi="宋体" w:cs="宋体"/>
          <w:sz w:val="24"/>
          <w:szCs w:val="21"/>
        </w:rPr>
      </w:pPr>
      <w:r>
        <w:rPr>
          <w:rFonts w:hint="eastAsia" w:hAnsi="宋体" w:cs="宋体"/>
          <w:sz w:val="24"/>
          <w:szCs w:val="21"/>
        </w:rPr>
        <w:t>据此函我方就本次响应有关事项郑重承诺如下：</w:t>
      </w:r>
    </w:p>
    <w:p w14:paraId="75BE74BC">
      <w:pPr>
        <w:pStyle w:val="185"/>
        <w:spacing w:line="360" w:lineRule="auto"/>
        <w:ind w:firstLine="480" w:firstLineChars="200"/>
        <w:rPr>
          <w:rFonts w:hAnsi="宋体" w:cs="宋体"/>
          <w:sz w:val="24"/>
          <w:szCs w:val="21"/>
        </w:rPr>
      </w:pPr>
      <w:r>
        <w:rPr>
          <w:rFonts w:hint="eastAsia" w:hAnsi="宋体" w:cs="宋体"/>
          <w:sz w:val="24"/>
          <w:szCs w:val="21"/>
        </w:rPr>
        <w:t>1、我方向贵方提交的所有磋商响应文件、资料都是准确的和真实的。</w:t>
      </w:r>
    </w:p>
    <w:p w14:paraId="6BAE12DA">
      <w:pPr>
        <w:pStyle w:val="185"/>
        <w:spacing w:line="360" w:lineRule="auto"/>
        <w:ind w:firstLine="480" w:firstLineChars="200"/>
        <w:rPr>
          <w:rFonts w:hAnsi="宋体" w:cs="宋体"/>
          <w:sz w:val="24"/>
          <w:szCs w:val="21"/>
        </w:rPr>
      </w:pPr>
      <w:r>
        <w:rPr>
          <w:rFonts w:hint="eastAsia" w:hAnsi="宋体" w:cs="宋体"/>
          <w:sz w:val="24"/>
          <w:szCs w:val="21"/>
        </w:rPr>
        <w:t>2、我方承诺已经具备《中华人民共和国政府采购法》、《中华人民共和国政府采购法实施条例》中规定的参加政府采购活动的供应商应当具备的条件，并真实提供相关材料。</w:t>
      </w:r>
    </w:p>
    <w:p w14:paraId="1B78FCD0">
      <w:pPr>
        <w:pStyle w:val="185"/>
        <w:spacing w:line="360" w:lineRule="auto"/>
        <w:ind w:firstLine="480" w:firstLineChars="200"/>
        <w:rPr>
          <w:rFonts w:hAnsi="宋体" w:cs="宋体"/>
          <w:sz w:val="24"/>
          <w:szCs w:val="21"/>
        </w:rPr>
      </w:pPr>
      <w:r>
        <w:rPr>
          <w:rFonts w:hint="eastAsia" w:hAnsi="宋体" w:cs="宋体"/>
          <w:sz w:val="24"/>
          <w:szCs w:val="21"/>
        </w:rPr>
        <w:t>3、如果我方成交，将派出</w:t>
      </w:r>
      <w:r>
        <w:rPr>
          <w:rFonts w:hint="eastAsia" w:hAnsi="宋体" w:cs="宋体"/>
          <w:i/>
          <w:spacing w:val="6"/>
          <w:kern w:val="2"/>
          <w:sz w:val="24"/>
          <w:u w:val="single"/>
        </w:rPr>
        <w:t>（姓名及身份证号码）</w:t>
      </w:r>
      <w:r>
        <w:rPr>
          <w:rFonts w:hint="eastAsia" w:hAnsi="宋体" w:cs="宋体"/>
          <w:sz w:val="24"/>
          <w:szCs w:val="21"/>
        </w:rPr>
        <w:t>，作为本项目与采购单位联系的项目实施负责人，联系手机号码：。在项目实施过程中，并承诺项目实施负责人不更换，若确需要更换的，书面征得采购人同意后才准予更换。</w:t>
      </w:r>
    </w:p>
    <w:p w14:paraId="5B097667">
      <w:pPr>
        <w:pStyle w:val="185"/>
        <w:spacing w:line="360" w:lineRule="auto"/>
        <w:ind w:firstLine="480" w:firstLineChars="200"/>
        <w:rPr>
          <w:rFonts w:hAnsi="宋体" w:cs="宋体"/>
          <w:sz w:val="24"/>
          <w:szCs w:val="21"/>
        </w:rPr>
      </w:pPr>
      <w:r>
        <w:rPr>
          <w:rFonts w:hint="eastAsia" w:hAnsi="宋体" w:cs="宋体"/>
          <w:sz w:val="24"/>
          <w:szCs w:val="21"/>
        </w:rPr>
        <w:t>4、我方的磋商有效期自在开标日起天内有效。如果在开标后规定的磋商有效期内撤回响应，贵方可按相关规定处理我方。</w:t>
      </w:r>
    </w:p>
    <w:p w14:paraId="051F94A6">
      <w:pPr>
        <w:pStyle w:val="185"/>
        <w:spacing w:line="360" w:lineRule="auto"/>
        <w:ind w:firstLine="480" w:firstLineChars="200"/>
        <w:rPr>
          <w:rFonts w:hAnsi="宋体" w:cs="宋体"/>
          <w:sz w:val="24"/>
          <w:szCs w:val="21"/>
        </w:rPr>
      </w:pPr>
      <w:r>
        <w:rPr>
          <w:rFonts w:hint="eastAsia" w:hAnsi="宋体" w:cs="宋体"/>
          <w:sz w:val="24"/>
          <w:szCs w:val="21"/>
        </w:rPr>
        <w:t>5、我方在响应之前已经与贵方进行了充分的沟通，完全理解并接受磋商文件的各项规定和要求，对磋商文件的合理性、合法性不再有异议。</w:t>
      </w:r>
    </w:p>
    <w:p w14:paraId="6A2F4D94">
      <w:pPr>
        <w:pStyle w:val="185"/>
        <w:spacing w:line="360" w:lineRule="auto"/>
        <w:ind w:firstLine="480" w:firstLineChars="200"/>
        <w:rPr>
          <w:rFonts w:hAnsi="宋体" w:cs="宋体"/>
          <w:sz w:val="24"/>
          <w:szCs w:val="21"/>
        </w:rPr>
      </w:pPr>
      <w:r>
        <w:rPr>
          <w:rFonts w:hint="eastAsia" w:hAnsi="宋体" w:cs="宋体"/>
          <w:sz w:val="24"/>
          <w:szCs w:val="21"/>
        </w:rPr>
        <w:t>我方愿意向贵方提供真实完整的任何与该项响应有关的数据、情况和技术资料。若贵方需要，我方愿意提供我方作出的一切承诺的证明材料。</w:t>
      </w:r>
    </w:p>
    <w:p w14:paraId="56D02EFE">
      <w:pPr>
        <w:pStyle w:val="185"/>
        <w:spacing w:line="360" w:lineRule="auto"/>
        <w:ind w:firstLine="480" w:firstLineChars="200"/>
        <w:rPr>
          <w:rFonts w:hAnsi="宋体" w:cs="宋体"/>
          <w:sz w:val="24"/>
          <w:szCs w:val="21"/>
        </w:rPr>
      </w:pPr>
      <w:r>
        <w:rPr>
          <w:rFonts w:hint="eastAsia" w:hAnsi="宋体" w:cs="宋体"/>
          <w:sz w:val="24"/>
          <w:szCs w:val="21"/>
        </w:rPr>
        <w:t>6、我方已详细审核全部磋商文件，包括磋商文件的澄清或修改文件（如有的话）、参考资料及有关附件，已经了解我方对于磋商文件、采购过程、采购结果有依法进行询问、质疑、投诉的权利及相关渠道和要求。</w:t>
      </w:r>
    </w:p>
    <w:p w14:paraId="66367E4E">
      <w:pPr>
        <w:pStyle w:val="185"/>
        <w:spacing w:line="360" w:lineRule="auto"/>
        <w:ind w:firstLine="480" w:firstLineChars="200"/>
        <w:rPr>
          <w:rFonts w:hAnsi="宋体" w:cs="宋体"/>
          <w:sz w:val="24"/>
          <w:szCs w:val="21"/>
        </w:rPr>
      </w:pPr>
      <w:r>
        <w:rPr>
          <w:rFonts w:hint="eastAsia" w:hAnsi="宋体" w:cs="宋体"/>
          <w:sz w:val="24"/>
          <w:szCs w:val="21"/>
        </w:rPr>
        <w:t>7、我方不是采购人的附属机构，并未为本项目提供整体设计、规范编制或者项目管理、监理、监测等服务。</w:t>
      </w:r>
    </w:p>
    <w:p w14:paraId="3A1A85E9">
      <w:pPr>
        <w:pStyle w:val="185"/>
        <w:spacing w:line="360" w:lineRule="auto"/>
        <w:ind w:firstLine="480" w:firstLineChars="200"/>
        <w:rPr>
          <w:rFonts w:hAnsi="宋体" w:cs="宋体"/>
          <w:sz w:val="24"/>
          <w:szCs w:val="21"/>
        </w:rPr>
      </w:pPr>
      <w:r>
        <w:rPr>
          <w:rFonts w:hint="eastAsia" w:hAnsi="宋体" w:cs="宋体"/>
          <w:sz w:val="24"/>
          <w:szCs w:val="21"/>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8EBC30F">
      <w:pPr>
        <w:pStyle w:val="185"/>
        <w:spacing w:line="360" w:lineRule="auto"/>
        <w:ind w:firstLine="480" w:firstLineChars="200"/>
        <w:rPr>
          <w:rFonts w:hAnsi="宋体" w:cs="宋体"/>
          <w:sz w:val="24"/>
          <w:szCs w:val="21"/>
        </w:rPr>
      </w:pPr>
      <w:r>
        <w:rPr>
          <w:rFonts w:hint="eastAsia" w:hAnsi="宋体" w:cs="宋体"/>
          <w:sz w:val="24"/>
          <w:szCs w:val="21"/>
        </w:rPr>
        <w:t>（一）提供虚假材料谋取中标、成交的；</w:t>
      </w:r>
    </w:p>
    <w:p w14:paraId="0657B8A8">
      <w:pPr>
        <w:pStyle w:val="185"/>
        <w:spacing w:line="360" w:lineRule="auto"/>
        <w:ind w:firstLine="480" w:firstLineChars="200"/>
        <w:rPr>
          <w:rFonts w:hAnsi="宋体" w:cs="宋体"/>
          <w:sz w:val="24"/>
          <w:szCs w:val="21"/>
        </w:rPr>
      </w:pPr>
      <w:r>
        <w:rPr>
          <w:rFonts w:hint="eastAsia" w:hAnsi="宋体" w:cs="宋体"/>
          <w:sz w:val="24"/>
          <w:szCs w:val="21"/>
        </w:rPr>
        <w:t>（二）采取不正当手段诋毁、排挤其他供应商的；</w:t>
      </w:r>
    </w:p>
    <w:p w14:paraId="168A2D88">
      <w:pPr>
        <w:pStyle w:val="185"/>
        <w:spacing w:line="360" w:lineRule="auto"/>
        <w:ind w:firstLine="480" w:firstLineChars="200"/>
        <w:rPr>
          <w:rFonts w:hAnsi="宋体" w:cs="宋体"/>
          <w:sz w:val="24"/>
          <w:szCs w:val="21"/>
        </w:rPr>
      </w:pPr>
      <w:r>
        <w:rPr>
          <w:rFonts w:hint="eastAsia" w:hAnsi="宋体" w:cs="宋体"/>
          <w:sz w:val="24"/>
          <w:szCs w:val="21"/>
        </w:rPr>
        <w:t>（三）与采购人、其它供应商或者采购代理机构恶意串通的；</w:t>
      </w:r>
    </w:p>
    <w:p w14:paraId="63C7F834">
      <w:pPr>
        <w:pStyle w:val="185"/>
        <w:spacing w:line="360" w:lineRule="auto"/>
        <w:ind w:firstLine="480" w:firstLineChars="200"/>
        <w:rPr>
          <w:rFonts w:hAnsi="宋体" w:cs="宋体"/>
          <w:sz w:val="24"/>
          <w:szCs w:val="21"/>
        </w:rPr>
      </w:pPr>
      <w:r>
        <w:rPr>
          <w:rFonts w:hint="eastAsia" w:hAnsi="宋体" w:cs="宋体"/>
          <w:sz w:val="24"/>
          <w:szCs w:val="21"/>
        </w:rPr>
        <w:t>（四）向采购人、采购代理机构行贿或者提供其他不正当利益的；</w:t>
      </w:r>
    </w:p>
    <w:p w14:paraId="29616601">
      <w:pPr>
        <w:pStyle w:val="185"/>
        <w:spacing w:line="360" w:lineRule="auto"/>
        <w:ind w:firstLine="480" w:firstLineChars="200"/>
        <w:rPr>
          <w:rFonts w:hAnsi="宋体" w:cs="宋体"/>
          <w:sz w:val="24"/>
          <w:szCs w:val="21"/>
        </w:rPr>
      </w:pPr>
      <w:r>
        <w:rPr>
          <w:rFonts w:hint="eastAsia" w:hAnsi="宋体" w:cs="宋体"/>
          <w:sz w:val="24"/>
          <w:szCs w:val="21"/>
        </w:rPr>
        <w:t>（五）在采购采购过程中与采购人进行协商谈判的；</w:t>
      </w:r>
    </w:p>
    <w:p w14:paraId="2D3C9E17">
      <w:pPr>
        <w:pStyle w:val="185"/>
        <w:spacing w:line="360" w:lineRule="auto"/>
        <w:ind w:firstLine="480" w:firstLineChars="200"/>
        <w:rPr>
          <w:rFonts w:hAnsi="宋体" w:cs="宋体"/>
          <w:sz w:val="24"/>
          <w:szCs w:val="21"/>
        </w:rPr>
      </w:pPr>
      <w:r>
        <w:rPr>
          <w:rFonts w:hint="eastAsia" w:hAnsi="宋体" w:cs="宋体"/>
          <w:sz w:val="24"/>
          <w:szCs w:val="21"/>
        </w:rPr>
        <w:t>（六）拒绝有关部门监督检查或提供虚假情况的。</w:t>
      </w:r>
    </w:p>
    <w:p w14:paraId="3F073FBC">
      <w:pPr>
        <w:pStyle w:val="185"/>
        <w:spacing w:line="360" w:lineRule="auto"/>
        <w:ind w:firstLine="480" w:firstLineChars="200"/>
        <w:rPr>
          <w:rFonts w:hAnsi="宋体" w:cs="宋体"/>
          <w:sz w:val="24"/>
          <w:szCs w:val="21"/>
        </w:rPr>
      </w:pPr>
      <w:r>
        <w:rPr>
          <w:rFonts w:hint="eastAsia" w:hAnsi="宋体" w:cs="宋体"/>
          <w:sz w:val="24"/>
          <w:szCs w:val="21"/>
        </w:rPr>
        <w:t>9、如成交，本磋商响应文件至本项目合同履行完毕止均保持有效，我方将按磋商文件及政府采购法律、法规的规定履行合同责任和义务。</w:t>
      </w:r>
    </w:p>
    <w:p w14:paraId="46575F42">
      <w:pPr>
        <w:pStyle w:val="185"/>
        <w:spacing w:line="360" w:lineRule="auto"/>
        <w:ind w:firstLine="480" w:firstLineChars="200"/>
        <w:rPr>
          <w:rFonts w:hAnsi="宋体" w:cs="宋体"/>
          <w:sz w:val="24"/>
          <w:szCs w:val="21"/>
        </w:rPr>
      </w:pPr>
      <w:r>
        <w:rPr>
          <w:rFonts w:hint="eastAsia" w:hAnsi="宋体" w:cs="宋体"/>
          <w:sz w:val="24"/>
          <w:szCs w:val="21"/>
        </w:rPr>
        <w:t>10、以上事项如有虚假或隐瞒，我方愿意承担一切不利后果，并不再寻求任何旨在减轻或免除法律责任。</w:t>
      </w:r>
    </w:p>
    <w:p w14:paraId="12885CE6">
      <w:pPr>
        <w:pStyle w:val="185"/>
        <w:spacing w:line="360" w:lineRule="auto"/>
        <w:ind w:firstLine="480"/>
        <w:rPr>
          <w:rFonts w:hAnsi="宋体" w:cs="宋体"/>
          <w:sz w:val="24"/>
          <w:szCs w:val="21"/>
        </w:rPr>
      </w:pPr>
      <w:r>
        <w:rPr>
          <w:rFonts w:hint="eastAsia" w:hAnsi="宋体" w:cs="宋体"/>
          <w:sz w:val="24"/>
          <w:szCs w:val="21"/>
        </w:rPr>
        <w:t>与本次响应有关的一切正式往来信函请寄：</w:t>
      </w:r>
    </w:p>
    <w:p w14:paraId="488101E6">
      <w:pPr>
        <w:pStyle w:val="185"/>
        <w:spacing w:line="360" w:lineRule="auto"/>
        <w:ind w:firstLine="480"/>
        <w:rPr>
          <w:rFonts w:hAnsi="宋体" w:cs="宋体"/>
          <w:sz w:val="24"/>
          <w:szCs w:val="21"/>
        </w:rPr>
      </w:pPr>
      <w:r>
        <w:rPr>
          <w:rFonts w:hint="eastAsia" w:hAnsi="宋体" w:cs="宋体"/>
          <w:sz w:val="24"/>
          <w:szCs w:val="21"/>
        </w:rPr>
        <w:t>地址：     邮编：　</w:t>
      </w:r>
    </w:p>
    <w:p w14:paraId="2E861586">
      <w:pPr>
        <w:pStyle w:val="25"/>
        <w:spacing w:line="360" w:lineRule="auto"/>
        <w:ind w:firstLine="480" w:firstLineChars="200"/>
        <w:rPr>
          <w:rFonts w:hAnsi="宋体" w:cs="宋体"/>
          <w:sz w:val="24"/>
          <w:szCs w:val="21"/>
        </w:rPr>
      </w:pPr>
      <w:r>
        <w:rPr>
          <w:rFonts w:hint="eastAsia" w:hAnsi="宋体" w:cs="宋体"/>
          <w:sz w:val="24"/>
          <w:szCs w:val="21"/>
        </w:rPr>
        <w:t>电话：     传真：</w:t>
      </w:r>
    </w:p>
    <w:p w14:paraId="7AC3111C">
      <w:pPr>
        <w:pStyle w:val="251"/>
        <w:spacing w:line="360" w:lineRule="auto"/>
        <w:rPr>
          <w:rFonts w:ascii="宋体" w:hAnsi="宋体" w:cs="宋体"/>
          <w:bCs/>
          <w:sz w:val="24"/>
        </w:rPr>
      </w:pPr>
    </w:p>
    <w:p w14:paraId="300192B1">
      <w:pPr>
        <w:pStyle w:val="193"/>
        <w:spacing w:line="360" w:lineRule="auto"/>
        <w:rPr>
          <w:rFonts w:hAnsi="宋体" w:cs="宋体"/>
          <w:sz w:val="24"/>
          <w:szCs w:val="21"/>
        </w:rPr>
      </w:pPr>
    </w:p>
    <w:p w14:paraId="0EC618A8">
      <w:pPr>
        <w:pStyle w:val="188"/>
        <w:wordWrap w:val="0"/>
        <w:spacing w:line="360" w:lineRule="auto"/>
        <w:ind w:firstLine="480"/>
        <w:jc w:val="right"/>
        <w:rPr>
          <w:rFonts w:ascii="宋体" w:hAnsi="宋体" w:cs="宋体"/>
          <w:spacing w:val="20"/>
          <w:sz w:val="24"/>
          <w:szCs w:val="21"/>
          <w:u w:val="single"/>
        </w:rPr>
      </w:pPr>
    </w:p>
    <w:p w14:paraId="290EE40B">
      <w:pPr>
        <w:pStyle w:val="188"/>
        <w:wordWrap w:val="0"/>
        <w:spacing w:line="360" w:lineRule="auto"/>
        <w:ind w:firstLine="480"/>
        <w:jc w:val="right"/>
        <w:rPr>
          <w:rFonts w:ascii="宋体" w:hAnsi="宋体" w:cs="宋体"/>
          <w:sz w:val="24"/>
          <w:szCs w:val="21"/>
          <w:u w:val="single"/>
        </w:rPr>
      </w:pPr>
      <w:r>
        <w:rPr>
          <w:rFonts w:hint="eastAsia" w:ascii="宋体" w:hAnsi="宋体" w:cs="宋体"/>
          <w:sz w:val="24"/>
          <w:szCs w:val="21"/>
        </w:rPr>
        <w:t>供应商盖章：</w:t>
      </w:r>
    </w:p>
    <w:p w14:paraId="65CC477A">
      <w:pPr>
        <w:pStyle w:val="188"/>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p>
    <w:p w14:paraId="0A2FA9DF">
      <w:pPr>
        <w:pStyle w:val="188"/>
        <w:spacing w:line="360" w:lineRule="auto"/>
        <w:jc w:val="left"/>
        <w:rPr>
          <w:rFonts w:ascii="宋体" w:hAnsi="宋体" w:cs="宋体"/>
          <w:spacing w:val="20"/>
          <w:sz w:val="24"/>
          <w:szCs w:val="21"/>
          <w:u w:val="single"/>
        </w:rPr>
      </w:pPr>
    </w:p>
    <w:p w14:paraId="76CFFDC1">
      <w:pPr>
        <w:pStyle w:val="185"/>
        <w:spacing w:line="360" w:lineRule="auto"/>
        <w:rPr>
          <w:rFonts w:hAnsi="宋体" w:cs="宋体"/>
          <w:sz w:val="24"/>
          <w:szCs w:val="21"/>
        </w:rPr>
      </w:pPr>
    </w:p>
    <w:p w14:paraId="37632AE7">
      <w:pPr>
        <w:pStyle w:val="185"/>
        <w:spacing w:line="360" w:lineRule="auto"/>
        <w:rPr>
          <w:rFonts w:hAnsi="宋体" w:cs="宋体"/>
          <w:sz w:val="24"/>
          <w:szCs w:val="21"/>
        </w:rPr>
      </w:pPr>
      <w:r>
        <w:rPr>
          <w:rFonts w:hint="eastAsia" w:hAnsi="宋体" w:cs="宋体"/>
          <w:sz w:val="24"/>
          <w:szCs w:val="21"/>
        </w:rPr>
        <w:t>注：按照本声明书要求填报。</w:t>
      </w:r>
    </w:p>
    <w:p w14:paraId="76C4D058">
      <w:pPr>
        <w:pStyle w:val="6"/>
        <w:spacing w:before="0" w:after="0"/>
        <w:ind w:firstLine="0" w:firstLineChars="0"/>
        <w:jc w:val="center"/>
        <w:rPr>
          <w:rFonts w:ascii="宋体" w:hAnsi="宋体" w:eastAsia="宋体" w:cs="宋体"/>
          <w:sz w:val="32"/>
          <w:szCs w:val="32"/>
        </w:rPr>
      </w:pPr>
      <w:bookmarkStart w:id="309" w:name="_Toc493956060"/>
    </w:p>
    <w:p w14:paraId="14D8E9AF">
      <w:pPr>
        <w:pStyle w:val="7"/>
      </w:pPr>
    </w:p>
    <w:p w14:paraId="0432BD9C">
      <w:pPr>
        <w:pStyle w:val="7"/>
      </w:pPr>
    </w:p>
    <w:p w14:paraId="0AF2665C">
      <w:pPr>
        <w:pStyle w:val="7"/>
      </w:pPr>
    </w:p>
    <w:p w14:paraId="46CC6629">
      <w:pPr>
        <w:pStyle w:val="7"/>
      </w:pPr>
    </w:p>
    <w:p w14:paraId="75A00366">
      <w:pPr>
        <w:pStyle w:val="7"/>
      </w:pPr>
    </w:p>
    <w:p w14:paraId="628D4BD8">
      <w:pPr>
        <w:pStyle w:val="7"/>
      </w:pPr>
    </w:p>
    <w:p w14:paraId="53205225">
      <w:pPr>
        <w:pStyle w:val="7"/>
      </w:pPr>
    </w:p>
    <w:p w14:paraId="662842EE">
      <w:pPr>
        <w:pStyle w:val="34"/>
        <w:snapToGrid w:val="0"/>
        <w:spacing w:line="360" w:lineRule="auto"/>
        <w:ind w:left="479" w:leftChars="228" w:firstLine="480" w:firstLineChars="200"/>
        <w:jc w:val="left"/>
        <w:rPr>
          <w:rFonts w:ascii="宋体" w:hAnsi="宋体" w:cs="宋体"/>
          <w:sz w:val="24"/>
        </w:rPr>
      </w:pPr>
    </w:p>
    <w:p w14:paraId="231858EC">
      <w:pPr>
        <w:pStyle w:val="34"/>
        <w:snapToGrid w:val="0"/>
        <w:spacing w:line="360" w:lineRule="auto"/>
        <w:ind w:left="479" w:leftChars="228" w:firstLine="480" w:firstLineChars="200"/>
        <w:jc w:val="left"/>
        <w:rPr>
          <w:rFonts w:ascii="宋体" w:hAnsi="宋体" w:cs="宋体"/>
          <w:sz w:val="24"/>
        </w:rPr>
      </w:pPr>
    </w:p>
    <w:p w14:paraId="111A536D">
      <w:pPr>
        <w:pStyle w:val="34"/>
        <w:snapToGrid w:val="0"/>
        <w:spacing w:line="360" w:lineRule="auto"/>
        <w:ind w:left="397" w:leftChars="95" w:hanging="198" w:hangingChars="82"/>
        <w:jc w:val="left"/>
        <w:rPr>
          <w:rFonts w:ascii="宋体" w:hAnsi="宋体" w:cs="宋体"/>
          <w:b/>
          <w:bCs/>
          <w:sz w:val="24"/>
        </w:rPr>
      </w:pPr>
      <w:r>
        <w:rPr>
          <w:rFonts w:hint="eastAsia" w:ascii="宋体" w:hAnsi="宋体" w:cs="宋体"/>
          <w:b/>
          <w:bCs/>
          <w:sz w:val="24"/>
        </w:rPr>
        <w:t>2.4类似业绩</w:t>
      </w:r>
      <w:r>
        <w:rPr>
          <w:rFonts w:ascii="宋体" w:hAnsi="宋体" w:cs="宋体"/>
          <w:b/>
          <w:bCs/>
          <w:sz w:val="24"/>
        </w:rPr>
        <w:t>（如有请提供）</w:t>
      </w:r>
    </w:p>
    <w:p w14:paraId="46757191">
      <w:pPr>
        <w:pStyle w:val="185"/>
        <w:spacing w:line="360" w:lineRule="auto"/>
        <w:ind w:firstLine="480" w:firstLineChars="200"/>
        <w:rPr>
          <w:rFonts w:hAnsi="宋体" w:cs="宋体"/>
          <w:sz w:val="24"/>
          <w:szCs w:val="21"/>
        </w:rPr>
      </w:pPr>
      <w:r>
        <w:rPr>
          <w:rFonts w:hint="eastAsia" w:hAnsi="宋体" w:cs="宋体"/>
          <w:sz w:val="24"/>
          <w:szCs w:val="21"/>
        </w:rPr>
        <w:t>（提供认证证书扫描件）</w:t>
      </w:r>
    </w:p>
    <w:p w14:paraId="2289D750">
      <w:pPr>
        <w:pStyle w:val="34"/>
        <w:snapToGrid w:val="0"/>
        <w:spacing w:line="360" w:lineRule="auto"/>
        <w:ind w:left="397" w:leftChars="95" w:hanging="198" w:hangingChars="82"/>
        <w:jc w:val="left"/>
        <w:rPr>
          <w:rFonts w:ascii="宋体" w:hAnsi="宋体" w:cs="宋体"/>
          <w:b/>
          <w:bCs/>
          <w:sz w:val="24"/>
        </w:rPr>
      </w:pPr>
      <w:r>
        <w:rPr>
          <w:rFonts w:hint="eastAsia" w:ascii="宋体" w:hAnsi="宋体" w:cs="宋体"/>
          <w:b/>
          <w:bCs/>
          <w:sz w:val="24"/>
        </w:rPr>
        <w:t>2.5商务响应表格式</w:t>
      </w:r>
    </w:p>
    <w:p w14:paraId="71199CC8">
      <w:pPr>
        <w:pStyle w:val="7"/>
        <w:spacing w:line="360" w:lineRule="auto"/>
        <w:ind w:firstLine="0"/>
        <w:jc w:val="center"/>
        <w:rPr>
          <w:rFonts w:ascii="宋体" w:hAnsi="宋体" w:cs="宋体"/>
          <w:b/>
          <w:sz w:val="32"/>
          <w:szCs w:val="32"/>
        </w:rPr>
      </w:pPr>
      <w:r>
        <w:rPr>
          <w:rFonts w:hint="eastAsia" w:ascii="宋体" w:hAnsi="宋体" w:cs="宋体"/>
          <w:b/>
          <w:sz w:val="32"/>
          <w:szCs w:val="32"/>
        </w:rPr>
        <w:t>商务响应表</w:t>
      </w:r>
    </w:p>
    <w:p w14:paraId="1B304D44">
      <w:pPr>
        <w:pStyle w:val="206"/>
        <w:spacing w:line="560" w:lineRule="exact"/>
        <w:rPr>
          <w:rFonts w:ascii="宋体" w:hAnsi="宋体" w:cs="宋体"/>
          <w:sz w:val="24"/>
        </w:rPr>
      </w:pPr>
      <w:r>
        <w:rPr>
          <w:rFonts w:hint="eastAsia" w:ascii="宋体" w:hAnsi="宋体" w:cs="宋体"/>
          <w:sz w:val="24"/>
        </w:rPr>
        <w:t>项目编号：</w:t>
      </w:r>
    </w:p>
    <w:p w14:paraId="24943DA2">
      <w:pPr>
        <w:pStyle w:val="206"/>
        <w:spacing w:line="560" w:lineRule="exact"/>
        <w:rPr>
          <w:rFonts w:ascii="宋体" w:hAnsi="宋体" w:cs="宋体"/>
          <w:sz w:val="24"/>
        </w:rPr>
      </w:pPr>
      <w:r>
        <w:rPr>
          <w:rFonts w:hint="eastAsia" w:ascii="宋体" w:hAnsi="宋体" w:cs="宋体"/>
          <w:sz w:val="24"/>
        </w:rPr>
        <w:t>项目名称：                               标项（若有）：</w:t>
      </w:r>
    </w:p>
    <w:tbl>
      <w:tblPr>
        <w:tblStyle w:val="4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14:paraId="3DB1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3B4CAAD9">
            <w:pPr>
              <w:pStyle w:val="206"/>
              <w:jc w:val="center"/>
              <w:rPr>
                <w:rFonts w:ascii="宋体" w:hAnsi="宋体" w:cs="宋体"/>
                <w:sz w:val="24"/>
              </w:rPr>
            </w:pPr>
            <w:r>
              <w:rPr>
                <w:rFonts w:hint="eastAsia" w:ascii="宋体" w:hAnsi="宋体" w:cs="宋体"/>
                <w:sz w:val="24"/>
              </w:rPr>
              <w:t>序号</w:t>
            </w:r>
          </w:p>
        </w:tc>
        <w:tc>
          <w:tcPr>
            <w:tcW w:w="1927" w:type="dxa"/>
            <w:vAlign w:val="center"/>
          </w:tcPr>
          <w:p w14:paraId="1AC3ED88">
            <w:pPr>
              <w:pStyle w:val="206"/>
              <w:jc w:val="center"/>
              <w:rPr>
                <w:rFonts w:ascii="宋体" w:hAnsi="宋体" w:cs="宋体"/>
                <w:sz w:val="24"/>
              </w:rPr>
            </w:pPr>
            <w:r>
              <w:rPr>
                <w:rFonts w:hint="eastAsia" w:ascii="宋体" w:hAnsi="宋体" w:cs="宋体"/>
                <w:sz w:val="24"/>
              </w:rPr>
              <w:t>类别</w:t>
            </w:r>
          </w:p>
        </w:tc>
        <w:tc>
          <w:tcPr>
            <w:tcW w:w="2546" w:type="dxa"/>
            <w:vAlign w:val="center"/>
          </w:tcPr>
          <w:p w14:paraId="2E36303C">
            <w:pPr>
              <w:pStyle w:val="206"/>
              <w:jc w:val="center"/>
              <w:rPr>
                <w:rFonts w:ascii="宋体" w:hAnsi="宋体" w:cs="宋体"/>
                <w:sz w:val="24"/>
              </w:rPr>
            </w:pPr>
            <w:r>
              <w:rPr>
                <w:rFonts w:hint="eastAsia" w:ascii="宋体" w:hAnsi="宋体" w:cs="宋体"/>
                <w:sz w:val="24"/>
              </w:rPr>
              <w:t>磋商文件要求</w:t>
            </w:r>
          </w:p>
        </w:tc>
        <w:tc>
          <w:tcPr>
            <w:tcW w:w="2694" w:type="dxa"/>
            <w:vAlign w:val="center"/>
          </w:tcPr>
          <w:p w14:paraId="2C4C25BB">
            <w:pPr>
              <w:pStyle w:val="206"/>
              <w:jc w:val="center"/>
              <w:rPr>
                <w:rFonts w:ascii="宋体" w:hAnsi="宋体" w:cs="宋体"/>
                <w:sz w:val="24"/>
              </w:rPr>
            </w:pPr>
            <w:r>
              <w:rPr>
                <w:rFonts w:hint="eastAsia" w:ascii="宋体" w:hAnsi="宋体" w:cs="宋体"/>
                <w:sz w:val="24"/>
              </w:rPr>
              <w:t>供应商承诺</w:t>
            </w:r>
          </w:p>
        </w:tc>
        <w:tc>
          <w:tcPr>
            <w:tcW w:w="1275" w:type="dxa"/>
            <w:vAlign w:val="center"/>
          </w:tcPr>
          <w:p w14:paraId="3C646FAF">
            <w:pPr>
              <w:pStyle w:val="206"/>
              <w:jc w:val="center"/>
              <w:rPr>
                <w:rFonts w:ascii="宋体" w:hAnsi="宋体" w:cs="宋体"/>
                <w:sz w:val="24"/>
              </w:rPr>
            </w:pPr>
            <w:r>
              <w:rPr>
                <w:rFonts w:hint="eastAsia" w:ascii="宋体" w:hAnsi="宋体" w:cs="宋体"/>
                <w:sz w:val="24"/>
              </w:rPr>
              <w:t>备注</w:t>
            </w:r>
          </w:p>
        </w:tc>
      </w:tr>
      <w:tr w14:paraId="7B1A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7ACCF322">
            <w:pPr>
              <w:pStyle w:val="206"/>
              <w:jc w:val="center"/>
              <w:rPr>
                <w:rFonts w:ascii="宋体" w:hAnsi="宋体" w:cs="宋体"/>
                <w:sz w:val="24"/>
              </w:rPr>
            </w:pPr>
            <w:r>
              <w:rPr>
                <w:rFonts w:hint="eastAsia" w:ascii="宋体" w:hAnsi="宋体" w:cs="宋体"/>
                <w:sz w:val="24"/>
              </w:rPr>
              <w:t>1</w:t>
            </w:r>
          </w:p>
        </w:tc>
        <w:tc>
          <w:tcPr>
            <w:tcW w:w="1927" w:type="dxa"/>
            <w:vAlign w:val="center"/>
          </w:tcPr>
          <w:p w14:paraId="40DB897E">
            <w:pPr>
              <w:pStyle w:val="206"/>
              <w:jc w:val="center"/>
              <w:rPr>
                <w:rFonts w:ascii="宋体" w:hAnsi="宋体" w:cs="宋体"/>
                <w:sz w:val="24"/>
              </w:rPr>
            </w:pPr>
          </w:p>
        </w:tc>
        <w:tc>
          <w:tcPr>
            <w:tcW w:w="2546" w:type="dxa"/>
            <w:vAlign w:val="center"/>
          </w:tcPr>
          <w:p w14:paraId="3C166CEB">
            <w:pPr>
              <w:pStyle w:val="206"/>
              <w:jc w:val="center"/>
              <w:rPr>
                <w:rFonts w:ascii="宋体" w:hAnsi="宋体" w:cs="宋体"/>
                <w:sz w:val="24"/>
              </w:rPr>
            </w:pPr>
          </w:p>
        </w:tc>
        <w:tc>
          <w:tcPr>
            <w:tcW w:w="2694" w:type="dxa"/>
            <w:vAlign w:val="center"/>
          </w:tcPr>
          <w:p w14:paraId="7D10BC3C">
            <w:pPr>
              <w:pStyle w:val="206"/>
              <w:jc w:val="center"/>
              <w:rPr>
                <w:rFonts w:ascii="宋体" w:hAnsi="宋体" w:cs="宋体"/>
                <w:sz w:val="24"/>
              </w:rPr>
            </w:pPr>
          </w:p>
        </w:tc>
        <w:tc>
          <w:tcPr>
            <w:tcW w:w="1275" w:type="dxa"/>
            <w:vAlign w:val="center"/>
          </w:tcPr>
          <w:p w14:paraId="494BB2FB">
            <w:pPr>
              <w:pStyle w:val="206"/>
              <w:jc w:val="center"/>
              <w:rPr>
                <w:rFonts w:ascii="宋体" w:hAnsi="宋体" w:cs="宋体"/>
                <w:sz w:val="24"/>
              </w:rPr>
            </w:pPr>
            <w:r>
              <w:rPr>
                <w:rFonts w:ascii="宋体" w:hAnsi="宋体" w:cs="宋体"/>
                <w:sz w:val="24"/>
              </w:rPr>
              <w:t>自行填写</w:t>
            </w:r>
          </w:p>
        </w:tc>
      </w:tr>
      <w:tr w14:paraId="4580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623FC863">
            <w:pPr>
              <w:pStyle w:val="206"/>
              <w:jc w:val="center"/>
              <w:rPr>
                <w:rFonts w:ascii="宋体" w:hAnsi="宋体" w:cs="宋体"/>
                <w:sz w:val="24"/>
              </w:rPr>
            </w:pPr>
            <w:r>
              <w:rPr>
                <w:rFonts w:hint="eastAsia" w:ascii="宋体" w:hAnsi="宋体" w:cs="宋体"/>
                <w:sz w:val="24"/>
              </w:rPr>
              <w:t>2</w:t>
            </w:r>
          </w:p>
        </w:tc>
        <w:tc>
          <w:tcPr>
            <w:tcW w:w="1927" w:type="dxa"/>
            <w:vAlign w:val="center"/>
          </w:tcPr>
          <w:p w14:paraId="4CE7878A">
            <w:pPr>
              <w:pStyle w:val="206"/>
              <w:jc w:val="center"/>
              <w:rPr>
                <w:rFonts w:ascii="宋体" w:hAnsi="宋体" w:cs="宋体"/>
                <w:sz w:val="24"/>
              </w:rPr>
            </w:pPr>
          </w:p>
        </w:tc>
        <w:tc>
          <w:tcPr>
            <w:tcW w:w="2546" w:type="dxa"/>
            <w:vAlign w:val="center"/>
          </w:tcPr>
          <w:p w14:paraId="5D9C5414">
            <w:pPr>
              <w:pStyle w:val="206"/>
              <w:jc w:val="center"/>
              <w:rPr>
                <w:rFonts w:ascii="宋体" w:hAnsi="宋体" w:cs="宋体"/>
                <w:sz w:val="24"/>
              </w:rPr>
            </w:pPr>
          </w:p>
        </w:tc>
        <w:tc>
          <w:tcPr>
            <w:tcW w:w="2694" w:type="dxa"/>
            <w:vAlign w:val="center"/>
          </w:tcPr>
          <w:p w14:paraId="2A4FA5FC">
            <w:pPr>
              <w:pStyle w:val="206"/>
              <w:jc w:val="center"/>
              <w:rPr>
                <w:rFonts w:ascii="宋体" w:hAnsi="宋体" w:cs="宋体"/>
                <w:sz w:val="24"/>
              </w:rPr>
            </w:pPr>
          </w:p>
        </w:tc>
        <w:tc>
          <w:tcPr>
            <w:tcW w:w="1275" w:type="dxa"/>
            <w:vAlign w:val="center"/>
          </w:tcPr>
          <w:p w14:paraId="396E1A83">
            <w:pPr>
              <w:pStyle w:val="206"/>
              <w:jc w:val="center"/>
              <w:rPr>
                <w:rFonts w:ascii="宋体" w:hAnsi="宋体" w:cs="宋体"/>
                <w:sz w:val="24"/>
              </w:rPr>
            </w:pPr>
          </w:p>
        </w:tc>
      </w:tr>
      <w:tr w14:paraId="0899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1100EF59">
            <w:pPr>
              <w:pStyle w:val="206"/>
              <w:jc w:val="center"/>
              <w:rPr>
                <w:rFonts w:ascii="宋体" w:hAnsi="宋体" w:cs="宋体"/>
                <w:sz w:val="24"/>
              </w:rPr>
            </w:pPr>
            <w:r>
              <w:rPr>
                <w:rFonts w:hint="eastAsia" w:ascii="宋体" w:hAnsi="宋体" w:cs="宋体"/>
                <w:sz w:val="24"/>
              </w:rPr>
              <w:t>3</w:t>
            </w:r>
          </w:p>
        </w:tc>
        <w:tc>
          <w:tcPr>
            <w:tcW w:w="1927" w:type="dxa"/>
            <w:vAlign w:val="center"/>
          </w:tcPr>
          <w:p w14:paraId="757927B0">
            <w:pPr>
              <w:pStyle w:val="206"/>
              <w:jc w:val="center"/>
              <w:rPr>
                <w:rFonts w:ascii="宋体" w:hAnsi="宋体" w:cs="宋体"/>
                <w:sz w:val="24"/>
              </w:rPr>
            </w:pPr>
            <w:r>
              <w:rPr>
                <w:rFonts w:ascii="宋体" w:hAnsi="宋体" w:cs="宋体"/>
                <w:sz w:val="24"/>
              </w:rPr>
              <w:t>验收</w:t>
            </w:r>
          </w:p>
        </w:tc>
        <w:tc>
          <w:tcPr>
            <w:tcW w:w="2546" w:type="dxa"/>
            <w:vAlign w:val="center"/>
          </w:tcPr>
          <w:p w14:paraId="614EB2BE">
            <w:pPr>
              <w:pStyle w:val="206"/>
              <w:jc w:val="center"/>
              <w:rPr>
                <w:rFonts w:ascii="宋体" w:hAnsi="宋体" w:cs="宋体"/>
                <w:sz w:val="24"/>
              </w:rPr>
            </w:pPr>
          </w:p>
        </w:tc>
        <w:tc>
          <w:tcPr>
            <w:tcW w:w="2694" w:type="dxa"/>
            <w:vAlign w:val="center"/>
          </w:tcPr>
          <w:p w14:paraId="171C063F">
            <w:pPr>
              <w:pStyle w:val="206"/>
              <w:jc w:val="center"/>
              <w:rPr>
                <w:rFonts w:ascii="宋体" w:hAnsi="宋体" w:cs="宋体"/>
                <w:sz w:val="24"/>
              </w:rPr>
            </w:pPr>
          </w:p>
        </w:tc>
        <w:tc>
          <w:tcPr>
            <w:tcW w:w="1275" w:type="dxa"/>
            <w:vAlign w:val="center"/>
          </w:tcPr>
          <w:p w14:paraId="50484D35">
            <w:pPr>
              <w:pStyle w:val="206"/>
              <w:jc w:val="center"/>
              <w:rPr>
                <w:rFonts w:ascii="宋体" w:hAnsi="宋体" w:cs="宋体"/>
                <w:sz w:val="24"/>
              </w:rPr>
            </w:pPr>
          </w:p>
        </w:tc>
      </w:tr>
      <w:tr w14:paraId="43E8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1B313C28">
            <w:pPr>
              <w:pStyle w:val="206"/>
              <w:jc w:val="center"/>
              <w:rPr>
                <w:rFonts w:ascii="宋体" w:hAnsi="宋体" w:cs="宋体"/>
                <w:sz w:val="24"/>
              </w:rPr>
            </w:pPr>
            <w:r>
              <w:rPr>
                <w:rFonts w:hint="eastAsia" w:ascii="宋体" w:hAnsi="宋体" w:cs="宋体"/>
                <w:sz w:val="24"/>
              </w:rPr>
              <w:t>4</w:t>
            </w:r>
          </w:p>
        </w:tc>
        <w:tc>
          <w:tcPr>
            <w:tcW w:w="1927" w:type="dxa"/>
            <w:vAlign w:val="center"/>
          </w:tcPr>
          <w:p w14:paraId="5A35B7B5">
            <w:pPr>
              <w:pStyle w:val="206"/>
              <w:jc w:val="center"/>
              <w:rPr>
                <w:rFonts w:ascii="宋体" w:hAnsi="宋体" w:cs="宋体"/>
                <w:sz w:val="24"/>
              </w:rPr>
            </w:pPr>
            <w:r>
              <w:rPr>
                <w:rFonts w:hint="eastAsia" w:ascii="宋体" w:hAnsi="宋体" w:cs="宋体"/>
                <w:sz w:val="24"/>
              </w:rPr>
              <w:t>……</w:t>
            </w:r>
          </w:p>
        </w:tc>
        <w:tc>
          <w:tcPr>
            <w:tcW w:w="2546" w:type="dxa"/>
            <w:vAlign w:val="center"/>
          </w:tcPr>
          <w:p w14:paraId="5FEB060F">
            <w:pPr>
              <w:pStyle w:val="206"/>
              <w:jc w:val="center"/>
              <w:rPr>
                <w:rFonts w:ascii="宋体" w:hAnsi="宋体" w:cs="宋体"/>
                <w:sz w:val="24"/>
              </w:rPr>
            </w:pPr>
          </w:p>
        </w:tc>
        <w:tc>
          <w:tcPr>
            <w:tcW w:w="2694" w:type="dxa"/>
            <w:vAlign w:val="center"/>
          </w:tcPr>
          <w:p w14:paraId="32A16BD3">
            <w:pPr>
              <w:pStyle w:val="206"/>
              <w:jc w:val="center"/>
              <w:rPr>
                <w:rFonts w:ascii="宋体" w:hAnsi="宋体" w:cs="宋体"/>
                <w:sz w:val="24"/>
              </w:rPr>
            </w:pPr>
          </w:p>
        </w:tc>
        <w:tc>
          <w:tcPr>
            <w:tcW w:w="1275" w:type="dxa"/>
            <w:vAlign w:val="center"/>
          </w:tcPr>
          <w:p w14:paraId="095B3D51">
            <w:pPr>
              <w:pStyle w:val="206"/>
              <w:jc w:val="center"/>
              <w:rPr>
                <w:rFonts w:ascii="宋体" w:hAnsi="宋体" w:cs="宋体"/>
                <w:sz w:val="24"/>
              </w:rPr>
            </w:pPr>
          </w:p>
        </w:tc>
      </w:tr>
      <w:tr w14:paraId="1E81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5BEC88CE">
            <w:pPr>
              <w:pStyle w:val="206"/>
              <w:jc w:val="center"/>
              <w:rPr>
                <w:rFonts w:ascii="宋体" w:hAnsi="宋体" w:cs="宋体"/>
                <w:sz w:val="24"/>
              </w:rPr>
            </w:pPr>
            <w:r>
              <w:rPr>
                <w:rFonts w:hint="eastAsia" w:ascii="宋体" w:hAnsi="宋体" w:cs="宋体"/>
                <w:sz w:val="24"/>
              </w:rPr>
              <w:t>5</w:t>
            </w:r>
          </w:p>
        </w:tc>
        <w:tc>
          <w:tcPr>
            <w:tcW w:w="1927" w:type="dxa"/>
            <w:vAlign w:val="center"/>
          </w:tcPr>
          <w:p w14:paraId="0BE982CB">
            <w:pPr>
              <w:pStyle w:val="206"/>
              <w:jc w:val="center"/>
              <w:rPr>
                <w:rFonts w:ascii="宋体" w:hAnsi="宋体" w:cs="宋体"/>
                <w:sz w:val="24"/>
              </w:rPr>
            </w:pPr>
          </w:p>
        </w:tc>
        <w:tc>
          <w:tcPr>
            <w:tcW w:w="2546" w:type="dxa"/>
            <w:vAlign w:val="center"/>
          </w:tcPr>
          <w:p w14:paraId="0B45C114">
            <w:pPr>
              <w:pStyle w:val="206"/>
              <w:jc w:val="center"/>
              <w:rPr>
                <w:rFonts w:ascii="宋体" w:hAnsi="宋体" w:cs="宋体"/>
                <w:sz w:val="24"/>
              </w:rPr>
            </w:pPr>
          </w:p>
        </w:tc>
        <w:tc>
          <w:tcPr>
            <w:tcW w:w="2694" w:type="dxa"/>
            <w:vAlign w:val="center"/>
          </w:tcPr>
          <w:p w14:paraId="0FC8DFA3">
            <w:pPr>
              <w:pStyle w:val="206"/>
              <w:jc w:val="center"/>
              <w:rPr>
                <w:rFonts w:ascii="宋体" w:hAnsi="宋体" w:cs="宋体"/>
                <w:sz w:val="24"/>
              </w:rPr>
            </w:pPr>
          </w:p>
        </w:tc>
        <w:tc>
          <w:tcPr>
            <w:tcW w:w="1275" w:type="dxa"/>
            <w:vAlign w:val="center"/>
          </w:tcPr>
          <w:p w14:paraId="1B867008">
            <w:pPr>
              <w:pStyle w:val="206"/>
              <w:jc w:val="center"/>
              <w:rPr>
                <w:rFonts w:ascii="宋体" w:hAnsi="宋体" w:cs="宋体"/>
                <w:sz w:val="24"/>
              </w:rPr>
            </w:pPr>
          </w:p>
        </w:tc>
      </w:tr>
      <w:tr w14:paraId="1798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135E3078">
            <w:pPr>
              <w:pStyle w:val="206"/>
              <w:jc w:val="center"/>
              <w:rPr>
                <w:rFonts w:ascii="宋体" w:hAnsi="宋体" w:cs="宋体"/>
                <w:sz w:val="24"/>
              </w:rPr>
            </w:pPr>
            <w:r>
              <w:rPr>
                <w:rFonts w:hint="eastAsia" w:ascii="宋体" w:hAnsi="宋体" w:cs="宋体"/>
                <w:sz w:val="24"/>
              </w:rPr>
              <w:t>6</w:t>
            </w:r>
          </w:p>
        </w:tc>
        <w:tc>
          <w:tcPr>
            <w:tcW w:w="1927" w:type="dxa"/>
            <w:vAlign w:val="center"/>
          </w:tcPr>
          <w:p w14:paraId="21DCC05C">
            <w:pPr>
              <w:pStyle w:val="206"/>
              <w:jc w:val="center"/>
              <w:rPr>
                <w:rFonts w:ascii="宋体" w:hAnsi="宋体" w:cs="宋体"/>
                <w:sz w:val="24"/>
              </w:rPr>
            </w:pPr>
          </w:p>
        </w:tc>
        <w:tc>
          <w:tcPr>
            <w:tcW w:w="2546" w:type="dxa"/>
            <w:vAlign w:val="center"/>
          </w:tcPr>
          <w:p w14:paraId="4E240831">
            <w:pPr>
              <w:pStyle w:val="206"/>
              <w:jc w:val="center"/>
              <w:rPr>
                <w:rFonts w:ascii="宋体" w:hAnsi="宋体" w:cs="宋体"/>
                <w:sz w:val="24"/>
              </w:rPr>
            </w:pPr>
          </w:p>
        </w:tc>
        <w:tc>
          <w:tcPr>
            <w:tcW w:w="2694" w:type="dxa"/>
            <w:vAlign w:val="center"/>
          </w:tcPr>
          <w:p w14:paraId="3F6D3DF4">
            <w:pPr>
              <w:pStyle w:val="206"/>
              <w:jc w:val="center"/>
              <w:rPr>
                <w:rFonts w:ascii="宋体" w:hAnsi="宋体" w:cs="宋体"/>
                <w:sz w:val="24"/>
              </w:rPr>
            </w:pPr>
          </w:p>
        </w:tc>
        <w:tc>
          <w:tcPr>
            <w:tcW w:w="1275" w:type="dxa"/>
            <w:vAlign w:val="center"/>
          </w:tcPr>
          <w:p w14:paraId="6645ABB2">
            <w:pPr>
              <w:pStyle w:val="206"/>
              <w:jc w:val="center"/>
              <w:rPr>
                <w:rFonts w:ascii="宋体" w:hAnsi="宋体" w:cs="宋体"/>
                <w:sz w:val="24"/>
              </w:rPr>
            </w:pPr>
          </w:p>
        </w:tc>
      </w:tr>
    </w:tbl>
    <w:p w14:paraId="7D1D6BE7">
      <w:pPr>
        <w:pStyle w:val="34"/>
        <w:snapToGrid w:val="0"/>
        <w:ind w:left="480" w:hanging="480"/>
        <w:jc w:val="left"/>
        <w:rPr>
          <w:rFonts w:ascii="宋体" w:hAnsi="宋体" w:cs="宋体"/>
          <w:sz w:val="24"/>
        </w:rPr>
      </w:pPr>
    </w:p>
    <w:p w14:paraId="11BFED37">
      <w:pPr>
        <w:pStyle w:val="188"/>
        <w:wordWrap w:val="0"/>
        <w:spacing w:line="360" w:lineRule="auto"/>
        <w:ind w:firstLine="480"/>
        <w:jc w:val="right"/>
        <w:rPr>
          <w:rFonts w:ascii="宋体" w:hAnsi="宋体" w:cs="宋体"/>
          <w:sz w:val="24"/>
          <w:szCs w:val="21"/>
        </w:rPr>
      </w:pPr>
    </w:p>
    <w:p w14:paraId="75B38117">
      <w:pPr>
        <w:pStyle w:val="188"/>
        <w:wordWrap w:val="0"/>
        <w:spacing w:line="360" w:lineRule="auto"/>
        <w:ind w:firstLine="480"/>
        <w:jc w:val="right"/>
        <w:rPr>
          <w:rFonts w:ascii="宋体" w:hAnsi="宋体" w:cs="宋体"/>
          <w:sz w:val="24"/>
          <w:szCs w:val="21"/>
          <w:u w:val="single"/>
        </w:rPr>
      </w:pPr>
      <w:r>
        <w:rPr>
          <w:rFonts w:hint="eastAsia" w:ascii="宋体" w:hAnsi="宋体" w:cs="宋体"/>
          <w:sz w:val="24"/>
          <w:szCs w:val="21"/>
        </w:rPr>
        <w:t>供应商盖章：</w:t>
      </w:r>
    </w:p>
    <w:p w14:paraId="71B2CF57">
      <w:pPr>
        <w:pStyle w:val="188"/>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p>
    <w:p w14:paraId="6C3A6E3A">
      <w:pPr>
        <w:pStyle w:val="34"/>
        <w:snapToGrid w:val="0"/>
        <w:spacing w:line="360" w:lineRule="auto"/>
        <w:ind w:left="397" w:leftChars="95" w:hanging="198" w:hangingChars="82"/>
        <w:jc w:val="left"/>
        <w:rPr>
          <w:rFonts w:ascii="宋体" w:hAnsi="宋体" w:cs="宋体"/>
          <w:b/>
          <w:bCs/>
          <w:sz w:val="24"/>
        </w:rPr>
      </w:pPr>
      <w:r>
        <w:rPr>
          <w:rFonts w:hint="eastAsia" w:ascii="宋体" w:hAnsi="宋体" w:cs="宋体"/>
          <w:b/>
          <w:bCs/>
          <w:sz w:val="24"/>
        </w:rPr>
        <w:t>2.6  实施方案</w:t>
      </w:r>
    </w:p>
    <w:p w14:paraId="01FC5A0B">
      <w:pPr>
        <w:snapToGrid w:val="0"/>
        <w:jc w:val="center"/>
        <w:rPr>
          <w:rFonts w:ascii="宋体" w:hAnsi="宋体" w:cs="宋体"/>
          <w:sz w:val="24"/>
          <w:szCs w:val="24"/>
        </w:rPr>
      </w:pPr>
      <w:r>
        <w:rPr>
          <w:rFonts w:hint="eastAsia" w:ascii="宋体" w:hAnsi="宋体" w:cs="宋体"/>
          <w:sz w:val="24"/>
          <w:szCs w:val="24"/>
        </w:rPr>
        <w:t>结合磋商评审办法并根据采购需求的情况进行编制，包括但不限于</w:t>
      </w:r>
      <w:r>
        <w:rPr>
          <w:rFonts w:hint="eastAsia" w:cs="仿宋" w:asciiTheme="minorEastAsia" w:hAnsiTheme="minorEastAsia"/>
          <w:kern w:val="0"/>
          <w:sz w:val="24"/>
          <w:szCs w:val="24"/>
        </w:rPr>
        <w:t>对本项目的理解</w:t>
      </w:r>
      <w:r>
        <w:rPr>
          <w:rFonts w:hint="eastAsia" w:ascii="宋体" w:hAnsi="宋体" w:cs="宋体"/>
          <w:sz w:val="24"/>
          <w:szCs w:val="24"/>
        </w:rPr>
        <w:t>、</w:t>
      </w:r>
      <w:r>
        <w:rPr>
          <w:rFonts w:hint="eastAsia" w:cs="仿宋" w:asciiTheme="minorEastAsia" w:hAnsiTheme="minorEastAsia"/>
          <w:sz w:val="24"/>
          <w:szCs w:val="24"/>
        </w:rPr>
        <w:t>项目实施方案、</w:t>
      </w:r>
      <w:r>
        <w:rPr>
          <w:rFonts w:hAnsi="宋体"/>
          <w:spacing w:val="-6"/>
          <w:sz w:val="24"/>
        </w:rPr>
        <w:t>质量控制措施等，</w:t>
      </w:r>
      <w:r>
        <w:rPr>
          <w:rFonts w:hint="eastAsia" w:ascii="宋体" w:hAnsi="宋体" w:cs="宋体"/>
          <w:sz w:val="24"/>
          <w:szCs w:val="24"/>
        </w:rPr>
        <w:t>格式自拟。</w:t>
      </w:r>
    </w:p>
    <w:p w14:paraId="1B5ED6F0">
      <w:pPr>
        <w:pStyle w:val="7"/>
        <w:ind w:firstLine="0"/>
        <w:jc w:val="center"/>
        <w:rPr>
          <w:rFonts w:ascii="宋体" w:hAnsi="宋体" w:cs="宋体"/>
          <w:sz w:val="24"/>
          <w:szCs w:val="24"/>
        </w:rPr>
      </w:pPr>
    </w:p>
    <w:p w14:paraId="704E815B">
      <w:pPr>
        <w:pStyle w:val="188"/>
        <w:wordWrap w:val="0"/>
        <w:spacing w:line="360" w:lineRule="auto"/>
        <w:ind w:firstLine="480"/>
        <w:jc w:val="right"/>
        <w:rPr>
          <w:rFonts w:ascii="宋体" w:hAnsi="宋体" w:cs="宋体"/>
          <w:sz w:val="24"/>
          <w:szCs w:val="21"/>
          <w:u w:val="single"/>
        </w:rPr>
      </w:pPr>
      <w:r>
        <w:rPr>
          <w:rFonts w:hint="eastAsia" w:ascii="宋体" w:hAnsi="宋体" w:cs="宋体"/>
          <w:sz w:val="24"/>
          <w:szCs w:val="21"/>
        </w:rPr>
        <w:t>供应商盖章：</w:t>
      </w:r>
    </w:p>
    <w:p w14:paraId="2561295F">
      <w:pPr>
        <w:pStyle w:val="188"/>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p>
    <w:p w14:paraId="5BB580B7">
      <w:pPr>
        <w:pStyle w:val="7"/>
        <w:ind w:firstLine="0"/>
        <w:jc w:val="center"/>
        <w:rPr>
          <w:rFonts w:ascii="宋体" w:hAnsi="宋体" w:cs="宋体"/>
          <w:sz w:val="24"/>
          <w:szCs w:val="24"/>
        </w:rPr>
      </w:pPr>
    </w:p>
    <w:p w14:paraId="2CD9D05B">
      <w:pPr>
        <w:pStyle w:val="34"/>
        <w:snapToGrid w:val="0"/>
        <w:spacing w:line="360" w:lineRule="auto"/>
        <w:ind w:left="399" w:leftChars="95" w:firstLineChars="0"/>
        <w:jc w:val="left"/>
        <w:rPr>
          <w:rFonts w:ascii="宋体" w:hAnsi="宋体" w:cs="宋体"/>
          <w:b/>
          <w:bCs/>
          <w:sz w:val="24"/>
        </w:rPr>
      </w:pPr>
      <w:bookmarkStart w:id="310" w:name="_Toc96338177"/>
      <w:r>
        <w:rPr>
          <w:rFonts w:ascii="宋体" w:hAnsi="宋体" w:cs="宋体"/>
          <w:b/>
          <w:bCs/>
          <w:sz w:val="24"/>
        </w:rPr>
        <w:t>2.</w:t>
      </w:r>
      <w:r>
        <w:rPr>
          <w:rFonts w:hint="eastAsia" w:ascii="宋体" w:hAnsi="宋体" w:cs="宋体"/>
          <w:b/>
          <w:bCs/>
          <w:sz w:val="24"/>
        </w:rPr>
        <w:t>7</w:t>
      </w:r>
      <w:bookmarkEnd w:id="310"/>
      <w:r>
        <w:rPr>
          <w:rFonts w:hint="eastAsia" w:ascii="宋体" w:hAnsi="宋体" w:cs="宋体"/>
          <w:b/>
          <w:bCs/>
          <w:sz w:val="24"/>
          <w:lang w:val="en-US" w:eastAsia="zh-CN"/>
        </w:rPr>
        <w:t xml:space="preserve"> </w:t>
      </w:r>
      <w:r>
        <w:rPr>
          <w:rFonts w:hint="eastAsia" w:ascii="宋体" w:hAnsi="宋体" w:eastAsia="宋体" w:cs="宋体"/>
          <w:b/>
          <w:bCs/>
          <w:sz w:val="24"/>
        </w:rPr>
        <w:t>质量控制措施</w:t>
      </w:r>
    </w:p>
    <w:p w14:paraId="58848684">
      <w:pPr>
        <w:pStyle w:val="7"/>
        <w:ind w:firstLine="0"/>
        <w:jc w:val="center"/>
        <w:rPr>
          <w:rFonts w:ascii="宋体" w:hAnsi="宋体" w:cs="宋体"/>
          <w:sz w:val="24"/>
          <w:szCs w:val="24"/>
        </w:rPr>
      </w:pPr>
      <w:bookmarkStart w:id="311" w:name="_Toc96338178"/>
      <w:bookmarkStart w:id="312" w:name="_Toc493956068"/>
      <w:bookmarkStart w:id="313" w:name="_Toc531359067"/>
      <w:bookmarkStart w:id="314" w:name="_Toc530551892"/>
      <w:r>
        <w:rPr>
          <w:rFonts w:hint="eastAsia" w:ascii="宋体" w:hAnsi="宋体" w:cs="宋体"/>
          <w:sz w:val="24"/>
          <w:szCs w:val="24"/>
        </w:rPr>
        <w:t>结合磋商评审办法并根据采购需求的情况进行编制，格式自拟。</w:t>
      </w:r>
    </w:p>
    <w:p w14:paraId="10F2BA0A">
      <w:pPr>
        <w:pStyle w:val="7"/>
        <w:ind w:firstLine="0"/>
        <w:jc w:val="center"/>
        <w:rPr>
          <w:rFonts w:ascii="宋体" w:hAnsi="宋体" w:cs="宋体"/>
          <w:sz w:val="24"/>
          <w:szCs w:val="24"/>
        </w:rPr>
      </w:pPr>
    </w:p>
    <w:p w14:paraId="15EBBDB9">
      <w:pPr>
        <w:pStyle w:val="188"/>
        <w:wordWrap w:val="0"/>
        <w:spacing w:line="360" w:lineRule="auto"/>
        <w:ind w:firstLine="480"/>
        <w:jc w:val="right"/>
        <w:rPr>
          <w:rFonts w:ascii="宋体" w:hAnsi="宋体" w:cs="宋体"/>
          <w:sz w:val="24"/>
          <w:szCs w:val="21"/>
          <w:u w:val="single"/>
        </w:rPr>
      </w:pPr>
      <w:r>
        <w:rPr>
          <w:rFonts w:hint="eastAsia" w:ascii="宋体" w:hAnsi="宋体" w:cs="宋体"/>
          <w:sz w:val="24"/>
          <w:szCs w:val="21"/>
        </w:rPr>
        <w:t>供应商盖章：</w:t>
      </w:r>
    </w:p>
    <w:p w14:paraId="73BAE6B5">
      <w:pPr>
        <w:pStyle w:val="188"/>
        <w:wordWrap w:val="0"/>
        <w:spacing w:line="360" w:lineRule="auto"/>
        <w:ind w:firstLine="480"/>
        <w:jc w:val="right"/>
        <w:rPr>
          <w:rFonts w:ascii="宋体" w:hAnsi="宋体" w:cs="宋体"/>
          <w:sz w:val="24"/>
          <w:szCs w:val="21"/>
        </w:rPr>
      </w:pPr>
      <w:r>
        <w:rPr>
          <w:rFonts w:hint="eastAsia" w:ascii="宋体" w:hAnsi="宋体" w:cs="宋体"/>
          <w:sz w:val="24"/>
          <w:szCs w:val="21"/>
        </w:rPr>
        <w:t>日      期：</w:t>
      </w:r>
    </w:p>
    <w:p w14:paraId="204DBDBB">
      <w:pPr>
        <w:pStyle w:val="188"/>
        <w:spacing w:line="360" w:lineRule="auto"/>
        <w:ind w:firstLine="480"/>
        <w:jc w:val="right"/>
        <w:rPr>
          <w:rFonts w:ascii="宋体" w:hAnsi="宋体" w:cs="宋体"/>
          <w:sz w:val="24"/>
          <w:szCs w:val="21"/>
          <w:u w:val="single"/>
        </w:rPr>
      </w:pPr>
    </w:p>
    <w:p w14:paraId="48749F84">
      <w:pPr>
        <w:pStyle w:val="34"/>
        <w:snapToGrid w:val="0"/>
        <w:spacing w:line="360" w:lineRule="auto"/>
        <w:ind w:left="397" w:leftChars="95" w:hanging="198" w:hangingChars="82"/>
        <w:jc w:val="left"/>
        <w:rPr>
          <w:rFonts w:ascii="宋体" w:hAnsi="宋体" w:cs="宋体"/>
          <w:b/>
          <w:bCs/>
          <w:sz w:val="24"/>
        </w:rPr>
      </w:pPr>
      <w:r>
        <w:rPr>
          <w:rFonts w:ascii="宋体" w:hAnsi="宋体" w:cs="宋体"/>
          <w:b/>
          <w:bCs/>
          <w:sz w:val="24"/>
        </w:rPr>
        <w:t>2.</w:t>
      </w:r>
      <w:r>
        <w:rPr>
          <w:rFonts w:hint="eastAsia" w:ascii="宋体" w:hAnsi="宋体" w:cs="宋体"/>
          <w:b/>
          <w:bCs/>
          <w:sz w:val="24"/>
        </w:rPr>
        <w:t>8</w:t>
      </w:r>
      <w:bookmarkEnd w:id="311"/>
      <w:bookmarkEnd w:id="312"/>
      <w:bookmarkEnd w:id="313"/>
      <w:bookmarkEnd w:id="314"/>
      <w:r>
        <w:rPr>
          <w:rFonts w:ascii="宋体" w:hAnsi="宋体" w:cs="宋体"/>
          <w:b/>
          <w:bCs/>
          <w:sz w:val="24"/>
        </w:rPr>
        <w:t>人员配置</w:t>
      </w:r>
    </w:p>
    <w:p w14:paraId="55954DA4">
      <w:pPr>
        <w:pStyle w:val="7"/>
        <w:ind w:firstLine="0"/>
        <w:jc w:val="center"/>
        <w:rPr>
          <w:rFonts w:ascii="宋体" w:hAnsi="宋体" w:cs="宋体"/>
          <w:sz w:val="24"/>
          <w:szCs w:val="24"/>
        </w:rPr>
      </w:pPr>
      <w:r>
        <w:rPr>
          <w:rFonts w:hint="eastAsia" w:ascii="宋体" w:hAnsi="宋体" w:cs="宋体"/>
          <w:sz w:val="24"/>
          <w:szCs w:val="24"/>
        </w:rPr>
        <w:t>结合磋商评审办法并根据采购需求的情况进行编制，格式自拟。</w:t>
      </w:r>
    </w:p>
    <w:p w14:paraId="3FCF1B48">
      <w:pPr>
        <w:pStyle w:val="7"/>
        <w:ind w:firstLine="0"/>
        <w:jc w:val="center"/>
        <w:rPr>
          <w:rFonts w:ascii="宋体" w:hAnsi="宋体" w:cs="宋体"/>
          <w:sz w:val="24"/>
          <w:szCs w:val="24"/>
        </w:rPr>
      </w:pPr>
    </w:p>
    <w:p w14:paraId="5736394C">
      <w:pPr>
        <w:pStyle w:val="188"/>
        <w:wordWrap w:val="0"/>
        <w:spacing w:line="360" w:lineRule="auto"/>
        <w:ind w:firstLine="480"/>
        <w:jc w:val="right"/>
        <w:rPr>
          <w:rFonts w:ascii="宋体" w:hAnsi="宋体" w:cs="宋体"/>
          <w:sz w:val="24"/>
          <w:szCs w:val="21"/>
          <w:u w:val="single"/>
        </w:rPr>
      </w:pPr>
      <w:r>
        <w:rPr>
          <w:rFonts w:hint="eastAsia" w:ascii="宋体" w:hAnsi="宋体" w:cs="宋体"/>
          <w:sz w:val="24"/>
          <w:szCs w:val="21"/>
        </w:rPr>
        <w:t>供应商盖章：</w:t>
      </w:r>
    </w:p>
    <w:p w14:paraId="334AB8BE">
      <w:pPr>
        <w:pStyle w:val="188"/>
        <w:wordWrap w:val="0"/>
        <w:spacing w:line="360" w:lineRule="auto"/>
        <w:ind w:firstLine="480"/>
        <w:jc w:val="right"/>
        <w:rPr>
          <w:rFonts w:ascii="宋体" w:hAnsi="宋体" w:cs="宋体"/>
          <w:sz w:val="24"/>
          <w:szCs w:val="21"/>
        </w:rPr>
      </w:pPr>
      <w:r>
        <w:rPr>
          <w:rFonts w:hint="eastAsia" w:ascii="宋体" w:hAnsi="宋体" w:cs="宋体"/>
          <w:sz w:val="24"/>
          <w:szCs w:val="21"/>
        </w:rPr>
        <w:t>日      期：</w:t>
      </w:r>
    </w:p>
    <w:p w14:paraId="2D039DA8">
      <w:pPr>
        <w:pStyle w:val="34"/>
        <w:snapToGrid w:val="0"/>
        <w:spacing w:line="360" w:lineRule="auto"/>
        <w:ind w:left="397" w:leftChars="95" w:hanging="198" w:hangingChars="82"/>
        <w:jc w:val="left"/>
        <w:rPr>
          <w:rFonts w:ascii="宋体" w:hAnsi="宋体" w:cs="宋体"/>
          <w:b/>
          <w:bCs/>
          <w:sz w:val="24"/>
        </w:rPr>
      </w:pPr>
      <w:r>
        <w:rPr>
          <w:rFonts w:hint="eastAsia" w:ascii="宋体" w:hAnsi="宋体" w:cs="宋体"/>
          <w:b/>
          <w:bCs/>
          <w:sz w:val="24"/>
          <w:lang w:val="en-US" w:eastAsia="zh-CN"/>
        </w:rPr>
        <w:t xml:space="preserve">2.9 </w:t>
      </w:r>
      <w:r>
        <w:rPr>
          <w:rFonts w:hint="eastAsia" w:ascii="宋体" w:hAnsi="宋体" w:cs="宋体"/>
          <w:b/>
          <w:bCs/>
          <w:sz w:val="24"/>
        </w:rPr>
        <w:t>设备配置方案</w:t>
      </w:r>
    </w:p>
    <w:p w14:paraId="2561FFFA">
      <w:pPr>
        <w:pStyle w:val="7"/>
        <w:ind w:firstLine="0"/>
        <w:jc w:val="center"/>
        <w:rPr>
          <w:rFonts w:ascii="宋体" w:hAnsi="宋体" w:cs="宋体"/>
          <w:sz w:val="24"/>
          <w:szCs w:val="24"/>
        </w:rPr>
      </w:pPr>
      <w:r>
        <w:rPr>
          <w:rFonts w:hint="eastAsia" w:ascii="宋体" w:hAnsi="宋体" w:cs="宋体"/>
          <w:sz w:val="24"/>
          <w:szCs w:val="24"/>
        </w:rPr>
        <w:t>结合磋商评审办法并根据采购需求的情况进行编制，格式自拟。</w:t>
      </w:r>
    </w:p>
    <w:p w14:paraId="3C474E9D">
      <w:pPr>
        <w:pStyle w:val="7"/>
        <w:ind w:firstLine="0"/>
        <w:jc w:val="center"/>
        <w:rPr>
          <w:rFonts w:ascii="宋体" w:hAnsi="宋体" w:cs="宋体"/>
          <w:sz w:val="24"/>
          <w:szCs w:val="24"/>
        </w:rPr>
      </w:pPr>
    </w:p>
    <w:p w14:paraId="793AB1B2">
      <w:pPr>
        <w:pStyle w:val="188"/>
        <w:wordWrap w:val="0"/>
        <w:spacing w:line="360" w:lineRule="auto"/>
        <w:ind w:firstLine="480"/>
        <w:jc w:val="right"/>
        <w:rPr>
          <w:rFonts w:ascii="宋体" w:hAnsi="宋体" w:cs="宋体"/>
          <w:sz w:val="24"/>
          <w:szCs w:val="21"/>
          <w:u w:val="single"/>
        </w:rPr>
      </w:pPr>
      <w:r>
        <w:rPr>
          <w:rFonts w:hint="eastAsia" w:ascii="宋体" w:hAnsi="宋体" w:cs="宋体"/>
          <w:sz w:val="24"/>
          <w:szCs w:val="21"/>
        </w:rPr>
        <w:t>供应商盖章：</w:t>
      </w:r>
    </w:p>
    <w:p w14:paraId="56369391">
      <w:pPr>
        <w:pStyle w:val="188"/>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p>
    <w:p w14:paraId="5FDC6C26">
      <w:pPr>
        <w:pStyle w:val="7"/>
        <w:ind w:firstLine="0"/>
        <w:jc w:val="center"/>
        <w:rPr>
          <w:rFonts w:ascii="宋体" w:hAnsi="宋体" w:cs="宋体"/>
          <w:sz w:val="24"/>
          <w:szCs w:val="24"/>
        </w:rPr>
      </w:pPr>
    </w:p>
    <w:bookmarkEnd w:id="309"/>
    <w:p w14:paraId="04F8DEAD">
      <w:pPr>
        <w:pStyle w:val="34"/>
        <w:snapToGrid w:val="0"/>
        <w:spacing w:line="360" w:lineRule="auto"/>
        <w:ind w:left="399" w:leftChars="95" w:firstLineChars="0"/>
        <w:jc w:val="left"/>
        <w:rPr>
          <w:rFonts w:ascii="宋体" w:hAnsi="宋体" w:cs="宋体"/>
          <w:b/>
          <w:bCs/>
          <w:sz w:val="24"/>
        </w:rPr>
      </w:pPr>
      <w:bookmarkStart w:id="315" w:name="_Toc493956063"/>
      <w:bookmarkStart w:id="316" w:name="_Toc530551887"/>
      <w:r>
        <w:rPr>
          <w:rFonts w:hint="eastAsia" w:ascii="宋体" w:hAnsi="宋体" w:cs="宋体"/>
          <w:b/>
          <w:bCs/>
          <w:sz w:val="24"/>
        </w:rPr>
        <w:t>2.</w:t>
      </w:r>
      <w:r>
        <w:rPr>
          <w:rFonts w:hint="eastAsia" w:ascii="宋体" w:hAnsi="宋体" w:cs="宋体"/>
          <w:b/>
          <w:bCs/>
          <w:sz w:val="24"/>
          <w:lang w:val="en-US" w:eastAsia="zh-CN"/>
        </w:rPr>
        <w:t>10</w:t>
      </w:r>
      <w:r>
        <w:rPr>
          <w:rFonts w:hint="eastAsia" w:ascii="宋体" w:hAnsi="宋体" w:cs="宋体"/>
          <w:b/>
          <w:bCs/>
          <w:sz w:val="24"/>
        </w:rPr>
        <w:t xml:space="preserve">   项目进度安排</w:t>
      </w:r>
    </w:p>
    <w:p w14:paraId="05DB0AFB">
      <w:pPr>
        <w:pStyle w:val="7"/>
        <w:ind w:firstLine="0"/>
        <w:jc w:val="center"/>
        <w:rPr>
          <w:rFonts w:ascii="宋体" w:hAnsi="宋体" w:cs="宋体"/>
          <w:sz w:val="24"/>
          <w:szCs w:val="24"/>
        </w:rPr>
      </w:pPr>
    </w:p>
    <w:p w14:paraId="04F315B6">
      <w:pPr>
        <w:pStyle w:val="7"/>
        <w:ind w:firstLine="0"/>
        <w:jc w:val="center"/>
        <w:rPr>
          <w:rFonts w:ascii="宋体" w:hAnsi="宋体" w:cs="宋体"/>
          <w:sz w:val="24"/>
          <w:szCs w:val="24"/>
        </w:rPr>
      </w:pPr>
    </w:p>
    <w:p w14:paraId="7F989F34">
      <w:pPr>
        <w:pStyle w:val="7"/>
        <w:ind w:firstLine="0"/>
        <w:jc w:val="center"/>
        <w:rPr>
          <w:rFonts w:ascii="宋体" w:hAnsi="宋体" w:cs="宋体"/>
          <w:sz w:val="24"/>
          <w:szCs w:val="24"/>
        </w:rPr>
      </w:pPr>
    </w:p>
    <w:p w14:paraId="3D6A4CD1">
      <w:pPr>
        <w:pStyle w:val="7"/>
        <w:ind w:firstLine="0"/>
        <w:jc w:val="center"/>
        <w:rPr>
          <w:rFonts w:ascii="宋体" w:hAnsi="宋体" w:cs="宋体"/>
          <w:sz w:val="24"/>
          <w:szCs w:val="24"/>
        </w:rPr>
      </w:pPr>
      <w:r>
        <w:rPr>
          <w:rFonts w:hint="eastAsia" w:ascii="宋体" w:hAnsi="宋体" w:cs="宋体"/>
          <w:sz w:val="24"/>
          <w:szCs w:val="24"/>
        </w:rPr>
        <w:t>结合磋商评审办法并根据采购需求的情况进行编制，格式自拟。</w:t>
      </w:r>
    </w:p>
    <w:p w14:paraId="7C02F60C">
      <w:pPr>
        <w:pStyle w:val="7"/>
        <w:ind w:firstLine="0"/>
        <w:jc w:val="center"/>
        <w:rPr>
          <w:rFonts w:ascii="宋体" w:hAnsi="宋体" w:cs="宋体"/>
          <w:sz w:val="24"/>
          <w:szCs w:val="24"/>
        </w:rPr>
      </w:pPr>
    </w:p>
    <w:p w14:paraId="01EF7033">
      <w:pPr>
        <w:pStyle w:val="188"/>
        <w:wordWrap w:val="0"/>
        <w:spacing w:line="360" w:lineRule="auto"/>
        <w:ind w:firstLine="480"/>
        <w:jc w:val="right"/>
        <w:rPr>
          <w:rFonts w:ascii="宋体" w:hAnsi="宋体" w:cs="宋体"/>
          <w:sz w:val="24"/>
          <w:szCs w:val="21"/>
          <w:u w:val="single"/>
        </w:rPr>
      </w:pPr>
      <w:r>
        <w:rPr>
          <w:rFonts w:hint="eastAsia" w:ascii="宋体" w:hAnsi="宋体" w:cs="宋体"/>
          <w:sz w:val="24"/>
          <w:szCs w:val="21"/>
        </w:rPr>
        <w:t>供应商盖章：</w:t>
      </w:r>
    </w:p>
    <w:p w14:paraId="558E039C">
      <w:pPr>
        <w:pStyle w:val="188"/>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p>
    <w:p w14:paraId="25B3BE61">
      <w:pPr>
        <w:pStyle w:val="34"/>
        <w:snapToGrid w:val="0"/>
        <w:spacing w:line="360" w:lineRule="auto"/>
        <w:ind w:left="399" w:leftChars="95" w:firstLineChars="0"/>
        <w:jc w:val="left"/>
        <w:rPr>
          <w:rFonts w:ascii="宋体" w:hAnsi="宋体" w:cs="宋体"/>
          <w:b/>
          <w:bCs/>
          <w:sz w:val="24"/>
        </w:rPr>
      </w:pPr>
    </w:p>
    <w:p w14:paraId="6558A8F5">
      <w:pPr>
        <w:pStyle w:val="34"/>
        <w:snapToGrid w:val="0"/>
        <w:spacing w:line="360" w:lineRule="auto"/>
        <w:ind w:left="399" w:leftChars="95" w:firstLineChars="0"/>
        <w:jc w:val="left"/>
        <w:rPr>
          <w:rFonts w:ascii="宋体" w:hAnsi="宋体" w:cs="宋体"/>
          <w:b/>
          <w:bCs/>
          <w:sz w:val="24"/>
        </w:rPr>
      </w:pPr>
      <w:r>
        <w:rPr>
          <w:rFonts w:hint="eastAsia" w:ascii="宋体" w:hAnsi="宋体" w:cs="宋体"/>
          <w:b/>
          <w:bCs/>
          <w:sz w:val="24"/>
        </w:rPr>
        <w:t>2.1</w:t>
      </w:r>
      <w:r>
        <w:rPr>
          <w:rFonts w:hint="eastAsia" w:ascii="宋体" w:hAnsi="宋体" w:cs="宋体"/>
          <w:b/>
          <w:bCs/>
          <w:sz w:val="24"/>
          <w:lang w:val="en-US" w:eastAsia="zh-CN"/>
        </w:rPr>
        <w:t>1</w:t>
      </w:r>
      <w:r>
        <w:rPr>
          <w:rFonts w:hint="eastAsia" w:ascii="宋体" w:hAnsi="宋体" w:cs="宋体"/>
          <w:b/>
          <w:bCs/>
          <w:sz w:val="24"/>
        </w:rPr>
        <w:t>安全生产</w:t>
      </w:r>
      <w:r>
        <w:rPr>
          <w:rFonts w:hint="eastAsia" w:ascii="宋体" w:hAnsi="宋体" w:eastAsia="宋体" w:cs="宋体"/>
          <w:b/>
          <w:bCs/>
          <w:sz w:val="24"/>
          <w:lang w:eastAsia="zh-CN"/>
        </w:rPr>
        <w:t>、</w:t>
      </w:r>
      <w:r>
        <w:rPr>
          <w:rFonts w:hint="eastAsia" w:ascii="宋体" w:hAnsi="宋体" w:eastAsia="宋体" w:cs="宋体"/>
          <w:b/>
          <w:bCs/>
          <w:sz w:val="24"/>
        </w:rPr>
        <w:t>文明作业、环保措施方</w:t>
      </w:r>
      <w:r>
        <w:rPr>
          <w:rFonts w:hint="eastAsia" w:ascii="宋体" w:hAnsi="宋体" w:cs="宋体"/>
          <w:b/>
          <w:bCs/>
          <w:sz w:val="24"/>
        </w:rPr>
        <w:t>案</w:t>
      </w:r>
    </w:p>
    <w:p w14:paraId="11BAA63B">
      <w:pPr>
        <w:pStyle w:val="34"/>
        <w:snapToGrid w:val="0"/>
        <w:spacing w:line="360" w:lineRule="auto"/>
        <w:ind w:left="0" w:firstLine="0" w:firstLineChars="0"/>
        <w:jc w:val="left"/>
        <w:rPr>
          <w:rFonts w:ascii="宋体" w:hAnsi="宋体" w:cs="宋体"/>
          <w:b/>
          <w:bCs/>
          <w:sz w:val="24"/>
        </w:rPr>
      </w:pPr>
    </w:p>
    <w:p w14:paraId="6EE4C21C">
      <w:pPr>
        <w:pStyle w:val="7"/>
        <w:ind w:firstLine="0"/>
        <w:jc w:val="center"/>
        <w:rPr>
          <w:rFonts w:ascii="宋体" w:hAnsi="宋体" w:cs="宋体"/>
          <w:sz w:val="24"/>
          <w:szCs w:val="24"/>
        </w:rPr>
      </w:pPr>
      <w:r>
        <w:rPr>
          <w:rFonts w:hint="eastAsia" w:ascii="宋体" w:hAnsi="宋体" w:cs="宋体"/>
          <w:sz w:val="24"/>
          <w:szCs w:val="24"/>
        </w:rPr>
        <w:t>结合磋商评审办法并根据采购需求的情况进行编制，格式自拟。</w:t>
      </w:r>
    </w:p>
    <w:p w14:paraId="49EFF668">
      <w:pPr>
        <w:pStyle w:val="7"/>
        <w:ind w:firstLine="0"/>
        <w:jc w:val="center"/>
        <w:rPr>
          <w:rFonts w:ascii="宋体" w:hAnsi="宋体" w:cs="宋体"/>
          <w:sz w:val="24"/>
          <w:szCs w:val="24"/>
        </w:rPr>
      </w:pPr>
    </w:p>
    <w:p w14:paraId="3B23C405">
      <w:pPr>
        <w:pStyle w:val="188"/>
        <w:wordWrap w:val="0"/>
        <w:spacing w:line="360" w:lineRule="auto"/>
        <w:ind w:firstLine="480"/>
        <w:jc w:val="right"/>
        <w:rPr>
          <w:rFonts w:ascii="宋体" w:hAnsi="宋体" w:cs="宋体"/>
          <w:sz w:val="24"/>
          <w:szCs w:val="21"/>
          <w:u w:val="single"/>
        </w:rPr>
      </w:pPr>
      <w:r>
        <w:rPr>
          <w:rFonts w:hint="eastAsia" w:ascii="宋体" w:hAnsi="宋体" w:cs="宋体"/>
          <w:sz w:val="24"/>
          <w:szCs w:val="21"/>
        </w:rPr>
        <w:t>供应商盖章：</w:t>
      </w:r>
    </w:p>
    <w:p w14:paraId="64064582">
      <w:pPr>
        <w:pStyle w:val="188"/>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p>
    <w:p w14:paraId="1ED26ACB">
      <w:pPr>
        <w:pStyle w:val="34"/>
        <w:snapToGrid w:val="0"/>
        <w:spacing w:line="360" w:lineRule="auto"/>
        <w:ind w:left="399" w:leftChars="95" w:firstLineChars="0"/>
        <w:jc w:val="left"/>
        <w:rPr>
          <w:rFonts w:ascii="宋体" w:hAnsi="宋体" w:cs="宋体"/>
          <w:b/>
          <w:sz w:val="24"/>
        </w:rPr>
      </w:pPr>
      <w:r>
        <w:rPr>
          <w:rFonts w:hint="eastAsia" w:ascii="宋体" w:hAnsi="宋体" w:cs="宋体"/>
          <w:b/>
          <w:sz w:val="24"/>
        </w:rPr>
        <w:t>2.1</w:t>
      </w:r>
      <w:r>
        <w:rPr>
          <w:rFonts w:hint="eastAsia" w:ascii="宋体" w:hAnsi="宋体" w:cs="宋体"/>
          <w:b/>
          <w:sz w:val="24"/>
          <w:lang w:val="en-US" w:eastAsia="zh-CN"/>
        </w:rPr>
        <w:t>2</w:t>
      </w:r>
      <w:r>
        <w:rPr>
          <w:rFonts w:hint="eastAsia" w:ascii="宋体" w:hAnsi="宋体" w:cs="宋体"/>
          <w:b/>
          <w:sz w:val="24"/>
          <w:szCs w:val="24"/>
        </w:rPr>
        <w:t>突发事件应急处理能力</w:t>
      </w:r>
    </w:p>
    <w:p w14:paraId="056D6001">
      <w:pPr>
        <w:pStyle w:val="7"/>
        <w:ind w:firstLine="0"/>
        <w:jc w:val="center"/>
        <w:rPr>
          <w:rFonts w:ascii="宋体" w:hAnsi="宋体" w:cs="宋体"/>
          <w:sz w:val="24"/>
          <w:szCs w:val="24"/>
        </w:rPr>
      </w:pPr>
      <w:r>
        <w:rPr>
          <w:rFonts w:hint="eastAsia" w:ascii="宋体" w:hAnsi="宋体" w:cs="宋体"/>
          <w:sz w:val="24"/>
          <w:szCs w:val="24"/>
        </w:rPr>
        <w:t>结合磋商评审办法并根据采购需求的情况进行编制，格式自拟。</w:t>
      </w:r>
    </w:p>
    <w:p w14:paraId="1F0BA483">
      <w:pPr>
        <w:pStyle w:val="7"/>
        <w:ind w:firstLine="0"/>
        <w:jc w:val="center"/>
        <w:rPr>
          <w:rFonts w:ascii="宋体" w:hAnsi="宋体" w:cs="宋体"/>
          <w:sz w:val="24"/>
          <w:szCs w:val="24"/>
        </w:rPr>
      </w:pPr>
    </w:p>
    <w:p w14:paraId="79065926">
      <w:pPr>
        <w:pStyle w:val="188"/>
        <w:wordWrap w:val="0"/>
        <w:spacing w:line="360" w:lineRule="auto"/>
        <w:ind w:firstLine="480"/>
        <w:jc w:val="right"/>
        <w:rPr>
          <w:rFonts w:ascii="宋体" w:hAnsi="宋体" w:cs="宋体"/>
          <w:sz w:val="24"/>
          <w:szCs w:val="21"/>
          <w:u w:val="single"/>
        </w:rPr>
      </w:pPr>
      <w:r>
        <w:rPr>
          <w:rFonts w:hint="eastAsia" w:ascii="宋体" w:hAnsi="宋体" w:cs="宋体"/>
          <w:sz w:val="24"/>
          <w:szCs w:val="21"/>
        </w:rPr>
        <w:t>供应商盖章：</w:t>
      </w:r>
    </w:p>
    <w:p w14:paraId="6BC6495B">
      <w:pPr>
        <w:pStyle w:val="188"/>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p>
    <w:p w14:paraId="69F5DB6E">
      <w:pPr>
        <w:snapToGrid w:val="0"/>
        <w:ind w:firstLine="241" w:firstLineChars="100"/>
        <w:jc w:val="left"/>
        <w:rPr>
          <w:rFonts w:hint="eastAsia" w:ascii="宋体" w:hAnsi="宋体" w:cs="宋体"/>
          <w:b/>
          <w:sz w:val="24"/>
        </w:rPr>
      </w:pPr>
    </w:p>
    <w:p w14:paraId="3371C2A7">
      <w:pPr>
        <w:snapToGrid w:val="0"/>
        <w:ind w:firstLine="241" w:firstLineChars="100"/>
        <w:jc w:val="left"/>
        <w:rPr>
          <w:rFonts w:hint="eastAsia" w:ascii="宋体" w:hAnsi="宋体" w:cs="宋体"/>
          <w:b/>
          <w:sz w:val="24"/>
        </w:rPr>
      </w:pPr>
    </w:p>
    <w:p w14:paraId="0BC0DF9B">
      <w:pPr>
        <w:snapToGrid w:val="0"/>
        <w:ind w:firstLine="241" w:firstLineChars="100"/>
        <w:jc w:val="left"/>
        <w:rPr>
          <w:rFonts w:hint="eastAsia" w:ascii="宋体" w:hAnsi="宋体" w:cs="宋体"/>
          <w:b/>
          <w:sz w:val="24"/>
        </w:rPr>
      </w:pPr>
    </w:p>
    <w:p w14:paraId="1AA54E38">
      <w:pPr>
        <w:snapToGrid w:val="0"/>
        <w:ind w:firstLine="241" w:firstLineChars="100"/>
        <w:jc w:val="left"/>
        <w:rPr>
          <w:rFonts w:hint="eastAsia" w:ascii="宋体" w:hAnsi="宋体" w:cs="宋体"/>
          <w:b/>
          <w:sz w:val="24"/>
        </w:rPr>
      </w:pPr>
    </w:p>
    <w:p w14:paraId="5F38DD4C">
      <w:pPr>
        <w:snapToGrid w:val="0"/>
        <w:ind w:firstLine="241" w:firstLineChars="100"/>
        <w:jc w:val="left"/>
        <w:rPr>
          <w:rFonts w:hint="eastAsia" w:ascii="宋体" w:hAnsi="宋体" w:cs="宋体"/>
          <w:b/>
          <w:sz w:val="24"/>
        </w:rPr>
      </w:pPr>
    </w:p>
    <w:p w14:paraId="2A67AB20">
      <w:pPr>
        <w:snapToGrid w:val="0"/>
        <w:ind w:firstLine="241" w:firstLineChars="100"/>
        <w:jc w:val="left"/>
        <w:rPr>
          <w:rFonts w:hint="eastAsia" w:eastAsia="宋体" w:cs="仿宋" w:asciiTheme="minorEastAsia" w:hAnsiTheme="minorEastAsia"/>
          <w:kern w:val="0"/>
          <w:sz w:val="24"/>
          <w:szCs w:val="24"/>
          <w:lang w:eastAsia="zh-CN"/>
        </w:rPr>
      </w:pPr>
      <w:r>
        <w:rPr>
          <w:rFonts w:hint="eastAsia" w:ascii="宋体" w:hAnsi="宋体" w:cs="宋体"/>
          <w:b/>
          <w:sz w:val="24"/>
        </w:rPr>
        <w:t>2.1</w:t>
      </w:r>
      <w:r>
        <w:rPr>
          <w:rFonts w:hint="eastAsia" w:ascii="宋体" w:hAnsi="宋体" w:cs="宋体"/>
          <w:b/>
          <w:sz w:val="24"/>
          <w:lang w:val="en-US" w:eastAsia="zh-CN"/>
        </w:rPr>
        <w:t xml:space="preserve">3 </w:t>
      </w:r>
      <w:r>
        <w:rPr>
          <w:rFonts w:hint="eastAsia" w:ascii="宋体" w:hAnsi="宋体" w:cs="宋体"/>
          <w:b/>
          <w:sz w:val="24"/>
        </w:rPr>
        <w:t>服务</w:t>
      </w:r>
      <w:r>
        <w:rPr>
          <w:rFonts w:hint="eastAsia" w:ascii="宋体" w:hAnsi="宋体" w:cs="宋体"/>
          <w:b/>
          <w:sz w:val="24"/>
          <w:lang w:eastAsia="zh-CN"/>
        </w:rPr>
        <w:t>承诺</w:t>
      </w:r>
    </w:p>
    <w:p w14:paraId="17A01FB3">
      <w:pPr>
        <w:pStyle w:val="34"/>
        <w:snapToGrid w:val="0"/>
        <w:spacing w:line="360" w:lineRule="auto"/>
        <w:ind w:left="399" w:leftChars="95" w:firstLineChars="0"/>
        <w:jc w:val="left"/>
        <w:rPr>
          <w:rFonts w:ascii="宋体" w:hAnsi="宋体" w:cs="宋体"/>
          <w:b/>
          <w:sz w:val="24"/>
        </w:rPr>
      </w:pPr>
    </w:p>
    <w:p w14:paraId="7B421246">
      <w:pPr>
        <w:pStyle w:val="7"/>
        <w:ind w:firstLine="0"/>
        <w:jc w:val="center"/>
        <w:rPr>
          <w:rFonts w:ascii="宋体" w:hAnsi="宋体" w:cs="宋体"/>
          <w:sz w:val="24"/>
          <w:szCs w:val="24"/>
        </w:rPr>
      </w:pPr>
      <w:r>
        <w:rPr>
          <w:rFonts w:hint="eastAsia" w:ascii="宋体" w:hAnsi="宋体" w:cs="宋体"/>
          <w:sz w:val="24"/>
          <w:szCs w:val="24"/>
        </w:rPr>
        <w:t>结合磋商评审办法并根据采购需求的情况进行编制，格式自拟。</w:t>
      </w:r>
    </w:p>
    <w:p w14:paraId="0E808F35">
      <w:pPr>
        <w:pStyle w:val="188"/>
        <w:wordWrap w:val="0"/>
        <w:spacing w:line="360" w:lineRule="auto"/>
        <w:ind w:firstLine="480"/>
        <w:jc w:val="right"/>
        <w:rPr>
          <w:rFonts w:ascii="宋体" w:hAnsi="宋体" w:cs="宋体"/>
          <w:sz w:val="24"/>
          <w:szCs w:val="21"/>
        </w:rPr>
      </w:pPr>
    </w:p>
    <w:p w14:paraId="70C252D5">
      <w:pPr>
        <w:pStyle w:val="188"/>
        <w:spacing w:line="360" w:lineRule="auto"/>
        <w:ind w:firstLine="480"/>
        <w:jc w:val="right"/>
        <w:rPr>
          <w:rFonts w:ascii="宋体" w:hAnsi="宋体" w:cs="宋体"/>
          <w:sz w:val="24"/>
          <w:szCs w:val="21"/>
          <w:u w:val="single"/>
        </w:rPr>
      </w:pPr>
      <w:r>
        <w:rPr>
          <w:rFonts w:hint="eastAsia" w:ascii="宋体" w:hAnsi="宋体" w:cs="宋体"/>
          <w:sz w:val="24"/>
          <w:szCs w:val="21"/>
        </w:rPr>
        <w:t>供应商盖章：</w:t>
      </w:r>
    </w:p>
    <w:p w14:paraId="02790FAF">
      <w:pPr>
        <w:pStyle w:val="188"/>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p>
    <w:bookmarkEnd w:id="315"/>
    <w:bookmarkEnd w:id="316"/>
    <w:p w14:paraId="71E71114">
      <w:pPr>
        <w:pStyle w:val="6"/>
        <w:spacing w:before="0" w:after="0"/>
        <w:ind w:firstLine="0" w:firstLineChars="0"/>
        <w:jc w:val="left"/>
        <w:rPr>
          <w:rFonts w:ascii="宋体" w:hAnsi="宋体" w:cs="宋体"/>
          <w:sz w:val="24"/>
          <w:szCs w:val="24"/>
        </w:rPr>
      </w:pPr>
      <w:bookmarkStart w:id="317" w:name="_Toc531359072"/>
      <w:bookmarkStart w:id="318" w:name="_Toc359934644"/>
      <w:bookmarkStart w:id="319" w:name="_Toc80973315"/>
      <w:bookmarkStart w:id="320" w:name="_Toc305144129"/>
      <w:bookmarkStart w:id="321" w:name="_Toc409172377"/>
      <w:bookmarkStart w:id="322" w:name="_Toc303756458"/>
      <w:bookmarkStart w:id="323" w:name="_Toc34895615"/>
      <w:bookmarkStart w:id="324" w:name="_Toc341260008"/>
      <w:bookmarkStart w:id="325" w:name="_Toc377979050"/>
      <w:bookmarkStart w:id="326" w:name="_Toc515526271"/>
      <w:bookmarkStart w:id="327" w:name="_Toc493956067"/>
      <w:bookmarkStart w:id="328" w:name="_Toc530551891"/>
      <w:r>
        <w:rPr>
          <w:rFonts w:hint="eastAsia" w:ascii="宋体" w:hAnsi="宋体" w:eastAsia="宋体" w:cs="宋体"/>
          <w:sz w:val="24"/>
          <w:szCs w:val="24"/>
        </w:rPr>
        <w:t>2.1</w:t>
      </w:r>
      <w:r>
        <w:rPr>
          <w:rFonts w:hint="eastAsia" w:ascii="宋体" w:hAnsi="宋体" w:eastAsia="宋体" w:cs="宋体"/>
          <w:sz w:val="24"/>
          <w:szCs w:val="24"/>
          <w:lang w:val="en-US" w:eastAsia="zh-CN"/>
        </w:rPr>
        <w:t>4</w:t>
      </w:r>
      <w:r>
        <w:rPr>
          <w:rFonts w:hint="eastAsia" w:ascii="宋体" w:hAnsi="宋体" w:eastAsia="宋体" w:cs="宋体"/>
          <w:sz w:val="24"/>
          <w:szCs w:val="24"/>
        </w:rPr>
        <w:t>供应商需要说明的其他文件和说明</w:t>
      </w:r>
      <w:bookmarkEnd w:id="317"/>
      <w:bookmarkEnd w:id="318"/>
      <w:bookmarkEnd w:id="319"/>
      <w:bookmarkEnd w:id="320"/>
      <w:bookmarkEnd w:id="321"/>
      <w:bookmarkEnd w:id="322"/>
      <w:bookmarkEnd w:id="323"/>
      <w:bookmarkEnd w:id="324"/>
      <w:bookmarkEnd w:id="325"/>
      <w:bookmarkEnd w:id="326"/>
    </w:p>
    <w:p w14:paraId="09084563">
      <w:pPr>
        <w:pStyle w:val="7"/>
      </w:pPr>
      <w:r>
        <w:br w:type="page"/>
      </w:r>
    </w:p>
    <w:bookmarkEnd w:id="327"/>
    <w:bookmarkEnd w:id="328"/>
    <w:p w14:paraId="3041EB83">
      <w:pPr>
        <w:pStyle w:val="43"/>
        <w:spacing w:beforeLines="100" w:afterLines="100"/>
        <w:outlineLvl w:val="1"/>
        <w:rPr>
          <w:rFonts w:ascii="宋体" w:hAnsi="宋体" w:cs="宋体"/>
          <w:sz w:val="44"/>
          <w:szCs w:val="44"/>
        </w:rPr>
      </w:pPr>
      <w:bookmarkStart w:id="329" w:name="_Toc80973316"/>
      <w:bookmarkStart w:id="330" w:name="_Toc531359073"/>
      <w:bookmarkStart w:id="331" w:name="_Toc530551896"/>
      <w:r>
        <w:rPr>
          <w:rFonts w:hint="eastAsia" w:ascii="宋体" w:hAnsi="宋体" w:cs="宋体"/>
          <w:sz w:val="44"/>
          <w:szCs w:val="44"/>
        </w:rPr>
        <w:t>三  报价文件格式</w:t>
      </w:r>
      <w:bookmarkEnd w:id="329"/>
      <w:bookmarkEnd w:id="330"/>
      <w:bookmarkEnd w:id="331"/>
    </w:p>
    <w:p w14:paraId="04A01FFD">
      <w:pPr>
        <w:spacing w:line="360" w:lineRule="auto"/>
        <w:rPr>
          <w:rFonts w:ascii="宋体" w:hAnsi="宋体" w:cs="宋体"/>
          <w:sz w:val="24"/>
          <w:szCs w:val="24"/>
        </w:rPr>
      </w:pPr>
    </w:p>
    <w:p w14:paraId="27EE2182">
      <w:pPr>
        <w:pStyle w:val="6"/>
        <w:spacing w:before="0" w:after="0"/>
        <w:ind w:firstLine="0" w:firstLineChars="0"/>
        <w:jc w:val="left"/>
        <w:rPr>
          <w:rFonts w:ascii="宋体" w:hAnsi="宋体" w:eastAsia="宋体" w:cs="宋体"/>
          <w:sz w:val="24"/>
          <w:szCs w:val="24"/>
        </w:rPr>
      </w:pPr>
      <w:bookmarkStart w:id="332" w:name="_Toc80973317"/>
      <w:bookmarkStart w:id="333" w:name="_Toc531359074"/>
      <w:bookmarkStart w:id="334" w:name="_Toc530551897"/>
      <w:bookmarkStart w:id="335" w:name="_Toc493956072"/>
      <w:r>
        <w:rPr>
          <w:rFonts w:hint="eastAsia" w:ascii="宋体" w:hAnsi="宋体" w:eastAsia="宋体" w:cs="宋体"/>
          <w:sz w:val="24"/>
          <w:szCs w:val="24"/>
        </w:rPr>
        <w:t>3.1     报价文件文件封面格式</w:t>
      </w:r>
      <w:bookmarkEnd w:id="332"/>
    </w:p>
    <w:p w14:paraId="607A049E">
      <w:pPr>
        <w:pStyle w:val="7"/>
        <w:spacing w:line="360" w:lineRule="auto"/>
        <w:ind w:firstLine="0"/>
        <w:jc w:val="center"/>
        <w:rPr>
          <w:rFonts w:ascii="宋体" w:hAnsi="宋体" w:cs="宋体"/>
          <w:b/>
          <w:sz w:val="32"/>
          <w:szCs w:val="32"/>
        </w:rPr>
      </w:pPr>
      <w:r>
        <w:rPr>
          <w:rFonts w:hint="eastAsia" w:ascii="宋体" w:hAnsi="宋体" w:cs="宋体"/>
          <w:b/>
          <w:sz w:val="32"/>
          <w:szCs w:val="32"/>
        </w:rPr>
        <w:t>磋商响应文件</w:t>
      </w:r>
    </w:p>
    <w:p w14:paraId="0C24D527">
      <w:pPr>
        <w:snapToGrid w:val="0"/>
        <w:jc w:val="center"/>
        <w:rPr>
          <w:rFonts w:ascii="宋体" w:hAnsi="宋体" w:cs="宋体"/>
          <w:bCs/>
          <w:sz w:val="24"/>
          <w:szCs w:val="20"/>
        </w:rPr>
      </w:pPr>
    </w:p>
    <w:tbl>
      <w:tblPr>
        <w:tblStyle w:val="46"/>
        <w:tblW w:w="7054" w:type="dxa"/>
        <w:jc w:val="center"/>
        <w:tblLayout w:type="fixed"/>
        <w:tblCellMar>
          <w:top w:w="0" w:type="dxa"/>
          <w:left w:w="108" w:type="dxa"/>
          <w:bottom w:w="0" w:type="dxa"/>
          <w:right w:w="108" w:type="dxa"/>
        </w:tblCellMar>
      </w:tblPr>
      <w:tblGrid>
        <w:gridCol w:w="2518"/>
        <w:gridCol w:w="4536"/>
      </w:tblGrid>
      <w:tr w14:paraId="7B32BC14">
        <w:tblPrEx>
          <w:tblCellMar>
            <w:top w:w="0" w:type="dxa"/>
            <w:left w:w="108" w:type="dxa"/>
            <w:bottom w:w="0" w:type="dxa"/>
            <w:right w:w="108" w:type="dxa"/>
          </w:tblCellMar>
        </w:tblPrEx>
        <w:trPr>
          <w:trHeight w:val="850" w:hRule="atLeast"/>
          <w:jc w:val="center"/>
        </w:trPr>
        <w:tc>
          <w:tcPr>
            <w:tcW w:w="2518" w:type="dxa"/>
            <w:vAlign w:val="center"/>
          </w:tcPr>
          <w:p w14:paraId="75DA420D">
            <w:pPr>
              <w:jc w:val="distribute"/>
              <w:rPr>
                <w:rFonts w:ascii="宋体" w:hAnsi="宋体" w:cs="宋体"/>
                <w:sz w:val="24"/>
                <w:szCs w:val="24"/>
              </w:rPr>
            </w:pPr>
            <w:r>
              <w:rPr>
                <w:rFonts w:hint="eastAsia" w:ascii="宋体" w:hAnsi="宋体" w:cs="宋体"/>
                <w:sz w:val="24"/>
                <w:szCs w:val="24"/>
              </w:rPr>
              <w:t>磋商响应文件名称：</w:t>
            </w:r>
          </w:p>
        </w:tc>
        <w:tc>
          <w:tcPr>
            <w:tcW w:w="4536" w:type="dxa"/>
            <w:vAlign w:val="center"/>
          </w:tcPr>
          <w:p w14:paraId="64793262">
            <w:pPr>
              <w:jc w:val="left"/>
              <w:rPr>
                <w:rFonts w:ascii="宋体" w:hAnsi="宋体" w:cs="宋体"/>
                <w:sz w:val="24"/>
                <w:szCs w:val="24"/>
              </w:rPr>
            </w:pPr>
            <w:r>
              <w:rPr>
                <w:rFonts w:hint="eastAsia" w:ascii="宋体" w:hAnsi="宋体" w:cs="宋体"/>
                <w:sz w:val="24"/>
                <w:szCs w:val="24"/>
                <w:u w:val="single"/>
              </w:rPr>
              <w:t xml:space="preserve"> 报价文件           </w:t>
            </w:r>
          </w:p>
        </w:tc>
      </w:tr>
      <w:tr w14:paraId="27D1E1C3">
        <w:tblPrEx>
          <w:tblCellMar>
            <w:top w:w="0" w:type="dxa"/>
            <w:left w:w="108" w:type="dxa"/>
            <w:bottom w:w="0" w:type="dxa"/>
            <w:right w:w="108" w:type="dxa"/>
          </w:tblCellMar>
        </w:tblPrEx>
        <w:trPr>
          <w:trHeight w:val="850" w:hRule="atLeast"/>
          <w:jc w:val="center"/>
        </w:trPr>
        <w:tc>
          <w:tcPr>
            <w:tcW w:w="2518" w:type="dxa"/>
            <w:vAlign w:val="center"/>
          </w:tcPr>
          <w:p w14:paraId="6A9FA92B">
            <w:pPr>
              <w:jc w:val="distribute"/>
              <w:rPr>
                <w:rFonts w:ascii="宋体" w:hAnsi="宋体" w:cs="宋体"/>
                <w:sz w:val="24"/>
                <w:szCs w:val="24"/>
              </w:rPr>
            </w:pPr>
            <w:r>
              <w:rPr>
                <w:rFonts w:hint="eastAsia" w:ascii="宋体" w:hAnsi="宋体" w:cs="宋体"/>
                <w:sz w:val="24"/>
                <w:szCs w:val="24"/>
              </w:rPr>
              <w:t>项 目 编 号：</w:t>
            </w:r>
          </w:p>
        </w:tc>
        <w:tc>
          <w:tcPr>
            <w:tcW w:w="4536" w:type="dxa"/>
            <w:vAlign w:val="center"/>
          </w:tcPr>
          <w:p w14:paraId="388C0EAE">
            <w:pPr>
              <w:jc w:val="left"/>
              <w:rPr>
                <w:rFonts w:ascii="宋体" w:hAnsi="宋体" w:cs="宋体"/>
                <w:sz w:val="24"/>
                <w:szCs w:val="24"/>
              </w:rPr>
            </w:pPr>
          </w:p>
        </w:tc>
      </w:tr>
      <w:tr w14:paraId="2C4DBC73">
        <w:tblPrEx>
          <w:tblCellMar>
            <w:top w:w="0" w:type="dxa"/>
            <w:left w:w="108" w:type="dxa"/>
            <w:bottom w:w="0" w:type="dxa"/>
            <w:right w:w="108" w:type="dxa"/>
          </w:tblCellMar>
        </w:tblPrEx>
        <w:trPr>
          <w:trHeight w:val="850" w:hRule="atLeast"/>
          <w:jc w:val="center"/>
        </w:trPr>
        <w:tc>
          <w:tcPr>
            <w:tcW w:w="2518" w:type="dxa"/>
            <w:vAlign w:val="center"/>
          </w:tcPr>
          <w:p w14:paraId="4140CC5B">
            <w:pPr>
              <w:jc w:val="distribute"/>
              <w:rPr>
                <w:rFonts w:ascii="宋体" w:hAnsi="宋体" w:cs="宋体"/>
                <w:sz w:val="24"/>
                <w:szCs w:val="24"/>
              </w:rPr>
            </w:pPr>
            <w:r>
              <w:rPr>
                <w:rFonts w:hint="eastAsia" w:ascii="宋体" w:hAnsi="宋体" w:cs="宋体"/>
                <w:sz w:val="24"/>
                <w:szCs w:val="24"/>
              </w:rPr>
              <w:t>项 目 名 称：</w:t>
            </w:r>
          </w:p>
        </w:tc>
        <w:tc>
          <w:tcPr>
            <w:tcW w:w="4536" w:type="dxa"/>
            <w:vAlign w:val="center"/>
          </w:tcPr>
          <w:p w14:paraId="0CFA93A1">
            <w:pPr>
              <w:jc w:val="left"/>
              <w:rPr>
                <w:rFonts w:ascii="宋体" w:hAnsi="宋体" w:cs="宋体"/>
                <w:sz w:val="24"/>
                <w:szCs w:val="24"/>
              </w:rPr>
            </w:pPr>
          </w:p>
        </w:tc>
      </w:tr>
      <w:tr w14:paraId="1455EFDA">
        <w:tblPrEx>
          <w:tblCellMar>
            <w:top w:w="0" w:type="dxa"/>
            <w:left w:w="108" w:type="dxa"/>
            <w:bottom w:w="0" w:type="dxa"/>
            <w:right w:w="108" w:type="dxa"/>
          </w:tblCellMar>
        </w:tblPrEx>
        <w:trPr>
          <w:trHeight w:val="850" w:hRule="atLeast"/>
          <w:jc w:val="center"/>
        </w:trPr>
        <w:tc>
          <w:tcPr>
            <w:tcW w:w="2518" w:type="dxa"/>
            <w:vAlign w:val="center"/>
          </w:tcPr>
          <w:p w14:paraId="3DFFE007">
            <w:pPr>
              <w:jc w:val="distribute"/>
              <w:rPr>
                <w:rFonts w:ascii="宋体" w:hAnsi="宋体" w:cs="宋体"/>
                <w:sz w:val="24"/>
                <w:szCs w:val="24"/>
              </w:rPr>
            </w:pPr>
            <w:r>
              <w:rPr>
                <w:rFonts w:hint="eastAsia" w:ascii="宋体" w:hAnsi="宋体" w:cs="宋体"/>
                <w:sz w:val="24"/>
                <w:szCs w:val="24"/>
              </w:rPr>
              <w:t>标      项：</w:t>
            </w:r>
          </w:p>
        </w:tc>
        <w:tc>
          <w:tcPr>
            <w:tcW w:w="4536" w:type="dxa"/>
            <w:vAlign w:val="center"/>
          </w:tcPr>
          <w:p w14:paraId="5F4CE24F">
            <w:pPr>
              <w:jc w:val="left"/>
              <w:rPr>
                <w:rFonts w:ascii="宋体" w:hAnsi="宋体" w:cs="宋体"/>
                <w:sz w:val="24"/>
                <w:szCs w:val="24"/>
              </w:rPr>
            </w:pPr>
          </w:p>
        </w:tc>
      </w:tr>
      <w:tr w14:paraId="6C6A7191">
        <w:tblPrEx>
          <w:tblCellMar>
            <w:top w:w="0" w:type="dxa"/>
            <w:left w:w="108" w:type="dxa"/>
            <w:bottom w:w="0" w:type="dxa"/>
            <w:right w:w="108" w:type="dxa"/>
          </w:tblCellMar>
        </w:tblPrEx>
        <w:trPr>
          <w:trHeight w:val="850" w:hRule="atLeast"/>
          <w:jc w:val="center"/>
        </w:trPr>
        <w:tc>
          <w:tcPr>
            <w:tcW w:w="2518" w:type="dxa"/>
            <w:vAlign w:val="center"/>
          </w:tcPr>
          <w:p w14:paraId="0B0EC479">
            <w:pPr>
              <w:jc w:val="distribute"/>
              <w:rPr>
                <w:rFonts w:ascii="宋体" w:hAnsi="宋体" w:cs="宋体"/>
                <w:sz w:val="24"/>
                <w:szCs w:val="24"/>
              </w:rPr>
            </w:pPr>
            <w:r>
              <w:rPr>
                <w:rFonts w:hint="eastAsia" w:ascii="宋体" w:hAnsi="宋体" w:cs="宋体"/>
                <w:sz w:val="24"/>
                <w:szCs w:val="24"/>
              </w:rPr>
              <w:t>供应商全称（盖章）：</w:t>
            </w:r>
          </w:p>
        </w:tc>
        <w:tc>
          <w:tcPr>
            <w:tcW w:w="4536" w:type="dxa"/>
            <w:vAlign w:val="center"/>
          </w:tcPr>
          <w:p w14:paraId="694743B0">
            <w:pPr>
              <w:jc w:val="left"/>
              <w:rPr>
                <w:rFonts w:ascii="宋体" w:hAnsi="宋体" w:cs="宋体"/>
                <w:sz w:val="24"/>
                <w:szCs w:val="24"/>
              </w:rPr>
            </w:pPr>
          </w:p>
        </w:tc>
      </w:tr>
      <w:tr w14:paraId="6388E68C">
        <w:tblPrEx>
          <w:tblCellMar>
            <w:top w:w="0" w:type="dxa"/>
            <w:left w:w="108" w:type="dxa"/>
            <w:bottom w:w="0" w:type="dxa"/>
            <w:right w:w="108" w:type="dxa"/>
          </w:tblCellMar>
        </w:tblPrEx>
        <w:trPr>
          <w:trHeight w:val="850" w:hRule="atLeast"/>
          <w:jc w:val="center"/>
        </w:trPr>
        <w:tc>
          <w:tcPr>
            <w:tcW w:w="2518" w:type="dxa"/>
            <w:vAlign w:val="center"/>
          </w:tcPr>
          <w:p w14:paraId="6CB3458A">
            <w:pPr>
              <w:jc w:val="distribute"/>
              <w:rPr>
                <w:rFonts w:ascii="宋体" w:hAnsi="宋体" w:cs="宋体"/>
                <w:sz w:val="24"/>
                <w:szCs w:val="24"/>
              </w:rPr>
            </w:pPr>
            <w:r>
              <w:rPr>
                <w:rFonts w:hint="eastAsia" w:ascii="宋体" w:hAnsi="宋体" w:cs="宋体"/>
                <w:sz w:val="24"/>
                <w:szCs w:val="24"/>
              </w:rPr>
              <w:t>供应商地址：</w:t>
            </w:r>
          </w:p>
        </w:tc>
        <w:tc>
          <w:tcPr>
            <w:tcW w:w="4536" w:type="dxa"/>
            <w:vAlign w:val="center"/>
          </w:tcPr>
          <w:p w14:paraId="05B037CC">
            <w:pPr>
              <w:jc w:val="left"/>
              <w:rPr>
                <w:rFonts w:ascii="宋体" w:hAnsi="宋体" w:cs="宋体"/>
                <w:sz w:val="24"/>
                <w:szCs w:val="24"/>
              </w:rPr>
            </w:pPr>
          </w:p>
        </w:tc>
      </w:tr>
      <w:tr w14:paraId="3CE70EEE">
        <w:tblPrEx>
          <w:tblCellMar>
            <w:top w:w="0" w:type="dxa"/>
            <w:left w:w="108" w:type="dxa"/>
            <w:bottom w:w="0" w:type="dxa"/>
            <w:right w:w="108" w:type="dxa"/>
          </w:tblCellMar>
        </w:tblPrEx>
        <w:trPr>
          <w:trHeight w:val="850" w:hRule="atLeast"/>
          <w:jc w:val="center"/>
        </w:trPr>
        <w:tc>
          <w:tcPr>
            <w:tcW w:w="7054" w:type="dxa"/>
            <w:gridSpan w:val="2"/>
            <w:vAlign w:val="center"/>
          </w:tcPr>
          <w:p w14:paraId="14AF357A">
            <w:pPr>
              <w:jc w:val="left"/>
              <w:rPr>
                <w:rFonts w:ascii="宋体" w:hAnsi="宋体" w:cs="宋体"/>
                <w:sz w:val="24"/>
                <w:szCs w:val="24"/>
                <w:u w:val="single"/>
              </w:rPr>
            </w:pPr>
          </w:p>
        </w:tc>
      </w:tr>
      <w:tr w14:paraId="04E5AEF3">
        <w:tblPrEx>
          <w:tblCellMar>
            <w:top w:w="0" w:type="dxa"/>
            <w:left w:w="108" w:type="dxa"/>
            <w:bottom w:w="0" w:type="dxa"/>
            <w:right w:w="108" w:type="dxa"/>
          </w:tblCellMar>
        </w:tblPrEx>
        <w:trPr>
          <w:trHeight w:val="850" w:hRule="atLeast"/>
          <w:jc w:val="center"/>
        </w:trPr>
        <w:tc>
          <w:tcPr>
            <w:tcW w:w="7054" w:type="dxa"/>
            <w:gridSpan w:val="2"/>
            <w:vAlign w:val="center"/>
          </w:tcPr>
          <w:p w14:paraId="1FEF1949">
            <w:pPr>
              <w:jc w:val="center"/>
              <w:rPr>
                <w:rFonts w:ascii="宋体" w:hAnsi="宋体" w:cs="宋体"/>
                <w:sz w:val="24"/>
                <w:szCs w:val="24"/>
              </w:rPr>
            </w:pPr>
            <w:r>
              <w:rPr>
                <w:rFonts w:hint="eastAsia" w:ascii="宋体" w:hAnsi="宋体" w:cs="宋体"/>
                <w:sz w:val="24"/>
                <w:szCs w:val="24"/>
              </w:rPr>
              <w:t>年  月  日</w:t>
            </w:r>
          </w:p>
        </w:tc>
      </w:tr>
    </w:tbl>
    <w:p w14:paraId="45B52C37">
      <w:pPr>
        <w:spacing w:line="360" w:lineRule="auto"/>
        <w:rPr>
          <w:rFonts w:ascii="宋体" w:hAnsi="宋体" w:cs="宋体"/>
          <w:sz w:val="24"/>
          <w:szCs w:val="24"/>
        </w:rPr>
      </w:pPr>
    </w:p>
    <w:p w14:paraId="33AB1BB6">
      <w:pPr>
        <w:spacing w:line="360" w:lineRule="auto"/>
        <w:rPr>
          <w:rFonts w:ascii="宋体" w:hAnsi="宋体" w:cs="宋体"/>
          <w:sz w:val="24"/>
          <w:szCs w:val="24"/>
        </w:rPr>
      </w:pPr>
    </w:p>
    <w:p w14:paraId="643EFD25">
      <w:pPr>
        <w:rPr>
          <w:rFonts w:ascii="宋体" w:hAnsi="宋体" w:cs="宋体"/>
        </w:rPr>
      </w:pPr>
      <w:bookmarkStart w:id="336" w:name="_Toc80973318"/>
    </w:p>
    <w:p w14:paraId="4D50E105">
      <w:pPr>
        <w:rPr>
          <w:rFonts w:ascii="宋体" w:hAnsi="宋体" w:cs="宋体"/>
        </w:rPr>
      </w:pPr>
    </w:p>
    <w:p w14:paraId="64975996">
      <w:pPr>
        <w:rPr>
          <w:rFonts w:ascii="宋体" w:hAnsi="宋体" w:cs="宋体"/>
        </w:rPr>
      </w:pPr>
    </w:p>
    <w:p w14:paraId="4AC63978">
      <w:pPr>
        <w:rPr>
          <w:rFonts w:ascii="宋体" w:hAnsi="宋体" w:cs="宋体"/>
        </w:rPr>
      </w:pPr>
    </w:p>
    <w:p w14:paraId="630C469F">
      <w:pPr>
        <w:rPr>
          <w:rFonts w:ascii="宋体" w:hAnsi="宋体" w:cs="宋体"/>
        </w:rPr>
      </w:pPr>
    </w:p>
    <w:p w14:paraId="1A3A4EBB">
      <w:pPr>
        <w:rPr>
          <w:rFonts w:ascii="宋体" w:hAnsi="宋体" w:cs="宋体"/>
        </w:rPr>
      </w:pPr>
    </w:p>
    <w:p w14:paraId="50ED7414">
      <w:pPr>
        <w:rPr>
          <w:rFonts w:ascii="宋体" w:hAnsi="宋体" w:cs="宋体"/>
        </w:rPr>
      </w:pPr>
    </w:p>
    <w:p w14:paraId="1B1CEFD0">
      <w:pPr>
        <w:rPr>
          <w:rFonts w:ascii="宋体" w:hAnsi="宋体" w:cs="宋体"/>
        </w:rPr>
      </w:pPr>
    </w:p>
    <w:p w14:paraId="4D95395D">
      <w:pPr>
        <w:rPr>
          <w:rFonts w:ascii="宋体" w:hAnsi="宋体" w:cs="宋体"/>
        </w:rPr>
      </w:pPr>
    </w:p>
    <w:p w14:paraId="6EBD3166">
      <w:pPr>
        <w:rPr>
          <w:rFonts w:ascii="宋体" w:hAnsi="宋体" w:cs="宋体"/>
        </w:rPr>
      </w:pPr>
    </w:p>
    <w:p w14:paraId="39FB9289">
      <w:pPr>
        <w:rPr>
          <w:rFonts w:ascii="宋体" w:hAnsi="宋体" w:cs="宋体"/>
        </w:rPr>
      </w:pPr>
    </w:p>
    <w:p w14:paraId="0D99CD7A">
      <w:pPr>
        <w:rPr>
          <w:rFonts w:ascii="宋体" w:hAnsi="宋体" w:cs="宋体"/>
        </w:rPr>
      </w:pPr>
    </w:p>
    <w:p w14:paraId="790D771A">
      <w:pPr>
        <w:pStyle w:val="6"/>
        <w:spacing w:before="0" w:after="0"/>
        <w:ind w:firstLine="0" w:firstLineChars="0"/>
        <w:jc w:val="center"/>
        <w:rPr>
          <w:rFonts w:ascii="宋体" w:hAnsi="宋体" w:eastAsia="宋体" w:cs="宋体"/>
          <w:sz w:val="24"/>
          <w:szCs w:val="24"/>
        </w:rPr>
      </w:pPr>
      <w:r>
        <w:rPr>
          <w:rFonts w:hint="eastAsia" w:ascii="宋体" w:hAnsi="宋体" w:eastAsia="宋体" w:cs="宋体"/>
          <w:sz w:val="24"/>
          <w:szCs w:val="24"/>
        </w:rPr>
        <w:t>3.2     报价文件文件目录</w:t>
      </w:r>
      <w:bookmarkEnd w:id="336"/>
    </w:p>
    <w:p w14:paraId="69064F0E">
      <w:pPr>
        <w:pStyle w:val="7"/>
        <w:spacing w:line="360" w:lineRule="auto"/>
        <w:ind w:firstLine="0"/>
        <w:rPr>
          <w:rFonts w:ascii="宋体" w:hAnsi="宋体" w:cs="宋体"/>
        </w:rPr>
      </w:pPr>
    </w:p>
    <w:p w14:paraId="7470E482">
      <w:pPr>
        <w:pStyle w:val="7"/>
        <w:spacing w:line="600" w:lineRule="auto"/>
        <w:ind w:firstLine="840" w:firstLineChars="350"/>
        <w:jc w:val="left"/>
        <w:rPr>
          <w:rFonts w:ascii="宋体" w:hAnsi="宋体" w:cs="宋体"/>
          <w:sz w:val="24"/>
          <w:szCs w:val="24"/>
        </w:rPr>
      </w:pPr>
      <w:r>
        <w:rPr>
          <w:rFonts w:hint="eastAsia" w:ascii="宋体" w:hAnsi="宋体" w:cs="宋体"/>
          <w:sz w:val="24"/>
          <w:szCs w:val="24"/>
        </w:rPr>
        <w:t>（1）开标一览表；</w:t>
      </w:r>
    </w:p>
    <w:p w14:paraId="5B8272F2">
      <w:pPr>
        <w:pStyle w:val="7"/>
        <w:spacing w:line="600" w:lineRule="auto"/>
        <w:ind w:firstLine="840" w:firstLineChars="350"/>
        <w:jc w:val="left"/>
        <w:rPr>
          <w:rFonts w:ascii="宋体" w:hAnsi="宋体" w:cs="宋体"/>
          <w:sz w:val="24"/>
          <w:szCs w:val="24"/>
        </w:rPr>
      </w:pPr>
      <w:r>
        <w:rPr>
          <w:rFonts w:hint="eastAsia" w:ascii="宋体" w:hAnsi="宋体" w:cs="宋体"/>
          <w:sz w:val="24"/>
          <w:szCs w:val="24"/>
        </w:rPr>
        <w:t>（2）</w:t>
      </w:r>
      <w:r>
        <w:rPr>
          <w:rFonts w:hint="eastAsia"/>
          <w:sz w:val="24"/>
          <w:szCs w:val="24"/>
        </w:rPr>
        <w:t>分项报价表</w:t>
      </w:r>
      <w:r>
        <w:rPr>
          <w:rFonts w:hint="eastAsia" w:ascii="宋体" w:hAnsi="宋体" w:cs="宋体"/>
          <w:sz w:val="24"/>
          <w:szCs w:val="24"/>
        </w:rPr>
        <w:t>；</w:t>
      </w:r>
    </w:p>
    <w:p w14:paraId="2FAFEF7B">
      <w:pPr>
        <w:pStyle w:val="6"/>
        <w:spacing w:before="0" w:after="0" w:line="600" w:lineRule="auto"/>
        <w:ind w:firstLine="0" w:firstLineChars="0"/>
        <w:jc w:val="left"/>
        <w:rPr>
          <w:rFonts w:ascii="宋体" w:hAnsi="宋体" w:eastAsia="宋体" w:cs="宋体"/>
          <w:sz w:val="24"/>
          <w:szCs w:val="24"/>
        </w:rPr>
        <w:sectPr>
          <w:pgSz w:w="11906" w:h="16838"/>
          <w:pgMar w:top="1418" w:right="1418" w:bottom="1418" w:left="1418" w:header="851" w:footer="851" w:gutter="0"/>
          <w:cols w:space="720" w:num="1"/>
          <w:docGrid w:linePitch="312" w:charSpace="0"/>
        </w:sectPr>
      </w:pPr>
    </w:p>
    <w:p w14:paraId="0534561B">
      <w:pPr>
        <w:pStyle w:val="6"/>
        <w:spacing w:before="0" w:after="0"/>
        <w:ind w:firstLine="0" w:firstLineChars="0"/>
        <w:jc w:val="left"/>
        <w:rPr>
          <w:rFonts w:ascii="宋体" w:hAnsi="宋体" w:eastAsia="宋体" w:cs="宋体"/>
          <w:sz w:val="24"/>
          <w:szCs w:val="24"/>
        </w:rPr>
      </w:pPr>
      <w:bookmarkStart w:id="337" w:name="_Toc80973319"/>
      <w:r>
        <w:rPr>
          <w:rFonts w:hint="eastAsia" w:ascii="宋体" w:hAnsi="宋体" w:eastAsia="宋体" w:cs="宋体"/>
          <w:sz w:val="24"/>
          <w:szCs w:val="24"/>
        </w:rPr>
        <w:t>3.3     开标一览表</w:t>
      </w:r>
      <w:bookmarkEnd w:id="333"/>
      <w:bookmarkEnd w:id="334"/>
      <w:bookmarkEnd w:id="335"/>
      <w:r>
        <w:rPr>
          <w:rFonts w:hint="eastAsia" w:ascii="宋体" w:hAnsi="宋体" w:eastAsia="宋体" w:cs="宋体"/>
          <w:sz w:val="24"/>
          <w:szCs w:val="24"/>
        </w:rPr>
        <w:t>格式</w:t>
      </w:r>
      <w:bookmarkEnd w:id="337"/>
    </w:p>
    <w:p w14:paraId="7E7AFB86">
      <w:pPr>
        <w:spacing w:line="360" w:lineRule="auto"/>
        <w:jc w:val="center"/>
        <w:rPr>
          <w:rFonts w:ascii="仿宋_GB2312" w:hAnsi="宋体" w:eastAsia="仿宋_GB2312"/>
          <w:b/>
          <w:color w:val="000000"/>
          <w:sz w:val="32"/>
          <w:szCs w:val="32"/>
        </w:rPr>
      </w:pPr>
      <w:bookmarkStart w:id="338" w:name="_Toc493956073"/>
      <w:bookmarkStart w:id="339" w:name="_Toc531359075"/>
      <w:bookmarkStart w:id="340" w:name="_Toc530551898"/>
      <w:bookmarkStart w:id="341" w:name="_Toc80973320"/>
      <w:r>
        <w:rPr>
          <w:rFonts w:hint="eastAsia" w:ascii="仿宋_GB2312" w:hAnsi="宋体" w:eastAsia="仿宋_GB2312"/>
          <w:b/>
          <w:color w:val="000000"/>
          <w:sz w:val="32"/>
          <w:szCs w:val="32"/>
        </w:rPr>
        <w:t>开标一览表</w:t>
      </w:r>
    </w:p>
    <w:p w14:paraId="082CBDD6">
      <w:pPr>
        <w:spacing w:line="360" w:lineRule="auto"/>
        <w:jc w:val="left"/>
        <w:rPr>
          <w:rFonts w:ascii="仿宋_GB2312" w:hAnsi="宋体" w:eastAsia="仿宋_GB2312"/>
          <w:color w:val="000000"/>
          <w:sz w:val="24"/>
          <w:szCs w:val="24"/>
        </w:rPr>
      </w:pPr>
      <w:r>
        <w:rPr>
          <w:rFonts w:hint="eastAsia" w:ascii="仿宋_GB2312" w:hAnsi="宋体" w:eastAsia="仿宋_GB2312"/>
          <w:color w:val="000000"/>
          <w:sz w:val="24"/>
          <w:szCs w:val="24"/>
        </w:rPr>
        <w:t>项目编号：</w:t>
      </w:r>
    </w:p>
    <w:p w14:paraId="1DDD221E">
      <w:pPr>
        <w:spacing w:line="360" w:lineRule="auto"/>
        <w:jc w:val="left"/>
        <w:rPr>
          <w:rFonts w:ascii="仿宋_GB2312" w:hAnsi="宋体" w:eastAsia="仿宋_GB2312"/>
          <w:color w:val="000000"/>
          <w:sz w:val="24"/>
          <w:szCs w:val="24"/>
        </w:rPr>
      </w:pPr>
      <w:r>
        <w:rPr>
          <w:rFonts w:hint="eastAsia" w:ascii="仿宋_GB2312" w:hAnsi="宋体" w:eastAsia="仿宋_GB2312"/>
          <w:color w:val="000000"/>
          <w:sz w:val="24"/>
          <w:szCs w:val="24"/>
        </w:rPr>
        <w:t>项目名称： 标项：</w:t>
      </w:r>
      <w:r>
        <w:rPr>
          <w:rFonts w:hint="eastAsia" w:ascii="仿宋_GB2312" w:hAnsi="宋体" w:eastAsia="仿宋_GB2312"/>
          <w:color w:val="000000"/>
          <w:sz w:val="24"/>
          <w:szCs w:val="24"/>
          <w:u w:val="single"/>
        </w:rPr>
        <w:t>（若有）</w:t>
      </w:r>
    </w:p>
    <w:tbl>
      <w:tblPr>
        <w:tblStyle w:val="46"/>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66245B65">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14:paraId="77FDD030">
            <w:pPr>
              <w:tabs>
                <w:tab w:val="left" w:pos="420"/>
                <w:tab w:val="center" w:pos="4153"/>
                <w:tab w:val="right" w:pos="8306"/>
              </w:tabs>
              <w:adjustRightInd w:val="0"/>
              <w:jc w:val="center"/>
              <w:rPr>
                <w:rFonts w:ascii="仿宋_GB2312" w:eastAsia="仿宋_GB2312"/>
                <w:caps/>
                <w:color w:val="000000"/>
                <w:spacing w:val="20"/>
                <w:kern w:val="0"/>
                <w:sz w:val="24"/>
                <w:szCs w:val="20"/>
              </w:rPr>
            </w:pPr>
            <w:r>
              <w:rPr>
                <w:rFonts w:hint="eastAsia" w:ascii="仿宋_GB2312" w:eastAsia="仿宋_GB2312"/>
                <w:caps/>
                <w:color w:val="000000"/>
                <w:spacing w:val="20"/>
                <w:kern w:val="0"/>
                <w:sz w:val="24"/>
                <w:szCs w:val="20"/>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14:paraId="714EDFBC">
            <w:pPr>
              <w:jc w:val="center"/>
              <w:rPr>
                <w:rFonts w:ascii="仿宋_GB2312" w:eastAsia="仿宋_GB2312"/>
                <w:caps/>
                <w:color w:val="000000"/>
                <w:spacing w:val="20"/>
                <w:sz w:val="24"/>
              </w:rPr>
            </w:pPr>
            <w:r>
              <w:rPr>
                <w:rFonts w:hint="eastAsia" w:ascii="仿宋_GB2312" w:eastAsia="仿宋_GB2312"/>
                <w:caps/>
                <w:color w:val="000000"/>
                <w:spacing w:val="20"/>
                <w:sz w:val="24"/>
              </w:rPr>
              <w:t>总报价（元）</w:t>
            </w:r>
          </w:p>
        </w:tc>
      </w:tr>
      <w:tr w14:paraId="10BD2DE3">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14:paraId="372D4699">
            <w:pPr>
              <w:jc w:val="center"/>
              <w:rPr>
                <w:rFonts w:ascii="仿宋_GB2312" w:eastAsia="仿宋_GB2312"/>
                <w:color w:val="000000"/>
                <w:spacing w:val="20"/>
                <w:sz w:val="24"/>
              </w:rPr>
            </w:pPr>
            <w:r>
              <w:rPr>
                <w:rFonts w:hint="eastAsia" w:ascii="仿宋_GB2312" w:eastAsia="仿宋_GB2312"/>
                <w:color w:val="000000"/>
                <w:spacing w:val="20"/>
                <w:sz w:val="24"/>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14:paraId="15F7F308">
            <w:pPr>
              <w:rPr>
                <w:rFonts w:ascii="仿宋_GB2312" w:eastAsia="仿宋_GB2312"/>
                <w:color w:val="000000"/>
                <w:spacing w:val="20"/>
                <w:sz w:val="24"/>
              </w:rPr>
            </w:pPr>
            <w:r>
              <w:rPr>
                <w:rFonts w:hint="eastAsia" w:ascii="仿宋_GB2312" w:eastAsia="仿宋_GB2312"/>
                <w:color w:val="000000"/>
                <w:spacing w:val="20"/>
                <w:sz w:val="24"/>
              </w:rPr>
              <w:t>大写                （￥           ）</w:t>
            </w:r>
          </w:p>
        </w:tc>
      </w:tr>
    </w:tbl>
    <w:p w14:paraId="7A484585">
      <w:pPr>
        <w:rPr>
          <w:rFonts w:ascii="仿宋_GB2312" w:eastAsia="仿宋_GB2312"/>
          <w:b/>
          <w:iCs/>
          <w:color w:val="000000"/>
          <w:spacing w:val="20"/>
          <w:sz w:val="24"/>
        </w:rPr>
      </w:pPr>
      <w:r>
        <w:rPr>
          <w:rFonts w:hint="eastAsia" w:ascii="仿宋_GB2312" w:eastAsia="仿宋_GB2312"/>
          <w:b/>
          <w:iCs/>
          <w:color w:val="000000"/>
          <w:spacing w:val="20"/>
          <w:sz w:val="24"/>
        </w:rPr>
        <w:t>注：</w:t>
      </w:r>
    </w:p>
    <w:p w14:paraId="3F3BFF3F">
      <w:pPr>
        <w:ind w:firstLine="480" w:firstLineChars="200"/>
        <w:jc w:val="left"/>
        <w:rPr>
          <w:rFonts w:ascii="仿宋_GB2312" w:eastAsia="仿宋_GB2312"/>
          <w:iCs/>
          <w:color w:val="000000"/>
          <w:sz w:val="24"/>
        </w:rPr>
      </w:pPr>
      <w:r>
        <w:rPr>
          <w:rFonts w:hint="eastAsia" w:ascii="仿宋_GB2312" w:eastAsia="仿宋_GB2312"/>
          <w:iCs/>
          <w:color w:val="000000"/>
          <w:sz w:val="24"/>
        </w:rPr>
        <w:t>1.具体价格明细详见《报价明细表》</w:t>
      </w:r>
    </w:p>
    <w:p w14:paraId="1F1A172A">
      <w:pPr>
        <w:ind w:firstLine="480" w:firstLineChars="200"/>
        <w:jc w:val="left"/>
        <w:rPr>
          <w:rFonts w:ascii="仿宋_GB2312" w:eastAsia="仿宋_GB2312"/>
          <w:iCs/>
          <w:color w:val="000000"/>
          <w:sz w:val="24"/>
        </w:rPr>
      </w:pPr>
      <w:r>
        <w:rPr>
          <w:rFonts w:ascii="仿宋_GB2312" w:eastAsia="仿宋_GB2312"/>
          <w:iCs/>
          <w:color w:val="000000"/>
          <w:sz w:val="24"/>
        </w:rPr>
        <w:t>2</w:t>
      </w:r>
      <w:r>
        <w:rPr>
          <w:rFonts w:hint="eastAsia" w:ascii="仿宋_GB2312" w:eastAsia="仿宋_GB2312"/>
          <w:iCs/>
          <w:color w:val="000000"/>
          <w:sz w:val="24"/>
        </w:rPr>
        <w:t>.除招标文件特殊说明外，供应商的报价应包括为完成本项目服务可能发生的全部费用及供应商的利润和应交纳的税金等（即所报价格应包括但不限于完成本项目服务所需的一切人员工资、社保、奖金、福利、高温费、劳保用品、安全、管理费、耗材、食宿与交通、服装、税费、利润等一切本身和不可或缺的所有工作开支、政策性文件规定及合同包含的所有风险、责任等各项全部费用，供应商应根据上述因素自行考虑含入总报价。）。</w:t>
      </w:r>
    </w:p>
    <w:p w14:paraId="52AD71F7">
      <w:pPr>
        <w:ind w:firstLine="560" w:firstLineChars="200"/>
        <w:jc w:val="left"/>
        <w:rPr>
          <w:rFonts w:ascii="仿宋_GB2312" w:eastAsia="仿宋_GB2312"/>
          <w:spacing w:val="20"/>
          <w:sz w:val="24"/>
        </w:rPr>
      </w:pPr>
    </w:p>
    <w:p w14:paraId="6B78B96D">
      <w:pPr>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供应商盖章：</w:t>
      </w:r>
    </w:p>
    <w:p w14:paraId="2C871211">
      <w:pPr>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p>
    <w:p w14:paraId="73DCE797">
      <w:pPr>
        <w:keepNext/>
        <w:keepLines/>
        <w:spacing w:line="360" w:lineRule="auto"/>
        <w:jc w:val="right"/>
        <w:outlineLvl w:val="2"/>
        <w:rPr>
          <w:rFonts w:ascii="仿宋_GB2312" w:hAnsi="宋体" w:eastAsia="仿宋_GB2312"/>
          <w:b/>
          <w:bCs/>
          <w:color w:val="000000"/>
          <w:sz w:val="28"/>
          <w:szCs w:val="28"/>
        </w:rPr>
        <w:sectPr>
          <w:pgSz w:w="11906" w:h="16838"/>
          <w:pgMar w:top="1418" w:right="1418" w:bottom="1418" w:left="1418" w:header="851" w:footer="851" w:gutter="0"/>
          <w:cols w:space="425" w:num="1"/>
          <w:docGrid w:linePitch="312" w:charSpace="0"/>
        </w:sectPr>
      </w:pPr>
    </w:p>
    <w:p w14:paraId="48338DE4">
      <w:pPr>
        <w:pStyle w:val="6"/>
        <w:spacing w:before="0" w:after="0"/>
        <w:ind w:firstLine="0" w:firstLineChars="0"/>
        <w:jc w:val="left"/>
        <w:rPr>
          <w:rFonts w:ascii="宋体" w:hAnsi="宋体" w:eastAsia="宋体" w:cs="宋体"/>
          <w:sz w:val="24"/>
          <w:szCs w:val="24"/>
        </w:rPr>
      </w:pPr>
      <w:r>
        <w:rPr>
          <w:rFonts w:hint="eastAsia" w:ascii="宋体" w:hAnsi="宋体" w:eastAsia="宋体" w:cs="宋体"/>
          <w:sz w:val="24"/>
          <w:szCs w:val="24"/>
        </w:rPr>
        <w:t xml:space="preserve">3.4     </w:t>
      </w:r>
      <w:bookmarkEnd w:id="338"/>
      <w:bookmarkEnd w:id="339"/>
      <w:bookmarkEnd w:id="340"/>
      <w:r>
        <w:rPr>
          <w:rFonts w:hint="eastAsia" w:ascii="宋体" w:hAnsi="宋体" w:eastAsia="宋体" w:cs="宋体"/>
          <w:kern w:val="0"/>
          <w:sz w:val="24"/>
        </w:rPr>
        <w:t>报价</w:t>
      </w:r>
      <w:r>
        <w:rPr>
          <w:rFonts w:hint="eastAsia" w:ascii="宋体" w:hAnsi="宋体" w:eastAsia="宋体" w:cs="宋体"/>
          <w:bCs w:val="0"/>
          <w:sz w:val="24"/>
        </w:rPr>
        <w:t>明细表</w:t>
      </w:r>
      <w:r>
        <w:rPr>
          <w:rFonts w:hint="eastAsia" w:ascii="宋体" w:hAnsi="宋体" w:eastAsia="宋体" w:cs="宋体"/>
          <w:sz w:val="24"/>
          <w:szCs w:val="24"/>
        </w:rPr>
        <w:t>格式</w:t>
      </w:r>
      <w:bookmarkEnd w:id="341"/>
    </w:p>
    <w:p w14:paraId="78CF8DC0">
      <w:pPr>
        <w:spacing w:line="360" w:lineRule="auto"/>
        <w:jc w:val="center"/>
        <w:rPr>
          <w:rFonts w:ascii="仿宋_GB2312" w:hAnsi="宋体" w:eastAsia="仿宋_GB2312"/>
          <w:b/>
          <w:color w:val="000000"/>
          <w:sz w:val="32"/>
          <w:szCs w:val="32"/>
        </w:rPr>
      </w:pPr>
      <w:bookmarkStart w:id="342" w:name="_Toc530551900"/>
      <w:bookmarkStart w:id="343" w:name="_Toc531359077"/>
      <w:bookmarkStart w:id="344" w:name="_Toc80973324"/>
      <w:bookmarkStart w:id="345" w:name="_Toc493956074"/>
      <w:bookmarkStart w:id="346" w:name="_Toc335664294"/>
      <w:r>
        <w:rPr>
          <w:rFonts w:hint="eastAsia" w:ascii="仿宋_GB2312" w:hAnsi="宋体" w:eastAsia="仿宋_GB2312"/>
          <w:b/>
          <w:color w:val="000000"/>
          <w:sz w:val="32"/>
          <w:szCs w:val="32"/>
        </w:rPr>
        <w:t>报价明细表</w:t>
      </w:r>
    </w:p>
    <w:p w14:paraId="12A17B55">
      <w:pPr>
        <w:spacing w:line="360" w:lineRule="auto"/>
        <w:jc w:val="center"/>
        <w:rPr>
          <w:rFonts w:ascii="仿宋_GB2312" w:eastAsia="仿宋_GB2312"/>
          <w:color w:val="0000FF"/>
          <w:sz w:val="24"/>
        </w:rPr>
      </w:pPr>
      <w:r>
        <w:rPr>
          <w:rFonts w:hint="eastAsia" w:ascii="仿宋_GB2312" w:eastAsia="仿宋_GB2312"/>
          <w:color w:val="0000FF"/>
          <w:sz w:val="24"/>
        </w:rPr>
        <w:t>（格式仅供</w:t>
      </w:r>
      <w:r>
        <w:rPr>
          <w:rFonts w:ascii="仿宋_GB2312" w:eastAsia="仿宋_GB2312"/>
          <w:color w:val="0000FF"/>
          <w:sz w:val="24"/>
        </w:rPr>
        <w:t>参考，</w:t>
      </w:r>
      <w:r>
        <w:rPr>
          <w:rFonts w:hint="eastAsia" w:ascii="仿宋_GB2312" w:eastAsia="仿宋_GB2312"/>
          <w:color w:val="0000FF"/>
          <w:sz w:val="24"/>
        </w:rPr>
        <w:t>可以</w:t>
      </w:r>
      <w:r>
        <w:rPr>
          <w:rFonts w:ascii="仿宋_GB2312" w:eastAsia="仿宋_GB2312"/>
          <w:color w:val="0000FF"/>
          <w:sz w:val="24"/>
        </w:rPr>
        <w:t>根据</w:t>
      </w:r>
      <w:r>
        <w:rPr>
          <w:rFonts w:hint="eastAsia" w:ascii="仿宋_GB2312" w:eastAsia="仿宋_GB2312"/>
          <w:color w:val="0000FF"/>
          <w:sz w:val="24"/>
        </w:rPr>
        <w:t>实际</w:t>
      </w:r>
      <w:r>
        <w:rPr>
          <w:rFonts w:ascii="仿宋_GB2312" w:eastAsia="仿宋_GB2312"/>
          <w:color w:val="0000FF"/>
          <w:sz w:val="24"/>
        </w:rPr>
        <w:t>情况</w:t>
      </w:r>
      <w:r>
        <w:rPr>
          <w:rFonts w:hint="eastAsia" w:ascii="仿宋_GB2312" w:eastAsia="仿宋_GB2312"/>
          <w:color w:val="0000FF"/>
          <w:sz w:val="24"/>
        </w:rPr>
        <w:t>自行设计）</w:t>
      </w:r>
    </w:p>
    <w:p w14:paraId="0C2321F4">
      <w:pPr>
        <w:spacing w:line="360" w:lineRule="auto"/>
        <w:jc w:val="left"/>
        <w:rPr>
          <w:rFonts w:ascii="仿宋_GB2312" w:hAnsi="宋体" w:eastAsia="仿宋_GB2312"/>
          <w:color w:val="000000"/>
          <w:sz w:val="24"/>
          <w:szCs w:val="24"/>
        </w:rPr>
      </w:pPr>
      <w:r>
        <w:rPr>
          <w:rFonts w:hint="eastAsia" w:ascii="仿宋_GB2312" w:hAnsi="宋体" w:eastAsia="仿宋_GB2312"/>
          <w:color w:val="000000"/>
          <w:sz w:val="24"/>
          <w:szCs w:val="24"/>
        </w:rPr>
        <w:t>项目编号：</w:t>
      </w:r>
    </w:p>
    <w:p w14:paraId="5CFAE7CB">
      <w:pPr>
        <w:spacing w:line="360" w:lineRule="auto"/>
        <w:jc w:val="left"/>
        <w:rPr>
          <w:rFonts w:ascii="仿宋_GB2312" w:hAnsi="宋体" w:eastAsia="仿宋_GB2312"/>
          <w:color w:val="000000"/>
          <w:sz w:val="24"/>
          <w:szCs w:val="24"/>
          <w:u w:val="single"/>
        </w:rPr>
      </w:pPr>
      <w:r>
        <w:rPr>
          <w:rFonts w:hint="eastAsia" w:ascii="仿宋_GB2312" w:hAnsi="宋体" w:eastAsia="仿宋_GB2312"/>
          <w:color w:val="000000"/>
          <w:sz w:val="24"/>
          <w:szCs w:val="24"/>
        </w:rPr>
        <w:t>项目名称： 标项：</w:t>
      </w:r>
      <w:r>
        <w:rPr>
          <w:rFonts w:hint="eastAsia" w:ascii="仿宋_GB2312" w:hAnsi="宋体" w:eastAsia="仿宋_GB2312"/>
          <w:color w:val="000000"/>
          <w:sz w:val="24"/>
          <w:szCs w:val="24"/>
          <w:u w:val="single"/>
        </w:rPr>
        <w:t>（若有）</w:t>
      </w:r>
    </w:p>
    <w:tbl>
      <w:tblPr>
        <w:tblStyle w:val="46"/>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418"/>
        <w:gridCol w:w="7"/>
        <w:gridCol w:w="1127"/>
        <w:gridCol w:w="1417"/>
        <w:gridCol w:w="992"/>
        <w:gridCol w:w="807"/>
        <w:gridCol w:w="1276"/>
        <w:gridCol w:w="1275"/>
      </w:tblGrid>
      <w:tr w14:paraId="65CF4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EECADA5">
            <w:pPr>
              <w:jc w:val="center"/>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1DB00835">
            <w:pPr>
              <w:jc w:val="center"/>
              <w:rPr>
                <w:rFonts w:ascii="仿宋_GB2312" w:hAnsi="宋体" w:eastAsia="仿宋_GB2312"/>
                <w:color w:val="000000"/>
                <w:sz w:val="24"/>
                <w:szCs w:val="24"/>
              </w:rPr>
            </w:pPr>
            <w:r>
              <w:rPr>
                <w:rFonts w:hint="eastAsia" w:ascii="仿宋_GB2312" w:hAnsi="宋体" w:eastAsia="仿宋_GB2312"/>
                <w:color w:val="000000"/>
                <w:sz w:val="24"/>
                <w:szCs w:val="24"/>
              </w:rPr>
              <w:t>服务内容</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39FA120">
            <w:pPr>
              <w:jc w:val="center"/>
              <w:rPr>
                <w:rFonts w:ascii="仿宋_GB2312" w:hAnsi="宋体" w:eastAsia="仿宋_GB2312"/>
                <w:color w:val="000000"/>
                <w:sz w:val="24"/>
                <w:szCs w:val="24"/>
              </w:rPr>
            </w:pPr>
            <w:r>
              <w:rPr>
                <w:rFonts w:hint="eastAsia" w:ascii="仿宋_GB2312" w:hAnsi="宋体" w:eastAsia="仿宋_GB2312"/>
                <w:color w:val="000000"/>
                <w:sz w:val="24"/>
                <w:szCs w:val="24"/>
              </w:rPr>
              <w:t>品牌</w:t>
            </w:r>
          </w:p>
          <w:p w14:paraId="1A4B9B0A">
            <w:pPr>
              <w:jc w:val="center"/>
              <w:rPr>
                <w:rFonts w:ascii="仿宋_GB2312" w:hAnsi="宋体" w:eastAsia="仿宋_GB2312"/>
                <w:color w:val="000000"/>
                <w:sz w:val="24"/>
                <w:szCs w:val="24"/>
              </w:rPr>
            </w:pPr>
            <w:r>
              <w:rPr>
                <w:rFonts w:hint="eastAsia" w:ascii="仿宋_GB2312" w:hAnsi="宋体" w:eastAsia="仿宋_GB2312"/>
                <w:color w:val="000000"/>
                <w:sz w:val="24"/>
                <w:szCs w:val="24"/>
              </w:rPr>
              <w:t>（若有）</w:t>
            </w:r>
          </w:p>
        </w:tc>
        <w:tc>
          <w:tcPr>
            <w:tcW w:w="1417" w:type="dxa"/>
            <w:tcBorders>
              <w:top w:val="single" w:color="auto" w:sz="4" w:space="0"/>
              <w:left w:val="single" w:color="auto" w:sz="4" w:space="0"/>
              <w:bottom w:val="single" w:color="auto" w:sz="4" w:space="0"/>
              <w:right w:val="single" w:color="auto" w:sz="4" w:space="0"/>
            </w:tcBorders>
            <w:vAlign w:val="center"/>
          </w:tcPr>
          <w:p w14:paraId="1ADE90DB">
            <w:pPr>
              <w:jc w:val="center"/>
              <w:rPr>
                <w:rFonts w:ascii="仿宋_GB2312" w:hAnsi="宋体" w:eastAsia="仿宋_GB2312"/>
                <w:color w:val="000000"/>
                <w:sz w:val="24"/>
                <w:szCs w:val="24"/>
              </w:rPr>
            </w:pPr>
            <w:r>
              <w:rPr>
                <w:rFonts w:hint="eastAsia" w:ascii="仿宋_GB2312" w:hAnsi="宋体" w:eastAsia="仿宋_GB2312"/>
                <w:color w:val="000000"/>
                <w:sz w:val="24"/>
                <w:szCs w:val="24"/>
              </w:rPr>
              <w:t>规格型号</w:t>
            </w:r>
          </w:p>
          <w:p w14:paraId="1798D5CA">
            <w:pPr>
              <w:jc w:val="center"/>
              <w:rPr>
                <w:rFonts w:ascii="仿宋_GB2312" w:hAnsi="宋体" w:eastAsia="仿宋_GB2312"/>
                <w:color w:val="000000"/>
                <w:sz w:val="24"/>
                <w:szCs w:val="24"/>
              </w:rPr>
            </w:pPr>
            <w:r>
              <w:rPr>
                <w:rFonts w:hint="eastAsia" w:ascii="仿宋_GB2312" w:hAnsi="宋体" w:eastAsia="仿宋_GB2312"/>
                <w:color w:val="000000"/>
                <w:sz w:val="24"/>
                <w:szCs w:val="24"/>
              </w:rPr>
              <w:t>（若有）</w:t>
            </w:r>
          </w:p>
        </w:tc>
        <w:tc>
          <w:tcPr>
            <w:tcW w:w="992" w:type="dxa"/>
            <w:tcBorders>
              <w:top w:val="single" w:color="auto" w:sz="4" w:space="0"/>
              <w:left w:val="single" w:color="auto" w:sz="4" w:space="0"/>
              <w:bottom w:val="single" w:color="auto" w:sz="4" w:space="0"/>
              <w:right w:val="single" w:color="auto" w:sz="4" w:space="0"/>
            </w:tcBorders>
            <w:vAlign w:val="center"/>
          </w:tcPr>
          <w:p w14:paraId="1A4AA5F3">
            <w:pPr>
              <w:jc w:val="center"/>
              <w:rPr>
                <w:rFonts w:ascii="仿宋_GB2312" w:hAnsi="宋体" w:eastAsia="仿宋_GB2312"/>
                <w:color w:val="000000"/>
                <w:sz w:val="24"/>
                <w:szCs w:val="24"/>
              </w:rPr>
            </w:pPr>
            <w:r>
              <w:rPr>
                <w:rFonts w:hint="eastAsia" w:ascii="仿宋_GB2312" w:hAnsi="宋体" w:eastAsia="仿宋_GB2312"/>
                <w:color w:val="000000"/>
                <w:sz w:val="24"/>
                <w:szCs w:val="24"/>
              </w:rPr>
              <w:t>单位</w:t>
            </w:r>
          </w:p>
        </w:tc>
        <w:tc>
          <w:tcPr>
            <w:tcW w:w="807" w:type="dxa"/>
            <w:tcBorders>
              <w:top w:val="single" w:color="auto" w:sz="4" w:space="0"/>
              <w:left w:val="single" w:color="auto" w:sz="4" w:space="0"/>
              <w:bottom w:val="single" w:color="auto" w:sz="4" w:space="0"/>
              <w:right w:val="single" w:color="auto" w:sz="4" w:space="0"/>
            </w:tcBorders>
            <w:vAlign w:val="center"/>
          </w:tcPr>
          <w:p w14:paraId="0EA5B85D">
            <w:pPr>
              <w:jc w:val="center"/>
              <w:rPr>
                <w:rFonts w:ascii="仿宋_GB2312" w:hAnsi="宋体" w:eastAsia="仿宋_GB2312"/>
                <w:color w:val="000000"/>
                <w:sz w:val="24"/>
                <w:szCs w:val="24"/>
              </w:rPr>
            </w:pPr>
            <w:r>
              <w:rPr>
                <w:rFonts w:hint="eastAsia" w:ascii="仿宋_GB2312" w:hAnsi="宋体" w:eastAsia="仿宋_GB2312"/>
                <w:color w:val="000000"/>
                <w:sz w:val="24"/>
                <w:szCs w:val="24"/>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01153EBE">
            <w:pPr>
              <w:jc w:val="center"/>
              <w:rPr>
                <w:rFonts w:ascii="仿宋_GB2312" w:hAnsi="宋体" w:eastAsia="仿宋_GB2312"/>
                <w:color w:val="000000"/>
                <w:sz w:val="24"/>
                <w:szCs w:val="24"/>
              </w:rPr>
            </w:pPr>
            <w:r>
              <w:rPr>
                <w:rFonts w:hint="eastAsia" w:ascii="仿宋_GB2312" w:hAnsi="宋体" w:eastAsia="仿宋_GB2312"/>
                <w:color w:val="000000"/>
                <w:sz w:val="24"/>
                <w:szCs w:val="24"/>
              </w:rPr>
              <w:t>单价（元）</w:t>
            </w:r>
          </w:p>
        </w:tc>
        <w:tc>
          <w:tcPr>
            <w:tcW w:w="1275" w:type="dxa"/>
            <w:tcBorders>
              <w:top w:val="single" w:color="auto" w:sz="4" w:space="0"/>
              <w:left w:val="single" w:color="auto" w:sz="4" w:space="0"/>
              <w:bottom w:val="single" w:color="auto" w:sz="4" w:space="0"/>
              <w:right w:val="single" w:color="auto" w:sz="4" w:space="0"/>
            </w:tcBorders>
            <w:vAlign w:val="center"/>
          </w:tcPr>
          <w:p w14:paraId="5D9EF214">
            <w:pPr>
              <w:jc w:val="center"/>
              <w:rPr>
                <w:rFonts w:ascii="仿宋_GB2312" w:hAnsi="宋体" w:eastAsia="仿宋_GB2312"/>
                <w:color w:val="000000"/>
                <w:sz w:val="24"/>
                <w:szCs w:val="24"/>
              </w:rPr>
            </w:pPr>
            <w:r>
              <w:rPr>
                <w:rFonts w:hint="eastAsia" w:ascii="仿宋_GB2312" w:hAnsi="宋体" w:eastAsia="仿宋_GB2312"/>
                <w:color w:val="000000"/>
                <w:sz w:val="24"/>
                <w:szCs w:val="24"/>
              </w:rPr>
              <w:t>合价（元）</w:t>
            </w:r>
          </w:p>
        </w:tc>
      </w:tr>
      <w:tr w14:paraId="0F28B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76636D1">
            <w:pPr>
              <w:jc w:val="center"/>
              <w:rPr>
                <w:rFonts w:ascii="仿宋_GB2312" w:hAnsi="宋体" w:eastAsia="仿宋_GB2312"/>
                <w:color w:val="000000"/>
                <w:sz w:val="24"/>
                <w:szCs w:val="24"/>
              </w:rPr>
            </w:pPr>
            <w:r>
              <w:rPr>
                <w:rFonts w:hint="eastAsia" w:ascii="仿宋_GB2312" w:hAnsi="宋体" w:eastAsia="仿宋_GB2312"/>
                <w:color w:val="000000"/>
                <w:sz w:val="24"/>
                <w:szCs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215A4095">
            <w:pPr>
              <w:jc w:val="center"/>
              <w:rPr>
                <w:rFonts w:ascii="仿宋_GB2312" w:hAnsi="宋体" w:eastAsia="仿宋_GB2312"/>
                <w:color w:val="000000"/>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8776F96">
            <w:pPr>
              <w:jc w:val="center"/>
              <w:rPr>
                <w:rFonts w:ascii="仿宋_GB2312" w:hAnsi="宋体" w:eastAsia="仿宋_GB2312"/>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2A5A95BF">
            <w:pPr>
              <w:jc w:val="center"/>
              <w:rPr>
                <w:rFonts w:ascii="仿宋_GB2312" w:hAnsi="宋体" w:eastAsia="仿宋_GB2312"/>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CCB8CE0">
            <w:pPr>
              <w:jc w:val="center"/>
              <w:rPr>
                <w:rFonts w:ascii="仿宋_GB2312" w:hAnsi="宋体" w:eastAsia="仿宋_GB2312"/>
                <w:color w:val="000000"/>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5A975D47">
            <w:pPr>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378D025">
            <w:pPr>
              <w:jc w:val="center"/>
              <w:rPr>
                <w:rFonts w:ascii="仿宋_GB2312" w:hAnsi="宋体" w:eastAsia="仿宋_GB2312"/>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4FDDC0DF">
            <w:pPr>
              <w:jc w:val="center"/>
              <w:rPr>
                <w:rFonts w:ascii="仿宋_GB2312" w:hAnsi="宋体" w:eastAsia="仿宋_GB2312"/>
                <w:color w:val="000000"/>
                <w:sz w:val="24"/>
                <w:szCs w:val="24"/>
              </w:rPr>
            </w:pPr>
          </w:p>
        </w:tc>
      </w:tr>
      <w:tr w14:paraId="51319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08FC56C">
            <w:pPr>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1418" w:type="dxa"/>
            <w:tcBorders>
              <w:top w:val="single" w:color="auto" w:sz="4" w:space="0"/>
              <w:left w:val="single" w:color="auto" w:sz="4" w:space="0"/>
              <w:bottom w:val="single" w:color="auto" w:sz="4" w:space="0"/>
              <w:right w:val="single" w:color="auto" w:sz="4" w:space="0"/>
            </w:tcBorders>
            <w:vAlign w:val="center"/>
          </w:tcPr>
          <w:p w14:paraId="346AA7A7">
            <w:pPr>
              <w:jc w:val="center"/>
              <w:rPr>
                <w:rFonts w:ascii="仿宋_GB2312" w:hAnsi="宋体" w:eastAsia="仿宋_GB2312"/>
                <w:color w:val="000000"/>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2F14613">
            <w:pPr>
              <w:jc w:val="center"/>
              <w:rPr>
                <w:rFonts w:ascii="仿宋_GB2312" w:hAnsi="宋体" w:eastAsia="仿宋_GB2312"/>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2CFC2040">
            <w:pPr>
              <w:jc w:val="center"/>
              <w:rPr>
                <w:rFonts w:ascii="仿宋_GB2312" w:hAnsi="宋体" w:eastAsia="仿宋_GB2312"/>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3757751">
            <w:pPr>
              <w:jc w:val="center"/>
              <w:rPr>
                <w:rFonts w:ascii="仿宋_GB2312" w:hAnsi="宋体" w:eastAsia="仿宋_GB2312"/>
                <w:color w:val="000000"/>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45EC86F9">
            <w:pPr>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FFF3DDA">
            <w:pPr>
              <w:jc w:val="center"/>
              <w:rPr>
                <w:rFonts w:ascii="仿宋_GB2312" w:hAnsi="宋体" w:eastAsia="仿宋_GB2312"/>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1178D2EC">
            <w:pPr>
              <w:jc w:val="center"/>
              <w:rPr>
                <w:rFonts w:ascii="仿宋_GB2312" w:hAnsi="宋体" w:eastAsia="仿宋_GB2312"/>
                <w:color w:val="000000"/>
                <w:sz w:val="24"/>
                <w:szCs w:val="24"/>
              </w:rPr>
            </w:pPr>
          </w:p>
        </w:tc>
      </w:tr>
      <w:tr w14:paraId="6B8A0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6D15DED9">
            <w:pPr>
              <w:jc w:val="center"/>
              <w:rPr>
                <w:rFonts w:ascii="仿宋_GB2312" w:hAnsi="宋体" w:eastAsia="仿宋_GB2312"/>
                <w:color w:val="000000"/>
                <w:sz w:val="24"/>
                <w:szCs w:val="24"/>
              </w:rPr>
            </w:pPr>
            <w:r>
              <w:rPr>
                <w:rFonts w:ascii="仿宋_GB2312" w:hAnsi="宋体" w:eastAsia="仿宋_GB2312"/>
                <w:color w:val="000000"/>
                <w:sz w:val="24"/>
                <w:szCs w:val="24"/>
              </w:rPr>
              <w:t>3</w:t>
            </w:r>
          </w:p>
        </w:tc>
        <w:tc>
          <w:tcPr>
            <w:tcW w:w="1418" w:type="dxa"/>
            <w:tcBorders>
              <w:top w:val="single" w:color="auto" w:sz="4" w:space="0"/>
              <w:left w:val="single" w:color="auto" w:sz="4" w:space="0"/>
              <w:bottom w:val="single" w:color="auto" w:sz="4" w:space="0"/>
              <w:right w:val="single" w:color="auto" w:sz="4" w:space="0"/>
            </w:tcBorders>
            <w:vAlign w:val="center"/>
          </w:tcPr>
          <w:p w14:paraId="2F2DD519">
            <w:pPr>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28FA744">
            <w:pPr>
              <w:jc w:val="center"/>
              <w:rPr>
                <w:rFonts w:ascii="仿宋_GB2312" w:hAnsi="宋体" w:eastAsia="仿宋_GB2312"/>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43169A3">
            <w:pPr>
              <w:jc w:val="center"/>
              <w:rPr>
                <w:rFonts w:ascii="仿宋_GB2312" w:hAnsi="宋体" w:eastAsia="仿宋_GB2312"/>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8D26593">
            <w:pPr>
              <w:jc w:val="center"/>
              <w:rPr>
                <w:rFonts w:ascii="仿宋_GB2312" w:hAnsi="宋体" w:eastAsia="仿宋_GB2312"/>
                <w:color w:val="000000"/>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11123C5C">
            <w:pPr>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BBC5055">
            <w:pPr>
              <w:jc w:val="center"/>
              <w:rPr>
                <w:rFonts w:ascii="仿宋_GB2312" w:hAnsi="宋体" w:eastAsia="仿宋_GB2312"/>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11B05308">
            <w:pPr>
              <w:jc w:val="center"/>
              <w:rPr>
                <w:rFonts w:ascii="仿宋_GB2312" w:hAnsi="宋体" w:eastAsia="仿宋_GB2312"/>
                <w:color w:val="000000"/>
                <w:sz w:val="24"/>
                <w:szCs w:val="24"/>
              </w:rPr>
            </w:pPr>
          </w:p>
        </w:tc>
      </w:tr>
      <w:tr w14:paraId="39C70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6" w:type="dxa"/>
            <w:gridSpan w:val="3"/>
            <w:tcBorders>
              <w:top w:val="single" w:color="auto" w:sz="4" w:space="0"/>
              <w:left w:val="single" w:color="auto" w:sz="4" w:space="0"/>
              <w:bottom w:val="single" w:color="auto" w:sz="4" w:space="0"/>
              <w:right w:val="single" w:color="auto" w:sz="4" w:space="0"/>
            </w:tcBorders>
            <w:vAlign w:val="center"/>
          </w:tcPr>
          <w:p w14:paraId="58357913">
            <w:pPr>
              <w:jc w:val="center"/>
              <w:rPr>
                <w:rFonts w:ascii="仿宋_GB2312" w:hAnsi="宋体" w:eastAsia="仿宋_GB2312"/>
                <w:color w:val="000000"/>
                <w:sz w:val="24"/>
                <w:szCs w:val="24"/>
              </w:rPr>
            </w:pPr>
            <w:r>
              <w:rPr>
                <w:rFonts w:hint="eastAsia" w:ascii="仿宋_GB2312" w:hAnsi="宋体" w:eastAsia="仿宋_GB2312"/>
                <w:color w:val="000000"/>
                <w:sz w:val="24"/>
                <w:szCs w:val="24"/>
              </w:rPr>
              <w:t>总报价</w:t>
            </w:r>
          </w:p>
        </w:tc>
        <w:tc>
          <w:tcPr>
            <w:tcW w:w="6894" w:type="dxa"/>
            <w:gridSpan w:val="6"/>
            <w:tcBorders>
              <w:top w:val="single" w:color="auto" w:sz="4" w:space="0"/>
              <w:left w:val="single" w:color="auto" w:sz="4" w:space="0"/>
              <w:bottom w:val="single" w:color="auto" w:sz="4" w:space="0"/>
              <w:right w:val="single" w:color="auto" w:sz="4" w:space="0"/>
            </w:tcBorders>
            <w:vAlign w:val="center"/>
          </w:tcPr>
          <w:p w14:paraId="7CAE69E5">
            <w:pPr>
              <w:jc w:val="left"/>
              <w:rPr>
                <w:rFonts w:ascii="仿宋_GB2312" w:hAnsi="宋体" w:eastAsia="仿宋_GB2312"/>
                <w:color w:val="000000"/>
                <w:sz w:val="24"/>
                <w:szCs w:val="24"/>
              </w:rPr>
            </w:pPr>
            <w:r>
              <w:rPr>
                <w:rFonts w:hint="eastAsia" w:ascii="仿宋_GB2312" w:hAnsi="宋体" w:eastAsia="仿宋_GB2312"/>
                <w:color w:val="000000"/>
                <w:sz w:val="24"/>
                <w:szCs w:val="24"/>
              </w:rPr>
              <w:t>大写：</w:t>
            </w:r>
            <w:r>
              <w:rPr>
                <w:rFonts w:hint="eastAsia" w:ascii="仿宋_GB2312" w:hAnsi="宋体" w:eastAsia="仿宋_GB2312"/>
                <w:color w:val="000000"/>
                <w:sz w:val="24"/>
                <w:szCs w:val="24"/>
                <w:u w:val="single"/>
              </w:rPr>
              <w:t xml:space="preserve">           （￥</w:t>
            </w:r>
            <w:r>
              <w:rPr>
                <w:rFonts w:ascii="仿宋_GB2312" w:hAnsi="宋体" w:eastAsia="仿宋_GB2312"/>
                <w:color w:val="000000"/>
                <w:sz w:val="24"/>
                <w:szCs w:val="24"/>
                <w:u w:val="single"/>
              </w:rPr>
              <w:t>：</w:t>
            </w:r>
            <w:r>
              <w:rPr>
                <w:rFonts w:hint="eastAsia" w:ascii="仿宋_GB2312" w:hAnsi="宋体" w:eastAsia="仿宋_GB2312"/>
                <w:color w:val="000000"/>
                <w:sz w:val="24"/>
                <w:szCs w:val="24"/>
                <w:u w:val="single"/>
              </w:rPr>
              <w:t xml:space="preserve">        ）</w:t>
            </w:r>
          </w:p>
        </w:tc>
      </w:tr>
    </w:tbl>
    <w:p w14:paraId="3D961537">
      <w:pPr>
        <w:ind w:left="360" w:hanging="360" w:hangingChars="150"/>
        <w:jc w:val="left"/>
        <w:rPr>
          <w:rFonts w:ascii="仿宋_GB2312" w:eastAsia="仿宋_GB2312"/>
          <w:sz w:val="24"/>
          <w:szCs w:val="24"/>
        </w:rPr>
      </w:pPr>
      <w:r>
        <w:rPr>
          <w:rFonts w:hint="eastAsia" w:ascii="仿宋_GB2312" w:eastAsia="仿宋_GB2312"/>
          <w:sz w:val="24"/>
          <w:szCs w:val="24"/>
        </w:rPr>
        <w:t>注</w:t>
      </w:r>
      <w:r>
        <w:rPr>
          <w:rFonts w:ascii="仿宋_GB2312" w:eastAsia="仿宋_GB2312"/>
          <w:sz w:val="24"/>
          <w:szCs w:val="24"/>
        </w:rPr>
        <w:t>：</w:t>
      </w:r>
    </w:p>
    <w:p w14:paraId="0F2B4689">
      <w:pPr>
        <w:ind w:left="360" w:hanging="360" w:hangingChars="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总报价格应包括但不限于完成本项目服务所需的一切人员工资、社保、奖金、福利、高温费、劳保用品、安全、管理费、耗材、食宿与交通、服装、税费、利润等一切本身和不可或缺的所有工作开支、政策性文件规定及合同包含的所有风险、责任等各项全部费用，供应商应根据上述因素自行考虑含入总报价。</w:t>
      </w:r>
    </w:p>
    <w:p w14:paraId="1DF78BD9">
      <w:pPr>
        <w:ind w:left="360" w:hanging="360" w:hangingChars="15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kern w:val="0"/>
          <w:sz w:val="24"/>
          <w:lang w:val="zh-CN"/>
        </w:rPr>
        <w:t>采购人将以合同形式有偿取得货物或服务，不接受供应商给予的赠品、回扣或者与采购无关的其他商品、服务，不得出现“</w:t>
      </w:r>
      <w:r>
        <w:rPr>
          <w:rFonts w:ascii="仿宋_GB2312" w:hAnsi="仿宋" w:eastAsia="仿宋_GB2312" w:cs="仿宋_GB2312"/>
          <w:kern w:val="0"/>
          <w:sz w:val="24"/>
          <w:lang w:val="zh-CN"/>
        </w:rPr>
        <w:t>0元”“免费赠送”等形式的无偿报价</w:t>
      </w:r>
      <w:r>
        <w:rPr>
          <w:rFonts w:hint="eastAsia" w:ascii="仿宋_GB2312" w:hAnsi="仿宋" w:eastAsia="仿宋_GB2312" w:cs="仿宋_GB2312"/>
          <w:kern w:val="0"/>
          <w:sz w:val="24"/>
          <w:lang w:val="zh-CN"/>
        </w:rPr>
        <w:t>，否则视为响应文件含有采购人不能接受的附加条件的，投标无效。</w:t>
      </w:r>
    </w:p>
    <w:p w14:paraId="2CF6FB7A">
      <w:pPr>
        <w:spacing w:line="360" w:lineRule="auto"/>
        <w:jc w:val="left"/>
        <w:rPr>
          <w:rFonts w:ascii="仿宋_GB2312" w:eastAsia="仿宋_GB2312"/>
          <w:color w:val="000000"/>
          <w:spacing w:val="20"/>
          <w:sz w:val="24"/>
        </w:rPr>
      </w:pPr>
      <w:bookmarkStart w:id="347" w:name="_Toc530551899"/>
      <w:bookmarkStart w:id="348" w:name="_Toc15813259"/>
      <w:bookmarkStart w:id="349" w:name="_Toc47756041"/>
      <w:bookmarkStart w:id="350" w:name="_Toc45506740"/>
    </w:p>
    <w:p w14:paraId="66542FF0">
      <w:pPr>
        <w:wordWrap w:val="0"/>
        <w:spacing w:line="360" w:lineRule="auto"/>
        <w:ind w:firstLine="480"/>
        <w:jc w:val="right"/>
        <w:rPr>
          <w:rFonts w:ascii="仿宋_GB2312" w:hAnsi="Courier New" w:eastAsia="仿宋_GB2312"/>
          <w:sz w:val="24"/>
          <w:szCs w:val="21"/>
          <w:u w:val="single"/>
        </w:rPr>
      </w:pPr>
      <w:bookmarkStart w:id="351" w:name="_Toc531359076"/>
      <w:bookmarkStart w:id="352" w:name="_Toc523398533"/>
      <w:bookmarkStart w:id="353" w:name="_Toc493956062"/>
      <w:r>
        <w:rPr>
          <w:rFonts w:ascii="仿宋_GB2312" w:hAnsi="Courier New" w:eastAsia="仿宋_GB2312"/>
          <w:sz w:val="24"/>
          <w:szCs w:val="21"/>
        </w:rPr>
        <w:t>供应商盖章：</w:t>
      </w:r>
    </w:p>
    <w:p w14:paraId="3A413951">
      <w:pPr>
        <w:wordWrap w:val="0"/>
        <w:spacing w:line="360" w:lineRule="auto"/>
        <w:ind w:firstLine="480"/>
        <w:jc w:val="right"/>
        <w:rPr>
          <w:rFonts w:ascii="仿宋_GB2312" w:hAnsi="Courier New" w:eastAsia="仿宋_GB2312"/>
          <w:spacing w:val="20"/>
          <w:sz w:val="24"/>
          <w:szCs w:val="21"/>
          <w:u w:val="single"/>
        </w:rPr>
      </w:pPr>
      <w:r>
        <w:rPr>
          <w:rFonts w:ascii="仿宋_GB2312" w:hAnsi="Courier New" w:eastAsia="仿宋_GB2312"/>
          <w:sz w:val="24"/>
          <w:szCs w:val="21"/>
        </w:rPr>
        <w:t>日      期：</w:t>
      </w:r>
    </w:p>
    <w:p w14:paraId="11E78365">
      <w:pPr>
        <w:pStyle w:val="20"/>
      </w:pPr>
    </w:p>
    <w:p w14:paraId="0DF8BDDA">
      <w:pPr>
        <w:pStyle w:val="21"/>
        <w:ind w:firstLine="210"/>
      </w:pPr>
    </w:p>
    <w:p w14:paraId="106283B7">
      <w:pPr>
        <w:pStyle w:val="36"/>
      </w:pPr>
    </w:p>
    <w:p w14:paraId="5D59DFF3"/>
    <w:p w14:paraId="16CE5E37">
      <w:pPr>
        <w:pStyle w:val="20"/>
      </w:pPr>
    </w:p>
    <w:p w14:paraId="00D2D312">
      <w:pPr>
        <w:pStyle w:val="21"/>
        <w:ind w:firstLine="210"/>
      </w:pPr>
    </w:p>
    <w:p w14:paraId="368565EA">
      <w:pPr>
        <w:keepNext/>
        <w:keepLines/>
        <w:spacing w:line="360" w:lineRule="auto"/>
        <w:jc w:val="right"/>
        <w:outlineLvl w:val="2"/>
        <w:rPr>
          <w:rFonts w:ascii="仿宋_GB2312" w:hAnsi="宋体" w:eastAsia="仿宋_GB2312"/>
          <w:b/>
          <w:bCs/>
          <w:color w:val="000000"/>
          <w:sz w:val="28"/>
          <w:szCs w:val="28"/>
        </w:rPr>
        <w:sectPr>
          <w:pgSz w:w="11906" w:h="16838"/>
          <w:pgMar w:top="1418" w:right="1418" w:bottom="1418" w:left="1418" w:header="851" w:footer="851" w:gutter="0"/>
          <w:cols w:space="425" w:num="1"/>
          <w:docGrid w:linePitch="312" w:charSpace="0"/>
        </w:sectPr>
      </w:pPr>
    </w:p>
    <w:bookmarkEnd w:id="347"/>
    <w:bookmarkEnd w:id="348"/>
    <w:bookmarkEnd w:id="349"/>
    <w:bookmarkEnd w:id="350"/>
    <w:bookmarkEnd w:id="351"/>
    <w:bookmarkEnd w:id="352"/>
    <w:bookmarkEnd w:id="353"/>
    <w:p w14:paraId="1976D119">
      <w:pPr>
        <w:pStyle w:val="43"/>
        <w:spacing w:before="0" w:after="0" w:line="360" w:lineRule="auto"/>
        <w:rPr>
          <w:rFonts w:ascii="宋体" w:hAnsi="宋体" w:cs="宋体"/>
          <w:sz w:val="36"/>
          <w:szCs w:val="36"/>
        </w:rPr>
      </w:pPr>
      <w:r>
        <w:rPr>
          <w:rFonts w:hint="eastAsia" w:ascii="宋体" w:hAnsi="宋体" w:cs="宋体"/>
          <w:sz w:val="36"/>
          <w:szCs w:val="36"/>
        </w:rPr>
        <w:t xml:space="preserve">第六章 </w:t>
      </w:r>
      <w:bookmarkEnd w:id="342"/>
      <w:bookmarkEnd w:id="343"/>
      <w:bookmarkEnd w:id="344"/>
      <w:bookmarkEnd w:id="345"/>
      <w:bookmarkEnd w:id="346"/>
      <w:r>
        <w:rPr>
          <w:rFonts w:hint="eastAsia" w:ascii="宋体" w:hAnsi="宋体" w:cs="宋体"/>
          <w:sz w:val="36"/>
          <w:szCs w:val="36"/>
        </w:rPr>
        <w:t>评审办法和细则</w:t>
      </w:r>
    </w:p>
    <w:p w14:paraId="310866E3">
      <w:pPr>
        <w:pStyle w:val="28"/>
        <w:snapToGrid/>
        <w:spacing w:line="360" w:lineRule="auto"/>
        <w:ind w:firstLineChars="200"/>
        <w:rPr>
          <w:rFonts w:ascii="宋体" w:hAnsi="宋体" w:eastAsia="宋体" w:cs="宋体"/>
        </w:rPr>
      </w:pPr>
      <w:r>
        <w:rPr>
          <w:rFonts w:hint="eastAsia" w:ascii="宋体" w:hAnsi="宋体" w:eastAsia="宋体" w:cs="宋体"/>
        </w:rPr>
        <w:t>根据《中华人民共和国政府采购法》等有关法律法规的规定，并结合本项目的实际，特制定本办法，本办法只适用于本项目政府采购的评审。</w:t>
      </w:r>
    </w:p>
    <w:p w14:paraId="5619EEF6">
      <w:pPr>
        <w:pStyle w:val="43"/>
        <w:spacing w:beforeLines="100" w:afterLines="100"/>
        <w:jc w:val="left"/>
        <w:outlineLvl w:val="1"/>
        <w:rPr>
          <w:rFonts w:ascii="宋体" w:hAnsi="宋体" w:cs="宋体"/>
          <w:sz w:val="30"/>
          <w:szCs w:val="30"/>
        </w:rPr>
      </w:pPr>
      <w:bookmarkStart w:id="354" w:name="_Toc493956075"/>
      <w:bookmarkStart w:id="355" w:name="_Toc531359078"/>
      <w:bookmarkStart w:id="356" w:name="_Toc335664295"/>
      <w:bookmarkStart w:id="357" w:name="_Toc530551901"/>
      <w:bookmarkStart w:id="358" w:name="_Toc80973325"/>
      <w:r>
        <w:rPr>
          <w:rFonts w:hint="eastAsia" w:ascii="宋体" w:hAnsi="宋体" w:cs="宋体"/>
          <w:sz w:val="30"/>
          <w:szCs w:val="30"/>
        </w:rPr>
        <w:t>一    总则</w:t>
      </w:r>
      <w:bookmarkEnd w:id="354"/>
      <w:bookmarkEnd w:id="355"/>
      <w:bookmarkEnd w:id="356"/>
      <w:bookmarkEnd w:id="357"/>
      <w:bookmarkEnd w:id="358"/>
    </w:p>
    <w:p w14:paraId="7190267F">
      <w:pPr>
        <w:pStyle w:val="28"/>
        <w:snapToGrid/>
        <w:spacing w:line="360" w:lineRule="auto"/>
        <w:ind w:firstLineChars="200"/>
        <w:rPr>
          <w:rFonts w:ascii="宋体" w:hAnsi="宋体" w:eastAsia="宋体" w:cs="宋体"/>
        </w:rPr>
      </w:pPr>
      <w:r>
        <w:rPr>
          <w:rFonts w:hint="eastAsia" w:ascii="宋体" w:hAnsi="宋体" w:eastAsia="宋体" w:cs="宋体"/>
        </w:rPr>
        <w:t>1.1  评审工作遵循公正、公平、科学、择优的原则确定成交候选人。磋商小组应严格按照磋商文件的资信商务及技术和报价要求，对磋商响应文件综合分析评价并编制评审报告。评审专家必须严格遵守保密规定，不得泄漏评审有关的情况，不得索贿受贿，不得参加影响评审的任何活动。</w:t>
      </w:r>
    </w:p>
    <w:p w14:paraId="246B4CF9">
      <w:pPr>
        <w:pStyle w:val="28"/>
        <w:snapToGrid/>
        <w:spacing w:line="360" w:lineRule="auto"/>
        <w:ind w:firstLineChars="200"/>
        <w:rPr>
          <w:rFonts w:ascii="宋体" w:hAnsi="宋体" w:eastAsia="宋体" w:cs="宋体"/>
        </w:rPr>
      </w:pPr>
      <w:r>
        <w:rPr>
          <w:rFonts w:hint="eastAsia" w:ascii="宋体" w:hAnsi="宋体" w:eastAsia="宋体" w:cs="宋体"/>
        </w:rPr>
        <w:t>1.2  本次评审采用综合评分法，按最终得分由高到低顺序排列。最终得分相同的，按磋商报价由低到高顺序排列；最终得分且磋商报价相同的，按技术得分由高到低顺序排列。磋商小组按顺序推荐</w:t>
      </w:r>
      <w:r>
        <w:rPr>
          <w:rFonts w:hint="eastAsia" w:ascii="宋体" w:hAnsi="宋体" w:eastAsia="宋体" w:cs="宋体"/>
          <w:u w:val="single"/>
        </w:rPr>
        <w:t>1</w:t>
      </w:r>
      <w:r>
        <w:rPr>
          <w:rFonts w:hint="eastAsia" w:ascii="宋体" w:hAnsi="宋体" w:eastAsia="宋体" w:cs="宋体"/>
        </w:rPr>
        <w:t>名成交候选人。评分过程中采用四舍五入法，并保留小数2位。</w:t>
      </w:r>
    </w:p>
    <w:p w14:paraId="078670E6">
      <w:pPr>
        <w:pStyle w:val="43"/>
        <w:spacing w:beforeLines="100" w:afterLines="100"/>
        <w:jc w:val="left"/>
        <w:outlineLvl w:val="1"/>
        <w:rPr>
          <w:rFonts w:ascii="宋体" w:hAnsi="宋体" w:cs="宋体"/>
          <w:sz w:val="30"/>
          <w:szCs w:val="30"/>
        </w:rPr>
      </w:pPr>
      <w:bookmarkStart w:id="359" w:name="_Toc80973326"/>
      <w:r>
        <w:rPr>
          <w:rFonts w:hint="eastAsia" w:ascii="宋体" w:hAnsi="宋体" w:cs="宋体"/>
          <w:sz w:val="30"/>
          <w:szCs w:val="30"/>
        </w:rPr>
        <w:t>二    评审一般规定</w:t>
      </w:r>
      <w:bookmarkEnd w:id="359"/>
    </w:p>
    <w:p w14:paraId="4D7F8A8B">
      <w:pPr>
        <w:pStyle w:val="28"/>
        <w:snapToGrid/>
        <w:spacing w:line="360" w:lineRule="auto"/>
        <w:ind w:firstLineChars="200"/>
        <w:rPr>
          <w:rFonts w:ascii="宋体" w:hAnsi="宋体" w:eastAsia="宋体" w:cs="宋体"/>
        </w:rPr>
      </w:pPr>
      <w:r>
        <w:rPr>
          <w:rFonts w:hint="eastAsia" w:ascii="宋体" w:hAnsi="宋体" w:eastAsia="宋体" w:cs="宋体"/>
        </w:rPr>
        <w:t>2.1  本次评审采用综合评分法，总分100分。</w:t>
      </w:r>
    </w:p>
    <w:p w14:paraId="2881DF94">
      <w:pPr>
        <w:pStyle w:val="28"/>
        <w:snapToGrid/>
        <w:spacing w:line="360" w:lineRule="auto"/>
        <w:ind w:firstLineChars="200"/>
        <w:rPr>
          <w:rFonts w:ascii="宋体" w:hAnsi="宋体" w:eastAsia="宋体" w:cs="宋体"/>
        </w:rPr>
      </w:pPr>
      <w:r>
        <w:rPr>
          <w:rFonts w:hint="eastAsia" w:ascii="宋体" w:hAnsi="宋体" w:eastAsia="宋体" w:cs="宋体"/>
        </w:rPr>
        <w:t>2.2  资信商务及技术分的权重为</w:t>
      </w:r>
      <w:r>
        <w:rPr>
          <w:rFonts w:hint="eastAsia" w:ascii="宋体" w:hAnsi="宋体" w:eastAsia="宋体" w:cs="宋体"/>
          <w:u w:val="single"/>
        </w:rPr>
        <w:t>70</w:t>
      </w:r>
      <w:r>
        <w:rPr>
          <w:rFonts w:hint="eastAsia" w:ascii="宋体" w:hAnsi="宋体" w:eastAsia="宋体" w:cs="宋体"/>
        </w:rPr>
        <w:t>%，评审分值为</w:t>
      </w:r>
      <w:r>
        <w:rPr>
          <w:rFonts w:hint="eastAsia" w:ascii="宋体" w:hAnsi="宋体" w:eastAsia="宋体" w:cs="宋体"/>
          <w:u w:val="single"/>
        </w:rPr>
        <w:t>70</w:t>
      </w:r>
      <w:r>
        <w:rPr>
          <w:rFonts w:hint="eastAsia" w:ascii="宋体" w:hAnsi="宋体" w:eastAsia="宋体" w:cs="宋体"/>
        </w:rPr>
        <w:t>分。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14:paraId="5642D608">
      <w:pPr>
        <w:pStyle w:val="28"/>
        <w:snapToGrid/>
        <w:spacing w:line="360" w:lineRule="auto"/>
        <w:ind w:firstLineChars="200"/>
        <w:rPr>
          <w:rFonts w:ascii="宋体" w:hAnsi="宋体" w:eastAsia="宋体" w:cs="宋体"/>
        </w:rPr>
      </w:pPr>
      <w:r>
        <w:rPr>
          <w:rFonts w:hint="eastAsia" w:ascii="宋体" w:hAnsi="宋体" w:eastAsia="宋体" w:cs="宋体"/>
        </w:rPr>
        <w:t>2.3   报价分的权重为</w:t>
      </w:r>
      <w:r>
        <w:rPr>
          <w:rFonts w:hint="eastAsia" w:ascii="宋体" w:hAnsi="宋体" w:eastAsia="宋体" w:cs="宋体"/>
          <w:u w:val="single"/>
        </w:rPr>
        <w:t>30</w:t>
      </w:r>
      <w:r>
        <w:rPr>
          <w:rFonts w:hint="eastAsia" w:ascii="宋体" w:hAnsi="宋体" w:eastAsia="宋体" w:cs="宋体"/>
        </w:rPr>
        <w:t>%，评审分值为</w:t>
      </w:r>
      <w:r>
        <w:rPr>
          <w:rFonts w:hint="eastAsia" w:ascii="宋体" w:hAnsi="宋体" w:eastAsia="宋体" w:cs="宋体"/>
          <w:u w:val="single"/>
        </w:rPr>
        <w:t>30</w:t>
      </w:r>
      <w:r>
        <w:rPr>
          <w:rFonts w:hint="eastAsia" w:ascii="宋体" w:hAnsi="宋体" w:eastAsia="宋体" w:cs="宋体"/>
        </w:rPr>
        <w:t>分，由磋商小组按各供应商报价统一计算。</w:t>
      </w:r>
    </w:p>
    <w:p w14:paraId="4F83917E">
      <w:pPr>
        <w:pStyle w:val="28"/>
        <w:snapToGrid/>
        <w:spacing w:line="360" w:lineRule="auto"/>
        <w:ind w:firstLineChars="200"/>
        <w:rPr>
          <w:rFonts w:ascii="宋体" w:hAnsi="宋体" w:eastAsia="宋体" w:cs="宋体"/>
        </w:rPr>
      </w:pPr>
      <w:r>
        <w:rPr>
          <w:rFonts w:hint="eastAsia" w:ascii="宋体" w:hAnsi="宋体" w:eastAsia="宋体" w:cs="宋体"/>
        </w:rPr>
        <w:t>2.4  供应商总得分=资信商务及技术得分+报价得分。</w:t>
      </w:r>
    </w:p>
    <w:p w14:paraId="05334091">
      <w:pPr>
        <w:pStyle w:val="28"/>
        <w:snapToGrid/>
        <w:spacing w:line="360" w:lineRule="auto"/>
        <w:ind w:firstLineChars="200"/>
        <w:rPr>
          <w:rFonts w:ascii="宋体" w:hAnsi="宋体" w:eastAsia="宋体" w:cs="宋体"/>
        </w:rPr>
      </w:pPr>
      <w:r>
        <w:rPr>
          <w:rFonts w:hint="eastAsia" w:ascii="宋体" w:hAnsi="宋体" w:eastAsia="宋体" w:cs="宋体"/>
        </w:rPr>
        <w:t>2.5  评审专家在规定的分值范围内打分，评分保留两位小数。</w:t>
      </w:r>
    </w:p>
    <w:p w14:paraId="41A3DF69">
      <w:pPr>
        <w:pStyle w:val="43"/>
        <w:spacing w:beforeLines="100" w:afterLines="100"/>
        <w:jc w:val="left"/>
        <w:outlineLvl w:val="1"/>
        <w:rPr>
          <w:rFonts w:ascii="宋体" w:hAnsi="宋体" w:cs="宋体"/>
          <w:sz w:val="30"/>
          <w:szCs w:val="30"/>
        </w:rPr>
      </w:pPr>
      <w:bookmarkStart w:id="360" w:name="_Toc80973327"/>
      <w:r>
        <w:rPr>
          <w:rFonts w:hint="eastAsia" w:ascii="宋体" w:hAnsi="宋体" w:cs="宋体"/>
          <w:sz w:val="30"/>
          <w:szCs w:val="30"/>
        </w:rPr>
        <w:t>三    评审内容及标准</w:t>
      </w:r>
      <w:bookmarkEnd w:id="360"/>
    </w:p>
    <w:p w14:paraId="29CEB815">
      <w:pPr>
        <w:pStyle w:val="28"/>
        <w:snapToGrid/>
        <w:spacing w:line="360" w:lineRule="auto"/>
        <w:ind w:firstLineChars="200"/>
        <w:rPr>
          <w:rFonts w:ascii="宋体" w:hAnsi="宋体" w:eastAsia="宋体" w:cs="宋体"/>
        </w:rPr>
      </w:pPr>
      <w:r>
        <w:rPr>
          <w:rFonts w:hint="eastAsia" w:ascii="宋体" w:hAnsi="宋体" w:eastAsia="宋体" w:cs="宋体"/>
        </w:rPr>
        <w:t>3.1   报价分（30分）</w:t>
      </w:r>
    </w:p>
    <w:p w14:paraId="5DCC3222">
      <w:pPr>
        <w:pStyle w:val="28"/>
        <w:snapToGrid/>
        <w:spacing w:line="360" w:lineRule="auto"/>
        <w:ind w:firstLineChars="200"/>
        <w:rPr>
          <w:rFonts w:ascii="宋体" w:hAnsi="宋体" w:eastAsia="宋体" w:cs="宋体"/>
        </w:rPr>
      </w:pPr>
      <w:r>
        <w:rPr>
          <w:rFonts w:hint="eastAsia" w:ascii="宋体" w:hAnsi="宋体" w:eastAsia="宋体" w:cs="宋体"/>
        </w:rPr>
        <w:t>3.1.1 报价得分采用低价优先法计算，即满足磋商文件要求且磋商价格最低的磋商报价为评审基准价，其他供应商的价格分按照下列公式计算：</w:t>
      </w:r>
    </w:p>
    <w:p w14:paraId="61CB7A47">
      <w:pPr>
        <w:pStyle w:val="28"/>
        <w:snapToGrid/>
        <w:spacing w:line="360" w:lineRule="auto"/>
        <w:ind w:firstLineChars="200"/>
        <w:rPr>
          <w:rFonts w:ascii="宋体" w:hAnsi="宋体" w:eastAsia="宋体" w:cs="宋体"/>
        </w:rPr>
      </w:pPr>
      <w:r>
        <w:rPr>
          <w:rFonts w:hint="eastAsia" w:ascii="宋体" w:hAnsi="宋体" w:eastAsia="宋体" w:cs="宋体"/>
        </w:rPr>
        <w:t>价格分=（评审基准价/磋商报价）×报价权重×100</w:t>
      </w:r>
    </w:p>
    <w:p w14:paraId="45D3965C">
      <w:pPr>
        <w:pStyle w:val="28"/>
        <w:snapToGrid/>
        <w:spacing w:line="360" w:lineRule="auto"/>
        <w:ind w:firstLineChars="200"/>
        <w:rPr>
          <w:rFonts w:ascii="宋体" w:hAnsi="宋体" w:eastAsia="宋体" w:cs="宋体"/>
        </w:rPr>
      </w:pPr>
      <w:r>
        <w:rPr>
          <w:rFonts w:hint="eastAsia" w:ascii="宋体" w:hAnsi="宋体" w:eastAsia="宋体" w:cs="宋体"/>
        </w:rPr>
        <w:t>3.3.1  价格扣除：因落实政府采购政策进行价格调整的，以调整后的价格计算评审基准价和磋商报价。</w:t>
      </w:r>
    </w:p>
    <w:p w14:paraId="4CA019CA">
      <w:pPr>
        <w:pStyle w:val="28"/>
        <w:snapToGrid/>
        <w:spacing w:line="360" w:lineRule="auto"/>
        <w:ind w:firstLineChars="200"/>
        <w:rPr>
          <w:rFonts w:ascii="宋体" w:hAnsi="宋体" w:eastAsia="宋体" w:cs="宋体"/>
        </w:rPr>
      </w:pPr>
      <w:r>
        <w:rPr>
          <w:rFonts w:hint="eastAsia" w:ascii="宋体" w:hAnsi="宋体" w:eastAsia="宋体" w:cs="宋体"/>
        </w:rPr>
        <w:t>调整后的磋商报价＝磋商最终</w:t>
      </w:r>
      <w:r>
        <w:rPr>
          <w:rFonts w:hint="eastAsia" w:ascii="宋体" w:hAnsi="宋体" w:eastAsia="宋体" w:cs="宋体"/>
          <w:bCs/>
          <w:snapToGrid w:val="0"/>
          <w:szCs w:val="24"/>
        </w:rPr>
        <w:t>报价×（1-扣除率）</w:t>
      </w:r>
    </w:p>
    <w:p w14:paraId="679E7EEE">
      <w:pPr>
        <w:pStyle w:val="28"/>
        <w:snapToGrid/>
        <w:spacing w:line="360" w:lineRule="auto"/>
        <w:ind w:firstLineChars="200"/>
        <w:rPr>
          <w:rFonts w:ascii="宋体" w:hAnsi="宋体" w:eastAsia="宋体" w:cs="宋体"/>
        </w:rPr>
      </w:pPr>
      <w:r>
        <w:rPr>
          <w:rFonts w:hint="eastAsia" w:ascii="宋体" w:hAnsi="宋体" w:eastAsia="宋体" w:cs="宋体"/>
        </w:rPr>
        <w:t>3.2  评审内容和标准</w:t>
      </w:r>
    </w:p>
    <w:p w14:paraId="7952392E">
      <w:pPr>
        <w:pStyle w:val="28"/>
        <w:snapToGrid/>
        <w:spacing w:line="360" w:lineRule="auto"/>
        <w:ind w:firstLineChars="200"/>
        <w:rPr>
          <w:rFonts w:ascii="宋体" w:hAnsi="宋体" w:eastAsia="宋体" w:cs="宋体"/>
        </w:rPr>
      </w:pPr>
      <w:r>
        <w:rPr>
          <w:rFonts w:hint="eastAsia" w:ascii="宋体" w:hAnsi="宋体" w:eastAsia="宋体" w:cs="宋体"/>
        </w:rPr>
        <w:t>3.2.1资信商务权重为</w:t>
      </w:r>
      <w:r>
        <w:rPr>
          <w:rFonts w:hint="eastAsia" w:ascii="宋体" w:hAnsi="宋体" w:eastAsia="宋体" w:cs="宋体"/>
          <w:lang w:val="en-US" w:eastAsia="zh-CN"/>
        </w:rPr>
        <w:t>3</w:t>
      </w:r>
      <w:r>
        <w:rPr>
          <w:rFonts w:hint="eastAsia" w:ascii="宋体" w:hAnsi="宋体" w:eastAsia="宋体" w:cs="宋体"/>
        </w:rPr>
        <w:t>%，分值为</w:t>
      </w:r>
      <w:r>
        <w:rPr>
          <w:rFonts w:hint="eastAsia" w:ascii="宋体" w:hAnsi="宋体" w:eastAsia="宋体" w:cs="宋体"/>
          <w:lang w:val="en-US" w:eastAsia="zh-CN"/>
        </w:rPr>
        <w:t>3</w:t>
      </w:r>
      <w:r>
        <w:rPr>
          <w:rFonts w:hint="eastAsia" w:ascii="宋体" w:hAnsi="宋体" w:eastAsia="宋体" w:cs="宋体"/>
        </w:rPr>
        <w:t>分；技术权重为6</w:t>
      </w:r>
      <w:r>
        <w:rPr>
          <w:rFonts w:hint="eastAsia" w:ascii="宋体" w:hAnsi="宋体" w:eastAsia="宋体" w:cs="宋体"/>
          <w:lang w:val="en-US" w:eastAsia="zh-CN"/>
        </w:rPr>
        <w:t>7</w:t>
      </w:r>
      <w:r>
        <w:rPr>
          <w:rFonts w:hint="eastAsia" w:ascii="宋体" w:hAnsi="宋体" w:eastAsia="宋体" w:cs="宋体"/>
        </w:rPr>
        <w:t>%，分值为6</w:t>
      </w:r>
      <w:r>
        <w:rPr>
          <w:rFonts w:hint="eastAsia" w:ascii="宋体" w:hAnsi="宋体" w:eastAsia="宋体" w:cs="宋体"/>
          <w:lang w:val="en-US" w:eastAsia="zh-CN"/>
        </w:rPr>
        <w:t>7</w:t>
      </w:r>
      <w:r>
        <w:rPr>
          <w:rFonts w:hint="eastAsia" w:ascii="宋体" w:hAnsi="宋体" w:eastAsia="宋体" w:cs="宋体"/>
        </w:rPr>
        <w:t>分。</w:t>
      </w:r>
    </w:p>
    <w:tbl>
      <w:tblPr>
        <w:tblStyle w:val="46"/>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376"/>
        <w:gridCol w:w="5416"/>
        <w:gridCol w:w="843"/>
      </w:tblGrid>
      <w:tr w14:paraId="787A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362" w:type="dxa"/>
            <w:vAlign w:val="center"/>
          </w:tcPr>
          <w:p w14:paraId="2216655F">
            <w:pPr>
              <w:adjustRightInd w:val="0"/>
              <w:snapToGrid w:val="0"/>
              <w:jc w:val="center"/>
              <w:rPr>
                <w:rFonts w:cs="仿宋" w:asciiTheme="minorEastAsia" w:hAnsiTheme="minorEastAsia"/>
                <w:b/>
                <w:bCs/>
                <w:sz w:val="24"/>
                <w:szCs w:val="24"/>
              </w:rPr>
            </w:pPr>
            <w:r>
              <w:rPr>
                <w:rFonts w:hint="eastAsia" w:cs="仿宋" w:asciiTheme="minorEastAsia" w:hAnsiTheme="minorEastAsia"/>
                <w:b/>
                <w:bCs/>
                <w:sz w:val="24"/>
                <w:szCs w:val="24"/>
              </w:rPr>
              <w:t>评分类别</w:t>
            </w:r>
          </w:p>
        </w:tc>
        <w:tc>
          <w:tcPr>
            <w:tcW w:w="1376" w:type="dxa"/>
            <w:vAlign w:val="center"/>
          </w:tcPr>
          <w:p w14:paraId="174CC9DA">
            <w:pPr>
              <w:adjustRightInd w:val="0"/>
              <w:snapToGrid w:val="0"/>
              <w:jc w:val="center"/>
              <w:rPr>
                <w:rFonts w:cs="仿宋" w:asciiTheme="minorEastAsia" w:hAnsiTheme="minorEastAsia"/>
                <w:b/>
                <w:bCs/>
                <w:sz w:val="24"/>
                <w:szCs w:val="24"/>
              </w:rPr>
            </w:pPr>
            <w:r>
              <w:rPr>
                <w:rFonts w:hint="eastAsia" w:cs="仿宋" w:asciiTheme="minorEastAsia" w:hAnsiTheme="minorEastAsia"/>
                <w:b/>
                <w:bCs/>
                <w:sz w:val="24"/>
                <w:szCs w:val="24"/>
              </w:rPr>
              <w:t>评分项目</w:t>
            </w:r>
          </w:p>
        </w:tc>
        <w:tc>
          <w:tcPr>
            <w:tcW w:w="5416" w:type="dxa"/>
            <w:vAlign w:val="center"/>
          </w:tcPr>
          <w:p w14:paraId="7764DCE4">
            <w:pPr>
              <w:adjustRightInd w:val="0"/>
              <w:snapToGrid w:val="0"/>
              <w:jc w:val="center"/>
              <w:rPr>
                <w:rFonts w:cs="仿宋" w:asciiTheme="minorEastAsia" w:hAnsiTheme="minorEastAsia"/>
                <w:b/>
                <w:bCs/>
                <w:sz w:val="24"/>
                <w:szCs w:val="24"/>
              </w:rPr>
            </w:pPr>
            <w:r>
              <w:rPr>
                <w:rFonts w:hint="eastAsia" w:cs="仿宋" w:asciiTheme="minorEastAsia" w:hAnsiTheme="minorEastAsia"/>
                <w:b/>
                <w:bCs/>
                <w:sz w:val="24"/>
                <w:szCs w:val="24"/>
              </w:rPr>
              <w:t>评分标准</w:t>
            </w:r>
          </w:p>
        </w:tc>
        <w:tc>
          <w:tcPr>
            <w:tcW w:w="843" w:type="dxa"/>
            <w:vAlign w:val="center"/>
          </w:tcPr>
          <w:p w14:paraId="1973B90B">
            <w:pPr>
              <w:adjustRightInd w:val="0"/>
              <w:snapToGrid w:val="0"/>
              <w:jc w:val="center"/>
              <w:rPr>
                <w:rFonts w:hint="eastAsia" w:eastAsia="宋体" w:cs="仿宋" w:asciiTheme="minorEastAsia" w:hAnsiTheme="minorEastAsia"/>
                <w:b/>
                <w:bCs/>
                <w:sz w:val="24"/>
                <w:szCs w:val="24"/>
                <w:lang w:eastAsia="zh-CN"/>
              </w:rPr>
            </w:pPr>
            <w:r>
              <w:rPr>
                <w:rFonts w:hint="eastAsia" w:cs="仿宋" w:asciiTheme="minorEastAsia" w:hAnsiTheme="minorEastAsia"/>
                <w:b/>
                <w:bCs/>
                <w:sz w:val="24"/>
                <w:szCs w:val="24"/>
                <w:lang w:eastAsia="zh-CN"/>
              </w:rPr>
              <w:t>分值（分）</w:t>
            </w:r>
          </w:p>
        </w:tc>
      </w:tr>
      <w:tr w14:paraId="4D09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362" w:type="dxa"/>
          </w:tcPr>
          <w:p w14:paraId="1137FAC7">
            <w:pPr>
              <w:jc w:val="center"/>
              <w:rPr>
                <w:rFonts w:asciiTheme="minorEastAsia" w:hAnsiTheme="minorEastAsia"/>
                <w:b/>
                <w:bCs/>
                <w:sz w:val="24"/>
                <w:szCs w:val="24"/>
              </w:rPr>
            </w:pPr>
            <w:r>
              <w:rPr>
                <w:rFonts w:hint="eastAsia" w:asciiTheme="minorEastAsia" w:hAnsiTheme="minorEastAsia"/>
                <w:b/>
                <w:bCs/>
                <w:sz w:val="24"/>
                <w:szCs w:val="24"/>
              </w:rPr>
              <w:t>资信商务</w:t>
            </w:r>
          </w:p>
          <w:p w14:paraId="399D4C25">
            <w:pPr>
              <w:jc w:val="center"/>
              <w:rPr>
                <w:rFonts w:cs="仿宋" w:asciiTheme="minorEastAsia" w:hAnsiTheme="minorEastAsia"/>
                <w:b/>
                <w:bCs/>
                <w:sz w:val="24"/>
                <w:szCs w:val="24"/>
              </w:rPr>
            </w:pPr>
            <w:r>
              <w:rPr>
                <w:rFonts w:hint="eastAsia" w:asciiTheme="minorEastAsia" w:hAnsiTheme="minorEastAsia"/>
                <w:b/>
                <w:bCs/>
                <w:sz w:val="24"/>
                <w:szCs w:val="24"/>
              </w:rPr>
              <w:t>3分</w:t>
            </w:r>
          </w:p>
        </w:tc>
        <w:tc>
          <w:tcPr>
            <w:tcW w:w="1376" w:type="dxa"/>
            <w:vAlign w:val="center"/>
          </w:tcPr>
          <w:p w14:paraId="2EE4B520">
            <w:pPr>
              <w:adjustRightInd w:val="0"/>
              <w:snapToGrid w:val="0"/>
              <w:jc w:val="center"/>
              <w:rPr>
                <w:rFonts w:cs="仿宋" w:asciiTheme="minorEastAsia" w:hAnsiTheme="minorEastAsia"/>
                <w:bCs/>
                <w:sz w:val="24"/>
                <w:szCs w:val="24"/>
              </w:rPr>
            </w:pPr>
            <w:r>
              <w:rPr>
                <w:rFonts w:hint="eastAsia" w:cs="仿宋" w:asciiTheme="minorEastAsia" w:hAnsiTheme="minorEastAsia"/>
                <w:bCs/>
                <w:sz w:val="24"/>
                <w:szCs w:val="24"/>
              </w:rPr>
              <w:t>类似业绩</w:t>
            </w:r>
          </w:p>
          <w:p w14:paraId="3ED03886">
            <w:pPr>
              <w:adjustRightInd w:val="0"/>
              <w:snapToGrid w:val="0"/>
              <w:jc w:val="center"/>
              <w:rPr>
                <w:rFonts w:cs="仿宋" w:asciiTheme="minorEastAsia" w:hAnsiTheme="minorEastAsia"/>
                <w:bCs/>
                <w:sz w:val="24"/>
                <w:szCs w:val="24"/>
                <w:lang w:val="zh-CN"/>
              </w:rPr>
            </w:pPr>
            <w:r>
              <w:rPr>
                <w:rFonts w:hint="eastAsia" w:cs="仿宋" w:asciiTheme="minorEastAsia" w:hAnsiTheme="minorEastAsia"/>
                <w:bCs/>
                <w:sz w:val="24"/>
                <w:szCs w:val="24"/>
              </w:rPr>
              <w:t>（3分）</w:t>
            </w:r>
          </w:p>
        </w:tc>
        <w:tc>
          <w:tcPr>
            <w:tcW w:w="5416" w:type="dxa"/>
            <w:vAlign w:val="center"/>
          </w:tcPr>
          <w:p w14:paraId="0771F726">
            <w:pPr>
              <w:adjustRightInd w:val="0"/>
              <w:snapToGrid w:val="0"/>
              <w:rPr>
                <w:rFonts w:cs="仿宋" w:asciiTheme="minorEastAsia" w:hAnsiTheme="minorEastAsia"/>
                <w:bCs/>
                <w:sz w:val="24"/>
                <w:szCs w:val="24"/>
              </w:rPr>
            </w:pPr>
            <w:r>
              <w:rPr>
                <w:rFonts w:hint="eastAsia" w:cs="仿宋" w:asciiTheme="minorEastAsia" w:hAnsiTheme="minorEastAsia"/>
                <w:bCs/>
                <w:sz w:val="24"/>
                <w:szCs w:val="24"/>
              </w:rPr>
              <w:t>供应商提供自202</w:t>
            </w:r>
            <w:r>
              <w:rPr>
                <w:rFonts w:hint="eastAsia" w:cs="仿宋" w:asciiTheme="minorEastAsia" w:hAnsiTheme="minorEastAsia"/>
                <w:bCs/>
                <w:sz w:val="24"/>
                <w:szCs w:val="24"/>
                <w:lang w:val="en-US" w:eastAsia="zh-CN"/>
              </w:rPr>
              <w:t>1</w:t>
            </w:r>
            <w:r>
              <w:rPr>
                <w:rFonts w:hint="eastAsia" w:cs="仿宋" w:asciiTheme="minorEastAsia" w:hAnsiTheme="minorEastAsia"/>
                <w:bCs/>
                <w:sz w:val="24"/>
                <w:szCs w:val="24"/>
              </w:rPr>
              <w:t>年1月1日（以合同签订时间为准）以来</w:t>
            </w:r>
            <w:r>
              <w:rPr>
                <w:rFonts w:hint="eastAsia" w:cs="仿宋" w:asciiTheme="minorEastAsia" w:hAnsiTheme="minorEastAsia"/>
                <w:kern w:val="0"/>
                <w:sz w:val="24"/>
                <w:szCs w:val="24"/>
              </w:rPr>
              <w:t>承担过类似项目</w:t>
            </w:r>
            <w:r>
              <w:rPr>
                <w:rFonts w:hint="eastAsia" w:cs="仿宋" w:asciiTheme="minorEastAsia" w:hAnsiTheme="minorEastAsia"/>
                <w:bCs/>
                <w:sz w:val="24"/>
                <w:szCs w:val="24"/>
              </w:rPr>
              <w:t>业绩，每个得1分，最高得3分</w:t>
            </w:r>
            <w:r>
              <w:rPr>
                <w:rFonts w:hint="eastAsia" w:cs="仿宋" w:asciiTheme="minorEastAsia" w:hAnsiTheme="minorEastAsia"/>
                <w:b/>
                <w:sz w:val="24"/>
                <w:szCs w:val="24"/>
              </w:rPr>
              <w:t>(</w:t>
            </w:r>
            <w:r>
              <w:rPr>
                <w:rFonts w:hint="eastAsia" w:cs="仿宋" w:asciiTheme="minorEastAsia" w:hAnsiTheme="minorEastAsia"/>
                <w:b/>
                <w:bCs/>
                <w:sz w:val="24"/>
                <w:szCs w:val="24"/>
              </w:rPr>
              <w:t>需提供合同</w:t>
            </w:r>
            <w:r>
              <w:rPr>
                <w:rFonts w:hint="eastAsia" w:ascii="宋体" w:hAnsi="宋体" w:eastAsia="宋体" w:cs="宋体"/>
                <w:b/>
                <w:bCs/>
                <w:i w:val="0"/>
                <w:color w:val="000000"/>
                <w:kern w:val="0"/>
                <w:sz w:val="24"/>
                <w:szCs w:val="24"/>
                <w:u w:val="none"/>
                <w:lang w:val="en-US" w:eastAsia="zh-CN" w:bidi="ar"/>
              </w:rPr>
              <w:t>或</w:t>
            </w:r>
            <w:r>
              <w:rPr>
                <w:rFonts w:hint="eastAsia" w:cs="仿宋" w:asciiTheme="minorEastAsia" w:hAnsiTheme="minorEastAsia"/>
                <w:b/>
                <w:bCs/>
                <w:sz w:val="24"/>
                <w:szCs w:val="24"/>
              </w:rPr>
              <w:t>中标通知书扫描件，扫描件进入响应文件，否则不得分</w:t>
            </w:r>
            <w:r>
              <w:rPr>
                <w:rFonts w:hint="eastAsia" w:cs="仿宋" w:asciiTheme="minorEastAsia" w:hAnsiTheme="minorEastAsia"/>
                <w:b/>
                <w:sz w:val="24"/>
                <w:szCs w:val="24"/>
              </w:rPr>
              <w:t>)</w:t>
            </w:r>
            <w:r>
              <w:rPr>
                <w:rFonts w:hint="eastAsia" w:cs="仿宋" w:asciiTheme="minorEastAsia" w:hAnsiTheme="minorEastAsia"/>
                <w:sz w:val="24"/>
                <w:szCs w:val="24"/>
              </w:rPr>
              <w:t xml:space="preserve"> 。</w:t>
            </w:r>
          </w:p>
        </w:tc>
        <w:tc>
          <w:tcPr>
            <w:tcW w:w="843" w:type="dxa"/>
            <w:vAlign w:val="center"/>
          </w:tcPr>
          <w:p w14:paraId="0740046F">
            <w:pPr>
              <w:adjustRightInd w:val="0"/>
              <w:snapToGrid w:val="0"/>
              <w:jc w:val="center"/>
              <w:rPr>
                <w:rFonts w:hint="eastAsia" w:eastAsia="宋体" w:cs="仿宋" w:asciiTheme="minorEastAsia" w:hAnsiTheme="minorEastAsia"/>
                <w:bCs/>
                <w:sz w:val="24"/>
                <w:szCs w:val="24"/>
                <w:lang w:val="en-US" w:eastAsia="zh-CN"/>
              </w:rPr>
            </w:pPr>
            <w:r>
              <w:rPr>
                <w:rFonts w:hint="eastAsia" w:cs="仿宋" w:asciiTheme="minorEastAsia" w:hAnsiTheme="minorEastAsia"/>
                <w:bCs/>
                <w:sz w:val="24"/>
                <w:szCs w:val="24"/>
                <w:lang w:val="en-US" w:eastAsia="zh-CN"/>
              </w:rPr>
              <w:t>3</w:t>
            </w:r>
          </w:p>
        </w:tc>
      </w:tr>
      <w:tr w14:paraId="045D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362" w:type="dxa"/>
            <w:vMerge w:val="restart"/>
            <w:vAlign w:val="center"/>
          </w:tcPr>
          <w:p w14:paraId="093C14E8">
            <w:pPr>
              <w:jc w:val="center"/>
              <w:rPr>
                <w:rFonts w:asciiTheme="minorEastAsia" w:hAnsiTheme="minorEastAsia"/>
                <w:b/>
                <w:bCs/>
                <w:sz w:val="24"/>
                <w:szCs w:val="24"/>
              </w:rPr>
            </w:pPr>
            <w:r>
              <w:rPr>
                <w:rFonts w:hint="eastAsia" w:asciiTheme="minorEastAsia" w:hAnsiTheme="minorEastAsia"/>
                <w:b/>
                <w:bCs/>
                <w:sz w:val="24"/>
                <w:szCs w:val="24"/>
              </w:rPr>
              <w:t>技</w:t>
            </w:r>
          </w:p>
          <w:p w14:paraId="7B3255B6">
            <w:pPr>
              <w:jc w:val="center"/>
              <w:rPr>
                <w:rFonts w:asciiTheme="minorEastAsia" w:hAnsiTheme="minorEastAsia"/>
                <w:b/>
                <w:bCs/>
                <w:sz w:val="24"/>
                <w:szCs w:val="24"/>
              </w:rPr>
            </w:pPr>
            <w:r>
              <w:rPr>
                <w:rFonts w:hint="eastAsia" w:asciiTheme="minorEastAsia" w:hAnsiTheme="minorEastAsia"/>
                <w:b/>
                <w:bCs/>
                <w:sz w:val="24"/>
                <w:szCs w:val="24"/>
              </w:rPr>
              <w:t>术</w:t>
            </w:r>
          </w:p>
          <w:p w14:paraId="1E62C901">
            <w:pPr>
              <w:jc w:val="center"/>
              <w:rPr>
                <w:rFonts w:asciiTheme="minorEastAsia" w:hAnsiTheme="minorEastAsia"/>
                <w:b/>
                <w:bCs/>
                <w:sz w:val="24"/>
                <w:szCs w:val="24"/>
              </w:rPr>
            </w:pPr>
            <w:r>
              <w:rPr>
                <w:rFonts w:hint="eastAsia" w:asciiTheme="minorEastAsia" w:hAnsiTheme="minorEastAsia"/>
                <w:b/>
                <w:bCs/>
                <w:sz w:val="24"/>
                <w:szCs w:val="24"/>
              </w:rPr>
              <w:t>部</w:t>
            </w:r>
          </w:p>
          <w:p w14:paraId="3820BDFB">
            <w:pPr>
              <w:jc w:val="center"/>
              <w:rPr>
                <w:rFonts w:asciiTheme="minorEastAsia" w:hAnsiTheme="minorEastAsia"/>
                <w:b/>
                <w:bCs/>
                <w:sz w:val="24"/>
                <w:szCs w:val="24"/>
              </w:rPr>
            </w:pPr>
            <w:r>
              <w:rPr>
                <w:rFonts w:hint="eastAsia" w:asciiTheme="minorEastAsia" w:hAnsiTheme="minorEastAsia"/>
                <w:b/>
                <w:bCs/>
                <w:sz w:val="24"/>
                <w:szCs w:val="24"/>
              </w:rPr>
              <w:t>分</w:t>
            </w:r>
          </w:p>
          <w:p w14:paraId="49643231">
            <w:pPr>
              <w:rPr>
                <w:rFonts w:asciiTheme="minorEastAsia" w:hAnsiTheme="minorEastAsia"/>
                <w:b/>
                <w:bCs/>
                <w:sz w:val="24"/>
                <w:szCs w:val="24"/>
              </w:rPr>
            </w:pPr>
            <w:r>
              <w:rPr>
                <w:rFonts w:hint="eastAsia" w:asciiTheme="minorEastAsia" w:hAnsiTheme="minorEastAsia"/>
                <w:b/>
                <w:bCs/>
                <w:sz w:val="24"/>
                <w:szCs w:val="24"/>
              </w:rPr>
              <w:t>（67分）</w:t>
            </w:r>
          </w:p>
          <w:p w14:paraId="3FA119B9">
            <w:pPr>
              <w:jc w:val="center"/>
              <w:rPr>
                <w:rFonts w:cs="仿宋" w:asciiTheme="minorEastAsia" w:hAnsiTheme="minorEastAsia"/>
                <w:b/>
                <w:bCs/>
                <w:sz w:val="24"/>
                <w:szCs w:val="24"/>
              </w:rPr>
            </w:pPr>
          </w:p>
        </w:tc>
        <w:tc>
          <w:tcPr>
            <w:tcW w:w="1376" w:type="dxa"/>
            <w:vMerge w:val="restart"/>
            <w:vAlign w:val="center"/>
          </w:tcPr>
          <w:p w14:paraId="1BD1D30B">
            <w:pPr>
              <w:snapToGrid w:val="0"/>
              <w:jc w:val="center"/>
              <w:rPr>
                <w:rFonts w:cs="仿宋" w:asciiTheme="minorEastAsia" w:hAnsiTheme="minorEastAsia" w:eastAsiaTheme="minorEastAsia"/>
                <w:sz w:val="24"/>
                <w:szCs w:val="24"/>
              </w:rPr>
            </w:pPr>
            <w:r>
              <w:rPr>
                <w:rFonts w:hint="eastAsia" w:cs="仿宋" w:asciiTheme="minorEastAsia" w:hAnsiTheme="minorEastAsia"/>
                <w:sz w:val="24"/>
                <w:szCs w:val="24"/>
              </w:rPr>
              <w:t>项目实施方案</w:t>
            </w:r>
          </w:p>
        </w:tc>
        <w:tc>
          <w:tcPr>
            <w:tcW w:w="5416" w:type="dxa"/>
            <w:vAlign w:val="center"/>
          </w:tcPr>
          <w:p w14:paraId="1EC296E7">
            <w:pPr>
              <w:adjustRightInd w:val="0"/>
              <w:snapToGrid w:val="0"/>
              <w:rPr>
                <w:rFonts w:cs="仿宋" w:asciiTheme="minorEastAsia" w:hAnsiTheme="minorEastAsia"/>
                <w:bCs/>
                <w:sz w:val="24"/>
                <w:szCs w:val="24"/>
              </w:rPr>
            </w:pPr>
            <w:r>
              <w:rPr>
                <w:rFonts w:hint="eastAsia" w:ascii="宋体" w:hAnsi="宋体" w:eastAsia="宋体" w:cs="宋体"/>
                <w:i w:val="0"/>
                <w:color w:val="000000"/>
                <w:kern w:val="0"/>
                <w:sz w:val="24"/>
                <w:szCs w:val="24"/>
                <w:u w:val="none"/>
                <w:lang w:val="en-US" w:eastAsia="zh-CN" w:bidi="ar"/>
              </w:rPr>
              <w:t>根据各</w:t>
            </w:r>
            <w:r>
              <w:rPr>
                <w:rFonts w:hint="eastAsia" w:cs="仿宋" w:asciiTheme="minorEastAsia" w:hAnsiTheme="minorEastAsia"/>
                <w:bCs/>
                <w:sz w:val="24"/>
                <w:szCs w:val="24"/>
              </w:rPr>
              <w:t>供应商</w:t>
            </w:r>
            <w:r>
              <w:rPr>
                <w:rFonts w:hint="eastAsia" w:ascii="宋体" w:hAnsi="宋体" w:eastAsia="宋体" w:cs="宋体"/>
                <w:i w:val="0"/>
                <w:color w:val="000000"/>
                <w:kern w:val="0"/>
                <w:sz w:val="24"/>
                <w:szCs w:val="24"/>
                <w:u w:val="none"/>
                <w:lang w:val="en-US" w:eastAsia="zh-CN" w:bidi="ar"/>
              </w:rPr>
              <w:t>对本项目重点、难点等理解情况、总体服务思路是否符合项目实际情况、对本项目关键性技术问题的把握情况</w:t>
            </w:r>
            <w:r>
              <w:rPr>
                <w:rFonts w:hint="eastAsia" w:eastAsia="宋体" w:cs="仿宋" w:asciiTheme="minorEastAsia" w:hAnsiTheme="minorEastAsia"/>
                <w:bCs/>
                <w:sz w:val="24"/>
                <w:szCs w:val="24"/>
                <w:lang w:eastAsia="zh-CN"/>
              </w:rPr>
              <w:t>，</w:t>
            </w:r>
            <w:r>
              <w:rPr>
                <w:rFonts w:hint="eastAsia" w:ascii="宋体" w:hAnsi="宋体" w:eastAsia="宋体" w:cs="宋体"/>
                <w:i w:val="0"/>
                <w:color w:val="000000"/>
                <w:kern w:val="0"/>
                <w:sz w:val="24"/>
                <w:szCs w:val="24"/>
                <w:u w:val="none"/>
                <w:lang w:val="en-US" w:eastAsia="zh-CN" w:bidi="ar"/>
              </w:rPr>
              <w:t>由专家横向比较打分</w:t>
            </w:r>
            <w:r>
              <w:rPr>
                <w:rFonts w:hint="eastAsia" w:cs="仿宋" w:asciiTheme="minorEastAsia" w:hAnsiTheme="minorEastAsia"/>
                <w:bCs/>
                <w:sz w:val="24"/>
                <w:szCs w:val="24"/>
              </w:rPr>
              <w:t>。</w:t>
            </w:r>
          </w:p>
        </w:tc>
        <w:tc>
          <w:tcPr>
            <w:tcW w:w="843" w:type="dxa"/>
            <w:vAlign w:val="center"/>
          </w:tcPr>
          <w:p w14:paraId="0EABDAF6">
            <w:pPr>
              <w:adjustRightInd w:val="0"/>
              <w:snapToGrid w:val="0"/>
              <w:jc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r>
      <w:tr w14:paraId="4FA1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362" w:type="dxa"/>
            <w:vMerge w:val="continue"/>
            <w:vAlign w:val="center"/>
          </w:tcPr>
          <w:p w14:paraId="099D5169">
            <w:pPr>
              <w:jc w:val="center"/>
              <w:rPr>
                <w:rFonts w:cs="仿宋" w:asciiTheme="minorEastAsia" w:hAnsiTheme="minorEastAsia"/>
                <w:b/>
                <w:bCs/>
                <w:sz w:val="24"/>
                <w:szCs w:val="24"/>
              </w:rPr>
            </w:pPr>
          </w:p>
        </w:tc>
        <w:tc>
          <w:tcPr>
            <w:tcW w:w="1376" w:type="dxa"/>
            <w:vMerge w:val="continue"/>
            <w:vAlign w:val="center"/>
          </w:tcPr>
          <w:p w14:paraId="7A394379">
            <w:pPr>
              <w:snapToGrid w:val="0"/>
              <w:jc w:val="center"/>
              <w:rPr>
                <w:rFonts w:cs="仿宋" w:asciiTheme="minorEastAsia" w:hAnsiTheme="minorEastAsia" w:eastAsiaTheme="minorEastAsia"/>
                <w:sz w:val="24"/>
                <w:szCs w:val="24"/>
              </w:rPr>
            </w:pPr>
          </w:p>
        </w:tc>
        <w:tc>
          <w:tcPr>
            <w:tcW w:w="5416" w:type="dxa"/>
            <w:vAlign w:val="center"/>
          </w:tcPr>
          <w:p w14:paraId="6C411E2D">
            <w:pPr>
              <w:adjustRightInd w:val="0"/>
              <w:snapToGrid w:val="0"/>
              <w:rPr>
                <w:rFonts w:hint="eastAsia" w:eastAsia="宋体" w:cs="仿宋" w:asciiTheme="minorEastAsia" w:hAnsiTheme="minorEastAsia"/>
                <w:kern w:val="0"/>
                <w:sz w:val="24"/>
                <w:szCs w:val="24"/>
              </w:rPr>
            </w:pPr>
            <w:r>
              <w:rPr>
                <w:rFonts w:hint="eastAsia" w:eastAsia="宋体" w:cs="仿宋" w:asciiTheme="minorEastAsia" w:hAnsiTheme="minorEastAsia"/>
                <w:kern w:val="0"/>
                <w:sz w:val="24"/>
                <w:szCs w:val="24"/>
              </w:rPr>
              <w:t>根据</w:t>
            </w:r>
            <w:r>
              <w:rPr>
                <w:rFonts w:hint="eastAsia" w:eastAsia="宋体" w:cs="仿宋" w:asciiTheme="minorEastAsia" w:hAnsiTheme="minorEastAsia"/>
                <w:kern w:val="0"/>
                <w:sz w:val="24"/>
                <w:szCs w:val="24"/>
                <w:lang w:val="en-US" w:eastAsia="zh-CN"/>
              </w:rPr>
              <w:t>各</w:t>
            </w:r>
            <w:r>
              <w:rPr>
                <w:rFonts w:hint="eastAsia" w:eastAsia="宋体" w:cs="仿宋" w:asciiTheme="minorEastAsia" w:hAnsiTheme="minorEastAsia"/>
                <w:kern w:val="0"/>
                <w:sz w:val="24"/>
                <w:szCs w:val="24"/>
              </w:rPr>
              <w:t>供应商</w:t>
            </w:r>
            <w:r>
              <w:rPr>
                <w:rFonts w:hint="default" w:eastAsia="宋体" w:cs="仿宋" w:asciiTheme="minorEastAsia" w:hAnsiTheme="minorEastAsia"/>
                <w:kern w:val="0"/>
                <w:sz w:val="24"/>
                <w:szCs w:val="24"/>
                <w:lang w:val="en-US" w:eastAsia="zh-CN"/>
              </w:rPr>
              <w:t>针对本项目的理解的深度、透彻程度及对各清理区域枯死松树分布情况的了解程度，能妥善安排相关工作</w:t>
            </w:r>
            <w:r>
              <w:rPr>
                <w:rFonts w:hint="eastAsia" w:eastAsia="宋体" w:cs="仿宋" w:asciiTheme="minorEastAsia" w:hAnsiTheme="minorEastAsia"/>
                <w:kern w:val="0"/>
                <w:sz w:val="24"/>
                <w:szCs w:val="24"/>
                <w:lang w:val="en-US" w:eastAsia="zh-CN"/>
              </w:rPr>
              <w:t>。项目组织及工作方案的科学性、可操作性（包括防治措施、各阶段详细工作计划及关键环节控制），由专家横向比较打分</w:t>
            </w:r>
          </w:p>
        </w:tc>
        <w:tc>
          <w:tcPr>
            <w:tcW w:w="843" w:type="dxa"/>
            <w:vAlign w:val="center"/>
          </w:tcPr>
          <w:p w14:paraId="3780ABD3">
            <w:pPr>
              <w:adjustRightInd w:val="0"/>
              <w:snapToGrid w:val="0"/>
              <w:jc w:val="center"/>
              <w:rPr>
                <w:rFonts w:hint="eastAsia" w:eastAsia="宋体" w:cs="仿宋" w:asciiTheme="minorEastAsia" w:hAnsiTheme="minorEastAsia"/>
                <w:kern w:val="0"/>
                <w:sz w:val="24"/>
                <w:szCs w:val="24"/>
                <w:lang w:val="en-US" w:eastAsia="zh-CN"/>
              </w:rPr>
            </w:pPr>
            <w:r>
              <w:rPr>
                <w:rFonts w:hint="eastAsia" w:cs="仿宋" w:asciiTheme="minorEastAsia" w:hAnsiTheme="minorEastAsia"/>
                <w:kern w:val="0"/>
                <w:sz w:val="24"/>
                <w:szCs w:val="24"/>
                <w:lang w:val="en-US" w:eastAsia="zh-CN"/>
              </w:rPr>
              <w:t>8</w:t>
            </w:r>
          </w:p>
        </w:tc>
      </w:tr>
      <w:tr w14:paraId="2798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362" w:type="dxa"/>
            <w:vMerge w:val="continue"/>
            <w:vAlign w:val="center"/>
          </w:tcPr>
          <w:p w14:paraId="1158EE8F">
            <w:pPr>
              <w:jc w:val="center"/>
              <w:rPr>
                <w:rFonts w:cs="仿宋" w:asciiTheme="minorEastAsia" w:hAnsiTheme="minorEastAsia"/>
                <w:b/>
                <w:bCs/>
                <w:sz w:val="24"/>
                <w:szCs w:val="24"/>
              </w:rPr>
            </w:pPr>
          </w:p>
        </w:tc>
        <w:tc>
          <w:tcPr>
            <w:tcW w:w="1376" w:type="dxa"/>
            <w:vAlign w:val="center"/>
          </w:tcPr>
          <w:p w14:paraId="0ABA1CFD">
            <w:pPr>
              <w:snapToGrid w:val="0"/>
              <w:jc w:val="center"/>
              <w:rPr>
                <w:rFonts w:cs="仿宋" w:asciiTheme="minorEastAsia" w:hAnsiTheme="minorEastAsia"/>
                <w:b/>
                <w:bCs/>
                <w:color w:val="auto"/>
                <w:sz w:val="24"/>
                <w:szCs w:val="24"/>
              </w:rPr>
            </w:pPr>
            <w:r>
              <w:rPr>
                <w:rFonts w:hAnsi="宋体"/>
                <w:color w:val="auto"/>
                <w:spacing w:val="-6"/>
                <w:sz w:val="24"/>
              </w:rPr>
              <w:t>质量控制措施</w:t>
            </w:r>
          </w:p>
        </w:tc>
        <w:tc>
          <w:tcPr>
            <w:tcW w:w="5416" w:type="dxa"/>
            <w:vAlign w:val="center"/>
          </w:tcPr>
          <w:p w14:paraId="2788BCB4">
            <w:pPr>
              <w:adjustRightInd w:val="0"/>
              <w:snapToGrid w:val="0"/>
              <w:rPr>
                <w:rFonts w:hint="eastAsia" w:eastAsia="宋体" w:cs="仿宋" w:asciiTheme="minorEastAsia" w:hAnsiTheme="minorEastAsia"/>
                <w:kern w:val="0"/>
                <w:sz w:val="24"/>
                <w:szCs w:val="24"/>
              </w:rPr>
            </w:pPr>
            <w:r>
              <w:rPr>
                <w:rFonts w:hint="default" w:eastAsia="宋体" w:cs="仿宋" w:asciiTheme="minorEastAsia" w:hAnsiTheme="minorEastAsia"/>
                <w:kern w:val="0"/>
                <w:sz w:val="24"/>
                <w:szCs w:val="24"/>
                <w:lang w:val="en-US" w:eastAsia="zh-CN"/>
              </w:rPr>
              <w:t>根据</w:t>
            </w:r>
            <w:r>
              <w:rPr>
                <w:rFonts w:hint="eastAsia" w:eastAsia="宋体" w:cs="仿宋" w:asciiTheme="minorEastAsia" w:hAnsiTheme="minorEastAsia"/>
                <w:kern w:val="0"/>
                <w:sz w:val="24"/>
                <w:szCs w:val="24"/>
                <w:lang w:val="en-US" w:eastAsia="zh-CN"/>
              </w:rPr>
              <w:t>各</w:t>
            </w:r>
            <w:r>
              <w:rPr>
                <w:rFonts w:hint="eastAsia" w:eastAsia="宋体" w:cs="仿宋" w:asciiTheme="minorEastAsia" w:hAnsiTheme="minorEastAsia"/>
                <w:kern w:val="0"/>
                <w:sz w:val="24"/>
                <w:szCs w:val="24"/>
              </w:rPr>
              <w:t>供应商针对本项目的服务质量控制措施方案的合理性、可行性、完善性</w:t>
            </w:r>
            <w:r>
              <w:rPr>
                <w:rFonts w:hint="eastAsia" w:eastAsia="宋体" w:cs="仿宋" w:asciiTheme="minorEastAsia" w:hAnsiTheme="minorEastAsia"/>
                <w:kern w:val="0"/>
                <w:sz w:val="24"/>
                <w:szCs w:val="24"/>
                <w:lang w:eastAsia="zh-CN"/>
              </w:rPr>
              <w:t>及可执行性</w:t>
            </w:r>
            <w:r>
              <w:rPr>
                <w:rFonts w:hint="eastAsia" w:eastAsia="宋体" w:cs="仿宋" w:asciiTheme="minorEastAsia" w:hAnsiTheme="minorEastAsia"/>
                <w:kern w:val="0"/>
                <w:sz w:val="24"/>
                <w:szCs w:val="24"/>
                <w:lang w:val="en-US" w:eastAsia="zh-CN"/>
              </w:rPr>
              <w:t>，由专家横向比较打分。</w:t>
            </w:r>
          </w:p>
        </w:tc>
        <w:tc>
          <w:tcPr>
            <w:tcW w:w="843" w:type="dxa"/>
            <w:vAlign w:val="center"/>
          </w:tcPr>
          <w:p w14:paraId="122DCE2F">
            <w:pPr>
              <w:adjustRightInd w:val="0"/>
              <w:snapToGrid w:val="0"/>
              <w:jc w:val="center"/>
              <w:rPr>
                <w:rFonts w:hint="default" w:eastAsia="宋体" w:cs="仿宋" w:asciiTheme="minorEastAsia" w:hAnsiTheme="minorEastAsia"/>
                <w:kern w:val="0"/>
                <w:sz w:val="24"/>
                <w:szCs w:val="24"/>
                <w:lang w:val="en-US" w:eastAsia="zh-CN"/>
              </w:rPr>
            </w:pPr>
            <w:r>
              <w:rPr>
                <w:rFonts w:hint="eastAsia" w:cs="仿宋" w:asciiTheme="minorEastAsia" w:hAnsiTheme="minorEastAsia"/>
                <w:kern w:val="0"/>
                <w:sz w:val="24"/>
                <w:szCs w:val="24"/>
                <w:lang w:val="en-US" w:eastAsia="zh-CN"/>
              </w:rPr>
              <w:t>6</w:t>
            </w:r>
          </w:p>
        </w:tc>
      </w:tr>
      <w:tr w14:paraId="62AF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362" w:type="dxa"/>
            <w:vMerge w:val="continue"/>
            <w:vAlign w:val="center"/>
          </w:tcPr>
          <w:p w14:paraId="5DD0724F">
            <w:pPr>
              <w:jc w:val="center"/>
              <w:rPr>
                <w:rFonts w:cs="仿宋" w:asciiTheme="minorEastAsia" w:hAnsiTheme="minorEastAsia"/>
                <w:b/>
                <w:bCs/>
                <w:sz w:val="24"/>
                <w:szCs w:val="24"/>
              </w:rPr>
            </w:pPr>
          </w:p>
        </w:tc>
        <w:tc>
          <w:tcPr>
            <w:tcW w:w="1376" w:type="dxa"/>
            <w:vAlign w:val="center"/>
          </w:tcPr>
          <w:p w14:paraId="20426C4C">
            <w:pPr>
              <w:snapToGrid w:val="0"/>
              <w:jc w:val="center"/>
              <w:rPr>
                <w:rFonts w:cs="仿宋" w:asciiTheme="minorEastAsia" w:hAnsiTheme="minorEastAsia"/>
                <w:kern w:val="0"/>
                <w:sz w:val="24"/>
                <w:szCs w:val="24"/>
              </w:rPr>
            </w:pPr>
            <w:r>
              <w:rPr>
                <w:rFonts w:cs="仿宋" w:asciiTheme="minorEastAsia" w:hAnsiTheme="minorEastAsia"/>
                <w:kern w:val="0"/>
                <w:sz w:val="24"/>
                <w:szCs w:val="24"/>
              </w:rPr>
              <w:t>人员配置</w:t>
            </w:r>
          </w:p>
          <w:p w14:paraId="3AA75D31">
            <w:pPr>
              <w:snapToGrid w:val="0"/>
              <w:jc w:val="center"/>
              <w:rPr>
                <w:rFonts w:cs="仿宋" w:asciiTheme="minorEastAsia" w:hAnsiTheme="minorEastAsia"/>
                <w:sz w:val="24"/>
                <w:szCs w:val="24"/>
              </w:rPr>
            </w:pPr>
          </w:p>
        </w:tc>
        <w:tc>
          <w:tcPr>
            <w:tcW w:w="5416" w:type="dxa"/>
            <w:vAlign w:val="center"/>
          </w:tcPr>
          <w:p w14:paraId="15933060">
            <w:pPr>
              <w:adjustRightInd w:val="0"/>
              <w:snapToGrid w:val="0"/>
              <w:rPr>
                <w:rFonts w:hint="eastAsia" w:eastAsia="宋体" w:cs="仿宋" w:asciiTheme="minorEastAsia" w:hAnsiTheme="minorEastAsia"/>
                <w:kern w:val="0"/>
                <w:sz w:val="24"/>
                <w:szCs w:val="24"/>
              </w:rPr>
            </w:pPr>
            <w:r>
              <w:rPr>
                <w:rFonts w:hint="default" w:eastAsia="宋体" w:cs="仿宋" w:asciiTheme="minorEastAsia" w:hAnsiTheme="minorEastAsia"/>
                <w:kern w:val="0"/>
                <w:sz w:val="24"/>
                <w:szCs w:val="24"/>
                <w:lang w:val="en-US" w:eastAsia="zh-CN"/>
              </w:rPr>
              <w:t>根据</w:t>
            </w:r>
            <w:r>
              <w:rPr>
                <w:rFonts w:hint="eastAsia" w:eastAsia="宋体" w:cs="仿宋" w:asciiTheme="minorEastAsia" w:hAnsiTheme="minorEastAsia"/>
                <w:kern w:val="0"/>
                <w:sz w:val="24"/>
                <w:szCs w:val="24"/>
                <w:lang w:val="en-US" w:eastAsia="zh-CN"/>
              </w:rPr>
              <w:t>各</w:t>
            </w:r>
            <w:r>
              <w:rPr>
                <w:rFonts w:hint="eastAsia" w:eastAsia="宋体" w:cs="仿宋" w:asciiTheme="minorEastAsia" w:hAnsiTheme="minorEastAsia"/>
                <w:kern w:val="0"/>
                <w:sz w:val="24"/>
                <w:szCs w:val="24"/>
              </w:rPr>
              <w:t>供应商</w:t>
            </w:r>
            <w:r>
              <w:rPr>
                <w:rFonts w:hint="default" w:eastAsia="宋体" w:cs="仿宋" w:asciiTheme="minorEastAsia" w:hAnsiTheme="minorEastAsia"/>
                <w:kern w:val="0"/>
                <w:sz w:val="24"/>
                <w:szCs w:val="24"/>
                <w:lang w:val="en-US" w:eastAsia="zh-CN"/>
              </w:rPr>
              <w:t>项目团队优势情况，项目成员</w:t>
            </w:r>
            <w:r>
              <w:rPr>
                <w:rFonts w:hint="eastAsia" w:eastAsia="宋体" w:cs="仿宋" w:asciiTheme="minorEastAsia" w:hAnsiTheme="minorEastAsia"/>
                <w:kern w:val="0"/>
                <w:sz w:val="24"/>
                <w:szCs w:val="24"/>
                <w:lang w:val="en-US" w:eastAsia="zh-CN"/>
              </w:rPr>
              <w:t>人数</w:t>
            </w:r>
            <w:r>
              <w:rPr>
                <w:rFonts w:hint="default" w:eastAsia="宋体" w:cs="仿宋" w:asciiTheme="minorEastAsia" w:hAnsiTheme="minorEastAsia"/>
                <w:kern w:val="0"/>
                <w:sz w:val="24"/>
                <w:szCs w:val="24"/>
                <w:lang w:val="en-US" w:eastAsia="zh-CN"/>
              </w:rPr>
              <w:t>的配置、服务经验、职责分工、组织协调能力等</w:t>
            </w:r>
            <w:r>
              <w:rPr>
                <w:rFonts w:hint="eastAsia" w:eastAsia="宋体" w:cs="仿宋" w:asciiTheme="minorEastAsia" w:hAnsiTheme="minorEastAsia"/>
                <w:kern w:val="0"/>
                <w:sz w:val="24"/>
                <w:szCs w:val="24"/>
                <w:lang w:val="en-US" w:eastAsia="zh-CN"/>
              </w:rPr>
              <w:t>，由专家横向比较打分。</w:t>
            </w:r>
          </w:p>
        </w:tc>
        <w:tc>
          <w:tcPr>
            <w:tcW w:w="843" w:type="dxa"/>
            <w:vAlign w:val="center"/>
          </w:tcPr>
          <w:p w14:paraId="5F3066EC">
            <w:pPr>
              <w:adjustRightInd w:val="0"/>
              <w:snapToGrid w:val="0"/>
              <w:jc w:val="center"/>
              <w:rPr>
                <w:rFonts w:hint="default" w:eastAsia="宋体" w:cs="仿宋" w:asciiTheme="minorEastAsia" w:hAnsiTheme="minorEastAsia"/>
                <w:kern w:val="0"/>
                <w:sz w:val="24"/>
                <w:szCs w:val="24"/>
                <w:lang w:val="en-US" w:eastAsia="zh-CN"/>
              </w:rPr>
            </w:pPr>
            <w:r>
              <w:rPr>
                <w:rFonts w:hint="eastAsia" w:cs="仿宋" w:asciiTheme="minorEastAsia" w:hAnsiTheme="minorEastAsia"/>
                <w:kern w:val="0"/>
                <w:sz w:val="24"/>
                <w:szCs w:val="24"/>
                <w:lang w:val="en-US" w:eastAsia="zh-CN"/>
              </w:rPr>
              <w:t>6</w:t>
            </w:r>
          </w:p>
        </w:tc>
      </w:tr>
      <w:tr w14:paraId="6200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362" w:type="dxa"/>
            <w:vMerge w:val="continue"/>
            <w:vAlign w:val="center"/>
          </w:tcPr>
          <w:p w14:paraId="067B1D4C">
            <w:pPr>
              <w:jc w:val="center"/>
              <w:rPr>
                <w:rFonts w:cs="仿宋" w:asciiTheme="minorEastAsia" w:hAnsiTheme="minorEastAsia"/>
                <w:b/>
                <w:bCs/>
                <w:sz w:val="24"/>
                <w:szCs w:val="24"/>
              </w:rPr>
            </w:pPr>
          </w:p>
        </w:tc>
        <w:tc>
          <w:tcPr>
            <w:tcW w:w="1376" w:type="dxa"/>
            <w:vAlign w:val="center"/>
          </w:tcPr>
          <w:p w14:paraId="65A9A31C">
            <w:pPr>
              <w:snapToGrid w:val="0"/>
              <w:jc w:val="center"/>
              <w:rPr>
                <w:rFonts w:hint="eastAsia" w:eastAsia="宋体" w:cs="仿宋" w:asciiTheme="minorEastAsia" w:hAnsiTheme="minorEastAsia"/>
                <w:kern w:val="0"/>
                <w:sz w:val="24"/>
                <w:szCs w:val="24"/>
              </w:rPr>
            </w:pPr>
            <w:r>
              <w:rPr>
                <w:rFonts w:hint="eastAsia" w:eastAsia="宋体" w:cs="仿宋" w:asciiTheme="minorEastAsia" w:hAnsiTheme="minorEastAsia"/>
                <w:kern w:val="0"/>
                <w:sz w:val="24"/>
                <w:szCs w:val="24"/>
              </w:rPr>
              <w:t>设备配置方案</w:t>
            </w:r>
          </w:p>
          <w:p w14:paraId="570BE46E">
            <w:pPr>
              <w:snapToGrid w:val="0"/>
              <w:jc w:val="center"/>
              <w:rPr>
                <w:rFonts w:hint="eastAsia" w:eastAsia="宋体" w:cs="仿宋" w:asciiTheme="minorEastAsia" w:hAnsiTheme="minorEastAsia"/>
                <w:bCs/>
                <w:sz w:val="24"/>
                <w:szCs w:val="24"/>
              </w:rPr>
            </w:pPr>
          </w:p>
        </w:tc>
        <w:tc>
          <w:tcPr>
            <w:tcW w:w="5416" w:type="dxa"/>
            <w:vAlign w:val="center"/>
          </w:tcPr>
          <w:p w14:paraId="70416F4F">
            <w:pPr>
              <w:adjustRightInd w:val="0"/>
              <w:snapToGrid w:val="0"/>
              <w:rPr>
                <w:rFonts w:hint="eastAsia" w:eastAsia="宋体" w:cs="仿宋" w:asciiTheme="minorEastAsia" w:hAnsiTheme="minorEastAsia"/>
                <w:kern w:val="0"/>
                <w:sz w:val="24"/>
                <w:szCs w:val="24"/>
              </w:rPr>
            </w:pPr>
            <w:r>
              <w:rPr>
                <w:rFonts w:hint="eastAsia" w:eastAsia="宋体" w:cs="仿宋" w:asciiTheme="minorEastAsia" w:hAnsiTheme="minorEastAsia"/>
                <w:kern w:val="0"/>
                <w:sz w:val="24"/>
                <w:szCs w:val="24"/>
              </w:rPr>
              <w:t>根</w:t>
            </w:r>
            <w:r>
              <w:rPr>
                <w:rFonts w:hint="eastAsia" w:eastAsia="宋体" w:cs="仿宋" w:asciiTheme="minorEastAsia" w:hAnsiTheme="minorEastAsia"/>
                <w:kern w:val="0"/>
                <w:sz w:val="24"/>
                <w:szCs w:val="24"/>
                <w:lang w:eastAsia="zh-CN"/>
              </w:rPr>
              <w:t>据各供应商针对本项目投入的设备安排</w:t>
            </w:r>
            <w:r>
              <w:rPr>
                <w:rFonts w:hint="eastAsia" w:eastAsia="宋体" w:cs="仿宋" w:asciiTheme="minorEastAsia" w:hAnsiTheme="minorEastAsia"/>
                <w:kern w:val="0"/>
                <w:sz w:val="24"/>
                <w:szCs w:val="24"/>
                <w:lang w:val="en-US" w:eastAsia="zh-CN"/>
              </w:rPr>
              <w:t>方案的</w:t>
            </w:r>
            <w:r>
              <w:rPr>
                <w:rFonts w:hint="eastAsia" w:eastAsia="宋体" w:cs="仿宋" w:asciiTheme="minorEastAsia" w:hAnsiTheme="minorEastAsia"/>
                <w:kern w:val="0"/>
                <w:sz w:val="24"/>
                <w:szCs w:val="24"/>
              </w:rPr>
              <w:t>完整性、详细性、</w:t>
            </w:r>
            <w:r>
              <w:rPr>
                <w:rFonts w:hint="eastAsia" w:eastAsia="宋体" w:cs="仿宋" w:asciiTheme="minorEastAsia" w:hAnsiTheme="minorEastAsia"/>
                <w:kern w:val="0"/>
                <w:sz w:val="24"/>
                <w:szCs w:val="24"/>
                <w:lang w:eastAsia="zh-CN"/>
              </w:rPr>
              <w:t>针对性</w:t>
            </w:r>
            <w:r>
              <w:rPr>
                <w:rFonts w:hint="eastAsia" w:eastAsia="宋体" w:cs="仿宋" w:asciiTheme="minorEastAsia" w:hAnsiTheme="minorEastAsia"/>
                <w:kern w:val="0"/>
                <w:sz w:val="24"/>
                <w:szCs w:val="24"/>
              </w:rPr>
              <w:t>及能否满足采购需求等情况，</w:t>
            </w:r>
            <w:r>
              <w:rPr>
                <w:rFonts w:hint="eastAsia" w:eastAsia="宋体" w:cs="仿宋" w:asciiTheme="minorEastAsia" w:hAnsiTheme="minorEastAsia"/>
                <w:kern w:val="0"/>
                <w:sz w:val="24"/>
                <w:szCs w:val="24"/>
                <w:lang w:val="en-US" w:eastAsia="zh-CN"/>
              </w:rPr>
              <w:t>由专家横向比较打分。</w:t>
            </w:r>
          </w:p>
        </w:tc>
        <w:tc>
          <w:tcPr>
            <w:tcW w:w="843" w:type="dxa"/>
            <w:vAlign w:val="center"/>
          </w:tcPr>
          <w:p w14:paraId="18DFCED3">
            <w:pPr>
              <w:adjustRightInd w:val="0"/>
              <w:snapToGrid w:val="0"/>
              <w:jc w:val="center"/>
              <w:rPr>
                <w:rFonts w:hint="eastAsia" w:eastAsia="宋体" w:cs="仿宋" w:asciiTheme="minorEastAsia" w:hAnsiTheme="minorEastAsia"/>
                <w:kern w:val="0"/>
                <w:sz w:val="24"/>
                <w:szCs w:val="24"/>
                <w:lang w:val="en-US" w:eastAsia="zh-CN"/>
              </w:rPr>
            </w:pPr>
            <w:r>
              <w:rPr>
                <w:rFonts w:hint="eastAsia" w:cs="仿宋" w:asciiTheme="minorEastAsia" w:hAnsiTheme="minorEastAsia"/>
                <w:kern w:val="0"/>
                <w:sz w:val="24"/>
                <w:szCs w:val="24"/>
                <w:lang w:val="en-US" w:eastAsia="zh-CN"/>
              </w:rPr>
              <w:t>6</w:t>
            </w:r>
          </w:p>
        </w:tc>
      </w:tr>
      <w:tr w14:paraId="727B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362" w:type="dxa"/>
            <w:vMerge w:val="continue"/>
            <w:vAlign w:val="center"/>
          </w:tcPr>
          <w:p w14:paraId="34708E1B">
            <w:pPr>
              <w:jc w:val="center"/>
              <w:rPr>
                <w:rFonts w:cs="仿宋" w:asciiTheme="minorEastAsia" w:hAnsiTheme="minorEastAsia"/>
                <w:b/>
                <w:bCs/>
                <w:sz w:val="24"/>
                <w:szCs w:val="24"/>
              </w:rPr>
            </w:pPr>
          </w:p>
        </w:tc>
        <w:tc>
          <w:tcPr>
            <w:tcW w:w="1376" w:type="dxa"/>
            <w:vAlign w:val="center"/>
          </w:tcPr>
          <w:p w14:paraId="46CEE540">
            <w:pPr>
              <w:snapToGrid w:val="0"/>
              <w:jc w:val="left"/>
              <w:rPr>
                <w:rFonts w:cs="仿宋" w:asciiTheme="minorEastAsia" w:hAnsiTheme="minorEastAsia"/>
                <w:kern w:val="0"/>
                <w:sz w:val="24"/>
                <w:szCs w:val="24"/>
              </w:rPr>
            </w:pPr>
            <w:r>
              <w:rPr>
                <w:rFonts w:hint="eastAsia" w:cs="仿宋" w:asciiTheme="minorEastAsia" w:hAnsiTheme="minorEastAsia"/>
                <w:kern w:val="0"/>
                <w:sz w:val="24"/>
                <w:szCs w:val="24"/>
              </w:rPr>
              <w:t>项目进度安排</w:t>
            </w:r>
          </w:p>
        </w:tc>
        <w:tc>
          <w:tcPr>
            <w:tcW w:w="5416" w:type="dxa"/>
            <w:vAlign w:val="center"/>
          </w:tcPr>
          <w:p w14:paraId="35A35663">
            <w:pPr>
              <w:adjustRightInd w:val="0"/>
              <w:snapToGrid w:val="0"/>
              <w:rPr>
                <w:rFonts w:hint="eastAsia" w:eastAsia="宋体" w:cs="仿宋" w:asciiTheme="minorEastAsia" w:hAnsiTheme="minorEastAsia"/>
                <w:kern w:val="0"/>
                <w:sz w:val="24"/>
                <w:szCs w:val="24"/>
              </w:rPr>
            </w:pPr>
            <w:r>
              <w:rPr>
                <w:rFonts w:hint="eastAsia" w:eastAsia="宋体" w:cs="仿宋" w:asciiTheme="minorEastAsia" w:hAnsiTheme="minorEastAsia"/>
                <w:kern w:val="0"/>
                <w:sz w:val="24"/>
                <w:szCs w:val="24"/>
                <w:lang w:val="en-US" w:eastAsia="zh-CN"/>
              </w:rPr>
              <w:t>根据供应商提供的项目进度实施方案（进度计划安排、对应节点措施的把握）的</w:t>
            </w:r>
            <w:r>
              <w:rPr>
                <w:rFonts w:hint="eastAsia" w:eastAsia="宋体" w:cs="仿宋" w:asciiTheme="minorEastAsia" w:hAnsiTheme="minorEastAsia"/>
                <w:kern w:val="0"/>
                <w:sz w:val="24"/>
                <w:szCs w:val="24"/>
              </w:rPr>
              <w:t>完整性、详细性、</w:t>
            </w:r>
            <w:r>
              <w:rPr>
                <w:rFonts w:hint="eastAsia" w:eastAsia="宋体" w:cs="仿宋" w:asciiTheme="minorEastAsia" w:hAnsiTheme="minorEastAsia"/>
                <w:kern w:val="0"/>
                <w:sz w:val="24"/>
                <w:szCs w:val="24"/>
                <w:lang w:eastAsia="zh-CN"/>
              </w:rPr>
              <w:t>针对性</w:t>
            </w:r>
            <w:r>
              <w:rPr>
                <w:rFonts w:hint="eastAsia" w:eastAsia="宋体" w:cs="仿宋" w:asciiTheme="minorEastAsia" w:hAnsiTheme="minorEastAsia"/>
                <w:kern w:val="0"/>
                <w:sz w:val="24"/>
                <w:szCs w:val="24"/>
              </w:rPr>
              <w:t>及能否满足采购需求等情况，</w:t>
            </w:r>
            <w:r>
              <w:rPr>
                <w:rFonts w:hint="eastAsia" w:eastAsia="宋体" w:cs="仿宋" w:asciiTheme="minorEastAsia" w:hAnsiTheme="minorEastAsia"/>
                <w:kern w:val="0"/>
                <w:sz w:val="24"/>
                <w:szCs w:val="24"/>
                <w:lang w:val="en-US" w:eastAsia="zh-CN"/>
              </w:rPr>
              <w:t>由专家横向比较打分。</w:t>
            </w:r>
          </w:p>
        </w:tc>
        <w:tc>
          <w:tcPr>
            <w:tcW w:w="843" w:type="dxa"/>
            <w:vAlign w:val="center"/>
          </w:tcPr>
          <w:p w14:paraId="54D4A9CD">
            <w:pPr>
              <w:adjustRightInd w:val="0"/>
              <w:snapToGrid w:val="0"/>
              <w:jc w:val="center"/>
              <w:rPr>
                <w:rFonts w:hint="default" w:eastAsia="宋体" w:cs="仿宋" w:asciiTheme="minorEastAsia" w:hAnsiTheme="minorEastAsia"/>
                <w:kern w:val="0"/>
                <w:sz w:val="24"/>
                <w:szCs w:val="24"/>
                <w:lang w:val="en-US" w:eastAsia="zh-CN"/>
              </w:rPr>
            </w:pPr>
            <w:r>
              <w:rPr>
                <w:rFonts w:hint="eastAsia" w:cs="仿宋" w:asciiTheme="minorEastAsia" w:hAnsiTheme="minorEastAsia"/>
                <w:kern w:val="0"/>
                <w:sz w:val="24"/>
                <w:szCs w:val="24"/>
                <w:lang w:val="en-US" w:eastAsia="zh-CN"/>
              </w:rPr>
              <w:t>8</w:t>
            </w:r>
          </w:p>
        </w:tc>
      </w:tr>
      <w:tr w14:paraId="36A8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362" w:type="dxa"/>
            <w:vMerge w:val="continue"/>
          </w:tcPr>
          <w:p w14:paraId="28CF6322">
            <w:pPr>
              <w:rPr>
                <w:rFonts w:asciiTheme="minorEastAsia" w:hAnsiTheme="minorEastAsia"/>
                <w:sz w:val="24"/>
                <w:szCs w:val="24"/>
              </w:rPr>
            </w:pPr>
          </w:p>
        </w:tc>
        <w:tc>
          <w:tcPr>
            <w:tcW w:w="1376" w:type="dxa"/>
            <w:vMerge w:val="restart"/>
            <w:vAlign w:val="center"/>
          </w:tcPr>
          <w:p w14:paraId="1559AA49">
            <w:pPr>
              <w:snapToGrid w:val="0"/>
              <w:jc w:val="center"/>
              <w:rPr>
                <w:rFonts w:hint="eastAsia" w:eastAsia="宋体" w:cs="宋体" w:asciiTheme="minorEastAsia" w:hAnsiTheme="minorEastAsia"/>
                <w:sz w:val="24"/>
                <w:szCs w:val="24"/>
                <w:lang w:eastAsia="zh-CN"/>
              </w:rPr>
            </w:pPr>
            <w:r>
              <w:rPr>
                <w:rFonts w:hint="eastAsia" w:eastAsia="宋体" w:cs="仿宋" w:asciiTheme="minorEastAsia" w:hAnsiTheme="minorEastAsia"/>
                <w:kern w:val="0"/>
                <w:sz w:val="24"/>
                <w:szCs w:val="24"/>
              </w:rPr>
              <w:t>安全生产文明作业、环保措施</w:t>
            </w:r>
            <w:r>
              <w:rPr>
                <w:rFonts w:hint="eastAsia" w:cs="仿宋" w:asciiTheme="minorEastAsia" w:hAnsiTheme="minorEastAsia"/>
                <w:kern w:val="0"/>
                <w:sz w:val="24"/>
                <w:szCs w:val="24"/>
                <w:lang w:eastAsia="zh-CN"/>
              </w:rPr>
              <w:t>方案</w:t>
            </w:r>
          </w:p>
        </w:tc>
        <w:tc>
          <w:tcPr>
            <w:tcW w:w="5416" w:type="dxa"/>
            <w:vAlign w:val="center"/>
          </w:tcPr>
          <w:p w14:paraId="0BFB31B6">
            <w:pPr>
              <w:adjustRightInd w:val="0"/>
              <w:snapToGrid w:val="0"/>
              <w:rPr>
                <w:rFonts w:hint="eastAsia" w:eastAsia="宋体" w:cs="仿宋" w:asciiTheme="minorEastAsia" w:hAnsiTheme="minorEastAsia"/>
                <w:kern w:val="0"/>
                <w:sz w:val="24"/>
                <w:szCs w:val="24"/>
                <w:lang w:val="en-US" w:eastAsia="zh-CN"/>
              </w:rPr>
            </w:pPr>
            <w:r>
              <w:rPr>
                <w:rFonts w:hint="eastAsia" w:eastAsia="宋体" w:cs="仿宋" w:asciiTheme="minorEastAsia" w:hAnsiTheme="minorEastAsia"/>
                <w:kern w:val="0"/>
                <w:sz w:val="24"/>
                <w:szCs w:val="24"/>
                <w:lang w:val="en-US" w:eastAsia="zh-CN"/>
              </w:rPr>
              <w:t>根据各供应商提供的安全生产措施方案的完整性、详细性、针对性及能否满足采购需求等情况，由专家横向比较打分。</w:t>
            </w:r>
          </w:p>
        </w:tc>
        <w:tc>
          <w:tcPr>
            <w:tcW w:w="843" w:type="dxa"/>
            <w:vAlign w:val="center"/>
          </w:tcPr>
          <w:p w14:paraId="1C574132">
            <w:pPr>
              <w:adjustRightInd w:val="0"/>
              <w:snapToGrid w:val="0"/>
              <w:jc w:val="center"/>
              <w:rPr>
                <w:rFonts w:hint="default" w:eastAsia="宋体" w:cs="仿宋" w:asciiTheme="minorEastAsia" w:hAnsiTheme="minorEastAsia"/>
                <w:kern w:val="0"/>
                <w:sz w:val="24"/>
                <w:szCs w:val="24"/>
                <w:lang w:val="en-US" w:eastAsia="zh-CN"/>
              </w:rPr>
            </w:pPr>
            <w:r>
              <w:rPr>
                <w:rFonts w:hint="eastAsia" w:cs="仿宋" w:asciiTheme="minorEastAsia" w:hAnsiTheme="minorEastAsia"/>
                <w:kern w:val="0"/>
                <w:sz w:val="24"/>
                <w:szCs w:val="24"/>
                <w:lang w:val="en-US" w:eastAsia="zh-CN"/>
              </w:rPr>
              <w:t>5</w:t>
            </w:r>
          </w:p>
        </w:tc>
      </w:tr>
      <w:tr w14:paraId="43A0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362" w:type="dxa"/>
            <w:vMerge w:val="continue"/>
          </w:tcPr>
          <w:p w14:paraId="5AEF18DD">
            <w:pPr>
              <w:rPr>
                <w:rFonts w:asciiTheme="minorEastAsia" w:hAnsiTheme="minorEastAsia"/>
                <w:sz w:val="24"/>
                <w:szCs w:val="24"/>
              </w:rPr>
            </w:pPr>
          </w:p>
        </w:tc>
        <w:tc>
          <w:tcPr>
            <w:tcW w:w="1376" w:type="dxa"/>
            <w:vMerge w:val="continue"/>
            <w:vAlign w:val="center"/>
          </w:tcPr>
          <w:p w14:paraId="150904CF">
            <w:pPr>
              <w:snapToGrid w:val="0"/>
              <w:jc w:val="center"/>
              <w:rPr>
                <w:rFonts w:cs="仿宋" w:asciiTheme="minorEastAsia" w:hAnsiTheme="minorEastAsia"/>
                <w:sz w:val="24"/>
                <w:szCs w:val="24"/>
              </w:rPr>
            </w:pPr>
          </w:p>
        </w:tc>
        <w:tc>
          <w:tcPr>
            <w:tcW w:w="5416" w:type="dxa"/>
            <w:vAlign w:val="center"/>
          </w:tcPr>
          <w:p w14:paraId="7464130C">
            <w:pPr>
              <w:adjustRightInd w:val="0"/>
              <w:snapToGrid w:val="0"/>
              <w:rPr>
                <w:rFonts w:hint="eastAsia" w:eastAsia="宋体" w:cs="仿宋" w:asciiTheme="minorEastAsia" w:hAnsiTheme="minorEastAsia"/>
                <w:kern w:val="0"/>
                <w:sz w:val="24"/>
                <w:szCs w:val="24"/>
                <w:lang w:val="en-US" w:eastAsia="zh-CN"/>
              </w:rPr>
            </w:pPr>
            <w:r>
              <w:rPr>
                <w:rFonts w:hint="eastAsia" w:eastAsia="宋体" w:cs="仿宋" w:asciiTheme="minorEastAsia" w:hAnsiTheme="minorEastAsia"/>
                <w:kern w:val="0"/>
                <w:sz w:val="24"/>
                <w:szCs w:val="24"/>
                <w:lang w:val="en-US" w:eastAsia="zh-CN"/>
              </w:rPr>
              <w:t>根据各供应商提供的文明作业措施方案的完整性、详细性、针对性及能否满足采购需求等情况，由专家横向比较打分。</w:t>
            </w:r>
          </w:p>
        </w:tc>
        <w:tc>
          <w:tcPr>
            <w:tcW w:w="843" w:type="dxa"/>
            <w:vAlign w:val="center"/>
          </w:tcPr>
          <w:p w14:paraId="23DC4101">
            <w:pPr>
              <w:adjustRightInd w:val="0"/>
              <w:snapToGrid w:val="0"/>
              <w:jc w:val="center"/>
              <w:rPr>
                <w:rFonts w:hint="default" w:eastAsia="宋体" w:cs="仿宋" w:asciiTheme="minorEastAsia" w:hAnsiTheme="minorEastAsia"/>
                <w:kern w:val="0"/>
                <w:sz w:val="24"/>
                <w:szCs w:val="24"/>
                <w:lang w:val="en-US" w:eastAsia="zh-CN"/>
              </w:rPr>
            </w:pPr>
            <w:r>
              <w:rPr>
                <w:rFonts w:hint="eastAsia" w:cs="仿宋" w:asciiTheme="minorEastAsia" w:hAnsiTheme="minorEastAsia"/>
                <w:kern w:val="0"/>
                <w:sz w:val="24"/>
                <w:szCs w:val="24"/>
                <w:lang w:val="en-US" w:eastAsia="zh-CN"/>
              </w:rPr>
              <w:t>5</w:t>
            </w:r>
          </w:p>
        </w:tc>
      </w:tr>
      <w:tr w14:paraId="73C8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362" w:type="dxa"/>
            <w:vMerge w:val="continue"/>
          </w:tcPr>
          <w:p w14:paraId="34FA22B4">
            <w:pPr>
              <w:rPr>
                <w:rFonts w:asciiTheme="minorEastAsia" w:hAnsiTheme="minorEastAsia"/>
                <w:sz w:val="24"/>
                <w:szCs w:val="24"/>
              </w:rPr>
            </w:pPr>
          </w:p>
        </w:tc>
        <w:tc>
          <w:tcPr>
            <w:tcW w:w="1376" w:type="dxa"/>
            <w:vMerge w:val="continue"/>
            <w:vAlign w:val="center"/>
          </w:tcPr>
          <w:p w14:paraId="70DA0D10">
            <w:pPr>
              <w:snapToGrid w:val="0"/>
              <w:jc w:val="center"/>
              <w:rPr>
                <w:rFonts w:cs="仿宋" w:asciiTheme="minorEastAsia" w:hAnsiTheme="minorEastAsia"/>
                <w:sz w:val="24"/>
                <w:szCs w:val="24"/>
              </w:rPr>
            </w:pPr>
          </w:p>
        </w:tc>
        <w:tc>
          <w:tcPr>
            <w:tcW w:w="5416" w:type="dxa"/>
            <w:vAlign w:val="center"/>
          </w:tcPr>
          <w:p w14:paraId="62155D2A">
            <w:pPr>
              <w:adjustRightInd w:val="0"/>
              <w:snapToGrid w:val="0"/>
              <w:rPr>
                <w:rFonts w:hint="eastAsia" w:eastAsia="宋体" w:cs="仿宋" w:asciiTheme="minorEastAsia" w:hAnsiTheme="minorEastAsia"/>
                <w:kern w:val="0"/>
                <w:sz w:val="24"/>
                <w:szCs w:val="24"/>
                <w:lang w:val="en-US" w:eastAsia="zh-CN"/>
              </w:rPr>
            </w:pPr>
            <w:r>
              <w:rPr>
                <w:rFonts w:hint="eastAsia" w:eastAsia="宋体" w:cs="仿宋" w:asciiTheme="minorEastAsia" w:hAnsiTheme="minorEastAsia"/>
                <w:kern w:val="0"/>
                <w:sz w:val="24"/>
                <w:szCs w:val="24"/>
                <w:lang w:val="en-US" w:eastAsia="zh-CN"/>
              </w:rPr>
              <w:t>根据各供应商提供的环保措施方案的完整性、详细性、针对性及能否满足采购需求等情况，由专家横向比较打分。</w:t>
            </w:r>
          </w:p>
        </w:tc>
        <w:tc>
          <w:tcPr>
            <w:tcW w:w="843" w:type="dxa"/>
            <w:vAlign w:val="center"/>
          </w:tcPr>
          <w:p w14:paraId="42D7E113">
            <w:pPr>
              <w:adjustRightInd w:val="0"/>
              <w:snapToGrid w:val="0"/>
              <w:jc w:val="center"/>
              <w:rPr>
                <w:rFonts w:hint="default" w:eastAsia="宋体" w:cs="仿宋" w:asciiTheme="minorEastAsia" w:hAnsiTheme="minorEastAsia"/>
                <w:kern w:val="0"/>
                <w:sz w:val="24"/>
                <w:szCs w:val="24"/>
                <w:lang w:val="en-US" w:eastAsia="zh-CN"/>
              </w:rPr>
            </w:pPr>
            <w:r>
              <w:rPr>
                <w:rFonts w:hint="eastAsia" w:cs="仿宋" w:asciiTheme="minorEastAsia" w:hAnsiTheme="minorEastAsia"/>
                <w:kern w:val="0"/>
                <w:sz w:val="24"/>
                <w:szCs w:val="24"/>
                <w:lang w:val="en-US" w:eastAsia="zh-CN"/>
              </w:rPr>
              <w:t>5</w:t>
            </w:r>
          </w:p>
        </w:tc>
      </w:tr>
      <w:tr w14:paraId="6F80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362" w:type="dxa"/>
            <w:vMerge w:val="continue"/>
          </w:tcPr>
          <w:p w14:paraId="749D1D99">
            <w:pPr>
              <w:rPr>
                <w:rFonts w:asciiTheme="minorEastAsia" w:hAnsiTheme="minorEastAsia"/>
                <w:sz w:val="24"/>
                <w:szCs w:val="24"/>
              </w:rPr>
            </w:pPr>
          </w:p>
        </w:tc>
        <w:tc>
          <w:tcPr>
            <w:tcW w:w="1376" w:type="dxa"/>
            <w:shd w:val="clear" w:color="auto" w:fill="auto"/>
            <w:vAlign w:val="center"/>
          </w:tcPr>
          <w:p w14:paraId="4D3F11EF">
            <w:pPr>
              <w:keepNext w:val="0"/>
              <w:keepLines w:val="0"/>
              <w:pageBreakBefore w:val="0"/>
              <w:kinsoku/>
              <w:wordWrap/>
              <w:overflowPunct/>
              <w:topLinePunct w:val="0"/>
              <w:autoSpaceDE/>
              <w:autoSpaceDN/>
              <w:bidi w:val="0"/>
              <w:snapToGrid w:val="0"/>
              <w:spacing w:before="0" w:beforeAutospacing="0" w:after="0" w:afterAutospacing="0" w:line="440" w:lineRule="exact"/>
              <w:jc w:val="both"/>
              <w:textAlignment w:val="baseline"/>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突发性事件的应急预案</w:t>
            </w:r>
          </w:p>
        </w:tc>
        <w:tc>
          <w:tcPr>
            <w:tcW w:w="5416" w:type="dxa"/>
            <w:shd w:val="clear" w:color="auto" w:fill="auto"/>
            <w:vAlign w:val="center"/>
          </w:tcPr>
          <w:p w14:paraId="6FD912EE">
            <w:pPr>
              <w:adjustRightInd w:val="0"/>
              <w:snapToGrid w:val="0"/>
              <w:rPr>
                <w:rFonts w:hint="eastAsia" w:eastAsia="宋体" w:cs="仿宋" w:asciiTheme="minorEastAsia" w:hAnsiTheme="minorEastAsia"/>
                <w:kern w:val="0"/>
                <w:sz w:val="24"/>
                <w:szCs w:val="24"/>
                <w:lang w:val="en-US" w:eastAsia="zh-CN"/>
              </w:rPr>
            </w:pPr>
            <w:r>
              <w:rPr>
                <w:rFonts w:hint="eastAsia" w:eastAsia="宋体" w:cs="仿宋" w:asciiTheme="minorEastAsia" w:hAnsiTheme="minorEastAsia"/>
                <w:kern w:val="0"/>
                <w:sz w:val="24"/>
                <w:szCs w:val="24"/>
                <w:lang w:val="en-US" w:eastAsia="zh-CN"/>
              </w:rPr>
              <w:t>根据各供应商应对突发性事件时（如台风、暴雨、火灾、作业期间碰到的村民不配合或阻止等情况）的应急预案方案的</w:t>
            </w:r>
            <w:r>
              <w:rPr>
                <w:rFonts w:hint="eastAsia" w:eastAsia="宋体" w:cs="仿宋" w:asciiTheme="minorEastAsia" w:hAnsiTheme="minorEastAsia"/>
                <w:kern w:val="0"/>
                <w:sz w:val="24"/>
                <w:szCs w:val="24"/>
              </w:rPr>
              <w:t>完整性、详细性、</w:t>
            </w:r>
            <w:r>
              <w:rPr>
                <w:rFonts w:hint="eastAsia" w:eastAsia="宋体" w:cs="仿宋" w:asciiTheme="minorEastAsia" w:hAnsiTheme="minorEastAsia"/>
                <w:kern w:val="0"/>
                <w:sz w:val="24"/>
                <w:szCs w:val="24"/>
                <w:lang w:eastAsia="zh-CN"/>
              </w:rPr>
              <w:t>针对性</w:t>
            </w:r>
            <w:r>
              <w:rPr>
                <w:rFonts w:hint="eastAsia" w:eastAsia="宋体" w:cs="仿宋" w:asciiTheme="minorEastAsia" w:hAnsiTheme="minorEastAsia"/>
                <w:kern w:val="0"/>
                <w:sz w:val="24"/>
                <w:szCs w:val="24"/>
              </w:rPr>
              <w:t>及能否满足采购需求等情况，</w:t>
            </w:r>
            <w:r>
              <w:rPr>
                <w:rFonts w:hint="eastAsia" w:eastAsia="宋体" w:cs="仿宋" w:asciiTheme="minorEastAsia" w:hAnsiTheme="minorEastAsia"/>
                <w:kern w:val="0"/>
                <w:sz w:val="24"/>
                <w:szCs w:val="24"/>
                <w:lang w:val="en-US" w:eastAsia="zh-CN"/>
              </w:rPr>
              <w:t>由专家横向比较打分</w:t>
            </w:r>
            <w:r>
              <w:rPr>
                <w:rFonts w:hint="eastAsia" w:eastAsia="宋体" w:cs="仿宋" w:asciiTheme="minorEastAsia" w:hAnsiTheme="minorEastAsia"/>
                <w:kern w:val="0"/>
                <w:sz w:val="24"/>
                <w:szCs w:val="24"/>
                <w:lang w:eastAsia="zh-CN"/>
              </w:rPr>
              <w:t>。</w:t>
            </w:r>
          </w:p>
        </w:tc>
        <w:tc>
          <w:tcPr>
            <w:tcW w:w="843" w:type="dxa"/>
            <w:shd w:val="clear" w:color="auto" w:fill="auto"/>
            <w:vAlign w:val="center"/>
          </w:tcPr>
          <w:p w14:paraId="52D41DE1">
            <w:pPr>
              <w:adjustRightInd w:val="0"/>
              <w:snapToGrid w:val="0"/>
              <w:jc w:val="center"/>
              <w:rPr>
                <w:rFonts w:hint="default" w:eastAsia="宋体" w:cs="仿宋" w:asciiTheme="minorEastAsia" w:hAnsiTheme="minorEastAsia"/>
                <w:kern w:val="0"/>
                <w:sz w:val="24"/>
                <w:szCs w:val="24"/>
                <w:lang w:val="en-US" w:eastAsia="zh-CN"/>
              </w:rPr>
            </w:pPr>
            <w:r>
              <w:rPr>
                <w:rFonts w:hint="eastAsia" w:cs="仿宋" w:asciiTheme="minorEastAsia" w:hAnsiTheme="minorEastAsia"/>
                <w:kern w:val="0"/>
                <w:sz w:val="24"/>
                <w:szCs w:val="24"/>
                <w:lang w:val="en-US" w:eastAsia="zh-CN"/>
              </w:rPr>
              <w:t>5</w:t>
            </w:r>
          </w:p>
        </w:tc>
      </w:tr>
      <w:tr w14:paraId="10D6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362" w:type="dxa"/>
            <w:vMerge w:val="continue"/>
          </w:tcPr>
          <w:p w14:paraId="3FF0E303">
            <w:pPr>
              <w:snapToGrid w:val="0"/>
              <w:jc w:val="center"/>
              <w:rPr>
                <w:rFonts w:cs="仿宋" w:asciiTheme="minorEastAsia" w:hAnsiTheme="minorEastAsia"/>
                <w:color w:val="000000"/>
                <w:sz w:val="24"/>
                <w:szCs w:val="24"/>
              </w:rPr>
            </w:pPr>
          </w:p>
        </w:tc>
        <w:tc>
          <w:tcPr>
            <w:tcW w:w="1376" w:type="dxa"/>
            <w:vAlign w:val="center"/>
          </w:tcPr>
          <w:p w14:paraId="32C0C98F">
            <w:pPr>
              <w:snapToGrid w:val="0"/>
              <w:jc w:val="left"/>
              <w:rPr>
                <w:rFonts w:cs="仿宋" w:asciiTheme="minorEastAsia" w:hAnsiTheme="minorEastAsia"/>
                <w:kern w:val="0"/>
                <w:sz w:val="24"/>
                <w:szCs w:val="24"/>
              </w:rPr>
            </w:pPr>
            <w:r>
              <w:rPr>
                <w:rFonts w:ascii="宋体" w:hAnsi="宋体" w:eastAsia="宋体" w:cs="宋体"/>
                <w:sz w:val="24"/>
                <w:szCs w:val="24"/>
              </w:rPr>
              <w:t>服务承诺</w:t>
            </w:r>
          </w:p>
        </w:tc>
        <w:tc>
          <w:tcPr>
            <w:tcW w:w="5416" w:type="dxa"/>
            <w:vAlign w:val="center"/>
          </w:tcPr>
          <w:p w14:paraId="085235BA">
            <w:pPr>
              <w:adjustRightInd w:val="0"/>
              <w:snapToGrid w:val="0"/>
              <w:rPr>
                <w:rFonts w:hint="eastAsia" w:eastAsia="宋体" w:cs="仿宋" w:asciiTheme="minorEastAsia" w:hAnsiTheme="minorEastAsia"/>
                <w:kern w:val="0"/>
                <w:sz w:val="24"/>
                <w:szCs w:val="24"/>
                <w:lang w:val="en-US" w:eastAsia="zh-CN"/>
              </w:rPr>
            </w:pPr>
            <w:r>
              <w:rPr>
                <w:rFonts w:hint="eastAsia" w:eastAsia="宋体" w:cs="仿宋" w:asciiTheme="minorEastAsia" w:hAnsiTheme="minorEastAsia"/>
                <w:kern w:val="0"/>
                <w:sz w:val="24"/>
                <w:szCs w:val="24"/>
                <w:lang w:val="en-US" w:eastAsia="zh-CN"/>
              </w:rPr>
              <w:t>根据各投标人售后服务体系健全，完善，通过国家售后服务体系标准审核的，承诺服务响应时间，清理中期，后期的配合，由专家横向比较打分。</w:t>
            </w:r>
          </w:p>
        </w:tc>
        <w:tc>
          <w:tcPr>
            <w:tcW w:w="843" w:type="dxa"/>
            <w:vAlign w:val="center"/>
          </w:tcPr>
          <w:p w14:paraId="0C308235">
            <w:pPr>
              <w:adjustRightInd w:val="0"/>
              <w:snapToGrid w:val="0"/>
              <w:jc w:val="center"/>
              <w:rPr>
                <w:rFonts w:hint="default" w:eastAsia="宋体" w:cs="仿宋" w:asciiTheme="minorEastAsia" w:hAnsiTheme="minorEastAsia"/>
                <w:kern w:val="0"/>
                <w:sz w:val="24"/>
                <w:szCs w:val="24"/>
                <w:lang w:val="en-US" w:eastAsia="zh-CN"/>
              </w:rPr>
            </w:pPr>
            <w:r>
              <w:rPr>
                <w:rFonts w:hint="eastAsia" w:cs="仿宋" w:asciiTheme="minorEastAsia" w:hAnsiTheme="minorEastAsia"/>
                <w:kern w:val="0"/>
                <w:sz w:val="24"/>
                <w:szCs w:val="24"/>
                <w:lang w:val="en-US" w:eastAsia="zh-CN"/>
              </w:rPr>
              <w:t>5</w:t>
            </w:r>
          </w:p>
        </w:tc>
      </w:tr>
    </w:tbl>
    <w:p w14:paraId="0828F0CC">
      <w:pPr>
        <w:pStyle w:val="28"/>
        <w:snapToGrid/>
        <w:spacing w:line="360" w:lineRule="auto"/>
        <w:ind w:firstLine="0"/>
        <w:rPr>
          <w:rFonts w:ascii="宋体" w:hAnsi="宋体" w:eastAsia="宋体" w:cs="宋体"/>
        </w:rPr>
        <w:sectPr>
          <w:pgSz w:w="11906" w:h="16838"/>
          <w:pgMar w:top="1418" w:right="1418" w:bottom="1418" w:left="1418" w:header="851" w:footer="851" w:gutter="0"/>
          <w:cols w:space="720" w:num="1"/>
          <w:docGrid w:linePitch="312" w:charSpace="0"/>
        </w:sectPr>
      </w:pPr>
    </w:p>
    <w:p w14:paraId="4563A3E5">
      <w:pPr>
        <w:pStyle w:val="43"/>
        <w:spacing w:before="0" w:after="0" w:line="360" w:lineRule="auto"/>
        <w:jc w:val="left"/>
        <w:rPr>
          <w:rFonts w:ascii="宋体" w:hAnsi="宋体" w:cs="宋体"/>
          <w:sz w:val="24"/>
          <w:szCs w:val="24"/>
        </w:rPr>
      </w:pPr>
      <w:bookmarkStart w:id="361" w:name="_Toc80973328"/>
      <w:bookmarkStart w:id="362" w:name="_Toc41568724"/>
      <w:r>
        <w:rPr>
          <w:rFonts w:hint="eastAsia" w:ascii="宋体" w:hAnsi="宋体" w:cs="宋体"/>
          <w:sz w:val="24"/>
          <w:szCs w:val="24"/>
        </w:rPr>
        <w:t>附件：政府采购活动现场确认声明书</w:t>
      </w:r>
      <w:bookmarkEnd w:id="361"/>
      <w:bookmarkEnd w:id="362"/>
    </w:p>
    <w:p w14:paraId="345616B6">
      <w:pPr>
        <w:spacing w:line="400" w:lineRule="exact"/>
        <w:jc w:val="center"/>
        <w:rPr>
          <w:rFonts w:ascii="宋体" w:hAnsi="宋体" w:cs="宋体"/>
          <w:b/>
          <w:sz w:val="32"/>
          <w:szCs w:val="32"/>
        </w:rPr>
      </w:pPr>
      <w:r>
        <w:rPr>
          <w:rFonts w:hint="eastAsia" w:ascii="宋体" w:hAnsi="宋体" w:cs="宋体"/>
          <w:b/>
          <w:sz w:val="32"/>
          <w:szCs w:val="32"/>
        </w:rPr>
        <w:t>政府采购活动现场确认声明书</w:t>
      </w:r>
    </w:p>
    <w:p w14:paraId="36712228">
      <w:pPr>
        <w:spacing w:line="340" w:lineRule="exact"/>
        <w:jc w:val="left"/>
        <w:rPr>
          <w:rFonts w:ascii="宋体" w:hAnsi="宋体" w:cs="宋体"/>
          <w:sz w:val="28"/>
          <w:szCs w:val="28"/>
          <w:u w:val="single"/>
        </w:rPr>
      </w:pPr>
      <w:r>
        <w:rPr>
          <w:rFonts w:hint="eastAsia" w:ascii="宋体" w:hAnsi="宋体" w:cs="宋体"/>
          <w:i/>
          <w:sz w:val="28"/>
          <w:szCs w:val="28"/>
          <w:u w:val="single"/>
        </w:rPr>
        <w:t>（采购人名称）</w:t>
      </w:r>
      <w:r>
        <w:rPr>
          <w:rFonts w:hint="eastAsia" w:ascii="宋体" w:hAnsi="宋体" w:cs="宋体"/>
          <w:sz w:val="28"/>
          <w:szCs w:val="28"/>
          <w:u w:val="single"/>
        </w:rPr>
        <w:t>：</w:t>
      </w:r>
    </w:p>
    <w:p w14:paraId="5776F080">
      <w:pPr>
        <w:spacing w:line="340" w:lineRule="exact"/>
        <w:ind w:firstLine="560" w:firstLineChars="200"/>
        <w:rPr>
          <w:rFonts w:ascii="宋体" w:hAnsi="宋体" w:cs="宋体"/>
          <w:sz w:val="28"/>
          <w:szCs w:val="28"/>
        </w:rPr>
      </w:pPr>
      <w:r>
        <w:rPr>
          <w:rFonts w:hint="eastAsia" w:ascii="宋体" w:hAnsi="宋体" w:cs="宋体"/>
          <w:sz w:val="28"/>
          <w:szCs w:val="28"/>
        </w:rPr>
        <w:t>本人经由</w:t>
      </w:r>
      <w:r>
        <w:rPr>
          <w:rFonts w:hint="eastAsia" w:ascii="宋体" w:hAnsi="宋体" w:cs="宋体"/>
          <w:i/>
          <w:sz w:val="28"/>
          <w:szCs w:val="28"/>
          <w:u w:val="single"/>
        </w:rPr>
        <w:t xml:space="preserve">（公司名称） </w:t>
      </w:r>
      <w:r>
        <w:rPr>
          <w:rFonts w:hint="eastAsia" w:ascii="宋体" w:hAnsi="宋体" w:cs="宋体"/>
          <w:sz w:val="28"/>
          <w:szCs w:val="28"/>
        </w:rPr>
        <w:t>法定代表人（负责人），合法授权参加</w:t>
      </w:r>
      <w:r>
        <w:rPr>
          <w:rFonts w:hint="eastAsia" w:ascii="宋体" w:hAnsi="宋体" w:cs="宋体"/>
          <w:i/>
          <w:sz w:val="28"/>
          <w:szCs w:val="28"/>
          <w:u w:val="single"/>
        </w:rPr>
        <w:t xml:space="preserve">（项目名称）（项目编号）  </w:t>
      </w:r>
      <w:r>
        <w:rPr>
          <w:rFonts w:hint="eastAsia" w:ascii="宋体" w:hAnsi="宋体" w:cs="宋体"/>
          <w:sz w:val="28"/>
          <w:szCs w:val="28"/>
          <w:u w:val="single"/>
        </w:rPr>
        <w:t>政府</w:t>
      </w:r>
      <w:r>
        <w:rPr>
          <w:rFonts w:hint="eastAsia" w:ascii="宋体" w:hAnsi="宋体" w:cs="宋体"/>
          <w:sz w:val="28"/>
          <w:szCs w:val="28"/>
        </w:rPr>
        <w:t>采购活动，经与本单位法人代表（负责人）联系确认，现就有关公平竞争事项郑重声明如下：</w:t>
      </w:r>
    </w:p>
    <w:p w14:paraId="2305F9C5">
      <w:pPr>
        <w:spacing w:line="340" w:lineRule="exact"/>
        <w:ind w:firstLine="560" w:firstLineChars="200"/>
        <w:rPr>
          <w:rFonts w:ascii="宋体" w:hAnsi="宋体" w:cs="宋体"/>
          <w:sz w:val="28"/>
          <w:szCs w:val="28"/>
        </w:rPr>
      </w:pPr>
      <w:r>
        <w:rPr>
          <w:rFonts w:hint="eastAsia" w:ascii="宋体" w:hAnsi="宋体" w:cs="宋体"/>
          <w:sz w:val="28"/>
          <w:szCs w:val="28"/>
        </w:rPr>
        <w:t>一、本单位与采购人之间 □不存在利害关系 □存在下列利害关系</w:t>
      </w:r>
      <w:r>
        <w:rPr>
          <w:rFonts w:hint="eastAsia" w:ascii="宋体" w:hAnsi="宋体" w:cs="宋体"/>
          <w:sz w:val="28"/>
          <w:szCs w:val="28"/>
          <w:u w:val="single"/>
        </w:rPr>
        <w:t xml:space="preserve">         ：</w:t>
      </w:r>
    </w:p>
    <w:p w14:paraId="0283CB41">
      <w:pPr>
        <w:spacing w:line="340" w:lineRule="exact"/>
        <w:ind w:firstLine="560" w:firstLineChars="200"/>
        <w:rPr>
          <w:rFonts w:ascii="宋体" w:hAnsi="宋体" w:cs="宋体"/>
          <w:sz w:val="28"/>
          <w:szCs w:val="28"/>
        </w:rPr>
      </w:pPr>
      <w:r>
        <w:rPr>
          <w:rFonts w:hint="eastAsia" w:ascii="宋体" w:hAnsi="宋体" w:cs="宋体"/>
          <w:sz w:val="28"/>
          <w:szCs w:val="28"/>
        </w:rPr>
        <w:t>A.投资关系    B.行政隶属关系    C.业务指导关系</w:t>
      </w:r>
    </w:p>
    <w:p w14:paraId="2BC1E9E6">
      <w:pPr>
        <w:spacing w:line="340" w:lineRule="exact"/>
        <w:ind w:firstLine="560" w:firstLineChars="200"/>
        <w:rPr>
          <w:rFonts w:ascii="宋体" w:hAnsi="宋体" w:cs="宋体"/>
          <w:sz w:val="28"/>
          <w:szCs w:val="28"/>
          <w:u w:val="single"/>
        </w:rPr>
      </w:pPr>
      <w:r>
        <w:rPr>
          <w:rFonts w:hint="eastAsia" w:ascii="宋体" w:hAnsi="宋体" w:cs="宋体"/>
          <w:sz w:val="28"/>
          <w:szCs w:val="28"/>
        </w:rPr>
        <w:t>D.其他可能影响采购公正的利害关系（如有，请如实说明）</w:t>
      </w:r>
    </w:p>
    <w:p w14:paraId="638D50FE">
      <w:pPr>
        <w:spacing w:line="340" w:lineRule="exact"/>
        <w:ind w:firstLine="560" w:firstLineChars="200"/>
        <w:rPr>
          <w:rFonts w:ascii="宋体" w:hAnsi="宋体" w:cs="宋体"/>
          <w:sz w:val="28"/>
          <w:szCs w:val="28"/>
        </w:rPr>
      </w:pPr>
      <w:r>
        <w:rPr>
          <w:rFonts w:hint="eastAsia" w:ascii="宋体" w:hAnsi="宋体" w:cs="宋体"/>
          <w:sz w:val="28"/>
          <w:szCs w:val="28"/>
        </w:rPr>
        <w:t>二、现已清楚知道参加本项目采购活动的其他所有供应商名称，本单位</w:t>
      </w:r>
    </w:p>
    <w:p w14:paraId="4E61BE6C">
      <w:pPr>
        <w:spacing w:line="340" w:lineRule="exact"/>
        <w:ind w:firstLine="560" w:firstLineChars="200"/>
        <w:rPr>
          <w:rFonts w:ascii="宋体" w:hAnsi="宋体" w:cs="宋体"/>
          <w:sz w:val="28"/>
          <w:szCs w:val="28"/>
        </w:rPr>
      </w:pPr>
      <w:r>
        <w:rPr>
          <w:rFonts w:hint="eastAsia" w:ascii="宋体" w:hAnsi="宋体" w:cs="宋体"/>
          <w:sz w:val="28"/>
          <w:szCs w:val="28"/>
        </w:rPr>
        <w:t>□与其他所有供应商之间均不存在利害关系  □与</w:t>
      </w:r>
      <w:r>
        <w:rPr>
          <w:rFonts w:hint="eastAsia" w:ascii="宋体" w:hAnsi="宋体" w:cs="宋体"/>
          <w:sz w:val="28"/>
          <w:szCs w:val="28"/>
          <w:u w:val="single"/>
        </w:rPr>
        <w:t xml:space="preserve">（供应商名称）     </w:t>
      </w:r>
      <w:r>
        <w:rPr>
          <w:rFonts w:hint="eastAsia" w:ascii="宋体" w:hAnsi="宋体" w:cs="宋体"/>
          <w:sz w:val="28"/>
          <w:szCs w:val="28"/>
        </w:rPr>
        <w:t>之间存在下列利害关系：</w:t>
      </w:r>
    </w:p>
    <w:p w14:paraId="1A9AD864">
      <w:pPr>
        <w:spacing w:line="340" w:lineRule="exact"/>
        <w:ind w:firstLine="560" w:firstLineChars="200"/>
        <w:rPr>
          <w:rFonts w:ascii="宋体" w:hAnsi="宋体" w:cs="宋体"/>
          <w:sz w:val="28"/>
          <w:szCs w:val="28"/>
        </w:rPr>
      </w:pPr>
      <w:r>
        <w:rPr>
          <w:rFonts w:hint="eastAsia" w:ascii="宋体" w:hAnsi="宋体" w:cs="宋体"/>
          <w:sz w:val="28"/>
          <w:szCs w:val="28"/>
        </w:rPr>
        <w:t>A.法定代表人或负责人或实际控制人是同一人</w:t>
      </w:r>
    </w:p>
    <w:p w14:paraId="30CF2B24">
      <w:pPr>
        <w:spacing w:line="340" w:lineRule="exact"/>
        <w:ind w:firstLine="560" w:firstLineChars="200"/>
        <w:rPr>
          <w:rFonts w:ascii="宋体" w:hAnsi="宋体" w:cs="宋体"/>
          <w:sz w:val="28"/>
          <w:szCs w:val="28"/>
        </w:rPr>
      </w:pPr>
      <w:r>
        <w:rPr>
          <w:rFonts w:hint="eastAsia" w:ascii="宋体" w:hAnsi="宋体" w:cs="宋体"/>
          <w:sz w:val="28"/>
          <w:szCs w:val="28"/>
        </w:rPr>
        <w:t>B.法定代表人或负责人或实际控制人是夫妻关系</w:t>
      </w:r>
    </w:p>
    <w:p w14:paraId="3C173E92">
      <w:pPr>
        <w:spacing w:line="340" w:lineRule="exact"/>
        <w:ind w:firstLine="560" w:firstLineChars="200"/>
        <w:rPr>
          <w:rFonts w:ascii="宋体" w:hAnsi="宋体" w:cs="宋体"/>
          <w:sz w:val="28"/>
          <w:szCs w:val="28"/>
        </w:rPr>
      </w:pPr>
      <w:r>
        <w:rPr>
          <w:rFonts w:hint="eastAsia" w:ascii="宋体" w:hAnsi="宋体" w:cs="宋体"/>
          <w:sz w:val="28"/>
          <w:szCs w:val="28"/>
        </w:rPr>
        <w:t>C.法定代表人或负责人或实际控制人是直系血亲关系</w:t>
      </w:r>
    </w:p>
    <w:p w14:paraId="321A49CC">
      <w:pPr>
        <w:spacing w:line="340" w:lineRule="exact"/>
        <w:ind w:firstLine="560" w:firstLineChars="200"/>
        <w:rPr>
          <w:rFonts w:ascii="宋体" w:hAnsi="宋体" w:cs="宋体"/>
          <w:sz w:val="28"/>
          <w:szCs w:val="28"/>
        </w:rPr>
      </w:pPr>
      <w:r>
        <w:rPr>
          <w:rFonts w:hint="eastAsia" w:ascii="宋体" w:hAnsi="宋体" w:cs="宋体"/>
          <w:sz w:val="28"/>
          <w:szCs w:val="28"/>
        </w:rPr>
        <w:t>D.法定代表人或负责人或实际控制人存在三代以内旁系血亲关系</w:t>
      </w:r>
    </w:p>
    <w:p w14:paraId="04D33C7B">
      <w:pPr>
        <w:spacing w:line="340" w:lineRule="exact"/>
        <w:ind w:firstLine="560" w:firstLineChars="200"/>
        <w:rPr>
          <w:rFonts w:ascii="宋体" w:hAnsi="宋体" w:cs="宋体"/>
          <w:sz w:val="28"/>
          <w:szCs w:val="28"/>
        </w:rPr>
      </w:pPr>
      <w:r>
        <w:rPr>
          <w:rFonts w:hint="eastAsia" w:ascii="宋体" w:hAnsi="宋体" w:cs="宋体"/>
          <w:sz w:val="28"/>
          <w:szCs w:val="28"/>
        </w:rPr>
        <w:t>E.法定代表人或负责人或实际控制人存在近姻亲关系</w:t>
      </w:r>
    </w:p>
    <w:p w14:paraId="06B19ED3">
      <w:pPr>
        <w:spacing w:line="340" w:lineRule="exact"/>
        <w:ind w:firstLine="560" w:firstLineChars="200"/>
        <w:rPr>
          <w:rFonts w:ascii="宋体" w:hAnsi="宋体" w:cs="宋体"/>
          <w:sz w:val="28"/>
          <w:szCs w:val="28"/>
        </w:rPr>
      </w:pPr>
      <w:r>
        <w:rPr>
          <w:rFonts w:hint="eastAsia" w:ascii="宋体" w:hAnsi="宋体" w:cs="宋体"/>
          <w:sz w:val="28"/>
          <w:szCs w:val="28"/>
        </w:rPr>
        <w:t>F.法定代表人或负责人或实际控制人存在股份控制或实际控制关系</w:t>
      </w:r>
    </w:p>
    <w:p w14:paraId="5088171D">
      <w:pPr>
        <w:spacing w:line="340" w:lineRule="exact"/>
        <w:ind w:firstLine="560" w:firstLineChars="200"/>
        <w:rPr>
          <w:rFonts w:ascii="宋体" w:hAnsi="宋体" w:cs="宋体"/>
          <w:sz w:val="28"/>
          <w:szCs w:val="28"/>
        </w:rPr>
      </w:pPr>
      <w:r>
        <w:rPr>
          <w:rFonts w:hint="eastAsia" w:ascii="宋体" w:hAnsi="宋体" w:cs="宋体"/>
          <w:sz w:val="28"/>
          <w:szCs w:val="28"/>
        </w:rPr>
        <w:t>G.存在共同直接或间接投资设立子公司、联营企业和合营企业情况</w:t>
      </w:r>
    </w:p>
    <w:p w14:paraId="0035CEBC">
      <w:pPr>
        <w:spacing w:line="340" w:lineRule="exact"/>
        <w:ind w:firstLine="560" w:firstLineChars="200"/>
        <w:rPr>
          <w:rFonts w:ascii="宋体" w:hAnsi="宋体" w:cs="宋体"/>
          <w:sz w:val="28"/>
          <w:szCs w:val="28"/>
        </w:rPr>
      </w:pPr>
      <w:r>
        <w:rPr>
          <w:rFonts w:hint="eastAsia" w:ascii="宋体" w:hAnsi="宋体" w:cs="宋体"/>
          <w:sz w:val="28"/>
          <w:szCs w:val="28"/>
        </w:rPr>
        <w:t>H.存在分级代理或代销关系、同一生产制造商关系、管理关系、重要业务（占主营业务收入50%以上）或重要财务往来关系（如融资）等其他实质性控制关系</w:t>
      </w:r>
    </w:p>
    <w:p w14:paraId="1967DB60">
      <w:pPr>
        <w:spacing w:line="340" w:lineRule="exact"/>
        <w:ind w:firstLine="560" w:firstLineChars="200"/>
        <w:rPr>
          <w:rFonts w:ascii="宋体" w:hAnsi="宋体" w:cs="宋体"/>
          <w:sz w:val="28"/>
          <w:szCs w:val="28"/>
        </w:rPr>
      </w:pPr>
      <w:r>
        <w:rPr>
          <w:rFonts w:hint="eastAsia" w:ascii="宋体" w:hAnsi="宋体" w:cs="宋体"/>
          <w:sz w:val="28"/>
          <w:szCs w:val="28"/>
        </w:rPr>
        <w:t xml:space="preserve">I.其他利害关系情况 </w:t>
      </w:r>
    </w:p>
    <w:p w14:paraId="00DBFE75">
      <w:pPr>
        <w:spacing w:line="340" w:lineRule="exact"/>
        <w:ind w:firstLine="560" w:firstLineChars="200"/>
        <w:rPr>
          <w:rFonts w:ascii="宋体" w:hAnsi="宋体" w:cs="宋体"/>
          <w:sz w:val="28"/>
          <w:szCs w:val="28"/>
        </w:rPr>
      </w:pPr>
      <w:r>
        <w:rPr>
          <w:rFonts w:hint="eastAsia" w:ascii="宋体" w:hAnsi="宋体" w:cs="宋体"/>
          <w:sz w:val="28"/>
          <w:szCs w:val="28"/>
        </w:rPr>
        <w:t>三、现已清楚知道并严格遵守政府采购法律法规和现场纪律。</w:t>
      </w:r>
    </w:p>
    <w:p w14:paraId="7E93C58C">
      <w:pPr>
        <w:spacing w:line="340" w:lineRule="exact"/>
        <w:ind w:firstLine="560" w:firstLineChars="200"/>
        <w:rPr>
          <w:rFonts w:ascii="宋体" w:hAnsi="宋体" w:cs="宋体"/>
          <w:sz w:val="28"/>
          <w:szCs w:val="28"/>
        </w:rPr>
      </w:pPr>
      <w:r>
        <w:rPr>
          <w:rFonts w:hint="eastAsia" w:ascii="宋体" w:hAnsi="宋体" w:cs="宋体"/>
          <w:sz w:val="28"/>
          <w:szCs w:val="28"/>
        </w:rPr>
        <w:t xml:space="preserve">四、我发现和供应商之间存在或可能存在上述第二条第项利害关系。 </w:t>
      </w:r>
    </w:p>
    <w:p w14:paraId="0154FE39">
      <w:pPr>
        <w:wordWrap w:val="0"/>
        <w:spacing w:line="340" w:lineRule="exact"/>
        <w:ind w:firstLine="140" w:firstLineChars="50"/>
        <w:jc w:val="right"/>
        <w:rPr>
          <w:rFonts w:ascii="宋体" w:hAnsi="宋体" w:cs="宋体"/>
          <w:sz w:val="28"/>
          <w:szCs w:val="28"/>
        </w:rPr>
      </w:pPr>
      <w:r>
        <w:rPr>
          <w:rFonts w:hint="eastAsia" w:ascii="宋体" w:hAnsi="宋体" w:cs="宋体"/>
          <w:sz w:val="28"/>
          <w:szCs w:val="28"/>
        </w:rPr>
        <w:t xml:space="preserve">（供应商代表签名）：     </w:t>
      </w:r>
    </w:p>
    <w:p w14:paraId="040FA87B">
      <w:pPr>
        <w:wordWrap w:val="0"/>
        <w:spacing w:line="340" w:lineRule="exact"/>
        <w:jc w:val="right"/>
        <w:rPr>
          <w:rFonts w:ascii="宋体" w:hAnsi="宋体" w:cs="宋体"/>
          <w:sz w:val="28"/>
          <w:szCs w:val="28"/>
        </w:rPr>
      </w:pPr>
      <w:r>
        <w:rPr>
          <w:rFonts w:hint="eastAsia" w:ascii="宋体" w:hAnsi="宋体" w:cs="宋体"/>
          <w:sz w:val="28"/>
          <w:szCs w:val="28"/>
        </w:rPr>
        <w:t xml:space="preserve">        年   月   日</w:t>
      </w:r>
    </w:p>
    <w:p w14:paraId="07DBBD55">
      <w:pPr>
        <w:spacing w:line="340" w:lineRule="exact"/>
        <w:rPr>
          <w:rFonts w:ascii="宋体" w:hAnsi="宋体" w:cs="宋体"/>
          <w:sz w:val="24"/>
          <w:szCs w:val="24"/>
        </w:rPr>
      </w:pPr>
      <w:r>
        <w:rPr>
          <w:rFonts w:hint="eastAsia" w:ascii="宋体" w:hAnsi="宋体" w:cs="宋体"/>
          <w:sz w:val="24"/>
          <w:szCs w:val="24"/>
        </w:rPr>
        <w:t>注：1、供应商认为有利害关系和需要回避的人员，应提供相关证明材料，与本声明书一同提交。由采购代理机构和财政监督部门负责询问核查；</w:t>
      </w:r>
    </w:p>
    <w:p w14:paraId="78D892DD">
      <w:pPr>
        <w:wordWrap w:val="0"/>
        <w:spacing w:line="340" w:lineRule="exact"/>
        <w:ind w:firstLine="482"/>
        <w:rPr>
          <w:rFonts w:ascii="宋体" w:hAnsi="宋体" w:cs="宋体"/>
          <w:b/>
        </w:rPr>
      </w:pPr>
      <w:r>
        <w:rPr>
          <w:rFonts w:hint="eastAsia" w:ascii="宋体" w:hAnsi="宋体" w:cs="宋体"/>
          <w:b/>
          <w:sz w:val="24"/>
        </w:rPr>
        <w:t>2、该声明书在响应文件解密后30分钟内以邮件方式发送至邮箱</w:t>
      </w:r>
      <w:r>
        <w:rPr>
          <w:rFonts w:ascii="宋体" w:hAnsi="宋体" w:cs="宋体"/>
          <w:b/>
          <w:sz w:val="24"/>
        </w:rPr>
        <w:t>107052703@qq.com</w:t>
      </w:r>
      <w:r>
        <w:rPr>
          <w:rFonts w:hint="eastAsia" w:ascii="宋体" w:hAnsi="宋体" w:cs="宋体"/>
          <w:b/>
          <w:sz w:val="24"/>
        </w:rPr>
        <w:t>。</w:t>
      </w:r>
    </w:p>
    <w:p w14:paraId="78A362B1">
      <w:pPr>
        <w:pStyle w:val="28"/>
        <w:snapToGrid/>
        <w:spacing w:line="360" w:lineRule="auto"/>
        <w:ind w:firstLine="482" w:firstLineChars="200"/>
        <w:rPr>
          <w:rFonts w:ascii="宋体" w:hAnsi="宋体" w:eastAsia="宋体" w:cs="宋体"/>
          <w:b/>
        </w:rPr>
      </w:pPr>
      <w:r>
        <w:rPr>
          <w:rFonts w:hint="eastAsia" w:ascii="宋体" w:hAnsi="宋体" w:eastAsia="宋体" w:cs="宋体"/>
          <w:b/>
        </w:rPr>
        <w:t>3、该声明书请各供应商在开标前提前准备好。</w:t>
      </w:r>
    </w:p>
    <w:p w14:paraId="27AD2AFB">
      <w:pPr>
        <w:ind w:firstLine="560"/>
        <w:rPr>
          <w:rFonts w:ascii="宋体" w:hAnsi="宋体" w:cs="宋体"/>
          <w:b/>
        </w:rPr>
      </w:pPr>
    </w:p>
    <w:p w14:paraId="3B5B73D2">
      <w:pPr>
        <w:ind w:firstLine="560"/>
        <w:rPr>
          <w:rFonts w:ascii="宋体" w:hAnsi="宋体" w:cs="宋体"/>
          <w:b/>
          <w:color w:val="000000" w:themeColor="text1"/>
          <w:highlight w:val="none"/>
        </w:rPr>
      </w:pPr>
    </w:p>
    <w:sectPr>
      <w:pgSz w:w="11906" w:h="16838"/>
      <w:pgMar w:top="1440" w:right="1797" w:bottom="1440" w:left="1797"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BBD27">
    <w:pPr>
      <w:pBdr>
        <w:top w:val="single" w:color="auto" w:sz="4" w:space="1"/>
      </w:pBdr>
    </w:pPr>
    <w:r>
      <w:rPr>
        <w:rFonts w:hint="eastAsia" w:ascii="宋体" w:hAnsi="宋体"/>
      </w:rPr>
      <w:t>浙江大兴建设项目管理咨询有限公司                                联系电话：18857827698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385FB">
    <w:pPr>
      <w:pBdr>
        <w:top w:val="single" w:color="auto" w:sz="4" w:space="1"/>
      </w:pBdr>
      <w:rPr>
        <w:rFonts w:ascii="宋体" w:hAnsi="宋体"/>
      </w:rPr>
    </w:pPr>
    <w:r>
      <w:pict>
        <v:shape id="_x0000_s3074" o:spid="_x0000_s307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14:paraId="6B6742B0">
                <w:pPr>
                  <w:pStyle w:val="30"/>
                </w:pPr>
                <w:r>
                  <w:fldChar w:fldCharType="begin"/>
                </w:r>
                <w:r>
                  <w:instrText xml:space="preserve"> PAGE  \* MERGEFORMAT </w:instrText>
                </w:r>
                <w:r>
                  <w:fldChar w:fldCharType="separate"/>
                </w:r>
                <w:r>
                  <w:t>16</w:t>
                </w:r>
                <w:r>
                  <w:fldChar w:fldCharType="end"/>
                </w:r>
              </w:p>
            </w:txbxContent>
          </v:textbox>
        </v:shape>
      </w:pict>
    </w:r>
    <w:r>
      <w:pict>
        <v:shape id="_x0000_s3073" o:spid="_x0000_s3073" o:spt="202" type="#_x0000_t202" style="position:absolute;left:0pt;margin-left:3.55pt;margin-top:0pt;height:15.6pt;width:449.35pt;mso-position-horizontal-relative:margin;z-index:251659264;mso-width-relative:page;mso-height-relative:page;" filled="f" stroked="f" coordsize="21600,21600" o:gfxdata="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aCVg9QAAAAFAQAADwAAAAAAAAABACAAAAAiAAAAZHJzL2Rvd25yZXYu&#10;eG1sUEsBAhQAFAAAAAgAh07iQC09PIw4AgAAYgQAAA4AAAAAAAAAAQAgAAAAIwEAAGRycy9lMm9E&#10;b2MueG1sUEsFBgAAAAAGAAYAWQEAAM0FAAAAAA==&#10;">
          <v:path/>
          <v:fill on="f" focussize="0,0"/>
          <v:stroke on="f" weight="0.5pt" joinstyle="miter"/>
          <v:imagedata o:title=""/>
          <o:lock v:ext="edit"/>
          <v:textbox inset="0mm,0mm,0mm,0mm">
            <w:txbxContent>
              <w:p w14:paraId="7B6F472F">
                <w:pPr>
                  <w:pBdr>
                    <w:top w:val="single" w:color="auto" w:sz="4" w:space="1"/>
                  </w:pBdr>
                </w:pPr>
                <w:r>
                  <w:rPr>
                    <w:rFonts w:hint="eastAsia" w:ascii="宋体" w:hAnsi="宋体"/>
                  </w:rPr>
                  <w:t>浙江大兴建设项目管理咨询有限公司                    联系电话：</w:t>
                </w:r>
                <w:r>
                  <w:rPr>
                    <w:rFonts w:ascii="宋体" w:hAnsi="宋体"/>
                  </w:rPr>
                  <w:t>18857827698</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0D997">
    <w:pPr>
      <w:pBdr>
        <w:top w:val="single" w:color="auto" w:sz="4" w:space="1"/>
      </w:pBdr>
    </w:pPr>
    <w: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54589CAD">
                <w:pPr>
                  <w:pStyle w:val="30"/>
                </w:pPr>
                <w:r>
                  <w:fldChar w:fldCharType="begin"/>
                </w:r>
                <w:r>
                  <w:instrText xml:space="preserve"> PAGE  \* MERGEFORMAT </w:instrText>
                </w:r>
                <w:r>
                  <w:fldChar w:fldCharType="separate"/>
                </w:r>
                <w:r>
                  <w:t>47</w:t>
                </w:r>
                <w:r>
                  <w:fldChar w:fldCharType="end"/>
                </w:r>
              </w:p>
            </w:txbxContent>
          </v:textbox>
        </v:shape>
      </w:pict>
    </w:r>
    <w:r>
      <w:rPr>
        <w:rFonts w:hint="eastAsia" w:ascii="宋体" w:hAnsi="宋体"/>
      </w:rPr>
      <w:t>浙江大兴建设项目管理咨询有限公司                        联系电话：18857827698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AD162">
    <w:pPr>
      <w:pStyle w:val="30"/>
      <w:framePr w:wrap="around" w:vAnchor="text" w:hAnchor="margin" w:xAlign="center" w:y="1"/>
      <w:rPr>
        <w:rStyle w:val="50"/>
      </w:rPr>
    </w:pPr>
    <w:r>
      <w:rPr>
        <w:rStyle w:val="50"/>
      </w:rPr>
      <w:fldChar w:fldCharType="begin"/>
    </w:r>
    <w:r>
      <w:rPr>
        <w:rStyle w:val="50"/>
      </w:rPr>
      <w:instrText xml:space="preserve">PAGE  </w:instrText>
    </w:r>
    <w:r>
      <w:rPr>
        <w:rStyle w:val="50"/>
      </w:rPr>
      <w:fldChar w:fldCharType="separate"/>
    </w:r>
    <w:r>
      <w:rPr>
        <w:rStyle w:val="50"/>
      </w:rPr>
      <w:t>52</w:t>
    </w:r>
    <w:r>
      <w:rPr>
        <w:rStyle w:val="50"/>
      </w:rPr>
      <w:fldChar w:fldCharType="end"/>
    </w:r>
  </w:p>
  <w:p w14:paraId="66621B30">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14FB">
    <w:pPr>
      <w:pStyle w:val="31"/>
      <w:ind w:right="-4"/>
      <w:jc w:val="left"/>
      <w:rPr>
        <w:rFonts w:ascii="宋体" w:hAnsi="宋体"/>
        <w:szCs w:val="18"/>
      </w:rPr>
    </w:pPr>
    <w:r>
      <w:rPr>
        <w:rFonts w:hint="eastAsia" w:ascii="宋体" w:hAnsi="宋体"/>
        <w:szCs w:val="18"/>
        <w:lang w:eastAsia="zh-CN"/>
      </w:rPr>
      <w:t>松阳县大东坝镇2024-2025年度松材线虫病枯死树除治服务采购项目</w:t>
    </w:r>
    <w:r>
      <w:rPr>
        <w:rFonts w:hint="eastAsia" w:ascii="宋体" w:hAnsi="宋体"/>
        <w:szCs w:val="18"/>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2488">
    <w:pPr>
      <w:pStyle w:val="31"/>
      <w:ind w:right="-4"/>
      <w:jc w:val="left"/>
      <w:rPr>
        <w:rFonts w:ascii="宋体" w:hAnsi="宋体"/>
        <w:szCs w:val="18"/>
      </w:rPr>
    </w:pPr>
    <w:r>
      <w:rPr>
        <w:rFonts w:hint="eastAsia" w:ascii="宋体" w:hAnsi="宋体" w:cs="宋体"/>
        <w:szCs w:val="18"/>
        <w:lang w:eastAsia="zh-CN"/>
      </w:rPr>
      <w:t>松阳县大东坝镇2024-2025年度松材线虫病枯死树除治服务采购项目</w:t>
    </w:r>
    <w:r>
      <w:rPr>
        <w:rFonts w:hint="eastAsia" w:ascii="宋体" w:hAnsi="宋体"/>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F5D2B"/>
    <w:multiLevelType w:val="multilevel"/>
    <w:tmpl w:val="054F5D2B"/>
    <w:lvl w:ilvl="0" w:tentative="0">
      <w:start w:val="1"/>
      <w:numFmt w:val="japaneseCounting"/>
      <w:lvlText w:val="第%1章"/>
      <w:lvlJc w:val="left"/>
      <w:pPr>
        <w:ind w:left="2238" w:hanging="1515"/>
      </w:pPr>
      <w:rPr>
        <w:rFonts w:hint="default"/>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1">
    <w:nsid w:val="13608C74"/>
    <w:multiLevelType w:val="singleLevel"/>
    <w:tmpl w:val="13608C74"/>
    <w:lvl w:ilvl="0" w:tentative="0">
      <w:start w:val="8"/>
      <w:numFmt w:val="decimal"/>
      <w:suff w:val="nothing"/>
      <w:lvlText w:val="%1、"/>
      <w:lvlJc w:val="left"/>
    </w:lvl>
  </w:abstractNum>
  <w:abstractNum w:abstractNumId="2">
    <w:nsid w:val="2B494E45"/>
    <w:multiLevelType w:val="multilevel"/>
    <w:tmpl w:val="2B494E45"/>
    <w:lvl w:ilvl="0" w:tentative="0">
      <w:start w:val="1"/>
      <w:numFmt w:val="bullet"/>
      <w:lvlText w:val=""/>
      <w:lvlJc w:val="left"/>
      <w:pPr>
        <w:ind w:left="1413" w:hanging="420"/>
      </w:pPr>
      <w:rPr>
        <w:rFonts w:hint="default" w:ascii="仿宋_GB2312" w:hAnsi="Wingdings"/>
        <w:b/>
      </w:rPr>
    </w:lvl>
    <w:lvl w:ilvl="1" w:tentative="0">
      <w:start w:val="1"/>
      <w:numFmt w:val="bullet"/>
      <w:lvlText w:val=""/>
      <w:lvlJc w:val="left"/>
      <w:pPr>
        <w:ind w:left="1833" w:hanging="420"/>
      </w:pPr>
      <w:rPr>
        <w:rFonts w:hint="default" w:ascii="Wingdings" w:hAnsi="Wingdings"/>
      </w:rPr>
    </w:lvl>
    <w:lvl w:ilvl="2" w:tentative="0">
      <w:start w:val="1"/>
      <w:numFmt w:val="bullet"/>
      <w:lvlText w:val=""/>
      <w:lvlJc w:val="left"/>
      <w:pPr>
        <w:ind w:left="2253" w:hanging="420"/>
      </w:pPr>
      <w:rPr>
        <w:rFonts w:hint="default" w:ascii="Wingdings" w:hAnsi="Wingdings"/>
      </w:rPr>
    </w:lvl>
    <w:lvl w:ilvl="3" w:tentative="0">
      <w:start w:val="1"/>
      <w:numFmt w:val="bullet"/>
      <w:lvlText w:val=""/>
      <w:lvlJc w:val="left"/>
      <w:pPr>
        <w:ind w:left="2673" w:hanging="420"/>
      </w:pPr>
      <w:rPr>
        <w:rFonts w:hint="default" w:ascii="Wingdings" w:hAnsi="Wingdings"/>
      </w:rPr>
    </w:lvl>
    <w:lvl w:ilvl="4" w:tentative="0">
      <w:start w:val="1"/>
      <w:numFmt w:val="bullet"/>
      <w:lvlText w:val=""/>
      <w:lvlJc w:val="left"/>
      <w:pPr>
        <w:ind w:left="3093" w:hanging="420"/>
      </w:pPr>
      <w:rPr>
        <w:rFonts w:hint="default" w:ascii="Wingdings" w:hAnsi="Wingdings"/>
      </w:rPr>
    </w:lvl>
    <w:lvl w:ilvl="5" w:tentative="0">
      <w:start w:val="1"/>
      <w:numFmt w:val="bullet"/>
      <w:lvlText w:val=""/>
      <w:lvlJc w:val="left"/>
      <w:pPr>
        <w:ind w:left="3513" w:hanging="420"/>
      </w:pPr>
      <w:rPr>
        <w:rFonts w:hint="default" w:ascii="Wingdings" w:hAnsi="Wingdings"/>
      </w:rPr>
    </w:lvl>
    <w:lvl w:ilvl="6" w:tentative="0">
      <w:start w:val="1"/>
      <w:numFmt w:val="bullet"/>
      <w:lvlText w:val=""/>
      <w:lvlJc w:val="left"/>
      <w:pPr>
        <w:ind w:left="3933" w:hanging="420"/>
      </w:pPr>
      <w:rPr>
        <w:rFonts w:hint="default" w:ascii="Wingdings" w:hAnsi="Wingdings"/>
      </w:rPr>
    </w:lvl>
    <w:lvl w:ilvl="7" w:tentative="0">
      <w:start w:val="1"/>
      <w:numFmt w:val="bullet"/>
      <w:lvlText w:val=""/>
      <w:lvlJc w:val="left"/>
      <w:pPr>
        <w:ind w:left="4353" w:hanging="420"/>
      </w:pPr>
      <w:rPr>
        <w:rFonts w:hint="default" w:ascii="Wingdings" w:hAnsi="Wingdings"/>
      </w:rPr>
    </w:lvl>
    <w:lvl w:ilvl="8" w:tentative="0">
      <w:start w:val="1"/>
      <w:numFmt w:val="bullet"/>
      <w:lvlText w:val=""/>
      <w:lvlJc w:val="left"/>
      <w:pPr>
        <w:ind w:left="4773" w:hanging="420"/>
      </w:pPr>
      <w:rPr>
        <w:rFonts w:hint="default" w:ascii="Wingdings" w:hAnsi="Wingdings"/>
      </w:rPr>
    </w:lvl>
  </w:abstractNum>
  <w:abstractNum w:abstractNumId="3">
    <w:nsid w:val="7EA839FC"/>
    <w:multiLevelType w:val="multilevel"/>
    <w:tmpl w:val="7EA839FC"/>
    <w:lvl w:ilvl="0" w:tentative="0">
      <w:start w:val="1"/>
      <w:numFmt w:val="bullet"/>
      <w:lvlText w:val=""/>
      <w:lvlJc w:val="left"/>
      <w:pPr>
        <w:ind w:left="1980" w:hanging="420"/>
      </w:pPr>
      <w:rPr>
        <w:rFonts w:hint="default" w:ascii="Wingdings" w:hAnsi="Wingdings"/>
      </w:rPr>
    </w:lvl>
    <w:lvl w:ilvl="1" w:tentative="0">
      <w:start w:val="1"/>
      <w:numFmt w:val="bullet"/>
      <w:lvlText w:val=""/>
      <w:lvlJc w:val="left"/>
      <w:pPr>
        <w:ind w:left="2100" w:hanging="420"/>
      </w:pPr>
      <w:rPr>
        <w:rFonts w:hint="default" w:ascii="Wingdings" w:hAnsi="Wingdings"/>
      </w:rPr>
    </w:lvl>
    <w:lvl w:ilvl="2" w:tentative="0">
      <w:start w:val="1"/>
      <w:numFmt w:val="bullet"/>
      <w:lvlText w:val=""/>
      <w:lvlJc w:val="left"/>
      <w:pPr>
        <w:ind w:left="2520" w:hanging="420"/>
      </w:pPr>
      <w:rPr>
        <w:rFonts w:hint="default" w:ascii="Wingdings" w:hAnsi="Wingdings"/>
      </w:rPr>
    </w:lvl>
    <w:lvl w:ilvl="3" w:tentative="0">
      <w:start w:val="1"/>
      <w:numFmt w:val="bullet"/>
      <w:lvlText w:val=""/>
      <w:lvlJc w:val="left"/>
      <w:pPr>
        <w:ind w:left="2940" w:hanging="420"/>
      </w:pPr>
      <w:rPr>
        <w:rFonts w:hint="default" w:ascii="Wingdings" w:hAnsi="Wingdings"/>
      </w:rPr>
    </w:lvl>
    <w:lvl w:ilvl="4" w:tentative="0">
      <w:start w:val="1"/>
      <w:numFmt w:val="bullet"/>
      <w:lvlText w:val=""/>
      <w:lvlJc w:val="left"/>
      <w:pPr>
        <w:ind w:left="3360" w:hanging="420"/>
      </w:pPr>
      <w:rPr>
        <w:rFonts w:hint="default" w:ascii="Wingdings" w:hAnsi="Wingdings"/>
      </w:rPr>
    </w:lvl>
    <w:lvl w:ilvl="5" w:tentative="0">
      <w:start w:val="1"/>
      <w:numFmt w:val="bullet"/>
      <w:lvlText w:val=""/>
      <w:lvlJc w:val="left"/>
      <w:pPr>
        <w:ind w:left="3780" w:hanging="420"/>
      </w:pPr>
      <w:rPr>
        <w:rFonts w:hint="default" w:ascii="Wingdings" w:hAnsi="Wingdings"/>
      </w:rPr>
    </w:lvl>
    <w:lvl w:ilvl="6" w:tentative="0">
      <w:start w:val="1"/>
      <w:numFmt w:val="bullet"/>
      <w:lvlText w:val=""/>
      <w:lvlJc w:val="left"/>
      <w:pPr>
        <w:ind w:left="4200" w:hanging="420"/>
      </w:pPr>
      <w:rPr>
        <w:rFonts w:hint="default" w:ascii="Wingdings" w:hAnsi="Wingdings"/>
      </w:rPr>
    </w:lvl>
    <w:lvl w:ilvl="7" w:tentative="0">
      <w:start w:val="1"/>
      <w:numFmt w:val="bullet"/>
      <w:lvlText w:val=""/>
      <w:lvlJc w:val="left"/>
      <w:pPr>
        <w:ind w:left="4620" w:hanging="420"/>
      </w:pPr>
      <w:rPr>
        <w:rFonts w:hint="default" w:ascii="Wingdings" w:hAnsi="Wingdings"/>
      </w:rPr>
    </w:lvl>
    <w:lvl w:ilvl="8" w:tentative="0">
      <w:start w:val="1"/>
      <w:numFmt w:val="bullet"/>
      <w:lvlText w:val=""/>
      <w:lvlJc w:val="left"/>
      <w:pPr>
        <w:ind w:left="504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autoHyphenation/>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MzMmQ2Njk1ZjE3MmUzZThkYWUxYzMxZWEzZmQyNGUifQ=="/>
  </w:docVars>
  <w:rsids>
    <w:rsidRoot w:val="008241EE"/>
    <w:rsid w:val="0000008B"/>
    <w:rsid w:val="00000270"/>
    <w:rsid w:val="00000A06"/>
    <w:rsid w:val="00000C69"/>
    <w:rsid w:val="000027A3"/>
    <w:rsid w:val="000030EF"/>
    <w:rsid w:val="0000383A"/>
    <w:rsid w:val="00003905"/>
    <w:rsid w:val="00003A68"/>
    <w:rsid w:val="00003C7B"/>
    <w:rsid w:val="00004475"/>
    <w:rsid w:val="00004AFC"/>
    <w:rsid w:val="00004BB4"/>
    <w:rsid w:val="00004FD5"/>
    <w:rsid w:val="000063D7"/>
    <w:rsid w:val="00010AEC"/>
    <w:rsid w:val="00012FF1"/>
    <w:rsid w:val="00014B52"/>
    <w:rsid w:val="00015810"/>
    <w:rsid w:val="00015CBE"/>
    <w:rsid w:val="00017303"/>
    <w:rsid w:val="000174DF"/>
    <w:rsid w:val="000208C4"/>
    <w:rsid w:val="00020BA0"/>
    <w:rsid w:val="00020C86"/>
    <w:rsid w:val="00021913"/>
    <w:rsid w:val="000235E9"/>
    <w:rsid w:val="00023DF4"/>
    <w:rsid w:val="00024C77"/>
    <w:rsid w:val="000259F4"/>
    <w:rsid w:val="00026438"/>
    <w:rsid w:val="0002693D"/>
    <w:rsid w:val="000303A8"/>
    <w:rsid w:val="0003055A"/>
    <w:rsid w:val="0003200F"/>
    <w:rsid w:val="0003255F"/>
    <w:rsid w:val="000330A5"/>
    <w:rsid w:val="00033CE8"/>
    <w:rsid w:val="00033D54"/>
    <w:rsid w:val="00036F13"/>
    <w:rsid w:val="00037597"/>
    <w:rsid w:val="00041199"/>
    <w:rsid w:val="000412D3"/>
    <w:rsid w:val="00041881"/>
    <w:rsid w:val="0004544B"/>
    <w:rsid w:val="00045C81"/>
    <w:rsid w:val="00046546"/>
    <w:rsid w:val="000478C7"/>
    <w:rsid w:val="00050192"/>
    <w:rsid w:val="00050B8F"/>
    <w:rsid w:val="0005124B"/>
    <w:rsid w:val="00051877"/>
    <w:rsid w:val="000519F5"/>
    <w:rsid w:val="00051AA5"/>
    <w:rsid w:val="00051D5A"/>
    <w:rsid w:val="00053908"/>
    <w:rsid w:val="00054E82"/>
    <w:rsid w:val="00055535"/>
    <w:rsid w:val="000557B5"/>
    <w:rsid w:val="0005629B"/>
    <w:rsid w:val="00056303"/>
    <w:rsid w:val="00056C46"/>
    <w:rsid w:val="000573F9"/>
    <w:rsid w:val="00057C77"/>
    <w:rsid w:val="00057DF4"/>
    <w:rsid w:val="00057E87"/>
    <w:rsid w:val="00060698"/>
    <w:rsid w:val="00064A75"/>
    <w:rsid w:val="000660BA"/>
    <w:rsid w:val="00070FE5"/>
    <w:rsid w:val="00071EC4"/>
    <w:rsid w:val="00072AC1"/>
    <w:rsid w:val="00074470"/>
    <w:rsid w:val="000746D4"/>
    <w:rsid w:val="0007523A"/>
    <w:rsid w:val="00076AB0"/>
    <w:rsid w:val="00076C10"/>
    <w:rsid w:val="00077A36"/>
    <w:rsid w:val="00080482"/>
    <w:rsid w:val="0008076A"/>
    <w:rsid w:val="000816B7"/>
    <w:rsid w:val="00081729"/>
    <w:rsid w:val="00081D09"/>
    <w:rsid w:val="00081F92"/>
    <w:rsid w:val="0008270D"/>
    <w:rsid w:val="0008284C"/>
    <w:rsid w:val="00083A2A"/>
    <w:rsid w:val="00085BF6"/>
    <w:rsid w:val="0008634A"/>
    <w:rsid w:val="00087B59"/>
    <w:rsid w:val="00087CE5"/>
    <w:rsid w:val="00090667"/>
    <w:rsid w:val="0009244F"/>
    <w:rsid w:val="00092B1E"/>
    <w:rsid w:val="000932CE"/>
    <w:rsid w:val="00094189"/>
    <w:rsid w:val="00094600"/>
    <w:rsid w:val="00095B0B"/>
    <w:rsid w:val="00096F51"/>
    <w:rsid w:val="0009706F"/>
    <w:rsid w:val="000A012A"/>
    <w:rsid w:val="000A0299"/>
    <w:rsid w:val="000A044A"/>
    <w:rsid w:val="000A2B10"/>
    <w:rsid w:val="000A332C"/>
    <w:rsid w:val="000A55FC"/>
    <w:rsid w:val="000A5FBD"/>
    <w:rsid w:val="000A61A1"/>
    <w:rsid w:val="000B0525"/>
    <w:rsid w:val="000B0603"/>
    <w:rsid w:val="000B3606"/>
    <w:rsid w:val="000B388B"/>
    <w:rsid w:val="000B453B"/>
    <w:rsid w:val="000B56C0"/>
    <w:rsid w:val="000B5A06"/>
    <w:rsid w:val="000B5B05"/>
    <w:rsid w:val="000C08F1"/>
    <w:rsid w:val="000C1510"/>
    <w:rsid w:val="000C19E5"/>
    <w:rsid w:val="000C2DB4"/>
    <w:rsid w:val="000C2E2B"/>
    <w:rsid w:val="000C4F6A"/>
    <w:rsid w:val="000C5641"/>
    <w:rsid w:val="000C5918"/>
    <w:rsid w:val="000C70A1"/>
    <w:rsid w:val="000C713B"/>
    <w:rsid w:val="000C71EB"/>
    <w:rsid w:val="000C7C98"/>
    <w:rsid w:val="000D0E14"/>
    <w:rsid w:val="000D2C0D"/>
    <w:rsid w:val="000D3028"/>
    <w:rsid w:val="000D5036"/>
    <w:rsid w:val="000D55B1"/>
    <w:rsid w:val="000D58C1"/>
    <w:rsid w:val="000E21F1"/>
    <w:rsid w:val="000E5227"/>
    <w:rsid w:val="000E5C4A"/>
    <w:rsid w:val="000E7185"/>
    <w:rsid w:val="000F0487"/>
    <w:rsid w:val="000F1858"/>
    <w:rsid w:val="000F2FE3"/>
    <w:rsid w:val="000F373E"/>
    <w:rsid w:val="000F474D"/>
    <w:rsid w:val="000F4A6C"/>
    <w:rsid w:val="000F58B3"/>
    <w:rsid w:val="000F691F"/>
    <w:rsid w:val="000F736E"/>
    <w:rsid w:val="000F742D"/>
    <w:rsid w:val="00100CFC"/>
    <w:rsid w:val="00101953"/>
    <w:rsid w:val="00102EC0"/>
    <w:rsid w:val="00104CA6"/>
    <w:rsid w:val="00104E7A"/>
    <w:rsid w:val="00104F76"/>
    <w:rsid w:val="00105565"/>
    <w:rsid w:val="00105609"/>
    <w:rsid w:val="00107F90"/>
    <w:rsid w:val="00110256"/>
    <w:rsid w:val="001102A1"/>
    <w:rsid w:val="001107D7"/>
    <w:rsid w:val="001115D4"/>
    <w:rsid w:val="00111A20"/>
    <w:rsid w:val="00112E9F"/>
    <w:rsid w:val="00112FB4"/>
    <w:rsid w:val="00113A80"/>
    <w:rsid w:val="00113D7E"/>
    <w:rsid w:val="0011467F"/>
    <w:rsid w:val="0011591C"/>
    <w:rsid w:val="00115E51"/>
    <w:rsid w:val="001162CA"/>
    <w:rsid w:val="00121305"/>
    <w:rsid w:val="001217F0"/>
    <w:rsid w:val="00121A02"/>
    <w:rsid w:val="00122691"/>
    <w:rsid w:val="00122E47"/>
    <w:rsid w:val="001232F2"/>
    <w:rsid w:val="00123AD8"/>
    <w:rsid w:val="00123AF8"/>
    <w:rsid w:val="00124722"/>
    <w:rsid w:val="001248C2"/>
    <w:rsid w:val="001257DD"/>
    <w:rsid w:val="00125A2E"/>
    <w:rsid w:val="00125A8E"/>
    <w:rsid w:val="00125C09"/>
    <w:rsid w:val="00127BFD"/>
    <w:rsid w:val="00131536"/>
    <w:rsid w:val="00132BCE"/>
    <w:rsid w:val="001344F6"/>
    <w:rsid w:val="00134E0A"/>
    <w:rsid w:val="00135823"/>
    <w:rsid w:val="00135CAE"/>
    <w:rsid w:val="001366F0"/>
    <w:rsid w:val="00140938"/>
    <w:rsid w:val="00141A65"/>
    <w:rsid w:val="00141E97"/>
    <w:rsid w:val="00142E5E"/>
    <w:rsid w:val="00143519"/>
    <w:rsid w:val="001437CD"/>
    <w:rsid w:val="00143AF0"/>
    <w:rsid w:val="001440E2"/>
    <w:rsid w:val="00144DFC"/>
    <w:rsid w:val="00145D57"/>
    <w:rsid w:val="001464AB"/>
    <w:rsid w:val="001468BF"/>
    <w:rsid w:val="00146A42"/>
    <w:rsid w:val="00147864"/>
    <w:rsid w:val="00150AFB"/>
    <w:rsid w:val="001527E8"/>
    <w:rsid w:val="00153042"/>
    <w:rsid w:val="00157795"/>
    <w:rsid w:val="00157AE9"/>
    <w:rsid w:val="0016018D"/>
    <w:rsid w:val="0016262C"/>
    <w:rsid w:val="0016270E"/>
    <w:rsid w:val="001627BE"/>
    <w:rsid w:val="001633DF"/>
    <w:rsid w:val="001637E2"/>
    <w:rsid w:val="001640EE"/>
    <w:rsid w:val="001641CF"/>
    <w:rsid w:val="001666DD"/>
    <w:rsid w:val="0017015C"/>
    <w:rsid w:val="00170747"/>
    <w:rsid w:val="001707A4"/>
    <w:rsid w:val="0017097C"/>
    <w:rsid w:val="00171956"/>
    <w:rsid w:val="00173279"/>
    <w:rsid w:val="001759E8"/>
    <w:rsid w:val="00175A45"/>
    <w:rsid w:val="00175F1E"/>
    <w:rsid w:val="00176384"/>
    <w:rsid w:val="00176C79"/>
    <w:rsid w:val="00177007"/>
    <w:rsid w:val="00177CAD"/>
    <w:rsid w:val="00177CEF"/>
    <w:rsid w:val="00180261"/>
    <w:rsid w:val="00180E19"/>
    <w:rsid w:val="00182304"/>
    <w:rsid w:val="001836B1"/>
    <w:rsid w:val="00183B3F"/>
    <w:rsid w:val="00184D3B"/>
    <w:rsid w:val="00185205"/>
    <w:rsid w:val="00185492"/>
    <w:rsid w:val="00185A7D"/>
    <w:rsid w:val="00185DBC"/>
    <w:rsid w:val="0018647A"/>
    <w:rsid w:val="00186F77"/>
    <w:rsid w:val="00187868"/>
    <w:rsid w:val="001905B0"/>
    <w:rsid w:val="0019078B"/>
    <w:rsid w:val="00191D3C"/>
    <w:rsid w:val="00192301"/>
    <w:rsid w:val="0019245C"/>
    <w:rsid w:val="00192797"/>
    <w:rsid w:val="00192D38"/>
    <w:rsid w:val="001934AA"/>
    <w:rsid w:val="00193534"/>
    <w:rsid w:val="00193E34"/>
    <w:rsid w:val="001943E1"/>
    <w:rsid w:val="00194DC1"/>
    <w:rsid w:val="00196AE9"/>
    <w:rsid w:val="001A2F45"/>
    <w:rsid w:val="001A401C"/>
    <w:rsid w:val="001A4358"/>
    <w:rsid w:val="001A6554"/>
    <w:rsid w:val="001A66EB"/>
    <w:rsid w:val="001A6C4D"/>
    <w:rsid w:val="001A6EF3"/>
    <w:rsid w:val="001B069E"/>
    <w:rsid w:val="001B3F7A"/>
    <w:rsid w:val="001B46D2"/>
    <w:rsid w:val="001B4E3A"/>
    <w:rsid w:val="001B6997"/>
    <w:rsid w:val="001B6A48"/>
    <w:rsid w:val="001B72AD"/>
    <w:rsid w:val="001B7519"/>
    <w:rsid w:val="001C0804"/>
    <w:rsid w:val="001C1F2F"/>
    <w:rsid w:val="001C23F2"/>
    <w:rsid w:val="001C2615"/>
    <w:rsid w:val="001C3262"/>
    <w:rsid w:val="001C4A6F"/>
    <w:rsid w:val="001C506B"/>
    <w:rsid w:val="001C6883"/>
    <w:rsid w:val="001C7521"/>
    <w:rsid w:val="001C79D3"/>
    <w:rsid w:val="001D197A"/>
    <w:rsid w:val="001D2196"/>
    <w:rsid w:val="001D2B36"/>
    <w:rsid w:val="001D2FC4"/>
    <w:rsid w:val="001D4D1D"/>
    <w:rsid w:val="001D64BB"/>
    <w:rsid w:val="001D7A98"/>
    <w:rsid w:val="001E02F0"/>
    <w:rsid w:val="001E0681"/>
    <w:rsid w:val="001E0C69"/>
    <w:rsid w:val="001E11C5"/>
    <w:rsid w:val="001E16DA"/>
    <w:rsid w:val="001E1964"/>
    <w:rsid w:val="001E1FF6"/>
    <w:rsid w:val="001E46F4"/>
    <w:rsid w:val="001E5438"/>
    <w:rsid w:val="001E5A4B"/>
    <w:rsid w:val="001E620E"/>
    <w:rsid w:val="001E64A1"/>
    <w:rsid w:val="001E7C8D"/>
    <w:rsid w:val="001F1D80"/>
    <w:rsid w:val="001F2189"/>
    <w:rsid w:val="001F2FC1"/>
    <w:rsid w:val="001F320F"/>
    <w:rsid w:val="001F421D"/>
    <w:rsid w:val="001F5F64"/>
    <w:rsid w:val="00201F28"/>
    <w:rsid w:val="00202880"/>
    <w:rsid w:val="00202BEB"/>
    <w:rsid w:val="0020407F"/>
    <w:rsid w:val="00210B18"/>
    <w:rsid w:val="00211B97"/>
    <w:rsid w:val="002122FD"/>
    <w:rsid w:val="00212C81"/>
    <w:rsid w:val="00212EE0"/>
    <w:rsid w:val="00214C7E"/>
    <w:rsid w:val="002154EF"/>
    <w:rsid w:val="0021677A"/>
    <w:rsid w:val="00217D30"/>
    <w:rsid w:val="0022131D"/>
    <w:rsid w:val="00221FAD"/>
    <w:rsid w:val="0022565D"/>
    <w:rsid w:val="00225A59"/>
    <w:rsid w:val="002260FD"/>
    <w:rsid w:val="0022688D"/>
    <w:rsid w:val="00226E44"/>
    <w:rsid w:val="00227A5C"/>
    <w:rsid w:val="00232AC1"/>
    <w:rsid w:val="00232E89"/>
    <w:rsid w:val="00233FA2"/>
    <w:rsid w:val="00234249"/>
    <w:rsid w:val="00234A5C"/>
    <w:rsid w:val="002361EA"/>
    <w:rsid w:val="002367BA"/>
    <w:rsid w:val="00244B03"/>
    <w:rsid w:val="002459B5"/>
    <w:rsid w:val="00246028"/>
    <w:rsid w:val="00246C83"/>
    <w:rsid w:val="00250991"/>
    <w:rsid w:val="002514F4"/>
    <w:rsid w:val="00252569"/>
    <w:rsid w:val="002530A9"/>
    <w:rsid w:val="002531D3"/>
    <w:rsid w:val="002534CD"/>
    <w:rsid w:val="00253707"/>
    <w:rsid w:val="00256788"/>
    <w:rsid w:val="00256A0D"/>
    <w:rsid w:val="00256A55"/>
    <w:rsid w:val="00260AE5"/>
    <w:rsid w:val="0026215D"/>
    <w:rsid w:val="002649A0"/>
    <w:rsid w:val="0026581F"/>
    <w:rsid w:val="00266246"/>
    <w:rsid w:val="002706AD"/>
    <w:rsid w:val="00271273"/>
    <w:rsid w:val="00271765"/>
    <w:rsid w:val="00271B69"/>
    <w:rsid w:val="002749CB"/>
    <w:rsid w:val="00274C33"/>
    <w:rsid w:val="00275B9F"/>
    <w:rsid w:val="00275F3F"/>
    <w:rsid w:val="00276DB9"/>
    <w:rsid w:val="0027704D"/>
    <w:rsid w:val="0028081D"/>
    <w:rsid w:val="00286DEE"/>
    <w:rsid w:val="002878DC"/>
    <w:rsid w:val="0029032A"/>
    <w:rsid w:val="00291174"/>
    <w:rsid w:val="00291469"/>
    <w:rsid w:val="0029224F"/>
    <w:rsid w:val="00292256"/>
    <w:rsid w:val="002933E4"/>
    <w:rsid w:val="0029363E"/>
    <w:rsid w:val="0029432F"/>
    <w:rsid w:val="0029583F"/>
    <w:rsid w:val="00296039"/>
    <w:rsid w:val="00297B2B"/>
    <w:rsid w:val="00297D4D"/>
    <w:rsid w:val="002A01EF"/>
    <w:rsid w:val="002A05A1"/>
    <w:rsid w:val="002A2292"/>
    <w:rsid w:val="002A2691"/>
    <w:rsid w:val="002A3ED9"/>
    <w:rsid w:val="002A4D17"/>
    <w:rsid w:val="002A6ED4"/>
    <w:rsid w:val="002B036E"/>
    <w:rsid w:val="002B26F8"/>
    <w:rsid w:val="002B4670"/>
    <w:rsid w:val="002B4D2F"/>
    <w:rsid w:val="002B5105"/>
    <w:rsid w:val="002B5136"/>
    <w:rsid w:val="002B5889"/>
    <w:rsid w:val="002B5CA3"/>
    <w:rsid w:val="002B66EB"/>
    <w:rsid w:val="002B7942"/>
    <w:rsid w:val="002C0208"/>
    <w:rsid w:val="002C0708"/>
    <w:rsid w:val="002C08B9"/>
    <w:rsid w:val="002C0C8B"/>
    <w:rsid w:val="002C105E"/>
    <w:rsid w:val="002C2089"/>
    <w:rsid w:val="002C26DE"/>
    <w:rsid w:val="002C30F1"/>
    <w:rsid w:val="002C34E2"/>
    <w:rsid w:val="002C566F"/>
    <w:rsid w:val="002C575D"/>
    <w:rsid w:val="002C6858"/>
    <w:rsid w:val="002D02A8"/>
    <w:rsid w:val="002D0368"/>
    <w:rsid w:val="002D0D62"/>
    <w:rsid w:val="002D0E7C"/>
    <w:rsid w:val="002D2DFC"/>
    <w:rsid w:val="002D332E"/>
    <w:rsid w:val="002D3AD8"/>
    <w:rsid w:val="002D3CD2"/>
    <w:rsid w:val="002D439D"/>
    <w:rsid w:val="002D564C"/>
    <w:rsid w:val="002D64C7"/>
    <w:rsid w:val="002E0029"/>
    <w:rsid w:val="002E0DE4"/>
    <w:rsid w:val="002E11E7"/>
    <w:rsid w:val="002E18F8"/>
    <w:rsid w:val="002E2D08"/>
    <w:rsid w:val="002E4296"/>
    <w:rsid w:val="002E42C8"/>
    <w:rsid w:val="002E76A0"/>
    <w:rsid w:val="002F0EB3"/>
    <w:rsid w:val="002F2099"/>
    <w:rsid w:val="002F2C62"/>
    <w:rsid w:val="002F2E6A"/>
    <w:rsid w:val="002F6AE5"/>
    <w:rsid w:val="00300351"/>
    <w:rsid w:val="003015D1"/>
    <w:rsid w:val="0030203D"/>
    <w:rsid w:val="00302180"/>
    <w:rsid w:val="00303428"/>
    <w:rsid w:val="00303E97"/>
    <w:rsid w:val="00304D74"/>
    <w:rsid w:val="003054DD"/>
    <w:rsid w:val="00307A10"/>
    <w:rsid w:val="00311C1B"/>
    <w:rsid w:val="00311EEA"/>
    <w:rsid w:val="0031275C"/>
    <w:rsid w:val="003145D3"/>
    <w:rsid w:val="00314F8C"/>
    <w:rsid w:val="00315313"/>
    <w:rsid w:val="00316615"/>
    <w:rsid w:val="003166EB"/>
    <w:rsid w:val="00316F78"/>
    <w:rsid w:val="0031713E"/>
    <w:rsid w:val="0031740A"/>
    <w:rsid w:val="00320D68"/>
    <w:rsid w:val="003214BA"/>
    <w:rsid w:val="00321822"/>
    <w:rsid w:val="0032186C"/>
    <w:rsid w:val="00322432"/>
    <w:rsid w:val="0032362C"/>
    <w:rsid w:val="00324F68"/>
    <w:rsid w:val="00325911"/>
    <w:rsid w:val="00325982"/>
    <w:rsid w:val="003264BF"/>
    <w:rsid w:val="00326A78"/>
    <w:rsid w:val="00326E20"/>
    <w:rsid w:val="00330F99"/>
    <w:rsid w:val="00331D17"/>
    <w:rsid w:val="00332FCE"/>
    <w:rsid w:val="00333221"/>
    <w:rsid w:val="00335A78"/>
    <w:rsid w:val="003369E1"/>
    <w:rsid w:val="0033746D"/>
    <w:rsid w:val="00337D64"/>
    <w:rsid w:val="00340D44"/>
    <w:rsid w:val="003410BE"/>
    <w:rsid w:val="003436F8"/>
    <w:rsid w:val="00343E2A"/>
    <w:rsid w:val="00344591"/>
    <w:rsid w:val="00344938"/>
    <w:rsid w:val="00345678"/>
    <w:rsid w:val="00347C42"/>
    <w:rsid w:val="00350275"/>
    <w:rsid w:val="0035200A"/>
    <w:rsid w:val="00353424"/>
    <w:rsid w:val="00353C03"/>
    <w:rsid w:val="00354C4C"/>
    <w:rsid w:val="00356131"/>
    <w:rsid w:val="00356766"/>
    <w:rsid w:val="00361121"/>
    <w:rsid w:val="003613A4"/>
    <w:rsid w:val="00361634"/>
    <w:rsid w:val="00362307"/>
    <w:rsid w:val="003641D7"/>
    <w:rsid w:val="0036452A"/>
    <w:rsid w:val="003657ED"/>
    <w:rsid w:val="00366D66"/>
    <w:rsid w:val="00370C33"/>
    <w:rsid w:val="00371B82"/>
    <w:rsid w:val="00371D6D"/>
    <w:rsid w:val="003725BC"/>
    <w:rsid w:val="00373098"/>
    <w:rsid w:val="00375303"/>
    <w:rsid w:val="003772E4"/>
    <w:rsid w:val="0037766A"/>
    <w:rsid w:val="00377F09"/>
    <w:rsid w:val="0038028E"/>
    <w:rsid w:val="003815A0"/>
    <w:rsid w:val="0038383B"/>
    <w:rsid w:val="00384331"/>
    <w:rsid w:val="0038497E"/>
    <w:rsid w:val="00384E35"/>
    <w:rsid w:val="00384F97"/>
    <w:rsid w:val="00385AED"/>
    <w:rsid w:val="00386355"/>
    <w:rsid w:val="0038704E"/>
    <w:rsid w:val="00391712"/>
    <w:rsid w:val="00391A2B"/>
    <w:rsid w:val="00391F30"/>
    <w:rsid w:val="0039429B"/>
    <w:rsid w:val="0039454E"/>
    <w:rsid w:val="00394679"/>
    <w:rsid w:val="00396C72"/>
    <w:rsid w:val="00397F18"/>
    <w:rsid w:val="003A0391"/>
    <w:rsid w:val="003A08D1"/>
    <w:rsid w:val="003A096A"/>
    <w:rsid w:val="003A0C0F"/>
    <w:rsid w:val="003A0EF7"/>
    <w:rsid w:val="003A38EA"/>
    <w:rsid w:val="003A6001"/>
    <w:rsid w:val="003A6038"/>
    <w:rsid w:val="003B0406"/>
    <w:rsid w:val="003B092A"/>
    <w:rsid w:val="003B0F08"/>
    <w:rsid w:val="003B124B"/>
    <w:rsid w:val="003B57A3"/>
    <w:rsid w:val="003C07AF"/>
    <w:rsid w:val="003C54A4"/>
    <w:rsid w:val="003C60C3"/>
    <w:rsid w:val="003C7C0F"/>
    <w:rsid w:val="003C7E38"/>
    <w:rsid w:val="003D0403"/>
    <w:rsid w:val="003D1208"/>
    <w:rsid w:val="003D1642"/>
    <w:rsid w:val="003D1643"/>
    <w:rsid w:val="003D1724"/>
    <w:rsid w:val="003D2AB2"/>
    <w:rsid w:val="003D616C"/>
    <w:rsid w:val="003D669A"/>
    <w:rsid w:val="003E034F"/>
    <w:rsid w:val="003E1BED"/>
    <w:rsid w:val="003E21CD"/>
    <w:rsid w:val="003E2B69"/>
    <w:rsid w:val="003E2F30"/>
    <w:rsid w:val="003E4391"/>
    <w:rsid w:val="003F02BD"/>
    <w:rsid w:val="003F03B1"/>
    <w:rsid w:val="003F1EAD"/>
    <w:rsid w:val="003F46EC"/>
    <w:rsid w:val="003F4716"/>
    <w:rsid w:val="003F4B36"/>
    <w:rsid w:val="003F6059"/>
    <w:rsid w:val="003F6A16"/>
    <w:rsid w:val="003F7BAF"/>
    <w:rsid w:val="00401AB3"/>
    <w:rsid w:val="00401AD5"/>
    <w:rsid w:val="00402603"/>
    <w:rsid w:val="00403F0B"/>
    <w:rsid w:val="0040427F"/>
    <w:rsid w:val="004042B9"/>
    <w:rsid w:val="00404505"/>
    <w:rsid w:val="00407386"/>
    <w:rsid w:val="00410350"/>
    <w:rsid w:val="00411334"/>
    <w:rsid w:val="00416485"/>
    <w:rsid w:val="00416994"/>
    <w:rsid w:val="004202D2"/>
    <w:rsid w:val="004203B0"/>
    <w:rsid w:val="0042086C"/>
    <w:rsid w:val="00420F82"/>
    <w:rsid w:val="00422749"/>
    <w:rsid w:val="00423570"/>
    <w:rsid w:val="00424D88"/>
    <w:rsid w:val="00426DDC"/>
    <w:rsid w:val="00427C5A"/>
    <w:rsid w:val="004305E0"/>
    <w:rsid w:val="00430AC0"/>
    <w:rsid w:val="004311C2"/>
    <w:rsid w:val="00431510"/>
    <w:rsid w:val="004324EC"/>
    <w:rsid w:val="004337F8"/>
    <w:rsid w:val="00434868"/>
    <w:rsid w:val="00434BF0"/>
    <w:rsid w:val="0043506B"/>
    <w:rsid w:val="004375DE"/>
    <w:rsid w:val="00437DC0"/>
    <w:rsid w:val="00440078"/>
    <w:rsid w:val="00441845"/>
    <w:rsid w:val="00442B43"/>
    <w:rsid w:val="004442DF"/>
    <w:rsid w:val="00446773"/>
    <w:rsid w:val="00447D5D"/>
    <w:rsid w:val="00447F6C"/>
    <w:rsid w:val="00451AAB"/>
    <w:rsid w:val="004520B3"/>
    <w:rsid w:val="004536EA"/>
    <w:rsid w:val="004538F8"/>
    <w:rsid w:val="00453AB8"/>
    <w:rsid w:val="00454548"/>
    <w:rsid w:val="004545D9"/>
    <w:rsid w:val="00454C36"/>
    <w:rsid w:val="00455751"/>
    <w:rsid w:val="00456379"/>
    <w:rsid w:val="0045663F"/>
    <w:rsid w:val="004600FD"/>
    <w:rsid w:val="00461D6D"/>
    <w:rsid w:val="00463D5F"/>
    <w:rsid w:val="00466B54"/>
    <w:rsid w:val="00467640"/>
    <w:rsid w:val="004676A8"/>
    <w:rsid w:val="00467925"/>
    <w:rsid w:val="00470551"/>
    <w:rsid w:val="00470FA8"/>
    <w:rsid w:val="004715BA"/>
    <w:rsid w:val="00471FF8"/>
    <w:rsid w:val="0047274D"/>
    <w:rsid w:val="0047404D"/>
    <w:rsid w:val="00474587"/>
    <w:rsid w:val="004753E8"/>
    <w:rsid w:val="0047637A"/>
    <w:rsid w:val="004772C1"/>
    <w:rsid w:val="0047733E"/>
    <w:rsid w:val="0048074B"/>
    <w:rsid w:val="00481B0A"/>
    <w:rsid w:val="0048236F"/>
    <w:rsid w:val="00483709"/>
    <w:rsid w:val="00483773"/>
    <w:rsid w:val="00485FDD"/>
    <w:rsid w:val="004860A4"/>
    <w:rsid w:val="004902C8"/>
    <w:rsid w:val="00493115"/>
    <w:rsid w:val="004940D8"/>
    <w:rsid w:val="004940E4"/>
    <w:rsid w:val="0049496B"/>
    <w:rsid w:val="00496F88"/>
    <w:rsid w:val="004A07D0"/>
    <w:rsid w:val="004A25E3"/>
    <w:rsid w:val="004A3D77"/>
    <w:rsid w:val="004A3FE5"/>
    <w:rsid w:val="004A41D1"/>
    <w:rsid w:val="004A43C5"/>
    <w:rsid w:val="004A5BFA"/>
    <w:rsid w:val="004A6092"/>
    <w:rsid w:val="004A6474"/>
    <w:rsid w:val="004A78DF"/>
    <w:rsid w:val="004B047E"/>
    <w:rsid w:val="004B076A"/>
    <w:rsid w:val="004B1197"/>
    <w:rsid w:val="004B1656"/>
    <w:rsid w:val="004B2751"/>
    <w:rsid w:val="004B313B"/>
    <w:rsid w:val="004B4D6A"/>
    <w:rsid w:val="004C0C88"/>
    <w:rsid w:val="004C0D00"/>
    <w:rsid w:val="004C0EF9"/>
    <w:rsid w:val="004C1E0D"/>
    <w:rsid w:val="004C438D"/>
    <w:rsid w:val="004C486E"/>
    <w:rsid w:val="004C6062"/>
    <w:rsid w:val="004C7BE3"/>
    <w:rsid w:val="004D1E36"/>
    <w:rsid w:val="004D25B6"/>
    <w:rsid w:val="004D2894"/>
    <w:rsid w:val="004D4359"/>
    <w:rsid w:val="004D799B"/>
    <w:rsid w:val="004E02D5"/>
    <w:rsid w:val="004E0654"/>
    <w:rsid w:val="004E1390"/>
    <w:rsid w:val="004E21AD"/>
    <w:rsid w:val="004E33C4"/>
    <w:rsid w:val="004E5A7D"/>
    <w:rsid w:val="004E6C37"/>
    <w:rsid w:val="004E6F2C"/>
    <w:rsid w:val="004F0183"/>
    <w:rsid w:val="004F08F1"/>
    <w:rsid w:val="004F0F50"/>
    <w:rsid w:val="004F1585"/>
    <w:rsid w:val="004F1C07"/>
    <w:rsid w:val="004F1EDC"/>
    <w:rsid w:val="004F21C6"/>
    <w:rsid w:val="004F251F"/>
    <w:rsid w:val="004F35CD"/>
    <w:rsid w:val="004F4F78"/>
    <w:rsid w:val="004F5141"/>
    <w:rsid w:val="004F590F"/>
    <w:rsid w:val="004F6127"/>
    <w:rsid w:val="004F612A"/>
    <w:rsid w:val="004F6446"/>
    <w:rsid w:val="004F6B72"/>
    <w:rsid w:val="004F6D2A"/>
    <w:rsid w:val="004F75C7"/>
    <w:rsid w:val="004F7C7B"/>
    <w:rsid w:val="004F7E26"/>
    <w:rsid w:val="00501D3E"/>
    <w:rsid w:val="00502BAC"/>
    <w:rsid w:val="00503ADC"/>
    <w:rsid w:val="00504CA2"/>
    <w:rsid w:val="00505310"/>
    <w:rsid w:val="00506EB9"/>
    <w:rsid w:val="00507E23"/>
    <w:rsid w:val="00510121"/>
    <w:rsid w:val="005104E1"/>
    <w:rsid w:val="00510A22"/>
    <w:rsid w:val="005138DF"/>
    <w:rsid w:val="005139B8"/>
    <w:rsid w:val="00516FF7"/>
    <w:rsid w:val="0051732E"/>
    <w:rsid w:val="00520FD8"/>
    <w:rsid w:val="005213F1"/>
    <w:rsid w:val="00521884"/>
    <w:rsid w:val="0052396A"/>
    <w:rsid w:val="00523A22"/>
    <w:rsid w:val="00524096"/>
    <w:rsid w:val="005253C5"/>
    <w:rsid w:val="005262EB"/>
    <w:rsid w:val="00526DBE"/>
    <w:rsid w:val="00527B9A"/>
    <w:rsid w:val="00530AF5"/>
    <w:rsid w:val="00530CB9"/>
    <w:rsid w:val="00531B41"/>
    <w:rsid w:val="0053246E"/>
    <w:rsid w:val="00532787"/>
    <w:rsid w:val="00532953"/>
    <w:rsid w:val="00535173"/>
    <w:rsid w:val="005354E5"/>
    <w:rsid w:val="00536417"/>
    <w:rsid w:val="00536779"/>
    <w:rsid w:val="0053753E"/>
    <w:rsid w:val="00537A9C"/>
    <w:rsid w:val="005410C6"/>
    <w:rsid w:val="005432DE"/>
    <w:rsid w:val="00543451"/>
    <w:rsid w:val="00545646"/>
    <w:rsid w:val="00545B2A"/>
    <w:rsid w:val="00546FE5"/>
    <w:rsid w:val="00547741"/>
    <w:rsid w:val="005501EA"/>
    <w:rsid w:val="0055078C"/>
    <w:rsid w:val="00551664"/>
    <w:rsid w:val="0055192E"/>
    <w:rsid w:val="00552CD3"/>
    <w:rsid w:val="00552ED5"/>
    <w:rsid w:val="00553171"/>
    <w:rsid w:val="0055493E"/>
    <w:rsid w:val="00554E4E"/>
    <w:rsid w:val="00555190"/>
    <w:rsid w:val="00555FAE"/>
    <w:rsid w:val="00555FBD"/>
    <w:rsid w:val="00557367"/>
    <w:rsid w:val="005576C5"/>
    <w:rsid w:val="00560434"/>
    <w:rsid w:val="00561A2A"/>
    <w:rsid w:val="00561DF7"/>
    <w:rsid w:val="005626E5"/>
    <w:rsid w:val="00562B1D"/>
    <w:rsid w:val="00562E65"/>
    <w:rsid w:val="00563B90"/>
    <w:rsid w:val="005664B4"/>
    <w:rsid w:val="00567530"/>
    <w:rsid w:val="00567B95"/>
    <w:rsid w:val="00567CEA"/>
    <w:rsid w:val="00567D58"/>
    <w:rsid w:val="00567F3D"/>
    <w:rsid w:val="00570058"/>
    <w:rsid w:val="00571251"/>
    <w:rsid w:val="00571593"/>
    <w:rsid w:val="00573068"/>
    <w:rsid w:val="0057424C"/>
    <w:rsid w:val="005750F3"/>
    <w:rsid w:val="00575967"/>
    <w:rsid w:val="0057622D"/>
    <w:rsid w:val="00577BF6"/>
    <w:rsid w:val="0058076B"/>
    <w:rsid w:val="00584C22"/>
    <w:rsid w:val="00585639"/>
    <w:rsid w:val="00585B9E"/>
    <w:rsid w:val="00585F1F"/>
    <w:rsid w:val="005864BA"/>
    <w:rsid w:val="005871EC"/>
    <w:rsid w:val="00592050"/>
    <w:rsid w:val="005920CC"/>
    <w:rsid w:val="00592284"/>
    <w:rsid w:val="005924E3"/>
    <w:rsid w:val="00592FCA"/>
    <w:rsid w:val="00597354"/>
    <w:rsid w:val="005A13D0"/>
    <w:rsid w:val="005A1577"/>
    <w:rsid w:val="005A1BB5"/>
    <w:rsid w:val="005A1FCF"/>
    <w:rsid w:val="005A3D37"/>
    <w:rsid w:val="005A44BA"/>
    <w:rsid w:val="005A69C5"/>
    <w:rsid w:val="005A7D7D"/>
    <w:rsid w:val="005B06D8"/>
    <w:rsid w:val="005B06E5"/>
    <w:rsid w:val="005B1AA6"/>
    <w:rsid w:val="005B209A"/>
    <w:rsid w:val="005B2F06"/>
    <w:rsid w:val="005B3314"/>
    <w:rsid w:val="005B41EA"/>
    <w:rsid w:val="005B5120"/>
    <w:rsid w:val="005B6227"/>
    <w:rsid w:val="005B64BA"/>
    <w:rsid w:val="005B6910"/>
    <w:rsid w:val="005C1BB2"/>
    <w:rsid w:val="005C2B0F"/>
    <w:rsid w:val="005C2FAA"/>
    <w:rsid w:val="005C4803"/>
    <w:rsid w:val="005C4C17"/>
    <w:rsid w:val="005C4CC8"/>
    <w:rsid w:val="005C5F3B"/>
    <w:rsid w:val="005C72E8"/>
    <w:rsid w:val="005C7317"/>
    <w:rsid w:val="005D33F0"/>
    <w:rsid w:val="005D3966"/>
    <w:rsid w:val="005D3FAA"/>
    <w:rsid w:val="005D4B8C"/>
    <w:rsid w:val="005D4FA2"/>
    <w:rsid w:val="005D59C4"/>
    <w:rsid w:val="005E07EE"/>
    <w:rsid w:val="005E3D72"/>
    <w:rsid w:val="005E4DA1"/>
    <w:rsid w:val="005E5224"/>
    <w:rsid w:val="005E586B"/>
    <w:rsid w:val="005E5A29"/>
    <w:rsid w:val="005E6F3A"/>
    <w:rsid w:val="005E7D77"/>
    <w:rsid w:val="005F070C"/>
    <w:rsid w:val="005F2568"/>
    <w:rsid w:val="005F3B18"/>
    <w:rsid w:val="005F43CE"/>
    <w:rsid w:val="005F49A8"/>
    <w:rsid w:val="005F4F83"/>
    <w:rsid w:val="005F66E3"/>
    <w:rsid w:val="005F72D5"/>
    <w:rsid w:val="00600A76"/>
    <w:rsid w:val="00602609"/>
    <w:rsid w:val="00602BCB"/>
    <w:rsid w:val="006041D7"/>
    <w:rsid w:val="00605FF4"/>
    <w:rsid w:val="00606552"/>
    <w:rsid w:val="00607AD0"/>
    <w:rsid w:val="00607C47"/>
    <w:rsid w:val="00610896"/>
    <w:rsid w:val="00614AE3"/>
    <w:rsid w:val="0061568B"/>
    <w:rsid w:val="006157B6"/>
    <w:rsid w:val="00615E6E"/>
    <w:rsid w:val="006163E7"/>
    <w:rsid w:val="00621C79"/>
    <w:rsid w:val="00622A1E"/>
    <w:rsid w:val="00624A1B"/>
    <w:rsid w:val="00624B66"/>
    <w:rsid w:val="00624E60"/>
    <w:rsid w:val="00625A30"/>
    <w:rsid w:val="00626889"/>
    <w:rsid w:val="0062691A"/>
    <w:rsid w:val="006269F2"/>
    <w:rsid w:val="0063105F"/>
    <w:rsid w:val="00631945"/>
    <w:rsid w:val="0063215F"/>
    <w:rsid w:val="00632298"/>
    <w:rsid w:val="00633D32"/>
    <w:rsid w:val="00634112"/>
    <w:rsid w:val="0063439E"/>
    <w:rsid w:val="00635068"/>
    <w:rsid w:val="0063533D"/>
    <w:rsid w:val="00636C1A"/>
    <w:rsid w:val="00636D83"/>
    <w:rsid w:val="006372D4"/>
    <w:rsid w:val="00637C65"/>
    <w:rsid w:val="00640025"/>
    <w:rsid w:val="00643DEC"/>
    <w:rsid w:val="00644E8C"/>
    <w:rsid w:val="00647624"/>
    <w:rsid w:val="00647F83"/>
    <w:rsid w:val="00647F8A"/>
    <w:rsid w:val="00650466"/>
    <w:rsid w:val="00652085"/>
    <w:rsid w:val="00652A28"/>
    <w:rsid w:val="00653C63"/>
    <w:rsid w:val="00654B94"/>
    <w:rsid w:val="0065575C"/>
    <w:rsid w:val="00656B0A"/>
    <w:rsid w:val="006574BE"/>
    <w:rsid w:val="00661A93"/>
    <w:rsid w:val="00662026"/>
    <w:rsid w:val="006625B4"/>
    <w:rsid w:val="00662C71"/>
    <w:rsid w:val="006662BB"/>
    <w:rsid w:val="00667B28"/>
    <w:rsid w:val="00667D70"/>
    <w:rsid w:val="006701B8"/>
    <w:rsid w:val="006705FB"/>
    <w:rsid w:val="0067156D"/>
    <w:rsid w:val="00673ADA"/>
    <w:rsid w:val="00674541"/>
    <w:rsid w:val="006777E9"/>
    <w:rsid w:val="0068042A"/>
    <w:rsid w:val="0068045F"/>
    <w:rsid w:val="00680975"/>
    <w:rsid w:val="00681695"/>
    <w:rsid w:val="00681EE1"/>
    <w:rsid w:val="00682A64"/>
    <w:rsid w:val="00682FF8"/>
    <w:rsid w:val="00685675"/>
    <w:rsid w:val="00686688"/>
    <w:rsid w:val="006868AA"/>
    <w:rsid w:val="006872CF"/>
    <w:rsid w:val="00687493"/>
    <w:rsid w:val="00691FE7"/>
    <w:rsid w:val="00692C3F"/>
    <w:rsid w:val="00693C27"/>
    <w:rsid w:val="006946C5"/>
    <w:rsid w:val="00695459"/>
    <w:rsid w:val="00696325"/>
    <w:rsid w:val="00696480"/>
    <w:rsid w:val="006978B8"/>
    <w:rsid w:val="00697B43"/>
    <w:rsid w:val="00697DEE"/>
    <w:rsid w:val="006A2F5F"/>
    <w:rsid w:val="006A4402"/>
    <w:rsid w:val="006A4B29"/>
    <w:rsid w:val="006A4CBE"/>
    <w:rsid w:val="006A4E73"/>
    <w:rsid w:val="006A67F4"/>
    <w:rsid w:val="006A796C"/>
    <w:rsid w:val="006B17E2"/>
    <w:rsid w:val="006B1EF2"/>
    <w:rsid w:val="006B284F"/>
    <w:rsid w:val="006B3263"/>
    <w:rsid w:val="006B3A94"/>
    <w:rsid w:val="006B5E3A"/>
    <w:rsid w:val="006B6E22"/>
    <w:rsid w:val="006C3599"/>
    <w:rsid w:val="006C35D6"/>
    <w:rsid w:val="006C76B8"/>
    <w:rsid w:val="006D1671"/>
    <w:rsid w:val="006D25E6"/>
    <w:rsid w:val="006D2821"/>
    <w:rsid w:val="006D2F0F"/>
    <w:rsid w:val="006D4B38"/>
    <w:rsid w:val="006D50F3"/>
    <w:rsid w:val="006D6085"/>
    <w:rsid w:val="006D6D0A"/>
    <w:rsid w:val="006E1434"/>
    <w:rsid w:val="006E16BE"/>
    <w:rsid w:val="006E2182"/>
    <w:rsid w:val="006E2B68"/>
    <w:rsid w:val="006E2CC8"/>
    <w:rsid w:val="006E3C39"/>
    <w:rsid w:val="006E4530"/>
    <w:rsid w:val="006E468D"/>
    <w:rsid w:val="006E5084"/>
    <w:rsid w:val="006F05E0"/>
    <w:rsid w:val="006F2378"/>
    <w:rsid w:val="006F27E4"/>
    <w:rsid w:val="006F552E"/>
    <w:rsid w:val="006F59FA"/>
    <w:rsid w:val="006F5CBE"/>
    <w:rsid w:val="006F6983"/>
    <w:rsid w:val="006F7F2F"/>
    <w:rsid w:val="00701354"/>
    <w:rsid w:val="00703B6F"/>
    <w:rsid w:val="00704037"/>
    <w:rsid w:val="0070763F"/>
    <w:rsid w:val="00707A08"/>
    <w:rsid w:val="007138B7"/>
    <w:rsid w:val="00714EA0"/>
    <w:rsid w:val="00714EC5"/>
    <w:rsid w:val="007151D4"/>
    <w:rsid w:val="007153A7"/>
    <w:rsid w:val="00715F84"/>
    <w:rsid w:val="00717599"/>
    <w:rsid w:val="00717A30"/>
    <w:rsid w:val="007208CE"/>
    <w:rsid w:val="00721BBE"/>
    <w:rsid w:val="00721F70"/>
    <w:rsid w:val="0072205A"/>
    <w:rsid w:val="0072289C"/>
    <w:rsid w:val="007229F2"/>
    <w:rsid w:val="00722AA6"/>
    <w:rsid w:val="007233A0"/>
    <w:rsid w:val="00723F5F"/>
    <w:rsid w:val="007244EC"/>
    <w:rsid w:val="00724DF0"/>
    <w:rsid w:val="00726BDE"/>
    <w:rsid w:val="00730338"/>
    <w:rsid w:val="00731203"/>
    <w:rsid w:val="00732EDD"/>
    <w:rsid w:val="00733F32"/>
    <w:rsid w:val="00734546"/>
    <w:rsid w:val="00735235"/>
    <w:rsid w:val="00736A6E"/>
    <w:rsid w:val="00737D35"/>
    <w:rsid w:val="00742203"/>
    <w:rsid w:val="00742641"/>
    <w:rsid w:val="00743809"/>
    <w:rsid w:val="00743DD0"/>
    <w:rsid w:val="00744E41"/>
    <w:rsid w:val="007452EB"/>
    <w:rsid w:val="00746706"/>
    <w:rsid w:val="0074783E"/>
    <w:rsid w:val="00750D51"/>
    <w:rsid w:val="007522B5"/>
    <w:rsid w:val="00754494"/>
    <w:rsid w:val="00755776"/>
    <w:rsid w:val="007568A2"/>
    <w:rsid w:val="007568ED"/>
    <w:rsid w:val="00756BB6"/>
    <w:rsid w:val="007609D9"/>
    <w:rsid w:val="0076408D"/>
    <w:rsid w:val="0076423A"/>
    <w:rsid w:val="0076646A"/>
    <w:rsid w:val="00766E29"/>
    <w:rsid w:val="00767910"/>
    <w:rsid w:val="0077027D"/>
    <w:rsid w:val="00771A81"/>
    <w:rsid w:val="00772728"/>
    <w:rsid w:val="00774834"/>
    <w:rsid w:val="0077630A"/>
    <w:rsid w:val="0077633B"/>
    <w:rsid w:val="00776785"/>
    <w:rsid w:val="00776B09"/>
    <w:rsid w:val="007770A7"/>
    <w:rsid w:val="00780419"/>
    <w:rsid w:val="007806C7"/>
    <w:rsid w:val="007849CD"/>
    <w:rsid w:val="00786C2B"/>
    <w:rsid w:val="00787CEF"/>
    <w:rsid w:val="00787F3F"/>
    <w:rsid w:val="007901CB"/>
    <w:rsid w:val="00791B6B"/>
    <w:rsid w:val="007948AC"/>
    <w:rsid w:val="00795036"/>
    <w:rsid w:val="00795829"/>
    <w:rsid w:val="007A00B9"/>
    <w:rsid w:val="007A0C29"/>
    <w:rsid w:val="007A12EA"/>
    <w:rsid w:val="007A158D"/>
    <w:rsid w:val="007A2656"/>
    <w:rsid w:val="007A37B3"/>
    <w:rsid w:val="007A3BE3"/>
    <w:rsid w:val="007A3F43"/>
    <w:rsid w:val="007A40FF"/>
    <w:rsid w:val="007A7328"/>
    <w:rsid w:val="007A7C11"/>
    <w:rsid w:val="007B05EB"/>
    <w:rsid w:val="007B12FF"/>
    <w:rsid w:val="007B23D7"/>
    <w:rsid w:val="007B24CF"/>
    <w:rsid w:val="007B2593"/>
    <w:rsid w:val="007B2B8C"/>
    <w:rsid w:val="007B462A"/>
    <w:rsid w:val="007B4F47"/>
    <w:rsid w:val="007B64DA"/>
    <w:rsid w:val="007B6534"/>
    <w:rsid w:val="007B6AA6"/>
    <w:rsid w:val="007B7F8E"/>
    <w:rsid w:val="007C03BD"/>
    <w:rsid w:val="007C0D5D"/>
    <w:rsid w:val="007C117B"/>
    <w:rsid w:val="007C1AFE"/>
    <w:rsid w:val="007C2247"/>
    <w:rsid w:val="007C2AAC"/>
    <w:rsid w:val="007C3096"/>
    <w:rsid w:val="007C325B"/>
    <w:rsid w:val="007C43B3"/>
    <w:rsid w:val="007C4660"/>
    <w:rsid w:val="007C58BC"/>
    <w:rsid w:val="007C5D78"/>
    <w:rsid w:val="007C78FD"/>
    <w:rsid w:val="007D0D2E"/>
    <w:rsid w:val="007D105A"/>
    <w:rsid w:val="007D13EE"/>
    <w:rsid w:val="007D17BE"/>
    <w:rsid w:val="007D180F"/>
    <w:rsid w:val="007D260E"/>
    <w:rsid w:val="007D2C74"/>
    <w:rsid w:val="007D488E"/>
    <w:rsid w:val="007D57F8"/>
    <w:rsid w:val="007D6790"/>
    <w:rsid w:val="007D6E32"/>
    <w:rsid w:val="007D71A2"/>
    <w:rsid w:val="007D7B9B"/>
    <w:rsid w:val="007D7D2C"/>
    <w:rsid w:val="007E05A3"/>
    <w:rsid w:val="007E0F05"/>
    <w:rsid w:val="007E1CD8"/>
    <w:rsid w:val="007E3498"/>
    <w:rsid w:val="007E3664"/>
    <w:rsid w:val="007E63EB"/>
    <w:rsid w:val="007E64DC"/>
    <w:rsid w:val="007E664A"/>
    <w:rsid w:val="007E727D"/>
    <w:rsid w:val="007E77E5"/>
    <w:rsid w:val="007F0272"/>
    <w:rsid w:val="007F0C51"/>
    <w:rsid w:val="007F23B7"/>
    <w:rsid w:val="007F28EF"/>
    <w:rsid w:val="007F5831"/>
    <w:rsid w:val="007F61B9"/>
    <w:rsid w:val="007F63E6"/>
    <w:rsid w:val="007F6F15"/>
    <w:rsid w:val="00800A2B"/>
    <w:rsid w:val="00800D12"/>
    <w:rsid w:val="00801526"/>
    <w:rsid w:val="0080229F"/>
    <w:rsid w:val="00802BF7"/>
    <w:rsid w:val="00804282"/>
    <w:rsid w:val="0080443E"/>
    <w:rsid w:val="00805148"/>
    <w:rsid w:val="00806423"/>
    <w:rsid w:val="00807039"/>
    <w:rsid w:val="00807ECD"/>
    <w:rsid w:val="00810DDF"/>
    <w:rsid w:val="00811B11"/>
    <w:rsid w:val="00812704"/>
    <w:rsid w:val="00814A19"/>
    <w:rsid w:val="00814E24"/>
    <w:rsid w:val="00815513"/>
    <w:rsid w:val="00816204"/>
    <w:rsid w:val="00816781"/>
    <w:rsid w:val="008204E6"/>
    <w:rsid w:val="00821D67"/>
    <w:rsid w:val="00822FF4"/>
    <w:rsid w:val="0082383B"/>
    <w:rsid w:val="00823F73"/>
    <w:rsid w:val="008241EE"/>
    <w:rsid w:val="008315F2"/>
    <w:rsid w:val="00831A58"/>
    <w:rsid w:val="00832EBB"/>
    <w:rsid w:val="00833A65"/>
    <w:rsid w:val="008340F0"/>
    <w:rsid w:val="00835D6A"/>
    <w:rsid w:val="00836B40"/>
    <w:rsid w:val="00837358"/>
    <w:rsid w:val="00837EA8"/>
    <w:rsid w:val="008424A9"/>
    <w:rsid w:val="00845DC7"/>
    <w:rsid w:val="008461CD"/>
    <w:rsid w:val="00847D7F"/>
    <w:rsid w:val="008521B2"/>
    <w:rsid w:val="0085293B"/>
    <w:rsid w:val="00852A9B"/>
    <w:rsid w:val="00852B83"/>
    <w:rsid w:val="00854218"/>
    <w:rsid w:val="008553B3"/>
    <w:rsid w:val="0085633E"/>
    <w:rsid w:val="00856FD7"/>
    <w:rsid w:val="00857660"/>
    <w:rsid w:val="00857AC6"/>
    <w:rsid w:val="00857FB4"/>
    <w:rsid w:val="0086041E"/>
    <w:rsid w:val="00861A4F"/>
    <w:rsid w:val="00862C44"/>
    <w:rsid w:val="00863312"/>
    <w:rsid w:val="00863DE8"/>
    <w:rsid w:val="008640AA"/>
    <w:rsid w:val="00864757"/>
    <w:rsid w:val="0086562C"/>
    <w:rsid w:val="00866FDC"/>
    <w:rsid w:val="00870759"/>
    <w:rsid w:val="00870FCE"/>
    <w:rsid w:val="00871083"/>
    <w:rsid w:val="008713EB"/>
    <w:rsid w:val="008727AA"/>
    <w:rsid w:val="00872FAB"/>
    <w:rsid w:val="00873C78"/>
    <w:rsid w:val="00873E8E"/>
    <w:rsid w:val="00874930"/>
    <w:rsid w:val="00874EB6"/>
    <w:rsid w:val="00877579"/>
    <w:rsid w:val="00877811"/>
    <w:rsid w:val="00877C98"/>
    <w:rsid w:val="00880B26"/>
    <w:rsid w:val="0088387C"/>
    <w:rsid w:val="00884AA1"/>
    <w:rsid w:val="00886DBC"/>
    <w:rsid w:val="00887022"/>
    <w:rsid w:val="00887BA5"/>
    <w:rsid w:val="008930DF"/>
    <w:rsid w:val="00894574"/>
    <w:rsid w:val="00895B65"/>
    <w:rsid w:val="00895D28"/>
    <w:rsid w:val="0089749A"/>
    <w:rsid w:val="008A009B"/>
    <w:rsid w:val="008A0824"/>
    <w:rsid w:val="008A120D"/>
    <w:rsid w:val="008A18F4"/>
    <w:rsid w:val="008A2116"/>
    <w:rsid w:val="008A261C"/>
    <w:rsid w:val="008A3D4A"/>
    <w:rsid w:val="008A4A5E"/>
    <w:rsid w:val="008A7B0E"/>
    <w:rsid w:val="008A7D8A"/>
    <w:rsid w:val="008B0681"/>
    <w:rsid w:val="008B0796"/>
    <w:rsid w:val="008B275A"/>
    <w:rsid w:val="008B2C84"/>
    <w:rsid w:val="008B331E"/>
    <w:rsid w:val="008B41CE"/>
    <w:rsid w:val="008B440F"/>
    <w:rsid w:val="008B60F5"/>
    <w:rsid w:val="008B66E8"/>
    <w:rsid w:val="008B7BC7"/>
    <w:rsid w:val="008C0B63"/>
    <w:rsid w:val="008C0EBA"/>
    <w:rsid w:val="008C0FF0"/>
    <w:rsid w:val="008C21DF"/>
    <w:rsid w:val="008C28ED"/>
    <w:rsid w:val="008C2955"/>
    <w:rsid w:val="008C436A"/>
    <w:rsid w:val="008C6054"/>
    <w:rsid w:val="008C64E9"/>
    <w:rsid w:val="008C6E65"/>
    <w:rsid w:val="008D0CB1"/>
    <w:rsid w:val="008D24A6"/>
    <w:rsid w:val="008D4564"/>
    <w:rsid w:val="008D4A55"/>
    <w:rsid w:val="008D5C57"/>
    <w:rsid w:val="008E13D9"/>
    <w:rsid w:val="008E25F4"/>
    <w:rsid w:val="008E482F"/>
    <w:rsid w:val="008E4D42"/>
    <w:rsid w:val="008E5C48"/>
    <w:rsid w:val="008E64EC"/>
    <w:rsid w:val="008E7DB3"/>
    <w:rsid w:val="008F03EF"/>
    <w:rsid w:val="008F0D28"/>
    <w:rsid w:val="008F1D7E"/>
    <w:rsid w:val="008F204A"/>
    <w:rsid w:val="008F3AE2"/>
    <w:rsid w:val="008F42ED"/>
    <w:rsid w:val="008F451A"/>
    <w:rsid w:val="008F4BEB"/>
    <w:rsid w:val="008F4E01"/>
    <w:rsid w:val="008F513C"/>
    <w:rsid w:val="008F53B4"/>
    <w:rsid w:val="008F594B"/>
    <w:rsid w:val="008F73AC"/>
    <w:rsid w:val="008F7A4B"/>
    <w:rsid w:val="009029D5"/>
    <w:rsid w:val="0090479D"/>
    <w:rsid w:val="00904AE9"/>
    <w:rsid w:val="00904B8F"/>
    <w:rsid w:val="00905FD8"/>
    <w:rsid w:val="009107C2"/>
    <w:rsid w:val="0091175D"/>
    <w:rsid w:val="009179B4"/>
    <w:rsid w:val="00920AAB"/>
    <w:rsid w:val="00922CA3"/>
    <w:rsid w:val="009233F6"/>
    <w:rsid w:val="0092377C"/>
    <w:rsid w:val="00923877"/>
    <w:rsid w:val="00924B10"/>
    <w:rsid w:val="00924D6B"/>
    <w:rsid w:val="00924DAA"/>
    <w:rsid w:val="00925DFA"/>
    <w:rsid w:val="00926179"/>
    <w:rsid w:val="00927934"/>
    <w:rsid w:val="00927B66"/>
    <w:rsid w:val="0093019D"/>
    <w:rsid w:val="00930E82"/>
    <w:rsid w:val="00933FD3"/>
    <w:rsid w:val="009340DE"/>
    <w:rsid w:val="0093424D"/>
    <w:rsid w:val="00935A1E"/>
    <w:rsid w:val="009363CB"/>
    <w:rsid w:val="00936F03"/>
    <w:rsid w:val="0093722C"/>
    <w:rsid w:val="009379C0"/>
    <w:rsid w:val="00940103"/>
    <w:rsid w:val="00940A55"/>
    <w:rsid w:val="009414C4"/>
    <w:rsid w:val="00943831"/>
    <w:rsid w:val="0094421B"/>
    <w:rsid w:val="00946181"/>
    <w:rsid w:val="00946752"/>
    <w:rsid w:val="00946DA0"/>
    <w:rsid w:val="00946EA3"/>
    <w:rsid w:val="0095011E"/>
    <w:rsid w:val="009507EE"/>
    <w:rsid w:val="009529B1"/>
    <w:rsid w:val="00952F80"/>
    <w:rsid w:val="009531B2"/>
    <w:rsid w:val="009538AA"/>
    <w:rsid w:val="009546FE"/>
    <w:rsid w:val="00955023"/>
    <w:rsid w:val="0095674A"/>
    <w:rsid w:val="00957BEC"/>
    <w:rsid w:val="00957D3D"/>
    <w:rsid w:val="00961603"/>
    <w:rsid w:val="00961CDE"/>
    <w:rsid w:val="009624D7"/>
    <w:rsid w:val="00962B71"/>
    <w:rsid w:val="00963545"/>
    <w:rsid w:val="009635A7"/>
    <w:rsid w:val="00963DD3"/>
    <w:rsid w:val="0096452F"/>
    <w:rsid w:val="00964E6A"/>
    <w:rsid w:val="00965E2A"/>
    <w:rsid w:val="009662EF"/>
    <w:rsid w:val="00966BF3"/>
    <w:rsid w:val="0097115F"/>
    <w:rsid w:val="00971CD4"/>
    <w:rsid w:val="00973510"/>
    <w:rsid w:val="00976918"/>
    <w:rsid w:val="00976B3F"/>
    <w:rsid w:val="00976CB7"/>
    <w:rsid w:val="00976DF6"/>
    <w:rsid w:val="009801F5"/>
    <w:rsid w:val="0098053F"/>
    <w:rsid w:val="00980835"/>
    <w:rsid w:val="0098083F"/>
    <w:rsid w:val="00980CEF"/>
    <w:rsid w:val="00981F00"/>
    <w:rsid w:val="00982553"/>
    <w:rsid w:val="0098296A"/>
    <w:rsid w:val="00982AE9"/>
    <w:rsid w:val="00983109"/>
    <w:rsid w:val="0098316D"/>
    <w:rsid w:val="00983466"/>
    <w:rsid w:val="00984333"/>
    <w:rsid w:val="00984E00"/>
    <w:rsid w:val="009850F6"/>
    <w:rsid w:val="009858F4"/>
    <w:rsid w:val="00985913"/>
    <w:rsid w:val="009874C0"/>
    <w:rsid w:val="009904AD"/>
    <w:rsid w:val="00990FB6"/>
    <w:rsid w:val="009925AE"/>
    <w:rsid w:val="00992FB3"/>
    <w:rsid w:val="0099332E"/>
    <w:rsid w:val="00993617"/>
    <w:rsid w:val="00993846"/>
    <w:rsid w:val="009938C1"/>
    <w:rsid w:val="00994D07"/>
    <w:rsid w:val="0099508D"/>
    <w:rsid w:val="00996D64"/>
    <w:rsid w:val="00997FE6"/>
    <w:rsid w:val="009A09BC"/>
    <w:rsid w:val="009A7D6A"/>
    <w:rsid w:val="009B1904"/>
    <w:rsid w:val="009B2C7E"/>
    <w:rsid w:val="009B31E9"/>
    <w:rsid w:val="009B35BB"/>
    <w:rsid w:val="009B4DF6"/>
    <w:rsid w:val="009B6116"/>
    <w:rsid w:val="009B6C6C"/>
    <w:rsid w:val="009C0106"/>
    <w:rsid w:val="009C0841"/>
    <w:rsid w:val="009C09F7"/>
    <w:rsid w:val="009C4776"/>
    <w:rsid w:val="009C63A1"/>
    <w:rsid w:val="009C77C4"/>
    <w:rsid w:val="009D0B37"/>
    <w:rsid w:val="009D1E59"/>
    <w:rsid w:val="009D1F1F"/>
    <w:rsid w:val="009D2257"/>
    <w:rsid w:val="009D32A9"/>
    <w:rsid w:val="009D3369"/>
    <w:rsid w:val="009D3757"/>
    <w:rsid w:val="009D5F91"/>
    <w:rsid w:val="009D7447"/>
    <w:rsid w:val="009E10B7"/>
    <w:rsid w:val="009E1184"/>
    <w:rsid w:val="009E1AB8"/>
    <w:rsid w:val="009E22CA"/>
    <w:rsid w:val="009E3FC5"/>
    <w:rsid w:val="009E533B"/>
    <w:rsid w:val="009E73B3"/>
    <w:rsid w:val="009F0321"/>
    <w:rsid w:val="009F0394"/>
    <w:rsid w:val="009F0F58"/>
    <w:rsid w:val="009F2AE0"/>
    <w:rsid w:val="009F3057"/>
    <w:rsid w:val="009F3928"/>
    <w:rsid w:val="009F3D70"/>
    <w:rsid w:val="009F4C51"/>
    <w:rsid w:val="009F4ECE"/>
    <w:rsid w:val="009F53C8"/>
    <w:rsid w:val="009F5608"/>
    <w:rsid w:val="009F5785"/>
    <w:rsid w:val="009F611F"/>
    <w:rsid w:val="009F6431"/>
    <w:rsid w:val="009F675E"/>
    <w:rsid w:val="009F6889"/>
    <w:rsid w:val="009F6B70"/>
    <w:rsid w:val="00A008C3"/>
    <w:rsid w:val="00A031BE"/>
    <w:rsid w:val="00A04268"/>
    <w:rsid w:val="00A05F38"/>
    <w:rsid w:val="00A06AC2"/>
    <w:rsid w:val="00A07753"/>
    <w:rsid w:val="00A07D0E"/>
    <w:rsid w:val="00A104FB"/>
    <w:rsid w:val="00A10E3F"/>
    <w:rsid w:val="00A11B69"/>
    <w:rsid w:val="00A1232C"/>
    <w:rsid w:val="00A13C33"/>
    <w:rsid w:val="00A1446C"/>
    <w:rsid w:val="00A16950"/>
    <w:rsid w:val="00A171F5"/>
    <w:rsid w:val="00A1771A"/>
    <w:rsid w:val="00A2083F"/>
    <w:rsid w:val="00A21E28"/>
    <w:rsid w:val="00A232BC"/>
    <w:rsid w:val="00A24429"/>
    <w:rsid w:val="00A24F3A"/>
    <w:rsid w:val="00A262E0"/>
    <w:rsid w:val="00A275A1"/>
    <w:rsid w:val="00A27C65"/>
    <w:rsid w:val="00A27FD0"/>
    <w:rsid w:val="00A301DB"/>
    <w:rsid w:val="00A316E1"/>
    <w:rsid w:val="00A328C4"/>
    <w:rsid w:val="00A33A99"/>
    <w:rsid w:val="00A34005"/>
    <w:rsid w:val="00A34253"/>
    <w:rsid w:val="00A34D92"/>
    <w:rsid w:val="00A36018"/>
    <w:rsid w:val="00A3680E"/>
    <w:rsid w:val="00A36D75"/>
    <w:rsid w:val="00A36EB3"/>
    <w:rsid w:val="00A37261"/>
    <w:rsid w:val="00A4306A"/>
    <w:rsid w:val="00A46639"/>
    <w:rsid w:val="00A4663B"/>
    <w:rsid w:val="00A47F58"/>
    <w:rsid w:val="00A50330"/>
    <w:rsid w:val="00A50981"/>
    <w:rsid w:val="00A50E9A"/>
    <w:rsid w:val="00A518EA"/>
    <w:rsid w:val="00A522A4"/>
    <w:rsid w:val="00A527F6"/>
    <w:rsid w:val="00A52A75"/>
    <w:rsid w:val="00A54379"/>
    <w:rsid w:val="00A551EA"/>
    <w:rsid w:val="00A55489"/>
    <w:rsid w:val="00A55585"/>
    <w:rsid w:val="00A566A4"/>
    <w:rsid w:val="00A63D36"/>
    <w:rsid w:val="00A654A3"/>
    <w:rsid w:val="00A67E79"/>
    <w:rsid w:val="00A70A36"/>
    <w:rsid w:val="00A70AC2"/>
    <w:rsid w:val="00A722AA"/>
    <w:rsid w:val="00A722D9"/>
    <w:rsid w:val="00A7331C"/>
    <w:rsid w:val="00A73474"/>
    <w:rsid w:val="00A75E17"/>
    <w:rsid w:val="00A76128"/>
    <w:rsid w:val="00A76D04"/>
    <w:rsid w:val="00A80CF4"/>
    <w:rsid w:val="00A811D4"/>
    <w:rsid w:val="00A81951"/>
    <w:rsid w:val="00A839F2"/>
    <w:rsid w:val="00A8465C"/>
    <w:rsid w:val="00A84E6F"/>
    <w:rsid w:val="00A85432"/>
    <w:rsid w:val="00A8579A"/>
    <w:rsid w:val="00A85F3A"/>
    <w:rsid w:val="00A86425"/>
    <w:rsid w:val="00A90005"/>
    <w:rsid w:val="00A90834"/>
    <w:rsid w:val="00A90DBE"/>
    <w:rsid w:val="00A910DF"/>
    <w:rsid w:val="00A914CA"/>
    <w:rsid w:val="00A917E2"/>
    <w:rsid w:val="00A91EC1"/>
    <w:rsid w:val="00A930A2"/>
    <w:rsid w:val="00A936DA"/>
    <w:rsid w:val="00A946D1"/>
    <w:rsid w:val="00A95268"/>
    <w:rsid w:val="00A95AC1"/>
    <w:rsid w:val="00A95B00"/>
    <w:rsid w:val="00A9712D"/>
    <w:rsid w:val="00A978FC"/>
    <w:rsid w:val="00A97F4B"/>
    <w:rsid w:val="00AA0F6E"/>
    <w:rsid w:val="00AA0FCA"/>
    <w:rsid w:val="00AA2866"/>
    <w:rsid w:val="00AA67BD"/>
    <w:rsid w:val="00AA6A76"/>
    <w:rsid w:val="00AA6BED"/>
    <w:rsid w:val="00AA6D3E"/>
    <w:rsid w:val="00AA718D"/>
    <w:rsid w:val="00AB0008"/>
    <w:rsid w:val="00AB01E9"/>
    <w:rsid w:val="00AB0DB9"/>
    <w:rsid w:val="00AB378B"/>
    <w:rsid w:val="00AB3E52"/>
    <w:rsid w:val="00AB49F8"/>
    <w:rsid w:val="00AB5097"/>
    <w:rsid w:val="00AB556D"/>
    <w:rsid w:val="00AB60D5"/>
    <w:rsid w:val="00AB61A8"/>
    <w:rsid w:val="00AB62E9"/>
    <w:rsid w:val="00AB74D5"/>
    <w:rsid w:val="00AC1F7F"/>
    <w:rsid w:val="00AC2F7D"/>
    <w:rsid w:val="00AC4C1D"/>
    <w:rsid w:val="00AC63F8"/>
    <w:rsid w:val="00AC7C57"/>
    <w:rsid w:val="00AD159F"/>
    <w:rsid w:val="00AD1A35"/>
    <w:rsid w:val="00AD3977"/>
    <w:rsid w:val="00AD41DD"/>
    <w:rsid w:val="00AD43FF"/>
    <w:rsid w:val="00AD5E2B"/>
    <w:rsid w:val="00AD68CC"/>
    <w:rsid w:val="00AD6DCB"/>
    <w:rsid w:val="00AE0472"/>
    <w:rsid w:val="00AE29B7"/>
    <w:rsid w:val="00AE5E3B"/>
    <w:rsid w:val="00AE7114"/>
    <w:rsid w:val="00AE770A"/>
    <w:rsid w:val="00AE7A88"/>
    <w:rsid w:val="00AF125B"/>
    <w:rsid w:val="00AF1329"/>
    <w:rsid w:val="00AF283E"/>
    <w:rsid w:val="00AF2C73"/>
    <w:rsid w:val="00AF4A52"/>
    <w:rsid w:val="00AF5954"/>
    <w:rsid w:val="00AF68E3"/>
    <w:rsid w:val="00AF6D2F"/>
    <w:rsid w:val="00B0081D"/>
    <w:rsid w:val="00B0131B"/>
    <w:rsid w:val="00B02656"/>
    <w:rsid w:val="00B0379D"/>
    <w:rsid w:val="00B03A3D"/>
    <w:rsid w:val="00B059E6"/>
    <w:rsid w:val="00B07A21"/>
    <w:rsid w:val="00B139C1"/>
    <w:rsid w:val="00B13BAA"/>
    <w:rsid w:val="00B1494C"/>
    <w:rsid w:val="00B14F7A"/>
    <w:rsid w:val="00B162EB"/>
    <w:rsid w:val="00B16847"/>
    <w:rsid w:val="00B16EE9"/>
    <w:rsid w:val="00B170F4"/>
    <w:rsid w:val="00B17EAE"/>
    <w:rsid w:val="00B2003A"/>
    <w:rsid w:val="00B2072C"/>
    <w:rsid w:val="00B20E54"/>
    <w:rsid w:val="00B217E3"/>
    <w:rsid w:val="00B22EE0"/>
    <w:rsid w:val="00B24549"/>
    <w:rsid w:val="00B24792"/>
    <w:rsid w:val="00B24D0C"/>
    <w:rsid w:val="00B25CAC"/>
    <w:rsid w:val="00B25CF1"/>
    <w:rsid w:val="00B26C5B"/>
    <w:rsid w:val="00B26EF6"/>
    <w:rsid w:val="00B274BA"/>
    <w:rsid w:val="00B2767C"/>
    <w:rsid w:val="00B30B3B"/>
    <w:rsid w:val="00B31223"/>
    <w:rsid w:val="00B31EC5"/>
    <w:rsid w:val="00B323F1"/>
    <w:rsid w:val="00B34263"/>
    <w:rsid w:val="00B34792"/>
    <w:rsid w:val="00B35D0E"/>
    <w:rsid w:val="00B35FAE"/>
    <w:rsid w:val="00B4058E"/>
    <w:rsid w:val="00B40C00"/>
    <w:rsid w:val="00B4421B"/>
    <w:rsid w:val="00B4743E"/>
    <w:rsid w:val="00B475C2"/>
    <w:rsid w:val="00B4763D"/>
    <w:rsid w:val="00B47740"/>
    <w:rsid w:val="00B51E9D"/>
    <w:rsid w:val="00B52760"/>
    <w:rsid w:val="00B52D85"/>
    <w:rsid w:val="00B52E67"/>
    <w:rsid w:val="00B60914"/>
    <w:rsid w:val="00B61179"/>
    <w:rsid w:val="00B611CE"/>
    <w:rsid w:val="00B649A6"/>
    <w:rsid w:val="00B65382"/>
    <w:rsid w:val="00B66853"/>
    <w:rsid w:val="00B66941"/>
    <w:rsid w:val="00B71680"/>
    <w:rsid w:val="00B72D7C"/>
    <w:rsid w:val="00B7495A"/>
    <w:rsid w:val="00B76210"/>
    <w:rsid w:val="00B76F26"/>
    <w:rsid w:val="00B772B9"/>
    <w:rsid w:val="00B808C2"/>
    <w:rsid w:val="00B8171B"/>
    <w:rsid w:val="00B81878"/>
    <w:rsid w:val="00B81CC0"/>
    <w:rsid w:val="00B8224E"/>
    <w:rsid w:val="00B82B4B"/>
    <w:rsid w:val="00B84C27"/>
    <w:rsid w:val="00B85245"/>
    <w:rsid w:val="00B85BCB"/>
    <w:rsid w:val="00B865F2"/>
    <w:rsid w:val="00B86A1C"/>
    <w:rsid w:val="00B86DC5"/>
    <w:rsid w:val="00B878B5"/>
    <w:rsid w:val="00B90F20"/>
    <w:rsid w:val="00B90FCF"/>
    <w:rsid w:val="00B925FC"/>
    <w:rsid w:val="00B9295D"/>
    <w:rsid w:val="00B92B20"/>
    <w:rsid w:val="00B933B3"/>
    <w:rsid w:val="00B94735"/>
    <w:rsid w:val="00B949C3"/>
    <w:rsid w:val="00B94B32"/>
    <w:rsid w:val="00B9513E"/>
    <w:rsid w:val="00B9530B"/>
    <w:rsid w:val="00B9572D"/>
    <w:rsid w:val="00B95DFD"/>
    <w:rsid w:val="00B972C1"/>
    <w:rsid w:val="00B9749D"/>
    <w:rsid w:val="00BA03D0"/>
    <w:rsid w:val="00BA0878"/>
    <w:rsid w:val="00BA0B6E"/>
    <w:rsid w:val="00BA3901"/>
    <w:rsid w:val="00BA3C7D"/>
    <w:rsid w:val="00BA4CF4"/>
    <w:rsid w:val="00BA7745"/>
    <w:rsid w:val="00BB1553"/>
    <w:rsid w:val="00BB2389"/>
    <w:rsid w:val="00BB3D7D"/>
    <w:rsid w:val="00BB42D7"/>
    <w:rsid w:val="00BB4CF5"/>
    <w:rsid w:val="00BB58E5"/>
    <w:rsid w:val="00BB59EF"/>
    <w:rsid w:val="00BB5B0D"/>
    <w:rsid w:val="00BB7358"/>
    <w:rsid w:val="00BB7378"/>
    <w:rsid w:val="00BB74BF"/>
    <w:rsid w:val="00BB7523"/>
    <w:rsid w:val="00BB7BBE"/>
    <w:rsid w:val="00BB7C5F"/>
    <w:rsid w:val="00BC0289"/>
    <w:rsid w:val="00BC0357"/>
    <w:rsid w:val="00BC0B61"/>
    <w:rsid w:val="00BC177B"/>
    <w:rsid w:val="00BC19DD"/>
    <w:rsid w:val="00BC2826"/>
    <w:rsid w:val="00BC361F"/>
    <w:rsid w:val="00BC423B"/>
    <w:rsid w:val="00BC69B9"/>
    <w:rsid w:val="00BC6C6B"/>
    <w:rsid w:val="00BC6F74"/>
    <w:rsid w:val="00BD1082"/>
    <w:rsid w:val="00BD15D4"/>
    <w:rsid w:val="00BD24B9"/>
    <w:rsid w:val="00BD4746"/>
    <w:rsid w:val="00BD5CCC"/>
    <w:rsid w:val="00BD620D"/>
    <w:rsid w:val="00BD67A6"/>
    <w:rsid w:val="00BD67F8"/>
    <w:rsid w:val="00BE0314"/>
    <w:rsid w:val="00BE0660"/>
    <w:rsid w:val="00BE13C0"/>
    <w:rsid w:val="00BE1DA6"/>
    <w:rsid w:val="00BE2B4D"/>
    <w:rsid w:val="00BE4347"/>
    <w:rsid w:val="00BE4E76"/>
    <w:rsid w:val="00BE5763"/>
    <w:rsid w:val="00BE5F59"/>
    <w:rsid w:val="00BE5FD8"/>
    <w:rsid w:val="00BE6366"/>
    <w:rsid w:val="00BE7D39"/>
    <w:rsid w:val="00BF08BB"/>
    <w:rsid w:val="00BF1E1D"/>
    <w:rsid w:val="00BF433C"/>
    <w:rsid w:val="00BF6358"/>
    <w:rsid w:val="00BF6735"/>
    <w:rsid w:val="00BF6FF3"/>
    <w:rsid w:val="00C0030C"/>
    <w:rsid w:val="00C0165A"/>
    <w:rsid w:val="00C01CDF"/>
    <w:rsid w:val="00C02461"/>
    <w:rsid w:val="00C02A07"/>
    <w:rsid w:val="00C043BB"/>
    <w:rsid w:val="00C046E1"/>
    <w:rsid w:val="00C04E03"/>
    <w:rsid w:val="00C05439"/>
    <w:rsid w:val="00C060A9"/>
    <w:rsid w:val="00C07C11"/>
    <w:rsid w:val="00C106FE"/>
    <w:rsid w:val="00C10928"/>
    <w:rsid w:val="00C11FC2"/>
    <w:rsid w:val="00C12554"/>
    <w:rsid w:val="00C12AE6"/>
    <w:rsid w:val="00C12EDF"/>
    <w:rsid w:val="00C12FDD"/>
    <w:rsid w:val="00C16625"/>
    <w:rsid w:val="00C16F99"/>
    <w:rsid w:val="00C1797C"/>
    <w:rsid w:val="00C17B8A"/>
    <w:rsid w:val="00C17DCC"/>
    <w:rsid w:val="00C21ADE"/>
    <w:rsid w:val="00C22FA6"/>
    <w:rsid w:val="00C23900"/>
    <w:rsid w:val="00C26620"/>
    <w:rsid w:val="00C2666B"/>
    <w:rsid w:val="00C2672B"/>
    <w:rsid w:val="00C304A4"/>
    <w:rsid w:val="00C32301"/>
    <w:rsid w:val="00C32ACF"/>
    <w:rsid w:val="00C34580"/>
    <w:rsid w:val="00C3565F"/>
    <w:rsid w:val="00C357B4"/>
    <w:rsid w:val="00C35EBE"/>
    <w:rsid w:val="00C377DC"/>
    <w:rsid w:val="00C40148"/>
    <w:rsid w:val="00C41250"/>
    <w:rsid w:val="00C417CB"/>
    <w:rsid w:val="00C4269E"/>
    <w:rsid w:val="00C42BF3"/>
    <w:rsid w:val="00C43CE5"/>
    <w:rsid w:val="00C43E6A"/>
    <w:rsid w:val="00C45B7B"/>
    <w:rsid w:val="00C47931"/>
    <w:rsid w:val="00C50010"/>
    <w:rsid w:val="00C521CF"/>
    <w:rsid w:val="00C52B2F"/>
    <w:rsid w:val="00C53BBA"/>
    <w:rsid w:val="00C54AF2"/>
    <w:rsid w:val="00C54EDE"/>
    <w:rsid w:val="00C61097"/>
    <w:rsid w:val="00C61C5F"/>
    <w:rsid w:val="00C62274"/>
    <w:rsid w:val="00C62705"/>
    <w:rsid w:val="00C6291E"/>
    <w:rsid w:val="00C6513F"/>
    <w:rsid w:val="00C65D5D"/>
    <w:rsid w:val="00C6773F"/>
    <w:rsid w:val="00C705B2"/>
    <w:rsid w:val="00C71576"/>
    <w:rsid w:val="00C72E77"/>
    <w:rsid w:val="00C72FB6"/>
    <w:rsid w:val="00C7484C"/>
    <w:rsid w:val="00C760E2"/>
    <w:rsid w:val="00C76E8B"/>
    <w:rsid w:val="00C76FEB"/>
    <w:rsid w:val="00C7723E"/>
    <w:rsid w:val="00C81260"/>
    <w:rsid w:val="00C81FCA"/>
    <w:rsid w:val="00C82157"/>
    <w:rsid w:val="00C827A1"/>
    <w:rsid w:val="00C83F54"/>
    <w:rsid w:val="00C84251"/>
    <w:rsid w:val="00C842E2"/>
    <w:rsid w:val="00C84A61"/>
    <w:rsid w:val="00C8580D"/>
    <w:rsid w:val="00C85839"/>
    <w:rsid w:val="00C863C7"/>
    <w:rsid w:val="00C869A9"/>
    <w:rsid w:val="00C86D5D"/>
    <w:rsid w:val="00C87245"/>
    <w:rsid w:val="00C91A45"/>
    <w:rsid w:val="00C92C02"/>
    <w:rsid w:val="00C92C92"/>
    <w:rsid w:val="00C943C8"/>
    <w:rsid w:val="00C951B8"/>
    <w:rsid w:val="00CA0443"/>
    <w:rsid w:val="00CA1D84"/>
    <w:rsid w:val="00CA2208"/>
    <w:rsid w:val="00CA2B6E"/>
    <w:rsid w:val="00CA3599"/>
    <w:rsid w:val="00CA3725"/>
    <w:rsid w:val="00CA47A9"/>
    <w:rsid w:val="00CA4CF3"/>
    <w:rsid w:val="00CA5F98"/>
    <w:rsid w:val="00CA7E2B"/>
    <w:rsid w:val="00CB4096"/>
    <w:rsid w:val="00CB43B6"/>
    <w:rsid w:val="00CB48D0"/>
    <w:rsid w:val="00CB6B7C"/>
    <w:rsid w:val="00CB7767"/>
    <w:rsid w:val="00CC1BD3"/>
    <w:rsid w:val="00CC1C3F"/>
    <w:rsid w:val="00CC4BBC"/>
    <w:rsid w:val="00CC656C"/>
    <w:rsid w:val="00CD1798"/>
    <w:rsid w:val="00CD33A0"/>
    <w:rsid w:val="00CD3422"/>
    <w:rsid w:val="00CD3608"/>
    <w:rsid w:val="00CD5A0A"/>
    <w:rsid w:val="00CD6137"/>
    <w:rsid w:val="00CD7E39"/>
    <w:rsid w:val="00CD7E76"/>
    <w:rsid w:val="00CE011D"/>
    <w:rsid w:val="00CE2223"/>
    <w:rsid w:val="00CE2293"/>
    <w:rsid w:val="00CE2412"/>
    <w:rsid w:val="00CE25D5"/>
    <w:rsid w:val="00CE303C"/>
    <w:rsid w:val="00CE4CEF"/>
    <w:rsid w:val="00CE72B3"/>
    <w:rsid w:val="00CF06AD"/>
    <w:rsid w:val="00CF0C03"/>
    <w:rsid w:val="00CF1233"/>
    <w:rsid w:val="00CF187D"/>
    <w:rsid w:val="00CF21EE"/>
    <w:rsid w:val="00CF2515"/>
    <w:rsid w:val="00CF2B32"/>
    <w:rsid w:val="00CF3810"/>
    <w:rsid w:val="00CF3C4D"/>
    <w:rsid w:val="00CF4A68"/>
    <w:rsid w:val="00CF4BC2"/>
    <w:rsid w:val="00CF52B7"/>
    <w:rsid w:val="00CF7AF6"/>
    <w:rsid w:val="00D00F20"/>
    <w:rsid w:val="00D02058"/>
    <w:rsid w:val="00D0224B"/>
    <w:rsid w:val="00D03F85"/>
    <w:rsid w:val="00D04635"/>
    <w:rsid w:val="00D04B6F"/>
    <w:rsid w:val="00D0559D"/>
    <w:rsid w:val="00D05EB1"/>
    <w:rsid w:val="00D0637F"/>
    <w:rsid w:val="00D06CA0"/>
    <w:rsid w:val="00D1140A"/>
    <w:rsid w:val="00D11BFA"/>
    <w:rsid w:val="00D11F12"/>
    <w:rsid w:val="00D11F7D"/>
    <w:rsid w:val="00D13064"/>
    <w:rsid w:val="00D13E0E"/>
    <w:rsid w:val="00D1407D"/>
    <w:rsid w:val="00D17063"/>
    <w:rsid w:val="00D173ED"/>
    <w:rsid w:val="00D17DBE"/>
    <w:rsid w:val="00D21DF7"/>
    <w:rsid w:val="00D23B38"/>
    <w:rsid w:val="00D26074"/>
    <w:rsid w:val="00D2647B"/>
    <w:rsid w:val="00D30262"/>
    <w:rsid w:val="00D310FA"/>
    <w:rsid w:val="00D311C2"/>
    <w:rsid w:val="00D31252"/>
    <w:rsid w:val="00D31AEC"/>
    <w:rsid w:val="00D323E7"/>
    <w:rsid w:val="00D33754"/>
    <w:rsid w:val="00D33A50"/>
    <w:rsid w:val="00D3614B"/>
    <w:rsid w:val="00D36553"/>
    <w:rsid w:val="00D40258"/>
    <w:rsid w:val="00D42464"/>
    <w:rsid w:val="00D42F4D"/>
    <w:rsid w:val="00D441EE"/>
    <w:rsid w:val="00D44C18"/>
    <w:rsid w:val="00D45F0A"/>
    <w:rsid w:val="00D46A1D"/>
    <w:rsid w:val="00D46C13"/>
    <w:rsid w:val="00D47B0A"/>
    <w:rsid w:val="00D505B5"/>
    <w:rsid w:val="00D51552"/>
    <w:rsid w:val="00D558AA"/>
    <w:rsid w:val="00D558E7"/>
    <w:rsid w:val="00D56145"/>
    <w:rsid w:val="00D62282"/>
    <w:rsid w:val="00D638EA"/>
    <w:rsid w:val="00D63C53"/>
    <w:rsid w:val="00D657FB"/>
    <w:rsid w:val="00D65E5A"/>
    <w:rsid w:val="00D66667"/>
    <w:rsid w:val="00D66F15"/>
    <w:rsid w:val="00D70730"/>
    <w:rsid w:val="00D71C47"/>
    <w:rsid w:val="00D72FEB"/>
    <w:rsid w:val="00D730C0"/>
    <w:rsid w:val="00D7438B"/>
    <w:rsid w:val="00D74959"/>
    <w:rsid w:val="00D75C78"/>
    <w:rsid w:val="00D800C0"/>
    <w:rsid w:val="00D8025C"/>
    <w:rsid w:val="00D806E6"/>
    <w:rsid w:val="00D80708"/>
    <w:rsid w:val="00D810C2"/>
    <w:rsid w:val="00D83068"/>
    <w:rsid w:val="00D8509B"/>
    <w:rsid w:val="00D86040"/>
    <w:rsid w:val="00D863F5"/>
    <w:rsid w:val="00D86B7B"/>
    <w:rsid w:val="00D90173"/>
    <w:rsid w:val="00D90379"/>
    <w:rsid w:val="00D911A9"/>
    <w:rsid w:val="00D919F4"/>
    <w:rsid w:val="00D91B9E"/>
    <w:rsid w:val="00D921F7"/>
    <w:rsid w:val="00D9344B"/>
    <w:rsid w:val="00D934E7"/>
    <w:rsid w:val="00D94258"/>
    <w:rsid w:val="00D94EE5"/>
    <w:rsid w:val="00D9535B"/>
    <w:rsid w:val="00D966FF"/>
    <w:rsid w:val="00D96A0C"/>
    <w:rsid w:val="00D97173"/>
    <w:rsid w:val="00D97FA3"/>
    <w:rsid w:val="00DA0ACC"/>
    <w:rsid w:val="00DA10E7"/>
    <w:rsid w:val="00DA2DAA"/>
    <w:rsid w:val="00DA4E65"/>
    <w:rsid w:val="00DA57FE"/>
    <w:rsid w:val="00DA5E3E"/>
    <w:rsid w:val="00DA64B1"/>
    <w:rsid w:val="00DA70AB"/>
    <w:rsid w:val="00DA7182"/>
    <w:rsid w:val="00DA78A6"/>
    <w:rsid w:val="00DB1840"/>
    <w:rsid w:val="00DB1B2C"/>
    <w:rsid w:val="00DB21FA"/>
    <w:rsid w:val="00DB2A2E"/>
    <w:rsid w:val="00DB34ED"/>
    <w:rsid w:val="00DB40F1"/>
    <w:rsid w:val="00DB451A"/>
    <w:rsid w:val="00DB5346"/>
    <w:rsid w:val="00DB6A14"/>
    <w:rsid w:val="00DB7FD8"/>
    <w:rsid w:val="00DC0A5A"/>
    <w:rsid w:val="00DC26F2"/>
    <w:rsid w:val="00DC2DDB"/>
    <w:rsid w:val="00DC3134"/>
    <w:rsid w:val="00DC59A9"/>
    <w:rsid w:val="00DC7733"/>
    <w:rsid w:val="00DC77F8"/>
    <w:rsid w:val="00DC7F3F"/>
    <w:rsid w:val="00DD0D13"/>
    <w:rsid w:val="00DD28EE"/>
    <w:rsid w:val="00DD3F73"/>
    <w:rsid w:val="00DD434F"/>
    <w:rsid w:val="00DD7309"/>
    <w:rsid w:val="00DD7DE1"/>
    <w:rsid w:val="00DE20D5"/>
    <w:rsid w:val="00DE22B2"/>
    <w:rsid w:val="00DE466D"/>
    <w:rsid w:val="00DE4851"/>
    <w:rsid w:val="00DE5A26"/>
    <w:rsid w:val="00DE6B2C"/>
    <w:rsid w:val="00DE7196"/>
    <w:rsid w:val="00DE733B"/>
    <w:rsid w:val="00DE7B2C"/>
    <w:rsid w:val="00DF029E"/>
    <w:rsid w:val="00DF0BEC"/>
    <w:rsid w:val="00DF32D9"/>
    <w:rsid w:val="00DF3A7F"/>
    <w:rsid w:val="00DF4288"/>
    <w:rsid w:val="00DF4EED"/>
    <w:rsid w:val="00DF51B8"/>
    <w:rsid w:val="00DF5A54"/>
    <w:rsid w:val="00DF5ACE"/>
    <w:rsid w:val="00DF6F12"/>
    <w:rsid w:val="00E00F4A"/>
    <w:rsid w:val="00E02599"/>
    <w:rsid w:val="00E026A8"/>
    <w:rsid w:val="00E03B8A"/>
    <w:rsid w:val="00E03D7F"/>
    <w:rsid w:val="00E0539D"/>
    <w:rsid w:val="00E056DE"/>
    <w:rsid w:val="00E05E34"/>
    <w:rsid w:val="00E10E53"/>
    <w:rsid w:val="00E11E6A"/>
    <w:rsid w:val="00E133ED"/>
    <w:rsid w:val="00E13931"/>
    <w:rsid w:val="00E15104"/>
    <w:rsid w:val="00E15686"/>
    <w:rsid w:val="00E16503"/>
    <w:rsid w:val="00E17F15"/>
    <w:rsid w:val="00E212FB"/>
    <w:rsid w:val="00E21B57"/>
    <w:rsid w:val="00E231F0"/>
    <w:rsid w:val="00E25E24"/>
    <w:rsid w:val="00E277B3"/>
    <w:rsid w:val="00E303D2"/>
    <w:rsid w:val="00E30898"/>
    <w:rsid w:val="00E30BF6"/>
    <w:rsid w:val="00E31822"/>
    <w:rsid w:val="00E32C22"/>
    <w:rsid w:val="00E32C30"/>
    <w:rsid w:val="00E33438"/>
    <w:rsid w:val="00E3517F"/>
    <w:rsid w:val="00E35A33"/>
    <w:rsid w:val="00E370CC"/>
    <w:rsid w:val="00E40DC1"/>
    <w:rsid w:val="00E42B07"/>
    <w:rsid w:val="00E44887"/>
    <w:rsid w:val="00E449AA"/>
    <w:rsid w:val="00E44D36"/>
    <w:rsid w:val="00E45110"/>
    <w:rsid w:val="00E45E0F"/>
    <w:rsid w:val="00E47E0C"/>
    <w:rsid w:val="00E5098F"/>
    <w:rsid w:val="00E51219"/>
    <w:rsid w:val="00E51C73"/>
    <w:rsid w:val="00E51DA0"/>
    <w:rsid w:val="00E52AEA"/>
    <w:rsid w:val="00E53107"/>
    <w:rsid w:val="00E5335F"/>
    <w:rsid w:val="00E5669E"/>
    <w:rsid w:val="00E577F7"/>
    <w:rsid w:val="00E60741"/>
    <w:rsid w:val="00E60EB2"/>
    <w:rsid w:val="00E6206E"/>
    <w:rsid w:val="00E62193"/>
    <w:rsid w:val="00E62B2D"/>
    <w:rsid w:val="00E62C5C"/>
    <w:rsid w:val="00E641FB"/>
    <w:rsid w:val="00E64B51"/>
    <w:rsid w:val="00E71F1D"/>
    <w:rsid w:val="00E72BDB"/>
    <w:rsid w:val="00E7460A"/>
    <w:rsid w:val="00E76BF8"/>
    <w:rsid w:val="00E76FA6"/>
    <w:rsid w:val="00E819D2"/>
    <w:rsid w:val="00E822BF"/>
    <w:rsid w:val="00E823D2"/>
    <w:rsid w:val="00E8252B"/>
    <w:rsid w:val="00E82D66"/>
    <w:rsid w:val="00E82E9C"/>
    <w:rsid w:val="00E833D0"/>
    <w:rsid w:val="00E83F9D"/>
    <w:rsid w:val="00E84AF4"/>
    <w:rsid w:val="00E84BB9"/>
    <w:rsid w:val="00E8510D"/>
    <w:rsid w:val="00E85552"/>
    <w:rsid w:val="00E877CF"/>
    <w:rsid w:val="00E87C2F"/>
    <w:rsid w:val="00E906AF"/>
    <w:rsid w:val="00E912F6"/>
    <w:rsid w:val="00E91B7F"/>
    <w:rsid w:val="00E91CFE"/>
    <w:rsid w:val="00E92F44"/>
    <w:rsid w:val="00E938EB"/>
    <w:rsid w:val="00E93F3E"/>
    <w:rsid w:val="00E9490C"/>
    <w:rsid w:val="00E94B09"/>
    <w:rsid w:val="00E95D4C"/>
    <w:rsid w:val="00E95E2B"/>
    <w:rsid w:val="00E97858"/>
    <w:rsid w:val="00E97B09"/>
    <w:rsid w:val="00EA0BCB"/>
    <w:rsid w:val="00EA1116"/>
    <w:rsid w:val="00EA2886"/>
    <w:rsid w:val="00EA2F24"/>
    <w:rsid w:val="00EA3881"/>
    <w:rsid w:val="00EA389D"/>
    <w:rsid w:val="00EA392D"/>
    <w:rsid w:val="00EA3EB1"/>
    <w:rsid w:val="00EA4091"/>
    <w:rsid w:val="00EA4D6D"/>
    <w:rsid w:val="00EA4FBC"/>
    <w:rsid w:val="00EA4FE6"/>
    <w:rsid w:val="00EA5862"/>
    <w:rsid w:val="00EA6084"/>
    <w:rsid w:val="00EA6B57"/>
    <w:rsid w:val="00EA6C8D"/>
    <w:rsid w:val="00EA6D27"/>
    <w:rsid w:val="00EB03F0"/>
    <w:rsid w:val="00EB0AB1"/>
    <w:rsid w:val="00EB224E"/>
    <w:rsid w:val="00EB2B57"/>
    <w:rsid w:val="00EB43F8"/>
    <w:rsid w:val="00EB4A77"/>
    <w:rsid w:val="00EB4AB2"/>
    <w:rsid w:val="00EB5351"/>
    <w:rsid w:val="00EB5522"/>
    <w:rsid w:val="00EB5E47"/>
    <w:rsid w:val="00EB62F4"/>
    <w:rsid w:val="00EC09E6"/>
    <w:rsid w:val="00EC399F"/>
    <w:rsid w:val="00EC4A2A"/>
    <w:rsid w:val="00EC4F29"/>
    <w:rsid w:val="00EC5F63"/>
    <w:rsid w:val="00EC6B47"/>
    <w:rsid w:val="00EC6EDA"/>
    <w:rsid w:val="00ED27CC"/>
    <w:rsid w:val="00ED37B7"/>
    <w:rsid w:val="00ED3977"/>
    <w:rsid w:val="00ED539F"/>
    <w:rsid w:val="00ED59F4"/>
    <w:rsid w:val="00ED6A39"/>
    <w:rsid w:val="00ED6FCA"/>
    <w:rsid w:val="00EE181A"/>
    <w:rsid w:val="00EE26BA"/>
    <w:rsid w:val="00EE2DAC"/>
    <w:rsid w:val="00EE3A7A"/>
    <w:rsid w:val="00EE3D21"/>
    <w:rsid w:val="00EE5021"/>
    <w:rsid w:val="00EE51D6"/>
    <w:rsid w:val="00EE5719"/>
    <w:rsid w:val="00EE7192"/>
    <w:rsid w:val="00EF09D9"/>
    <w:rsid w:val="00EF2944"/>
    <w:rsid w:val="00EF4368"/>
    <w:rsid w:val="00EF4798"/>
    <w:rsid w:val="00EF5661"/>
    <w:rsid w:val="00EF57C2"/>
    <w:rsid w:val="00EF638D"/>
    <w:rsid w:val="00EF65E0"/>
    <w:rsid w:val="00EF6999"/>
    <w:rsid w:val="00EF7E99"/>
    <w:rsid w:val="00F000DF"/>
    <w:rsid w:val="00F0089A"/>
    <w:rsid w:val="00F01141"/>
    <w:rsid w:val="00F01BB0"/>
    <w:rsid w:val="00F04244"/>
    <w:rsid w:val="00F10728"/>
    <w:rsid w:val="00F10CC8"/>
    <w:rsid w:val="00F11A51"/>
    <w:rsid w:val="00F13638"/>
    <w:rsid w:val="00F141FD"/>
    <w:rsid w:val="00F14205"/>
    <w:rsid w:val="00F14785"/>
    <w:rsid w:val="00F160C8"/>
    <w:rsid w:val="00F22776"/>
    <w:rsid w:val="00F22DEA"/>
    <w:rsid w:val="00F237DA"/>
    <w:rsid w:val="00F2606B"/>
    <w:rsid w:val="00F260B7"/>
    <w:rsid w:val="00F275A3"/>
    <w:rsid w:val="00F30686"/>
    <w:rsid w:val="00F315D9"/>
    <w:rsid w:val="00F31E41"/>
    <w:rsid w:val="00F334DC"/>
    <w:rsid w:val="00F33964"/>
    <w:rsid w:val="00F342F9"/>
    <w:rsid w:val="00F34464"/>
    <w:rsid w:val="00F3702F"/>
    <w:rsid w:val="00F372BF"/>
    <w:rsid w:val="00F37A3F"/>
    <w:rsid w:val="00F37AE8"/>
    <w:rsid w:val="00F405E0"/>
    <w:rsid w:val="00F4198F"/>
    <w:rsid w:val="00F41C48"/>
    <w:rsid w:val="00F42F87"/>
    <w:rsid w:val="00F439F4"/>
    <w:rsid w:val="00F43A83"/>
    <w:rsid w:val="00F44691"/>
    <w:rsid w:val="00F45568"/>
    <w:rsid w:val="00F467A3"/>
    <w:rsid w:val="00F47475"/>
    <w:rsid w:val="00F50768"/>
    <w:rsid w:val="00F51F95"/>
    <w:rsid w:val="00F52DDF"/>
    <w:rsid w:val="00F533B1"/>
    <w:rsid w:val="00F53640"/>
    <w:rsid w:val="00F540DA"/>
    <w:rsid w:val="00F54563"/>
    <w:rsid w:val="00F564C2"/>
    <w:rsid w:val="00F56794"/>
    <w:rsid w:val="00F56B04"/>
    <w:rsid w:val="00F57367"/>
    <w:rsid w:val="00F619E2"/>
    <w:rsid w:val="00F625D3"/>
    <w:rsid w:val="00F63D59"/>
    <w:rsid w:val="00F64948"/>
    <w:rsid w:val="00F6671B"/>
    <w:rsid w:val="00F70D21"/>
    <w:rsid w:val="00F71617"/>
    <w:rsid w:val="00F722EA"/>
    <w:rsid w:val="00F7253E"/>
    <w:rsid w:val="00F72A52"/>
    <w:rsid w:val="00F738F6"/>
    <w:rsid w:val="00F73908"/>
    <w:rsid w:val="00F73B13"/>
    <w:rsid w:val="00F75088"/>
    <w:rsid w:val="00F7589C"/>
    <w:rsid w:val="00F761B1"/>
    <w:rsid w:val="00F7633C"/>
    <w:rsid w:val="00F76859"/>
    <w:rsid w:val="00F76D80"/>
    <w:rsid w:val="00F80DF8"/>
    <w:rsid w:val="00F82B72"/>
    <w:rsid w:val="00F82FFC"/>
    <w:rsid w:val="00F834FD"/>
    <w:rsid w:val="00F83A47"/>
    <w:rsid w:val="00F83F86"/>
    <w:rsid w:val="00F84ECF"/>
    <w:rsid w:val="00F853D3"/>
    <w:rsid w:val="00F85445"/>
    <w:rsid w:val="00F8719B"/>
    <w:rsid w:val="00F9326B"/>
    <w:rsid w:val="00F93307"/>
    <w:rsid w:val="00F948EF"/>
    <w:rsid w:val="00F963C8"/>
    <w:rsid w:val="00FA0FB1"/>
    <w:rsid w:val="00FA1B39"/>
    <w:rsid w:val="00FA3525"/>
    <w:rsid w:val="00FA3BB7"/>
    <w:rsid w:val="00FA400D"/>
    <w:rsid w:val="00FA4728"/>
    <w:rsid w:val="00FA6030"/>
    <w:rsid w:val="00FA68F0"/>
    <w:rsid w:val="00FB0C38"/>
    <w:rsid w:val="00FB1325"/>
    <w:rsid w:val="00FB1464"/>
    <w:rsid w:val="00FB1966"/>
    <w:rsid w:val="00FB4257"/>
    <w:rsid w:val="00FB67B3"/>
    <w:rsid w:val="00FC01CB"/>
    <w:rsid w:val="00FC0EC5"/>
    <w:rsid w:val="00FC2A0E"/>
    <w:rsid w:val="00FC2B14"/>
    <w:rsid w:val="00FC2BDD"/>
    <w:rsid w:val="00FC4485"/>
    <w:rsid w:val="00FC66D5"/>
    <w:rsid w:val="00FC66FF"/>
    <w:rsid w:val="00FC7F05"/>
    <w:rsid w:val="00FD0915"/>
    <w:rsid w:val="00FD1BE3"/>
    <w:rsid w:val="00FD1D7D"/>
    <w:rsid w:val="00FD22CE"/>
    <w:rsid w:val="00FD546E"/>
    <w:rsid w:val="00FD78C1"/>
    <w:rsid w:val="00FD7F5F"/>
    <w:rsid w:val="00FE12C4"/>
    <w:rsid w:val="00FE27E5"/>
    <w:rsid w:val="00FE29DD"/>
    <w:rsid w:val="00FE445C"/>
    <w:rsid w:val="00FE56E0"/>
    <w:rsid w:val="00FE5A38"/>
    <w:rsid w:val="00FE626C"/>
    <w:rsid w:val="00FE6E95"/>
    <w:rsid w:val="00FE763A"/>
    <w:rsid w:val="00FE76FF"/>
    <w:rsid w:val="00FE7E06"/>
    <w:rsid w:val="00FE7FC7"/>
    <w:rsid w:val="00FF255E"/>
    <w:rsid w:val="00FF28F9"/>
    <w:rsid w:val="00FF360B"/>
    <w:rsid w:val="00FF4311"/>
    <w:rsid w:val="00FF70A1"/>
    <w:rsid w:val="016F0113"/>
    <w:rsid w:val="018C27D1"/>
    <w:rsid w:val="021B6D2E"/>
    <w:rsid w:val="023458E3"/>
    <w:rsid w:val="02746D20"/>
    <w:rsid w:val="029403A1"/>
    <w:rsid w:val="030419AD"/>
    <w:rsid w:val="03092728"/>
    <w:rsid w:val="03314FB5"/>
    <w:rsid w:val="0365793C"/>
    <w:rsid w:val="03C9092D"/>
    <w:rsid w:val="03E37497"/>
    <w:rsid w:val="048075FB"/>
    <w:rsid w:val="0544796A"/>
    <w:rsid w:val="055F5540"/>
    <w:rsid w:val="056F420C"/>
    <w:rsid w:val="0596630B"/>
    <w:rsid w:val="0650779B"/>
    <w:rsid w:val="06AC5A26"/>
    <w:rsid w:val="07043A2A"/>
    <w:rsid w:val="076042B8"/>
    <w:rsid w:val="0765096C"/>
    <w:rsid w:val="07CF61EE"/>
    <w:rsid w:val="07F4680E"/>
    <w:rsid w:val="08793DD3"/>
    <w:rsid w:val="096A04BC"/>
    <w:rsid w:val="09E05573"/>
    <w:rsid w:val="09EE2822"/>
    <w:rsid w:val="09FA56E5"/>
    <w:rsid w:val="0A6A2F1E"/>
    <w:rsid w:val="0A6D1030"/>
    <w:rsid w:val="0B1300E9"/>
    <w:rsid w:val="0B952940"/>
    <w:rsid w:val="0BD550DC"/>
    <w:rsid w:val="0BE63056"/>
    <w:rsid w:val="0C1313D4"/>
    <w:rsid w:val="0C1E2B33"/>
    <w:rsid w:val="0C5E08FE"/>
    <w:rsid w:val="0D4F0152"/>
    <w:rsid w:val="0D8B0E5D"/>
    <w:rsid w:val="0E1629FA"/>
    <w:rsid w:val="0E657000"/>
    <w:rsid w:val="0E883192"/>
    <w:rsid w:val="0E9C47D0"/>
    <w:rsid w:val="0ED00900"/>
    <w:rsid w:val="0F2C2B9F"/>
    <w:rsid w:val="0F454FA5"/>
    <w:rsid w:val="0FA933C0"/>
    <w:rsid w:val="0FC728BF"/>
    <w:rsid w:val="100A0403"/>
    <w:rsid w:val="10A669A7"/>
    <w:rsid w:val="10BA0969"/>
    <w:rsid w:val="10ED4FB9"/>
    <w:rsid w:val="10EE5A05"/>
    <w:rsid w:val="1150637E"/>
    <w:rsid w:val="11DE56C1"/>
    <w:rsid w:val="12AE4BDA"/>
    <w:rsid w:val="12B07CAD"/>
    <w:rsid w:val="12BC3675"/>
    <w:rsid w:val="12EA1955"/>
    <w:rsid w:val="139454AD"/>
    <w:rsid w:val="14B545B5"/>
    <w:rsid w:val="14C66FE1"/>
    <w:rsid w:val="14F968B3"/>
    <w:rsid w:val="152D239E"/>
    <w:rsid w:val="1569196C"/>
    <w:rsid w:val="15B46D89"/>
    <w:rsid w:val="163F7FE0"/>
    <w:rsid w:val="16413505"/>
    <w:rsid w:val="16866DBC"/>
    <w:rsid w:val="16A1071F"/>
    <w:rsid w:val="170104E0"/>
    <w:rsid w:val="170610F8"/>
    <w:rsid w:val="175955B7"/>
    <w:rsid w:val="17DB4333"/>
    <w:rsid w:val="184928BC"/>
    <w:rsid w:val="186B56B7"/>
    <w:rsid w:val="1891452C"/>
    <w:rsid w:val="1901601B"/>
    <w:rsid w:val="19540B3E"/>
    <w:rsid w:val="197708D2"/>
    <w:rsid w:val="197C6937"/>
    <w:rsid w:val="1988673C"/>
    <w:rsid w:val="198E54B2"/>
    <w:rsid w:val="1A3C207F"/>
    <w:rsid w:val="1A6265A0"/>
    <w:rsid w:val="1A67785B"/>
    <w:rsid w:val="1B4641B9"/>
    <w:rsid w:val="1B5B7F49"/>
    <w:rsid w:val="1B8A679C"/>
    <w:rsid w:val="1B914D87"/>
    <w:rsid w:val="1BAA316A"/>
    <w:rsid w:val="1CE65A92"/>
    <w:rsid w:val="1D9F4FC7"/>
    <w:rsid w:val="1DBC69B5"/>
    <w:rsid w:val="1DF443A0"/>
    <w:rsid w:val="1E264900"/>
    <w:rsid w:val="1E622254"/>
    <w:rsid w:val="1E7406A1"/>
    <w:rsid w:val="1E8277F9"/>
    <w:rsid w:val="1EA517E9"/>
    <w:rsid w:val="1EB34921"/>
    <w:rsid w:val="20044768"/>
    <w:rsid w:val="20286583"/>
    <w:rsid w:val="2030234C"/>
    <w:rsid w:val="20403A2B"/>
    <w:rsid w:val="2047344A"/>
    <w:rsid w:val="20CF1E90"/>
    <w:rsid w:val="21D2492E"/>
    <w:rsid w:val="22010E59"/>
    <w:rsid w:val="22196184"/>
    <w:rsid w:val="22BF1037"/>
    <w:rsid w:val="22DB74CA"/>
    <w:rsid w:val="22FD1F55"/>
    <w:rsid w:val="23231EF5"/>
    <w:rsid w:val="23587540"/>
    <w:rsid w:val="239604E8"/>
    <w:rsid w:val="23F92615"/>
    <w:rsid w:val="243218B1"/>
    <w:rsid w:val="24392FCB"/>
    <w:rsid w:val="244D133A"/>
    <w:rsid w:val="246A331A"/>
    <w:rsid w:val="250B7607"/>
    <w:rsid w:val="25202CA1"/>
    <w:rsid w:val="252243BF"/>
    <w:rsid w:val="25225100"/>
    <w:rsid w:val="25802315"/>
    <w:rsid w:val="25B05675"/>
    <w:rsid w:val="25ED24FE"/>
    <w:rsid w:val="26435EC5"/>
    <w:rsid w:val="26AA74A2"/>
    <w:rsid w:val="26EB3E67"/>
    <w:rsid w:val="273A57A4"/>
    <w:rsid w:val="278D493F"/>
    <w:rsid w:val="27AD6EC3"/>
    <w:rsid w:val="282E4250"/>
    <w:rsid w:val="28B416F4"/>
    <w:rsid w:val="293F6AC5"/>
    <w:rsid w:val="295108F9"/>
    <w:rsid w:val="2A173E72"/>
    <w:rsid w:val="2A3C7703"/>
    <w:rsid w:val="2A823CE2"/>
    <w:rsid w:val="2A9E4F5A"/>
    <w:rsid w:val="2AE915DF"/>
    <w:rsid w:val="2B334A65"/>
    <w:rsid w:val="2B484938"/>
    <w:rsid w:val="2B773896"/>
    <w:rsid w:val="2B794137"/>
    <w:rsid w:val="2CB34511"/>
    <w:rsid w:val="2CEA5A1E"/>
    <w:rsid w:val="2CEF7EDA"/>
    <w:rsid w:val="2D4B6263"/>
    <w:rsid w:val="2DBA786E"/>
    <w:rsid w:val="2E073DEF"/>
    <w:rsid w:val="2E1E38EE"/>
    <w:rsid w:val="2EF8099C"/>
    <w:rsid w:val="2F3C66B4"/>
    <w:rsid w:val="2F5F6125"/>
    <w:rsid w:val="2FA70F07"/>
    <w:rsid w:val="303D3985"/>
    <w:rsid w:val="304B0D61"/>
    <w:rsid w:val="314149B2"/>
    <w:rsid w:val="319E76E8"/>
    <w:rsid w:val="31C74FF2"/>
    <w:rsid w:val="31DB16A7"/>
    <w:rsid w:val="32BC53BE"/>
    <w:rsid w:val="33096675"/>
    <w:rsid w:val="338D3988"/>
    <w:rsid w:val="338E47CE"/>
    <w:rsid w:val="33CC574C"/>
    <w:rsid w:val="34815827"/>
    <w:rsid w:val="35801EEB"/>
    <w:rsid w:val="365B2DB7"/>
    <w:rsid w:val="367E6AA5"/>
    <w:rsid w:val="375E254B"/>
    <w:rsid w:val="37797999"/>
    <w:rsid w:val="380110A4"/>
    <w:rsid w:val="38C01325"/>
    <w:rsid w:val="38D53666"/>
    <w:rsid w:val="38E01351"/>
    <w:rsid w:val="39085265"/>
    <w:rsid w:val="391F6ABD"/>
    <w:rsid w:val="398732AE"/>
    <w:rsid w:val="3A273455"/>
    <w:rsid w:val="3A285742"/>
    <w:rsid w:val="3A3D3521"/>
    <w:rsid w:val="3A8F5932"/>
    <w:rsid w:val="3A972E22"/>
    <w:rsid w:val="3AC60FF0"/>
    <w:rsid w:val="3B501041"/>
    <w:rsid w:val="3B7739C8"/>
    <w:rsid w:val="3C6374BC"/>
    <w:rsid w:val="3CD74D59"/>
    <w:rsid w:val="3CE00CA9"/>
    <w:rsid w:val="3CE31410"/>
    <w:rsid w:val="3D0147D6"/>
    <w:rsid w:val="3D6E139A"/>
    <w:rsid w:val="3D951F8B"/>
    <w:rsid w:val="3EB803E3"/>
    <w:rsid w:val="3F161CDC"/>
    <w:rsid w:val="40167D4F"/>
    <w:rsid w:val="4064660A"/>
    <w:rsid w:val="40D90C91"/>
    <w:rsid w:val="40EE54B8"/>
    <w:rsid w:val="41436687"/>
    <w:rsid w:val="41B27984"/>
    <w:rsid w:val="41DC5DCC"/>
    <w:rsid w:val="424010B3"/>
    <w:rsid w:val="425014D4"/>
    <w:rsid w:val="427B23F2"/>
    <w:rsid w:val="428840AF"/>
    <w:rsid w:val="428B4A24"/>
    <w:rsid w:val="42A15FF5"/>
    <w:rsid w:val="42B72BB4"/>
    <w:rsid w:val="42C10B4A"/>
    <w:rsid w:val="42C76843"/>
    <w:rsid w:val="42DF267A"/>
    <w:rsid w:val="42E70FB5"/>
    <w:rsid w:val="43C67513"/>
    <w:rsid w:val="43D033EA"/>
    <w:rsid w:val="43DA7EF9"/>
    <w:rsid w:val="43E371ED"/>
    <w:rsid w:val="441427F7"/>
    <w:rsid w:val="44345C27"/>
    <w:rsid w:val="44535A5F"/>
    <w:rsid w:val="44660FAE"/>
    <w:rsid w:val="446918F4"/>
    <w:rsid w:val="448A5456"/>
    <w:rsid w:val="44A40989"/>
    <w:rsid w:val="44B332E8"/>
    <w:rsid w:val="44F06DC0"/>
    <w:rsid w:val="44F7014F"/>
    <w:rsid w:val="451F74CB"/>
    <w:rsid w:val="45533430"/>
    <w:rsid w:val="45672127"/>
    <w:rsid w:val="45842888"/>
    <w:rsid w:val="45AC67CF"/>
    <w:rsid w:val="45EE5E76"/>
    <w:rsid w:val="46F214EB"/>
    <w:rsid w:val="488C6E00"/>
    <w:rsid w:val="49070363"/>
    <w:rsid w:val="493E4462"/>
    <w:rsid w:val="49C83E68"/>
    <w:rsid w:val="4A0149A8"/>
    <w:rsid w:val="4A176E4D"/>
    <w:rsid w:val="4A5D4983"/>
    <w:rsid w:val="4AB223FB"/>
    <w:rsid w:val="4AB61E11"/>
    <w:rsid w:val="4B49547C"/>
    <w:rsid w:val="4C2D1569"/>
    <w:rsid w:val="4CB93F3C"/>
    <w:rsid w:val="4CD40CF2"/>
    <w:rsid w:val="4D0E3F2B"/>
    <w:rsid w:val="4D24213A"/>
    <w:rsid w:val="4D43014E"/>
    <w:rsid w:val="4D5901A4"/>
    <w:rsid w:val="4E465E03"/>
    <w:rsid w:val="4E734EFF"/>
    <w:rsid w:val="4E9B2A11"/>
    <w:rsid w:val="4F227A85"/>
    <w:rsid w:val="4F822D0B"/>
    <w:rsid w:val="4F911E22"/>
    <w:rsid w:val="4F923C05"/>
    <w:rsid w:val="4F9A0054"/>
    <w:rsid w:val="50235684"/>
    <w:rsid w:val="50294C9A"/>
    <w:rsid w:val="5058530B"/>
    <w:rsid w:val="50837DC5"/>
    <w:rsid w:val="50AA30F3"/>
    <w:rsid w:val="525F28A5"/>
    <w:rsid w:val="52D95337"/>
    <w:rsid w:val="52DE2DFC"/>
    <w:rsid w:val="52E437F4"/>
    <w:rsid w:val="52F263F9"/>
    <w:rsid w:val="53404C8E"/>
    <w:rsid w:val="53C16B47"/>
    <w:rsid w:val="54487019"/>
    <w:rsid w:val="5469535C"/>
    <w:rsid w:val="54A13C33"/>
    <w:rsid w:val="54D44008"/>
    <w:rsid w:val="55327CF3"/>
    <w:rsid w:val="5549554B"/>
    <w:rsid w:val="5559450E"/>
    <w:rsid w:val="55AE35AD"/>
    <w:rsid w:val="55CB4523"/>
    <w:rsid w:val="56D33B10"/>
    <w:rsid w:val="56D37563"/>
    <w:rsid w:val="5712314F"/>
    <w:rsid w:val="57521214"/>
    <w:rsid w:val="57680A38"/>
    <w:rsid w:val="577178A4"/>
    <w:rsid w:val="577949F3"/>
    <w:rsid w:val="57C51837"/>
    <w:rsid w:val="57F105BB"/>
    <w:rsid w:val="58316601"/>
    <w:rsid w:val="58B2454A"/>
    <w:rsid w:val="59012EF2"/>
    <w:rsid w:val="59582733"/>
    <w:rsid w:val="5A76387F"/>
    <w:rsid w:val="5AB12E3E"/>
    <w:rsid w:val="5ABB14C4"/>
    <w:rsid w:val="5B0F1BAA"/>
    <w:rsid w:val="5B170EAB"/>
    <w:rsid w:val="5B37651B"/>
    <w:rsid w:val="5B39252D"/>
    <w:rsid w:val="5B3E0CFE"/>
    <w:rsid w:val="5BB36D43"/>
    <w:rsid w:val="5C4412D1"/>
    <w:rsid w:val="5CA37758"/>
    <w:rsid w:val="5CBE7934"/>
    <w:rsid w:val="5D951DF7"/>
    <w:rsid w:val="5DAD189A"/>
    <w:rsid w:val="5E6F213A"/>
    <w:rsid w:val="5E9E498A"/>
    <w:rsid w:val="5ECC7640"/>
    <w:rsid w:val="5F0F0E8E"/>
    <w:rsid w:val="5F7A5736"/>
    <w:rsid w:val="5FC8476A"/>
    <w:rsid w:val="5FD85BF2"/>
    <w:rsid w:val="5FFD062B"/>
    <w:rsid w:val="60477D84"/>
    <w:rsid w:val="60532A05"/>
    <w:rsid w:val="60740803"/>
    <w:rsid w:val="60A71749"/>
    <w:rsid w:val="60D07D7A"/>
    <w:rsid w:val="60D92B5E"/>
    <w:rsid w:val="60F40C8D"/>
    <w:rsid w:val="61DC0FCB"/>
    <w:rsid w:val="61FA78FF"/>
    <w:rsid w:val="621A17A6"/>
    <w:rsid w:val="625E49B1"/>
    <w:rsid w:val="62B616D9"/>
    <w:rsid w:val="63045ABD"/>
    <w:rsid w:val="635C784E"/>
    <w:rsid w:val="63821B45"/>
    <w:rsid w:val="6421551F"/>
    <w:rsid w:val="64E92E44"/>
    <w:rsid w:val="6509351A"/>
    <w:rsid w:val="65F072B1"/>
    <w:rsid w:val="666F593F"/>
    <w:rsid w:val="66745A37"/>
    <w:rsid w:val="66C34293"/>
    <w:rsid w:val="66DB147A"/>
    <w:rsid w:val="67A8362B"/>
    <w:rsid w:val="67E30B0D"/>
    <w:rsid w:val="689B3520"/>
    <w:rsid w:val="68ED3709"/>
    <w:rsid w:val="693F199C"/>
    <w:rsid w:val="69FB1D72"/>
    <w:rsid w:val="6A074040"/>
    <w:rsid w:val="6A2D3975"/>
    <w:rsid w:val="6B634E01"/>
    <w:rsid w:val="6B655563"/>
    <w:rsid w:val="6C2B67AC"/>
    <w:rsid w:val="6C8D408F"/>
    <w:rsid w:val="6DC14C2E"/>
    <w:rsid w:val="6DDA2E50"/>
    <w:rsid w:val="6E324C1E"/>
    <w:rsid w:val="6E6447FF"/>
    <w:rsid w:val="6F2D617C"/>
    <w:rsid w:val="6F4909C2"/>
    <w:rsid w:val="6FC50517"/>
    <w:rsid w:val="70112BB7"/>
    <w:rsid w:val="70210670"/>
    <w:rsid w:val="706F6B73"/>
    <w:rsid w:val="70A7698F"/>
    <w:rsid w:val="71A1198F"/>
    <w:rsid w:val="71CC4725"/>
    <w:rsid w:val="721E7C7D"/>
    <w:rsid w:val="72C0122E"/>
    <w:rsid w:val="72D342A8"/>
    <w:rsid w:val="73170950"/>
    <w:rsid w:val="731E3F37"/>
    <w:rsid w:val="736478D3"/>
    <w:rsid w:val="737F4B90"/>
    <w:rsid w:val="74005FD1"/>
    <w:rsid w:val="746833B5"/>
    <w:rsid w:val="74CE6AD9"/>
    <w:rsid w:val="750724A3"/>
    <w:rsid w:val="750B6DDC"/>
    <w:rsid w:val="752336E6"/>
    <w:rsid w:val="754206C3"/>
    <w:rsid w:val="754F1783"/>
    <w:rsid w:val="756036A9"/>
    <w:rsid w:val="75F11A07"/>
    <w:rsid w:val="75F33CF3"/>
    <w:rsid w:val="764E23BC"/>
    <w:rsid w:val="766E410F"/>
    <w:rsid w:val="767804F1"/>
    <w:rsid w:val="76D343F1"/>
    <w:rsid w:val="77382A32"/>
    <w:rsid w:val="77882D05"/>
    <w:rsid w:val="779265C1"/>
    <w:rsid w:val="785E37D6"/>
    <w:rsid w:val="787B7142"/>
    <w:rsid w:val="78900AB8"/>
    <w:rsid w:val="78B91E46"/>
    <w:rsid w:val="79350579"/>
    <w:rsid w:val="79CA6D5B"/>
    <w:rsid w:val="7AFB20D9"/>
    <w:rsid w:val="7B777E7D"/>
    <w:rsid w:val="7BAE1ED4"/>
    <w:rsid w:val="7BB86609"/>
    <w:rsid w:val="7BCE7859"/>
    <w:rsid w:val="7C184FB7"/>
    <w:rsid w:val="7CDE33C7"/>
    <w:rsid w:val="7CE21F54"/>
    <w:rsid w:val="7CFD39EC"/>
    <w:rsid w:val="7D31261A"/>
    <w:rsid w:val="7D5D253D"/>
    <w:rsid w:val="7DA807D4"/>
    <w:rsid w:val="7FB7672F"/>
    <w:rsid w:val="9ADC02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AutoShape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4"/>
    <w:qFormat/>
    <w:uiPriority w:val="9"/>
    <w:pPr>
      <w:keepNext/>
      <w:autoSpaceDE w:val="0"/>
      <w:autoSpaceDN w:val="0"/>
      <w:spacing w:line="360" w:lineRule="auto"/>
      <w:jc w:val="center"/>
      <w:textAlignment w:val="bottom"/>
      <w:outlineLvl w:val="0"/>
    </w:pPr>
    <w:rPr>
      <w:rFonts w:ascii="仿宋_GB2312" w:eastAsia="仿宋_GB2312"/>
      <w:b/>
      <w:sz w:val="44"/>
    </w:rPr>
  </w:style>
  <w:style w:type="paragraph" w:styleId="5">
    <w:name w:val="heading 2"/>
    <w:basedOn w:val="1"/>
    <w:next w:val="1"/>
    <w:link w:val="278"/>
    <w:qFormat/>
    <w:uiPriority w:val="9"/>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6">
    <w:name w:val="heading 3"/>
    <w:basedOn w:val="1"/>
    <w:next w:val="7"/>
    <w:link w:val="55"/>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8">
    <w:name w:val="heading 4"/>
    <w:basedOn w:val="1"/>
    <w:next w:val="1"/>
    <w:qFormat/>
    <w:uiPriority w:val="0"/>
    <w:pPr>
      <w:keepLines/>
      <w:widowControl/>
      <w:spacing w:before="280" w:after="290" w:line="372" w:lineRule="auto"/>
      <w:outlineLvl w:val="3"/>
    </w:pPr>
    <w:rPr>
      <w:rFonts w:ascii="Arial" w:hAnsi="Arial" w:eastAsia="黑体"/>
      <w:b/>
      <w:color w:val="000000"/>
      <w:sz w:val="28"/>
      <w:szCs w:val="20"/>
    </w:rPr>
  </w:style>
  <w:style w:type="paragraph" w:styleId="9">
    <w:name w:val="heading 5"/>
    <w:basedOn w:val="1"/>
    <w:next w:val="1"/>
    <w:qFormat/>
    <w:uiPriority w:val="0"/>
    <w:pPr>
      <w:keepLines/>
      <w:widowControl/>
      <w:spacing w:before="280" w:after="290" w:line="372" w:lineRule="auto"/>
      <w:outlineLvl w:val="4"/>
    </w:pPr>
    <w:rPr>
      <w:b/>
      <w:color w:val="000000"/>
      <w:sz w:val="28"/>
      <w:szCs w:val="20"/>
    </w:rPr>
  </w:style>
  <w:style w:type="paragraph" w:styleId="10">
    <w:name w:val="heading 6"/>
    <w:basedOn w:val="1"/>
    <w:next w:val="1"/>
    <w:qFormat/>
    <w:uiPriority w:val="0"/>
    <w:pPr>
      <w:keepLines/>
      <w:widowControl/>
      <w:spacing w:before="240" w:after="64" w:line="312" w:lineRule="auto"/>
      <w:outlineLvl w:val="5"/>
    </w:pPr>
    <w:rPr>
      <w:rFonts w:ascii="Arial" w:hAnsi="Arial" w:eastAsia="黑体"/>
      <w:b/>
      <w:color w:val="000000"/>
      <w:sz w:val="24"/>
      <w:szCs w:val="20"/>
    </w:rPr>
  </w:style>
  <w:style w:type="paragraph" w:styleId="11">
    <w:name w:val="heading 7"/>
    <w:basedOn w:val="1"/>
    <w:next w:val="1"/>
    <w:qFormat/>
    <w:uiPriority w:val="0"/>
    <w:pPr>
      <w:keepLines/>
      <w:widowControl/>
      <w:spacing w:before="240" w:after="64" w:line="312" w:lineRule="auto"/>
      <w:outlineLvl w:val="6"/>
    </w:pPr>
    <w:rPr>
      <w:b/>
      <w:color w:val="000000"/>
      <w:sz w:val="24"/>
      <w:szCs w:val="20"/>
    </w:rPr>
  </w:style>
  <w:style w:type="paragraph" w:styleId="12">
    <w:name w:val="heading 8"/>
    <w:basedOn w:val="1"/>
    <w:next w:val="1"/>
    <w:qFormat/>
    <w:uiPriority w:val="0"/>
    <w:pPr>
      <w:keepLines/>
      <w:widowControl/>
      <w:spacing w:before="240" w:after="64" w:line="312" w:lineRule="auto"/>
      <w:outlineLvl w:val="7"/>
    </w:pPr>
    <w:rPr>
      <w:rFonts w:ascii="Arial" w:hAnsi="Arial" w:eastAsia="黑体"/>
      <w:color w:val="000000"/>
      <w:sz w:val="24"/>
      <w:szCs w:val="20"/>
    </w:rPr>
  </w:style>
  <w:style w:type="paragraph" w:styleId="13">
    <w:name w:val="heading 9"/>
    <w:basedOn w:val="1"/>
    <w:next w:val="1"/>
    <w:link w:val="57"/>
    <w:qFormat/>
    <w:uiPriority w:val="0"/>
    <w:pPr>
      <w:keepLines/>
      <w:widowControl/>
      <w:spacing w:before="240" w:after="64" w:line="312" w:lineRule="auto"/>
      <w:outlineLvl w:val="8"/>
    </w:pPr>
    <w:rPr>
      <w:rFonts w:ascii="Arial" w:hAnsi="Arial" w:eastAsia="黑体"/>
      <w:color w:val="00000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Normal Indent"/>
    <w:basedOn w:val="1"/>
    <w:link w:val="56"/>
    <w:qFormat/>
    <w:uiPriority w:val="0"/>
    <w:pPr>
      <w:ind w:firstLine="420"/>
    </w:pPr>
    <w:rPr>
      <w:rFonts w:ascii="Times New Roman" w:hAnsi="Times New Roman"/>
      <w:szCs w:val="20"/>
    </w:rPr>
  </w:style>
  <w:style w:type="paragraph" w:styleId="14">
    <w:name w:val="toc 7"/>
    <w:basedOn w:val="1"/>
    <w:next w:val="1"/>
    <w:unhideWhenUsed/>
    <w:qFormat/>
    <w:uiPriority w:val="39"/>
    <w:pPr>
      <w:ind w:left="1260"/>
      <w:jc w:val="left"/>
    </w:pPr>
    <w:rPr>
      <w:sz w:val="18"/>
      <w:szCs w:val="18"/>
    </w:rPr>
  </w:style>
  <w:style w:type="paragraph" w:styleId="15">
    <w:name w:val="table of authorities"/>
    <w:basedOn w:val="1"/>
    <w:next w:val="1"/>
    <w:qFormat/>
    <w:uiPriority w:val="0"/>
    <w:pPr>
      <w:ind w:left="420" w:leftChars="200"/>
    </w:pPr>
  </w:style>
  <w:style w:type="paragraph" w:styleId="16">
    <w:name w:val="caption"/>
    <w:basedOn w:val="1"/>
    <w:next w:val="1"/>
    <w:link w:val="265"/>
    <w:qFormat/>
    <w:uiPriority w:val="0"/>
    <w:pPr>
      <w:spacing w:before="152" w:after="160"/>
    </w:pPr>
    <w:rPr>
      <w:rFonts w:ascii="Arial" w:hAnsi="Arial" w:eastAsia="黑体"/>
      <w:sz w:val="20"/>
      <w:szCs w:val="20"/>
    </w:rPr>
  </w:style>
  <w:style w:type="paragraph" w:styleId="17">
    <w:name w:val="Document Map"/>
    <w:basedOn w:val="1"/>
    <w:semiHidden/>
    <w:qFormat/>
    <w:uiPriority w:val="0"/>
    <w:pPr>
      <w:shd w:val="clear" w:color="auto" w:fill="000080"/>
    </w:pPr>
  </w:style>
  <w:style w:type="paragraph" w:styleId="18">
    <w:name w:val="annotation text"/>
    <w:basedOn w:val="1"/>
    <w:semiHidden/>
    <w:qFormat/>
    <w:uiPriority w:val="0"/>
    <w:pPr>
      <w:jc w:val="left"/>
    </w:pPr>
  </w:style>
  <w:style w:type="paragraph" w:styleId="19">
    <w:name w:val="Body Text 3"/>
    <w:basedOn w:val="1"/>
    <w:qFormat/>
    <w:uiPriority w:val="0"/>
    <w:pPr>
      <w:widowControl/>
      <w:spacing w:line="360" w:lineRule="auto"/>
    </w:pPr>
    <w:rPr>
      <w:rFonts w:ascii="仿宋_GB2312" w:eastAsia="仿宋_GB2312"/>
      <w:sz w:val="24"/>
      <w:szCs w:val="20"/>
    </w:rPr>
  </w:style>
  <w:style w:type="paragraph" w:styleId="20">
    <w:name w:val="Body Text"/>
    <w:basedOn w:val="1"/>
    <w:next w:val="21"/>
    <w:qFormat/>
    <w:uiPriority w:val="0"/>
    <w:pPr>
      <w:tabs>
        <w:tab w:val="left" w:pos="208"/>
      </w:tabs>
      <w:spacing w:line="432" w:lineRule="auto"/>
    </w:pPr>
    <w:rPr>
      <w:rFonts w:ascii="仿宋_GB2312" w:eastAsia="仿宋_GB2312"/>
      <w:sz w:val="28"/>
    </w:rPr>
  </w:style>
  <w:style w:type="paragraph" w:styleId="21">
    <w:name w:val="Body Text First Indent"/>
    <w:basedOn w:val="20"/>
    <w:next w:val="1"/>
    <w:link w:val="271"/>
    <w:qFormat/>
    <w:uiPriority w:val="0"/>
    <w:pPr>
      <w:spacing w:after="120" w:line="240" w:lineRule="auto"/>
      <w:ind w:firstLine="420" w:firstLineChars="100"/>
    </w:pPr>
    <w:rPr>
      <w:rFonts w:ascii="Times New Roman" w:eastAsia="宋体"/>
      <w:sz w:val="21"/>
    </w:rPr>
  </w:style>
  <w:style w:type="paragraph" w:styleId="22">
    <w:name w:val="Body Text Indent"/>
    <w:basedOn w:val="1"/>
    <w:link w:val="269"/>
    <w:qFormat/>
    <w:uiPriority w:val="0"/>
    <w:pPr>
      <w:ind w:firstLine="540"/>
    </w:pPr>
    <w:rPr>
      <w:sz w:val="28"/>
      <w:szCs w:val="20"/>
    </w:rPr>
  </w:style>
  <w:style w:type="paragraph" w:styleId="23">
    <w:name w:val="toc 5"/>
    <w:basedOn w:val="1"/>
    <w:next w:val="1"/>
    <w:unhideWhenUsed/>
    <w:qFormat/>
    <w:uiPriority w:val="39"/>
    <w:pPr>
      <w:ind w:left="840"/>
      <w:jc w:val="left"/>
    </w:pPr>
    <w:rPr>
      <w:sz w:val="18"/>
      <w:szCs w:val="18"/>
    </w:rPr>
  </w:style>
  <w:style w:type="paragraph" w:styleId="24">
    <w:name w:val="toc 3"/>
    <w:basedOn w:val="1"/>
    <w:next w:val="1"/>
    <w:qFormat/>
    <w:uiPriority w:val="39"/>
    <w:pPr>
      <w:spacing w:before="40" w:after="40"/>
      <w:ind w:left="200" w:leftChars="200"/>
      <w:jc w:val="left"/>
    </w:pPr>
    <w:rPr>
      <w:rFonts w:eastAsia="仿宋_GB2312"/>
      <w:iCs/>
      <w:sz w:val="20"/>
      <w:szCs w:val="20"/>
    </w:rPr>
  </w:style>
  <w:style w:type="paragraph" w:styleId="25">
    <w:name w:val="Plain Text"/>
    <w:basedOn w:val="1"/>
    <w:link w:val="58"/>
    <w:qFormat/>
    <w:uiPriority w:val="0"/>
    <w:rPr>
      <w:rFonts w:ascii="宋体" w:hAnsi="Courier New"/>
      <w:szCs w:val="20"/>
    </w:rPr>
  </w:style>
  <w:style w:type="paragraph" w:styleId="26">
    <w:name w:val="toc 8"/>
    <w:basedOn w:val="1"/>
    <w:next w:val="1"/>
    <w:unhideWhenUsed/>
    <w:qFormat/>
    <w:uiPriority w:val="39"/>
    <w:pPr>
      <w:ind w:left="1470"/>
      <w:jc w:val="left"/>
    </w:pPr>
    <w:rPr>
      <w:sz w:val="18"/>
      <w:szCs w:val="18"/>
    </w:rPr>
  </w:style>
  <w:style w:type="paragraph" w:styleId="27">
    <w:name w:val="Date"/>
    <w:basedOn w:val="1"/>
    <w:next w:val="1"/>
    <w:qFormat/>
    <w:uiPriority w:val="0"/>
    <w:pPr>
      <w:adjustRightInd w:val="0"/>
      <w:spacing w:line="312" w:lineRule="atLeast"/>
    </w:pPr>
    <w:rPr>
      <w:rFonts w:hint="eastAsia" w:ascii="仿宋_GB2312" w:eastAsia="仿宋_GB2312"/>
      <w:kern w:val="0"/>
      <w:sz w:val="28"/>
      <w:szCs w:val="20"/>
    </w:rPr>
  </w:style>
  <w:style w:type="paragraph" w:styleId="28">
    <w:name w:val="Body Text Indent 2"/>
    <w:basedOn w:val="1"/>
    <w:qFormat/>
    <w:uiPriority w:val="0"/>
    <w:pPr>
      <w:snapToGrid w:val="0"/>
      <w:spacing w:line="400" w:lineRule="exact"/>
      <w:ind w:firstLine="480"/>
    </w:pPr>
    <w:rPr>
      <w:rFonts w:eastAsia="仿宋_GB2312"/>
      <w:sz w:val="24"/>
    </w:rPr>
  </w:style>
  <w:style w:type="paragraph" w:styleId="29">
    <w:name w:val="Balloon Text"/>
    <w:basedOn w:val="1"/>
    <w:link w:val="59"/>
    <w:qFormat/>
    <w:uiPriority w:val="0"/>
    <w:rPr>
      <w:rFonts w:ascii="Times New Roman" w:hAnsi="Times New Roman"/>
      <w:sz w:val="18"/>
      <w:szCs w:val="18"/>
    </w:rPr>
  </w:style>
  <w:style w:type="paragraph" w:styleId="30">
    <w:name w:val="footer"/>
    <w:basedOn w:val="1"/>
    <w:link w:val="60"/>
    <w:qFormat/>
    <w:uiPriority w:val="99"/>
    <w:pPr>
      <w:tabs>
        <w:tab w:val="center" w:pos="4153"/>
        <w:tab w:val="right" w:pos="8306"/>
      </w:tabs>
      <w:snapToGrid w:val="0"/>
      <w:jc w:val="left"/>
    </w:pPr>
    <w:rPr>
      <w:rFonts w:ascii="Times New Roman" w:hAnsi="Times New Roman"/>
      <w:sz w:val="18"/>
      <w:szCs w:val="18"/>
    </w:rPr>
  </w:style>
  <w:style w:type="paragraph" w:styleId="31">
    <w:name w:val="header"/>
    <w:basedOn w:val="1"/>
    <w:link w:val="61"/>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32">
    <w:name w:val="toc 1"/>
    <w:basedOn w:val="1"/>
    <w:next w:val="1"/>
    <w:qFormat/>
    <w:uiPriority w:val="39"/>
    <w:pPr>
      <w:tabs>
        <w:tab w:val="right" w:leader="dot" w:pos="9060"/>
      </w:tabs>
      <w:spacing w:before="40" w:after="40"/>
      <w:jc w:val="left"/>
    </w:pPr>
    <w:rPr>
      <w:rFonts w:eastAsia="仿宋_GB2312"/>
      <w:b/>
      <w:bCs/>
      <w:caps/>
      <w:sz w:val="20"/>
      <w:szCs w:val="20"/>
    </w:rPr>
  </w:style>
  <w:style w:type="paragraph" w:styleId="33">
    <w:name w:val="toc 4"/>
    <w:basedOn w:val="1"/>
    <w:next w:val="1"/>
    <w:unhideWhenUsed/>
    <w:qFormat/>
    <w:uiPriority w:val="39"/>
    <w:pPr>
      <w:ind w:left="630"/>
      <w:jc w:val="left"/>
    </w:pPr>
    <w:rPr>
      <w:sz w:val="18"/>
      <w:szCs w:val="18"/>
    </w:rPr>
  </w:style>
  <w:style w:type="paragraph" w:styleId="34">
    <w:name w:val="List"/>
    <w:basedOn w:val="1"/>
    <w:qFormat/>
    <w:uiPriority w:val="0"/>
    <w:pPr>
      <w:ind w:left="200" w:hanging="200" w:hangingChars="200"/>
    </w:pPr>
    <w:rPr>
      <w:rFonts w:ascii="Times New Roman" w:hAnsi="Times New Roman"/>
      <w:szCs w:val="24"/>
    </w:rPr>
  </w:style>
  <w:style w:type="paragraph" w:styleId="35">
    <w:name w:val="footnote text"/>
    <w:basedOn w:val="1"/>
    <w:link w:val="62"/>
    <w:qFormat/>
    <w:uiPriority w:val="0"/>
    <w:pPr>
      <w:snapToGrid w:val="0"/>
      <w:jc w:val="left"/>
    </w:pPr>
    <w:rPr>
      <w:sz w:val="18"/>
      <w:szCs w:val="18"/>
    </w:rPr>
  </w:style>
  <w:style w:type="paragraph" w:styleId="36">
    <w:name w:val="toc 6"/>
    <w:basedOn w:val="1"/>
    <w:next w:val="1"/>
    <w:unhideWhenUsed/>
    <w:qFormat/>
    <w:uiPriority w:val="39"/>
    <w:pPr>
      <w:ind w:left="1050"/>
      <w:jc w:val="left"/>
    </w:pPr>
    <w:rPr>
      <w:sz w:val="18"/>
      <w:szCs w:val="18"/>
    </w:rPr>
  </w:style>
  <w:style w:type="paragraph" w:styleId="37">
    <w:name w:val="Body Text Indent 3"/>
    <w:basedOn w:val="1"/>
    <w:qFormat/>
    <w:uiPriority w:val="0"/>
    <w:pPr>
      <w:spacing w:line="360" w:lineRule="auto"/>
      <w:ind w:left="220"/>
      <w:jc w:val="left"/>
    </w:pPr>
    <w:rPr>
      <w:rFonts w:ascii="仿宋_GB2312" w:eastAsia="仿宋_GB2312"/>
      <w:color w:val="000000"/>
      <w:sz w:val="24"/>
    </w:rPr>
  </w:style>
  <w:style w:type="paragraph" w:styleId="38">
    <w:name w:val="table of figures"/>
    <w:basedOn w:val="1"/>
    <w:next w:val="1"/>
    <w:unhideWhenUsed/>
    <w:qFormat/>
    <w:uiPriority w:val="99"/>
    <w:pPr>
      <w:ind w:left="200" w:leftChars="200" w:hanging="200" w:hangingChars="200"/>
    </w:pPr>
    <w:rPr>
      <w:szCs w:val="32"/>
    </w:rPr>
  </w:style>
  <w:style w:type="paragraph" w:styleId="39">
    <w:name w:val="toc 2"/>
    <w:basedOn w:val="1"/>
    <w:next w:val="1"/>
    <w:qFormat/>
    <w:uiPriority w:val="39"/>
    <w:pPr>
      <w:spacing w:before="40" w:after="40"/>
      <w:ind w:left="100" w:leftChars="100"/>
      <w:jc w:val="left"/>
    </w:pPr>
    <w:rPr>
      <w:rFonts w:eastAsia="仿宋_GB2312"/>
      <w:b/>
      <w:smallCaps/>
      <w:sz w:val="20"/>
      <w:szCs w:val="20"/>
    </w:rPr>
  </w:style>
  <w:style w:type="paragraph" w:styleId="40">
    <w:name w:val="toc 9"/>
    <w:basedOn w:val="1"/>
    <w:next w:val="1"/>
    <w:unhideWhenUsed/>
    <w:qFormat/>
    <w:uiPriority w:val="39"/>
    <w:pPr>
      <w:ind w:left="1680"/>
      <w:jc w:val="left"/>
    </w:pPr>
    <w:rPr>
      <w:sz w:val="18"/>
      <w:szCs w:val="18"/>
    </w:rPr>
  </w:style>
  <w:style w:type="paragraph" w:styleId="41">
    <w:name w:val="Body Text 2"/>
    <w:basedOn w:val="1"/>
    <w:link w:val="63"/>
    <w:qFormat/>
    <w:uiPriority w:val="0"/>
    <w:pPr>
      <w:spacing w:line="560" w:lineRule="exact"/>
    </w:pPr>
    <w:rPr>
      <w:rFonts w:ascii="仿宋_GB2312" w:eastAsia="仿宋_GB2312"/>
      <w:sz w:val="24"/>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Title"/>
    <w:basedOn w:val="1"/>
    <w:link w:val="266"/>
    <w:qFormat/>
    <w:uiPriority w:val="0"/>
    <w:pPr>
      <w:spacing w:before="240" w:after="60"/>
      <w:jc w:val="center"/>
      <w:outlineLvl w:val="0"/>
    </w:pPr>
    <w:rPr>
      <w:rFonts w:ascii="Arial" w:hAnsi="Arial"/>
      <w:b/>
      <w:bCs/>
      <w:sz w:val="32"/>
      <w:szCs w:val="32"/>
    </w:rPr>
  </w:style>
  <w:style w:type="paragraph" w:styleId="44">
    <w:name w:val="annotation subject"/>
    <w:basedOn w:val="18"/>
    <w:next w:val="18"/>
    <w:semiHidden/>
    <w:qFormat/>
    <w:uiPriority w:val="0"/>
    <w:rPr>
      <w:b/>
      <w:bCs/>
    </w:rPr>
  </w:style>
  <w:style w:type="paragraph" w:styleId="45">
    <w:name w:val="Body Text First Indent 2"/>
    <w:basedOn w:val="22"/>
    <w:link w:val="270"/>
    <w:qFormat/>
    <w:uiPriority w:val="0"/>
    <w:pPr>
      <w:spacing w:after="120"/>
      <w:ind w:left="420" w:leftChars="200" w:firstLine="420" w:firstLineChars="200"/>
    </w:pPr>
    <w:rPr>
      <w:sz w:val="21"/>
      <w:szCs w:val="22"/>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footnote reference"/>
    <w:qFormat/>
    <w:uiPriority w:val="0"/>
    <w:rPr>
      <w:vertAlign w:val="superscript"/>
    </w:rPr>
  </w:style>
  <w:style w:type="character" w:customStyle="1" w:styleId="54">
    <w:name w:val="标题 1 Char"/>
    <w:link w:val="4"/>
    <w:qFormat/>
    <w:uiPriority w:val="9"/>
    <w:rPr>
      <w:rFonts w:ascii="仿宋_GB2312" w:hAnsi="Calibri" w:eastAsia="仿宋_GB2312"/>
      <w:b/>
      <w:kern w:val="2"/>
      <w:sz w:val="44"/>
      <w:szCs w:val="22"/>
    </w:rPr>
  </w:style>
  <w:style w:type="character" w:customStyle="1" w:styleId="55">
    <w:name w:val="标题 3 Char"/>
    <w:link w:val="6"/>
    <w:qFormat/>
    <w:uiPriority w:val="0"/>
    <w:rPr>
      <w:rFonts w:ascii="仿宋_GB2312" w:hAnsi="Calibri" w:eastAsia="仿宋_GB2312"/>
      <w:b/>
      <w:bCs/>
      <w:kern w:val="2"/>
      <w:sz w:val="30"/>
    </w:rPr>
  </w:style>
  <w:style w:type="character" w:customStyle="1" w:styleId="56">
    <w:name w:val="正文缩进 Char"/>
    <w:link w:val="7"/>
    <w:qFormat/>
    <w:uiPriority w:val="0"/>
    <w:rPr>
      <w:rFonts w:eastAsia="宋体"/>
      <w:kern w:val="2"/>
      <w:sz w:val="21"/>
      <w:lang w:val="en-US" w:eastAsia="zh-CN" w:bidi="ar-SA"/>
    </w:rPr>
  </w:style>
  <w:style w:type="character" w:customStyle="1" w:styleId="57">
    <w:name w:val="标题 9 Char"/>
    <w:link w:val="13"/>
    <w:qFormat/>
    <w:uiPriority w:val="0"/>
    <w:rPr>
      <w:rFonts w:ascii="Arial" w:hAnsi="Arial" w:eastAsia="黑体"/>
      <w:color w:val="000000"/>
      <w:kern w:val="2"/>
      <w:sz w:val="21"/>
    </w:rPr>
  </w:style>
  <w:style w:type="character" w:customStyle="1" w:styleId="58">
    <w:name w:val="纯文本 Char"/>
    <w:link w:val="25"/>
    <w:qFormat/>
    <w:uiPriority w:val="0"/>
    <w:rPr>
      <w:rFonts w:ascii="宋体" w:hAnsi="Courier New" w:eastAsia="宋体"/>
      <w:kern w:val="2"/>
      <w:sz w:val="21"/>
      <w:lang w:val="en-US" w:eastAsia="zh-CN" w:bidi="ar-SA"/>
    </w:rPr>
  </w:style>
  <w:style w:type="character" w:customStyle="1" w:styleId="59">
    <w:name w:val="批注框文本 Char"/>
    <w:link w:val="29"/>
    <w:qFormat/>
    <w:uiPriority w:val="0"/>
    <w:rPr>
      <w:kern w:val="2"/>
      <w:sz w:val="18"/>
      <w:szCs w:val="18"/>
    </w:rPr>
  </w:style>
  <w:style w:type="character" w:customStyle="1" w:styleId="60">
    <w:name w:val="页脚 Char"/>
    <w:link w:val="30"/>
    <w:qFormat/>
    <w:uiPriority w:val="99"/>
    <w:rPr>
      <w:kern w:val="2"/>
      <w:sz w:val="18"/>
      <w:szCs w:val="18"/>
    </w:rPr>
  </w:style>
  <w:style w:type="character" w:customStyle="1" w:styleId="61">
    <w:name w:val="页眉 Char"/>
    <w:link w:val="31"/>
    <w:qFormat/>
    <w:uiPriority w:val="0"/>
    <w:rPr>
      <w:sz w:val="18"/>
    </w:rPr>
  </w:style>
  <w:style w:type="character" w:customStyle="1" w:styleId="62">
    <w:name w:val="脚注文本 Char"/>
    <w:link w:val="35"/>
    <w:qFormat/>
    <w:uiPriority w:val="0"/>
    <w:rPr>
      <w:rFonts w:ascii="Calibri" w:hAnsi="Calibri"/>
      <w:kern w:val="2"/>
      <w:sz w:val="18"/>
      <w:szCs w:val="18"/>
    </w:rPr>
  </w:style>
  <w:style w:type="character" w:customStyle="1" w:styleId="63">
    <w:name w:val="正文文本 2 Char"/>
    <w:link w:val="41"/>
    <w:qFormat/>
    <w:uiPriority w:val="0"/>
    <w:rPr>
      <w:rFonts w:ascii="仿宋_GB2312" w:hAnsi="Calibri" w:eastAsia="仿宋_GB2312"/>
      <w:kern w:val="2"/>
      <w:sz w:val="24"/>
      <w:szCs w:val="22"/>
    </w:rPr>
  </w:style>
  <w:style w:type="paragraph" w:customStyle="1" w:styleId="64">
    <w:name w:val="表内文字"/>
    <w:basedOn w:val="1"/>
    <w:qFormat/>
    <w:uiPriority w:val="0"/>
    <w:pPr>
      <w:jc w:val="center"/>
    </w:pPr>
    <w:rPr>
      <w:rFonts w:ascii="仿宋_GB2312" w:eastAsia="仿宋_GB2312"/>
      <w:sz w:val="24"/>
    </w:rPr>
  </w:style>
  <w:style w:type="paragraph" w:customStyle="1" w:styleId="65">
    <w:name w:val="纯文本1"/>
    <w:basedOn w:val="1"/>
    <w:qFormat/>
    <w:uiPriority w:val="0"/>
    <w:pPr>
      <w:adjustRightInd w:val="0"/>
      <w:jc w:val="left"/>
      <w:textAlignment w:val="baseline"/>
    </w:pPr>
    <w:rPr>
      <w:rFonts w:ascii="宋体" w:hAnsi="Courier New"/>
      <w:sz w:val="24"/>
      <w:szCs w:val="20"/>
    </w:rPr>
  </w:style>
  <w:style w:type="paragraph" w:customStyle="1" w:styleId="66">
    <w:name w:val="def正文"/>
    <w:basedOn w:val="20"/>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6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8">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69">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70">
    <w:name w:val="font8"/>
    <w:basedOn w:val="1"/>
    <w:qFormat/>
    <w:uiPriority w:val="0"/>
    <w:pPr>
      <w:widowControl/>
      <w:spacing w:before="100" w:beforeAutospacing="1" w:after="100" w:afterAutospacing="1"/>
      <w:jc w:val="left"/>
    </w:pPr>
    <w:rPr>
      <w:kern w:val="0"/>
      <w:sz w:val="20"/>
      <w:szCs w:val="20"/>
    </w:rPr>
  </w:style>
  <w:style w:type="paragraph" w:customStyle="1" w:styleId="71">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72">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73">
    <w:name w:val="font11"/>
    <w:basedOn w:val="1"/>
    <w:qFormat/>
    <w:uiPriority w:val="0"/>
    <w:pPr>
      <w:widowControl/>
      <w:spacing w:before="100" w:beforeAutospacing="1" w:after="100" w:afterAutospacing="1"/>
      <w:jc w:val="left"/>
    </w:pPr>
    <w:rPr>
      <w:b/>
      <w:bCs/>
      <w:i/>
      <w:iCs/>
      <w:kern w:val="0"/>
      <w:sz w:val="24"/>
    </w:rPr>
  </w:style>
  <w:style w:type="paragraph" w:customStyle="1" w:styleId="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7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7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7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7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8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8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8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8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8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8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8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8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8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94">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95">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96">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97">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98">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99">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00">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1">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02">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3">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0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06">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rPr>
  </w:style>
  <w:style w:type="paragraph" w:customStyle="1" w:styleId="107">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8">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09">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10">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11">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12">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13">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14">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5">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16">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17">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18">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119">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20">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21">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2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23">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24">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25">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26">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27">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28">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29">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30">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31">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32">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33">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134">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35">
    <w:name w:val="页码1"/>
    <w:basedOn w:val="1"/>
    <w:next w:val="1"/>
    <w:qFormat/>
    <w:uiPriority w:val="0"/>
    <w:pPr>
      <w:widowControl/>
    </w:pPr>
    <w:rPr>
      <w:color w:val="000000"/>
      <w:szCs w:val="20"/>
    </w:rPr>
  </w:style>
  <w:style w:type="paragraph" w:customStyle="1" w:styleId="136">
    <w:name w:val="Char"/>
    <w:basedOn w:val="1"/>
    <w:link w:val="137"/>
    <w:qFormat/>
    <w:uiPriority w:val="0"/>
    <w:rPr>
      <w:rFonts w:ascii="Tahoma" w:hAnsi="Tahoma"/>
      <w:sz w:val="24"/>
      <w:szCs w:val="20"/>
    </w:rPr>
  </w:style>
  <w:style w:type="character" w:customStyle="1" w:styleId="137">
    <w:name w:val="Char Char1"/>
    <w:link w:val="136"/>
    <w:qFormat/>
    <w:uiPriority w:val="0"/>
    <w:rPr>
      <w:rFonts w:ascii="Tahoma" w:hAnsi="Tahoma" w:eastAsia="宋体"/>
      <w:kern w:val="2"/>
      <w:sz w:val="24"/>
      <w:lang w:val="en-US" w:eastAsia="zh-CN" w:bidi="ar-SA"/>
    </w:rPr>
  </w:style>
  <w:style w:type="paragraph" w:customStyle="1" w:styleId="138">
    <w:name w:val="Body Text 21"/>
    <w:basedOn w:val="1"/>
    <w:next w:val="1"/>
    <w:qFormat/>
    <w:uiPriority w:val="0"/>
    <w:pPr>
      <w:widowControl/>
      <w:spacing w:line="300" w:lineRule="auto"/>
      <w:jc w:val="center"/>
    </w:pPr>
    <w:rPr>
      <w:rFonts w:ascii="宋体"/>
      <w:color w:val="000000"/>
      <w:sz w:val="24"/>
      <w:szCs w:val="20"/>
    </w:rPr>
  </w:style>
  <w:style w:type="paragraph" w:customStyle="1" w:styleId="139">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40">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41">
    <w:name w:val="样式1"/>
    <w:basedOn w:val="5"/>
    <w:qFormat/>
    <w:uiPriority w:val="0"/>
    <w:pPr>
      <w:keepLines/>
      <w:adjustRightInd/>
      <w:snapToGrid/>
      <w:spacing w:before="260" w:after="260" w:line="416" w:lineRule="auto"/>
      <w:textAlignment w:val="auto"/>
    </w:pPr>
    <w:rPr>
      <w:rFonts w:ascii="宋体" w:hAnsi="宋体" w:eastAsia="黑体"/>
      <w:bCs/>
      <w:kern w:val="2"/>
      <w:szCs w:val="36"/>
    </w:rPr>
  </w:style>
  <w:style w:type="character" w:customStyle="1" w:styleId="142">
    <w:name w:val="htd0"/>
    <w:basedOn w:val="48"/>
    <w:qFormat/>
    <w:uiPriority w:val="0"/>
  </w:style>
  <w:style w:type="character" w:customStyle="1" w:styleId="143">
    <w:name w:val="textfont1"/>
    <w:basedOn w:val="48"/>
    <w:qFormat/>
    <w:uiPriority w:val="0"/>
  </w:style>
  <w:style w:type="paragraph" w:customStyle="1" w:styleId="14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45">
    <w:name w:val="样式 标题 3h3H3sect1.2.3 + 五号 段前: 6 磅 段后: 6 磅 行距: 单倍行距"/>
    <w:basedOn w:val="6"/>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4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47">
    <w:name w:val="样式 标题 3Title3h33rd levelH3l3CTlevel_3PIM 33Heading 3 -..."/>
    <w:basedOn w:val="6"/>
    <w:qFormat/>
    <w:uiPriority w:val="0"/>
    <w:pPr>
      <w:spacing w:line="416" w:lineRule="auto"/>
      <w:ind w:firstLine="0" w:firstLineChars="0"/>
    </w:pPr>
    <w:rPr>
      <w:rFonts w:ascii="Times New Roman" w:eastAsia="宋体" w:cs="宋体"/>
      <w:sz w:val="36"/>
    </w:rPr>
  </w:style>
  <w:style w:type="paragraph" w:customStyle="1" w:styleId="148">
    <w:name w:val="样式 标题 4h4H4PIM 4Ref Heading 1rh1Heading sqlsect 1.2.3.4h..."/>
    <w:basedOn w:val="8"/>
    <w:qFormat/>
    <w:uiPriority w:val="0"/>
    <w:pPr>
      <w:keepNext/>
      <w:widowControl w:val="0"/>
      <w:spacing w:line="376" w:lineRule="auto"/>
    </w:pPr>
    <w:rPr>
      <w:bCs/>
      <w:color w:val="auto"/>
      <w:sz w:val="32"/>
      <w:szCs w:val="28"/>
    </w:rPr>
  </w:style>
  <w:style w:type="paragraph" w:customStyle="1" w:styleId="149">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150">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151">
    <w:name w:val="Char Char Char"/>
    <w:basedOn w:val="1"/>
    <w:qFormat/>
    <w:uiPriority w:val="0"/>
    <w:rPr>
      <w:rFonts w:ascii="Tahoma" w:hAnsi="Tahoma"/>
      <w:sz w:val="24"/>
      <w:szCs w:val="20"/>
    </w:rPr>
  </w:style>
  <w:style w:type="paragraph" w:customStyle="1" w:styleId="152">
    <w:name w:val="Char Char Char Char"/>
    <w:basedOn w:val="1"/>
    <w:qFormat/>
    <w:uiPriority w:val="0"/>
    <w:pPr>
      <w:adjustRightInd w:val="0"/>
      <w:spacing w:line="360" w:lineRule="auto"/>
    </w:pPr>
    <w:rPr>
      <w:kern w:val="0"/>
      <w:sz w:val="24"/>
      <w:szCs w:val="20"/>
    </w:rPr>
  </w:style>
  <w:style w:type="paragraph" w:customStyle="1" w:styleId="153">
    <w:name w:val="标题2正文"/>
    <w:basedOn w:val="1"/>
    <w:qFormat/>
    <w:uiPriority w:val="0"/>
    <w:pPr>
      <w:spacing w:line="360" w:lineRule="auto"/>
      <w:ind w:firstLine="200" w:firstLineChars="200"/>
      <w:jc w:val="left"/>
    </w:pPr>
    <w:rPr>
      <w:sz w:val="24"/>
    </w:rPr>
  </w:style>
  <w:style w:type="paragraph" w:customStyle="1" w:styleId="154">
    <w:name w:val="标题3正文"/>
    <w:basedOn w:val="1"/>
    <w:qFormat/>
    <w:uiPriority w:val="0"/>
    <w:pPr>
      <w:spacing w:line="360" w:lineRule="auto"/>
      <w:ind w:left="200" w:leftChars="200" w:firstLine="200" w:firstLineChars="200"/>
      <w:jc w:val="left"/>
    </w:pPr>
    <w:rPr>
      <w:sz w:val="24"/>
    </w:rPr>
  </w:style>
  <w:style w:type="paragraph" w:customStyle="1" w:styleId="155">
    <w:name w:val="正文2"/>
    <w:basedOn w:val="1"/>
    <w:qFormat/>
    <w:uiPriority w:val="0"/>
    <w:pPr>
      <w:spacing w:before="156" w:line="360" w:lineRule="auto"/>
      <w:ind w:firstLine="510" w:firstLineChars="200"/>
    </w:pPr>
    <w:rPr>
      <w:sz w:val="24"/>
      <w:szCs w:val="20"/>
    </w:rPr>
  </w:style>
  <w:style w:type="paragraph" w:customStyle="1" w:styleId="156">
    <w:name w:val="Char Char Char Char1"/>
    <w:basedOn w:val="1"/>
    <w:qFormat/>
    <w:uiPriority w:val="0"/>
    <w:rPr>
      <w:rFonts w:ascii="Tahoma" w:hAnsi="Tahoma"/>
      <w:sz w:val="24"/>
      <w:szCs w:val="20"/>
    </w:rPr>
  </w:style>
  <w:style w:type="paragraph" w:customStyle="1" w:styleId="157">
    <w:name w:val="Char Char Char Char Char Char Char Char Char Char"/>
    <w:basedOn w:val="17"/>
    <w:qFormat/>
    <w:uiPriority w:val="0"/>
    <w:rPr>
      <w:szCs w:val="20"/>
    </w:rPr>
  </w:style>
  <w:style w:type="paragraph" w:customStyle="1" w:styleId="158">
    <w:name w:val="样式 仿宋_GB2312 小四 加粗 行距: 1.5 倍行距"/>
    <w:basedOn w:val="5"/>
    <w:next w:val="5"/>
    <w:qFormat/>
    <w:uiPriority w:val="0"/>
    <w:pPr>
      <w:keepLines/>
      <w:adjustRightInd/>
      <w:snapToGrid/>
      <w:spacing w:before="260" w:after="260"/>
      <w:jc w:val="both"/>
      <w:textAlignment w:val="auto"/>
    </w:pPr>
    <w:rPr>
      <w:rFonts w:hAnsi="Arial" w:eastAsia="黑体" w:cs="宋体"/>
      <w:kern w:val="2"/>
      <w:sz w:val="28"/>
    </w:rPr>
  </w:style>
  <w:style w:type="paragraph" w:customStyle="1" w:styleId="159">
    <w:name w:val="默认段落字体 Para Char"/>
    <w:basedOn w:val="1"/>
    <w:qFormat/>
    <w:uiPriority w:val="0"/>
    <w:rPr>
      <w:rFonts w:ascii="Tahoma" w:hAnsi="Tahoma"/>
      <w:sz w:val="24"/>
      <w:szCs w:val="20"/>
    </w:rPr>
  </w:style>
  <w:style w:type="paragraph" w:customStyle="1" w:styleId="160">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161">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b/>
      <w:kern w:val="0"/>
      <w:szCs w:val="20"/>
    </w:rPr>
  </w:style>
  <w:style w:type="paragraph" w:customStyle="1" w:styleId="162">
    <w:name w:val="样式 标题 3列表编号3h33rd level + 段前: 1 行"/>
    <w:basedOn w:val="6"/>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163">
    <w:name w:val="1 Char Char Char Char"/>
    <w:basedOn w:val="1"/>
    <w:qFormat/>
    <w:uiPriority w:val="0"/>
    <w:pPr>
      <w:jc w:val="center"/>
    </w:pPr>
    <w:rPr>
      <w:rFonts w:ascii="Tahoma" w:hAnsi="Tahoma"/>
      <w:sz w:val="24"/>
      <w:szCs w:val="20"/>
    </w:rPr>
  </w:style>
  <w:style w:type="paragraph" w:customStyle="1" w:styleId="164">
    <w:name w:val="默认段落字体 Para Char Char Char Char Char Char Char Char Char Char Char Char Char"/>
    <w:basedOn w:val="17"/>
    <w:qFormat/>
    <w:uiPriority w:val="0"/>
    <w:pPr>
      <w:shd w:val="clear" w:color="auto" w:fill="auto"/>
      <w:spacing w:line="300" w:lineRule="auto"/>
      <w:ind w:left="840" w:leftChars="400"/>
    </w:pPr>
  </w:style>
  <w:style w:type="character" w:customStyle="1" w:styleId="165">
    <w:name w:val="apple-converted-space"/>
    <w:qFormat/>
    <w:uiPriority w:val="0"/>
  </w:style>
  <w:style w:type="paragraph" w:customStyle="1" w:styleId="166">
    <w:name w:val="普通(网站)_0"/>
    <w:basedOn w:val="167"/>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6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Char_0"/>
    <w:basedOn w:val="167"/>
    <w:link w:val="169"/>
    <w:qFormat/>
    <w:uiPriority w:val="0"/>
    <w:rPr>
      <w:rFonts w:ascii="Tahoma" w:hAnsi="Tahoma"/>
      <w:sz w:val="24"/>
      <w:szCs w:val="20"/>
    </w:rPr>
  </w:style>
  <w:style w:type="character" w:customStyle="1" w:styleId="169">
    <w:name w:val="Char Char1_0"/>
    <w:link w:val="168"/>
    <w:qFormat/>
    <w:uiPriority w:val="0"/>
    <w:rPr>
      <w:rFonts w:ascii="Tahoma" w:hAnsi="Tahoma"/>
      <w:kern w:val="2"/>
      <w:sz w:val="24"/>
    </w:rPr>
  </w:style>
  <w:style w:type="paragraph" w:customStyle="1" w:styleId="170">
    <w:name w:val="标题 3_0"/>
    <w:basedOn w:val="171"/>
    <w:next w:val="172"/>
    <w:link w:val="173"/>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customStyle="1" w:styleId="17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正文缩进_0"/>
    <w:basedOn w:val="171"/>
    <w:link w:val="174"/>
    <w:unhideWhenUsed/>
    <w:qFormat/>
    <w:uiPriority w:val="0"/>
    <w:pPr>
      <w:ind w:firstLine="420"/>
    </w:pPr>
    <w:rPr>
      <w:szCs w:val="20"/>
    </w:rPr>
  </w:style>
  <w:style w:type="character" w:customStyle="1" w:styleId="173">
    <w:name w:val="标题 3 Char_0"/>
    <w:link w:val="170"/>
    <w:semiHidden/>
    <w:qFormat/>
    <w:uiPriority w:val="0"/>
    <w:rPr>
      <w:rFonts w:ascii="仿宋_GB2312" w:eastAsia="仿宋_GB2312"/>
      <w:b/>
      <w:bCs/>
      <w:kern w:val="2"/>
      <w:sz w:val="30"/>
    </w:rPr>
  </w:style>
  <w:style w:type="character" w:customStyle="1" w:styleId="174">
    <w:name w:val="正文缩进 Char_0"/>
    <w:link w:val="172"/>
    <w:qFormat/>
    <w:locked/>
    <w:uiPriority w:val="0"/>
    <w:rPr>
      <w:kern w:val="2"/>
      <w:sz w:val="21"/>
    </w:rPr>
  </w:style>
  <w:style w:type="paragraph" w:customStyle="1" w:styleId="175">
    <w:name w:val="正文文本缩进 2_0"/>
    <w:basedOn w:val="171"/>
    <w:link w:val="176"/>
    <w:unhideWhenUsed/>
    <w:qFormat/>
    <w:uiPriority w:val="0"/>
    <w:pPr>
      <w:snapToGrid w:val="0"/>
      <w:spacing w:line="400" w:lineRule="exact"/>
      <w:ind w:firstLine="480"/>
    </w:pPr>
    <w:rPr>
      <w:rFonts w:eastAsia="仿宋_GB2312"/>
      <w:sz w:val="24"/>
      <w:szCs w:val="22"/>
    </w:rPr>
  </w:style>
  <w:style w:type="character" w:customStyle="1" w:styleId="176">
    <w:name w:val="正文文本缩进 2 Char"/>
    <w:link w:val="175"/>
    <w:qFormat/>
    <w:uiPriority w:val="0"/>
    <w:rPr>
      <w:rFonts w:eastAsia="仿宋_GB2312"/>
      <w:kern w:val="2"/>
      <w:sz w:val="24"/>
      <w:szCs w:val="22"/>
    </w:rPr>
  </w:style>
  <w:style w:type="paragraph" w:customStyle="1" w:styleId="177">
    <w:name w:val="普通(网站)_1"/>
    <w:basedOn w:val="17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7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正文1"/>
    <w:qFormat/>
    <w:uiPriority w:val="0"/>
    <w:rPr>
      <w:rFonts w:ascii="Times New Roman" w:hAnsi="Times New Roman" w:eastAsia="Times New Roman" w:cs="Times New Roman"/>
      <w:sz w:val="24"/>
      <w:szCs w:val="24"/>
      <w:lang w:val="en-US" w:eastAsia="zh-CN" w:bidi="ar-SA"/>
    </w:rPr>
  </w:style>
  <w:style w:type="paragraph" w:customStyle="1" w:styleId="180">
    <w:name w:val="Normal_0"/>
    <w:qFormat/>
    <w:uiPriority w:val="0"/>
    <w:rPr>
      <w:rFonts w:ascii="黑体" w:hAnsi="黑体" w:eastAsia="黑体" w:cs="Times New Roman"/>
      <w:b/>
      <w:sz w:val="32"/>
      <w:szCs w:val="24"/>
      <w:lang w:val="en-US" w:eastAsia="zh-CN" w:bidi="ar-SA"/>
    </w:rPr>
  </w:style>
  <w:style w:type="paragraph" w:customStyle="1" w:styleId="181">
    <w:name w:val="普通(网站)_2"/>
    <w:basedOn w:val="182"/>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8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3">
    <w:name w:val="Normal_1"/>
    <w:qFormat/>
    <w:uiPriority w:val="0"/>
    <w:rPr>
      <w:rFonts w:ascii="黑体" w:hAnsi="黑体" w:eastAsia="黑体" w:cs="Times New Roman"/>
      <w:b/>
      <w:sz w:val="32"/>
      <w:szCs w:val="24"/>
      <w:lang w:val="en-US" w:eastAsia="zh-CN" w:bidi="ar-SA"/>
    </w:rPr>
  </w:style>
  <w:style w:type="paragraph" w:customStyle="1" w:styleId="184">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纯文本_0"/>
    <w:basedOn w:val="184"/>
    <w:link w:val="186"/>
    <w:unhideWhenUsed/>
    <w:qFormat/>
    <w:uiPriority w:val="0"/>
    <w:rPr>
      <w:rFonts w:ascii="宋体" w:hAnsi="Courier New"/>
      <w:kern w:val="0"/>
      <w:sz w:val="20"/>
      <w:szCs w:val="20"/>
    </w:rPr>
  </w:style>
  <w:style w:type="character" w:customStyle="1" w:styleId="186">
    <w:name w:val="纯文本 Char1_0"/>
    <w:link w:val="185"/>
    <w:qFormat/>
    <w:locked/>
    <w:uiPriority w:val="0"/>
    <w:rPr>
      <w:rFonts w:ascii="宋体" w:hAnsi="Courier New"/>
      <w:lang w:val="en-US" w:eastAsia="zh-CN"/>
    </w:rPr>
  </w:style>
  <w:style w:type="paragraph" w:customStyle="1" w:styleId="187">
    <w:name w:val="Normal_2"/>
    <w:qFormat/>
    <w:uiPriority w:val="0"/>
    <w:rPr>
      <w:rFonts w:ascii="黑体" w:hAnsi="黑体" w:eastAsia="黑体" w:cs="Times New Roman"/>
      <w:b/>
      <w:sz w:val="32"/>
      <w:szCs w:val="24"/>
      <w:lang w:val="en-US" w:eastAsia="zh-CN" w:bidi="ar-SA"/>
    </w:rPr>
  </w:style>
  <w:style w:type="paragraph" w:customStyle="1" w:styleId="1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Normal_3"/>
    <w:qFormat/>
    <w:uiPriority w:val="0"/>
    <w:rPr>
      <w:rFonts w:ascii="黑体" w:hAnsi="黑体" w:eastAsia="黑体" w:cs="Times New Roman"/>
      <w:b/>
      <w:sz w:val="32"/>
      <w:szCs w:val="24"/>
      <w:lang w:val="en-US" w:eastAsia="zh-CN" w:bidi="ar-SA"/>
    </w:rPr>
  </w:style>
  <w:style w:type="paragraph" w:customStyle="1" w:styleId="190">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Normal_4"/>
    <w:qFormat/>
    <w:uiPriority w:val="0"/>
    <w:rPr>
      <w:rFonts w:ascii="黑体" w:hAnsi="黑体" w:eastAsia="黑体" w:cs="Times New Roman"/>
      <w:b/>
      <w:sz w:val="32"/>
      <w:szCs w:val="24"/>
      <w:lang w:val="en-US" w:eastAsia="zh-CN" w:bidi="ar-SA"/>
    </w:rPr>
  </w:style>
  <w:style w:type="paragraph" w:customStyle="1" w:styleId="19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纯文本_1"/>
    <w:basedOn w:val="192"/>
    <w:link w:val="194"/>
    <w:qFormat/>
    <w:uiPriority w:val="0"/>
    <w:rPr>
      <w:rFonts w:ascii="宋体" w:hAnsi="Courier New"/>
      <w:szCs w:val="20"/>
    </w:rPr>
  </w:style>
  <w:style w:type="character" w:customStyle="1" w:styleId="194">
    <w:name w:val="纯文本 Char1_1"/>
    <w:link w:val="193"/>
    <w:qFormat/>
    <w:uiPriority w:val="0"/>
    <w:rPr>
      <w:rFonts w:ascii="宋体" w:hAnsi="Courier New"/>
      <w:kern w:val="2"/>
      <w:sz w:val="21"/>
      <w:lang w:val="en-US" w:eastAsia="zh-CN"/>
    </w:rPr>
  </w:style>
  <w:style w:type="paragraph" w:customStyle="1" w:styleId="195">
    <w:name w:val="Normal_5"/>
    <w:qFormat/>
    <w:uiPriority w:val="0"/>
    <w:rPr>
      <w:rFonts w:ascii="黑体" w:hAnsi="黑体" w:eastAsia="黑体" w:cs="Times New Roman"/>
      <w:b/>
      <w:sz w:val="32"/>
      <w:szCs w:val="24"/>
      <w:lang w:val="en-US" w:eastAsia="zh-CN" w:bidi="ar-SA"/>
    </w:rPr>
  </w:style>
  <w:style w:type="paragraph" w:customStyle="1" w:styleId="19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Normal_6"/>
    <w:qFormat/>
    <w:uiPriority w:val="0"/>
    <w:rPr>
      <w:rFonts w:ascii="黑体" w:hAnsi="黑体" w:eastAsia="黑体" w:cs="Times New Roman"/>
      <w:b/>
      <w:sz w:val="32"/>
      <w:szCs w:val="24"/>
      <w:lang w:val="en-US" w:eastAsia="zh-CN" w:bidi="ar-SA"/>
    </w:rPr>
  </w:style>
  <w:style w:type="paragraph" w:customStyle="1" w:styleId="198">
    <w:name w:val="纯文本_3"/>
    <w:basedOn w:val="199"/>
    <w:link w:val="200"/>
    <w:qFormat/>
    <w:uiPriority w:val="0"/>
    <w:rPr>
      <w:rFonts w:ascii="宋体" w:hAnsi="Courier New"/>
      <w:szCs w:val="20"/>
    </w:rPr>
  </w:style>
  <w:style w:type="paragraph" w:customStyle="1" w:styleId="19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0">
    <w:name w:val="纯文本 Char1_3"/>
    <w:link w:val="198"/>
    <w:qFormat/>
    <w:uiPriority w:val="0"/>
    <w:rPr>
      <w:rFonts w:ascii="宋体" w:hAnsi="Courier New"/>
      <w:kern w:val="2"/>
      <w:sz w:val="21"/>
      <w:lang w:val="en-US" w:eastAsia="zh-CN"/>
    </w:rPr>
  </w:style>
  <w:style w:type="paragraph" w:customStyle="1" w:styleId="201">
    <w:name w:val="Normal_7"/>
    <w:qFormat/>
    <w:uiPriority w:val="0"/>
    <w:rPr>
      <w:rFonts w:ascii="黑体" w:hAnsi="黑体" w:eastAsia="黑体" w:cs="Times New Roman"/>
      <w:b/>
      <w:sz w:val="32"/>
      <w:szCs w:val="24"/>
      <w:lang w:val="en-US" w:eastAsia="zh-CN" w:bidi="ar-SA"/>
    </w:rPr>
  </w:style>
  <w:style w:type="paragraph" w:customStyle="1" w:styleId="202">
    <w:name w:val="纯文本_5"/>
    <w:basedOn w:val="203"/>
    <w:link w:val="204"/>
    <w:qFormat/>
    <w:uiPriority w:val="0"/>
    <w:rPr>
      <w:rFonts w:ascii="宋体" w:hAnsi="Courier New"/>
      <w:szCs w:val="20"/>
    </w:rPr>
  </w:style>
  <w:style w:type="paragraph" w:customStyle="1" w:styleId="203">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4">
    <w:name w:val="普通文字 Char Char1_2"/>
    <w:link w:val="202"/>
    <w:qFormat/>
    <w:uiPriority w:val="0"/>
    <w:rPr>
      <w:rFonts w:ascii="宋体" w:hAnsi="Courier New"/>
      <w:kern w:val="2"/>
      <w:sz w:val="21"/>
      <w:lang w:val="en-US" w:eastAsia="zh-CN"/>
    </w:rPr>
  </w:style>
  <w:style w:type="paragraph" w:customStyle="1" w:styleId="205">
    <w:name w:val="Normal_8"/>
    <w:qFormat/>
    <w:uiPriority w:val="0"/>
    <w:rPr>
      <w:rFonts w:ascii="黑体" w:hAnsi="黑体" w:eastAsia="黑体" w:cs="Times New Roman"/>
      <w:b/>
      <w:sz w:val="32"/>
      <w:szCs w:val="24"/>
      <w:lang w:val="en-US" w:eastAsia="zh-CN" w:bidi="ar-SA"/>
    </w:rPr>
  </w:style>
  <w:style w:type="paragraph" w:customStyle="1" w:styleId="206">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Normal_9"/>
    <w:qFormat/>
    <w:uiPriority w:val="0"/>
    <w:rPr>
      <w:rFonts w:ascii="黑体" w:hAnsi="黑体" w:eastAsia="黑体" w:cs="Times New Roman"/>
      <w:b/>
      <w:sz w:val="32"/>
      <w:szCs w:val="24"/>
      <w:lang w:val="en-US" w:eastAsia="zh-CN" w:bidi="ar-SA"/>
    </w:rPr>
  </w:style>
  <w:style w:type="paragraph" w:customStyle="1" w:styleId="208">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纯文本_4_0"/>
    <w:basedOn w:val="210"/>
    <w:link w:val="211"/>
    <w:qFormat/>
    <w:uiPriority w:val="0"/>
    <w:rPr>
      <w:rFonts w:ascii="宋体" w:hAnsi="Courier New"/>
      <w:szCs w:val="20"/>
    </w:rPr>
  </w:style>
  <w:style w:type="paragraph" w:customStyle="1" w:styleId="210">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1">
    <w:name w:val="纯文本 Char1_4_0"/>
    <w:link w:val="209"/>
    <w:qFormat/>
    <w:uiPriority w:val="0"/>
    <w:rPr>
      <w:rFonts w:ascii="宋体" w:hAnsi="Courier New"/>
      <w:kern w:val="2"/>
      <w:sz w:val="21"/>
      <w:lang w:val="en-US" w:eastAsia="zh-CN"/>
    </w:rPr>
  </w:style>
  <w:style w:type="paragraph" w:customStyle="1" w:styleId="212">
    <w:name w:val="Normal_10"/>
    <w:qFormat/>
    <w:uiPriority w:val="0"/>
    <w:rPr>
      <w:rFonts w:ascii="黑体" w:hAnsi="黑体" w:eastAsia="黑体" w:cs="Times New Roman"/>
      <w:b/>
      <w:sz w:val="32"/>
      <w:szCs w:val="24"/>
      <w:lang w:val="en-US" w:eastAsia="zh-CN" w:bidi="ar-SA"/>
    </w:rPr>
  </w:style>
  <w:style w:type="paragraph" w:customStyle="1" w:styleId="213">
    <w:name w:val="纯文本_6_0"/>
    <w:basedOn w:val="214"/>
    <w:qFormat/>
    <w:uiPriority w:val="0"/>
    <w:rPr>
      <w:rFonts w:ascii="宋体" w:hAnsi="Courier New"/>
      <w:szCs w:val="20"/>
    </w:rPr>
  </w:style>
  <w:style w:type="paragraph" w:customStyle="1" w:styleId="214">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5">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6">
    <w:name w:val="纯文本_4_1"/>
    <w:basedOn w:val="214"/>
    <w:link w:val="217"/>
    <w:qFormat/>
    <w:uiPriority w:val="0"/>
    <w:rPr>
      <w:rFonts w:ascii="宋体" w:hAnsi="Courier New"/>
      <w:szCs w:val="20"/>
    </w:rPr>
  </w:style>
  <w:style w:type="character" w:customStyle="1" w:styleId="217">
    <w:name w:val="纯文本 Char1_4_1"/>
    <w:link w:val="216"/>
    <w:qFormat/>
    <w:uiPriority w:val="0"/>
    <w:rPr>
      <w:rFonts w:ascii="宋体" w:hAnsi="Courier New"/>
      <w:kern w:val="2"/>
      <w:sz w:val="21"/>
      <w:lang w:val="en-US" w:eastAsia="zh-CN"/>
    </w:rPr>
  </w:style>
  <w:style w:type="paragraph" w:customStyle="1" w:styleId="218">
    <w:name w:val="Normal_11"/>
    <w:qFormat/>
    <w:uiPriority w:val="0"/>
    <w:rPr>
      <w:rFonts w:ascii="黑体" w:hAnsi="黑体" w:eastAsia="黑体" w:cs="Times New Roman"/>
      <w:b/>
      <w:sz w:val="32"/>
      <w:szCs w:val="24"/>
      <w:lang w:val="en-US" w:eastAsia="zh-CN" w:bidi="ar-SA"/>
    </w:rPr>
  </w:style>
  <w:style w:type="paragraph" w:customStyle="1" w:styleId="219">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0">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1">
    <w:name w:val="纯文本_6_1"/>
    <w:basedOn w:val="220"/>
    <w:link w:val="222"/>
    <w:qFormat/>
    <w:uiPriority w:val="0"/>
    <w:rPr>
      <w:rFonts w:ascii="宋体" w:hAnsi="Courier New"/>
      <w:szCs w:val="20"/>
    </w:rPr>
  </w:style>
  <w:style w:type="character" w:customStyle="1" w:styleId="222">
    <w:name w:val="纯文本 Char_0_0_0"/>
    <w:link w:val="221"/>
    <w:qFormat/>
    <w:uiPriority w:val="0"/>
    <w:rPr>
      <w:rFonts w:ascii="宋体" w:hAnsi="Courier New"/>
      <w:kern w:val="2"/>
      <w:sz w:val="21"/>
      <w:lang w:val="en-US" w:eastAsia="zh-CN"/>
    </w:rPr>
  </w:style>
  <w:style w:type="paragraph" w:customStyle="1" w:styleId="223">
    <w:name w:val="纯文本_6"/>
    <w:basedOn w:val="224"/>
    <w:link w:val="225"/>
    <w:qFormat/>
    <w:uiPriority w:val="0"/>
    <w:rPr>
      <w:rFonts w:ascii="宋体" w:hAnsi="Courier New"/>
      <w:kern w:val="0"/>
      <w:sz w:val="20"/>
      <w:szCs w:val="20"/>
    </w:rPr>
  </w:style>
  <w:style w:type="paragraph" w:customStyle="1" w:styleId="224">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5">
    <w:name w:val="纯文本 Char_0_0"/>
    <w:link w:val="223"/>
    <w:qFormat/>
    <w:uiPriority w:val="0"/>
    <w:rPr>
      <w:rFonts w:ascii="宋体" w:hAnsi="Courier New" w:eastAsia="宋体" w:cs="Times New Roman"/>
      <w:szCs w:val="20"/>
      <w:lang w:val="en-US" w:eastAsia="zh-CN"/>
    </w:rPr>
  </w:style>
  <w:style w:type="paragraph" w:customStyle="1" w:styleId="226">
    <w:name w:val="纯文本_4_2"/>
    <w:basedOn w:val="224"/>
    <w:link w:val="227"/>
    <w:qFormat/>
    <w:uiPriority w:val="0"/>
    <w:rPr>
      <w:rFonts w:ascii="宋体" w:hAnsi="Courier New"/>
      <w:szCs w:val="20"/>
    </w:rPr>
  </w:style>
  <w:style w:type="character" w:customStyle="1" w:styleId="227">
    <w:name w:val="纯文本 Char1_4_2"/>
    <w:link w:val="226"/>
    <w:qFormat/>
    <w:uiPriority w:val="0"/>
    <w:rPr>
      <w:rFonts w:ascii="宋体" w:hAnsi="Courier New"/>
      <w:kern w:val="2"/>
      <w:sz w:val="21"/>
      <w:lang w:val="en-US" w:eastAsia="zh-CN"/>
    </w:rPr>
  </w:style>
  <w:style w:type="paragraph" w:customStyle="1" w:styleId="228">
    <w:name w:val="Normal_12"/>
    <w:qFormat/>
    <w:uiPriority w:val="0"/>
    <w:rPr>
      <w:rFonts w:ascii="黑体" w:hAnsi="黑体" w:eastAsia="黑体" w:cs="Times New Roman"/>
      <w:b/>
      <w:sz w:val="32"/>
      <w:szCs w:val="24"/>
      <w:lang w:val="en-US" w:eastAsia="zh-CN" w:bidi="ar-SA"/>
    </w:rPr>
  </w:style>
  <w:style w:type="paragraph" w:customStyle="1" w:styleId="229">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0">
    <w:name w:val="Normal_13"/>
    <w:qFormat/>
    <w:uiPriority w:val="0"/>
    <w:rPr>
      <w:rFonts w:ascii="黑体" w:hAnsi="黑体" w:eastAsia="黑体" w:cs="Times New Roman"/>
      <w:b/>
      <w:sz w:val="32"/>
      <w:szCs w:val="24"/>
      <w:lang w:val="en-US" w:eastAsia="zh-CN" w:bidi="ar-SA"/>
    </w:rPr>
  </w:style>
  <w:style w:type="paragraph" w:customStyle="1" w:styleId="231">
    <w:name w:val="纯文本_5_0"/>
    <w:basedOn w:val="232"/>
    <w:link w:val="233"/>
    <w:qFormat/>
    <w:uiPriority w:val="0"/>
    <w:rPr>
      <w:rFonts w:ascii="宋体" w:hAnsi="Courier New"/>
      <w:szCs w:val="20"/>
    </w:rPr>
  </w:style>
  <w:style w:type="paragraph" w:customStyle="1" w:styleId="232">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33">
    <w:name w:val="纯文本 Char1_4_3"/>
    <w:link w:val="231"/>
    <w:qFormat/>
    <w:uiPriority w:val="0"/>
    <w:rPr>
      <w:rFonts w:ascii="宋体" w:hAnsi="Courier New"/>
      <w:kern w:val="2"/>
      <w:sz w:val="21"/>
      <w:lang w:val="en-US" w:eastAsia="zh-CN"/>
    </w:rPr>
  </w:style>
  <w:style w:type="paragraph" w:customStyle="1" w:styleId="234">
    <w:name w:val="Normal_15"/>
    <w:qFormat/>
    <w:uiPriority w:val="0"/>
    <w:rPr>
      <w:rFonts w:ascii="黑体" w:hAnsi="黑体" w:eastAsia="黑体" w:cs="Times New Roman"/>
      <w:b/>
      <w:sz w:val="32"/>
      <w:szCs w:val="24"/>
      <w:lang w:val="en-US" w:eastAsia="zh-CN" w:bidi="ar-SA"/>
    </w:rPr>
  </w:style>
  <w:style w:type="paragraph" w:customStyle="1" w:styleId="235">
    <w:name w:val="普通(网站)_0_0"/>
    <w:basedOn w:val="236"/>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236">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7">
    <w:name w:val="Normal_16"/>
    <w:qFormat/>
    <w:uiPriority w:val="0"/>
    <w:rPr>
      <w:rFonts w:ascii="黑体" w:hAnsi="黑体" w:eastAsia="黑体" w:cs="Times New Roman"/>
      <w:b/>
      <w:sz w:val="32"/>
      <w:szCs w:val="24"/>
      <w:lang w:val="en-US" w:eastAsia="zh-CN" w:bidi="ar-SA"/>
    </w:rPr>
  </w:style>
  <w:style w:type="paragraph" w:customStyle="1" w:styleId="238">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纯文本_4_3"/>
    <w:basedOn w:val="241"/>
    <w:link w:val="242"/>
    <w:qFormat/>
    <w:uiPriority w:val="0"/>
    <w:rPr>
      <w:rFonts w:ascii="宋体" w:hAnsi="Courier New"/>
      <w:szCs w:val="20"/>
    </w:rPr>
  </w:style>
  <w:style w:type="paragraph" w:customStyle="1" w:styleId="241">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2">
    <w:name w:val="纯文本 Char1_4_4"/>
    <w:link w:val="240"/>
    <w:qFormat/>
    <w:uiPriority w:val="0"/>
    <w:rPr>
      <w:rFonts w:ascii="宋体" w:hAnsi="Courier New"/>
      <w:kern w:val="2"/>
      <w:sz w:val="21"/>
      <w:lang w:val="en-US" w:eastAsia="zh-CN"/>
    </w:rPr>
  </w:style>
  <w:style w:type="paragraph" w:customStyle="1" w:styleId="243">
    <w:name w:val="Normal_17"/>
    <w:qFormat/>
    <w:uiPriority w:val="0"/>
    <w:rPr>
      <w:rFonts w:ascii="黑体" w:hAnsi="黑体" w:eastAsia="黑体" w:cs="Times New Roman"/>
      <w:b/>
      <w:sz w:val="32"/>
      <w:szCs w:val="24"/>
      <w:lang w:val="en-US" w:eastAsia="zh-CN" w:bidi="ar-SA"/>
    </w:rPr>
  </w:style>
  <w:style w:type="paragraph" w:customStyle="1" w:styleId="24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Normal_18"/>
    <w:qFormat/>
    <w:uiPriority w:val="0"/>
    <w:rPr>
      <w:rFonts w:ascii="黑体" w:hAnsi="黑体" w:eastAsia="黑体" w:cs="Times New Roman"/>
      <w:b/>
      <w:sz w:val="32"/>
      <w:szCs w:val="24"/>
      <w:lang w:val="en-US" w:eastAsia="zh-CN" w:bidi="ar-SA"/>
    </w:rPr>
  </w:style>
  <w:style w:type="paragraph" w:customStyle="1" w:styleId="246">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Normal_19"/>
    <w:qFormat/>
    <w:uiPriority w:val="0"/>
    <w:rPr>
      <w:rFonts w:ascii="黑体" w:hAnsi="黑体" w:eastAsia="黑体" w:cs="Times New Roman"/>
      <w:b/>
      <w:sz w:val="32"/>
      <w:szCs w:val="24"/>
      <w:lang w:val="en-US" w:eastAsia="zh-CN" w:bidi="ar-SA"/>
    </w:rPr>
  </w:style>
  <w:style w:type="paragraph" w:customStyle="1" w:styleId="248">
    <w:name w:val="普通(网站)_1_0"/>
    <w:basedOn w:val="249"/>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249">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0">
    <w:name w:val="Normal_20"/>
    <w:qFormat/>
    <w:uiPriority w:val="0"/>
    <w:rPr>
      <w:rFonts w:ascii="黑体" w:hAnsi="黑体" w:eastAsia="黑体" w:cs="Times New Roman"/>
      <w:b/>
      <w:sz w:val="32"/>
      <w:szCs w:val="24"/>
      <w:lang w:val="en-US" w:eastAsia="zh-CN" w:bidi="ar-SA"/>
    </w:rPr>
  </w:style>
  <w:style w:type="paragraph" w:customStyle="1" w:styleId="251">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2">
    <w:name w:val="Normal_21"/>
    <w:qFormat/>
    <w:uiPriority w:val="0"/>
    <w:rPr>
      <w:rFonts w:ascii="黑体" w:hAnsi="黑体" w:eastAsia="黑体" w:cs="Times New Roman"/>
      <w:b/>
      <w:sz w:val="32"/>
      <w:szCs w:val="24"/>
      <w:lang w:val="en-US" w:eastAsia="zh-CN" w:bidi="ar-SA"/>
    </w:rPr>
  </w:style>
  <w:style w:type="paragraph" w:customStyle="1" w:styleId="253">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254">
    <w:name w:val="纯文本_0_0"/>
    <w:basedOn w:val="188"/>
    <w:link w:val="255"/>
    <w:qFormat/>
    <w:uiPriority w:val="0"/>
    <w:rPr>
      <w:rFonts w:ascii="宋体" w:hAnsi="Courier New"/>
      <w:szCs w:val="21"/>
    </w:rPr>
  </w:style>
  <w:style w:type="character" w:customStyle="1" w:styleId="255">
    <w:name w:val="纯文本 Char_0"/>
    <w:link w:val="254"/>
    <w:qFormat/>
    <w:uiPriority w:val="0"/>
    <w:rPr>
      <w:rFonts w:ascii="宋体" w:hAnsi="Courier New"/>
      <w:kern w:val="2"/>
      <w:sz w:val="21"/>
      <w:szCs w:val="21"/>
      <w:lang w:val="en-US" w:eastAsia="zh-CN"/>
    </w:rPr>
  </w:style>
  <w:style w:type="paragraph" w:customStyle="1" w:styleId="256">
    <w:name w:val="TOC 标题1"/>
    <w:basedOn w:val="4"/>
    <w:next w:val="1"/>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257">
    <w:name w:val="样式 标题 31.1.1标题 333rd levelBOD 0Bold HeadCTH3H31Heading ..."/>
    <w:basedOn w:val="8"/>
    <w:qFormat/>
    <w:uiPriority w:val="0"/>
    <w:pPr>
      <w:spacing w:before="0" w:after="0"/>
      <w:jc w:val="center"/>
    </w:pPr>
    <w:rPr>
      <w:rFonts w:cs="宋体"/>
    </w:rPr>
  </w:style>
  <w:style w:type="paragraph" w:customStyle="1" w:styleId="258">
    <w:name w:val="样式 标题 31.1.1标题 333rd levelBOD 0Bold HeadCTH3H31Heading ...1"/>
    <w:basedOn w:val="6"/>
    <w:qFormat/>
    <w:uiPriority w:val="0"/>
    <w:pPr>
      <w:spacing w:before="0" w:after="0"/>
      <w:ind w:firstLine="0" w:firstLineChars="0"/>
    </w:pPr>
    <w:rPr>
      <w:rFonts w:hAnsi="宋体" w:cs="宋体"/>
      <w:sz w:val="24"/>
    </w:rPr>
  </w:style>
  <w:style w:type="character" w:customStyle="1" w:styleId="259">
    <w:name w:val="正文缩进 Char1"/>
    <w:link w:val="260"/>
    <w:qFormat/>
    <w:uiPriority w:val="0"/>
    <w:rPr>
      <w:rFonts w:ascii="宋体"/>
      <w:sz w:val="24"/>
    </w:rPr>
  </w:style>
  <w:style w:type="paragraph" w:customStyle="1" w:styleId="260">
    <w:name w:val="正文缩进1"/>
    <w:basedOn w:val="1"/>
    <w:link w:val="259"/>
    <w:qFormat/>
    <w:uiPriority w:val="0"/>
    <w:pPr>
      <w:autoSpaceDE w:val="0"/>
      <w:autoSpaceDN w:val="0"/>
      <w:adjustRightInd w:val="0"/>
      <w:ind w:firstLine="420"/>
      <w:jc w:val="left"/>
    </w:pPr>
    <w:rPr>
      <w:rFonts w:ascii="宋体" w:hAnsi="Times New Roman"/>
      <w:kern w:val="0"/>
      <w:sz w:val="24"/>
      <w:szCs w:val="20"/>
    </w:rPr>
  </w:style>
  <w:style w:type="paragraph" w:customStyle="1" w:styleId="261">
    <w:name w:val="纯文本11"/>
    <w:basedOn w:val="1"/>
    <w:qFormat/>
    <w:uiPriority w:val="0"/>
    <w:rPr>
      <w:rFonts w:ascii="宋体" w:hAnsi="Courier New"/>
    </w:rPr>
  </w:style>
  <w:style w:type="paragraph" w:customStyle="1" w:styleId="262">
    <w:name w:val="索引 11"/>
    <w:basedOn w:val="1"/>
    <w:next w:val="1"/>
    <w:qFormat/>
    <w:uiPriority w:val="0"/>
    <w:pPr>
      <w:spacing w:line="360" w:lineRule="auto"/>
    </w:pPr>
    <w:rPr>
      <w:rFonts w:ascii="仿宋_GB2312" w:hAnsi="Times New Roman" w:eastAsia="仿宋_GB2312"/>
      <w:sz w:val="24"/>
      <w:szCs w:val="20"/>
    </w:rPr>
  </w:style>
  <w:style w:type="paragraph" w:customStyle="1" w:styleId="263">
    <w:name w:val="p0"/>
    <w:basedOn w:val="1"/>
    <w:qFormat/>
    <w:uiPriority w:val="0"/>
    <w:pPr>
      <w:widowControl/>
    </w:pPr>
    <w:rPr>
      <w:rFonts w:cs="宋体"/>
      <w:kern w:val="0"/>
      <w:szCs w:val="20"/>
    </w:rPr>
  </w:style>
  <w:style w:type="paragraph" w:customStyle="1" w:styleId="264">
    <w:name w:val="样式6"/>
    <w:basedOn w:val="1"/>
    <w:qFormat/>
    <w:uiPriority w:val="0"/>
    <w:pPr>
      <w:spacing w:line="360" w:lineRule="auto"/>
      <w:ind w:firstLine="200" w:firstLineChars="200"/>
      <w:jc w:val="left"/>
    </w:pPr>
    <w:rPr>
      <w:rFonts w:ascii="Times New Roman" w:hAnsi="Times New Roman"/>
      <w:sz w:val="24"/>
      <w:szCs w:val="24"/>
    </w:rPr>
  </w:style>
  <w:style w:type="character" w:customStyle="1" w:styleId="265">
    <w:name w:val="题注 Char"/>
    <w:link w:val="16"/>
    <w:qFormat/>
    <w:uiPriority w:val="0"/>
    <w:rPr>
      <w:rFonts w:ascii="Arial" w:hAnsi="Arial" w:eastAsia="黑体" w:cs="Arial"/>
      <w:kern w:val="2"/>
    </w:rPr>
  </w:style>
  <w:style w:type="character" w:customStyle="1" w:styleId="266">
    <w:name w:val="标题 Char"/>
    <w:link w:val="43"/>
    <w:qFormat/>
    <w:uiPriority w:val="0"/>
    <w:rPr>
      <w:rFonts w:ascii="Arial" w:hAnsi="Arial" w:cs="Arial"/>
      <w:b/>
      <w:bCs/>
      <w:kern w:val="2"/>
      <w:sz w:val="32"/>
      <w:szCs w:val="32"/>
    </w:rPr>
  </w:style>
  <w:style w:type="character" w:customStyle="1" w:styleId="267">
    <w:name w:val="纯文本 Char1"/>
    <w:qFormat/>
    <w:uiPriority w:val="0"/>
    <w:rPr>
      <w:rFonts w:ascii="宋体" w:hAnsi="Courier New" w:eastAsia="宋体"/>
      <w:kern w:val="2"/>
      <w:sz w:val="21"/>
      <w:lang w:val="en-US" w:eastAsia="zh-CN" w:bidi="ar-SA"/>
    </w:rPr>
  </w:style>
  <w:style w:type="character" w:customStyle="1" w:styleId="268">
    <w:name w:val="1.1.1标题 3 Char"/>
    <w:qFormat/>
    <w:uiPriority w:val="0"/>
    <w:rPr>
      <w:rFonts w:ascii="仿宋_GB2312" w:hAnsi="Calibri" w:eastAsia="仿宋_GB2312"/>
      <w:b/>
      <w:bCs/>
      <w:kern w:val="2"/>
      <w:sz w:val="30"/>
    </w:rPr>
  </w:style>
  <w:style w:type="character" w:customStyle="1" w:styleId="269">
    <w:name w:val="正文文本缩进 Char"/>
    <w:basedOn w:val="48"/>
    <w:link w:val="22"/>
    <w:qFormat/>
    <w:uiPriority w:val="0"/>
    <w:rPr>
      <w:rFonts w:ascii="Calibri" w:hAnsi="Calibri"/>
      <w:kern w:val="2"/>
      <w:sz w:val="28"/>
    </w:rPr>
  </w:style>
  <w:style w:type="character" w:customStyle="1" w:styleId="270">
    <w:name w:val="正文首行缩进 2 Char"/>
    <w:basedOn w:val="269"/>
    <w:link w:val="45"/>
    <w:qFormat/>
    <w:uiPriority w:val="0"/>
    <w:rPr>
      <w:rFonts w:ascii="Calibri" w:hAnsi="Calibri"/>
      <w:kern w:val="2"/>
      <w:sz w:val="28"/>
    </w:rPr>
  </w:style>
  <w:style w:type="character" w:customStyle="1" w:styleId="271">
    <w:name w:val="正文首行缩进 Char"/>
    <w:basedOn w:val="48"/>
    <w:link w:val="21"/>
    <w:qFormat/>
    <w:uiPriority w:val="0"/>
    <w:rPr>
      <w:rFonts w:hAnsi="Calibri"/>
      <w:kern w:val="2"/>
      <w:sz w:val="21"/>
      <w:szCs w:val="22"/>
    </w:rPr>
  </w:style>
  <w:style w:type="paragraph" w:customStyle="1" w:styleId="27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3">
    <w:name w:val="正文首行缩进 21"/>
    <w:basedOn w:val="274"/>
    <w:qFormat/>
    <w:uiPriority w:val="0"/>
    <w:pPr>
      <w:ind w:firstLine="420"/>
    </w:pPr>
    <w:rPr>
      <w:rFonts w:ascii="Times New Roman" w:hAnsi="Times New Roman" w:cs="宋体"/>
    </w:rPr>
  </w:style>
  <w:style w:type="paragraph" w:customStyle="1" w:styleId="274">
    <w:name w:val="正文文本缩进1"/>
    <w:basedOn w:val="1"/>
    <w:next w:val="1"/>
    <w:qFormat/>
    <w:uiPriority w:val="0"/>
    <w:pPr>
      <w:ind w:left="420" w:leftChars="200"/>
    </w:pPr>
    <w:rPr>
      <w:color w:val="000000"/>
      <w:szCs w:val="21"/>
    </w:rPr>
  </w:style>
  <w:style w:type="character" w:customStyle="1" w:styleId="275">
    <w:name w:val="NormalCharacter"/>
    <w:qFormat/>
    <w:uiPriority w:val="0"/>
  </w:style>
  <w:style w:type="paragraph" w:customStyle="1" w:styleId="276">
    <w:name w:val="无间隔1"/>
    <w:link w:val="277"/>
    <w:qFormat/>
    <w:uiPriority w:val="1"/>
    <w:rPr>
      <w:rFonts w:asciiTheme="minorHAnsi" w:hAnsiTheme="minorHAnsi" w:eastAsiaTheme="minorEastAsia" w:cstheme="minorBidi"/>
      <w:sz w:val="22"/>
      <w:szCs w:val="22"/>
      <w:lang w:val="en-US" w:eastAsia="zh-CN" w:bidi="ar-SA"/>
    </w:rPr>
  </w:style>
  <w:style w:type="character" w:customStyle="1" w:styleId="277">
    <w:name w:val="无间隔 Char"/>
    <w:basedOn w:val="48"/>
    <w:link w:val="276"/>
    <w:qFormat/>
    <w:uiPriority w:val="1"/>
    <w:rPr>
      <w:rFonts w:asciiTheme="minorHAnsi" w:hAnsiTheme="minorHAnsi" w:eastAsiaTheme="minorEastAsia" w:cstheme="minorBidi"/>
      <w:sz w:val="22"/>
      <w:szCs w:val="22"/>
    </w:rPr>
  </w:style>
  <w:style w:type="character" w:customStyle="1" w:styleId="278">
    <w:name w:val="标题 2 Char"/>
    <w:link w:val="5"/>
    <w:qFormat/>
    <w:uiPriority w:val="9"/>
    <w:rPr>
      <w:rFonts w:ascii="仿宋_GB2312" w:hAnsi="Calibri" w:eastAsia="仿宋_GB2312"/>
      <w:b/>
      <w:sz w:val="36"/>
    </w:rPr>
  </w:style>
  <w:style w:type="paragraph" w:customStyle="1" w:styleId="279">
    <w:name w:val="正文松阳"/>
    <w:basedOn w:val="1"/>
    <w:qFormat/>
    <w:uiPriority w:val="0"/>
    <w:pPr>
      <w:ind w:firstLine="200" w:firstLineChars="200"/>
    </w:pPr>
    <w:rPr>
      <w:rFonts w:ascii="Times New Roman" w:hAnsi="Times New Roman" w:eastAsia="仿宋"/>
      <w:sz w:val="28"/>
    </w:rPr>
  </w:style>
  <w:style w:type="paragraph" w:customStyle="1" w:styleId="280">
    <w:name w:val="列出段落1"/>
    <w:basedOn w:val="1"/>
    <w:unhideWhenUsed/>
    <w:qFormat/>
    <w:uiPriority w:val="99"/>
    <w:pPr>
      <w:ind w:firstLine="420" w:firstLineChars="200"/>
    </w:pPr>
  </w:style>
  <w:style w:type="paragraph" w:customStyle="1" w:styleId="281">
    <w:name w:val="msolist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4"/>
    <customShpInfo spid="_x0000_s3073"/>
    <customShpInfo spid="_x0000_s3075"/>
    <customShpInfo spid="_x0000_s205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61</Pages>
  <Words>30343</Words>
  <Characters>33257</Characters>
  <Lines>317</Lines>
  <Paragraphs>89</Paragraphs>
  <TotalTime>1</TotalTime>
  <ScaleCrop>false</ScaleCrop>
  <LinksUpToDate>false</LinksUpToDate>
  <CharactersWithSpaces>35255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2023-01-17T06:01:00Z</dcterms:created>
  <dc:creator>微软中国</dc:creator>
  <cp:lastModifiedBy>_ ╭ァ洁</cp:lastModifiedBy>
  <cp:lastPrinted>2024-09-29T03:37:00Z</cp:lastPrinted>
  <dcterms:modified xsi:type="dcterms:W3CDTF">2024-10-01T11:13:54Z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9FE51E1738E24991BA4EDEBE07F316E7</vt:lpwstr>
  </property>
</Properties>
</file>