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4D13F3">
      <w:pPr>
        <w:pStyle w:val="3"/>
        <w:spacing w:before="120" w:beforeLines="50" w:after="120" w:afterLines="50"/>
        <w:jc w:val="center"/>
        <w:rPr>
          <w:rFonts w:hint="default" w:ascii="Times New Roman" w:hAnsi="Times New Roman" w:eastAsia="宋体" w:cs="Times New Roman"/>
          <w:b/>
          <w:bCs w:val="0"/>
          <w:sz w:val="32"/>
          <w:szCs w:val="32"/>
        </w:rPr>
      </w:pPr>
      <w:r>
        <w:rPr>
          <w:rFonts w:hint="default" w:ascii="Times New Roman" w:hAnsi="Times New Roman" w:eastAsia="宋体" w:cs="Times New Roman"/>
          <w:b/>
          <w:bCs w:val="0"/>
          <w:sz w:val="32"/>
          <w:szCs w:val="32"/>
        </w:rPr>
        <w:t>中标人公告内容（非联合体投标时提供）</w:t>
      </w:r>
    </w:p>
    <w:p w14:paraId="210F12AA">
      <w:pPr>
        <w:spacing w:line="360" w:lineRule="auto"/>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采购项目：</w:t>
      </w:r>
      <w:r>
        <w:rPr>
          <w:rFonts w:hint="default" w:ascii="Times New Roman" w:hAnsi="Times New Roman" w:eastAsia="宋体" w:cs="Times New Roman"/>
          <w:color w:val="auto"/>
          <w:spacing w:val="-6"/>
          <w:sz w:val="24"/>
          <w:szCs w:val="24"/>
        </w:rPr>
        <w:t>丽水市公安局经济开发区分局天网工程(三)期项目运维服务</w:t>
      </w:r>
    </w:p>
    <w:p w14:paraId="7957233C">
      <w:pPr>
        <w:spacing w:line="360" w:lineRule="auto"/>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采购编号</w:t>
      </w:r>
      <w:r>
        <w:rPr>
          <w:rFonts w:hint="default" w:ascii="Times New Roman" w:hAnsi="Times New Roman" w:eastAsia="宋体" w:cs="Times New Roman"/>
          <w:sz w:val="24"/>
          <w:szCs w:val="24"/>
        </w:rPr>
        <w:t>：</w:t>
      </w:r>
      <w:r>
        <w:rPr>
          <w:rFonts w:hint="default" w:ascii="Times New Roman" w:hAnsi="Times New Roman" w:eastAsia="宋体" w:cs="Times New Roman"/>
          <w:color w:val="auto"/>
          <w:spacing w:val="20"/>
          <w:sz w:val="24"/>
          <w:szCs w:val="24"/>
        </w:rPr>
        <w:t>浙建航招2025042号</w:t>
      </w:r>
      <w:r>
        <w:rPr>
          <w:rFonts w:hint="default" w:ascii="Times New Roman" w:hAnsi="Times New Roman" w:eastAsia="宋体" w:cs="Times New Roman"/>
          <w:sz w:val="24"/>
          <w:szCs w:val="24"/>
        </w:rPr>
        <w:t xml:space="preserve">    </w:t>
      </w:r>
      <w:bookmarkStart w:id="0" w:name="_GoBack"/>
      <w:bookmarkEnd w:id="0"/>
      <w:r>
        <w:rPr>
          <w:rFonts w:hint="default" w:ascii="Times New Roman" w:hAnsi="Times New Roman" w:eastAsia="宋体" w:cs="Times New Roman"/>
          <w:sz w:val="24"/>
          <w:szCs w:val="24"/>
        </w:rPr>
        <w:t xml:space="preserve">                  标项：2</w:t>
      </w:r>
    </w:p>
    <w:tbl>
      <w:tblPr>
        <w:tblStyle w:val="4"/>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5"/>
        <w:gridCol w:w="286"/>
        <w:gridCol w:w="854"/>
        <w:gridCol w:w="1942"/>
        <w:gridCol w:w="54"/>
        <w:gridCol w:w="682"/>
        <w:gridCol w:w="1323"/>
        <w:gridCol w:w="54"/>
        <w:gridCol w:w="1402"/>
      </w:tblGrid>
      <w:tr w14:paraId="28FEF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2161" w:type="dxa"/>
            <w:gridSpan w:val="2"/>
            <w:tcBorders>
              <w:top w:val="single" w:color="auto" w:sz="4" w:space="0"/>
              <w:left w:val="single" w:color="auto" w:sz="4" w:space="0"/>
              <w:bottom w:val="single" w:color="auto" w:sz="4" w:space="0"/>
              <w:right w:val="single" w:color="auto" w:sz="4" w:space="0"/>
            </w:tcBorders>
            <w:vAlign w:val="center"/>
          </w:tcPr>
          <w:p w14:paraId="5AA1EB5C">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中标人名称</w:t>
            </w:r>
          </w:p>
        </w:tc>
        <w:tc>
          <w:tcPr>
            <w:tcW w:w="2850" w:type="dxa"/>
            <w:gridSpan w:val="3"/>
            <w:tcBorders>
              <w:top w:val="single" w:color="auto" w:sz="4" w:space="0"/>
              <w:left w:val="single" w:color="auto" w:sz="4" w:space="0"/>
              <w:bottom w:val="single" w:color="auto" w:sz="4" w:space="0"/>
              <w:right w:val="single" w:color="auto" w:sz="4" w:space="0"/>
            </w:tcBorders>
            <w:vAlign w:val="center"/>
          </w:tcPr>
          <w:p w14:paraId="72A354C6">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浙江乾时科技有限公司</w:t>
            </w:r>
          </w:p>
        </w:tc>
        <w:tc>
          <w:tcPr>
            <w:tcW w:w="2059" w:type="dxa"/>
            <w:gridSpan w:val="3"/>
            <w:tcBorders>
              <w:top w:val="single" w:color="auto" w:sz="4" w:space="0"/>
              <w:left w:val="single" w:color="auto" w:sz="4" w:space="0"/>
              <w:bottom w:val="single" w:color="auto" w:sz="4" w:space="0"/>
              <w:right w:val="single" w:color="auto" w:sz="4" w:space="0"/>
            </w:tcBorders>
            <w:vAlign w:val="center"/>
          </w:tcPr>
          <w:p w14:paraId="537B1ED6">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中标人负责人</w:t>
            </w:r>
          </w:p>
        </w:tc>
        <w:tc>
          <w:tcPr>
            <w:tcW w:w="1402" w:type="dxa"/>
            <w:tcBorders>
              <w:top w:val="single" w:color="auto" w:sz="4" w:space="0"/>
              <w:left w:val="single" w:color="auto" w:sz="4" w:space="0"/>
              <w:bottom w:val="single" w:color="auto" w:sz="4" w:space="0"/>
              <w:right w:val="single" w:color="auto" w:sz="4" w:space="0"/>
            </w:tcBorders>
            <w:vAlign w:val="center"/>
          </w:tcPr>
          <w:p w14:paraId="1B2AAE4E">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lang w:val="en-US" w:eastAsia="zh-CN"/>
              </w:rPr>
            </w:pPr>
            <w:r>
              <w:rPr>
                <w:rFonts w:hint="default" w:ascii="Times New Roman" w:hAnsi="Times New Roman" w:eastAsia="宋体" w:cs="Times New Roman"/>
                <w:spacing w:val="20"/>
                <w:sz w:val="24"/>
                <w:szCs w:val="24"/>
                <w:lang w:val="en-US" w:eastAsia="zh-CN"/>
              </w:rPr>
              <w:t>姚峰</w:t>
            </w:r>
          </w:p>
        </w:tc>
      </w:tr>
      <w:tr w14:paraId="2605C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61" w:type="dxa"/>
            <w:gridSpan w:val="2"/>
            <w:tcBorders>
              <w:top w:val="single" w:color="auto" w:sz="4" w:space="0"/>
              <w:left w:val="single" w:color="auto" w:sz="4" w:space="0"/>
              <w:bottom w:val="single" w:color="auto" w:sz="4" w:space="0"/>
              <w:right w:val="single" w:color="auto" w:sz="4" w:space="0"/>
            </w:tcBorders>
            <w:vAlign w:val="center"/>
          </w:tcPr>
          <w:p w14:paraId="36FC9656">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中标人地址</w:t>
            </w:r>
          </w:p>
        </w:tc>
        <w:tc>
          <w:tcPr>
            <w:tcW w:w="6311" w:type="dxa"/>
            <w:gridSpan w:val="7"/>
            <w:tcBorders>
              <w:top w:val="single" w:color="auto" w:sz="4" w:space="0"/>
              <w:left w:val="single" w:color="auto" w:sz="4" w:space="0"/>
              <w:bottom w:val="single" w:color="auto" w:sz="4" w:space="0"/>
              <w:right w:val="single" w:color="auto" w:sz="4" w:space="0"/>
            </w:tcBorders>
            <w:vAlign w:val="center"/>
          </w:tcPr>
          <w:p w14:paraId="65DFD1E3">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浙江省丽水市莲都区南明山街道南明路 768 号丽水经开区双招双引中心707室</w:t>
            </w:r>
          </w:p>
        </w:tc>
      </w:tr>
      <w:tr w14:paraId="76FC2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72" w:type="dxa"/>
            <w:gridSpan w:val="9"/>
            <w:tcBorders>
              <w:top w:val="single" w:color="auto" w:sz="4" w:space="0"/>
              <w:left w:val="single" w:color="auto" w:sz="4" w:space="0"/>
              <w:bottom w:val="single" w:color="auto" w:sz="4" w:space="0"/>
              <w:right w:val="single" w:color="auto" w:sz="4" w:space="0"/>
            </w:tcBorders>
            <w:vAlign w:val="center"/>
          </w:tcPr>
          <w:p w14:paraId="7B3C37D3">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中标标的</w:t>
            </w:r>
          </w:p>
        </w:tc>
      </w:tr>
      <w:tr w14:paraId="3BF4A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vAlign w:val="center"/>
          </w:tcPr>
          <w:p w14:paraId="0611D8CE">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货物名称</w:t>
            </w:r>
          </w:p>
        </w:tc>
        <w:tc>
          <w:tcPr>
            <w:tcW w:w="1140" w:type="dxa"/>
            <w:gridSpan w:val="2"/>
            <w:tcBorders>
              <w:top w:val="single" w:color="auto" w:sz="4" w:space="0"/>
              <w:left w:val="single" w:color="auto" w:sz="4" w:space="0"/>
              <w:bottom w:val="single" w:color="auto" w:sz="4" w:space="0"/>
              <w:right w:val="single" w:color="auto" w:sz="4" w:space="0"/>
            </w:tcBorders>
            <w:vAlign w:val="center"/>
          </w:tcPr>
          <w:p w14:paraId="5EACBC6C">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品牌</w:t>
            </w:r>
          </w:p>
        </w:tc>
        <w:tc>
          <w:tcPr>
            <w:tcW w:w="1942" w:type="dxa"/>
            <w:tcBorders>
              <w:top w:val="single" w:color="auto" w:sz="4" w:space="0"/>
              <w:left w:val="single" w:color="auto" w:sz="4" w:space="0"/>
              <w:bottom w:val="single" w:color="auto" w:sz="4" w:space="0"/>
              <w:right w:val="single" w:color="auto" w:sz="4" w:space="0"/>
            </w:tcBorders>
            <w:vAlign w:val="center"/>
          </w:tcPr>
          <w:p w14:paraId="4012C40E">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型号</w:t>
            </w:r>
          </w:p>
        </w:tc>
        <w:tc>
          <w:tcPr>
            <w:tcW w:w="736" w:type="dxa"/>
            <w:gridSpan w:val="2"/>
            <w:tcBorders>
              <w:top w:val="single" w:color="auto" w:sz="4" w:space="0"/>
              <w:left w:val="single" w:color="auto" w:sz="4" w:space="0"/>
              <w:bottom w:val="single" w:color="auto" w:sz="4" w:space="0"/>
              <w:right w:val="single" w:color="auto" w:sz="4" w:space="0"/>
            </w:tcBorders>
            <w:vAlign w:val="center"/>
          </w:tcPr>
          <w:p w14:paraId="1B5B238C">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数量</w:t>
            </w:r>
          </w:p>
        </w:tc>
        <w:tc>
          <w:tcPr>
            <w:tcW w:w="1323" w:type="dxa"/>
            <w:tcBorders>
              <w:top w:val="single" w:color="auto" w:sz="4" w:space="0"/>
              <w:left w:val="single" w:color="auto" w:sz="4" w:space="0"/>
              <w:bottom w:val="single" w:color="auto" w:sz="4" w:space="0"/>
              <w:right w:val="single" w:color="auto" w:sz="4" w:space="0"/>
            </w:tcBorders>
            <w:vAlign w:val="center"/>
          </w:tcPr>
          <w:p w14:paraId="75F2D137">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单价（元）</w:t>
            </w:r>
          </w:p>
        </w:tc>
        <w:tc>
          <w:tcPr>
            <w:tcW w:w="1456" w:type="dxa"/>
            <w:gridSpan w:val="2"/>
            <w:tcBorders>
              <w:top w:val="single" w:color="auto" w:sz="4" w:space="0"/>
              <w:left w:val="single" w:color="auto" w:sz="4" w:space="0"/>
              <w:bottom w:val="single" w:color="auto" w:sz="4" w:space="0"/>
              <w:right w:val="single" w:color="auto" w:sz="4" w:space="0"/>
            </w:tcBorders>
            <w:vAlign w:val="center"/>
          </w:tcPr>
          <w:p w14:paraId="2444A985">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合计（元）</w:t>
            </w:r>
          </w:p>
        </w:tc>
      </w:tr>
      <w:tr w14:paraId="56A9E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6B9C6F8B">
            <w:pPr>
              <w:pStyle w:val="2"/>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★400万高清全彩智能网络摄像机</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0B2BA153">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大华</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7C2FD90F">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DH-IPC-HFW54XYZF1Y-AC</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7CC1389C">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40</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5625C9C6">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3000.00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6A98DDF8">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120000</w:t>
            </w:r>
          </w:p>
        </w:tc>
      </w:tr>
      <w:tr w14:paraId="7F959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22817A0C">
            <w:pPr>
              <w:pStyle w:val="2"/>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400万高清双摄智能网络摄像机</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005BF663">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海康威视</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76D6173A">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DS-2CD7A8XYZUV2-ABCDEF</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42F9AA17">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5</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0425E7BF">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5700.00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370F1363">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28500</w:t>
            </w:r>
          </w:p>
        </w:tc>
      </w:tr>
      <w:tr w14:paraId="5D51B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77BCAFE8">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400万高清智能球形摄像机</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35AEDBE9">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大华</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2CC0F0DC">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DH-SD-8A14BCDE-XYZ-XYZ</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35ABA9EF">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2</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5892E003">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8400.00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3FAD833B">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16800</w:t>
            </w:r>
          </w:p>
        </w:tc>
      </w:tr>
      <w:tr w14:paraId="48A2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0CDF40DA">
            <w:pPr>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双光融合卡口抓拍单元</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7690ED0D">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sz w:val="24"/>
                <w:szCs w:val="24"/>
                <w:lang w:val="en-US" w:eastAsia="zh-CN"/>
              </w:rPr>
              <w:t>海康威视</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0C11F4C9">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iDS-TCV900</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213437D0">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10</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048F9F6E">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13500.00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49B370E4">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135000</w:t>
            </w:r>
          </w:p>
        </w:tc>
      </w:tr>
      <w:tr w14:paraId="0FA98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22736625">
            <w:pPr>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双光融合补光灯</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7ADE1A10">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sz w:val="24"/>
                <w:szCs w:val="24"/>
                <w:lang w:val="en-US" w:eastAsia="zh-CN"/>
              </w:rPr>
              <w:t>海康威视</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12A6E392">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CXBG-1-1-PS-A-3B-I(CXBG-2-H/2-MC-A-3B-I)</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3E3BE1B2">
            <w:pPr>
              <w:pStyle w:val="2"/>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50</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7F7B439F">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2868.00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723E3314">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143400</w:t>
            </w:r>
          </w:p>
        </w:tc>
      </w:tr>
      <w:tr w14:paraId="556C5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75" w:type="dxa"/>
            <w:tcBorders>
              <w:top w:val="single" w:color="auto" w:sz="4" w:space="0"/>
              <w:left w:val="single" w:color="auto" w:sz="4" w:space="0"/>
              <w:bottom w:val="single" w:color="auto" w:sz="4" w:space="0"/>
              <w:right w:val="single" w:color="auto" w:sz="4" w:space="0"/>
            </w:tcBorders>
            <w:shd w:val="clear"/>
            <w:vAlign w:val="center"/>
          </w:tcPr>
          <w:p w14:paraId="40485ED7">
            <w:pPr>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视频补光灯</w:t>
            </w:r>
          </w:p>
        </w:tc>
        <w:tc>
          <w:tcPr>
            <w:tcW w:w="1140" w:type="dxa"/>
            <w:gridSpan w:val="2"/>
            <w:tcBorders>
              <w:top w:val="single" w:color="auto" w:sz="4" w:space="0"/>
              <w:left w:val="single" w:color="auto" w:sz="4" w:space="0"/>
              <w:bottom w:val="single" w:color="auto" w:sz="4" w:space="0"/>
              <w:right w:val="single" w:color="auto" w:sz="4" w:space="0"/>
            </w:tcBorders>
            <w:shd w:val="clear"/>
            <w:vAlign w:val="center"/>
          </w:tcPr>
          <w:p w14:paraId="38965696">
            <w:pPr>
              <w:keepNext w:val="0"/>
              <w:keepLines w:val="0"/>
              <w:pageBreakBefore w:val="0"/>
              <w:widowControl/>
              <w:suppressLineNumbers w:val="0"/>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缤格</w:t>
            </w:r>
          </w:p>
        </w:tc>
        <w:tc>
          <w:tcPr>
            <w:tcW w:w="1942" w:type="dxa"/>
            <w:tcBorders>
              <w:top w:val="single" w:color="auto" w:sz="4" w:space="0"/>
              <w:left w:val="single" w:color="auto" w:sz="4" w:space="0"/>
              <w:bottom w:val="single" w:color="auto" w:sz="4" w:space="0"/>
              <w:right w:val="single" w:color="auto" w:sz="4" w:space="0"/>
            </w:tcBorders>
            <w:shd w:val="clear"/>
            <w:vAlign w:val="center"/>
          </w:tcPr>
          <w:p w14:paraId="14C770A3">
            <w:pPr>
              <w:keepNext w:val="0"/>
              <w:keepLines w:val="0"/>
              <w:pageBreakBefore w:val="0"/>
              <w:widowControl/>
              <w:suppressLineNumbers w:val="0"/>
              <w:kinsoku/>
              <w:wordWrap/>
              <w:overflowPunct/>
              <w:topLinePunct w:val="0"/>
              <w:autoSpaceDE/>
              <w:autoSpaceDN/>
              <w:bidi w:val="0"/>
              <w:adjustRightInd w:val="0"/>
              <w:snapToGrid w:val="0"/>
              <w:spacing w:before="0" w:line="240" w:lineRule="auto"/>
              <w:ind w:firstLine="0" w:firstLineChars="0"/>
              <w:jc w:val="left"/>
              <w:textAlignment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i w:val="0"/>
                <w:iCs w:val="0"/>
                <w:color w:val="auto"/>
                <w:kern w:val="0"/>
                <w:sz w:val="24"/>
                <w:szCs w:val="24"/>
                <w:u w:val="none"/>
                <w:lang w:val="en-US" w:eastAsia="zh-CN" w:bidi="ar"/>
              </w:rPr>
              <w:t>CXBG-2-2-CX-A-AFBG</w:t>
            </w:r>
          </w:p>
        </w:tc>
        <w:tc>
          <w:tcPr>
            <w:tcW w:w="736" w:type="dxa"/>
            <w:gridSpan w:val="2"/>
            <w:tcBorders>
              <w:top w:val="single" w:color="auto" w:sz="4" w:space="0"/>
              <w:left w:val="single" w:color="auto" w:sz="4" w:space="0"/>
              <w:bottom w:val="single" w:color="auto" w:sz="4" w:space="0"/>
              <w:right w:val="single" w:color="auto" w:sz="4" w:space="0"/>
            </w:tcBorders>
            <w:shd w:val="clear"/>
            <w:vAlign w:val="center"/>
          </w:tcPr>
          <w:p w14:paraId="19E31461">
            <w:pPr>
              <w:pStyle w:val="2"/>
              <w:keepNext w:val="0"/>
              <w:keepLines w:val="0"/>
              <w:pageBreakBefore w:val="0"/>
              <w:kinsoku/>
              <w:wordWrap/>
              <w:overflowPunct/>
              <w:topLinePunct w:val="0"/>
              <w:autoSpaceDE/>
              <w:autoSpaceDN/>
              <w:bidi w:val="0"/>
              <w:adjustRightInd w:val="0"/>
              <w:snapToGrid w:val="0"/>
              <w:spacing w:before="0" w:beforeAutospacing="0" w:afterAutospacing="0" w:line="240" w:lineRule="auto"/>
              <w:ind w:firstLine="0" w:firstLineChars="0"/>
              <w:jc w:val="center"/>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bidi="ar"/>
              </w:rPr>
              <w:t>90</w:t>
            </w:r>
          </w:p>
        </w:tc>
        <w:tc>
          <w:tcPr>
            <w:tcW w:w="1323" w:type="dxa"/>
            <w:tcBorders>
              <w:top w:val="single" w:color="auto" w:sz="4" w:space="0"/>
              <w:left w:val="single" w:color="auto" w:sz="4" w:space="0"/>
              <w:bottom w:val="single" w:color="auto" w:sz="4" w:space="0"/>
              <w:right w:val="single" w:color="auto" w:sz="4" w:space="0"/>
            </w:tcBorders>
            <w:shd w:val="clear"/>
            <w:vAlign w:val="center"/>
          </w:tcPr>
          <w:p w14:paraId="3FE090B8">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 xml:space="preserve">1070.00 </w:t>
            </w:r>
          </w:p>
        </w:tc>
        <w:tc>
          <w:tcPr>
            <w:tcW w:w="1456" w:type="dxa"/>
            <w:gridSpan w:val="2"/>
            <w:tcBorders>
              <w:top w:val="single" w:color="auto" w:sz="4" w:space="0"/>
              <w:left w:val="single" w:color="auto" w:sz="4" w:space="0"/>
              <w:bottom w:val="single" w:color="auto" w:sz="4" w:space="0"/>
              <w:right w:val="single" w:color="auto" w:sz="4" w:space="0"/>
            </w:tcBorders>
            <w:shd w:val="clear"/>
            <w:vAlign w:val="center"/>
          </w:tcPr>
          <w:p w14:paraId="3E5DECE7">
            <w:pPr>
              <w:keepNext w:val="0"/>
              <w:keepLines w:val="0"/>
              <w:pageBreakBefore w:val="0"/>
              <w:widowControl/>
              <w:kinsoku/>
              <w:wordWrap/>
              <w:overflowPunct/>
              <w:topLinePunct w:val="0"/>
              <w:autoSpaceDE/>
              <w:autoSpaceDN/>
              <w:bidi w:val="0"/>
              <w:adjustRightInd w:val="0"/>
              <w:snapToGrid w:val="0"/>
              <w:spacing w:before="0" w:beforeAutospacing="0" w:afterAutospacing="0" w:line="240" w:lineRule="auto"/>
              <w:ind w:firstLine="0" w:firstLineChars="0"/>
              <w:jc w:val="center"/>
              <w:textAlignment w:val="auto"/>
              <w:rPr>
                <w:rFonts w:hint="default" w:ascii="Times New Roman" w:hAnsi="Times New Roman" w:eastAsia="宋体" w:cs="Times New Roman"/>
                <w:b w:val="0"/>
                <w:bCs w:val="0"/>
                <w:color w:val="auto"/>
                <w:kern w:val="0"/>
                <w:sz w:val="24"/>
                <w:szCs w:val="24"/>
                <w:lang w:val="en-US" w:eastAsia="zh-CN" w:bidi="ar-SA"/>
              </w:rPr>
            </w:pPr>
            <w:r>
              <w:rPr>
                <w:rFonts w:hint="default" w:ascii="Times New Roman" w:hAnsi="Times New Roman" w:eastAsia="宋体" w:cs="Times New Roman"/>
                <w:b w:val="0"/>
                <w:bCs w:val="0"/>
                <w:color w:val="auto"/>
                <w:kern w:val="0"/>
                <w:sz w:val="24"/>
                <w:szCs w:val="24"/>
                <w:lang w:val="en-US" w:eastAsia="zh-CN"/>
              </w:rPr>
              <w:t>96300</w:t>
            </w:r>
          </w:p>
        </w:tc>
      </w:tr>
      <w:tr w14:paraId="5A723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16" w:type="dxa"/>
            <w:gridSpan w:val="7"/>
            <w:tcBorders>
              <w:top w:val="single" w:color="auto" w:sz="4" w:space="0"/>
              <w:left w:val="single" w:color="auto" w:sz="4" w:space="0"/>
              <w:bottom w:val="single" w:color="auto" w:sz="4" w:space="0"/>
              <w:right w:val="single" w:color="auto" w:sz="4" w:space="0"/>
            </w:tcBorders>
            <w:vAlign w:val="center"/>
          </w:tcPr>
          <w:p w14:paraId="566DC391">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中标金额合计</w:t>
            </w:r>
          </w:p>
        </w:tc>
        <w:tc>
          <w:tcPr>
            <w:tcW w:w="1456" w:type="dxa"/>
            <w:gridSpan w:val="2"/>
            <w:tcBorders>
              <w:top w:val="single" w:color="auto" w:sz="4" w:space="0"/>
              <w:left w:val="single" w:color="auto" w:sz="4" w:space="0"/>
              <w:bottom w:val="single" w:color="auto" w:sz="4" w:space="0"/>
              <w:right w:val="single" w:color="auto" w:sz="4" w:space="0"/>
            </w:tcBorders>
            <w:vAlign w:val="center"/>
          </w:tcPr>
          <w:p w14:paraId="35FE5F2E">
            <w:pPr>
              <w:keepNext w:val="0"/>
              <w:keepLines w:val="0"/>
              <w:pageBreakBefore w:val="0"/>
              <w:kinsoku/>
              <w:wordWrap/>
              <w:overflowPunct/>
              <w:topLinePunct w:val="0"/>
              <w:autoSpaceDE/>
              <w:autoSpaceDN/>
              <w:bidi w:val="0"/>
              <w:adjustRightInd w:val="0"/>
              <w:snapToGrid w:val="0"/>
              <w:spacing w:line="240" w:lineRule="auto"/>
              <w:jc w:val="center"/>
              <w:rPr>
                <w:rFonts w:hint="default" w:ascii="Times New Roman" w:hAnsi="Times New Roman" w:eastAsia="宋体" w:cs="Times New Roman"/>
                <w:spacing w:val="20"/>
                <w:sz w:val="24"/>
                <w:szCs w:val="24"/>
              </w:rPr>
            </w:pPr>
            <w:r>
              <w:rPr>
                <w:rFonts w:hint="eastAsia" w:ascii="宋体" w:hAnsi="宋体"/>
                <w:b/>
                <w:color w:val="auto"/>
                <w:spacing w:val="20"/>
                <w:sz w:val="24"/>
                <w:szCs w:val="20"/>
                <w:lang w:val="en-US" w:eastAsia="zh-CN"/>
              </w:rPr>
              <w:t>540000</w:t>
            </w:r>
          </w:p>
        </w:tc>
      </w:tr>
      <w:tr w14:paraId="0B42E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8472" w:type="dxa"/>
            <w:gridSpan w:val="9"/>
            <w:tcBorders>
              <w:top w:val="single" w:color="auto" w:sz="4" w:space="0"/>
              <w:left w:val="single" w:color="auto" w:sz="4" w:space="0"/>
              <w:bottom w:val="single" w:color="auto" w:sz="4" w:space="0"/>
              <w:right w:val="single" w:color="auto" w:sz="4" w:space="0"/>
            </w:tcBorders>
            <w:vAlign w:val="center"/>
          </w:tcPr>
          <w:p w14:paraId="21E06FCC">
            <w:pPr>
              <w:keepNext w:val="0"/>
              <w:keepLines w:val="0"/>
              <w:pageBreakBefore w:val="0"/>
              <w:kinsoku/>
              <w:wordWrap/>
              <w:overflowPunct/>
              <w:topLinePunct w:val="0"/>
              <w:autoSpaceDE/>
              <w:autoSpaceDN/>
              <w:bidi w:val="0"/>
              <w:adjustRightInd w:val="0"/>
              <w:snapToGrid w:val="0"/>
              <w:spacing w:line="240" w:lineRule="auto"/>
              <w:jc w:val="left"/>
              <w:rPr>
                <w:rFonts w:hint="default" w:ascii="Times New Roman" w:hAnsi="Times New Roman" w:eastAsia="宋体" w:cs="Times New Roman"/>
                <w:spacing w:val="20"/>
                <w:sz w:val="24"/>
                <w:szCs w:val="24"/>
                <w:lang w:eastAsia="zh-CN"/>
              </w:rPr>
            </w:pPr>
            <w:r>
              <w:rPr>
                <w:rFonts w:hint="default" w:ascii="Times New Roman" w:hAnsi="Times New Roman" w:eastAsia="宋体" w:cs="Times New Roman"/>
                <w:spacing w:val="20"/>
                <w:sz w:val="24"/>
                <w:szCs w:val="24"/>
              </w:rPr>
              <w:t>服务承诺：</w:t>
            </w:r>
            <w:r>
              <w:rPr>
                <w:rFonts w:hint="default" w:ascii="Times New Roman" w:hAnsi="Times New Roman" w:eastAsia="宋体" w:cs="Times New Roman"/>
                <w:kern w:val="0"/>
                <w:sz w:val="24"/>
                <w:szCs w:val="24"/>
              </w:rPr>
              <w:t>合同签订后</w:t>
            </w:r>
            <w:r>
              <w:rPr>
                <w:rFonts w:hint="default" w:ascii="Times New Roman" w:hAnsi="Times New Roman" w:eastAsia="宋体" w:cs="Times New Roman"/>
                <w:kern w:val="0"/>
                <w:sz w:val="24"/>
                <w:szCs w:val="24"/>
                <w:u w:val="single"/>
              </w:rPr>
              <w:t>45</w:t>
            </w:r>
            <w:r>
              <w:rPr>
                <w:rFonts w:hint="default" w:ascii="Times New Roman" w:hAnsi="Times New Roman" w:eastAsia="宋体" w:cs="Times New Roman"/>
                <w:kern w:val="0"/>
                <w:sz w:val="24"/>
                <w:szCs w:val="24"/>
              </w:rPr>
              <w:t>天内完成安装调试</w:t>
            </w:r>
            <w:r>
              <w:rPr>
                <w:rFonts w:hint="default" w:ascii="Times New Roman" w:hAnsi="Times New Roman" w:eastAsia="宋体" w:cs="Times New Roman"/>
                <w:kern w:val="0"/>
                <w:sz w:val="24"/>
                <w:szCs w:val="24"/>
                <w:lang w:eastAsia="zh-CN"/>
              </w:rPr>
              <w:t>；</w:t>
            </w:r>
            <w:r>
              <w:rPr>
                <w:rFonts w:hint="default" w:ascii="Times New Roman" w:hAnsi="Times New Roman" w:eastAsia="宋体" w:cs="Times New Roman"/>
                <w:kern w:val="0"/>
                <w:sz w:val="24"/>
                <w:szCs w:val="24"/>
              </w:rPr>
              <w:t>项目质保期为3年，自验收合格之日开始计算。</w:t>
            </w:r>
          </w:p>
        </w:tc>
      </w:tr>
    </w:tbl>
    <w:p w14:paraId="421E9C19">
      <w:pPr>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注：</w:t>
      </w:r>
    </w:p>
    <w:p w14:paraId="702041E7">
      <w:pPr>
        <w:ind w:firstLine="560" w:firstLineChars="200"/>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1.中标人应根据其投标情况填写该表，并保证其与投标文件内容的一致性、正确性和真实性；</w:t>
      </w:r>
    </w:p>
    <w:p w14:paraId="67055294">
      <w:pPr>
        <w:ind w:firstLine="548" w:firstLineChars="196"/>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2.填写该表不代表中标人已具有中标人资格。本表只作为中标结果公告内容的一部分，进行公告使用；</w:t>
      </w:r>
    </w:p>
    <w:p w14:paraId="442B5619">
      <w:pPr>
        <w:ind w:firstLine="548" w:firstLineChars="196"/>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3.本表内容涉及较多，中标人可以适当增减表格行数，以保证表格内容的完整；</w:t>
      </w:r>
    </w:p>
    <w:p w14:paraId="1936FC49">
      <w:pPr>
        <w:ind w:firstLine="548" w:firstLineChars="196"/>
        <w:rPr>
          <w:rFonts w:hint="default" w:ascii="Times New Roman" w:hAnsi="Times New Roman" w:eastAsia="宋体" w:cs="Times New Roman"/>
          <w:spacing w:val="20"/>
          <w:sz w:val="24"/>
          <w:szCs w:val="24"/>
        </w:rPr>
      </w:pPr>
      <w:r>
        <w:rPr>
          <w:rFonts w:hint="default" w:ascii="Times New Roman" w:hAnsi="Times New Roman" w:eastAsia="宋体" w:cs="Times New Roman"/>
          <w:spacing w:val="20"/>
          <w:sz w:val="24"/>
          <w:szCs w:val="24"/>
        </w:rPr>
        <w:t>4.评审结果排名第一的中标人在评审结束后</w:t>
      </w:r>
      <w:r>
        <w:rPr>
          <w:rFonts w:hint="default" w:ascii="Times New Roman" w:hAnsi="Times New Roman" w:eastAsia="宋体" w:cs="Times New Roman"/>
          <w:b/>
          <w:spacing w:val="20"/>
          <w:sz w:val="24"/>
          <w:szCs w:val="24"/>
        </w:rPr>
        <w:t>2个工作日内</w:t>
      </w:r>
      <w:r>
        <w:rPr>
          <w:rFonts w:hint="default" w:ascii="Times New Roman" w:hAnsi="Times New Roman" w:eastAsia="宋体" w:cs="Times New Roman"/>
          <w:spacing w:val="20"/>
          <w:sz w:val="24"/>
          <w:szCs w:val="24"/>
        </w:rPr>
        <w:t>将该表格提交给代理机构的项目负责人。未按时提交规定内容造成后果由中标人自行承担；</w:t>
      </w:r>
    </w:p>
    <w:p w14:paraId="4297BCC6">
      <w:pPr>
        <w:ind w:firstLine="548" w:firstLineChars="196"/>
        <w:rPr>
          <w:rFonts w:hint="default" w:ascii="Times New Roman" w:hAnsi="Times New Roman" w:eastAsia="宋体" w:cs="Times New Roman"/>
          <w:sz w:val="24"/>
          <w:szCs w:val="24"/>
        </w:rPr>
      </w:pPr>
      <w:r>
        <w:rPr>
          <w:rFonts w:hint="default" w:ascii="Times New Roman" w:hAnsi="Times New Roman" w:eastAsia="宋体" w:cs="Times New Roman"/>
          <w:spacing w:val="20"/>
          <w:sz w:val="24"/>
          <w:szCs w:val="24"/>
        </w:rPr>
        <w:t>5.中标结果公告内容如涉及中标人的商业秘密等法律法规规定可以不予公告的情形，中标人应另附书面说明，如未事前书面说明造成的后果由中标人自行承担。</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4E4400"/>
    <w:rsid w:val="4A4E44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annotation text"/>
    <w:basedOn w:val="1"/>
    <w:qFormat/>
    <w:uiPriority w:val="0"/>
    <w:pPr>
      <w:jc w:val="left"/>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2025-03-27T03:42:00Z</dcterms:created>
  <dc:creator>林淼淼呀</dc:creator>
  <cp:lastModifiedBy>林淼淼呀</cp:lastModifiedBy>
  <dcterms:modified xsi:type="dcterms:W3CDTF">2025-03-27T03:47:01Z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02DF9AB6AD074F108B110229BC628F8B_11</vt:lpwstr>
  </property>
  <property fmtid="{D5CDD505-2E9C-101B-9397-08002B2CF9AE}" pid="4" name="KSOTemplateDocerSaveRecord">
    <vt:lpwstr>eyJoZGlkIjoiNzhmYTBjZGMwNjVkMjNjNjE0MjNiYWY4Y2UzYjc2ZDIiLCJ1c2VySWQiOiIxMTcyOTIwNjYwIn0=</vt:lpwstr>
  </property>
</Properties>
</file>