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5"/>
        <w:tblW w:w="82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2"/>
      </w:tblGrid>
      <w:tr w14:paraId="1E13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0" w:hRule="atLeast"/>
        </w:trPr>
        <w:tc>
          <w:tcPr>
            <w:tcW w:w="8222" w:type="dxa"/>
            <w:tcBorders>
              <w:top w:val="nil"/>
              <w:left w:val="nil"/>
              <w:bottom w:val="nil"/>
              <w:right w:val="nil"/>
            </w:tcBorders>
          </w:tcPr>
          <w:p w14:paraId="38666755">
            <w:pPr>
              <w:spacing w:after="0" w:line="360" w:lineRule="auto"/>
              <w:rPr>
                <w:rFonts w:hint="eastAsia" w:ascii="仿宋" w:hAnsi="仿宋" w:eastAsia="仿宋" w:cs="Times New Roman"/>
                <w:color w:val="auto"/>
                <w:kern w:val="0"/>
                <w:sz w:val="32"/>
                <w:szCs w:val="32"/>
                <w:highlight w:val="none"/>
              </w:rPr>
            </w:pPr>
          </w:p>
          <w:p w14:paraId="4B970C6F">
            <w:pPr>
              <w:tabs>
                <w:tab w:val="left" w:pos="486"/>
                <w:tab w:val="center" w:pos="4422"/>
              </w:tabs>
              <w:spacing w:after="0" w:line="360" w:lineRule="auto"/>
              <w:jc w:val="center"/>
              <w:rPr>
                <w:rFonts w:hint="eastAsia" w:ascii="仿宋" w:hAnsi="仿宋" w:eastAsia="仿宋" w:cs="Times New Roman"/>
                <w:color w:val="auto"/>
                <w:kern w:val="0"/>
                <w:sz w:val="32"/>
                <w:szCs w:val="32"/>
                <w:highlight w:val="none"/>
              </w:rPr>
            </w:pPr>
          </w:p>
          <w:p w14:paraId="7CC4CF05">
            <w:pPr>
              <w:tabs>
                <w:tab w:val="left" w:pos="486"/>
                <w:tab w:val="center" w:pos="4422"/>
              </w:tabs>
              <w:spacing w:after="0" w:line="360" w:lineRule="auto"/>
              <w:jc w:val="center"/>
              <w:rPr>
                <w:rFonts w:hint="eastAsia" w:ascii="仿宋" w:hAnsi="仿宋" w:eastAsia="仿宋" w:cs="Times New Roman"/>
                <w:color w:val="auto"/>
                <w:kern w:val="0"/>
                <w:sz w:val="52"/>
                <w:szCs w:val="52"/>
                <w:highlight w:val="none"/>
              </w:rPr>
            </w:pPr>
            <w:r>
              <w:rPr>
                <w:rFonts w:ascii="仿宋" w:hAnsi="仿宋" w:eastAsia="仿宋" w:cs="Times New Roman"/>
                <w:color w:val="auto"/>
                <w:sz w:val="52"/>
                <w:szCs w:val="52"/>
                <w:highlight w:val="none"/>
              </w:rPr>
              <w:t>龙泉市供水数字化系统</w:t>
            </w:r>
          </w:p>
          <w:p w14:paraId="2546E4B6">
            <w:pPr>
              <w:pStyle w:val="2"/>
              <w:spacing w:before="0" w:after="0"/>
              <w:jc w:val="center"/>
              <w:rPr>
                <w:rFonts w:hint="eastAsia" w:ascii="仿宋" w:hAnsi="仿宋" w:eastAsia="仿宋" w:cs="Times New Roman"/>
                <w:color w:val="auto"/>
                <w:kern w:val="0"/>
                <w:highlight w:val="none"/>
              </w:rPr>
            </w:pPr>
          </w:p>
          <w:p w14:paraId="2BC0D131">
            <w:pPr>
              <w:spacing w:after="0" w:line="360" w:lineRule="auto"/>
              <w:jc w:val="center"/>
              <w:rPr>
                <w:rFonts w:hint="eastAsia" w:ascii="仿宋" w:hAnsi="仿宋" w:eastAsia="仿宋" w:cs="Times New Roman"/>
                <w:color w:val="auto"/>
                <w:kern w:val="0"/>
                <w:sz w:val="96"/>
                <w:szCs w:val="96"/>
                <w:highlight w:val="none"/>
              </w:rPr>
            </w:pPr>
            <w:r>
              <w:rPr>
                <w:rFonts w:ascii="仿宋" w:hAnsi="仿宋" w:eastAsia="仿宋" w:cs="Times New Roman"/>
                <w:color w:val="auto"/>
                <w:kern w:val="0"/>
                <w:sz w:val="96"/>
                <w:szCs w:val="96"/>
                <w:highlight w:val="none"/>
              </w:rPr>
              <w:t>实</w:t>
            </w:r>
          </w:p>
          <w:p w14:paraId="1F260BAF">
            <w:pPr>
              <w:spacing w:after="0" w:line="360" w:lineRule="auto"/>
              <w:jc w:val="center"/>
              <w:rPr>
                <w:rFonts w:hint="eastAsia" w:ascii="仿宋" w:hAnsi="仿宋" w:eastAsia="仿宋" w:cs="Times New Roman"/>
                <w:color w:val="auto"/>
                <w:kern w:val="0"/>
                <w:sz w:val="96"/>
                <w:szCs w:val="96"/>
                <w:highlight w:val="none"/>
              </w:rPr>
            </w:pPr>
            <w:r>
              <w:rPr>
                <w:rFonts w:ascii="仿宋" w:hAnsi="仿宋" w:eastAsia="仿宋" w:cs="Times New Roman"/>
                <w:color w:val="auto"/>
                <w:kern w:val="0"/>
                <w:sz w:val="96"/>
                <w:szCs w:val="96"/>
                <w:highlight w:val="none"/>
              </w:rPr>
              <w:t>施</w:t>
            </w:r>
          </w:p>
          <w:p w14:paraId="119B0BF9">
            <w:pPr>
              <w:spacing w:after="0" w:line="360" w:lineRule="auto"/>
              <w:jc w:val="center"/>
              <w:rPr>
                <w:rFonts w:hint="eastAsia" w:ascii="仿宋" w:hAnsi="仿宋" w:eastAsia="仿宋" w:cs="Times New Roman"/>
                <w:color w:val="auto"/>
                <w:kern w:val="0"/>
                <w:sz w:val="96"/>
                <w:szCs w:val="96"/>
                <w:highlight w:val="none"/>
              </w:rPr>
            </w:pPr>
            <w:r>
              <w:rPr>
                <w:rFonts w:ascii="仿宋" w:hAnsi="仿宋" w:eastAsia="仿宋" w:cs="Times New Roman"/>
                <w:color w:val="auto"/>
                <w:kern w:val="0"/>
                <w:sz w:val="96"/>
                <w:szCs w:val="96"/>
                <w:highlight w:val="none"/>
              </w:rPr>
              <w:t>方</w:t>
            </w:r>
          </w:p>
          <w:p w14:paraId="0427094E">
            <w:pPr>
              <w:spacing w:after="0" w:line="360" w:lineRule="auto"/>
              <w:jc w:val="center"/>
              <w:rPr>
                <w:rFonts w:hint="eastAsia" w:ascii="仿宋" w:hAnsi="仿宋" w:eastAsia="仿宋" w:cs="Times New Roman"/>
                <w:color w:val="auto"/>
                <w:kern w:val="0"/>
                <w:sz w:val="96"/>
                <w:szCs w:val="96"/>
                <w:highlight w:val="none"/>
              </w:rPr>
            </w:pPr>
            <w:r>
              <w:rPr>
                <w:rFonts w:ascii="仿宋" w:hAnsi="仿宋" w:eastAsia="仿宋" w:cs="Times New Roman"/>
                <w:color w:val="auto"/>
                <w:kern w:val="0"/>
                <w:sz w:val="96"/>
                <w:szCs w:val="96"/>
                <w:highlight w:val="none"/>
              </w:rPr>
              <w:t>案</w:t>
            </w:r>
          </w:p>
          <w:p w14:paraId="689CB180">
            <w:pPr>
              <w:spacing w:after="0" w:line="360" w:lineRule="auto"/>
              <w:jc w:val="center"/>
              <w:rPr>
                <w:rFonts w:hint="eastAsia" w:ascii="仿宋" w:hAnsi="仿宋" w:eastAsia="仿宋" w:cs="Times New Roman"/>
                <w:color w:val="auto"/>
                <w:kern w:val="0"/>
                <w:sz w:val="32"/>
                <w:szCs w:val="32"/>
                <w:highlight w:val="none"/>
              </w:rPr>
            </w:pPr>
          </w:p>
          <w:p w14:paraId="5E52763B">
            <w:pPr>
              <w:spacing w:after="0" w:line="360" w:lineRule="auto"/>
              <w:jc w:val="center"/>
              <w:rPr>
                <w:rFonts w:hint="eastAsia" w:ascii="仿宋" w:hAnsi="仿宋" w:eastAsia="仿宋" w:cs="Times New Roman"/>
                <w:color w:val="auto"/>
                <w:kern w:val="0"/>
                <w:sz w:val="32"/>
                <w:szCs w:val="32"/>
                <w:highlight w:val="none"/>
              </w:rPr>
            </w:pPr>
          </w:p>
          <w:p w14:paraId="1C8EA381">
            <w:pPr>
              <w:spacing w:after="0" w:line="360" w:lineRule="auto"/>
              <w:jc w:val="center"/>
              <w:rPr>
                <w:rFonts w:hint="eastAsia" w:ascii="仿宋" w:hAnsi="仿宋" w:eastAsia="仿宋" w:cs="Times New Roman"/>
                <w:color w:val="auto"/>
                <w:kern w:val="0"/>
                <w:sz w:val="32"/>
                <w:szCs w:val="32"/>
                <w:highlight w:val="none"/>
              </w:rPr>
            </w:pPr>
            <w:r>
              <w:rPr>
                <w:rFonts w:ascii="仿宋" w:hAnsi="仿宋" w:eastAsia="仿宋" w:cs="Times New Roman"/>
                <w:color w:val="auto"/>
                <w:kern w:val="0"/>
                <w:sz w:val="32"/>
                <w:szCs w:val="32"/>
                <w:highlight w:val="none"/>
              </w:rPr>
              <w:t>建设单位：</w:t>
            </w:r>
            <w:r>
              <w:rPr>
                <w:rFonts w:hint="eastAsia" w:ascii="仿宋" w:hAnsi="仿宋" w:eastAsia="仿宋" w:cs="Times New Roman"/>
                <w:color w:val="auto"/>
                <w:sz w:val="32"/>
                <w:szCs w:val="32"/>
                <w:highlight w:val="none"/>
              </w:rPr>
              <w:t>龙泉市住房和城乡建设局</w:t>
            </w:r>
          </w:p>
          <w:p w14:paraId="27235F2F">
            <w:pPr>
              <w:spacing w:after="0" w:line="360" w:lineRule="auto"/>
              <w:jc w:val="center"/>
              <w:rPr>
                <w:rFonts w:hint="eastAsia" w:ascii="仿宋" w:hAnsi="仿宋" w:eastAsia="仿宋" w:cs="Times New Roman"/>
                <w:color w:val="auto"/>
                <w:kern w:val="0"/>
                <w:sz w:val="32"/>
                <w:szCs w:val="32"/>
                <w:highlight w:val="none"/>
              </w:rPr>
            </w:pPr>
            <w:r>
              <w:rPr>
                <w:rFonts w:ascii="仿宋" w:hAnsi="仿宋" w:eastAsia="仿宋" w:cs="Times New Roman"/>
                <w:color w:val="auto"/>
                <w:kern w:val="0"/>
                <w:sz w:val="32"/>
                <w:szCs w:val="32"/>
                <w:highlight w:val="none"/>
              </w:rPr>
              <w:t>编制单位：</w:t>
            </w:r>
            <w:r>
              <w:rPr>
                <w:rFonts w:hint="eastAsia" w:ascii="仿宋" w:hAnsi="仿宋" w:eastAsia="仿宋" w:cs="Times New Roman"/>
                <w:color w:val="auto"/>
                <w:sz w:val="32"/>
                <w:szCs w:val="32"/>
                <w:highlight w:val="none"/>
              </w:rPr>
              <w:t>浙江交科交通科技有限公司</w:t>
            </w:r>
          </w:p>
          <w:p w14:paraId="13076751">
            <w:pPr>
              <w:spacing w:after="0" w:line="360" w:lineRule="auto"/>
              <w:jc w:val="center"/>
              <w:rPr>
                <w:rFonts w:hint="eastAsia" w:ascii="仿宋" w:hAnsi="仿宋" w:eastAsia="仿宋" w:cs="Times New Roman"/>
                <w:color w:val="auto"/>
                <w:kern w:val="0"/>
                <w:sz w:val="32"/>
                <w:szCs w:val="32"/>
                <w:highlight w:val="none"/>
              </w:rPr>
            </w:pPr>
            <w:r>
              <w:rPr>
                <w:rFonts w:hint="eastAsia" w:ascii="仿宋" w:hAnsi="仿宋" w:eastAsia="仿宋" w:cs="Times New Roman"/>
                <w:color w:val="auto"/>
                <w:kern w:val="0"/>
                <w:sz w:val="32"/>
                <w:szCs w:val="32"/>
                <w:highlight w:val="none"/>
              </w:rPr>
              <w:t>2024</w:t>
            </w:r>
            <w:r>
              <w:rPr>
                <w:rFonts w:ascii="仿宋" w:hAnsi="仿宋" w:eastAsia="仿宋" w:cs="Times New Roman"/>
                <w:color w:val="auto"/>
                <w:kern w:val="0"/>
                <w:sz w:val="32"/>
                <w:szCs w:val="32"/>
                <w:highlight w:val="none"/>
              </w:rPr>
              <w:t>年</w:t>
            </w:r>
            <w:r>
              <w:rPr>
                <w:rFonts w:hint="eastAsia" w:ascii="仿宋" w:hAnsi="仿宋" w:eastAsia="仿宋" w:cs="Times New Roman"/>
                <w:color w:val="auto"/>
                <w:kern w:val="0"/>
                <w:sz w:val="32"/>
                <w:szCs w:val="32"/>
                <w:highlight w:val="none"/>
              </w:rPr>
              <w:t>12</w:t>
            </w:r>
            <w:r>
              <w:rPr>
                <w:rFonts w:ascii="仿宋" w:hAnsi="仿宋" w:eastAsia="仿宋" w:cs="Times New Roman"/>
                <w:color w:val="auto"/>
                <w:kern w:val="0"/>
                <w:sz w:val="32"/>
                <w:szCs w:val="32"/>
                <w:highlight w:val="none"/>
              </w:rPr>
              <w:t>月</w:t>
            </w:r>
          </w:p>
        </w:tc>
      </w:tr>
    </w:tbl>
    <w:p w14:paraId="4E908B08">
      <w:pPr>
        <w:spacing w:after="0"/>
        <w:rPr>
          <w:rFonts w:hint="eastAsia" w:ascii="仿宋" w:hAnsi="仿宋" w:eastAsia="仿宋" w:cs="Times New Roman"/>
          <w:color w:val="auto"/>
          <w:highlight w:val="none"/>
        </w:rPr>
        <w:sectPr>
          <w:footerReference r:id="rId5" w:type="default"/>
          <w:pgSz w:w="11906" w:h="16838"/>
          <w:pgMar w:top="1440" w:right="1800" w:bottom="1440" w:left="1800" w:header="851" w:footer="992" w:gutter="0"/>
          <w:cols w:space="425" w:num="1"/>
          <w:docGrid w:type="lines" w:linePitch="312" w:charSpace="0"/>
        </w:sectPr>
      </w:pPr>
    </w:p>
    <w:sdt>
      <w:sdtPr>
        <w:rPr>
          <w:rFonts w:ascii="仿宋" w:hAnsi="仿宋" w:eastAsia="仿宋" w:cs="Times New Roman"/>
          <w:color w:val="auto"/>
          <w:kern w:val="2"/>
          <w:sz w:val="21"/>
          <w:szCs w:val="22"/>
          <w:highlight w:val="none"/>
          <w:lang w:val="zh-CN"/>
        </w:rPr>
        <w:id w:val="-1305085171"/>
        <w:docPartObj>
          <w:docPartGallery w:val="Table of Contents"/>
          <w:docPartUnique/>
        </w:docPartObj>
      </w:sdtPr>
      <w:sdtEndPr>
        <w:rPr>
          <w:rFonts w:ascii="仿宋" w:hAnsi="仿宋" w:eastAsia="仿宋" w:cs="Times New Roman"/>
          <w:b/>
          <w:bCs/>
          <w:color w:val="auto"/>
          <w:kern w:val="2"/>
          <w:sz w:val="21"/>
          <w:szCs w:val="22"/>
          <w:highlight w:val="none"/>
          <w:lang w:val="zh-CN"/>
        </w:rPr>
      </w:sdtEndPr>
      <w:sdtContent>
        <w:p w14:paraId="01FC918D">
          <w:pPr>
            <w:pStyle w:val="53"/>
            <w:spacing w:before="0"/>
            <w:jc w:val="center"/>
            <w:rPr>
              <w:rFonts w:hint="eastAsia" w:ascii="仿宋" w:hAnsi="仿宋" w:eastAsia="仿宋" w:cs="Times New Roman"/>
              <w:b/>
              <w:bCs/>
              <w:color w:val="auto"/>
              <w:sz w:val="44"/>
              <w:szCs w:val="44"/>
              <w:highlight w:val="none"/>
            </w:rPr>
          </w:pPr>
          <w:r>
            <w:rPr>
              <w:rFonts w:ascii="仿宋" w:hAnsi="仿宋" w:eastAsia="仿宋" w:cs="Times New Roman"/>
              <w:b/>
              <w:bCs/>
              <w:color w:val="auto"/>
              <w:sz w:val="44"/>
              <w:szCs w:val="44"/>
              <w:highlight w:val="none"/>
              <w:lang w:val="zh-CN"/>
            </w:rPr>
            <w:t>目 录</w:t>
          </w:r>
        </w:p>
        <w:p w14:paraId="0AE0E3D9">
          <w:pPr>
            <w:pStyle w:val="18"/>
            <w:tabs>
              <w:tab w:val="right" w:leader="dot" w:pos="8306"/>
            </w:tabs>
          </w:pPr>
          <w:r>
            <w:rPr>
              <w:rFonts w:ascii="仿宋" w:hAnsi="仿宋" w:eastAsia="仿宋" w:cs="Times New Roman"/>
              <w:color w:val="auto"/>
              <w:sz w:val="30"/>
              <w:szCs w:val="30"/>
              <w:highlight w:val="none"/>
            </w:rPr>
            <w:fldChar w:fldCharType="begin"/>
          </w:r>
          <w:r>
            <w:rPr>
              <w:rFonts w:ascii="仿宋" w:hAnsi="仿宋" w:eastAsia="仿宋" w:cs="Times New Roman"/>
              <w:color w:val="auto"/>
              <w:sz w:val="30"/>
              <w:szCs w:val="30"/>
              <w:highlight w:val="none"/>
            </w:rPr>
            <w:instrText xml:space="preserve"> TOC \o "1-2" \h \z \u </w:instrText>
          </w:r>
          <w:r>
            <w:rPr>
              <w:rFonts w:ascii="仿宋" w:hAnsi="仿宋" w:eastAsia="仿宋" w:cs="Times New Roman"/>
              <w:color w:val="auto"/>
              <w:sz w:val="30"/>
              <w:szCs w:val="30"/>
              <w:highlight w:val="none"/>
            </w:rPr>
            <w:fldChar w:fldCharType="separate"/>
          </w: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_Toc3970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第一章 </w:t>
          </w:r>
          <w:r>
            <w:rPr>
              <w:rFonts w:ascii="仿宋" w:hAnsi="仿宋" w:eastAsia="仿宋" w:cs="Times New Roman"/>
              <w:bCs/>
              <w:kern w:val="44"/>
              <w:szCs w:val="44"/>
              <w:highlight w:val="none"/>
            </w:rPr>
            <w:t>项目概况</w:t>
          </w:r>
          <w:r>
            <w:tab/>
          </w:r>
          <w:r>
            <w:fldChar w:fldCharType="begin"/>
          </w:r>
          <w:r>
            <w:instrText xml:space="preserve"> PAGEREF _Toc3970 \h </w:instrText>
          </w:r>
          <w:r>
            <w:fldChar w:fldCharType="separate"/>
          </w:r>
          <w:r>
            <w:t>1</w:t>
          </w:r>
          <w:r>
            <w:fldChar w:fldCharType="end"/>
          </w:r>
          <w:r>
            <w:rPr>
              <w:rFonts w:ascii="仿宋" w:hAnsi="仿宋" w:eastAsia="仿宋" w:cs="Times New Roman"/>
              <w:color w:val="auto"/>
              <w:szCs w:val="30"/>
              <w:highlight w:val="none"/>
            </w:rPr>
            <w:fldChar w:fldCharType="end"/>
          </w:r>
        </w:p>
        <w:p w14:paraId="5D945B07">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_Toc28880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1.1 </w:t>
          </w:r>
          <w:r>
            <w:rPr>
              <w:rFonts w:ascii="仿宋" w:hAnsi="仿宋" w:eastAsia="仿宋" w:cs="Times New Roman"/>
              <w:bCs/>
              <w:szCs w:val="32"/>
              <w:highlight w:val="none"/>
            </w:rPr>
            <w:t>项目名称</w:t>
          </w:r>
          <w:r>
            <w:tab/>
          </w:r>
          <w:r>
            <w:fldChar w:fldCharType="begin"/>
          </w:r>
          <w:r>
            <w:instrText xml:space="preserve"> PAGEREF _Toc28880 \h </w:instrText>
          </w:r>
          <w:r>
            <w:fldChar w:fldCharType="separate"/>
          </w:r>
          <w:r>
            <w:t>1</w:t>
          </w:r>
          <w:r>
            <w:fldChar w:fldCharType="end"/>
          </w:r>
          <w:r>
            <w:rPr>
              <w:rFonts w:ascii="仿宋" w:hAnsi="仿宋" w:eastAsia="仿宋" w:cs="Times New Roman"/>
              <w:color w:val="auto"/>
              <w:szCs w:val="30"/>
              <w:highlight w:val="none"/>
            </w:rPr>
            <w:fldChar w:fldCharType="end"/>
          </w:r>
        </w:p>
        <w:p w14:paraId="7D2F64C9">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_Toc25359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1.2 </w:t>
          </w:r>
          <w:r>
            <w:rPr>
              <w:rFonts w:ascii="仿宋" w:hAnsi="仿宋" w:eastAsia="仿宋" w:cs="Times New Roman"/>
              <w:bCs/>
              <w:szCs w:val="32"/>
              <w:highlight w:val="none"/>
            </w:rPr>
            <w:t>项目类型</w:t>
          </w:r>
          <w:r>
            <w:tab/>
          </w:r>
          <w:r>
            <w:fldChar w:fldCharType="begin"/>
          </w:r>
          <w:r>
            <w:instrText xml:space="preserve"> PAGEREF _Toc25359 \h </w:instrText>
          </w:r>
          <w:r>
            <w:fldChar w:fldCharType="separate"/>
          </w:r>
          <w:r>
            <w:t>1</w:t>
          </w:r>
          <w:r>
            <w:fldChar w:fldCharType="end"/>
          </w:r>
          <w:r>
            <w:rPr>
              <w:rFonts w:ascii="仿宋" w:hAnsi="仿宋" w:eastAsia="仿宋" w:cs="Times New Roman"/>
              <w:color w:val="auto"/>
              <w:szCs w:val="30"/>
              <w:highlight w:val="none"/>
            </w:rPr>
            <w:fldChar w:fldCharType="end"/>
          </w:r>
        </w:p>
        <w:p w14:paraId="1375327B">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_Toc25099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1.3 </w:t>
          </w:r>
          <w:r>
            <w:rPr>
              <w:rFonts w:ascii="仿宋" w:hAnsi="仿宋" w:eastAsia="仿宋" w:cs="Times New Roman"/>
              <w:bCs/>
              <w:szCs w:val="32"/>
              <w:highlight w:val="none"/>
            </w:rPr>
            <w:t>项目建设单位和项目负责人</w:t>
          </w:r>
          <w:r>
            <w:tab/>
          </w:r>
          <w:r>
            <w:fldChar w:fldCharType="begin"/>
          </w:r>
          <w:r>
            <w:instrText xml:space="preserve"> PAGEREF _Toc25099 \h </w:instrText>
          </w:r>
          <w:r>
            <w:fldChar w:fldCharType="separate"/>
          </w:r>
          <w:r>
            <w:t>1</w:t>
          </w:r>
          <w:r>
            <w:fldChar w:fldCharType="end"/>
          </w:r>
          <w:r>
            <w:rPr>
              <w:rFonts w:ascii="仿宋" w:hAnsi="仿宋" w:eastAsia="仿宋" w:cs="Times New Roman"/>
              <w:color w:val="auto"/>
              <w:szCs w:val="30"/>
              <w:highlight w:val="none"/>
            </w:rPr>
            <w:fldChar w:fldCharType="end"/>
          </w:r>
        </w:p>
        <w:p w14:paraId="7BEBDBB5">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_Toc23394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1.4 </w:t>
          </w:r>
          <w:r>
            <w:rPr>
              <w:rFonts w:ascii="仿宋" w:hAnsi="仿宋" w:eastAsia="仿宋" w:cs="Times New Roman"/>
              <w:bCs/>
              <w:szCs w:val="32"/>
              <w:highlight w:val="none"/>
            </w:rPr>
            <w:t>“三定”职能匹配</w:t>
          </w:r>
          <w:r>
            <w:tab/>
          </w:r>
          <w:r>
            <w:fldChar w:fldCharType="begin"/>
          </w:r>
          <w:r>
            <w:instrText xml:space="preserve"> PAGEREF _Toc23394 \h </w:instrText>
          </w:r>
          <w:r>
            <w:fldChar w:fldCharType="separate"/>
          </w:r>
          <w:r>
            <w:t>1</w:t>
          </w:r>
          <w:r>
            <w:fldChar w:fldCharType="end"/>
          </w:r>
          <w:r>
            <w:rPr>
              <w:rFonts w:ascii="仿宋" w:hAnsi="仿宋" w:eastAsia="仿宋" w:cs="Times New Roman"/>
              <w:color w:val="auto"/>
              <w:szCs w:val="30"/>
              <w:highlight w:val="none"/>
            </w:rPr>
            <w:fldChar w:fldCharType="end"/>
          </w:r>
        </w:p>
        <w:p w14:paraId="0FE283A6">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_Toc26156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1.5 </w:t>
          </w:r>
          <w:r>
            <w:rPr>
              <w:rFonts w:ascii="仿宋" w:hAnsi="仿宋" w:eastAsia="仿宋" w:cs="Times New Roman"/>
              <w:bCs/>
              <w:szCs w:val="32"/>
              <w:highlight w:val="none"/>
            </w:rPr>
            <w:t>方案编制单位</w:t>
          </w:r>
          <w:r>
            <w:tab/>
          </w:r>
          <w:r>
            <w:fldChar w:fldCharType="begin"/>
          </w:r>
          <w:r>
            <w:instrText xml:space="preserve"> PAGEREF _Toc26156 \h </w:instrText>
          </w:r>
          <w:r>
            <w:fldChar w:fldCharType="separate"/>
          </w:r>
          <w:r>
            <w:t>2</w:t>
          </w:r>
          <w:r>
            <w:fldChar w:fldCharType="end"/>
          </w:r>
          <w:r>
            <w:rPr>
              <w:rFonts w:ascii="仿宋" w:hAnsi="仿宋" w:eastAsia="仿宋" w:cs="Times New Roman"/>
              <w:color w:val="auto"/>
              <w:szCs w:val="30"/>
              <w:highlight w:val="none"/>
            </w:rPr>
            <w:fldChar w:fldCharType="end"/>
          </w:r>
        </w:p>
        <w:p w14:paraId="769B6BAE">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_Toc5197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1.6 </w:t>
          </w:r>
          <w:r>
            <w:rPr>
              <w:rFonts w:ascii="仿宋" w:hAnsi="仿宋" w:eastAsia="仿宋" w:cs="Times New Roman"/>
              <w:bCs/>
              <w:szCs w:val="32"/>
              <w:highlight w:val="none"/>
            </w:rPr>
            <w:t>项目建设背景、依据及必要性</w:t>
          </w:r>
          <w:r>
            <w:tab/>
          </w:r>
          <w:r>
            <w:fldChar w:fldCharType="begin"/>
          </w:r>
          <w:r>
            <w:instrText xml:space="preserve"> PAGEREF _Toc5197 \h </w:instrText>
          </w:r>
          <w:r>
            <w:fldChar w:fldCharType="separate"/>
          </w:r>
          <w:r>
            <w:t>3</w:t>
          </w:r>
          <w:r>
            <w:fldChar w:fldCharType="end"/>
          </w:r>
          <w:r>
            <w:rPr>
              <w:rFonts w:ascii="仿宋" w:hAnsi="仿宋" w:eastAsia="仿宋" w:cs="Times New Roman"/>
              <w:color w:val="auto"/>
              <w:szCs w:val="30"/>
              <w:highlight w:val="none"/>
            </w:rPr>
            <w:fldChar w:fldCharType="end"/>
          </w:r>
        </w:p>
        <w:p w14:paraId="474585FF">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_Toc17820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1.7 </w:t>
          </w:r>
          <w:r>
            <w:rPr>
              <w:rFonts w:ascii="仿宋" w:hAnsi="仿宋" w:eastAsia="仿宋" w:cs="Times New Roman"/>
              <w:bCs/>
              <w:szCs w:val="32"/>
              <w:highlight w:val="none"/>
            </w:rPr>
            <w:t>项目建设内容、目标和预期绩效</w:t>
          </w:r>
          <w:r>
            <w:tab/>
          </w:r>
          <w:r>
            <w:fldChar w:fldCharType="begin"/>
          </w:r>
          <w:r>
            <w:instrText xml:space="preserve"> PAGEREF _Toc17820 \h </w:instrText>
          </w:r>
          <w:r>
            <w:fldChar w:fldCharType="separate"/>
          </w:r>
          <w:r>
            <w:t>8</w:t>
          </w:r>
          <w:r>
            <w:fldChar w:fldCharType="end"/>
          </w:r>
          <w:r>
            <w:rPr>
              <w:rFonts w:ascii="仿宋" w:hAnsi="仿宋" w:eastAsia="仿宋" w:cs="Times New Roman"/>
              <w:color w:val="auto"/>
              <w:szCs w:val="30"/>
              <w:highlight w:val="none"/>
            </w:rPr>
            <w:fldChar w:fldCharType="end"/>
          </w:r>
        </w:p>
        <w:p w14:paraId="68A9D409">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_Toc18702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1.8 </w:t>
          </w:r>
          <w:r>
            <w:rPr>
              <w:rFonts w:ascii="仿宋" w:hAnsi="仿宋" w:eastAsia="仿宋" w:cs="Times New Roman"/>
              <w:bCs/>
              <w:szCs w:val="32"/>
              <w:highlight w:val="none"/>
            </w:rPr>
            <w:t>项目建设延期、变更计划</w:t>
          </w:r>
          <w:r>
            <w:tab/>
          </w:r>
          <w:r>
            <w:fldChar w:fldCharType="begin"/>
          </w:r>
          <w:r>
            <w:instrText xml:space="preserve"> PAGEREF _Toc18702 \h </w:instrText>
          </w:r>
          <w:r>
            <w:fldChar w:fldCharType="separate"/>
          </w:r>
          <w:r>
            <w:t>12</w:t>
          </w:r>
          <w:r>
            <w:fldChar w:fldCharType="end"/>
          </w:r>
          <w:r>
            <w:rPr>
              <w:rFonts w:ascii="仿宋" w:hAnsi="仿宋" w:eastAsia="仿宋" w:cs="Times New Roman"/>
              <w:color w:val="auto"/>
              <w:szCs w:val="30"/>
              <w:highlight w:val="none"/>
            </w:rPr>
            <w:fldChar w:fldCharType="end"/>
          </w:r>
        </w:p>
        <w:p w14:paraId="6E00A868">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_Toc22856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1.9 </w:t>
          </w:r>
          <w:r>
            <w:rPr>
              <w:rFonts w:ascii="仿宋" w:hAnsi="仿宋" w:eastAsia="仿宋" w:cs="Times New Roman"/>
              <w:bCs/>
              <w:szCs w:val="32"/>
              <w:highlight w:val="none"/>
            </w:rPr>
            <w:t>项目知识产权</w:t>
          </w:r>
          <w:r>
            <w:tab/>
          </w:r>
          <w:r>
            <w:fldChar w:fldCharType="begin"/>
          </w:r>
          <w:r>
            <w:instrText xml:space="preserve"> PAGEREF _Toc22856 \h </w:instrText>
          </w:r>
          <w:r>
            <w:fldChar w:fldCharType="separate"/>
          </w:r>
          <w:r>
            <w:t>13</w:t>
          </w:r>
          <w:r>
            <w:fldChar w:fldCharType="end"/>
          </w:r>
          <w:r>
            <w:rPr>
              <w:rFonts w:ascii="仿宋" w:hAnsi="仿宋" w:eastAsia="仿宋" w:cs="Times New Roman"/>
              <w:color w:val="auto"/>
              <w:szCs w:val="30"/>
              <w:highlight w:val="none"/>
            </w:rPr>
            <w:fldChar w:fldCharType="end"/>
          </w:r>
        </w:p>
        <w:p w14:paraId="558969B8">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_Toc30429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第二章 </w:t>
          </w:r>
          <w:r>
            <w:rPr>
              <w:rFonts w:ascii="仿宋" w:hAnsi="仿宋" w:eastAsia="仿宋" w:cs="Times New Roman"/>
              <w:bCs/>
              <w:kern w:val="44"/>
              <w:szCs w:val="44"/>
              <w:highlight w:val="none"/>
            </w:rPr>
            <w:t>项目需求分析</w:t>
          </w:r>
          <w:r>
            <w:tab/>
          </w:r>
          <w:r>
            <w:fldChar w:fldCharType="begin"/>
          </w:r>
          <w:r>
            <w:instrText xml:space="preserve"> PAGEREF _Toc30429 \h </w:instrText>
          </w:r>
          <w:r>
            <w:fldChar w:fldCharType="separate"/>
          </w:r>
          <w:r>
            <w:t>13</w:t>
          </w:r>
          <w:r>
            <w:fldChar w:fldCharType="end"/>
          </w:r>
          <w:r>
            <w:rPr>
              <w:rFonts w:ascii="仿宋" w:hAnsi="仿宋" w:eastAsia="仿宋" w:cs="Times New Roman"/>
              <w:color w:val="auto"/>
              <w:szCs w:val="30"/>
              <w:highlight w:val="none"/>
            </w:rPr>
            <w:fldChar w:fldCharType="end"/>
          </w:r>
        </w:p>
        <w:p w14:paraId="7B529262">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_Toc6531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2.1 </w:t>
          </w:r>
          <w:r>
            <w:rPr>
              <w:rFonts w:ascii="仿宋" w:hAnsi="仿宋" w:eastAsia="仿宋" w:cs="Times New Roman"/>
              <w:bCs/>
              <w:szCs w:val="32"/>
              <w:highlight w:val="none"/>
            </w:rPr>
            <w:t>项目现状</w:t>
          </w:r>
          <w:r>
            <w:tab/>
          </w:r>
          <w:r>
            <w:fldChar w:fldCharType="begin"/>
          </w:r>
          <w:r>
            <w:instrText xml:space="preserve"> PAGEREF _Toc6531 \h </w:instrText>
          </w:r>
          <w:r>
            <w:fldChar w:fldCharType="separate"/>
          </w:r>
          <w:r>
            <w:t>13</w:t>
          </w:r>
          <w:r>
            <w:fldChar w:fldCharType="end"/>
          </w:r>
          <w:r>
            <w:rPr>
              <w:rFonts w:ascii="仿宋" w:hAnsi="仿宋" w:eastAsia="仿宋" w:cs="Times New Roman"/>
              <w:color w:val="auto"/>
              <w:szCs w:val="30"/>
              <w:highlight w:val="none"/>
            </w:rPr>
            <w:fldChar w:fldCharType="end"/>
          </w:r>
        </w:p>
        <w:p w14:paraId="1BBAB315">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_Toc19668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2.2 </w:t>
          </w:r>
          <w:r>
            <w:rPr>
              <w:rFonts w:ascii="仿宋" w:hAnsi="仿宋" w:eastAsia="仿宋" w:cs="Times New Roman"/>
              <w:bCs/>
              <w:szCs w:val="32"/>
              <w:highlight w:val="none"/>
            </w:rPr>
            <w:t>与上一期的建设界限</w:t>
          </w:r>
          <w:r>
            <w:tab/>
          </w:r>
          <w:r>
            <w:fldChar w:fldCharType="begin"/>
          </w:r>
          <w:r>
            <w:instrText xml:space="preserve"> PAGEREF _Toc19668 \h </w:instrText>
          </w:r>
          <w:r>
            <w:fldChar w:fldCharType="separate"/>
          </w:r>
          <w:r>
            <w:t>16</w:t>
          </w:r>
          <w:r>
            <w:fldChar w:fldCharType="end"/>
          </w:r>
          <w:r>
            <w:rPr>
              <w:rFonts w:ascii="仿宋" w:hAnsi="仿宋" w:eastAsia="仿宋" w:cs="Times New Roman"/>
              <w:color w:val="auto"/>
              <w:szCs w:val="30"/>
              <w:highlight w:val="none"/>
            </w:rPr>
            <w:fldChar w:fldCharType="end"/>
          </w:r>
        </w:p>
        <w:p w14:paraId="000C0C96">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_Toc30922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2.3 </w:t>
          </w:r>
          <w:r>
            <w:rPr>
              <w:rFonts w:ascii="仿宋" w:hAnsi="仿宋" w:eastAsia="仿宋" w:cs="Times New Roman"/>
              <w:bCs/>
              <w:szCs w:val="32"/>
              <w:highlight w:val="none"/>
            </w:rPr>
            <w:t>运营需求分析</w:t>
          </w:r>
          <w:r>
            <w:tab/>
          </w:r>
          <w:r>
            <w:fldChar w:fldCharType="begin"/>
          </w:r>
          <w:r>
            <w:instrText xml:space="preserve"> PAGEREF _Toc30922 \h </w:instrText>
          </w:r>
          <w:r>
            <w:fldChar w:fldCharType="separate"/>
          </w:r>
          <w:r>
            <w:t>16</w:t>
          </w:r>
          <w:r>
            <w:fldChar w:fldCharType="end"/>
          </w:r>
          <w:r>
            <w:rPr>
              <w:rFonts w:ascii="仿宋" w:hAnsi="仿宋" w:eastAsia="仿宋" w:cs="Times New Roman"/>
              <w:color w:val="auto"/>
              <w:szCs w:val="30"/>
              <w:highlight w:val="none"/>
            </w:rPr>
            <w:fldChar w:fldCharType="end"/>
          </w:r>
        </w:p>
        <w:p w14:paraId="7EBED9F0">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_Toc7195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2.4 </w:t>
          </w:r>
          <w:r>
            <w:rPr>
              <w:rFonts w:ascii="仿宋" w:hAnsi="仿宋" w:eastAsia="仿宋" w:cs="Times New Roman"/>
              <w:bCs/>
              <w:szCs w:val="32"/>
              <w:highlight w:val="none"/>
            </w:rPr>
            <w:t>业务和数据资源分析</w:t>
          </w:r>
          <w:r>
            <w:tab/>
          </w:r>
          <w:r>
            <w:fldChar w:fldCharType="begin"/>
          </w:r>
          <w:r>
            <w:instrText xml:space="preserve"> PAGEREF _Toc7195 \h </w:instrText>
          </w:r>
          <w:r>
            <w:fldChar w:fldCharType="separate"/>
          </w:r>
          <w:r>
            <w:t>18</w:t>
          </w:r>
          <w:r>
            <w:fldChar w:fldCharType="end"/>
          </w:r>
          <w:r>
            <w:rPr>
              <w:rFonts w:ascii="仿宋" w:hAnsi="仿宋" w:eastAsia="仿宋" w:cs="Times New Roman"/>
              <w:color w:val="auto"/>
              <w:szCs w:val="30"/>
              <w:highlight w:val="none"/>
            </w:rPr>
            <w:fldChar w:fldCharType="end"/>
          </w:r>
        </w:p>
        <w:p w14:paraId="4BC2D2F4">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_Toc4542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2.5 </w:t>
          </w:r>
          <w:r>
            <w:rPr>
              <w:rFonts w:ascii="仿宋" w:hAnsi="仿宋" w:eastAsia="仿宋" w:cs="Times New Roman"/>
              <w:bCs/>
              <w:szCs w:val="32"/>
              <w:highlight w:val="none"/>
            </w:rPr>
            <w:t>系统性能需求分析</w:t>
          </w:r>
          <w:r>
            <w:tab/>
          </w:r>
          <w:r>
            <w:fldChar w:fldCharType="begin"/>
          </w:r>
          <w:r>
            <w:instrText xml:space="preserve"> PAGEREF _Toc4542 \h </w:instrText>
          </w:r>
          <w:r>
            <w:fldChar w:fldCharType="separate"/>
          </w:r>
          <w:r>
            <w:t>25</w:t>
          </w:r>
          <w:r>
            <w:fldChar w:fldCharType="end"/>
          </w:r>
          <w:r>
            <w:rPr>
              <w:rFonts w:ascii="仿宋" w:hAnsi="仿宋" w:eastAsia="仿宋" w:cs="Times New Roman"/>
              <w:color w:val="auto"/>
              <w:szCs w:val="30"/>
              <w:highlight w:val="none"/>
            </w:rPr>
            <w:fldChar w:fldCharType="end"/>
          </w:r>
        </w:p>
        <w:p w14:paraId="1300879D">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_Toc21125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2.6 </w:t>
          </w:r>
          <w:r>
            <w:rPr>
              <w:rFonts w:ascii="仿宋" w:hAnsi="仿宋" w:eastAsia="仿宋" w:cs="Times New Roman"/>
              <w:bCs/>
              <w:szCs w:val="32"/>
              <w:highlight w:val="none"/>
            </w:rPr>
            <w:t>项目查重分析</w:t>
          </w:r>
          <w:r>
            <w:tab/>
          </w:r>
          <w:r>
            <w:fldChar w:fldCharType="begin"/>
          </w:r>
          <w:r>
            <w:instrText xml:space="preserve"> PAGEREF _Toc21125 \h </w:instrText>
          </w:r>
          <w:r>
            <w:fldChar w:fldCharType="separate"/>
          </w:r>
          <w:r>
            <w:t>28</w:t>
          </w:r>
          <w:r>
            <w:fldChar w:fldCharType="end"/>
          </w:r>
          <w:r>
            <w:rPr>
              <w:rFonts w:ascii="仿宋" w:hAnsi="仿宋" w:eastAsia="仿宋" w:cs="Times New Roman"/>
              <w:color w:val="auto"/>
              <w:szCs w:val="30"/>
              <w:highlight w:val="none"/>
            </w:rPr>
            <w:fldChar w:fldCharType="end"/>
          </w:r>
        </w:p>
        <w:p w14:paraId="44BA44D9">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_Toc10704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第三章 </w:t>
          </w:r>
          <w:r>
            <w:rPr>
              <w:rFonts w:ascii="仿宋" w:hAnsi="仿宋" w:eastAsia="仿宋" w:cs="Times New Roman"/>
              <w:bCs/>
              <w:kern w:val="44"/>
              <w:szCs w:val="44"/>
              <w:highlight w:val="none"/>
            </w:rPr>
            <w:t>项目建设设计</w:t>
          </w:r>
          <w:r>
            <w:tab/>
          </w:r>
          <w:r>
            <w:fldChar w:fldCharType="begin"/>
          </w:r>
          <w:r>
            <w:instrText xml:space="preserve"> PAGEREF _Toc10704 \h </w:instrText>
          </w:r>
          <w:r>
            <w:fldChar w:fldCharType="separate"/>
          </w:r>
          <w:r>
            <w:t>30</w:t>
          </w:r>
          <w:r>
            <w:fldChar w:fldCharType="end"/>
          </w:r>
          <w:r>
            <w:rPr>
              <w:rFonts w:ascii="仿宋" w:hAnsi="仿宋" w:eastAsia="仿宋" w:cs="Times New Roman"/>
              <w:color w:val="auto"/>
              <w:szCs w:val="30"/>
              <w:highlight w:val="none"/>
            </w:rPr>
            <w:fldChar w:fldCharType="end"/>
          </w:r>
        </w:p>
        <w:p w14:paraId="3F2DE6B9">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_Toc6910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3.1 </w:t>
          </w:r>
          <w:r>
            <w:rPr>
              <w:rFonts w:ascii="仿宋" w:hAnsi="仿宋" w:eastAsia="仿宋" w:cs="Times New Roman"/>
              <w:bCs/>
              <w:szCs w:val="32"/>
              <w:highlight w:val="none"/>
            </w:rPr>
            <w:t>项目建设基本思路</w:t>
          </w:r>
          <w:r>
            <w:tab/>
          </w:r>
          <w:r>
            <w:fldChar w:fldCharType="begin"/>
          </w:r>
          <w:r>
            <w:instrText xml:space="preserve"> PAGEREF _Toc6910 \h </w:instrText>
          </w:r>
          <w:r>
            <w:fldChar w:fldCharType="separate"/>
          </w:r>
          <w:r>
            <w:t>30</w:t>
          </w:r>
          <w:r>
            <w:fldChar w:fldCharType="end"/>
          </w:r>
          <w:r>
            <w:rPr>
              <w:rFonts w:ascii="仿宋" w:hAnsi="仿宋" w:eastAsia="仿宋" w:cs="Times New Roman"/>
              <w:color w:val="auto"/>
              <w:szCs w:val="30"/>
              <w:highlight w:val="none"/>
            </w:rPr>
            <w:fldChar w:fldCharType="end"/>
          </w:r>
        </w:p>
        <w:p w14:paraId="44739608">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_Toc22133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3.2 </w:t>
          </w:r>
          <w:r>
            <w:rPr>
              <w:rFonts w:ascii="仿宋" w:hAnsi="仿宋" w:eastAsia="仿宋" w:cs="Times New Roman"/>
              <w:bCs/>
              <w:szCs w:val="32"/>
              <w:highlight w:val="none"/>
            </w:rPr>
            <w:t>建设方案</w:t>
          </w:r>
          <w:r>
            <w:tab/>
          </w:r>
          <w:r>
            <w:fldChar w:fldCharType="begin"/>
          </w:r>
          <w:r>
            <w:instrText xml:space="preserve"> PAGEREF _Toc22133 \h </w:instrText>
          </w:r>
          <w:r>
            <w:fldChar w:fldCharType="separate"/>
          </w:r>
          <w:r>
            <w:t>34</w:t>
          </w:r>
          <w:r>
            <w:fldChar w:fldCharType="end"/>
          </w:r>
          <w:r>
            <w:rPr>
              <w:rFonts w:ascii="仿宋" w:hAnsi="仿宋" w:eastAsia="仿宋" w:cs="Times New Roman"/>
              <w:color w:val="auto"/>
              <w:szCs w:val="30"/>
              <w:highlight w:val="none"/>
            </w:rPr>
            <w:fldChar w:fldCharType="end"/>
          </w:r>
        </w:p>
        <w:p w14:paraId="13E0DB42">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_Toc23161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3.3 </w:t>
          </w:r>
          <w:r>
            <w:rPr>
              <w:rFonts w:ascii="仿宋" w:hAnsi="仿宋" w:eastAsia="仿宋" w:cs="Times New Roman"/>
              <w:bCs/>
              <w:szCs w:val="32"/>
              <w:highlight w:val="none"/>
            </w:rPr>
            <w:t>整体技术架构设计</w:t>
          </w:r>
          <w:r>
            <w:tab/>
          </w:r>
          <w:r>
            <w:fldChar w:fldCharType="begin"/>
          </w:r>
          <w:r>
            <w:instrText xml:space="preserve"> PAGEREF _Toc23161 \h </w:instrText>
          </w:r>
          <w:r>
            <w:fldChar w:fldCharType="separate"/>
          </w:r>
          <w:r>
            <w:t>58</w:t>
          </w:r>
          <w:r>
            <w:fldChar w:fldCharType="end"/>
          </w:r>
          <w:r>
            <w:rPr>
              <w:rFonts w:ascii="仿宋" w:hAnsi="仿宋" w:eastAsia="仿宋" w:cs="Times New Roman"/>
              <w:color w:val="auto"/>
              <w:szCs w:val="30"/>
              <w:highlight w:val="none"/>
            </w:rPr>
            <w:fldChar w:fldCharType="end"/>
          </w:r>
        </w:p>
        <w:p w14:paraId="5CF9B60E">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_Toc16609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3.4 </w:t>
          </w:r>
          <w:r>
            <w:rPr>
              <w:rFonts w:ascii="仿宋" w:hAnsi="仿宋" w:eastAsia="仿宋" w:cs="Times New Roman"/>
              <w:bCs/>
              <w:szCs w:val="32"/>
              <w:highlight w:val="none"/>
            </w:rPr>
            <w:t>业务协同设计</w:t>
          </w:r>
          <w:r>
            <w:tab/>
          </w:r>
          <w:r>
            <w:fldChar w:fldCharType="begin"/>
          </w:r>
          <w:r>
            <w:instrText xml:space="preserve"> PAGEREF _Toc16609 \h </w:instrText>
          </w:r>
          <w:r>
            <w:fldChar w:fldCharType="separate"/>
          </w:r>
          <w:r>
            <w:t>59</w:t>
          </w:r>
          <w:r>
            <w:fldChar w:fldCharType="end"/>
          </w:r>
          <w:r>
            <w:rPr>
              <w:rFonts w:ascii="仿宋" w:hAnsi="仿宋" w:eastAsia="仿宋" w:cs="Times New Roman"/>
              <w:color w:val="auto"/>
              <w:szCs w:val="30"/>
              <w:highlight w:val="none"/>
            </w:rPr>
            <w:fldChar w:fldCharType="end"/>
          </w:r>
        </w:p>
        <w:p w14:paraId="3824395F">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_Toc13632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3.5 </w:t>
          </w:r>
          <w:r>
            <w:rPr>
              <w:rFonts w:ascii="仿宋" w:hAnsi="仿宋" w:eastAsia="仿宋" w:cs="Times New Roman"/>
              <w:bCs/>
              <w:szCs w:val="32"/>
              <w:highlight w:val="none"/>
            </w:rPr>
            <w:t>数据资源设计</w:t>
          </w:r>
          <w:r>
            <w:tab/>
          </w:r>
          <w:r>
            <w:fldChar w:fldCharType="begin"/>
          </w:r>
          <w:r>
            <w:instrText xml:space="preserve"> PAGEREF _Toc13632 \h </w:instrText>
          </w:r>
          <w:r>
            <w:fldChar w:fldCharType="separate"/>
          </w:r>
          <w:r>
            <w:t>60</w:t>
          </w:r>
          <w:r>
            <w:fldChar w:fldCharType="end"/>
          </w:r>
          <w:r>
            <w:rPr>
              <w:rFonts w:ascii="仿宋" w:hAnsi="仿宋" w:eastAsia="仿宋" w:cs="Times New Roman"/>
              <w:color w:val="auto"/>
              <w:szCs w:val="30"/>
              <w:highlight w:val="none"/>
            </w:rPr>
            <w:fldChar w:fldCharType="end"/>
          </w:r>
        </w:p>
        <w:p w14:paraId="5F00B790">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_Toc9358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3.6 </w:t>
          </w:r>
          <w:r>
            <w:rPr>
              <w:rFonts w:ascii="仿宋" w:hAnsi="仿宋" w:eastAsia="仿宋" w:cs="Times New Roman"/>
              <w:bCs/>
              <w:szCs w:val="32"/>
              <w:highlight w:val="none"/>
            </w:rPr>
            <w:t>备份方案设计</w:t>
          </w:r>
          <w:r>
            <w:tab/>
          </w:r>
          <w:r>
            <w:fldChar w:fldCharType="begin"/>
          </w:r>
          <w:r>
            <w:instrText xml:space="preserve"> PAGEREF _Toc9358 \h </w:instrText>
          </w:r>
          <w:r>
            <w:fldChar w:fldCharType="separate"/>
          </w:r>
          <w:r>
            <w:t>70</w:t>
          </w:r>
          <w:r>
            <w:fldChar w:fldCharType="end"/>
          </w:r>
          <w:r>
            <w:rPr>
              <w:rFonts w:ascii="仿宋" w:hAnsi="仿宋" w:eastAsia="仿宋" w:cs="Times New Roman"/>
              <w:color w:val="auto"/>
              <w:szCs w:val="30"/>
              <w:highlight w:val="none"/>
            </w:rPr>
            <w:fldChar w:fldCharType="end"/>
          </w:r>
        </w:p>
        <w:p w14:paraId="18F2573A">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_Toc26580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3.7 </w:t>
          </w:r>
          <w:r>
            <w:rPr>
              <w:rFonts w:ascii="仿宋" w:hAnsi="仿宋" w:eastAsia="仿宋" w:cs="Times New Roman"/>
              <w:bCs/>
              <w:szCs w:val="32"/>
              <w:highlight w:val="none"/>
            </w:rPr>
            <w:t>安全系统设计</w:t>
          </w:r>
          <w:r>
            <w:tab/>
          </w:r>
          <w:r>
            <w:fldChar w:fldCharType="begin"/>
          </w:r>
          <w:r>
            <w:instrText xml:space="preserve"> PAGEREF _Toc26580 \h </w:instrText>
          </w:r>
          <w:r>
            <w:fldChar w:fldCharType="separate"/>
          </w:r>
          <w:r>
            <w:t>70</w:t>
          </w:r>
          <w:r>
            <w:fldChar w:fldCharType="end"/>
          </w:r>
          <w:r>
            <w:rPr>
              <w:rFonts w:ascii="仿宋" w:hAnsi="仿宋" w:eastAsia="仿宋" w:cs="Times New Roman"/>
              <w:color w:val="auto"/>
              <w:szCs w:val="30"/>
              <w:highlight w:val="none"/>
            </w:rPr>
            <w:fldChar w:fldCharType="end"/>
          </w:r>
        </w:p>
        <w:p w14:paraId="3B4BC1FB">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_Toc18212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3.8 </w:t>
          </w:r>
          <w:r>
            <w:rPr>
              <w:rFonts w:ascii="仿宋" w:hAnsi="仿宋" w:eastAsia="仿宋" w:cs="Times New Roman"/>
              <w:bCs/>
              <w:szCs w:val="32"/>
              <w:highlight w:val="none"/>
            </w:rPr>
            <w:t>软硬件部署环境设计及选型</w:t>
          </w:r>
          <w:r>
            <w:tab/>
          </w:r>
          <w:r>
            <w:fldChar w:fldCharType="begin"/>
          </w:r>
          <w:r>
            <w:instrText xml:space="preserve"> PAGEREF _Toc18212 \h </w:instrText>
          </w:r>
          <w:r>
            <w:fldChar w:fldCharType="separate"/>
          </w:r>
          <w:r>
            <w:t>76</w:t>
          </w:r>
          <w:r>
            <w:fldChar w:fldCharType="end"/>
          </w:r>
          <w:r>
            <w:rPr>
              <w:rFonts w:ascii="仿宋" w:hAnsi="仿宋" w:eastAsia="仿宋" w:cs="Times New Roman"/>
              <w:color w:val="auto"/>
              <w:szCs w:val="30"/>
              <w:highlight w:val="none"/>
            </w:rPr>
            <w:fldChar w:fldCharType="end"/>
          </w:r>
        </w:p>
        <w:p w14:paraId="77FFD2AB">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_Toc22463 </w:instrText>
          </w:r>
          <w:r>
            <w:rPr>
              <w:rFonts w:ascii="仿宋" w:hAnsi="仿宋" w:eastAsia="仿宋" w:cs="Times New Roman"/>
              <w:szCs w:val="30"/>
              <w:highlight w:val="none"/>
            </w:rPr>
            <w:fldChar w:fldCharType="separate"/>
          </w:r>
          <w:r>
            <w:rPr>
              <w:rFonts w:ascii="仿宋" w:hAnsi="仿宋" w:eastAsia="仿宋" w:cs="Times New Roman"/>
              <w:szCs w:val="32"/>
              <w:highlight w:val="none"/>
            </w:rPr>
            <w:t>（</w:t>
          </w:r>
          <w:r>
            <w:rPr>
              <w:rFonts w:hint="eastAsia" w:ascii="仿宋" w:hAnsi="仿宋" w:eastAsia="仿宋" w:cs="Times New Roman"/>
              <w:szCs w:val="32"/>
              <w:highlight w:val="none"/>
            </w:rPr>
            <w:t>1</w:t>
          </w:r>
          <w:r>
            <w:rPr>
              <w:rFonts w:ascii="仿宋" w:hAnsi="仿宋" w:eastAsia="仿宋" w:cs="Times New Roman"/>
              <w:szCs w:val="32"/>
              <w:highlight w:val="none"/>
            </w:rPr>
            <w:t>）</w:t>
          </w:r>
          <w:r>
            <w:rPr>
              <w:rFonts w:hint="eastAsia" w:ascii="仿宋" w:hAnsi="仿宋" w:eastAsia="仿宋" w:cs="Times New Roman"/>
              <w:szCs w:val="32"/>
              <w:highlight w:val="none"/>
            </w:rPr>
            <w:t>服务端硬件网络环境</w:t>
          </w:r>
          <w:r>
            <w:tab/>
          </w:r>
          <w:r>
            <w:fldChar w:fldCharType="begin"/>
          </w:r>
          <w:r>
            <w:instrText xml:space="preserve"> PAGEREF _Toc22463 \h </w:instrText>
          </w:r>
          <w:r>
            <w:fldChar w:fldCharType="separate"/>
          </w:r>
          <w:r>
            <w:t>77</w:t>
          </w:r>
          <w:r>
            <w:fldChar w:fldCharType="end"/>
          </w:r>
          <w:r>
            <w:rPr>
              <w:rFonts w:ascii="仿宋" w:hAnsi="仿宋" w:eastAsia="仿宋" w:cs="Times New Roman"/>
              <w:color w:val="auto"/>
              <w:szCs w:val="30"/>
              <w:highlight w:val="none"/>
            </w:rPr>
            <w:fldChar w:fldCharType="end"/>
          </w:r>
        </w:p>
        <w:p w14:paraId="0E291A8F">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_Toc23676 </w:instrText>
          </w:r>
          <w:r>
            <w:rPr>
              <w:rFonts w:ascii="仿宋" w:hAnsi="仿宋" w:eastAsia="仿宋" w:cs="Times New Roman"/>
              <w:szCs w:val="30"/>
              <w:highlight w:val="none"/>
            </w:rPr>
            <w:fldChar w:fldCharType="separate"/>
          </w:r>
          <w:r>
            <w:rPr>
              <w:rFonts w:ascii="仿宋" w:hAnsi="仿宋" w:eastAsia="仿宋" w:cs="Times New Roman"/>
              <w:szCs w:val="32"/>
              <w:highlight w:val="none"/>
            </w:rPr>
            <w:t>（</w:t>
          </w:r>
          <w:r>
            <w:rPr>
              <w:rFonts w:hint="eastAsia" w:ascii="仿宋" w:hAnsi="仿宋" w:eastAsia="仿宋" w:cs="Times New Roman"/>
              <w:szCs w:val="32"/>
              <w:highlight w:val="none"/>
            </w:rPr>
            <w:t>2</w:t>
          </w:r>
          <w:r>
            <w:rPr>
              <w:rFonts w:ascii="仿宋" w:hAnsi="仿宋" w:eastAsia="仿宋" w:cs="Times New Roman"/>
              <w:szCs w:val="32"/>
              <w:highlight w:val="none"/>
            </w:rPr>
            <w:t>）</w:t>
          </w:r>
          <w:r>
            <w:rPr>
              <w:rFonts w:hint="eastAsia" w:ascii="仿宋" w:hAnsi="仿宋" w:eastAsia="仿宋" w:cs="Times New Roman"/>
              <w:szCs w:val="32"/>
              <w:highlight w:val="none"/>
            </w:rPr>
            <w:t>服务端基础软件环境</w:t>
          </w:r>
          <w:r>
            <w:tab/>
          </w:r>
          <w:r>
            <w:fldChar w:fldCharType="begin"/>
          </w:r>
          <w:r>
            <w:instrText xml:space="preserve"> PAGEREF _Toc23676 \h </w:instrText>
          </w:r>
          <w:r>
            <w:fldChar w:fldCharType="separate"/>
          </w:r>
          <w:r>
            <w:t>78</w:t>
          </w:r>
          <w:r>
            <w:fldChar w:fldCharType="end"/>
          </w:r>
          <w:r>
            <w:rPr>
              <w:rFonts w:ascii="仿宋" w:hAnsi="仿宋" w:eastAsia="仿宋" w:cs="Times New Roman"/>
              <w:color w:val="auto"/>
              <w:szCs w:val="30"/>
              <w:highlight w:val="none"/>
            </w:rPr>
            <w:fldChar w:fldCharType="end"/>
          </w:r>
        </w:p>
        <w:p w14:paraId="45D91447">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_Toc9224 </w:instrText>
          </w:r>
          <w:r>
            <w:rPr>
              <w:rFonts w:ascii="仿宋" w:hAnsi="仿宋" w:eastAsia="仿宋" w:cs="Times New Roman"/>
              <w:szCs w:val="30"/>
              <w:highlight w:val="none"/>
            </w:rPr>
            <w:fldChar w:fldCharType="separate"/>
          </w:r>
          <w:r>
            <w:rPr>
              <w:rFonts w:ascii="仿宋" w:hAnsi="仿宋" w:eastAsia="仿宋" w:cs="Times New Roman"/>
              <w:szCs w:val="32"/>
              <w:highlight w:val="none"/>
            </w:rPr>
            <w:t>（</w:t>
          </w:r>
          <w:r>
            <w:rPr>
              <w:rFonts w:hint="eastAsia" w:ascii="仿宋" w:hAnsi="仿宋" w:eastAsia="仿宋" w:cs="Times New Roman"/>
              <w:szCs w:val="32"/>
              <w:highlight w:val="none"/>
            </w:rPr>
            <w:t>3</w:t>
          </w:r>
          <w:r>
            <w:rPr>
              <w:rFonts w:ascii="仿宋" w:hAnsi="仿宋" w:eastAsia="仿宋" w:cs="Times New Roman"/>
              <w:szCs w:val="32"/>
              <w:highlight w:val="none"/>
            </w:rPr>
            <w:t>）</w:t>
          </w:r>
          <w:r>
            <w:rPr>
              <w:rFonts w:hint="eastAsia" w:ascii="仿宋" w:hAnsi="仿宋" w:eastAsia="仿宋" w:cs="Times New Roman"/>
              <w:szCs w:val="32"/>
              <w:highlight w:val="none"/>
            </w:rPr>
            <w:t>服务端应用支撑软件环境</w:t>
          </w:r>
          <w:r>
            <w:tab/>
          </w:r>
          <w:r>
            <w:fldChar w:fldCharType="begin"/>
          </w:r>
          <w:r>
            <w:instrText xml:space="preserve"> PAGEREF _Toc9224 \h </w:instrText>
          </w:r>
          <w:r>
            <w:fldChar w:fldCharType="separate"/>
          </w:r>
          <w:r>
            <w:t>78</w:t>
          </w:r>
          <w:r>
            <w:fldChar w:fldCharType="end"/>
          </w:r>
          <w:r>
            <w:rPr>
              <w:rFonts w:ascii="仿宋" w:hAnsi="仿宋" w:eastAsia="仿宋" w:cs="Times New Roman"/>
              <w:color w:val="auto"/>
              <w:szCs w:val="30"/>
              <w:highlight w:val="none"/>
            </w:rPr>
            <w:fldChar w:fldCharType="end"/>
          </w:r>
        </w:p>
        <w:p w14:paraId="5CB5548F">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_Toc8143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3.9 </w:t>
          </w:r>
          <w:r>
            <w:rPr>
              <w:rFonts w:ascii="仿宋" w:hAnsi="仿宋" w:eastAsia="仿宋" w:cs="Times New Roman"/>
              <w:bCs/>
              <w:szCs w:val="32"/>
              <w:highlight w:val="none"/>
            </w:rPr>
            <w:t>物联系统设计方案</w:t>
          </w:r>
          <w:r>
            <w:tab/>
          </w:r>
          <w:r>
            <w:fldChar w:fldCharType="begin"/>
          </w:r>
          <w:r>
            <w:instrText xml:space="preserve"> PAGEREF _Toc8143 \h </w:instrText>
          </w:r>
          <w:r>
            <w:fldChar w:fldCharType="separate"/>
          </w:r>
          <w:r>
            <w:t>79</w:t>
          </w:r>
          <w:r>
            <w:fldChar w:fldCharType="end"/>
          </w:r>
          <w:r>
            <w:rPr>
              <w:rFonts w:ascii="仿宋" w:hAnsi="仿宋" w:eastAsia="仿宋" w:cs="Times New Roman"/>
              <w:color w:val="auto"/>
              <w:szCs w:val="30"/>
              <w:highlight w:val="none"/>
            </w:rPr>
            <w:fldChar w:fldCharType="end"/>
          </w:r>
        </w:p>
        <w:p w14:paraId="36802DB9">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_Toc31268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3.10 </w:t>
          </w:r>
          <w:r>
            <w:rPr>
              <w:rFonts w:ascii="仿宋" w:hAnsi="仿宋" w:eastAsia="仿宋" w:cs="Times New Roman"/>
              <w:bCs/>
              <w:szCs w:val="32"/>
              <w:highlight w:val="none"/>
            </w:rPr>
            <w:t>接口设计</w:t>
          </w:r>
          <w:r>
            <w:tab/>
          </w:r>
          <w:r>
            <w:fldChar w:fldCharType="begin"/>
          </w:r>
          <w:r>
            <w:instrText xml:space="preserve"> PAGEREF _Toc31268 \h </w:instrText>
          </w:r>
          <w:r>
            <w:fldChar w:fldCharType="separate"/>
          </w:r>
          <w:r>
            <w:t>79</w:t>
          </w:r>
          <w:r>
            <w:fldChar w:fldCharType="end"/>
          </w:r>
          <w:r>
            <w:rPr>
              <w:rFonts w:ascii="仿宋" w:hAnsi="仿宋" w:eastAsia="仿宋" w:cs="Times New Roman"/>
              <w:color w:val="auto"/>
              <w:szCs w:val="30"/>
              <w:highlight w:val="none"/>
            </w:rPr>
            <w:fldChar w:fldCharType="end"/>
          </w:r>
        </w:p>
        <w:p w14:paraId="3DC447BE">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_Toc29527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第四章 </w:t>
          </w:r>
          <w:r>
            <w:rPr>
              <w:rFonts w:ascii="仿宋" w:hAnsi="仿宋" w:eastAsia="仿宋" w:cs="Times New Roman"/>
              <w:bCs/>
              <w:kern w:val="44"/>
              <w:szCs w:val="44"/>
              <w:highlight w:val="none"/>
            </w:rPr>
            <w:t>智能化要素</w:t>
          </w:r>
          <w:r>
            <w:tab/>
          </w:r>
          <w:r>
            <w:fldChar w:fldCharType="begin"/>
          </w:r>
          <w:r>
            <w:instrText xml:space="preserve"> PAGEREF _Toc29527 \h </w:instrText>
          </w:r>
          <w:r>
            <w:fldChar w:fldCharType="separate"/>
          </w:r>
          <w:r>
            <w:t>83</w:t>
          </w:r>
          <w:r>
            <w:fldChar w:fldCharType="end"/>
          </w:r>
          <w:r>
            <w:rPr>
              <w:rFonts w:ascii="仿宋" w:hAnsi="仿宋" w:eastAsia="仿宋" w:cs="Times New Roman"/>
              <w:color w:val="auto"/>
              <w:szCs w:val="30"/>
              <w:highlight w:val="none"/>
            </w:rPr>
            <w:fldChar w:fldCharType="end"/>
          </w:r>
        </w:p>
        <w:p w14:paraId="02A5764F">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_Toc23451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4.1 </w:t>
          </w:r>
          <w:r>
            <w:rPr>
              <w:rFonts w:ascii="仿宋" w:hAnsi="仿宋" w:eastAsia="仿宋" w:cs="Times New Roman"/>
              <w:bCs/>
              <w:szCs w:val="32"/>
              <w:highlight w:val="none"/>
            </w:rPr>
            <w:t>组件清单</w:t>
          </w:r>
          <w:r>
            <w:tab/>
          </w:r>
          <w:r>
            <w:fldChar w:fldCharType="begin"/>
          </w:r>
          <w:r>
            <w:instrText xml:space="preserve"> PAGEREF _Toc23451 \h </w:instrText>
          </w:r>
          <w:r>
            <w:fldChar w:fldCharType="separate"/>
          </w:r>
          <w:r>
            <w:t>83</w:t>
          </w:r>
          <w:r>
            <w:fldChar w:fldCharType="end"/>
          </w:r>
          <w:r>
            <w:rPr>
              <w:rFonts w:ascii="仿宋" w:hAnsi="仿宋" w:eastAsia="仿宋" w:cs="Times New Roman"/>
              <w:color w:val="auto"/>
              <w:szCs w:val="30"/>
              <w:highlight w:val="none"/>
            </w:rPr>
            <w:fldChar w:fldCharType="end"/>
          </w:r>
        </w:p>
        <w:p w14:paraId="6D557A81">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_Toc8675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4.2 </w:t>
          </w:r>
          <w:r>
            <w:rPr>
              <w:rFonts w:ascii="仿宋" w:hAnsi="仿宋" w:eastAsia="仿宋" w:cs="Times New Roman"/>
              <w:bCs/>
              <w:szCs w:val="32"/>
              <w:highlight w:val="none"/>
            </w:rPr>
            <w:t>应用工厂</w:t>
          </w:r>
          <w:r>
            <w:tab/>
          </w:r>
          <w:r>
            <w:fldChar w:fldCharType="begin"/>
          </w:r>
          <w:r>
            <w:instrText xml:space="preserve"> PAGEREF _Toc8675 \h </w:instrText>
          </w:r>
          <w:r>
            <w:fldChar w:fldCharType="separate"/>
          </w:r>
          <w:r>
            <w:t>83</w:t>
          </w:r>
          <w:r>
            <w:fldChar w:fldCharType="end"/>
          </w:r>
          <w:r>
            <w:rPr>
              <w:rFonts w:ascii="仿宋" w:hAnsi="仿宋" w:eastAsia="仿宋" w:cs="Times New Roman"/>
              <w:color w:val="auto"/>
              <w:szCs w:val="30"/>
              <w:highlight w:val="none"/>
            </w:rPr>
            <w:fldChar w:fldCharType="end"/>
          </w:r>
        </w:p>
        <w:p w14:paraId="7AF27C9F">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_Toc8642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第五章 </w:t>
          </w:r>
          <w:r>
            <w:rPr>
              <w:rFonts w:ascii="仿宋" w:hAnsi="仿宋" w:eastAsia="仿宋" w:cs="Times New Roman"/>
              <w:bCs/>
              <w:kern w:val="44"/>
              <w:szCs w:val="44"/>
              <w:highlight w:val="none"/>
            </w:rPr>
            <w:t>项目建设与运行管理</w:t>
          </w:r>
          <w:r>
            <w:tab/>
          </w:r>
          <w:r>
            <w:fldChar w:fldCharType="begin"/>
          </w:r>
          <w:r>
            <w:instrText xml:space="preserve"> PAGEREF _Toc8642 \h </w:instrText>
          </w:r>
          <w:r>
            <w:fldChar w:fldCharType="separate"/>
          </w:r>
          <w:r>
            <w:t>84</w:t>
          </w:r>
          <w:r>
            <w:fldChar w:fldCharType="end"/>
          </w:r>
          <w:r>
            <w:rPr>
              <w:rFonts w:ascii="仿宋" w:hAnsi="仿宋" w:eastAsia="仿宋" w:cs="Times New Roman"/>
              <w:color w:val="auto"/>
              <w:szCs w:val="30"/>
              <w:highlight w:val="none"/>
            </w:rPr>
            <w:fldChar w:fldCharType="end"/>
          </w:r>
        </w:p>
        <w:p w14:paraId="66EAE3D6">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_Toc31282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5.1 </w:t>
          </w:r>
          <w:r>
            <w:rPr>
              <w:rFonts w:ascii="仿宋" w:hAnsi="仿宋" w:eastAsia="仿宋" w:cs="Times New Roman"/>
              <w:bCs/>
              <w:szCs w:val="32"/>
              <w:highlight w:val="none"/>
            </w:rPr>
            <w:t>项目领导小组</w:t>
          </w:r>
          <w:r>
            <w:tab/>
          </w:r>
          <w:r>
            <w:fldChar w:fldCharType="begin"/>
          </w:r>
          <w:r>
            <w:instrText xml:space="preserve"> PAGEREF _Toc31282 \h </w:instrText>
          </w:r>
          <w:r>
            <w:fldChar w:fldCharType="separate"/>
          </w:r>
          <w:r>
            <w:t>84</w:t>
          </w:r>
          <w:r>
            <w:fldChar w:fldCharType="end"/>
          </w:r>
          <w:r>
            <w:rPr>
              <w:rFonts w:ascii="仿宋" w:hAnsi="仿宋" w:eastAsia="仿宋" w:cs="Times New Roman"/>
              <w:color w:val="auto"/>
              <w:szCs w:val="30"/>
              <w:highlight w:val="none"/>
            </w:rPr>
            <w:fldChar w:fldCharType="end"/>
          </w:r>
        </w:p>
        <w:p w14:paraId="2623B04A">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_Toc14379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5.2 </w:t>
          </w:r>
          <w:r>
            <w:rPr>
              <w:rFonts w:ascii="仿宋" w:hAnsi="仿宋" w:eastAsia="仿宋" w:cs="Times New Roman"/>
              <w:bCs/>
              <w:szCs w:val="32"/>
              <w:highlight w:val="none"/>
            </w:rPr>
            <w:t>项目建设周期及进度计划</w:t>
          </w:r>
          <w:r>
            <w:tab/>
          </w:r>
          <w:r>
            <w:fldChar w:fldCharType="begin"/>
          </w:r>
          <w:r>
            <w:instrText xml:space="preserve"> PAGEREF _Toc14379 \h </w:instrText>
          </w:r>
          <w:r>
            <w:fldChar w:fldCharType="separate"/>
          </w:r>
          <w:r>
            <w:t>84</w:t>
          </w:r>
          <w:r>
            <w:fldChar w:fldCharType="end"/>
          </w:r>
          <w:r>
            <w:rPr>
              <w:rFonts w:ascii="仿宋" w:hAnsi="仿宋" w:eastAsia="仿宋" w:cs="Times New Roman"/>
              <w:color w:val="auto"/>
              <w:szCs w:val="30"/>
              <w:highlight w:val="none"/>
            </w:rPr>
            <w:fldChar w:fldCharType="end"/>
          </w:r>
        </w:p>
        <w:p w14:paraId="575596DA">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_Toc31255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5.3 </w:t>
          </w:r>
          <w:r>
            <w:rPr>
              <w:rFonts w:ascii="仿宋" w:hAnsi="仿宋" w:eastAsia="仿宋" w:cs="Times New Roman"/>
              <w:bCs/>
              <w:szCs w:val="32"/>
              <w:highlight w:val="none"/>
            </w:rPr>
            <w:t>资金管理方式</w:t>
          </w:r>
          <w:r>
            <w:tab/>
          </w:r>
          <w:r>
            <w:fldChar w:fldCharType="begin"/>
          </w:r>
          <w:r>
            <w:instrText xml:space="preserve"> PAGEREF _Toc31255 \h </w:instrText>
          </w:r>
          <w:r>
            <w:fldChar w:fldCharType="separate"/>
          </w:r>
          <w:r>
            <w:t>87</w:t>
          </w:r>
          <w:r>
            <w:fldChar w:fldCharType="end"/>
          </w:r>
          <w:r>
            <w:rPr>
              <w:rFonts w:ascii="仿宋" w:hAnsi="仿宋" w:eastAsia="仿宋" w:cs="Times New Roman"/>
              <w:color w:val="auto"/>
              <w:szCs w:val="30"/>
              <w:highlight w:val="none"/>
            </w:rPr>
            <w:fldChar w:fldCharType="end"/>
          </w:r>
        </w:p>
        <w:p w14:paraId="674E5EB2">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_Toc3009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5.4 </w:t>
          </w:r>
          <w:r>
            <w:rPr>
              <w:rFonts w:ascii="仿宋" w:hAnsi="仿宋" w:eastAsia="仿宋" w:cs="Times New Roman"/>
              <w:bCs/>
              <w:szCs w:val="32"/>
              <w:highlight w:val="none"/>
            </w:rPr>
            <w:t>人员培训需求和计划</w:t>
          </w:r>
          <w:r>
            <w:tab/>
          </w:r>
          <w:r>
            <w:fldChar w:fldCharType="begin"/>
          </w:r>
          <w:r>
            <w:instrText xml:space="preserve"> PAGEREF _Toc3009 \h </w:instrText>
          </w:r>
          <w:r>
            <w:fldChar w:fldCharType="separate"/>
          </w:r>
          <w:r>
            <w:t>87</w:t>
          </w:r>
          <w:r>
            <w:fldChar w:fldCharType="end"/>
          </w:r>
          <w:r>
            <w:rPr>
              <w:rFonts w:ascii="仿宋" w:hAnsi="仿宋" w:eastAsia="仿宋" w:cs="Times New Roman"/>
              <w:color w:val="auto"/>
              <w:szCs w:val="30"/>
              <w:highlight w:val="none"/>
            </w:rPr>
            <w:fldChar w:fldCharType="end"/>
          </w:r>
        </w:p>
        <w:p w14:paraId="789DFE59">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_Toc12201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5.5 </w:t>
          </w:r>
          <w:r>
            <w:rPr>
              <w:rFonts w:ascii="仿宋" w:hAnsi="仿宋" w:eastAsia="仿宋" w:cs="Times New Roman"/>
              <w:bCs/>
              <w:szCs w:val="32"/>
              <w:highlight w:val="none"/>
            </w:rPr>
            <w:t>运维管理</w:t>
          </w:r>
          <w:r>
            <w:tab/>
          </w:r>
          <w:r>
            <w:fldChar w:fldCharType="begin"/>
          </w:r>
          <w:r>
            <w:instrText xml:space="preserve"> PAGEREF _Toc12201 \h </w:instrText>
          </w:r>
          <w:r>
            <w:fldChar w:fldCharType="separate"/>
          </w:r>
          <w:r>
            <w:t>89</w:t>
          </w:r>
          <w:r>
            <w:fldChar w:fldCharType="end"/>
          </w:r>
          <w:r>
            <w:rPr>
              <w:rFonts w:ascii="仿宋" w:hAnsi="仿宋" w:eastAsia="仿宋" w:cs="Times New Roman"/>
              <w:color w:val="auto"/>
              <w:szCs w:val="30"/>
              <w:highlight w:val="none"/>
            </w:rPr>
            <w:fldChar w:fldCharType="end"/>
          </w:r>
        </w:p>
        <w:p w14:paraId="764D3F45">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_Toc23471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第六章 </w:t>
          </w:r>
          <w:r>
            <w:rPr>
              <w:rFonts w:ascii="仿宋" w:hAnsi="仿宋" w:eastAsia="仿宋" w:cs="Times New Roman"/>
              <w:bCs/>
              <w:kern w:val="44"/>
              <w:szCs w:val="44"/>
              <w:highlight w:val="none"/>
            </w:rPr>
            <w:t>项目的效益和风险分析</w:t>
          </w:r>
          <w:r>
            <w:tab/>
          </w:r>
          <w:r>
            <w:fldChar w:fldCharType="begin"/>
          </w:r>
          <w:r>
            <w:instrText xml:space="preserve"> PAGEREF _Toc23471 \h </w:instrText>
          </w:r>
          <w:r>
            <w:fldChar w:fldCharType="separate"/>
          </w:r>
          <w:r>
            <w:t>91</w:t>
          </w:r>
          <w:r>
            <w:fldChar w:fldCharType="end"/>
          </w:r>
          <w:r>
            <w:rPr>
              <w:rFonts w:ascii="仿宋" w:hAnsi="仿宋" w:eastAsia="仿宋" w:cs="Times New Roman"/>
              <w:color w:val="auto"/>
              <w:szCs w:val="30"/>
              <w:highlight w:val="none"/>
            </w:rPr>
            <w:fldChar w:fldCharType="end"/>
          </w:r>
        </w:p>
        <w:p w14:paraId="37B29814">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_Toc26897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6.1 </w:t>
          </w:r>
          <w:r>
            <w:rPr>
              <w:rFonts w:ascii="仿宋" w:hAnsi="仿宋" w:eastAsia="仿宋" w:cs="Times New Roman"/>
              <w:bCs/>
              <w:szCs w:val="32"/>
              <w:highlight w:val="none"/>
            </w:rPr>
            <w:t>经济效益分析</w:t>
          </w:r>
          <w:r>
            <w:tab/>
          </w:r>
          <w:r>
            <w:fldChar w:fldCharType="begin"/>
          </w:r>
          <w:r>
            <w:instrText xml:space="preserve"> PAGEREF _Toc26897 \h </w:instrText>
          </w:r>
          <w:r>
            <w:fldChar w:fldCharType="separate"/>
          </w:r>
          <w:r>
            <w:t>91</w:t>
          </w:r>
          <w:r>
            <w:fldChar w:fldCharType="end"/>
          </w:r>
          <w:r>
            <w:rPr>
              <w:rFonts w:ascii="仿宋" w:hAnsi="仿宋" w:eastAsia="仿宋" w:cs="Times New Roman"/>
              <w:color w:val="auto"/>
              <w:szCs w:val="30"/>
              <w:highlight w:val="none"/>
            </w:rPr>
            <w:fldChar w:fldCharType="end"/>
          </w:r>
        </w:p>
        <w:p w14:paraId="0678A358">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_Toc17019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6.2 </w:t>
          </w:r>
          <w:r>
            <w:rPr>
              <w:rFonts w:ascii="仿宋" w:hAnsi="仿宋" w:eastAsia="仿宋" w:cs="Times New Roman"/>
              <w:bCs/>
              <w:szCs w:val="32"/>
              <w:highlight w:val="none"/>
            </w:rPr>
            <w:t>社会效益分析</w:t>
          </w:r>
          <w:r>
            <w:tab/>
          </w:r>
          <w:r>
            <w:fldChar w:fldCharType="begin"/>
          </w:r>
          <w:r>
            <w:instrText xml:space="preserve"> PAGEREF _Toc17019 \h </w:instrText>
          </w:r>
          <w:r>
            <w:fldChar w:fldCharType="separate"/>
          </w:r>
          <w:r>
            <w:t>91</w:t>
          </w:r>
          <w:r>
            <w:fldChar w:fldCharType="end"/>
          </w:r>
          <w:r>
            <w:rPr>
              <w:rFonts w:ascii="仿宋" w:hAnsi="仿宋" w:eastAsia="仿宋" w:cs="Times New Roman"/>
              <w:color w:val="auto"/>
              <w:szCs w:val="30"/>
              <w:highlight w:val="none"/>
            </w:rPr>
            <w:fldChar w:fldCharType="end"/>
          </w:r>
        </w:p>
        <w:p w14:paraId="18476C08">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_Toc20409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6.3 </w:t>
          </w:r>
          <w:r>
            <w:rPr>
              <w:rFonts w:ascii="仿宋" w:hAnsi="仿宋" w:eastAsia="仿宋" w:cs="Times New Roman"/>
              <w:bCs/>
              <w:szCs w:val="32"/>
              <w:highlight w:val="none"/>
            </w:rPr>
            <w:t>风险分析</w:t>
          </w:r>
          <w:r>
            <w:tab/>
          </w:r>
          <w:r>
            <w:fldChar w:fldCharType="begin"/>
          </w:r>
          <w:r>
            <w:instrText xml:space="preserve"> PAGEREF _Toc20409 \h </w:instrText>
          </w:r>
          <w:r>
            <w:fldChar w:fldCharType="separate"/>
          </w:r>
          <w:r>
            <w:t>92</w:t>
          </w:r>
          <w:r>
            <w:fldChar w:fldCharType="end"/>
          </w:r>
          <w:r>
            <w:rPr>
              <w:rFonts w:ascii="仿宋" w:hAnsi="仿宋" w:eastAsia="仿宋" w:cs="Times New Roman"/>
              <w:color w:val="auto"/>
              <w:szCs w:val="30"/>
              <w:highlight w:val="none"/>
            </w:rPr>
            <w:fldChar w:fldCharType="end"/>
          </w:r>
        </w:p>
        <w:p w14:paraId="5AB40570">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_Toc16639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第七章 </w:t>
          </w:r>
          <w:r>
            <w:rPr>
              <w:rFonts w:ascii="仿宋" w:hAnsi="仿宋" w:eastAsia="仿宋" w:cs="Times New Roman"/>
              <w:bCs/>
              <w:kern w:val="44"/>
              <w:szCs w:val="44"/>
              <w:highlight w:val="none"/>
            </w:rPr>
            <w:t>项目预算及建设清单</w:t>
          </w:r>
          <w:r>
            <w:tab/>
          </w:r>
          <w:r>
            <w:fldChar w:fldCharType="begin"/>
          </w:r>
          <w:r>
            <w:instrText xml:space="preserve"> PAGEREF _Toc16639 \h </w:instrText>
          </w:r>
          <w:r>
            <w:fldChar w:fldCharType="separate"/>
          </w:r>
          <w:r>
            <w:t>102</w:t>
          </w:r>
          <w:r>
            <w:fldChar w:fldCharType="end"/>
          </w:r>
          <w:r>
            <w:rPr>
              <w:rFonts w:ascii="仿宋" w:hAnsi="仿宋" w:eastAsia="仿宋" w:cs="Times New Roman"/>
              <w:color w:val="auto"/>
              <w:szCs w:val="30"/>
              <w:highlight w:val="none"/>
            </w:rPr>
            <w:fldChar w:fldCharType="end"/>
          </w:r>
        </w:p>
        <w:p w14:paraId="334DD90C">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_Toc12764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7.1 </w:t>
          </w:r>
          <w:r>
            <w:rPr>
              <w:rFonts w:ascii="仿宋" w:hAnsi="仿宋" w:eastAsia="仿宋" w:cs="Times New Roman"/>
              <w:bCs/>
              <w:szCs w:val="32"/>
              <w:highlight w:val="none"/>
            </w:rPr>
            <w:t>投资总估算</w:t>
          </w:r>
          <w:r>
            <w:tab/>
          </w:r>
          <w:r>
            <w:fldChar w:fldCharType="begin"/>
          </w:r>
          <w:r>
            <w:instrText xml:space="preserve"> PAGEREF _Toc12764 \h </w:instrText>
          </w:r>
          <w:r>
            <w:fldChar w:fldCharType="separate"/>
          </w:r>
          <w:r>
            <w:t>102</w:t>
          </w:r>
          <w:r>
            <w:fldChar w:fldCharType="end"/>
          </w:r>
          <w:r>
            <w:rPr>
              <w:rFonts w:ascii="仿宋" w:hAnsi="仿宋" w:eastAsia="仿宋" w:cs="Times New Roman"/>
              <w:color w:val="auto"/>
              <w:szCs w:val="30"/>
              <w:highlight w:val="none"/>
            </w:rPr>
            <w:fldChar w:fldCharType="end"/>
          </w:r>
        </w:p>
        <w:p w14:paraId="332B983C">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_Toc8742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7.2 </w:t>
          </w:r>
          <w:r>
            <w:rPr>
              <w:rFonts w:ascii="仿宋" w:hAnsi="仿宋" w:eastAsia="仿宋" w:cs="Times New Roman"/>
              <w:bCs/>
              <w:szCs w:val="32"/>
              <w:highlight w:val="none"/>
            </w:rPr>
            <w:t>项目采购方式</w:t>
          </w:r>
          <w:r>
            <w:tab/>
          </w:r>
          <w:r>
            <w:fldChar w:fldCharType="begin"/>
          </w:r>
          <w:r>
            <w:instrText xml:space="preserve"> PAGEREF _Toc8742 \h </w:instrText>
          </w:r>
          <w:r>
            <w:fldChar w:fldCharType="separate"/>
          </w:r>
          <w:r>
            <w:t>102</w:t>
          </w:r>
          <w:r>
            <w:fldChar w:fldCharType="end"/>
          </w:r>
          <w:r>
            <w:rPr>
              <w:rFonts w:ascii="仿宋" w:hAnsi="仿宋" w:eastAsia="仿宋" w:cs="Times New Roman"/>
              <w:color w:val="auto"/>
              <w:szCs w:val="30"/>
              <w:highlight w:val="none"/>
            </w:rPr>
            <w:fldChar w:fldCharType="end"/>
          </w:r>
        </w:p>
        <w:p w14:paraId="3E8AACF7">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_Toc5589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7.3 </w:t>
          </w:r>
          <w:r>
            <w:rPr>
              <w:rFonts w:ascii="仿宋" w:hAnsi="仿宋" w:eastAsia="仿宋" w:cs="Times New Roman"/>
              <w:bCs/>
              <w:szCs w:val="32"/>
              <w:highlight w:val="none"/>
            </w:rPr>
            <w:t>投资建设预算清单</w:t>
          </w:r>
          <w:r>
            <w:tab/>
          </w:r>
          <w:r>
            <w:fldChar w:fldCharType="begin"/>
          </w:r>
          <w:r>
            <w:instrText xml:space="preserve"> PAGEREF _Toc5589 \h </w:instrText>
          </w:r>
          <w:r>
            <w:fldChar w:fldCharType="separate"/>
          </w:r>
          <w:r>
            <w:t>102</w:t>
          </w:r>
          <w:r>
            <w:fldChar w:fldCharType="end"/>
          </w:r>
          <w:r>
            <w:rPr>
              <w:rFonts w:ascii="仿宋" w:hAnsi="仿宋" w:eastAsia="仿宋" w:cs="Times New Roman"/>
              <w:color w:val="auto"/>
              <w:szCs w:val="30"/>
              <w:highlight w:val="none"/>
            </w:rPr>
            <w:fldChar w:fldCharType="end"/>
          </w:r>
        </w:p>
        <w:p w14:paraId="1AB8444A">
          <w:pPr>
            <w:pStyle w:val="20"/>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_Toc1431 </w:instrText>
          </w:r>
          <w:r>
            <w:rPr>
              <w:rFonts w:ascii="仿宋" w:hAnsi="仿宋" w:eastAsia="仿宋" w:cs="Times New Roman"/>
              <w:szCs w:val="30"/>
              <w:highlight w:val="none"/>
            </w:rPr>
            <w:fldChar w:fldCharType="separate"/>
          </w:r>
          <w:r>
            <w:rPr>
              <w:rFonts w:hint="default" w:ascii="仿宋" w:hAnsi="仿宋" w:eastAsia="仿宋" w:cs="Times New Roman"/>
              <w:bCs/>
              <w:szCs w:val="32"/>
            </w:rPr>
            <w:t xml:space="preserve">7.4 </w:t>
          </w:r>
          <w:r>
            <w:rPr>
              <w:rFonts w:ascii="仿宋" w:hAnsi="仿宋" w:eastAsia="仿宋" w:cs="Times New Roman"/>
              <w:bCs/>
              <w:szCs w:val="32"/>
              <w:highlight w:val="none"/>
            </w:rPr>
            <w:t>与其他同类系统建设投资调查情况</w:t>
          </w:r>
          <w:r>
            <w:tab/>
          </w:r>
          <w:r>
            <w:fldChar w:fldCharType="begin"/>
          </w:r>
          <w:r>
            <w:instrText xml:space="preserve"> PAGEREF _Toc1431 \h </w:instrText>
          </w:r>
          <w:r>
            <w:fldChar w:fldCharType="separate"/>
          </w:r>
          <w:r>
            <w:t>102</w:t>
          </w:r>
          <w:r>
            <w:fldChar w:fldCharType="end"/>
          </w:r>
          <w:r>
            <w:rPr>
              <w:rFonts w:ascii="仿宋" w:hAnsi="仿宋" w:eastAsia="仿宋" w:cs="Times New Roman"/>
              <w:color w:val="auto"/>
              <w:szCs w:val="30"/>
              <w:highlight w:val="none"/>
            </w:rPr>
            <w:fldChar w:fldCharType="end"/>
          </w:r>
        </w:p>
        <w:p w14:paraId="1F6FA92B">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_Toc19607 </w:instrText>
          </w:r>
          <w:r>
            <w:rPr>
              <w:rFonts w:ascii="仿宋" w:hAnsi="仿宋" w:eastAsia="仿宋" w:cs="Times New Roman"/>
              <w:szCs w:val="30"/>
              <w:highlight w:val="none"/>
            </w:rPr>
            <w:fldChar w:fldCharType="separate"/>
          </w:r>
          <w:r>
            <w:rPr>
              <w:rFonts w:hint="eastAsia" w:ascii="仿宋" w:hAnsi="仿宋" w:eastAsia="仿宋" w:cs="Times New Roman"/>
              <w:bCs/>
              <w:kern w:val="44"/>
              <w:szCs w:val="44"/>
            </w:rPr>
            <w:t xml:space="preserve">第八章 </w:t>
          </w:r>
          <w:r>
            <w:rPr>
              <w:rFonts w:ascii="仿宋" w:hAnsi="仿宋" w:eastAsia="仿宋" w:cs="Times New Roman"/>
              <w:bCs/>
              <w:kern w:val="44"/>
              <w:szCs w:val="44"/>
              <w:highlight w:val="none"/>
            </w:rPr>
            <w:t>初步实施计划</w:t>
          </w:r>
          <w:r>
            <w:tab/>
          </w:r>
          <w:r>
            <w:fldChar w:fldCharType="begin"/>
          </w:r>
          <w:r>
            <w:instrText xml:space="preserve"> PAGEREF _Toc19607 \h </w:instrText>
          </w:r>
          <w:r>
            <w:fldChar w:fldCharType="separate"/>
          </w:r>
          <w:r>
            <w:t>104</w:t>
          </w:r>
          <w:r>
            <w:fldChar w:fldCharType="end"/>
          </w:r>
          <w:r>
            <w:rPr>
              <w:rFonts w:ascii="仿宋" w:hAnsi="仿宋" w:eastAsia="仿宋" w:cs="Times New Roman"/>
              <w:color w:val="auto"/>
              <w:szCs w:val="30"/>
              <w:highlight w:val="none"/>
            </w:rPr>
            <w:fldChar w:fldCharType="end"/>
          </w:r>
        </w:p>
        <w:p w14:paraId="30D0ED07">
          <w:pPr>
            <w:pStyle w:val="18"/>
            <w:tabs>
              <w:tab w:val="right" w:leader="dot" w:pos="8306"/>
            </w:tabs>
          </w:pPr>
          <w:r>
            <w:rPr>
              <w:rFonts w:ascii="仿宋" w:hAnsi="仿宋" w:eastAsia="仿宋" w:cs="Times New Roman"/>
              <w:color w:val="auto"/>
              <w:szCs w:val="30"/>
              <w:highlight w:val="none"/>
            </w:rPr>
            <w:fldChar w:fldCharType="begin"/>
          </w:r>
          <w:r>
            <w:rPr>
              <w:rFonts w:ascii="仿宋" w:hAnsi="仿宋" w:eastAsia="仿宋" w:cs="Times New Roman"/>
              <w:szCs w:val="30"/>
              <w:highlight w:val="none"/>
            </w:rPr>
            <w:instrText xml:space="preserve"> HYPERLINK \l _Toc4276 </w:instrText>
          </w:r>
          <w:r>
            <w:rPr>
              <w:rFonts w:ascii="仿宋" w:hAnsi="仿宋" w:eastAsia="仿宋" w:cs="Times New Roman"/>
              <w:szCs w:val="30"/>
              <w:highlight w:val="none"/>
            </w:rPr>
            <w:fldChar w:fldCharType="separate"/>
          </w:r>
          <w:r>
            <w:rPr>
              <w:rFonts w:ascii="仿宋" w:hAnsi="仿宋" w:eastAsia="仿宋" w:cs="Times New Roman"/>
              <w:kern w:val="44"/>
              <w:szCs w:val="32"/>
              <w:highlight w:val="none"/>
            </w:rPr>
            <w:t>附件1：功能点清单表EXCEL</w:t>
          </w:r>
          <w:r>
            <w:tab/>
          </w:r>
          <w:r>
            <w:fldChar w:fldCharType="begin"/>
          </w:r>
          <w:r>
            <w:instrText xml:space="preserve"> PAGEREF _Toc4276 \h </w:instrText>
          </w:r>
          <w:r>
            <w:fldChar w:fldCharType="separate"/>
          </w:r>
          <w:r>
            <w:t>1</w:t>
          </w:r>
          <w:r>
            <w:fldChar w:fldCharType="end"/>
          </w:r>
          <w:r>
            <w:rPr>
              <w:rFonts w:ascii="仿宋" w:hAnsi="仿宋" w:eastAsia="仿宋" w:cs="Times New Roman"/>
              <w:color w:val="auto"/>
              <w:szCs w:val="30"/>
              <w:highlight w:val="none"/>
            </w:rPr>
            <w:fldChar w:fldCharType="end"/>
          </w:r>
        </w:p>
        <w:p w14:paraId="3185CEC9">
          <w:pPr>
            <w:spacing w:after="0"/>
            <w:rPr>
              <w:rFonts w:hint="eastAsia" w:ascii="仿宋" w:hAnsi="仿宋" w:eastAsia="仿宋" w:cs="Times New Roman"/>
              <w:color w:val="auto"/>
              <w:highlight w:val="none"/>
            </w:rPr>
          </w:pPr>
          <w:r>
            <w:rPr>
              <w:rFonts w:ascii="仿宋" w:hAnsi="仿宋" w:eastAsia="仿宋" w:cs="Times New Roman"/>
              <w:color w:val="auto"/>
              <w:szCs w:val="30"/>
              <w:highlight w:val="none"/>
            </w:rPr>
            <w:fldChar w:fldCharType="end"/>
          </w:r>
        </w:p>
      </w:sdtContent>
    </w:sdt>
    <w:p w14:paraId="755AC591">
      <w:pPr>
        <w:spacing w:after="0"/>
        <w:rPr>
          <w:rFonts w:hint="eastAsia" w:ascii="仿宋" w:hAnsi="仿宋" w:eastAsia="仿宋" w:cs="Times New Roman"/>
          <w:color w:val="auto"/>
          <w:highlight w:val="none"/>
        </w:rPr>
      </w:pPr>
    </w:p>
    <w:p w14:paraId="4FE955FF">
      <w:pPr>
        <w:spacing w:after="0"/>
        <w:rPr>
          <w:rFonts w:hint="eastAsia" w:ascii="仿宋" w:hAnsi="仿宋" w:eastAsia="仿宋" w:cs="Times New Roman"/>
          <w:color w:val="auto"/>
          <w:highlight w:val="none"/>
        </w:rPr>
        <w:sectPr>
          <w:footerReference r:id="rId6" w:type="default"/>
          <w:pgSz w:w="11906" w:h="16838"/>
          <w:pgMar w:top="1440" w:right="1800" w:bottom="1440" w:left="1800" w:header="851" w:footer="992" w:gutter="0"/>
          <w:pgNumType w:fmt="upperRoman" w:start="1"/>
          <w:cols w:space="425" w:num="1"/>
          <w:docGrid w:type="lines" w:linePitch="312" w:charSpace="0"/>
        </w:sectPr>
      </w:pPr>
    </w:p>
    <w:p w14:paraId="3CE21951">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0" w:name="_Toc3970"/>
      <w:r>
        <w:rPr>
          <w:rFonts w:ascii="仿宋" w:hAnsi="仿宋" w:eastAsia="仿宋" w:cs="Times New Roman"/>
          <w:b/>
          <w:bCs/>
          <w:color w:val="auto"/>
          <w:kern w:val="44"/>
          <w:sz w:val="44"/>
          <w:szCs w:val="44"/>
          <w:highlight w:val="none"/>
        </w:rPr>
        <w:t>项目概况</w:t>
      </w:r>
      <w:bookmarkEnd w:id="0"/>
    </w:p>
    <w:p w14:paraId="48F20C7F">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 w:name="_Toc4366"/>
      <w:bookmarkStart w:id="2" w:name="_Toc28880"/>
      <w:bookmarkStart w:id="3" w:name="_Toc1367"/>
      <w:r>
        <w:rPr>
          <w:rFonts w:ascii="仿宋" w:hAnsi="仿宋" w:eastAsia="仿宋" w:cs="Times New Roman"/>
          <w:b/>
          <w:bCs/>
          <w:color w:val="auto"/>
          <w:sz w:val="32"/>
          <w:szCs w:val="32"/>
          <w:highlight w:val="none"/>
        </w:rPr>
        <w:t>项目名称</w:t>
      </w:r>
      <w:bookmarkEnd w:id="1"/>
      <w:bookmarkEnd w:id="2"/>
      <w:bookmarkEnd w:id="3"/>
    </w:p>
    <w:p w14:paraId="08D6365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龙泉市供水数字化系统建设方案</w:t>
      </w:r>
    </w:p>
    <w:p w14:paraId="1CEF3EB0">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4" w:name="_Toc25359"/>
      <w:bookmarkStart w:id="5" w:name="_Toc30224"/>
      <w:r>
        <w:rPr>
          <w:rFonts w:ascii="仿宋" w:hAnsi="仿宋" w:eastAsia="仿宋" w:cs="Times New Roman"/>
          <w:b/>
          <w:bCs/>
          <w:color w:val="auto"/>
          <w:sz w:val="32"/>
          <w:szCs w:val="32"/>
          <w:highlight w:val="none"/>
        </w:rPr>
        <w:t>项目类型</w:t>
      </w:r>
      <w:bookmarkEnd w:id="4"/>
      <w:bookmarkEnd w:id="5"/>
    </w:p>
    <w:p w14:paraId="2144975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新建项目</w:t>
      </w:r>
    </w:p>
    <w:p w14:paraId="5F6DCCCD">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6" w:name="_Toc564"/>
      <w:bookmarkStart w:id="7" w:name="_Toc25099"/>
      <w:r>
        <w:rPr>
          <w:rFonts w:ascii="仿宋" w:hAnsi="仿宋" w:eastAsia="仿宋" w:cs="Times New Roman"/>
          <w:b/>
          <w:bCs/>
          <w:color w:val="auto"/>
          <w:sz w:val="32"/>
          <w:szCs w:val="32"/>
          <w:highlight w:val="none"/>
        </w:rPr>
        <w:t>项目建设单位和项目负责人</w:t>
      </w:r>
      <w:bookmarkEnd w:id="6"/>
      <w:bookmarkEnd w:id="7"/>
    </w:p>
    <w:p w14:paraId="1256AE2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主管单位：</w:t>
      </w:r>
      <w:r>
        <w:rPr>
          <w:rFonts w:hint="eastAsia" w:ascii="仿宋" w:hAnsi="仿宋" w:eastAsia="仿宋" w:cs="Times New Roman"/>
          <w:color w:val="auto"/>
          <w:sz w:val="32"/>
          <w:szCs w:val="32"/>
          <w:highlight w:val="none"/>
        </w:rPr>
        <w:t>龙泉市住房和城乡建设局</w:t>
      </w:r>
    </w:p>
    <w:p w14:paraId="226444F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实施单位：</w:t>
      </w:r>
      <w:r>
        <w:rPr>
          <w:rFonts w:hint="eastAsia" w:ascii="仿宋" w:hAnsi="仿宋" w:eastAsia="仿宋" w:cs="Times New Roman"/>
          <w:color w:val="auto"/>
          <w:sz w:val="32"/>
          <w:szCs w:val="32"/>
          <w:highlight w:val="none"/>
        </w:rPr>
        <w:t>龙泉市住房和城乡建设局</w:t>
      </w:r>
    </w:p>
    <w:p w14:paraId="7BB7A5E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项目负责人：</w:t>
      </w:r>
      <w:r>
        <w:rPr>
          <w:rFonts w:hint="eastAsia" w:ascii="仿宋" w:hAnsi="仿宋" w:eastAsia="仿宋" w:cs="Times New Roman"/>
          <w:color w:val="auto"/>
          <w:sz w:val="32"/>
          <w:szCs w:val="32"/>
          <w:highlight w:val="none"/>
        </w:rPr>
        <w:t>钱鑫，职务：主任（在岗在编人员）</w:t>
      </w:r>
    </w:p>
    <w:p w14:paraId="4F6482C2">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项目联系人：徐欢，职务：副主任（在岗在编人员）</w:t>
      </w:r>
      <w:r>
        <w:rPr>
          <w:rFonts w:ascii="仿宋" w:hAnsi="仿宋" w:eastAsia="仿宋" w:cs="Times New Roman"/>
          <w:color w:val="auto"/>
          <w:sz w:val="32"/>
          <w:szCs w:val="32"/>
          <w:highlight w:val="none"/>
        </w:rPr>
        <w:t xml:space="preserve"> </w:t>
      </w:r>
    </w:p>
    <w:p w14:paraId="5DF91F6C">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8" w:name="_Toc23394"/>
      <w:bookmarkStart w:id="9" w:name="_Toc20107"/>
      <w:r>
        <w:rPr>
          <w:rFonts w:ascii="仿宋" w:hAnsi="仿宋" w:eastAsia="仿宋" w:cs="Times New Roman"/>
          <w:b/>
          <w:bCs/>
          <w:color w:val="auto"/>
          <w:sz w:val="32"/>
          <w:szCs w:val="32"/>
          <w:highlight w:val="none"/>
        </w:rPr>
        <w:t>“三定”职能匹配</w:t>
      </w:r>
      <w:bookmarkEnd w:id="8"/>
      <w:bookmarkEnd w:id="9"/>
    </w:p>
    <w:p w14:paraId="39374EF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龙泉市供水数字化系统建设方案</w:t>
      </w:r>
      <w:r>
        <w:rPr>
          <w:rFonts w:hint="eastAsia" w:ascii="仿宋" w:hAnsi="仿宋" w:eastAsia="仿宋" w:cs="Times New Roman"/>
          <w:color w:val="auto"/>
          <w:sz w:val="32"/>
          <w:szCs w:val="32"/>
          <w:highlight w:val="none"/>
        </w:rPr>
        <w:t>是根据城乡供水一体化和单村水站改造提升工作要求，结合水务行业信息化发展经验，整合龙泉市所有供水资源的台账管理系统充分利用云计算和数据技术构建一体化、可扩展的水务综合运营平台，且根据《龙泉市城乡供排水服务中心机构编制规定》（龙编办函〔2024〕16 号，2024年9月10日发布）第三条第四小点“负责城乡供排水信息化系统数据开发、数据采集、联动巡查、自动化控制、物联互通工作”工作责任分工，龙泉市住房和城乡建设局是我市城乡供水一体化的主管单位，龙泉市城乡供排水服务中心为我市城乡供水一体化实施单位 ，所以</w:t>
      </w:r>
      <w:r>
        <w:rPr>
          <w:rFonts w:ascii="仿宋" w:hAnsi="仿宋" w:eastAsia="仿宋" w:cs="Times New Roman"/>
          <w:color w:val="auto"/>
          <w:sz w:val="32"/>
          <w:szCs w:val="32"/>
          <w:highlight w:val="none"/>
        </w:rPr>
        <w:t>龙泉市供水数字化系统</w:t>
      </w:r>
      <w:r>
        <w:rPr>
          <w:rFonts w:hint="eastAsia" w:ascii="仿宋" w:hAnsi="仿宋" w:eastAsia="仿宋" w:cs="Times New Roman"/>
          <w:color w:val="auto"/>
          <w:sz w:val="32"/>
          <w:szCs w:val="32"/>
          <w:highlight w:val="none"/>
        </w:rPr>
        <w:t>由龙泉市城乡供排水服务中心</w:t>
      </w:r>
      <w:r>
        <w:rPr>
          <w:rFonts w:ascii="仿宋" w:hAnsi="仿宋" w:eastAsia="仿宋" w:cs="Times New Roman"/>
          <w:color w:val="auto"/>
          <w:sz w:val="32"/>
          <w:szCs w:val="32"/>
          <w:highlight w:val="none"/>
        </w:rPr>
        <w:t>。</w:t>
      </w:r>
    </w:p>
    <w:p w14:paraId="19DE6188">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0" w:name="_Toc26156"/>
      <w:bookmarkStart w:id="11" w:name="_Toc13360"/>
      <w:r>
        <w:rPr>
          <w:rFonts w:ascii="仿宋" w:hAnsi="仿宋" w:eastAsia="仿宋" w:cs="Times New Roman"/>
          <w:b/>
          <w:bCs/>
          <w:color w:val="auto"/>
          <w:sz w:val="32"/>
          <w:szCs w:val="32"/>
          <w:highlight w:val="none"/>
        </w:rPr>
        <w:t>方案编制单位</w:t>
      </w:r>
      <w:bookmarkEnd w:id="10"/>
      <w:bookmarkEnd w:id="11"/>
    </w:p>
    <w:p w14:paraId="0350708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编制单位：浙江交科交通科技有限公司</w:t>
      </w:r>
    </w:p>
    <w:p w14:paraId="3FF9C7E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浙江交科交通科技有限公司，前身为浙江路港工程咨询有限公司，成立于2012年，注册资金500万，是由浙江省交通科学研究院全额出资，经浙江省交通运输厅、浙江省科学技术厅、浙江省财政厅审批同意的一家有限责任公司。2015年5月26日应公司发展需要正式更名为浙江交科交通科技有限公司，主要经营交通建设工程安全风险评估（设计、施工、行政许可），第三方施工安全顾问，设计咨询（公路、市政、水运），交通技术类科研、计算机软硬件的开发、系统集成、环境监测的咨询，电子产品的研发、销售、安装和维护等。</w:t>
      </w:r>
    </w:p>
    <w:p w14:paraId="6C75DE9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公司拥有一个省部级科研平台，新一代人工智能技术应用交通运输行业研发中心。具有CS2、CMMI 3、CCRC资质及工程咨询甲级资信证书，并获得ISO 9001质量管理体系、环境管理体系、职业健康安全体系、信息安全管理体系、信息技术服务管理体系认证证书。公司拥有发明专利4项，实用新型专利4项，软件著作权15项，荣获国家高新技术企业、国家级科技型中小企业等荣誉称号。</w:t>
      </w:r>
    </w:p>
    <w:p w14:paraId="00E99EF4">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编制人员：</w:t>
      </w:r>
    </w:p>
    <w:tbl>
      <w:tblPr>
        <w:tblStyle w:val="24"/>
        <w:tblW w:w="8100" w:type="dxa"/>
        <w:tblInd w:w="93" w:type="dxa"/>
        <w:tblLayout w:type="autofit"/>
        <w:tblCellMar>
          <w:top w:w="0" w:type="dxa"/>
          <w:left w:w="108" w:type="dxa"/>
          <w:bottom w:w="0" w:type="dxa"/>
          <w:right w:w="108" w:type="dxa"/>
        </w:tblCellMar>
      </w:tblPr>
      <w:tblGrid>
        <w:gridCol w:w="2025"/>
        <w:gridCol w:w="2025"/>
        <w:gridCol w:w="2025"/>
        <w:gridCol w:w="2025"/>
      </w:tblGrid>
      <w:tr w14:paraId="7C7E414C">
        <w:tblPrEx>
          <w:tblCellMar>
            <w:top w:w="0" w:type="dxa"/>
            <w:left w:w="108" w:type="dxa"/>
            <w:bottom w:w="0" w:type="dxa"/>
            <w:right w:w="108" w:type="dxa"/>
          </w:tblCellMar>
        </w:tblPrEx>
        <w:trPr>
          <w:trHeight w:val="600" w:hRule="atLeast"/>
        </w:trPr>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3A46D">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序号</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79C66">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姓名</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7E03C">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职称</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26AF6">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任务分工</w:t>
            </w:r>
          </w:p>
        </w:tc>
      </w:tr>
      <w:tr w14:paraId="3C514F8B">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BEA09">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E24A1">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高介敦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FE14B">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高级工程师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2EBEB">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方案总协调人</w:t>
            </w:r>
          </w:p>
        </w:tc>
      </w:tr>
      <w:tr w14:paraId="2436BA0A">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551AE">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B43F2">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薛叶枫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A7C8D">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高级工程师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8D456">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软件研发</w:t>
            </w:r>
          </w:p>
        </w:tc>
      </w:tr>
      <w:tr w14:paraId="1591903E">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BE075">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EC5A4">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张蒙东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0F5F3">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工程师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84F27">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硬件实施</w:t>
            </w:r>
          </w:p>
        </w:tc>
      </w:tr>
      <w:tr w14:paraId="72FCBCDF">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764C8">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2005C">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顾康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489A3">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工程师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0FF3D">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软件实施</w:t>
            </w:r>
          </w:p>
        </w:tc>
      </w:tr>
      <w:tr w14:paraId="04052285">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69EA3">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0B525">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孙宇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235CA">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工程师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66F35">
            <w:pPr>
              <w:widowControl/>
              <w:jc w:val="center"/>
              <w:textAlignment w:val="center"/>
              <w:rPr>
                <w:rFonts w:hint="eastAsia" w:ascii="宋体" w:hAnsi="宋体" w:eastAsia="宋体" w:cs="宋体"/>
                <w:color w:val="auto"/>
                <w:sz w:val="22"/>
                <w:highlight w:val="none"/>
              </w:rPr>
            </w:pPr>
            <w:r>
              <w:rPr>
                <w:rFonts w:hint="eastAsia" w:ascii="宋体" w:hAnsi="宋体" w:eastAsia="宋体" w:cs="宋体"/>
                <w:color w:val="auto"/>
                <w:kern w:val="0"/>
                <w:sz w:val="22"/>
                <w:highlight w:val="none"/>
                <w:lang w:bidi="ar"/>
              </w:rPr>
              <w:t>系统运维</w:t>
            </w:r>
          </w:p>
        </w:tc>
      </w:tr>
    </w:tbl>
    <w:p w14:paraId="5409E8C2">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2" w:name="_Toc5197"/>
      <w:r>
        <w:rPr>
          <w:rFonts w:ascii="仿宋" w:hAnsi="仿宋" w:eastAsia="仿宋" w:cs="Times New Roman"/>
          <w:b/>
          <w:bCs/>
          <w:color w:val="auto"/>
          <w:sz w:val="32"/>
          <w:szCs w:val="32"/>
          <w:highlight w:val="none"/>
        </w:rPr>
        <w:t>项目建设背景、依据及必要性</w:t>
      </w:r>
      <w:bookmarkEnd w:id="12"/>
    </w:p>
    <w:p w14:paraId="1B334D45">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项目建设的背景情况</w:t>
      </w:r>
    </w:p>
    <w:p w14:paraId="1A280E09">
      <w:pPr>
        <w:spacing w:after="0" w:line="600" w:lineRule="exact"/>
        <w:ind w:firstLine="640" w:firstLineChars="200"/>
        <w:rPr>
          <w:rFonts w:hint="eastAsia" w:ascii="仿宋" w:hAnsi="仿宋" w:eastAsia="仿宋" w:cs="Times New Roman"/>
          <w:color w:val="auto"/>
          <w:sz w:val="32"/>
          <w:szCs w:val="32"/>
          <w:highlight w:val="none"/>
        </w:rPr>
      </w:pPr>
      <w:bookmarkStart w:id="13" w:name="_Hlk179960641"/>
      <w:r>
        <w:rPr>
          <w:rFonts w:ascii="仿宋" w:hAnsi="仿宋" w:eastAsia="仿宋" w:cs="Times New Roman"/>
          <w:color w:val="auto"/>
          <w:sz w:val="32"/>
          <w:szCs w:val="32"/>
          <w:highlight w:val="none"/>
        </w:rPr>
        <w:t>供水系统是城市生存、发展的基础，供水事业的发展与城市的社会经济发展息息相关，其供水工作质量的好坏不仅关系社会的稳定，也直接影响到政府形象。近年来，为实现乡村振兴、数字中国的等战略目标，我省积极推动城乡供水一体化工作和城乡供水数字化系统建设，旨在通过物联网、大数据、云平台、人工智能等信息技术手段对从水源地监测到龙头水管理的整个供水过程实现的智能化管理和控制，保障居民用水安全。</w:t>
      </w:r>
    </w:p>
    <w:p w14:paraId="0DAF2B1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当前，随着龙泉市城乡供水一体化及单村水站改造提升工作的推进，城乡供水数字化监管工作也在龙泉市城乡水务公司中相继开展起来，一些水务公司根据自身的发展要求，各自建立了营业收费系统，SCADA系统、管网GIS系统以及水质监测系统等，这些系统经过长期的应用实践已成为相关公司管理工作中不可缺少的工具,但由于这些系统大多由多个软件公司开发，没有统一的管理平台，信息的处理和利用只局限于本公司或者个别部门；虽然积累了大量的数据，也无法进行深入数据挖掘应用，造成信息孤岛。</w:t>
      </w:r>
      <w:bookmarkEnd w:id="13"/>
    </w:p>
    <w:p w14:paraId="1413DCB5">
      <w:pPr>
        <w:spacing w:after="0" w:line="600" w:lineRule="exact"/>
        <w:ind w:firstLine="640" w:firstLineChars="200"/>
        <w:rPr>
          <w:rFonts w:hint="eastAsia" w:ascii="仿宋" w:hAnsi="仿宋" w:eastAsia="仿宋" w:cs="Times New Roman"/>
          <w:color w:val="auto"/>
          <w:sz w:val="32"/>
          <w:szCs w:val="32"/>
          <w:highlight w:val="none"/>
        </w:rPr>
      </w:pPr>
      <w:bookmarkStart w:id="14" w:name="_Hlk179960714"/>
      <w:r>
        <w:rPr>
          <w:rFonts w:ascii="仿宋" w:hAnsi="仿宋" w:eastAsia="仿宋" w:cs="Times New Roman"/>
          <w:color w:val="auto"/>
          <w:sz w:val="32"/>
          <w:szCs w:val="32"/>
          <w:highlight w:val="none"/>
        </w:rPr>
        <w:t>因此，在城乡供水一体化和单村水站改造提升工作要求下，结合水务行业信息化发展经验，龙泉市水务主管单位及城乡水务公司应当充分利用云计算和数据技术构建一体化、可扩展的水务综合运营平台，加强顶层设计，制定具有前瞻性的管理和信息规划，通过水务综合运营平台打通信息孤岛，实现数据共享，增强对供水业务的运营和监管的能力，实现城乡供水数字化运作，提高供水部门管理与服务的水平。</w:t>
      </w:r>
    </w:p>
    <w:bookmarkEnd w:id="14"/>
    <w:p w14:paraId="5906C1B3">
      <w:pPr>
        <w:pStyle w:val="4"/>
        <w:numPr>
          <w:ilvl w:val="2"/>
          <w:numId w:val="2"/>
        </w:numPr>
        <w:spacing w:before="0" w:after="0" w:line="416" w:lineRule="auto"/>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建设依据</w:t>
      </w:r>
    </w:p>
    <w:p w14:paraId="7341E7D6">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1.《“十四五”期间推进智慧水利建设实施方案》（水信息〔2021〕365 号，2021年11月29日发布）第一章总体目标要求“以数字化、网络化、智能化为主线，以数字化场景、智慧化模拟、精准化决策为路径，以构建数字孪生流域为核心，全面推进算据、算法、算力建设，加快构建具有预报、预警、预演、预案(以下简称‘四预’)功能的智慧水利体系，为新阶段水利高质量发展提供有力支撑和强力驱动”。</w:t>
      </w:r>
    </w:p>
    <w:p w14:paraId="4267E797">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2.《关于大力推进智慧水利建设的指导意见》（2021年11月29日水利部网站发布）第二章重点任务要求“完善信息基础设施。在传统水利监测体系的基础上，利用智能感知技术和通信技术，建设对涉水对象属性及其环境状态进行监测和智能分析的天空地一体化水利感知网；依托国家电子政务网络、租赁公共网络等多种方式构建联通水利部本级、流域管理机构、省（自治区、直辖市）、市、县以及工程管理单位等的水利业务网，建设覆盖水利工程及其相关管理单位的水利工控网”。</w:t>
      </w:r>
    </w:p>
    <w:p w14:paraId="272C669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3</w:t>
      </w:r>
      <w:r>
        <w:rPr>
          <w:rFonts w:ascii="仿宋" w:hAnsi="仿宋" w:eastAsia="仿宋" w:cs="Times New Roman"/>
          <w:color w:val="auto"/>
          <w:sz w:val="32"/>
          <w:szCs w:val="32"/>
          <w:highlight w:val="none"/>
        </w:rPr>
        <w:t>.《国家电子政务工程建设项目管理暂行办法</w:t>
      </w:r>
      <w:r>
        <w:rPr>
          <w:rFonts w:hint="eastAsia" w:ascii="仿宋" w:hAnsi="仿宋" w:eastAsia="仿宋" w:cs="Times New Roman"/>
          <w:color w:val="auto"/>
          <w:sz w:val="32"/>
          <w:szCs w:val="32"/>
          <w:highlight w:val="none"/>
        </w:rPr>
        <w:t>》</w:t>
      </w:r>
      <w:r>
        <w:rPr>
          <w:rFonts w:ascii="仿宋" w:hAnsi="仿宋" w:eastAsia="仿宋" w:cs="Times New Roman"/>
          <w:color w:val="auto"/>
          <w:sz w:val="32"/>
          <w:szCs w:val="32"/>
          <w:highlight w:val="none"/>
        </w:rPr>
        <w:t>（国家发改委55号令</w:t>
      </w:r>
      <w:r>
        <w:rPr>
          <w:rFonts w:hint="eastAsia" w:ascii="仿宋" w:hAnsi="仿宋" w:eastAsia="仿宋" w:cs="Times New Roman"/>
          <w:color w:val="auto"/>
          <w:sz w:val="32"/>
          <w:szCs w:val="32"/>
          <w:highlight w:val="none"/>
        </w:rPr>
        <w:t>，2007年8月13日发布）第一章第三点提出“电子政务项目建设应以政务信息资源开发利用为主线，以国家统一电子政务网络为依托，以提高应用水平、发挥系统效能为重点，深化电子政务应用，推动应用系统的互联互通、信息共享和业务协同，建设符合中国国情的电子政务体系，提高行政效率，降低行政成本，发挥电子政务对加强经济调节、市场监管和改善社会管理、公共服务的作用”。</w:t>
      </w:r>
    </w:p>
    <w:p w14:paraId="6D68ADC8">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4</w:t>
      </w:r>
      <w:r>
        <w:rPr>
          <w:rFonts w:ascii="仿宋" w:hAnsi="仿宋" w:eastAsia="仿宋" w:cs="Times New Roman"/>
          <w:color w:val="auto"/>
          <w:sz w:val="32"/>
          <w:szCs w:val="32"/>
          <w:highlight w:val="none"/>
          <w:lang w:bidi="ar"/>
        </w:rPr>
        <w:t>.《浙江省农村供水县级统管实施细则（试行）》(浙水农电〔2022〕28 号，2022年12月31日发布)第七章第二十六条规定“统管单位应按照省级有关要求，加大数字化建设力度，建立健全县级农村供水数字化运行管理平台，统一监测管理农村供水工程运行情况。相关数据及时共享至省、市、县城乡供水数字化监管平台”。</w:t>
      </w:r>
    </w:p>
    <w:p w14:paraId="63DFC651">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5</w:t>
      </w:r>
      <w:r>
        <w:rPr>
          <w:rFonts w:ascii="仿宋" w:hAnsi="仿宋" w:eastAsia="仿宋" w:cs="Times New Roman"/>
          <w:color w:val="auto"/>
          <w:sz w:val="32"/>
          <w:szCs w:val="32"/>
          <w:highlight w:val="none"/>
          <w:lang w:bidi="ar"/>
        </w:rPr>
        <w:t>.《浙江省单村水站建设标准（试行）》(浙水办农电[2023]27号，2023年11月29日发布)第二章第七条“以县域为单元建设供水运行管理平台、百人以上水站应设置水量在线监测设备，实现相关数据定时记录、实时上传至省市县农村供水监管平台”。</w:t>
      </w:r>
    </w:p>
    <w:p w14:paraId="1AC80A96">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6</w:t>
      </w:r>
      <w:r>
        <w:rPr>
          <w:rFonts w:ascii="仿宋" w:hAnsi="仿宋" w:eastAsia="仿宋" w:cs="Times New Roman"/>
          <w:color w:val="auto"/>
          <w:sz w:val="32"/>
          <w:szCs w:val="32"/>
          <w:highlight w:val="none"/>
        </w:rPr>
        <w:t>.《浙江省公共数据和电子政务管理办法》（省政府令354号</w:t>
      </w:r>
      <w:r>
        <w:rPr>
          <w:rFonts w:hint="eastAsia" w:ascii="仿宋" w:hAnsi="仿宋" w:eastAsia="仿宋" w:cs="Times New Roman"/>
          <w:color w:val="auto"/>
          <w:sz w:val="32"/>
          <w:szCs w:val="32"/>
          <w:highlight w:val="none"/>
        </w:rPr>
        <w:t>，2017年3月16日发布</w:t>
      </w:r>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第三条要求“</w:t>
      </w:r>
      <w:r>
        <w:rPr>
          <w:rFonts w:ascii="仿宋" w:hAnsi="仿宋" w:eastAsia="仿宋" w:cs="Times New Roman"/>
          <w:color w:val="auto"/>
          <w:sz w:val="32"/>
          <w:szCs w:val="32"/>
          <w:highlight w:val="none"/>
        </w:rPr>
        <w:t>公共数据和电子政务管理遵循统筹规划、集约建设、汇聚整合、共享开放、有效应用、保障安全的原则</w:t>
      </w:r>
      <w:r>
        <w:rPr>
          <w:rFonts w:hint="eastAsia" w:ascii="仿宋" w:hAnsi="仿宋" w:eastAsia="仿宋" w:cs="Times New Roman"/>
          <w:color w:val="auto"/>
          <w:sz w:val="32"/>
          <w:szCs w:val="32"/>
          <w:highlight w:val="none"/>
        </w:rPr>
        <w:t>”。</w:t>
      </w:r>
    </w:p>
    <w:p w14:paraId="074AEB52">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7</w:t>
      </w:r>
      <w:r>
        <w:rPr>
          <w:rFonts w:ascii="仿宋" w:hAnsi="仿宋" w:eastAsia="仿宋" w:cs="Times New Roman"/>
          <w:color w:val="auto"/>
          <w:sz w:val="32"/>
          <w:szCs w:val="32"/>
          <w:highlight w:val="none"/>
          <w:lang w:bidi="ar"/>
        </w:rPr>
        <w:t>.《丽水市农村供水保障领导小组办公室关于贯彻王浩省长批示精神学习遂昌试点经验的通知》（2024年1月17日发布）第三点“按照‘先建机制、后建工程’要求，进一步完善水费收取、考核激励等制度，落实管护经费，加强队伍建设，确保县级统管 机制常态长效。确保 24 小时供水服务热线通畅，及时处置群众用水问题咨询、投诉。强化农村饮水安全宣传，切实增强群众安全用水、有偿用水、节约用水意识。加强标准化运维、数字化监管、社会化监督，进一步深化县级统管机制，切实提升群众用水满意度”、</w:t>
      </w:r>
    </w:p>
    <w:p w14:paraId="60325F8F">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8</w:t>
      </w:r>
      <w:r>
        <w:rPr>
          <w:rFonts w:ascii="仿宋" w:hAnsi="仿宋" w:eastAsia="仿宋" w:cs="Times New Roman"/>
          <w:color w:val="auto"/>
          <w:sz w:val="32"/>
          <w:szCs w:val="32"/>
          <w:highlight w:val="none"/>
          <w:lang w:bidi="ar"/>
        </w:rPr>
        <w:t>.《龙泉市城乡供排水服务中心机构编制规定》（龙编办函〔2024〕16 号，2024年9月10日发布）第三条第四小点“负责城乡供排水信息化系统数据开发、数据采集、联动巡查、自动化控制、物联互通工作”。</w:t>
      </w:r>
    </w:p>
    <w:p w14:paraId="0788E8B0">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rPr>
        <w:t>9</w:t>
      </w:r>
      <w:r>
        <w:rPr>
          <w:rFonts w:ascii="仿宋" w:hAnsi="仿宋" w:eastAsia="仿宋" w:cs="Times New Roman"/>
          <w:color w:val="auto"/>
          <w:sz w:val="32"/>
          <w:szCs w:val="32"/>
          <w:highlight w:val="none"/>
        </w:rPr>
        <w:t>.《龙泉市人民政府办公室关于印发龙泉市政府投资数字化项目管理办法（试行）的通知》（龙政办发〔2021〕20号</w:t>
      </w:r>
      <w:r>
        <w:rPr>
          <w:rFonts w:hint="eastAsia" w:ascii="仿宋" w:hAnsi="仿宋" w:eastAsia="仿宋" w:cs="Times New Roman"/>
          <w:color w:val="auto"/>
          <w:sz w:val="32"/>
          <w:szCs w:val="32"/>
          <w:highlight w:val="none"/>
        </w:rPr>
        <w:t>，2021年9月7日发布</w:t>
      </w:r>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第三章第二点要求“方案应符合数字化改革要求，全面有效推进政务信息系统整合共享，遵循“统筹规划、共建共享、业务协同、安全可靠”的建设管理原则，杜绝发生盲目投资、重复建设和信息孤岛现象”。</w:t>
      </w:r>
    </w:p>
    <w:p w14:paraId="2A536575">
      <w:pPr>
        <w:pStyle w:val="4"/>
        <w:numPr>
          <w:ilvl w:val="2"/>
          <w:numId w:val="2"/>
        </w:numPr>
        <w:spacing w:before="0" w:after="0" w:line="416" w:lineRule="auto"/>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建设必要性</w:t>
      </w:r>
    </w:p>
    <w:p w14:paraId="5C67F1D9">
      <w:pPr>
        <w:pStyle w:val="51"/>
        <w:ind w:firstLine="640" w:firstLineChars="200"/>
        <w:jc w:val="both"/>
        <w:rPr>
          <w:rFonts w:ascii="仿宋" w:hAnsi="仿宋" w:eastAsia="仿宋"/>
          <w:color w:val="auto"/>
          <w:sz w:val="32"/>
          <w:szCs w:val="32"/>
          <w:highlight w:val="none"/>
          <w:lang w:bidi="ar"/>
        </w:rPr>
      </w:pPr>
      <w:r>
        <w:rPr>
          <w:rFonts w:hint="default" w:ascii="仿宋" w:hAnsi="仿宋" w:eastAsia="仿宋"/>
          <w:color w:val="auto"/>
          <w:sz w:val="32"/>
          <w:szCs w:val="32"/>
          <w:highlight w:val="none"/>
          <w:lang w:bidi="ar"/>
        </w:rPr>
        <w:t>“数字中国”建设是大势所趋，国家“十四五”规划对数字化和水务行业新发展提出了明确要求，水务数字化转型势在必行。一方面，数字水务是数字经济的重要组成，是提升公共服务、社会治理等数字化、智能化水平的基础板块。另一方面，水务产业化发展仍处于初级阶段，与燃气、电力等其他公用事业行业相比，运用“互联网+”的能力比较薄弱。需要加快构建水务数字化产业链，打通“水安全、水资源、水生态、水景观、水环境、水管理、水经济”经济社会循环，助力水务行业运营、管理、服务模式的数字化升级与创新。</w:t>
      </w:r>
    </w:p>
    <w:p w14:paraId="1AB60274">
      <w:pPr>
        <w:pStyle w:val="51"/>
        <w:ind w:firstLine="640" w:firstLineChars="200"/>
        <w:jc w:val="both"/>
        <w:rPr>
          <w:rFonts w:ascii="仿宋" w:hAnsi="仿宋" w:eastAsia="仿宋"/>
          <w:color w:val="auto"/>
          <w:sz w:val="32"/>
          <w:szCs w:val="32"/>
          <w:highlight w:val="none"/>
          <w:lang w:bidi="ar"/>
        </w:rPr>
      </w:pPr>
      <w:r>
        <w:rPr>
          <w:rFonts w:hint="default" w:ascii="仿宋" w:hAnsi="仿宋" w:eastAsia="仿宋"/>
          <w:color w:val="auto"/>
          <w:sz w:val="32"/>
          <w:szCs w:val="32"/>
          <w:highlight w:val="none"/>
          <w:lang w:bidi="ar"/>
        </w:rPr>
        <w:t>农村供水，特别是单村水站供水安全，事关广大人民群众健康福祉和安居乐业。习近平总书记强调，饮水安全有保障，主要是让农村人口喝上放心水，统筹研究解决饮水安全问题。为深入学习贯彻习近平总书记关于农村饮水安全保障的重要指示精神，进一步提高政治站位，增强做好农村饮水安全保障工作的责任感和使命感，2023年7月，水利部印发了《关于全面开展农村饮水问题排查整改巩固提升农村供水保障水平的通知》，要求全面开展农村饮水问题排查整改，巩固提升农村供水保障水平。2003年浙江省启动“千万农民饮用水工程”建设以来，我省困扰农民祖祖辈辈的“吃水难”问题得到了历史性解决。2023年6月，王浩省长在遂昌县接访群众饮水问题，提出“开展全省单村水站改造提升，2025年之前全面解决”的指示要求。因此，本项目的建设符合当前发展形势要求。</w:t>
      </w:r>
    </w:p>
    <w:p w14:paraId="5388CFD7">
      <w:pPr>
        <w:pStyle w:val="51"/>
        <w:ind w:firstLine="640" w:firstLineChars="200"/>
        <w:jc w:val="both"/>
        <w:rPr>
          <w:rFonts w:ascii="仿宋" w:hAnsi="仿宋" w:eastAsia="仿宋"/>
          <w:color w:val="auto"/>
          <w:sz w:val="32"/>
          <w:szCs w:val="32"/>
          <w:highlight w:val="none"/>
          <w:lang w:bidi="ar"/>
        </w:rPr>
      </w:pPr>
      <w:r>
        <w:rPr>
          <w:rFonts w:hint="default" w:ascii="仿宋" w:hAnsi="仿宋" w:eastAsia="仿宋"/>
          <w:color w:val="auto"/>
          <w:sz w:val="32"/>
          <w:szCs w:val="32"/>
          <w:highlight w:val="none"/>
          <w:lang w:bidi="ar"/>
        </w:rPr>
        <w:t>本项目的通过加强顶层设计，制定具有前瞻性的管理和信息规划，应用水务综合运营平台打通信息孤岛，解决供水系统数字化程度低、存在信息孤岛等问题，实现数据共享，</w:t>
      </w:r>
      <w:bookmarkStart w:id="15" w:name="_Hlk179970930"/>
      <w:r>
        <w:rPr>
          <w:rFonts w:hint="default" w:ascii="仿宋" w:hAnsi="仿宋" w:eastAsia="仿宋"/>
          <w:color w:val="auto"/>
          <w:sz w:val="32"/>
          <w:szCs w:val="32"/>
          <w:highlight w:val="none"/>
          <w:lang w:bidi="ar"/>
        </w:rPr>
        <w:t>增强对供水业务的运营和监管的能力，实现城乡供水数字化运作，提高供水部门管理与服务的水平，</w:t>
      </w:r>
      <w:bookmarkEnd w:id="15"/>
      <w:r>
        <w:rPr>
          <w:rFonts w:hint="default" w:ascii="仿宋" w:hAnsi="仿宋" w:eastAsia="仿宋"/>
          <w:color w:val="auto"/>
          <w:sz w:val="32"/>
          <w:szCs w:val="32"/>
          <w:highlight w:val="none"/>
          <w:lang w:bidi="ar"/>
        </w:rPr>
        <w:t>具有较好的经济与社会效益。</w:t>
      </w:r>
    </w:p>
    <w:p w14:paraId="429A51AF">
      <w:pPr>
        <w:pStyle w:val="51"/>
        <w:ind w:firstLine="640" w:firstLineChars="200"/>
        <w:jc w:val="both"/>
        <w:rPr>
          <w:rFonts w:ascii="仿宋" w:hAnsi="仿宋" w:eastAsia="仿宋"/>
          <w:color w:val="auto"/>
          <w:sz w:val="32"/>
          <w:szCs w:val="32"/>
          <w:highlight w:val="none"/>
          <w:lang w:bidi="ar"/>
        </w:rPr>
      </w:pPr>
      <w:r>
        <w:rPr>
          <w:rFonts w:hint="default" w:ascii="仿宋" w:hAnsi="仿宋" w:eastAsia="仿宋"/>
          <w:color w:val="auto"/>
          <w:sz w:val="32"/>
          <w:szCs w:val="32"/>
          <w:highlight w:val="none"/>
          <w:lang w:bidi="ar"/>
        </w:rPr>
        <w:t>综上，从当前发展形势要求、解决现实问题和经济与社会效益等角度，本项目的建设具有必要性。</w:t>
      </w:r>
    </w:p>
    <w:p w14:paraId="353C739A">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6" w:name="_Toc17820"/>
      <w:r>
        <w:rPr>
          <w:rFonts w:ascii="仿宋" w:hAnsi="仿宋" w:eastAsia="仿宋" w:cs="Times New Roman"/>
          <w:b/>
          <w:bCs/>
          <w:color w:val="auto"/>
          <w:sz w:val="32"/>
          <w:szCs w:val="32"/>
          <w:highlight w:val="none"/>
        </w:rPr>
        <w:t>项目建设内容、目标和预期绩效</w:t>
      </w:r>
      <w:bookmarkEnd w:id="16"/>
    </w:p>
    <w:p w14:paraId="6B2BAA4B">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项目建设内容</w:t>
      </w:r>
    </w:p>
    <w:p w14:paraId="0530E6CD">
      <w:pPr>
        <w:pStyle w:val="44"/>
        <w:widowControl/>
        <w:numPr>
          <w:ilvl w:val="1"/>
          <w:numId w:val="1"/>
        </w:numPr>
        <w:spacing w:after="0" w:line="600" w:lineRule="exact"/>
        <w:ind w:left="0"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水源监测</w:t>
      </w:r>
    </w:p>
    <w:p w14:paraId="4012FB26">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建设内容：利用最新的水质水量在线分析技术，连续自动监测被测水体的水量及水质变化情况，并对监测结果进行数据采集、传输和存储，及时、准确地反映供水工程水质水量状况和动态变化趋势，为农村供水工程供水保证率及水质达标率评价提供技术支持。</w:t>
      </w:r>
    </w:p>
    <w:p w14:paraId="3339AEE2">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该模块通过与现场安装的监测设备做接口对接，接入现场的监测数据，对各类监测设备实时传回的监测数据进行分析，主要对同一种监测数据源进行不同测点或者同一数据测点不同时间段的数据进行对比，挖掘对应的关联信息，为预警报警提供数据支持。</w:t>
      </w:r>
    </w:p>
    <w:p w14:paraId="46F6D1EB">
      <w:pPr>
        <w:pStyle w:val="44"/>
        <w:widowControl/>
        <w:numPr>
          <w:ilvl w:val="1"/>
          <w:numId w:val="1"/>
        </w:numPr>
        <w:spacing w:after="0" w:line="600" w:lineRule="exact"/>
        <w:ind w:left="0"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水源监测预警系统</w:t>
      </w:r>
    </w:p>
    <w:p w14:paraId="05DFF898">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建设内容：接入水源的水量水质监测数据，实现对供水水源水量水质的在线监控与预警预报。供水水源监测信息主要包括供水水源的水量（含水位、流量等可推算水源可供水量的监测信息）、水质（浊度、PH 值、温度、氨氮等影响水厂出厂水水质的主要指标信息）等。</w:t>
      </w:r>
    </w:p>
    <w:p w14:paraId="7C5098FC">
      <w:pPr>
        <w:pStyle w:val="44"/>
        <w:widowControl/>
        <w:numPr>
          <w:ilvl w:val="1"/>
          <w:numId w:val="1"/>
        </w:numPr>
        <w:spacing w:after="0" w:line="600" w:lineRule="exact"/>
        <w:ind w:left="0"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综合展示系统</w:t>
      </w:r>
    </w:p>
    <w:p w14:paraId="3B09FD79">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建设内容：于大屏端实现全要素的可视化展示，实时监控水源地水质、水量数据、水站运行工况、实现对监测数据的实时查看与预警预报，为领导提供一个供水运营的驾驶舱，方便领导把握整体的城供水用水运行情况。</w:t>
      </w:r>
    </w:p>
    <w:p w14:paraId="094DE39A">
      <w:pPr>
        <w:pStyle w:val="44"/>
        <w:widowControl/>
        <w:numPr>
          <w:ilvl w:val="1"/>
          <w:numId w:val="1"/>
        </w:numPr>
        <w:spacing w:after="0" w:line="600" w:lineRule="exact"/>
        <w:ind w:left="0"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手持终端子系统</w:t>
      </w:r>
    </w:p>
    <w:p w14:paraId="0C2139DB">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建设内容：完成对地图的调用和展示，并通过交互式功能进行应急、安全排查等工作的实时上报和查询。</w:t>
      </w:r>
    </w:p>
    <w:p w14:paraId="127E40EF">
      <w:pPr>
        <w:widowControl/>
        <w:spacing w:after="0" w:line="600" w:lineRule="exact"/>
        <w:ind w:firstLine="640" w:firstLineChars="200"/>
        <w:rPr>
          <w:rFonts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以上系统应用的建设期至2026年底。</w:t>
      </w:r>
    </w:p>
    <w:p w14:paraId="4ED11057">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项目建设目标</w:t>
      </w:r>
    </w:p>
    <w:p w14:paraId="456CB757">
      <w:pPr>
        <w:pStyle w:val="44"/>
        <w:widowControl/>
        <w:numPr>
          <w:ilvl w:val="0"/>
          <w:numId w:val="3"/>
        </w:numPr>
        <w:spacing w:after="0" w:line="600" w:lineRule="exact"/>
        <w:rPr>
          <w:rFonts w:hint="eastAsia" w:ascii="仿宋" w:hAnsi="仿宋" w:eastAsia="仿宋" w:cs="Times New Roman"/>
          <w:color w:val="auto"/>
          <w:sz w:val="32"/>
          <w:szCs w:val="32"/>
          <w:highlight w:val="none"/>
          <w:lang w:bidi="ar"/>
        </w:rPr>
      </w:pPr>
      <w:bookmarkStart w:id="17" w:name="_Toc23745"/>
      <w:r>
        <w:rPr>
          <w:rFonts w:ascii="仿宋" w:hAnsi="仿宋" w:eastAsia="仿宋" w:cs="Times New Roman"/>
          <w:color w:val="auto"/>
          <w:sz w:val="32"/>
          <w:szCs w:val="32"/>
          <w:highlight w:val="none"/>
          <w:lang w:bidi="ar"/>
        </w:rPr>
        <w:t>完善在线监测体系</w:t>
      </w:r>
      <w:bookmarkEnd w:id="17"/>
    </w:p>
    <w:p w14:paraId="76C2675C">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通过对供水站点进行数字化建设，完善农村供水工程在线监测体系，实现对改造供水工程水质水量信息、视频监控图像的采集和信息的监控分析，满足饮用水工程设备及管理人员的远程监管和移动监管需求，实现中心全面统一运行监管。</w:t>
      </w:r>
    </w:p>
    <w:p w14:paraId="1B041DB3">
      <w:pPr>
        <w:pStyle w:val="44"/>
        <w:widowControl/>
        <w:numPr>
          <w:ilvl w:val="0"/>
          <w:numId w:val="4"/>
        </w:numPr>
        <w:spacing w:after="0" w:line="600" w:lineRule="exact"/>
        <w:ind w:left="0" w:firstLine="640" w:firstLineChars="200"/>
        <w:rPr>
          <w:rFonts w:hint="eastAsia" w:ascii="仿宋" w:hAnsi="仿宋" w:eastAsia="仿宋" w:cs="Times New Roman"/>
          <w:color w:val="auto"/>
          <w:sz w:val="32"/>
          <w:szCs w:val="32"/>
          <w:highlight w:val="none"/>
          <w:lang w:bidi="ar"/>
        </w:rPr>
      </w:pPr>
      <w:bookmarkStart w:id="18" w:name="_Toc22852"/>
      <w:r>
        <w:rPr>
          <w:rFonts w:ascii="仿宋" w:hAnsi="仿宋" w:eastAsia="仿宋" w:cs="Times New Roman"/>
          <w:color w:val="auto"/>
          <w:sz w:val="32"/>
          <w:szCs w:val="32"/>
          <w:highlight w:val="none"/>
          <w:lang w:bidi="ar"/>
        </w:rPr>
        <w:t>建立高清的视频监控体系</w:t>
      </w:r>
      <w:bookmarkEnd w:id="18"/>
    </w:p>
    <w:p w14:paraId="07F41773">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针对供水工程视频监控能力的建设，主要实现针对清水池、净水设备、加药间、设备间等重要节点布设视频监控设备数据接入，实现视频监控与传输，满足远程实时对供水工程现场的高清视频监控，提高运行管理效率。</w:t>
      </w:r>
    </w:p>
    <w:p w14:paraId="3A344BD4">
      <w:pPr>
        <w:pStyle w:val="44"/>
        <w:widowControl/>
        <w:numPr>
          <w:ilvl w:val="0"/>
          <w:numId w:val="4"/>
        </w:numPr>
        <w:spacing w:after="0" w:line="600" w:lineRule="exact"/>
        <w:ind w:left="0" w:firstLine="640" w:firstLineChars="200"/>
        <w:rPr>
          <w:rFonts w:hint="eastAsia" w:ascii="仿宋" w:hAnsi="仿宋" w:eastAsia="仿宋" w:cs="Times New Roman"/>
          <w:color w:val="auto"/>
          <w:sz w:val="32"/>
          <w:szCs w:val="32"/>
          <w:highlight w:val="none"/>
          <w:lang w:bidi="ar"/>
        </w:rPr>
      </w:pPr>
      <w:bookmarkStart w:id="19" w:name="_Toc22981"/>
      <w:r>
        <w:rPr>
          <w:rFonts w:ascii="仿宋" w:hAnsi="仿宋" w:eastAsia="仿宋" w:cs="Times New Roman"/>
          <w:color w:val="auto"/>
          <w:sz w:val="32"/>
          <w:szCs w:val="32"/>
          <w:highlight w:val="none"/>
          <w:lang w:bidi="ar"/>
        </w:rPr>
        <w:t>农村供水工程的规范化运行</w:t>
      </w:r>
      <w:bookmarkEnd w:id="19"/>
    </w:p>
    <w:p w14:paraId="034DCE93">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水利工程标准化不仅对组织管理提出要求，而且对农村供水工程的运行管理也进行了严格规范。系统能实时监测出厂水的水质合格情况，并对不达标的运行时段进行记录及预警提示，确保供水工程制水过程规范运行。</w:t>
      </w:r>
    </w:p>
    <w:p w14:paraId="5AFA869D">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在数字化的基本数据完善的基础上，以统一数据库建设标准与落实管理维护职责为抓手，以实现数据详实、功能齐全、表征形象、管理高效为主要目标，构建统筹、规范、共享、实用的数据平台。</w:t>
      </w:r>
    </w:p>
    <w:p w14:paraId="580B0B21">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梳理农村供水数据资源目录。主要包括静态基础数据和动态监测数据的资源整编，静态基础数据包括</w:t>
      </w:r>
      <w:r>
        <w:rPr>
          <w:rFonts w:hint="eastAsia" w:ascii="仿宋" w:hAnsi="仿宋" w:eastAsia="仿宋" w:cs="Times New Roman"/>
          <w:color w:val="auto"/>
          <w:sz w:val="32"/>
          <w:szCs w:val="32"/>
          <w:highlight w:val="none"/>
          <w:lang w:val="en-US" w:eastAsia="zh-CN" w:bidi="ar"/>
        </w:rPr>
        <w:t>599</w:t>
      </w:r>
      <w:r>
        <w:rPr>
          <w:rFonts w:ascii="仿宋" w:hAnsi="仿宋" w:eastAsia="仿宋" w:cs="Times New Roman"/>
          <w:color w:val="auto"/>
          <w:sz w:val="32"/>
          <w:szCs w:val="32"/>
          <w:highlight w:val="none"/>
          <w:lang w:bidi="ar"/>
        </w:rPr>
        <w:t>座单村供水站点工程基本信息、水源地信息、供水管网数据、管护经费等静态基础数据接入。动态监测数据包括水质数据、水量、视频等实时业务数据接入，并接入支持第三方数据共享的感知元件数据（如：水质监测、流量计、视频监控及设备等数据）。</w:t>
      </w:r>
    </w:p>
    <w:p w14:paraId="3AB6D684">
      <w:pPr>
        <w:widowControl/>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对接浙江省城乡供水数字化管理系统，为平台提供数据支撑。系统能够准确、及时的提供净水站的工程基础信息、运行工况信息、水质水量监测信息和操作运行记录信息，符合省里平台建设要求，实现信息和资源的高度共享，避免出现信息孤岛，避免重复开发建设和资源浪费。</w:t>
      </w:r>
    </w:p>
    <w:p w14:paraId="13506484">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预期绩效</w:t>
      </w:r>
    </w:p>
    <w:p w14:paraId="0A0146A7">
      <w:pPr>
        <w:widowControl/>
        <w:spacing w:after="0" w:line="600" w:lineRule="exact"/>
        <w:ind w:firstLine="640" w:firstLineChars="200"/>
        <w:rPr>
          <w:rFonts w:ascii="Times New Roman" w:hAnsi="Times New Roman" w:eastAsia="仿宋" w:cs="Times New Roman"/>
          <w:color w:val="auto"/>
          <w:sz w:val="32"/>
          <w:szCs w:val="32"/>
          <w:highlight w:val="none"/>
          <w:lang w:bidi="ar"/>
        </w:rPr>
      </w:pPr>
      <w:r>
        <w:rPr>
          <w:rFonts w:ascii="Times New Roman" w:hAnsi="Times New Roman" w:eastAsia="仿宋" w:cs="Times New Roman"/>
          <w:color w:val="auto"/>
          <w:sz w:val="32"/>
          <w:szCs w:val="32"/>
          <w:highlight w:val="none"/>
          <w:lang w:bidi="ar"/>
        </w:rPr>
        <w:t>通过信息化建设，基于龙泉市现有的城乡供水相关数据，补充采集龙泉市 599座农村供水站的用水户信息运行管理人员、设备信息、供水村落信息、供水区域等静态数据以及水量、水质等动态监测数据。通过项目建设，确保城乡供水率达到95%以上，从根本上解决水源单一而导致的水量不足，供给量不均衡和水质不达标等问题，确保项目供水范围内村镇居民不同时段用水安全。</w:t>
      </w:r>
      <w:r>
        <w:rPr>
          <w:rFonts w:hint="eastAsia" w:ascii="Times New Roman" w:hAnsi="Times New Roman" w:eastAsia="仿宋" w:cs="Times New Roman"/>
          <w:color w:val="auto"/>
          <w:sz w:val="32"/>
          <w:szCs w:val="32"/>
          <w:highlight w:val="none"/>
          <w:lang w:bidi="ar"/>
        </w:rPr>
        <w:t>提升供水系统运行效率，缩短故障响应时间，实现故障自动报警和快速定位，故障响应时间缩短至1小时内。优化运营管理，提高管理效率，实现供水系统的信息化管理，减少人工操作和管理流程，管理效率提升20%以上。建立统一的数据平台，实现数据共享与协同，实现各部门之间的数据共享和业务协同，提升整体运营管理水平。</w:t>
      </w:r>
    </w:p>
    <w:p w14:paraId="2BB997CC">
      <w:pPr>
        <w:widowControl/>
        <w:spacing w:after="0" w:line="600" w:lineRule="exact"/>
        <w:ind w:firstLine="640" w:firstLineChars="200"/>
        <w:rPr>
          <w:rFonts w:hint="eastAsia" w:ascii="Times New Roman" w:hAnsi="Times New Roman" w:eastAsia="仿宋" w:cs="Times New Roman"/>
          <w:color w:val="auto"/>
          <w:sz w:val="32"/>
          <w:szCs w:val="32"/>
          <w:highlight w:val="none"/>
          <w:lang w:bidi="ar"/>
        </w:rPr>
      </w:pPr>
      <w:r>
        <w:rPr>
          <w:rFonts w:hint="eastAsia" w:ascii="Times New Roman" w:hAnsi="Times New Roman" w:eastAsia="仿宋" w:cs="Times New Roman"/>
          <w:color w:val="auto"/>
          <w:sz w:val="32"/>
          <w:szCs w:val="32"/>
          <w:highlight w:val="none"/>
          <w:lang w:bidi="ar"/>
        </w:rPr>
        <w:t>用户方面，系统用户总人数大概为2000人。系统移动端用户主要为龙泉市城乡供水一体化业务条线行业管理人员、工程质量监管人员等，全省约1200人；电脑端用户主要为省市县三级交通条线行业管理人员、工程质量监管人员、有关项目负责人等，全省约800人。</w:t>
      </w:r>
    </w:p>
    <w:p w14:paraId="6971B15F">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0" w:name="_Toc18702"/>
      <w:r>
        <w:rPr>
          <w:rFonts w:ascii="仿宋" w:hAnsi="仿宋" w:eastAsia="仿宋" w:cs="Times New Roman"/>
          <w:b/>
          <w:bCs/>
          <w:color w:val="auto"/>
          <w:sz w:val="32"/>
          <w:szCs w:val="32"/>
          <w:highlight w:val="none"/>
        </w:rPr>
        <w:t>项目建设延期、变更计划</w:t>
      </w:r>
      <w:bookmarkEnd w:id="20"/>
    </w:p>
    <w:p w14:paraId="49AE6F57">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方保证项目在建设工程中出现延期或变更，不能按时交付时，严格按照有关流程开展项目延期、变更工作，确保项目顺利推进。项目延期、变更过程中，做好材料归档工作，包含项目延期变更申请表、延期变更意见表等项目变更过程材料，各项均要有建设单位、承建单位和监理单位（如有）三方盖章。项目延期、变更流程大致如下：</w:t>
      </w:r>
    </w:p>
    <w:p w14:paraId="43F230AD">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评估原因</w:t>
      </w:r>
    </w:p>
    <w:p w14:paraId="3D422F0B">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明确导致延期或需要变更计划的具体原因，如资源不足、技术难题、外部环境变化（如法律法规的调整）、需求变更等。</w:t>
      </w:r>
    </w:p>
    <w:p w14:paraId="2F139CCD">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沟通协商</w:t>
      </w:r>
    </w:p>
    <w:p w14:paraId="1E733C37">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向所有相关方（主管单位、实施单位、项目团队、供应商等）通报情况，沟通协商可能的解决方案。确保所有相关方都理解变更的原因及其必要性。</w:t>
      </w:r>
    </w:p>
    <w:p w14:paraId="45D9D85B">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重新规划</w:t>
      </w:r>
    </w:p>
    <w:p w14:paraId="514DF4BF">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根据新的条件重新制定项目计划，包括调整时间表、资源分配、里程碑设置等。使用项目管理工具来帮助跟踪进度。</w:t>
      </w:r>
    </w:p>
    <w:p w14:paraId="36B32D7C">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风险管理</w:t>
      </w:r>
    </w:p>
    <w:p w14:paraId="12E4CFAE">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对新的计划进行风险评估，识别潜在的问题点，并提前准备应对措施。</w:t>
      </w:r>
    </w:p>
    <w:p w14:paraId="6F0013AF">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执行变更</w:t>
      </w:r>
    </w:p>
    <w:p w14:paraId="710019BB">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按照更新后的计划执行，并持续监控进展情况，以确保项目能够按照新计划顺利完成。</w:t>
      </w:r>
    </w:p>
    <w:p w14:paraId="2BE81033">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文档记录</w:t>
      </w:r>
    </w:p>
    <w:p w14:paraId="00C23259">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记录所有的变更决策及其理由，以便于未来的参考和审计。做好材料归档工作，包含项目延期变更申请表、延期变更意见表等项目变更过程材料，各项均要有建设单位、承建单位和监理单位（如有）三方盖章。</w:t>
      </w:r>
    </w:p>
    <w:p w14:paraId="35122E30">
      <w:pPr>
        <w:pStyle w:val="44"/>
        <w:widowControl/>
        <w:numPr>
          <w:ilvl w:val="0"/>
          <w:numId w:val="5"/>
        </w:num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学习改进</w:t>
      </w:r>
    </w:p>
    <w:p w14:paraId="1582C793">
      <w:pPr>
        <w:widowControl/>
        <w:spacing w:after="0"/>
        <w:ind w:firstLine="645"/>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在项目完成后，对变更过程进行复盘，总结经验教训，为未来类似的情况提供参考。</w:t>
      </w:r>
    </w:p>
    <w:p w14:paraId="552F131A">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1" w:name="_Toc22856"/>
      <w:r>
        <w:rPr>
          <w:rFonts w:ascii="仿宋" w:hAnsi="仿宋" w:eastAsia="仿宋" w:cs="Times New Roman"/>
          <w:b/>
          <w:bCs/>
          <w:color w:val="auto"/>
          <w:sz w:val="32"/>
          <w:szCs w:val="32"/>
          <w:highlight w:val="none"/>
        </w:rPr>
        <w:t>项目知识产权</w:t>
      </w:r>
      <w:bookmarkEnd w:id="21"/>
    </w:p>
    <w:p w14:paraId="3D8F5DED">
      <w:pPr>
        <w:widowControl/>
        <w:spacing w:after="0"/>
        <w:ind w:firstLine="645"/>
        <w:rPr>
          <w:rFonts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项目拟开发的软件所涉及的著作权、软件著作权归属由出资单位享有，牵头单位履行版权登记职责。</w:t>
      </w:r>
    </w:p>
    <w:p w14:paraId="40132178">
      <w:pPr>
        <w:widowControl/>
        <w:spacing w:after="0"/>
        <w:ind w:firstLine="645"/>
        <w:rPr>
          <w:rFonts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项目产生的系统、组件、文档、软件代码等相关数字资源或成果归</w:t>
      </w:r>
      <w:r>
        <w:rPr>
          <w:rFonts w:hint="eastAsia" w:ascii="仿宋" w:hAnsi="仿宋" w:eastAsia="仿宋" w:cs="Times New Roman"/>
          <w:color w:val="auto"/>
          <w:sz w:val="32"/>
          <w:szCs w:val="32"/>
          <w:highlight w:val="none"/>
        </w:rPr>
        <w:t>龙泉市住房和城乡建设局</w:t>
      </w:r>
      <w:r>
        <w:rPr>
          <w:rFonts w:ascii="仿宋" w:hAnsi="仿宋" w:eastAsia="仿宋" w:cs="Times New Roman"/>
          <w:color w:val="auto"/>
          <w:sz w:val="32"/>
          <w:szCs w:val="32"/>
          <w:highlight w:val="none"/>
        </w:rPr>
        <w:t>享有，产生的数据及衍生数据等产权归</w:t>
      </w:r>
      <w:r>
        <w:rPr>
          <w:rFonts w:hint="eastAsia" w:ascii="仿宋" w:hAnsi="仿宋" w:eastAsia="仿宋" w:cs="Times New Roman"/>
          <w:color w:val="auto"/>
          <w:sz w:val="32"/>
          <w:szCs w:val="32"/>
          <w:highlight w:val="none"/>
        </w:rPr>
        <w:t>龙泉市住房和城乡建设局</w:t>
      </w:r>
      <w:r>
        <w:rPr>
          <w:rFonts w:ascii="仿宋" w:hAnsi="仿宋" w:eastAsia="仿宋" w:cs="Times New Roman"/>
          <w:color w:val="auto"/>
          <w:sz w:val="32"/>
          <w:szCs w:val="32"/>
          <w:highlight w:val="none"/>
        </w:rPr>
        <w:t>。如特殊情况，协商备案后可有多方共同所有。</w:t>
      </w:r>
    </w:p>
    <w:p w14:paraId="2741DCB8">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22" w:name="_Toc30429"/>
      <w:r>
        <w:rPr>
          <w:rFonts w:ascii="仿宋" w:hAnsi="仿宋" w:eastAsia="仿宋" w:cs="Times New Roman"/>
          <w:b/>
          <w:bCs/>
          <w:color w:val="auto"/>
          <w:kern w:val="44"/>
          <w:sz w:val="44"/>
          <w:szCs w:val="44"/>
          <w:highlight w:val="none"/>
        </w:rPr>
        <w:t>项目需求分析</w:t>
      </w:r>
      <w:bookmarkEnd w:id="22"/>
    </w:p>
    <w:p w14:paraId="24BD53F7">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23" w:name="_Toc177737120"/>
      <w:bookmarkEnd w:id="23"/>
      <w:bookmarkStart w:id="24" w:name="_Toc177743773"/>
      <w:bookmarkEnd w:id="24"/>
      <w:bookmarkStart w:id="25" w:name="_Toc180074932"/>
      <w:bookmarkEnd w:id="25"/>
      <w:bookmarkStart w:id="26" w:name="_Toc177737190"/>
      <w:bookmarkEnd w:id="26"/>
      <w:bookmarkStart w:id="27" w:name="_Toc180074815"/>
      <w:bookmarkEnd w:id="27"/>
      <w:bookmarkStart w:id="28" w:name="_Toc1481"/>
      <w:bookmarkStart w:id="29" w:name="_Toc24526"/>
    </w:p>
    <w:p w14:paraId="0E4AEB66">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30" w:name="_Toc6531"/>
      <w:r>
        <w:rPr>
          <w:rFonts w:ascii="仿宋" w:hAnsi="仿宋" w:eastAsia="仿宋" w:cs="Times New Roman"/>
          <w:b/>
          <w:bCs/>
          <w:color w:val="auto"/>
          <w:sz w:val="32"/>
          <w:szCs w:val="32"/>
          <w:highlight w:val="none"/>
        </w:rPr>
        <w:t>项目现状</w:t>
      </w:r>
      <w:bookmarkEnd w:id="28"/>
      <w:bookmarkEnd w:id="29"/>
      <w:bookmarkEnd w:id="30"/>
    </w:p>
    <w:p w14:paraId="6B35522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（1）现有情况</w:t>
      </w:r>
    </w:p>
    <w:p w14:paraId="779DF23E">
      <w:pPr>
        <w:spacing w:after="0" w:line="600" w:lineRule="exact"/>
        <w:ind w:firstLine="640" w:firstLineChars="200"/>
        <w:rPr>
          <w:rFonts w:hint="eastAsia" w:ascii="仿宋" w:hAnsi="仿宋" w:eastAsia="仿宋" w:cs="Times New Roman"/>
          <w:color w:val="auto"/>
          <w:sz w:val="32"/>
          <w:szCs w:val="32"/>
          <w:highlight w:val="none"/>
        </w:rPr>
      </w:pPr>
      <w:bookmarkStart w:id="31" w:name="OLE_LINK1"/>
      <w:r>
        <w:rPr>
          <w:rFonts w:ascii="仿宋" w:hAnsi="仿宋" w:eastAsia="仿宋" w:cs="Times New Roman"/>
          <w:color w:val="auto"/>
          <w:sz w:val="32"/>
          <w:szCs w:val="32"/>
          <w:highlight w:val="none"/>
        </w:rPr>
        <w:t>“数字中国”建设是大势所趋，国家“十四五”规划对数字化和水务行业新发展提出了明确要求，水务数字化转型势在必行。一方面，数字水务是数字经济的重要组成，是提升公共服务、社会治理等数字化、智能化水平的基础板块。另一方面，水务产业化发展仍处于初级阶段，与燃气、电力等其他公用事业行业相比，运用“互联网+”的能力比较薄弱。需要加快构建水务数字化产业链，打通“水安全、水资源、水生态、水景观、水环境、水管理、水经济”经济社会循环，助力水务行业运营、管理、服务模式的数字化升级与创新。</w:t>
      </w:r>
    </w:p>
    <w:bookmarkEnd w:id="31"/>
    <w:p w14:paraId="01631E6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供水系统是城市生存、发展的基础，供水事业的发展与城市的社会经济发展息息相关，其供水工作质量的好坏不仅关系社会的稳定，也直接影响到政府形象。近年来，为实现乡村振兴、数字中国的等战略目标，我省积极推动城乡供水一体化工作和城乡供水数字化系统建设，旨在通过物联网、大数据、云平台、人工智能等信息技术手段对从水源地监测到龙头水管理的整个供水过程实现的智能化管理和控制，保障居民用水安全。</w:t>
      </w:r>
    </w:p>
    <w:p w14:paraId="5291FBD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当前，随着龙泉市城乡供水一体化及单村水站改造提升工作的推进，城乡供水数字化监管工作也在龙泉市城乡水务公司中相继开展起来，一些水务公司根据自身的发展要求，各自建立了营业收费系统，SCADA系统、管网GIS系统以及水质监测系统等，这些系统经过长期的应用实践已成为相关公司管理工作中不可缺少的工具,但由于这些系统大多由多个软件公司开发，没有统一的管理平台，信息的处理和利用只局限于本公司或者个别部门；虽然积累了大量的数据，也无法进行深入数据挖掘应用，造成信息孤岛。</w:t>
      </w:r>
    </w:p>
    <w:p w14:paraId="4577E15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（2）存在问题</w:t>
      </w:r>
    </w:p>
    <w:p w14:paraId="230DAC2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1)业务数字化问题</w:t>
      </w:r>
    </w:p>
    <w:p w14:paraId="5E92990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总体来看，农村供水工程面广量大，运行管理水平参差不齐，信息化基础还不完善，资源共享、数据服务、智能应用和可视化表达能力较低，“四预”（预报、预警、预演、预案）功能薄弱，亟需推进供水数字化系统的建设，切实提高农村供水工程的数字化、网络化、智能化水平。</w:t>
      </w:r>
    </w:p>
    <w:p w14:paraId="39049BB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2）信息孤岛问题。</w:t>
      </w:r>
    </w:p>
    <w:p w14:paraId="00D6D25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供水系统业务方面信息互通性弱，主要依靠传统的人工检查、人工输入等模式。因此，在供水系统的业务管理过程中往往投入很大的人力、物力，却依旧没有得到很明显的改善。</w:t>
      </w:r>
    </w:p>
    <w:p w14:paraId="4C4F133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3）监测闭环问题</w:t>
      </w:r>
    </w:p>
    <w:p w14:paraId="10A0074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现有监测管理缺乏有效的反馈机制，导致现有监管工作效率低下，容易产生盲区，对水质水量、设备设施产生风险，亟待加强流程及规范指引，形成系统化、体系化监测管理机制。</w:t>
      </w:r>
    </w:p>
    <w:p w14:paraId="664346B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（4）拟解决对策</w:t>
      </w:r>
    </w:p>
    <w:p w14:paraId="3DFCCF38">
      <w:pPr>
        <w:spacing w:after="0" w:line="600" w:lineRule="exact"/>
        <w:ind w:firstLine="640" w:firstLineChars="200"/>
        <w:rPr>
          <w:rFonts w:hint="eastAsia" w:ascii="仿宋" w:hAnsi="仿宋" w:eastAsia="仿宋" w:cs="Times New Roman"/>
          <w:color w:val="auto"/>
          <w:sz w:val="32"/>
          <w:szCs w:val="32"/>
          <w:highlight w:val="none"/>
          <w:lang w:val="en"/>
        </w:rPr>
      </w:pPr>
      <w:r>
        <w:rPr>
          <w:rFonts w:ascii="仿宋" w:hAnsi="仿宋" w:eastAsia="仿宋" w:cs="Times New Roman"/>
          <w:color w:val="auto"/>
          <w:sz w:val="32"/>
          <w:szCs w:val="32"/>
          <w:highlight w:val="none"/>
          <w:lang w:val="en"/>
        </w:rPr>
        <w:t>因此，在城乡供水一体化和单村水站改造提升工作要求下，结合水务行业信息化发展经验，龙泉市水务主管单位及城乡水务公司应当充分利用云计算和数据技术构建一体化、可扩展的水务综合运营平台，加强顶层设计，制定具有前瞻性的管理和信息规划，通过水务综合运营平台打通信息孤岛，实现数据共享，增强对供水业务的运营和监管的能力，实现城乡供水数字化运作，提高供水部门管理与服务的水平。</w:t>
      </w:r>
    </w:p>
    <w:p w14:paraId="26A6710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32" w:name="_Toc30101"/>
      <w:bookmarkStart w:id="33" w:name="_Toc16503"/>
      <w:bookmarkStart w:id="34" w:name="_Toc19668"/>
      <w:r>
        <w:rPr>
          <w:rFonts w:ascii="仿宋" w:hAnsi="仿宋" w:eastAsia="仿宋" w:cs="Times New Roman"/>
          <w:b/>
          <w:bCs/>
          <w:color w:val="auto"/>
          <w:sz w:val="32"/>
          <w:szCs w:val="32"/>
          <w:highlight w:val="none"/>
        </w:rPr>
        <w:t>与上一期的建设界限</w:t>
      </w:r>
      <w:bookmarkEnd w:id="32"/>
      <w:bookmarkEnd w:id="33"/>
      <w:bookmarkEnd w:id="34"/>
    </w:p>
    <w:p w14:paraId="5A4B2A0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项目为首次新建，没有与上一期的建设界限问题。</w:t>
      </w:r>
    </w:p>
    <w:p w14:paraId="10974A00">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35" w:name="_Toc30922"/>
      <w:bookmarkStart w:id="36" w:name="_Toc9053"/>
      <w:bookmarkStart w:id="37" w:name="_Toc25625"/>
      <w:r>
        <w:rPr>
          <w:rFonts w:ascii="仿宋" w:hAnsi="仿宋" w:eastAsia="仿宋" w:cs="Times New Roman"/>
          <w:b/>
          <w:bCs/>
          <w:color w:val="auto"/>
          <w:sz w:val="32"/>
          <w:szCs w:val="32"/>
          <w:highlight w:val="none"/>
        </w:rPr>
        <w:t>运营需求分析</w:t>
      </w:r>
      <w:bookmarkEnd w:id="35"/>
      <w:bookmarkEnd w:id="36"/>
      <w:bookmarkEnd w:id="37"/>
    </w:p>
    <w:p w14:paraId="3DDEF055">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项目重大需求清单</w:t>
      </w:r>
    </w:p>
    <w:tbl>
      <w:tblPr>
        <w:tblStyle w:val="2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14:paraId="05D4C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l2br w:val="nil"/>
              <w:tr2bl w:val="nil"/>
            </w:tcBorders>
          </w:tcPr>
          <w:p w14:paraId="2CB6BBB4">
            <w:pPr>
              <w:pStyle w:val="23"/>
              <w:spacing w:after="0"/>
              <w:rPr>
                <w:rFonts w:hint="eastAsia" w:ascii="仿宋" w:hAnsi="仿宋" w:eastAsia="仿宋" w:cs="Times New Roman"/>
                <w:color w:val="auto"/>
                <w:highlight w:val="none"/>
              </w:rPr>
            </w:pPr>
            <w:r>
              <w:rPr>
                <w:rFonts w:ascii="仿宋" w:hAnsi="仿宋" w:eastAsia="仿宋" w:cs="Times New Roman"/>
                <w:color w:val="auto"/>
                <w:highlight w:val="none"/>
              </w:rPr>
              <w:t>问题清单</w:t>
            </w:r>
          </w:p>
        </w:tc>
        <w:tc>
          <w:tcPr>
            <w:tcW w:w="2841" w:type="dxa"/>
            <w:tcBorders>
              <w:tl2br w:val="nil"/>
              <w:tr2bl w:val="nil"/>
            </w:tcBorders>
          </w:tcPr>
          <w:p w14:paraId="794BC586">
            <w:pPr>
              <w:pStyle w:val="23"/>
              <w:spacing w:after="0"/>
              <w:rPr>
                <w:rFonts w:hint="eastAsia" w:ascii="仿宋" w:hAnsi="仿宋" w:eastAsia="仿宋" w:cs="Times New Roman"/>
                <w:color w:val="auto"/>
                <w:highlight w:val="none"/>
              </w:rPr>
            </w:pPr>
            <w:r>
              <w:rPr>
                <w:rFonts w:ascii="仿宋" w:hAnsi="仿宋" w:eastAsia="仿宋" w:cs="Times New Roman"/>
                <w:color w:val="auto"/>
                <w:highlight w:val="none"/>
              </w:rPr>
              <w:t>需求清单</w:t>
            </w:r>
          </w:p>
        </w:tc>
        <w:tc>
          <w:tcPr>
            <w:tcW w:w="2841" w:type="dxa"/>
            <w:tcBorders>
              <w:tl2br w:val="nil"/>
              <w:tr2bl w:val="nil"/>
            </w:tcBorders>
          </w:tcPr>
          <w:p w14:paraId="6AE59D6A">
            <w:pPr>
              <w:pStyle w:val="23"/>
              <w:spacing w:after="0"/>
              <w:rPr>
                <w:rFonts w:hint="eastAsia" w:ascii="仿宋" w:hAnsi="仿宋" w:eastAsia="仿宋" w:cs="Times New Roman"/>
                <w:color w:val="auto"/>
                <w:highlight w:val="none"/>
              </w:rPr>
            </w:pPr>
            <w:r>
              <w:rPr>
                <w:rFonts w:ascii="仿宋" w:hAnsi="仿宋" w:eastAsia="仿宋" w:cs="Times New Roman"/>
                <w:color w:val="auto"/>
                <w:highlight w:val="none"/>
              </w:rPr>
              <w:t>改革清单</w:t>
            </w:r>
          </w:p>
        </w:tc>
      </w:tr>
      <w:tr w14:paraId="0055F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Borders>
              <w:tl2br w:val="nil"/>
              <w:tr2bl w:val="nil"/>
            </w:tcBorders>
          </w:tcPr>
          <w:p w14:paraId="502AA77D">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rPr>
              <w:t>数字化程度低</w:t>
            </w:r>
          </w:p>
          <w:p w14:paraId="0F6855C2">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rPr>
              <w:t>风险隐患多</w:t>
            </w:r>
          </w:p>
          <w:p w14:paraId="30AEA3CE">
            <w:pPr>
              <w:pStyle w:val="23"/>
              <w:spacing w:after="0"/>
              <w:ind w:left="0" w:leftChars="0" w:firstLine="0"/>
              <w:rPr>
                <w:rFonts w:hint="eastAsia" w:ascii="仿宋" w:hAnsi="仿宋" w:eastAsia="仿宋" w:cs="Times New Roman"/>
                <w:color w:val="auto"/>
                <w:highlight w:val="none"/>
                <w:lang w:eastAsia="zh-Hans"/>
              </w:rPr>
            </w:pPr>
            <w:r>
              <w:rPr>
                <w:rFonts w:ascii="仿宋" w:hAnsi="仿宋" w:eastAsia="仿宋" w:cs="Times New Roman"/>
                <w:color w:val="auto"/>
                <w:highlight w:val="none"/>
                <w:lang w:eastAsia="zh-Hans"/>
              </w:rPr>
              <w:t>应急</w:t>
            </w:r>
            <w:r>
              <w:rPr>
                <w:rFonts w:ascii="仿宋" w:hAnsi="仿宋" w:eastAsia="仿宋" w:cs="Times New Roman"/>
                <w:color w:val="auto"/>
                <w:highlight w:val="none"/>
              </w:rPr>
              <w:t>资源</w:t>
            </w:r>
            <w:r>
              <w:rPr>
                <w:rFonts w:ascii="仿宋" w:hAnsi="仿宋" w:eastAsia="仿宋" w:cs="Times New Roman"/>
                <w:color w:val="auto"/>
                <w:highlight w:val="none"/>
                <w:lang w:eastAsia="zh-Hans"/>
              </w:rPr>
              <w:t>难共享</w:t>
            </w:r>
          </w:p>
          <w:p w14:paraId="36CEF5BF">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lang w:eastAsia="zh-Hans"/>
              </w:rPr>
              <w:t>应急处理不及时</w:t>
            </w:r>
          </w:p>
        </w:tc>
        <w:tc>
          <w:tcPr>
            <w:tcW w:w="2841" w:type="dxa"/>
            <w:tcBorders>
              <w:tl2br w:val="nil"/>
              <w:tr2bl w:val="nil"/>
            </w:tcBorders>
          </w:tcPr>
          <w:p w14:paraId="3CB6670B">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rPr>
              <w:t>全程数字监督</w:t>
            </w:r>
          </w:p>
          <w:p w14:paraId="3C9BF5DA">
            <w:pPr>
              <w:pStyle w:val="23"/>
              <w:spacing w:after="0"/>
              <w:ind w:left="0" w:leftChars="0" w:firstLine="0"/>
              <w:rPr>
                <w:rFonts w:hint="eastAsia" w:ascii="仿宋" w:hAnsi="仿宋" w:eastAsia="仿宋" w:cs="Times New Roman"/>
                <w:color w:val="auto"/>
                <w:highlight w:val="none"/>
                <w:lang w:eastAsia="zh-Hans"/>
              </w:rPr>
            </w:pPr>
            <w:r>
              <w:rPr>
                <w:rFonts w:ascii="仿宋" w:hAnsi="仿宋" w:eastAsia="仿宋" w:cs="Times New Roman"/>
                <w:color w:val="auto"/>
                <w:highlight w:val="none"/>
                <w:lang w:eastAsia="zh-Hans"/>
              </w:rPr>
              <w:t>应急资源共享</w:t>
            </w:r>
          </w:p>
          <w:p w14:paraId="46337267">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lang w:eastAsia="zh-Hans"/>
              </w:rPr>
              <w:t>应急信息整合</w:t>
            </w:r>
          </w:p>
        </w:tc>
        <w:tc>
          <w:tcPr>
            <w:tcW w:w="2841" w:type="dxa"/>
            <w:tcBorders>
              <w:tl2br w:val="nil"/>
              <w:tr2bl w:val="nil"/>
            </w:tcBorders>
          </w:tcPr>
          <w:p w14:paraId="3EB8BAD3">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rPr>
              <w:t>平台管理，实现管理闭环</w:t>
            </w:r>
          </w:p>
          <w:p w14:paraId="4FE40F96">
            <w:pPr>
              <w:pStyle w:val="23"/>
              <w:spacing w:after="0"/>
              <w:ind w:left="0" w:leftChars="0" w:firstLine="0"/>
              <w:rPr>
                <w:rFonts w:hint="eastAsia" w:ascii="仿宋" w:hAnsi="仿宋" w:eastAsia="仿宋" w:cs="Times New Roman"/>
                <w:color w:val="auto"/>
                <w:highlight w:val="none"/>
              </w:rPr>
            </w:pPr>
            <w:r>
              <w:rPr>
                <w:rFonts w:ascii="仿宋" w:hAnsi="仿宋" w:eastAsia="仿宋" w:cs="Times New Roman"/>
                <w:color w:val="auto"/>
                <w:highlight w:val="none"/>
              </w:rPr>
              <w:t>化繁为简，实现“两端”监管全覆盖</w:t>
            </w:r>
          </w:p>
          <w:p w14:paraId="7B36CCA6">
            <w:pPr>
              <w:pStyle w:val="23"/>
              <w:spacing w:after="0"/>
              <w:ind w:left="0" w:leftChars="0" w:firstLine="0"/>
              <w:rPr>
                <w:rFonts w:hint="eastAsia" w:ascii="仿宋" w:hAnsi="仿宋" w:eastAsia="仿宋" w:cs="Times New Roman"/>
                <w:color w:val="auto"/>
                <w:highlight w:val="none"/>
                <w:lang w:eastAsia="zh-Hans"/>
              </w:rPr>
            </w:pPr>
            <w:r>
              <w:rPr>
                <w:rFonts w:ascii="仿宋" w:hAnsi="仿宋" w:eastAsia="仿宋" w:cs="Times New Roman"/>
                <w:color w:val="auto"/>
                <w:highlight w:val="none"/>
                <w:lang w:eastAsia="zh-Hans"/>
              </w:rPr>
              <w:t>规范管理，明确职责，精准考核，资源应急到位</w:t>
            </w:r>
          </w:p>
        </w:tc>
      </w:tr>
    </w:tbl>
    <w:p w14:paraId="7BF32DEC">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项目预期目标</w:t>
      </w:r>
    </w:p>
    <w:p w14:paraId="3B35A68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1.完善在线监测体系</w:t>
      </w:r>
    </w:p>
    <w:p w14:paraId="1442719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通过对供水站点进行数字化建设，完善农村供水工程在线监测体系，实现对改造供水工程水质水量信息、视频监控图像的采集和信息的监控分析，满足饮用水工程设备及管理人员的远程监管和移动监管需求，实现中心全面统一运行监管。</w:t>
      </w:r>
    </w:p>
    <w:p w14:paraId="540BB06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2.建立高清的视频监控体系</w:t>
      </w:r>
    </w:p>
    <w:p w14:paraId="5F7C1CE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针对供水工程视频监控能力的建设，主要实现针对清水池、净水设备、加药间、设备间等重要节点布设视频监控设备数据接入，实现视频监控与传输，满足远程实时对供水工程现场的高清视频监控，提高运行管理效率。</w:t>
      </w:r>
    </w:p>
    <w:p w14:paraId="376D21C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3.农村供水工程的规范化运行</w:t>
      </w:r>
    </w:p>
    <w:p w14:paraId="70B4DB8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水利工程标准化不仅对组织管理提出要求，而且对农村供水工程的运行管理也进行了严格规范。系统能实时监测出厂水的水质合格情况，并对不达标的运行时段进行记录及预警提示，确保供水工程制水过程规范运行。</w:t>
      </w:r>
    </w:p>
    <w:p w14:paraId="6556B1E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在数字化的基本数据完善的基础上，以统一数据库建设标准与落实管理维护职责为抓手，以实现数据详实、功能齐全、表征形象、管理高效为主要目标，构建统筹、规范、共享、实用的数据平台。</w:t>
      </w:r>
    </w:p>
    <w:p w14:paraId="49F36EB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梳理农村供水数据资源目录。主要包括静态基础数据和动态监测数据的资源整编，静态基础数据包括</w:t>
      </w:r>
      <w:r>
        <w:rPr>
          <w:rFonts w:hint="eastAsia" w:ascii="仿宋" w:hAnsi="仿宋" w:eastAsia="仿宋" w:cs="Times New Roman"/>
          <w:color w:val="auto"/>
          <w:sz w:val="32"/>
          <w:szCs w:val="32"/>
          <w:highlight w:val="none"/>
          <w:lang w:val="en-US" w:eastAsia="zh-CN"/>
        </w:rPr>
        <w:t>599</w:t>
      </w:r>
      <w:r>
        <w:rPr>
          <w:rFonts w:ascii="仿宋" w:hAnsi="仿宋" w:eastAsia="仿宋" w:cs="Times New Roman"/>
          <w:color w:val="auto"/>
          <w:sz w:val="32"/>
          <w:szCs w:val="32"/>
          <w:highlight w:val="none"/>
        </w:rPr>
        <w:t>座单村供水站点工程基本信息、水源地信息、供水管网数据、管护经费等静态基础数据接入。动态监测数据包括水质数据、水量、视频等实时业务数据接入，并接入支持第三方数据共享的感知元件数据（如：水质监测、流量计、视频监控及设备等数据）。</w:t>
      </w:r>
    </w:p>
    <w:p w14:paraId="1AEC2C9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4.与浙江省城乡供水数字化管理系统的数据对接</w:t>
      </w:r>
    </w:p>
    <w:p w14:paraId="717868B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对接浙江省城乡供水数字化管理系统，为平台提供数据支撑。系统能够准确、及时的提供净水站的工程基础信息、运行工况信息、水质水量监测信息和操作运行记录信息，符合省里平台建设要求，实现信息和资源的高度共享，避免出现信息孤岛，避免重复开发建设和资源浪费。</w:t>
      </w:r>
    </w:p>
    <w:p w14:paraId="3355FA9D">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项目绩效指标</w:t>
      </w:r>
    </w:p>
    <w:p w14:paraId="16ECE064">
      <w:pPr>
        <w:pStyle w:val="51"/>
        <w:spacing w:line="240" w:lineRule="auto"/>
        <w:ind w:firstLine="640" w:firstLineChars="200"/>
        <w:jc w:val="both"/>
        <w:rPr>
          <w:rFonts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通过信息化建设，基于龙泉市现有的城乡供水相关数据，补充采集龙泉市 599座农村供水站的用水户信息运行管理人员、设备信息、供水村落信息、供水区域等静态数据以及水量、水质等动态监测数据。通过项目建设，确保城乡供水率达到95%以上，从根本上解决水源单一而导致的水量不足，供给量不均衡和水质不达标等问题，确保项目供水范围内村镇居民不同时段用水安全。提升供水系统运行效率，缩短故障响应时间，实现故障自动报警和快速定位，故障响应时间缩短至1小时内。优化运营管理，提高管理效率，实现供水系统的信息化管理，减少人工操作和管理流程，管理效率提升20%以上。建立统一的数据平台，实现数据共享与协同，实现各部门之间的数据共享和业务协同，提升整体运营管理水平。</w:t>
      </w:r>
    </w:p>
    <w:p w14:paraId="047C337A">
      <w:pPr>
        <w:pStyle w:val="51"/>
        <w:spacing w:line="240" w:lineRule="auto"/>
        <w:ind w:firstLine="640" w:firstLineChars="200"/>
        <w:jc w:val="both"/>
        <w:rPr>
          <w:rFonts w:hint="default" w:ascii="Times New Roman" w:hAnsi="Times New Roman" w:eastAsia="仿宋"/>
          <w:color w:val="auto"/>
          <w:sz w:val="32"/>
          <w:szCs w:val="32"/>
          <w:highlight w:val="none"/>
          <w:lang w:val="en-US" w:eastAsia="zh-CN" w:bidi="ar"/>
        </w:rPr>
      </w:pPr>
      <w:r>
        <w:rPr>
          <w:rFonts w:ascii="Times New Roman" w:hAnsi="Times New Roman" w:eastAsia="仿宋"/>
          <w:color w:val="auto"/>
          <w:sz w:val="32"/>
          <w:szCs w:val="32"/>
          <w:highlight w:val="none"/>
          <w:lang w:bidi="ar"/>
        </w:rPr>
        <w:t>用户方面，系统用户总人数大概为2000人。用户主要</w:t>
      </w:r>
      <w:r>
        <w:rPr>
          <w:rFonts w:hint="eastAsia" w:ascii="Times New Roman" w:hAnsi="Times New Roman" w:eastAsia="仿宋"/>
          <w:color w:val="auto"/>
          <w:sz w:val="32"/>
          <w:szCs w:val="32"/>
          <w:highlight w:val="none"/>
          <w:lang w:val="en-US" w:eastAsia="zh-CN" w:bidi="ar"/>
        </w:rPr>
        <w:t>分为</w:t>
      </w:r>
      <w:r>
        <w:rPr>
          <w:rFonts w:ascii="Times New Roman" w:hAnsi="Times New Roman" w:eastAsia="仿宋"/>
          <w:color w:val="auto"/>
          <w:sz w:val="32"/>
          <w:szCs w:val="32"/>
          <w:highlight w:val="none"/>
          <w:lang w:bidi="ar"/>
        </w:rPr>
        <w:t>龙泉市城乡供水一体化业务条线行业管理人员</w:t>
      </w:r>
      <w:r>
        <w:rPr>
          <w:rFonts w:hint="eastAsia" w:ascii="Times New Roman" w:hAnsi="Times New Roman" w:eastAsia="仿宋"/>
          <w:color w:val="auto"/>
          <w:sz w:val="32"/>
          <w:szCs w:val="32"/>
          <w:highlight w:val="none"/>
          <w:lang w:val="en-US" w:eastAsia="zh-CN" w:bidi="ar"/>
        </w:rPr>
        <w:t>以及各水站管理人员</w:t>
      </w:r>
      <w:r>
        <w:rPr>
          <w:rFonts w:ascii="Times New Roman" w:hAnsi="Times New Roman" w:eastAsia="仿宋"/>
          <w:color w:val="auto"/>
          <w:sz w:val="32"/>
          <w:szCs w:val="32"/>
          <w:highlight w:val="none"/>
          <w:lang w:bidi="ar"/>
        </w:rPr>
        <w:t>等</w:t>
      </w:r>
      <w:r>
        <w:rPr>
          <w:rFonts w:hint="eastAsia" w:ascii="Times New Roman" w:hAnsi="Times New Roman" w:eastAsia="仿宋"/>
          <w:color w:val="auto"/>
          <w:sz w:val="32"/>
          <w:szCs w:val="32"/>
          <w:highlight w:val="none"/>
          <w:lang w:eastAsia="zh-CN" w:bidi="ar"/>
        </w:rPr>
        <w:t>。</w:t>
      </w:r>
    </w:p>
    <w:p w14:paraId="2BCF8C04">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38" w:name="_Toc7195"/>
      <w:r>
        <w:rPr>
          <w:rFonts w:ascii="仿宋" w:hAnsi="仿宋" w:eastAsia="仿宋" w:cs="Times New Roman"/>
          <w:b/>
          <w:bCs/>
          <w:color w:val="auto"/>
          <w:sz w:val="32"/>
          <w:szCs w:val="32"/>
          <w:highlight w:val="none"/>
        </w:rPr>
        <w:t>业务和数据资源分析</w:t>
      </w:r>
      <w:bookmarkEnd w:id="38"/>
    </w:p>
    <w:p w14:paraId="543B2DE0">
      <w:pPr>
        <w:pStyle w:val="4"/>
        <w:numPr>
          <w:ilvl w:val="2"/>
          <w:numId w:val="2"/>
        </w:numPr>
        <w:spacing w:before="0" w:after="0" w:line="416" w:lineRule="auto"/>
        <w:ind w:left="1320" w:hanging="440"/>
        <w:rPr>
          <w:rFonts w:hint="eastAsia" w:ascii="仿宋" w:hAnsi="仿宋" w:eastAsia="仿宋" w:cs="Times New Roman"/>
          <w:b/>
          <w:bCs/>
          <w:color w:val="auto"/>
          <w:highlight w:val="none"/>
        </w:rPr>
      </w:pPr>
      <w:r>
        <w:rPr>
          <w:rFonts w:ascii="仿宋" w:hAnsi="仿宋" w:eastAsia="仿宋" w:cs="Times New Roman"/>
          <w:b/>
          <w:bCs/>
          <w:color w:val="auto"/>
          <w:highlight w:val="none"/>
        </w:rPr>
        <w:t>业务分析</w:t>
      </w:r>
    </w:p>
    <w:p w14:paraId="57FF036D">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系统将要实现的各项业务功能主要包括以下几点：</w:t>
      </w:r>
    </w:p>
    <w:p w14:paraId="6D334490">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（一）供水站监测一张图</w:t>
      </w:r>
    </w:p>
    <w:p w14:paraId="62DA2B97">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以一图统揽形式，展示供水站监测数量及分布情况，并对供水站的运行进行远程实时在线监控，包括对应的监测点位传感器实时监测数据，以及在监测过程中对应的预警报警信息数据进行统计分析，同时对供水站进行视频可视化展示，实时掌控在供水站运行状态</w:t>
      </w:r>
      <w:r>
        <w:rPr>
          <w:rFonts w:ascii="Times New Roman" w:hAnsi="Times New Roman" w:eastAsia="仿宋"/>
          <w:color w:val="auto"/>
          <w:sz w:val="32"/>
          <w:szCs w:val="32"/>
          <w:highlight w:val="none"/>
          <w:lang w:bidi="ar"/>
        </w:rPr>
        <w:t>。</w:t>
      </w:r>
    </w:p>
    <w:p w14:paraId="66C7339E">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（二）预警场景</w:t>
      </w:r>
    </w:p>
    <w:p w14:paraId="03142698">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接入水源的水量水质监测数据，实现对供水水源水量水质的在线监控与预警预报。供水水源监测信息主要包括供水水源的水量（含水位、流量等可推算水源可供水量的监测信息）、水质（浊度、PH值、温度、氨氮等影响水厂出厂水水质的主要指标信息）等</w:t>
      </w:r>
      <w:r>
        <w:rPr>
          <w:rFonts w:ascii="Times New Roman" w:hAnsi="Times New Roman" w:eastAsia="仿宋"/>
          <w:color w:val="auto"/>
          <w:sz w:val="32"/>
          <w:szCs w:val="32"/>
          <w:highlight w:val="none"/>
          <w:lang w:bidi="ar"/>
        </w:rPr>
        <w:t>。</w:t>
      </w:r>
    </w:p>
    <w:p w14:paraId="371941CD">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视频监控</w:t>
      </w:r>
      <w:r>
        <w:rPr>
          <w:rFonts w:hint="default" w:ascii="Times New Roman" w:hAnsi="Times New Roman" w:eastAsia="仿宋"/>
          <w:color w:val="auto"/>
          <w:sz w:val="32"/>
          <w:szCs w:val="32"/>
          <w:highlight w:val="none"/>
          <w:lang w:bidi="ar"/>
        </w:rPr>
        <w:tab/>
      </w:r>
      <w:r>
        <w:rPr>
          <w:rFonts w:hint="default" w:ascii="Times New Roman" w:hAnsi="Times New Roman" w:eastAsia="仿宋"/>
          <w:color w:val="auto"/>
          <w:sz w:val="32"/>
          <w:szCs w:val="32"/>
          <w:highlight w:val="none"/>
          <w:lang w:bidi="ar"/>
        </w:rPr>
        <w:t>实现对供水厂实时视频信息的在线播放展示，对供水工程中重要区域和设备的情况进行远程自动监视，对工程现场状况进行定期巡视及安全保卫。并提供按照水厂名称、类型、规模、视频点部位分类查询的功能。可查看消毒加药间、制水操作间、清水池等重要部分的视频监控信息</w:t>
      </w:r>
      <w:r>
        <w:rPr>
          <w:rFonts w:ascii="Times New Roman" w:hAnsi="Times New Roman" w:eastAsia="仿宋"/>
          <w:color w:val="auto"/>
          <w:sz w:val="32"/>
          <w:szCs w:val="32"/>
          <w:highlight w:val="none"/>
          <w:lang w:bidi="ar"/>
        </w:rPr>
        <w:t>。</w:t>
      </w:r>
    </w:p>
    <w:p w14:paraId="5EFE323C">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（三）监测设备配置</w:t>
      </w:r>
    </w:p>
    <w:p w14:paraId="58DA13B1">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根据监测方案，在系统平台配置相关的监测设备及相关技术指标信息，实现数据的一对一可视化展示。并可以对现场的设备运行状况进行掌握，为设备的维修保养提供数据支持</w:t>
      </w:r>
      <w:r>
        <w:rPr>
          <w:rFonts w:ascii="Times New Roman" w:hAnsi="Times New Roman" w:eastAsia="仿宋"/>
          <w:color w:val="auto"/>
          <w:sz w:val="32"/>
          <w:szCs w:val="32"/>
          <w:highlight w:val="none"/>
          <w:lang w:bidi="ar"/>
        </w:rPr>
        <w:t>。</w:t>
      </w:r>
    </w:p>
    <w:p w14:paraId="41325CB8">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（四）实时监测</w:t>
      </w:r>
    </w:p>
    <w:p w14:paraId="441BDC81">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对各类监测设备实时传回的监测数据进行分析，主要对同一种监测数据源进行不同测点或者同一数据测点不同时间段的数据进行对比，挖掘对应的关联信息，为预警报警提供数据支持。</w:t>
      </w:r>
    </w:p>
    <w:p w14:paraId="7BE71CA6">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（五）预警报警</w:t>
      </w:r>
    </w:p>
    <w:p w14:paraId="6C42F9B3">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设置相关物联设备监测数据阈值，并对阈值处理的闭环进行指定责任人及流程，实现预警问题处置闭环，提高管理效率。</w:t>
      </w:r>
    </w:p>
    <w:p w14:paraId="6072295C">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（六）基础信息</w:t>
      </w:r>
    </w:p>
    <w:p w14:paraId="16A98677">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展示水厂的基础信息，包括工程基础信息、水源地基本情况、管理单位信息、管理人员信息、卫生监督管理信息、工程图片、供水服务对象（镇村、社区及人口）等。</w:t>
      </w:r>
    </w:p>
    <w:p w14:paraId="0098471F">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（七）系统集成</w:t>
      </w:r>
    </w:p>
    <w:p w14:paraId="6CED131A">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hint="default" w:ascii="Times New Roman" w:hAnsi="Times New Roman" w:eastAsia="仿宋"/>
          <w:color w:val="auto"/>
          <w:sz w:val="32"/>
          <w:szCs w:val="32"/>
          <w:highlight w:val="none"/>
          <w:lang w:bidi="ar"/>
        </w:rPr>
        <w:t>设备安装调试、所有附件辅材、所有设备3年核心软件升级。</w:t>
      </w:r>
    </w:p>
    <w:p w14:paraId="5E02B80B">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供水数字化系统建设后，与原来对比一是提高数据采集与监控的全面性。传统的供水系统主要依赖人工定期采集数据，效率低下且数据时效性差。而数字化系统通过传感器、物联网技术等手段，能够实时、全面地采集供水系统中的各类数据，包括水质、水压、流量、设备运行状态等。数字化系统支持远程监控，供水企业可以实时掌握整个供水网络的运行情况，及时发现并处理异常情况，提高了管理效率和响应速度。</w:t>
      </w:r>
    </w:p>
    <w:p w14:paraId="295B5D15">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二是支持智能分析与决策支持。传统的供水系统缺乏对数据的深入分析和利用。而数字化系统借助大数据分析技术，能够对海量数据进行深度挖掘和分析，识别出潜在问题和趋势。数字化系统能够基于数据分析结果，实现智能预警和故障诊断，提前发现并预防设备故障和供水异常，降低停水时间和维修成本。在调度方面，传统的调度方式主要依赖经验，缺乏科学性和精准性。数字化系统可以根据实时数据和预测分析结果，优化供水调度方案，提高供水效率，降低能耗。</w:t>
      </w:r>
    </w:p>
    <w:p w14:paraId="310EB55D">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三是业务流程优化。传统的业务流程繁琐、效率低下。数字化系统通过信息化手段，优化了业务流程，实现了业务流程的自动化和标准化，提高了工作效率。</w:t>
      </w:r>
    </w:p>
    <w:p w14:paraId="1C50763F">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系统的业务流程主要包括以下几个环节：</w:t>
      </w:r>
    </w:p>
    <w:p w14:paraId="55D510F9">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数据采集：各类传感器实时采集供水站的运行数据，并通过网络传输至数据中心。</w:t>
      </w:r>
    </w:p>
    <w:p w14:paraId="69F9023C">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数据处理与分析：数据中心对接收到的数据进行处理、存储和分析，生成实时监控数据和统计分析报告。</w:t>
      </w:r>
    </w:p>
    <w:p w14:paraId="10D7B993">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预警报警：当监测数据超出预设阈值时，系统自动触发预警或报警机制，并通过短信、邮件等方式通知管理人员。</w:t>
      </w:r>
    </w:p>
    <w:p w14:paraId="3EF706F5">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应急响应：管理人员根据实时监控数据和预警信息启动应急响应，利用系统实现工程调度（设备）、人工调度。</w:t>
      </w:r>
      <w:bookmarkStart w:id="39" w:name="OLE_LINK5"/>
    </w:p>
    <w:p w14:paraId="25D2B494">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数据可视化与报</w:t>
      </w:r>
      <w:bookmarkEnd w:id="39"/>
      <w:r>
        <w:rPr>
          <w:rFonts w:ascii="Times New Roman" w:hAnsi="Times New Roman" w:eastAsia="仿宋"/>
          <w:color w:val="auto"/>
          <w:sz w:val="32"/>
          <w:szCs w:val="32"/>
          <w:highlight w:val="none"/>
          <w:lang w:bidi="ar"/>
        </w:rPr>
        <w:t>告：系统将处理后的数据以地图、图表等形式直观展示，并生成各类统计报表和分析报告，供管理人员决策参考。</w:t>
      </w:r>
    </w:p>
    <w:p w14:paraId="1F6667DC">
      <w:pPr>
        <w:pStyle w:val="51"/>
        <w:spacing w:line="240" w:lineRule="auto"/>
        <w:ind w:firstLine="640" w:firstLineChars="200"/>
        <w:jc w:val="both"/>
        <w:rPr>
          <w:rFonts w:hint="default" w:ascii="Times New Roman" w:hAnsi="Times New Roman" w:eastAsia="仿宋"/>
          <w:color w:val="auto"/>
          <w:sz w:val="32"/>
          <w:szCs w:val="32"/>
          <w:highlight w:val="none"/>
          <w:lang w:bidi="ar"/>
        </w:rPr>
      </w:pPr>
      <w:r>
        <w:rPr>
          <w:rFonts w:ascii="Times New Roman" w:hAnsi="Times New Roman" w:eastAsia="仿宋"/>
          <w:color w:val="auto"/>
          <w:sz w:val="32"/>
          <w:szCs w:val="32"/>
          <w:highlight w:val="none"/>
          <w:lang w:bidi="ar"/>
        </w:rPr>
        <w:t>大致流程如下：</w:t>
      </w:r>
    </w:p>
    <w:p w14:paraId="36AB3173">
      <w:pPr>
        <w:pStyle w:val="51"/>
        <w:spacing w:line="240" w:lineRule="auto"/>
        <w:ind w:firstLine="200"/>
        <w:jc w:val="center"/>
        <w:rPr>
          <w:rFonts w:hint="default" w:ascii="Times New Roman" w:hAnsi="Times New Roman" w:eastAsia="仿宋"/>
          <w:color w:val="auto"/>
          <w:sz w:val="32"/>
          <w:szCs w:val="32"/>
          <w:highlight w:val="none"/>
          <w:lang w:bidi="ar"/>
        </w:rPr>
      </w:pPr>
      <w:r>
        <w:rPr>
          <w:color w:val="auto"/>
          <w:highlight w:val="none"/>
        </w:rPr>
        <w:drawing>
          <wp:inline distT="0" distB="0" distL="0" distR="0">
            <wp:extent cx="1428750" cy="3476625"/>
            <wp:effectExtent l="0" t="0" r="0" b="0"/>
            <wp:docPr id="2021990318" name="图片 7" descr="图示&#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990318" name="图片 7" descr="图示&#10;&#10;中度可信度描述已自动生成"/>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428750" cy="3476625"/>
                    </a:xfrm>
                    <a:prstGeom prst="rect">
                      <a:avLst/>
                    </a:prstGeom>
                    <a:noFill/>
                    <a:ln>
                      <a:noFill/>
                    </a:ln>
                  </pic:spPr>
                </pic:pic>
              </a:graphicData>
            </a:graphic>
          </wp:inline>
        </w:drawing>
      </w:r>
    </w:p>
    <w:p w14:paraId="1A4158F9">
      <w:pPr>
        <w:pStyle w:val="51"/>
        <w:spacing w:line="240" w:lineRule="auto"/>
        <w:ind w:firstLine="640" w:firstLineChars="200"/>
        <w:jc w:val="both"/>
        <w:rPr>
          <w:rFonts w:ascii="仿宋" w:hAnsi="仿宋" w:eastAsia="仿宋"/>
          <w:color w:val="auto"/>
          <w:sz w:val="32"/>
          <w:szCs w:val="32"/>
          <w:highlight w:val="none"/>
          <w:lang w:bidi="ar"/>
        </w:rPr>
      </w:pPr>
      <w:r>
        <w:rPr>
          <w:rFonts w:ascii="Times New Roman" w:hAnsi="Times New Roman" w:eastAsia="仿宋"/>
          <w:color w:val="auto"/>
          <w:sz w:val="32"/>
          <w:szCs w:val="32"/>
          <w:highlight w:val="none"/>
          <w:lang w:bidi="ar"/>
        </w:rPr>
        <w:t>系统的业务处理量主要取决于传感器数量与类型、数据采集频率、预警报警阈值设置、远程控制频率、数据分析与报告生成频率等因素。</w:t>
      </w:r>
    </w:p>
    <w:p w14:paraId="762A2FA8">
      <w:pPr>
        <w:pStyle w:val="4"/>
        <w:numPr>
          <w:ilvl w:val="2"/>
          <w:numId w:val="2"/>
        </w:numPr>
        <w:spacing w:before="0" w:after="0" w:line="416" w:lineRule="auto"/>
        <w:ind w:left="1320" w:hanging="440"/>
        <w:rPr>
          <w:rFonts w:hint="eastAsia" w:ascii="仿宋" w:hAnsi="仿宋" w:eastAsia="仿宋" w:cs="Times New Roman"/>
          <w:b/>
          <w:bCs/>
          <w:color w:val="auto"/>
          <w:highlight w:val="none"/>
        </w:rPr>
      </w:pPr>
      <w:r>
        <w:rPr>
          <w:rFonts w:ascii="仿宋" w:hAnsi="仿宋" w:eastAsia="仿宋" w:cs="Times New Roman"/>
          <w:b/>
          <w:bCs/>
          <w:color w:val="auto"/>
          <w:highlight w:val="none"/>
        </w:rPr>
        <w:t>数据资源分析</w:t>
      </w:r>
    </w:p>
    <w:p w14:paraId="5B7C42DA">
      <w:pPr>
        <w:pStyle w:val="51"/>
        <w:ind w:firstLine="640" w:firstLineChars="200"/>
        <w:jc w:val="both"/>
        <w:rPr>
          <w:rFonts w:hint="default" w:ascii="Times New Roman" w:hAnsi="Times New Roman" w:eastAsia="仿宋"/>
          <w:color w:val="auto"/>
          <w:kern w:val="2"/>
          <w:sz w:val="32"/>
          <w:szCs w:val="32"/>
          <w:highlight w:val="none"/>
          <w:lang w:bidi="ar"/>
        </w:rPr>
      </w:pPr>
      <w:r>
        <w:rPr>
          <w:rFonts w:hint="default" w:ascii="仿宋" w:hAnsi="仿宋" w:eastAsia="仿宋"/>
          <w:color w:val="auto"/>
          <w:kern w:val="2"/>
          <w:sz w:val="32"/>
          <w:szCs w:val="32"/>
          <w:highlight w:val="none"/>
          <w:lang w:bidi="ar"/>
        </w:rPr>
        <w:t>本项目涉及的数据种类较多，主要包含结构化数据和非结构化数据，其中结构化数据主要为数据库库表文件；非结构化数据包含Word附件（各种合同、资质文件）、图片附件（各种证明材料图片）、PDF文件（各种材料、证明文件）。此外，还需要对接监控、传感器等前端设备，涉及的数据多源，有视频、图片、文本、数据等等，数据对接和处理的工作量较大。同时，还涉及人员、设施设备的管理。</w:t>
      </w:r>
    </w:p>
    <w:p w14:paraId="491D8926">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本项目建设的供水数字化系统通常采用分层架构设计，包括数据采集层、数据传输层、数据处理层、数据存储层、数据分析层与应用服务层。每层承担不同的功能，确保数据从采集到应用的全过程高效、安全与可靠。</w:t>
      </w:r>
    </w:p>
    <w:p w14:paraId="0D235C7C">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（一）数据采集层</w:t>
      </w:r>
    </w:p>
    <w:p w14:paraId="209FC72F">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数据采集层是供水数字化系统的基础，负责从各类传感器、仪表及监控设备中获取实时数据。这些设备包括但不限于水质监测传感器、压力传感器、流量传感器、水位传感器等。数据采集层需具备广泛的兼容性，能够支持多种通信协议（如RS-485、Modbus、TCP/IP等），确保各类设备的数据能够被系统有效采集。</w:t>
      </w:r>
    </w:p>
    <w:p w14:paraId="2CA90A27">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（二）数据传输层</w:t>
      </w:r>
    </w:p>
    <w:p w14:paraId="6BF736DC">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数据传输层主要负责将数据采集层获取的数据安全、可靠地传输至数据处理层。常用的数据传输方式包括有线（如光纤、以太网）和无线（如4G/5G、LoRa、NB-IoT）通信技术。为保证数据传输的安全性，系统需采用加密技术（如SSL/TLS）对数据进行加密处理，防止数据在传输过程中被篡改或窃取。</w:t>
      </w:r>
    </w:p>
    <w:p w14:paraId="060074B6">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（三）数据处理层</w:t>
      </w:r>
    </w:p>
    <w:p w14:paraId="5A8A150D">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数据处理层是供水数字化系统的核心，主要负责对采集到的原始数据进行清洗、转换、集成与预处理。数据清洗旨在去除无效数据、噪声数据及异常值，确保数据的准确性和完整性。数据转换则将不同格式的数据转换为统一格式，便于后续处理与分析。数据集成将来自不同来源的数据进行整合，形成完整的数据视图。预处理阶段可能包括数据归一化、特征提取等操作，为数据分析层提供高质量的数据。</w:t>
      </w:r>
    </w:p>
    <w:p w14:paraId="7E5670A1">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（四）数据存储层</w:t>
      </w:r>
    </w:p>
    <w:p w14:paraId="552BD9AE">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数据存储层负责对处理后的数据进行持久化存储，以支持后续的数据分析与应用。常用的数据存储技术包括关系型数据库（如MySQL、Oracle）、非关系型数据库（如MongoDB、Redis）及数据仓库（如Hadoop、Spark）。关系型数据库适用于存储结构化数据，非关系型数据库则适用于存储半结构化和非结构化数据，而数据仓库则主要用于存储和分析大量历史数据，支持复杂的分析与决策。</w:t>
      </w:r>
    </w:p>
    <w:p w14:paraId="0E4AD888">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（五）数据分析层</w:t>
      </w:r>
    </w:p>
    <w:p w14:paraId="68619798">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数据分析层利用先进的数据分析技术（如数据挖掘、机器学习、统计分析等）对存储层中的数据进行分析处理，提取有价值的信息与知识。数据分析层可以支持多种分析功能，包括实时数据分析、历史数据分析、预测分析、异常检测等。通过这些分析功能，系统能够及时发现供水系统中的异常情况，预测未来供水需求，优化调度方案，提高供水效率。</w:t>
      </w:r>
    </w:p>
    <w:p w14:paraId="03019949">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（六）应用服务层</w:t>
      </w:r>
    </w:p>
    <w:p w14:paraId="6F622AAE">
      <w:pPr>
        <w:pStyle w:val="51"/>
        <w:ind w:firstLine="640" w:firstLineChars="200"/>
        <w:jc w:val="both"/>
        <w:rPr>
          <w:rFonts w:hint="default" w:ascii="Times New Roman" w:hAnsi="Times New Roman" w:eastAsia="仿宋"/>
          <w:color w:val="auto"/>
          <w:kern w:val="2"/>
          <w:sz w:val="32"/>
          <w:szCs w:val="32"/>
          <w:highlight w:val="none"/>
          <w:lang w:bidi="ar"/>
        </w:rPr>
      </w:pPr>
      <w:r>
        <w:rPr>
          <w:rFonts w:ascii="Times New Roman" w:hAnsi="Times New Roman" w:eastAsia="仿宋"/>
          <w:color w:val="auto"/>
          <w:kern w:val="2"/>
          <w:sz w:val="32"/>
          <w:szCs w:val="32"/>
          <w:highlight w:val="none"/>
          <w:lang w:bidi="ar"/>
        </w:rPr>
        <w:t>应用服务层是供水数字化系统与用户交互的界面，提供各种应用服务，如供水监控、水质分析、故障报警、报表生成、设备管理等。这些应用服务基于数据分析层提供的分析结果，为用户提供直观、易用的操作界面，帮助用户实时了解供水系统运行状态，及时发现并解决问题，提高供水管理质量。</w:t>
      </w:r>
    </w:p>
    <w:p w14:paraId="20E3BAA6">
      <w:pPr>
        <w:pStyle w:val="51"/>
        <w:ind w:firstLine="640" w:firstLineChars="200"/>
        <w:jc w:val="both"/>
        <w:rPr>
          <w:rFonts w:ascii="仿宋" w:hAnsi="仿宋" w:eastAsia="仿宋"/>
          <w:color w:val="auto"/>
          <w:kern w:val="2"/>
          <w:sz w:val="32"/>
          <w:szCs w:val="32"/>
          <w:highlight w:val="none"/>
          <w:lang w:bidi="ar"/>
        </w:rPr>
      </w:pPr>
      <w:r>
        <w:rPr>
          <w:rFonts w:hint="default" w:ascii="Times New Roman" w:hAnsi="Times New Roman" w:eastAsia="仿宋"/>
          <w:color w:val="auto"/>
          <w:kern w:val="2"/>
          <w:sz w:val="32"/>
          <w:szCs w:val="32"/>
          <w:highlight w:val="none"/>
          <w:lang w:bidi="ar"/>
        </w:rPr>
        <w:t>系统在浙里办，浙政钉获取相关人员的基本信息和层级关系，通过系统智能算法进行监督执行，发现问题后，通过接口调用方式在系统上进行预警，通过推送方式在浙里办，浙政钉通知相关人员和单位，处理完之后，通过api同步数据到本系统更新项目最新状态。</w:t>
      </w:r>
    </w:p>
    <w:p w14:paraId="3AAB5D63">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40" w:name="_Toc4542"/>
      <w:r>
        <w:rPr>
          <w:rFonts w:ascii="仿宋" w:hAnsi="仿宋" w:eastAsia="仿宋" w:cs="Times New Roman"/>
          <w:b/>
          <w:bCs/>
          <w:color w:val="auto"/>
          <w:sz w:val="32"/>
          <w:szCs w:val="32"/>
          <w:highlight w:val="none"/>
        </w:rPr>
        <w:t>系统性能需求分析</w:t>
      </w:r>
      <w:bookmarkEnd w:id="40"/>
    </w:p>
    <w:p w14:paraId="5B2A63D3">
      <w:pPr>
        <w:pStyle w:val="4"/>
        <w:numPr>
          <w:ilvl w:val="2"/>
          <w:numId w:val="2"/>
        </w:numPr>
        <w:spacing w:before="0" w:after="0" w:line="416" w:lineRule="auto"/>
        <w:rPr>
          <w:rFonts w:hint="eastAsia" w:ascii="仿宋" w:hAnsi="仿宋" w:eastAsia="仿宋" w:cs="Times New Roman"/>
          <w:b/>
          <w:bCs/>
          <w:color w:val="auto"/>
          <w:highlight w:val="none"/>
        </w:rPr>
      </w:pPr>
      <w:bookmarkStart w:id="41" w:name="_Toc2106275477"/>
      <w:bookmarkStart w:id="42" w:name="_Toc275692759"/>
      <w:bookmarkStart w:id="43" w:name="_Toc1529583914"/>
      <w:bookmarkStart w:id="44" w:name="_Toc26268"/>
      <w:bookmarkStart w:id="45" w:name="_Toc14495"/>
      <w:r>
        <w:rPr>
          <w:rFonts w:ascii="仿宋" w:hAnsi="仿宋" w:eastAsia="仿宋" w:cs="Times New Roman"/>
          <w:b/>
          <w:bCs/>
          <w:color w:val="auto"/>
          <w:highlight w:val="none"/>
        </w:rPr>
        <w:t>基本要求</w:t>
      </w:r>
      <w:bookmarkEnd w:id="41"/>
      <w:bookmarkEnd w:id="42"/>
      <w:bookmarkEnd w:id="43"/>
    </w:p>
    <w:p w14:paraId="04446CB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1、网络平台性能：要求数据传输网络畅通、快捷、高带宽、安全、可靠、可扩展。</w:t>
      </w:r>
    </w:p>
    <w:p w14:paraId="500BAB3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2、系统平台性能：要求采用通用性好的计算机系统、安全可靠的操作系统以及大型数据库系统，吞吐能力强，保证系统良好的性能，数据库系统必须具有良好的垂直升级能力。</w:t>
      </w:r>
    </w:p>
    <w:p w14:paraId="6AB4CED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3、应用支撑平台性能：要求应用支撑平台为业务应用系统的开发和运行提供技术支撑，具备有异构系统和数据平台的信息交换能力，并具有灵活的可扩展性和高度的可配置管理性。</w:t>
      </w:r>
    </w:p>
    <w:p w14:paraId="3570418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应用系统性能：应用系统性能应满足用户的要求，稳定、可靠、高效。人机界面友好，输出、输入方便，图表生成灵活美观，检索、查询、统计简单快捷。由于系统的数据量非常大，并且数据记录的增长速度非常快，对于关系数据库的查询能力和查询算法的 要求都非常高。必须设计出合理的数据库结构和查询算法，以保证查询的响应时间并不会随着记录的增长而急剧下降。</w:t>
      </w:r>
    </w:p>
    <w:p w14:paraId="2E8FE5E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数据性能：系统数据应完整、准确和及时。汇总统计、制表制图、分析计算、模型测算等功能比较安全，保证计算结果准确。本系统不仅数据量大，而且数据类型多样，包括图像、文本、TIF文件、PDF文件等信息类型，因此，对处理系统的计算能力有比较高的要求，也要求对数据库记录数的增长没有限制，并且保证数据库的可操作性。</w:t>
      </w:r>
    </w:p>
    <w:p w14:paraId="6174091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6、系统维护性能：提供信息系统正常运行所必须的管理和维护功能，包括数据备份与恢复、应用系统管理、信息内容管理、用户权限管理、代码维护等。</w:t>
      </w:r>
    </w:p>
    <w:p w14:paraId="3B8E85D6">
      <w:pPr>
        <w:pStyle w:val="4"/>
        <w:numPr>
          <w:ilvl w:val="2"/>
          <w:numId w:val="2"/>
        </w:numPr>
        <w:spacing w:before="0" w:after="0" w:line="416" w:lineRule="auto"/>
        <w:rPr>
          <w:rFonts w:hint="eastAsia" w:ascii="仿宋" w:hAnsi="仿宋" w:eastAsia="仿宋" w:cs="Times New Roman"/>
          <w:b/>
          <w:bCs/>
          <w:color w:val="auto"/>
          <w:highlight w:val="none"/>
        </w:rPr>
      </w:pPr>
      <w:bookmarkStart w:id="46" w:name="_Toc1445973934"/>
      <w:bookmarkStart w:id="47" w:name="_Toc190104361"/>
      <w:bookmarkStart w:id="48" w:name="_Toc1051504791"/>
      <w:r>
        <w:rPr>
          <w:rFonts w:ascii="仿宋" w:hAnsi="仿宋" w:eastAsia="仿宋" w:cs="Times New Roman"/>
          <w:b/>
          <w:bCs/>
          <w:color w:val="auto"/>
          <w:highlight w:val="none"/>
        </w:rPr>
        <w:t>系统响应时间</w:t>
      </w:r>
      <w:bookmarkEnd w:id="46"/>
      <w:bookmarkEnd w:id="47"/>
      <w:bookmarkEnd w:id="48"/>
    </w:p>
    <w:p w14:paraId="65B1369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数据承载量档案库单表1000万的情况下，达到以下指标：</w:t>
      </w:r>
    </w:p>
    <w:p w14:paraId="5A87FC2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从一个用户角度讲，一般性操作最长不超过2秒；系统响应时间≤2秒。对于一般的查询统计应控制在5秒；大型的复杂的查询统计应≤20秒。</w:t>
      </w:r>
    </w:p>
    <w:p w14:paraId="2DE1079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当用户做一些处理时间较长的操作时，能给出提示信息提醒用户，在返回数据量大导致响应时间过长时，能提供部分响应，例如分页取数据等，减少操作人员等待的时间。</w:t>
      </w:r>
    </w:p>
    <w:p w14:paraId="2CEDC24A">
      <w:pPr>
        <w:pStyle w:val="4"/>
        <w:numPr>
          <w:ilvl w:val="2"/>
          <w:numId w:val="2"/>
        </w:numPr>
        <w:spacing w:before="0" w:after="0" w:line="416" w:lineRule="auto"/>
        <w:rPr>
          <w:rFonts w:hint="eastAsia" w:ascii="仿宋" w:hAnsi="仿宋" w:eastAsia="仿宋" w:cs="Times New Roman"/>
          <w:b/>
          <w:bCs/>
          <w:color w:val="auto"/>
          <w:highlight w:val="none"/>
        </w:rPr>
      </w:pPr>
      <w:bookmarkStart w:id="49" w:name="_Toc1775812238"/>
      <w:bookmarkStart w:id="50" w:name="_Toc998091174"/>
      <w:bookmarkStart w:id="51" w:name="_Toc1558959286"/>
      <w:r>
        <w:rPr>
          <w:rFonts w:ascii="仿宋" w:hAnsi="仿宋" w:eastAsia="仿宋" w:cs="Times New Roman"/>
          <w:b/>
          <w:bCs/>
          <w:color w:val="auto"/>
          <w:highlight w:val="none"/>
        </w:rPr>
        <w:t>并发处理能力</w:t>
      </w:r>
      <w:bookmarkEnd w:id="49"/>
      <w:bookmarkEnd w:id="50"/>
      <w:bookmarkEnd w:id="51"/>
    </w:p>
    <w:p w14:paraId="384369D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系统能够支持同时从多个部门或地方并发使用，要求系统不能由于用户连接的增加明显降低系统的响应时间。新建系统需支持同时在线用户数10000人，并发用户数支持500人以上。</w:t>
      </w:r>
    </w:p>
    <w:p w14:paraId="0D3F8E6F">
      <w:pPr>
        <w:pStyle w:val="4"/>
        <w:numPr>
          <w:ilvl w:val="2"/>
          <w:numId w:val="2"/>
        </w:numPr>
        <w:spacing w:before="0" w:after="0" w:line="416" w:lineRule="auto"/>
        <w:rPr>
          <w:rFonts w:hint="eastAsia" w:ascii="仿宋" w:hAnsi="仿宋" w:eastAsia="仿宋" w:cs="Times New Roman"/>
          <w:b/>
          <w:bCs/>
          <w:color w:val="auto"/>
          <w:highlight w:val="none"/>
        </w:rPr>
      </w:pPr>
      <w:bookmarkStart w:id="52" w:name="_Toc923594701"/>
      <w:bookmarkStart w:id="53" w:name="_Toc348558060"/>
      <w:bookmarkStart w:id="54" w:name="_Toc2128226402"/>
      <w:r>
        <w:rPr>
          <w:rFonts w:ascii="仿宋" w:hAnsi="仿宋" w:eastAsia="仿宋" w:cs="Times New Roman"/>
          <w:b/>
          <w:bCs/>
          <w:color w:val="auto"/>
          <w:highlight w:val="none"/>
        </w:rPr>
        <w:t>稳定性</w:t>
      </w:r>
      <w:bookmarkEnd w:id="52"/>
      <w:bookmarkEnd w:id="53"/>
      <w:bookmarkEnd w:id="54"/>
    </w:p>
    <w:p w14:paraId="5A47F67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整个应用软件系统能够持续7×24小时不间断工作。</w:t>
      </w:r>
    </w:p>
    <w:p w14:paraId="15C616C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系统运行时间每1000小时中可用时间至少不小于999小时。故障间隔时间应大于1000小时。</w:t>
      </w:r>
    </w:p>
    <w:p w14:paraId="6B64C64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系统要保障数据的一致性，完整性，准确性要求达到99.99%。</w:t>
      </w:r>
    </w:p>
    <w:p w14:paraId="14187B6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对人工输入的数据以及来自不同接口的数据进行合法性检查，确保流程的通畅性，并且能够对错误数据进行自动纠错处理，并能够及时的对处理的数据进行更新。</w:t>
      </w:r>
    </w:p>
    <w:p w14:paraId="0A42C29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必须有数据存储设备，在更换平台时保证应用系统的平滑过渡。</w:t>
      </w:r>
    </w:p>
    <w:p w14:paraId="3E30AA3F">
      <w:pPr>
        <w:pStyle w:val="4"/>
        <w:numPr>
          <w:ilvl w:val="2"/>
          <w:numId w:val="2"/>
        </w:numPr>
        <w:spacing w:before="0" w:after="0" w:line="416" w:lineRule="auto"/>
        <w:rPr>
          <w:rFonts w:hint="eastAsia" w:ascii="仿宋" w:hAnsi="仿宋" w:eastAsia="仿宋" w:cs="Times New Roman"/>
          <w:b/>
          <w:bCs/>
          <w:color w:val="auto"/>
          <w:highlight w:val="none"/>
        </w:rPr>
      </w:pPr>
      <w:bookmarkStart w:id="55" w:name="_Toc844339191"/>
      <w:bookmarkStart w:id="56" w:name="_Toc7365"/>
      <w:bookmarkStart w:id="57" w:name="_Toc2027409051"/>
      <w:bookmarkStart w:id="58" w:name="_Toc613513982"/>
      <w:r>
        <w:rPr>
          <w:rFonts w:ascii="仿宋" w:hAnsi="仿宋" w:eastAsia="仿宋" w:cs="Times New Roman"/>
          <w:b/>
          <w:bCs/>
          <w:color w:val="auto"/>
          <w:highlight w:val="none"/>
        </w:rPr>
        <w:t>网络安全需求分析</w:t>
      </w:r>
      <w:bookmarkEnd w:id="55"/>
      <w:bookmarkEnd w:id="56"/>
      <w:bookmarkEnd w:id="57"/>
      <w:bookmarkEnd w:id="58"/>
    </w:p>
    <w:p w14:paraId="6C0008F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本项目建设基于龙泉市水务主管单位及城乡水务公司原有网络安全体系下进行建设，主要保证系统本身的安全架构和应用安全。</w:t>
      </w:r>
    </w:p>
    <w:p w14:paraId="586553B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（一）系统架构安全</w:t>
      </w:r>
    </w:p>
    <w:p w14:paraId="42492E6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系统要求可通过第三方检测机构的安全检测，不存在中等及以上的漏洞，拥有防SQL注入等安全措施。</w:t>
      </w:r>
    </w:p>
    <w:p w14:paraId="0C85211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（二）数据备份和恢复</w:t>
      </w:r>
    </w:p>
    <w:p w14:paraId="6A53781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系统需可设定数据备份机制，做到数据库和存储的定时备份、异地备份、增量备份。备份功能由专门的数据备份厂家实现。</w:t>
      </w:r>
    </w:p>
    <w:p w14:paraId="1F3343E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（三）数据安全</w:t>
      </w:r>
    </w:p>
    <w:p w14:paraId="0CBFDEB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1.数据传输、存储需实现加密；</w:t>
      </w:r>
    </w:p>
    <w:p w14:paraId="37CED88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2.外网不能直接访问核心数据库；</w:t>
      </w:r>
    </w:p>
    <w:p w14:paraId="1554D38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3.存储加密包括重要档案信息加密和档案影像的加密。</w:t>
      </w:r>
    </w:p>
    <w:p w14:paraId="72430BB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59" w:name="_Toc21125"/>
      <w:r>
        <w:rPr>
          <w:rFonts w:ascii="仿宋" w:hAnsi="仿宋" w:eastAsia="仿宋" w:cs="Times New Roman"/>
          <w:b/>
          <w:bCs/>
          <w:color w:val="auto"/>
          <w:sz w:val="32"/>
          <w:szCs w:val="32"/>
          <w:highlight w:val="none"/>
        </w:rPr>
        <w:t>项目查重分析</w:t>
      </w:r>
      <w:bookmarkEnd w:id="44"/>
      <w:bookmarkEnd w:id="45"/>
      <w:bookmarkEnd w:id="59"/>
    </w:p>
    <w:p w14:paraId="1125AED2">
      <w:pPr>
        <w:spacing w:after="0" w:line="600" w:lineRule="exact"/>
        <w:ind w:firstLine="640" w:firstLineChars="200"/>
        <w:rPr>
          <w:rFonts w:hint="eastAsia" w:ascii="仿宋" w:hAnsi="仿宋" w:eastAsia="仿宋" w:cs="Times New Roman"/>
          <w:color w:val="auto"/>
          <w:sz w:val="32"/>
          <w:szCs w:val="32"/>
          <w:highlight w:val="none"/>
        </w:rPr>
      </w:pPr>
      <w:r>
        <w:rPr>
          <w:rFonts w:ascii="Times New Roman" w:hAnsi="Times New Roman" w:eastAsia="仿宋" w:cs="Times New Roman"/>
          <w:color w:val="auto"/>
          <w:sz w:val="32"/>
          <w:szCs w:val="32"/>
          <w:highlight w:val="none"/>
        </w:rPr>
        <w:t>建设单位无与该项目建设功能相同、业务相近的应用或系统。业务相近的系统有“浙水好喝”</w:t>
      </w:r>
      <w:r>
        <w:rPr>
          <w:rFonts w:hint="eastAsia" w:ascii="Times New Roman" w:hAnsi="Times New Roman" w:eastAsia="仿宋" w:cs="Times New Roman"/>
          <w:color w:val="auto"/>
          <w:sz w:val="32"/>
          <w:szCs w:val="32"/>
          <w:highlight w:val="none"/>
        </w:rPr>
        <w:t>。应用功能方面，“浙水好喝”无管理部门水源质量相关预警功能</w:t>
      </w:r>
      <w:r>
        <w:rPr>
          <w:rFonts w:ascii="Times New Roman" w:hAnsi="Times New Roman" w:eastAsia="仿宋" w:cs="Times New Roman"/>
          <w:color w:val="auto"/>
          <w:sz w:val="32"/>
          <w:szCs w:val="32"/>
          <w:highlight w:val="none"/>
        </w:rPr>
        <w:t>。</w:t>
      </w:r>
      <w:r>
        <w:rPr>
          <w:rFonts w:hint="eastAsia" w:ascii="Times New Roman" w:hAnsi="Times New Roman" w:eastAsia="仿宋" w:cs="Times New Roman"/>
          <w:color w:val="auto"/>
          <w:sz w:val="32"/>
          <w:szCs w:val="32"/>
          <w:highlight w:val="none"/>
        </w:rPr>
        <w:t>系统检测数据对接水利局监测系统数据。</w:t>
      </w:r>
    </w:p>
    <w:p w14:paraId="6DB07671">
      <w:pPr>
        <w:pStyle w:val="4"/>
        <w:numPr>
          <w:ilvl w:val="2"/>
          <w:numId w:val="2"/>
        </w:numPr>
        <w:spacing w:before="0" w:after="0" w:line="416" w:lineRule="auto"/>
        <w:rPr>
          <w:rFonts w:hint="eastAsia" w:ascii="仿宋" w:hAnsi="仿宋" w:eastAsia="仿宋" w:cs="Times New Roman"/>
          <w:b/>
          <w:bCs/>
          <w:color w:val="auto"/>
          <w:highlight w:val="none"/>
        </w:rPr>
      </w:pPr>
      <w:bookmarkStart w:id="60" w:name="OLE_LINK4"/>
      <w:r>
        <w:rPr>
          <w:rFonts w:ascii="仿宋" w:hAnsi="仿宋" w:eastAsia="仿宋" w:cs="Times New Roman"/>
          <w:b/>
          <w:bCs/>
          <w:color w:val="auto"/>
          <w:highlight w:val="none"/>
        </w:rPr>
        <w:t>浙水好喝</w:t>
      </w:r>
    </w:p>
    <w:bookmarkEnd w:id="60"/>
    <w:p w14:paraId="25BCCA2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“浙水好喝”是浙江把数字理念贯穿于取用供水全过程，打造全省城乡供水从“源头到龙头”的“智治+服务”数字化管理平台，基本实现100%覆盖城乡居民，实时在线监测全省91%以上人口的供水质量。</w:t>
      </w:r>
    </w:p>
    <w:p w14:paraId="56A52DB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政府治理端，“浙水好喝”按照政府主管和行业监管要求，依托“浙政钉”建设“浙水好喝”城乡供水数字化管理应用，通过省住建、卫生健康、生态环境、气象等跨部门的数据共享，构建“用户服务”“安心水厂”“清洁水源”三个场景，形成水源地保护管理、水源水量水质、水厂制水生产、供水水量水质、供水用户等供水全流程信息汇聚共享。</w:t>
      </w:r>
    </w:p>
    <w:p w14:paraId="19D87C2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民生服务端，“浙水好喝”按照城乡公共服务均等化要求，依托“浙里办”打造数字社会“浙水好喝”服务专区，围绕群众缴费、办事、评价、资讯等高频需求和便民服务，建设“企业信息”“水质公告”“我要投诉”“饮水小知识”“热点资讯”“浙水情”“我要评价”7个省级统建功能模块，以及“我要缴费”“我要办事”“通知公告”等市县供水企业便民事项。</w:t>
      </w:r>
    </w:p>
    <w:p w14:paraId="211F015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企业管理端，“浙水好喝”发挥城乡市场主体作用，通过搭建“一县一平台”，倒逼城乡供水管理单位加速数字化转型，进一步提升企业管理水平和服务效能，为政府治理端、民生服务端提供数据资源及功能应用支撑。</w:t>
      </w:r>
    </w:p>
    <w:p w14:paraId="3D832A0B">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查重分析</w:t>
      </w:r>
    </w:p>
    <w:p w14:paraId="6BF0ADC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“浙水好喝” 主要功能为实时在线监测水源质量。应用功能方面，“浙水好喝”无管理部门水源质量相关预警功能，导致出现问题时，监管部门不能通过系统及时反应，形成监管闭环。</w:t>
      </w:r>
    </w:p>
    <w:p w14:paraId="0B46A31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为增强对供水业务的运营和监管的能力，实现城乡供水数字化运作，提高供水部门管理与服务的水平，有必要建设供水数字化系统。</w:t>
      </w:r>
    </w:p>
    <w:p w14:paraId="2FEAE15A">
      <w:pPr>
        <w:widowControl/>
        <w:spacing w:after="0" w:line="240" w:lineRule="auto"/>
        <w:jc w:val="lef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60D3FE2E">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61" w:name="_Toc10569"/>
      <w:bookmarkStart w:id="62" w:name="_Toc3449"/>
      <w:bookmarkStart w:id="63" w:name="_Toc10704"/>
      <w:r>
        <w:rPr>
          <w:rFonts w:ascii="仿宋" w:hAnsi="仿宋" w:eastAsia="仿宋" w:cs="Times New Roman"/>
          <w:b/>
          <w:bCs/>
          <w:color w:val="auto"/>
          <w:kern w:val="44"/>
          <w:sz w:val="44"/>
          <w:szCs w:val="44"/>
          <w:highlight w:val="none"/>
        </w:rPr>
        <w:t>项目建设设计</w:t>
      </w:r>
      <w:bookmarkEnd w:id="61"/>
      <w:bookmarkEnd w:id="62"/>
      <w:bookmarkEnd w:id="63"/>
    </w:p>
    <w:p w14:paraId="3FCB054D">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64" w:name="_Toc177737198"/>
      <w:bookmarkEnd w:id="64"/>
      <w:bookmarkStart w:id="65" w:name="_Toc177743781"/>
      <w:bookmarkEnd w:id="65"/>
      <w:bookmarkStart w:id="66" w:name="_Toc180074823"/>
      <w:bookmarkEnd w:id="66"/>
      <w:bookmarkStart w:id="67" w:name="_Toc177737128"/>
      <w:bookmarkEnd w:id="67"/>
      <w:bookmarkStart w:id="68" w:name="_Toc180074940"/>
      <w:bookmarkEnd w:id="68"/>
      <w:bookmarkStart w:id="69" w:name="_Toc26661"/>
      <w:bookmarkStart w:id="70" w:name="_Toc12114"/>
    </w:p>
    <w:p w14:paraId="6A97259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71" w:name="_Toc6910"/>
      <w:r>
        <w:rPr>
          <w:rFonts w:ascii="仿宋" w:hAnsi="仿宋" w:eastAsia="仿宋" w:cs="Times New Roman"/>
          <w:b/>
          <w:bCs/>
          <w:color w:val="auto"/>
          <w:sz w:val="32"/>
          <w:szCs w:val="32"/>
          <w:highlight w:val="none"/>
        </w:rPr>
        <w:t>项目建设</w:t>
      </w:r>
      <w:bookmarkEnd w:id="69"/>
      <w:bookmarkEnd w:id="70"/>
      <w:r>
        <w:rPr>
          <w:rFonts w:ascii="仿宋" w:hAnsi="仿宋" w:eastAsia="仿宋" w:cs="Times New Roman"/>
          <w:b/>
          <w:bCs/>
          <w:color w:val="auto"/>
          <w:sz w:val="32"/>
          <w:szCs w:val="32"/>
          <w:highlight w:val="none"/>
        </w:rPr>
        <w:t>基本思路</w:t>
      </w:r>
      <w:bookmarkEnd w:id="71"/>
    </w:p>
    <w:p w14:paraId="438A5B7D">
      <w:pPr>
        <w:pStyle w:val="4"/>
        <w:numPr>
          <w:ilvl w:val="2"/>
          <w:numId w:val="2"/>
        </w:numPr>
        <w:spacing w:before="0" w:after="0" w:line="416" w:lineRule="auto"/>
        <w:ind w:left="1320" w:hanging="440"/>
        <w:rPr>
          <w:rFonts w:hint="eastAsia" w:ascii="仿宋" w:hAnsi="仿宋" w:eastAsia="仿宋" w:cs="Times New Roman"/>
          <w:b/>
          <w:bCs/>
          <w:color w:val="auto"/>
          <w:highlight w:val="none"/>
        </w:rPr>
      </w:pPr>
      <w:r>
        <w:rPr>
          <w:rFonts w:ascii="仿宋" w:hAnsi="仿宋" w:eastAsia="仿宋" w:cs="Times New Roman"/>
          <w:b/>
          <w:bCs/>
          <w:color w:val="auto"/>
          <w:highlight w:val="none"/>
        </w:rPr>
        <w:t>建设原则</w:t>
      </w:r>
    </w:p>
    <w:p w14:paraId="2DE49C6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供水数字化系统的建设需要综合考虑，以确保系统不仅能满足当前的需求，还能适应未来的变化和发展。项目建设将遵循以下原则：</w:t>
      </w:r>
    </w:p>
    <w:p w14:paraId="36502A8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技术发展</w:t>
      </w:r>
    </w:p>
    <w:p w14:paraId="3C7B549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前瞻性：选择当前较为成熟的技术，并且要考虑到技术的演进趋势，避免采用即将被淘汰的技术。</w:t>
      </w:r>
    </w:p>
    <w:p w14:paraId="62698B8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标准化：采用国际或国家标准规范，确保系统的长期适用性。</w:t>
      </w:r>
    </w:p>
    <w:p w14:paraId="061BD13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兼容性</w:t>
      </w:r>
    </w:p>
    <w:p w14:paraId="7435931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操作性：确保系统能够与现有的硬件、软件以及其他子系统无缝对接，支持不同品牌设备间的互联互通。</w:t>
      </w:r>
    </w:p>
    <w:p w14:paraId="4658424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开放性：采用开放架构，便于第三方应用和服务的集成，提高系统的灵活性和扩展能力。</w:t>
      </w:r>
    </w:p>
    <w:p w14:paraId="42F379B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可用性</w:t>
      </w:r>
    </w:p>
    <w:p w14:paraId="1191CFE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高可用性：系统应具备高可用性设计，如冗余备份机制、故障转移策略等，确保服务连续不间断。</w:t>
      </w:r>
    </w:p>
    <w:p w14:paraId="21E1AA0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用户体验：设计直观易懂的操作界面，简化用户的学习曲线，提高用户的满意度。</w:t>
      </w:r>
    </w:p>
    <w:p w14:paraId="6943E77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易维护性</w:t>
      </w:r>
    </w:p>
    <w:p w14:paraId="6D12B64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模块化设计：采用模块化架构，便于单个组件的替换和升级，减少系统维护的工作量。</w:t>
      </w:r>
    </w:p>
    <w:p w14:paraId="01E7FF5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远程管理：支持远程监控和管理功能，使技术人员能够在异地进行系统维护和故障排查。</w:t>
      </w:r>
    </w:p>
    <w:p w14:paraId="3C3C5B8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 安全性</w:t>
      </w:r>
    </w:p>
    <w:p w14:paraId="7290A54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数据加密：对敏感数据进行加密传输和存储，防止数据泄露。</w:t>
      </w:r>
    </w:p>
    <w:p w14:paraId="3221BE6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访问控制：实施严格的访问控制策略，确保只有授权人员能够访问系统。</w:t>
      </w:r>
    </w:p>
    <w:p w14:paraId="539364C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6. 性价比</w:t>
      </w:r>
    </w:p>
    <w:p w14:paraId="588E89A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成本效益：在满足功能需求的前提下，尽量选择性价比高的解决方案，避免过度投资。</w:t>
      </w:r>
    </w:p>
    <w:p w14:paraId="6F429CB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生命周期成本：综合考虑采购、部署、运维、升级等各个环节的成本，实现整体最优。</w:t>
      </w:r>
    </w:p>
    <w:p w14:paraId="6982C6EF">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标准规范</w:t>
      </w:r>
    </w:p>
    <w:p w14:paraId="5916B05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《中华人民共和国国务院147号中华人民共和国计算机信息系统安全保护条例》</w:t>
      </w:r>
    </w:p>
    <w:p w14:paraId="5677DA9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《公共安全视频监控联网系统信息传输、交换、控制技术要求》（GB/T28181-2016）</w:t>
      </w:r>
    </w:p>
    <w:p w14:paraId="4F08A1C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《信息安全技术网络系统安全等级保护基本要求》（GB/T22239-2019）</w:t>
      </w:r>
    </w:p>
    <w:p w14:paraId="193406F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GB/T8566-2007信息技术软件生存周期过程</w:t>
      </w:r>
    </w:p>
    <w:p w14:paraId="7BFD301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GB/T8567-2006计算机软件文档编制规范</w:t>
      </w:r>
    </w:p>
    <w:p w14:paraId="3B2AB8D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GB/T9385-1988计算机软件需求说明编制指南</w:t>
      </w:r>
    </w:p>
    <w:p w14:paraId="710141C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GB/T9386-1988计算机软件测试文件编制规范</w:t>
      </w:r>
    </w:p>
    <w:p w14:paraId="58465CC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GB/T15532-1995计算机软件单元测试</w:t>
      </w:r>
    </w:p>
    <w:p w14:paraId="1E62B36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GB/T16680-1996软件文档管理指南</w:t>
      </w:r>
    </w:p>
    <w:p w14:paraId="4B88960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GB/T17544-1998信息技术软件包质量要求和测试</w:t>
      </w:r>
    </w:p>
    <w:p w14:paraId="51F1A70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GB/Z18493-2001信息技术软件生存周期过程指南</w:t>
      </w:r>
    </w:p>
    <w:p w14:paraId="3EA1686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GB/Z20156-2006软件工程软件生存周期过程用于项目管理的指南</w:t>
      </w:r>
    </w:p>
    <w:p w14:paraId="512ED50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GB/T20157-2006信息技术软件维护</w:t>
      </w:r>
    </w:p>
    <w:p w14:paraId="0CAECAA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GB/T20158-2006信息技术软件生存周期过程配置管理</w:t>
      </w:r>
    </w:p>
    <w:p w14:paraId="28A0439A">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技术路线</w:t>
      </w:r>
    </w:p>
    <w:p w14:paraId="274E3EDE">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1、</w:t>
      </w:r>
      <w:r>
        <w:rPr>
          <w:rFonts w:ascii="仿宋" w:hAnsi="仿宋" w:eastAsia="仿宋" w:cs="Times New Roman"/>
          <w:color w:val="auto"/>
          <w:sz w:val="32"/>
          <w:szCs w:val="32"/>
          <w:highlight w:val="none"/>
        </w:rPr>
        <w:t>需求分析与定义：</w:t>
      </w:r>
    </w:p>
    <w:p w14:paraId="7FCE8EE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在项目启动之初，团队成员会与</w:t>
      </w:r>
      <w:r>
        <w:rPr>
          <w:rFonts w:hint="eastAsia" w:ascii="仿宋" w:hAnsi="仿宋" w:eastAsia="仿宋" w:cs="Times New Roman"/>
          <w:color w:val="auto"/>
          <w:sz w:val="32"/>
          <w:szCs w:val="32"/>
          <w:highlight w:val="none"/>
        </w:rPr>
        <w:t>建设单位</w:t>
      </w:r>
      <w:r>
        <w:rPr>
          <w:rFonts w:ascii="仿宋" w:hAnsi="仿宋" w:eastAsia="仿宋" w:cs="Times New Roman"/>
          <w:color w:val="auto"/>
          <w:sz w:val="32"/>
          <w:szCs w:val="32"/>
          <w:highlight w:val="none"/>
        </w:rPr>
        <w:t>进行深入沟通，通过访谈、问卷调查和工作坊等多种方式，确保对业务目标和用户需求有清晰的理解。随后，团队会使用用例图、用户故事等方法来定义功能需求，确保每个功能点都能为最终用户带来价值。此外，进行市场调研和竞品分析，从而设计出既有创新性又符合市场需求的软件产品。</w:t>
      </w:r>
    </w:p>
    <w:p w14:paraId="324D4654">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2、</w:t>
      </w:r>
      <w:r>
        <w:rPr>
          <w:rFonts w:ascii="仿宋" w:hAnsi="仿宋" w:eastAsia="仿宋" w:cs="Times New Roman"/>
          <w:color w:val="auto"/>
          <w:sz w:val="32"/>
          <w:szCs w:val="32"/>
          <w:highlight w:val="none"/>
        </w:rPr>
        <w:t>系统架构设计：</w:t>
      </w:r>
    </w:p>
    <w:p w14:paraId="598FDBA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在确定了需求之后，接下来是设计一个稳定又灵活的系统架构。根据项目的规模、性能要求和可维护性等因素，选择合适的软件架构模式。</w:t>
      </w:r>
    </w:p>
    <w:p w14:paraId="7EEA9F62">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3、</w:t>
      </w:r>
      <w:r>
        <w:rPr>
          <w:rFonts w:ascii="仿宋" w:hAnsi="仿宋" w:eastAsia="仿宋" w:cs="Times New Roman"/>
          <w:color w:val="auto"/>
          <w:sz w:val="32"/>
          <w:szCs w:val="32"/>
          <w:highlight w:val="none"/>
        </w:rPr>
        <w:t>技术选型：</w:t>
      </w:r>
    </w:p>
    <w:p w14:paraId="09F16D4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综合考虑技术的成熟度、社区支持、性能、安全性以及团队的熟悉程度等因素。对于前端开发，选择Vue的JavaScript框架。对于后端开发，选择Java的Spring Boot。</w:t>
      </w:r>
    </w:p>
    <w:p w14:paraId="0DF9642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4、</w:t>
      </w:r>
      <w:r>
        <w:rPr>
          <w:rFonts w:ascii="仿宋" w:hAnsi="仿宋" w:eastAsia="仿宋" w:cs="Times New Roman"/>
          <w:color w:val="auto"/>
          <w:sz w:val="32"/>
          <w:szCs w:val="32"/>
          <w:highlight w:val="none"/>
        </w:rPr>
        <w:t>数据管理：</w:t>
      </w:r>
    </w:p>
    <w:p w14:paraId="33840A9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数据库模型的设计需要考虑到数据的结构、关系和完整性约束，以确保数据的一致性和准确性。数据存储方案的选择则需要考虑数据量的大小、访问频率和安全性要求。例如，对于需要处理大量数据和高并发访问的应用，可能会选择分布式数据库解决方案。数据备份和恢复策略是防止数据丢失的重要手段，而数据安全性和隐私保护措施则需要符合相关法律法规的要求。</w:t>
      </w:r>
    </w:p>
    <w:p w14:paraId="6B96A482">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5、</w:t>
      </w:r>
      <w:r>
        <w:rPr>
          <w:rFonts w:ascii="仿宋" w:hAnsi="仿宋" w:eastAsia="仿宋" w:cs="Times New Roman"/>
          <w:color w:val="auto"/>
          <w:sz w:val="32"/>
          <w:szCs w:val="32"/>
          <w:highlight w:val="none"/>
        </w:rPr>
        <w:t>用户界面设计：</w:t>
      </w:r>
    </w:p>
    <w:p w14:paraId="0D31F9C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用户界面（UI）是用户与软件系统交互的直接界面，因此设计一个直观、易用的用户界面对于提升用户体验至关重要。设计师使用原型设计工具Adobe XD来创建界面原型，并通过用户测试来收集反馈，不断优化界面设计。</w:t>
      </w:r>
    </w:p>
    <w:p w14:paraId="5148062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6、</w:t>
      </w:r>
      <w:r>
        <w:rPr>
          <w:rFonts w:ascii="仿宋" w:hAnsi="仿宋" w:eastAsia="仿宋" w:cs="Times New Roman"/>
          <w:color w:val="auto"/>
          <w:sz w:val="32"/>
          <w:szCs w:val="32"/>
          <w:highlight w:val="none"/>
        </w:rPr>
        <w:t>安全性设计：</w:t>
      </w:r>
    </w:p>
    <w:p w14:paraId="5321159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在软件开发中，安全性设计是不可忽视的一环。遵循安全编码标准和最佳实践，如OWASP Top 10，来防止常见的安全漏洞，如SQL注入、跨站脚本攻击（XSS）和跨站请求伪造（CSRF）。</w:t>
      </w:r>
    </w:p>
    <w:p w14:paraId="3745C1EE">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7、</w:t>
      </w:r>
      <w:r>
        <w:rPr>
          <w:rFonts w:ascii="仿宋" w:hAnsi="仿宋" w:eastAsia="仿宋" w:cs="Times New Roman"/>
          <w:color w:val="auto"/>
          <w:sz w:val="32"/>
          <w:szCs w:val="32"/>
          <w:highlight w:val="none"/>
        </w:rPr>
        <w:t>性能优化：</w:t>
      </w:r>
    </w:p>
    <w:p w14:paraId="0A2DA84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性能是衡量软件质量的重要指标之一。开发团队通过性能测试和分析来识别系统的瓶颈，然后采取相应的优化措施。例如，优化算法和数据结构可以减少计算时间和内存消耗；使用缓存技术可以减少数据库的访问次数，提高响应速度；负载均衡和异步处理技术可以提高系统的并发处理能力。</w:t>
      </w:r>
    </w:p>
    <w:p w14:paraId="149D2C9F">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8、</w:t>
      </w:r>
      <w:r>
        <w:rPr>
          <w:rFonts w:ascii="仿宋" w:hAnsi="仿宋" w:eastAsia="仿宋" w:cs="Times New Roman"/>
          <w:color w:val="auto"/>
          <w:sz w:val="32"/>
          <w:szCs w:val="32"/>
          <w:highlight w:val="none"/>
        </w:rPr>
        <w:t>维护与迭代：</w:t>
      </w:r>
    </w:p>
    <w:p w14:paraId="6CC5832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软件发布后，维护和迭代是保证产品长期成功的关键。根据用户反馈和市场变化，团队会定期更新软件，修复已知问题，增加新功能。</w:t>
      </w:r>
    </w:p>
    <w:p w14:paraId="7045ACF5">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72" w:name="_Toc22133"/>
      <w:r>
        <w:rPr>
          <w:rFonts w:ascii="仿宋" w:hAnsi="仿宋" w:eastAsia="仿宋" w:cs="Times New Roman"/>
          <w:b/>
          <w:bCs/>
          <w:color w:val="auto"/>
          <w:sz w:val="32"/>
          <w:szCs w:val="32"/>
          <w:highlight w:val="none"/>
        </w:rPr>
        <w:t>建设方案</w:t>
      </w:r>
      <w:bookmarkEnd w:id="72"/>
    </w:p>
    <w:p w14:paraId="3C0936F4">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水源监测</w:t>
      </w:r>
    </w:p>
    <w:p w14:paraId="488E0389">
      <w:pPr>
        <w:spacing w:after="0" w:line="600" w:lineRule="exact"/>
        <w:ind w:firstLine="640" w:firstLineChars="200"/>
        <w:rPr>
          <w:rFonts w:hint="eastAsia" w:ascii="仿宋" w:hAnsi="仿宋" w:eastAsia="仿宋" w:cs="Times New Roman"/>
          <w:color w:val="auto"/>
          <w:sz w:val="32"/>
          <w:szCs w:val="32"/>
          <w:highlight w:val="none"/>
        </w:rPr>
      </w:pPr>
      <w:bookmarkStart w:id="73" w:name="OLE_LINK3"/>
      <w:r>
        <w:rPr>
          <w:rFonts w:ascii="仿宋" w:hAnsi="仿宋" w:eastAsia="仿宋" w:cs="Times New Roman"/>
          <w:color w:val="auto"/>
          <w:sz w:val="32"/>
          <w:szCs w:val="32"/>
          <w:highlight w:val="none"/>
        </w:rPr>
        <w:t>利用最新的水质水量在线分析技术，连续自动监测被测水体的水量及水质变化情况，并对监测结果进行数据采集、传输和存储，及时</w:t>
      </w:r>
      <w:r>
        <w:rPr>
          <w:rFonts w:hint="eastAsia" w:ascii="仿宋" w:hAnsi="仿宋" w:eastAsia="仿宋" w:cs="Times New Roman"/>
          <w:color w:val="auto"/>
          <w:sz w:val="32"/>
          <w:szCs w:val="32"/>
          <w:highlight w:val="none"/>
        </w:rPr>
        <w:t>、</w:t>
      </w:r>
      <w:r>
        <w:rPr>
          <w:rFonts w:ascii="仿宋" w:hAnsi="仿宋" w:eastAsia="仿宋" w:cs="Times New Roman"/>
          <w:color w:val="auto"/>
          <w:sz w:val="32"/>
          <w:szCs w:val="32"/>
          <w:highlight w:val="none"/>
        </w:rPr>
        <w:t>准确地反映供水工程水质水量状况和动态变化趋势，为农村供水工程供水保证率及水质达标率评价提供技术支持。</w:t>
      </w:r>
    </w:p>
    <w:p w14:paraId="0B2A70E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该模块通过与现场安装的监测设备做接口对接，接入现场的监测数据，对各类监测设备实时传回的监测数据进行分析，主要对同一种监测数据源进行不同测点或者同一数据测点不同时间段的数据进行对比，挖掘对应的关联信息，为预警报警提供数据支持。</w:t>
      </w:r>
    </w:p>
    <w:bookmarkEnd w:id="73"/>
    <w:p w14:paraId="7639B7A9">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主要是对水质情况（PH值、余氯、浊度等水质情况）、 供水水压情况、清水池水位情况、出厂水流量情况等数据进行检测。</w:t>
      </w:r>
    </w:p>
    <w:p w14:paraId="1F47D09F">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水质监测：对PH值、余氯、浊度等水质情况进行展示查询，包括实时水质、过程曲线、表格展示。</w:t>
      </w:r>
    </w:p>
    <w:p w14:paraId="211B31E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水压检测：对供水水压情况进行展示查询，包括过程曲 线、表格展示。</w:t>
      </w:r>
    </w:p>
    <w:p w14:paraId="2B56A2CB">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清水池水位监测：对清水池水位情况进行展示查询，包括实时水位、过程曲线、表格展示。</w:t>
      </w:r>
    </w:p>
    <w:p w14:paraId="35B015D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出厂水流量监测：对出厂水流量情况进行展示查询，包括过程曲线、表格展示。</w:t>
      </w:r>
    </w:p>
    <w:p w14:paraId="3F42DFF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此模块检测数据主要通过对接水利局监测系统数据，用于本项目数据应用。</w:t>
      </w:r>
    </w:p>
    <w:p w14:paraId="039751DD">
      <w:pPr>
        <w:pStyle w:val="4"/>
        <w:numPr>
          <w:ilvl w:val="2"/>
          <w:numId w:val="2"/>
        </w:numPr>
        <w:spacing w:before="0" w:after="0" w:line="416" w:lineRule="auto"/>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监测</w:t>
      </w:r>
      <w:r>
        <w:rPr>
          <w:rFonts w:ascii="仿宋" w:hAnsi="仿宋" w:eastAsia="仿宋" w:cs="Times New Roman"/>
          <w:b/>
          <w:bCs/>
          <w:color w:val="auto"/>
          <w:highlight w:val="none"/>
        </w:rPr>
        <w:t>预警</w:t>
      </w:r>
      <w:r>
        <w:rPr>
          <w:rFonts w:hint="eastAsia" w:ascii="仿宋" w:hAnsi="仿宋" w:eastAsia="仿宋" w:cs="Times New Roman"/>
          <w:b/>
          <w:bCs/>
          <w:color w:val="auto"/>
          <w:highlight w:val="none"/>
        </w:rPr>
        <w:t>管理</w:t>
      </w:r>
    </w:p>
    <w:p w14:paraId="5F2C4F2B">
      <w:pPr>
        <w:pStyle w:val="5"/>
        <w:numPr>
          <w:ilvl w:val="3"/>
          <w:numId w:val="2"/>
        </w:numPr>
        <w:spacing w:before="0" w:after="0" w:line="416" w:lineRule="auto"/>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可供水量趋势预警预报</w:t>
      </w:r>
    </w:p>
    <w:p w14:paraId="41E61431">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通过对接水利局系统，实时获取现场水站的供水量信息，并对相关数据进行统计分析，并结合当地气象预报，系统分析</w:t>
      </w:r>
      <w:r>
        <w:rPr>
          <w:rFonts w:ascii="仿宋" w:hAnsi="仿宋" w:eastAsia="仿宋" w:cs="Times New Roman"/>
          <w:color w:val="auto"/>
          <w:sz w:val="32"/>
          <w:szCs w:val="32"/>
          <w:highlight w:val="none"/>
        </w:rPr>
        <w:t>水源可供水量和趋势的预警预报</w:t>
      </w:r>
      <w:r>
        <w:rPr>
          <w:rFonts w:hint="eastAsia" w:ascii="仿宋" w:hAnsi="仿宋" w:eastAsia="仿宋" w:cs="Times New Roman"/>
          <w:color w:val="auto"/>
          <w:sz w:val="32"/>
          <w:szCs w:val="32"/>
          <w:highlight w:val="none"/>
        </w:rPr>
        <w:t>，并将预警预报数据形成相关报表推送至相关水站负责人及行业管理人员，为管理人员的水源调度提供数字化支撑</w:t>
      </w:r>
      <w:r>
        <w:rPr>
          <w:rFonts w:ascii="仿宋" w:hAnsi="仿宋" w:eastAsia="仿宋" w:cs="Times New Roman"/>
          <w:color w:val="auto"/>
          <w:sz w:val="32"/>
          <w:szCs w:val="32"/>
          <w:highlight w:val="none"/>
        </w:rPr>
        <w:t>。</w:t>
      </w:r>
    </w:p>
    <w:p w14:paraId="32A16109">
      <w:pPr>
        <w:pStyle w:val="5"/>
        <w:numPr>
          <w:ilvl w:val="3"/>
          <w:numId w:val="2"/>
        </w:numPr>
        <w:spacing w:before="0" w:after="0" w:line="416" w:lineRule="auto"/>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水源水质预警</w:t>
      </w:r>
    </w:p>
    <w:p w14:paraId="741469D0">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通过对接水利局系统，实时获取现场水站的水质监测数据，并对监测的数据进行分类，通过预警功能的设定，对对接的数据进行清洗、过滤</w:t>
      </w:r>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梳理相关监测指标，实现</w:t>
      </w:r>
      <w:r>
        <w:rPr>
          <w:rFonts w:ascii="仿宋" w:hAnsi="仿宋" w:eastAsia="仿宋" w:cs="Times New Roman"/>
          <w:color w:val="auto"/>
          <w:sz w:val="32"/>
          <w:szCs w:val="32"/>
          <w:highlight w:val="none"/>
        </w:rPr>
        <w:t>对水源水质情况进行预警;可查看水质变化曲线,对水质变化趋势进行研判,提前对管理人员预报水质预判结果、影响因素和变化趋势等信息,实现水源水质恶化趋势的提前告警及预报。</w:t>
      </w:r>
    </w:p>
    <w:p w14:paraId="4E2C3EB5">
      <w:pPr>
        <w:pStyle w:val="5"/>
        <w:numPr>
          <w:ilvl w:val="3"/>
          <w:numId w:val="2"/>
        </w:numPr>
        <w:spacing w:before="0" w:after="0" w:line="416" w:lineRule="auto"/>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水源及旱情预警系统</w:t>
      </w:r>
    </w:p>
    <w:p w14:paraId="126E803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实现对水资源安全综合管控，通过建立水资源（小微水体）数字模型结合历史供水数据，预测小微水体的枯水期，及影响乡镇、单村用水风险预警预报、实施调度指挥。</w:t>
      </w:r>
    </w:p>
    <w:p w14:paraId="3438BAD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通过AI智能识别和遥感水质反馈，预警预报水质污水事故，并模拟展示水质演变过程，及影响乡镇、单村用水风险提示、实施调度指挥。</w:t>
      </w:r>
    </w:p>
    <w:p w14:paraId="7F654257">
      <w:pPr>
        <w:pStyle w:val="4"/>
        <w:numPr>
          <w:ilvl w:val="2"/>
          <w:numId w:val="2"/>
        </w:numPr>
        <w:spacing w:before="0" w:after="0" w:line="416" w:lineRule="auto"/>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水站管理系统</w:t>
      </w:r>
    </w:p>
    <w:p w14:paraId="6AAEFB3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主要包含以下功能模块：</w:t>
      </w:r>
    </w:p>
    <w:p w14:paraId="55E75CBE">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综合管控</w:t>
      </w:r>
    </w:p>
    <w:p w14:paraId="27DDCBF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结合GIS实现一张图水资源管理、小微水体枯竭时间展示、监测报警展示、旱情预警展示、水质污水展示、预警行动展示、乡镇/单村可持续用水时长统计，调度指挥展示等。</w:t>
      </w:r>
    </w:p>
    <w:p w14:paraId="02E6FF54">
      <w:pPr>
        <w:spacing w:after="0" w:line="240" w:lineRule="auto"/>
        <w:rPr>
          <w:rFonts w:hint="eastAsia" w:ascii="仿宋" w:hAnsi="仿宋" w:eastAsia="仿宋" w:cs="Times New Roman"/>
          <w:color w:val="auto"/>
          <w:highlight w:val="none"/>
        </w:rPr>
      </w:pPr>
      <w:r>
        <w:rPr>
          <w:rFonts w:ascii="仿宋" w:hAnsi="仿宋" w:eastAsia="仿宋" w:cs="Times New Roman"/>
          <w:color w:val="auto"/>
          <w:sz w:val="32"/>
          <w:szCs w:val="32"/>
          <w:highlight w:val="none"/>
        </w:rPr>
        <w:drawing>
          <wp:inline distT="0" distB="0" distL="114300" distR="114300">
            <wp:extent cx="5203825" cy="2599690"/>
            <wp:effectExtent l="0" t="0" r="15875" b="10160"/>
            <wp:docPr id="339073871" name="图片 3" descr="图形用户界面, 应用程序, 表格&#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073871" name="图片 3" descr="图形用户界面, 应用程序, 表格&#10;&#10;描述已自动生成"/>
                    <pic:cNvPicPr>
                      <a:picLocks noChangeAspect="1"/>
                    </pic:cNvPicPr>
                  </pic:nvPicPr>
                  <pic:blipFill>
                    <a:blip r:embed="rId10"/>
                    <a:stretch>
                      <a:fillRect/>
                    </a:stretch>
                  </pic:blipFill>
                  <pic:spPr>
                    <a:xfrm>
                      <a:off x="0" y="0"/>
                      <a:ext cx="5203825" cy="2599690"/>
                    </a:xfrm>
                    <a:prstGeom prst="rect">
                      <a:avLst/>
                    </a:prstGeom>
                    <a:noFill/>
                    <a:ln>
                      <a:noFill/>
                    </a:ln>
                  </pic:spPr>
                </pic:pic>
              </a:graphicData>
            </a:graphic>
          </wp:inline>
        </w:drawing>
      </w:r>
    </w:p>
    <w:p w14:paraId="72DDF442">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水源管理</w:t>
      </w:r>
    </w:p>
    <w:p w14:paraId="47F0716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主要针对供水资源的台账管理系统，结合GIS展示水资源位置信息、取水口信息、水质类别、责任人、供水区域信息（位置（乡镇、单村（户、人口）））等基本信息台账，可进行基本信息动态维护。</w:t>
      </w:r>
    </w:p>
    <w:p w14:paraId="6E3B5CB3">
      <w:pPr>
        <w:spacing w:after="0" w:line="240" w:lineRule="auto"/>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37480" cy="2726055"/>
            <wp:effectExtent l="0" t="0" r="1270" b="0"/>
            <wp:docPr id="690172961" name="图片 7" descr="图形用户界面, 应用程序, Word&#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172961" name="图片 7" descr="图形用户界面, 应用程序, Word&#10;&#10;描述已自动生成"/>
                    <pic:cNvPicPr>
                      <a:picLocks noChangeAspect="1"/>
                    </pic:cNvPicPr>
                  </pic:nvPicPr>
                  <pic:blipFill>
                    <a:blip r:embed="rId11"/>
                    <a:stretch>
                      <a:fillRect/>
                    </a:stretch>
                  </pic:blipFill>
                  <pic:spPr>
                    <a:xfrm>
                      <a:off x="0" y="0"/>
                      <a:ext cx="5237480" cy="2726055"/>
                    </a:xfrm>
                    <a:prstGeom prst="rect">
                      <a:avLst/>
                    </a:prstGeom>
                    <a:noFill/>
                    <a:ln>
                      <a:noFill/>
                    </a:ln>
                  </pic:spPr>
                </pic:pic>
              </a:graphicData>
            </a:graphic>
          </wp:inline>
        </w:drawing>
      </w:r>
    </w:p>
    <w:p w14:paraId="76602886">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水体数据模型</w:t>
      </w:r>
    </w:p>
    <w:p w14:paraId="61FF934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根据水资源（小微水体）的库容量、实时水位及历史水量、制水水量、用水水量搭建一套水资源（小微水体）的数字模型，模拟推测出水体（小微水体）枯竭时间。</w:t>
      </w:r>
    </w:p>
    <w:p w14:paraId="24C26C67">
      <w:pPr>
        <w:pStyle w:val="11"/>
        <w:spacing w:line="240" w:lineRule="auto"/>
        <w:ind w:firstLine="0" w:firstLineChars="0"/>
        <w:jc w:val="center"/>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60340" cy="3080385"/>
            <wp:effectExtent l="0" t="0" r="0" b="5715"/>
            <wp:docPr id="1390197983" name="图片 11" descr="地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197983" name="图片 11" descr="地图&#10;&#10;描述已自动生成"/>
                    <pic:cNvPicPr>
                      <a:picLocks noChangeAspect="1"/>
                    </pic:cNvPicPr>
                  </pic:nvPicPr>
                  <pic:blipFill>
                    <a:blip r:embed="rId12"/>
                    <a:stretch>
                      <a:fillRect/>
                    </a:stretch>
                  </pic:blipFill>
                  <pic:spPr>
                    <a:xfrm>
                      <a:off x="0" y="0"/>
                      <a:ext cx="5260340" cy="3080385"/>
                    </a:xfrm>
                    <a:prstGeom prst="rect">
                      <a:avLst/>
                    </a:prstGeom>
                    <a:noFill/>
                    <a:ln>
                      <a:noFill/>
                    </a:ln>
                  </pic:spPr>
                </pic:pic>
              </a:graphicData>
            </a:graphic>
          </wp:inline>
        </w:drawing>
      </w:r>
    </w:p>
    <w:p w14:paraId="51C5822F">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监测报警</w:t>
      </w:r>
    </w:p>
    <w:p w14:paraId="21202BF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主要通过感知设备、AI智能设备、遥感水质数据实现水资源监测（水位、水质、水量、视频），包含：实时数据、曲线数据、报警数据、并可以实现历史数据的同比、环比。</w:t>
      </w:r>
    </w:p>
    <w:p w14:paraId="6A42F22D">
      <w:pPr>
        <w:pStyle w:val="11"/>
        <w:spacing w:line="240" w:lineRule="auto"/>
        <w:ind w:firstLine="0" w:firstLineChars="0"/>
        <w:jc w:val="center"/>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66690" cy="2440940"/>
            <wp:effectExtent l="0" t="0" r="10160" b="16510"/>
            <wp:docPr id="548133825" name="图片 13" descr="图形用户界面, 应用程序&#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133825" name="图片 13" descr="图形用户界面, 应用程序&#10;&#10;描述已自动生成"/>
                    <pic:cNvPicPr>
                      <a:picLocks noChangeAspect="1"/>
                    </pic:cNvPicPr>
                  </pic:nvPicPr>
                  <pic:blipFill>
                    <a:blip r:embed="rId13"/>
                    <a:stretch>
                      <a:fillRect/>
                    </a:stretch>
                  </pic:blipFill>
                  <pic:spPr>
                    <a:xfrm>
                      <a:off x="0" y="0"/>
                      <a:ext cx="5266690" cy="2440940"/>
                    </a:xfrm>
                    <a:prstGeom prst="rect">
                      <a:avLst/>
                    </a:prstGeom>
                    <a:noFill/>
                    <a:ln>
                      <a:noFill/>
                    </a:ln>
                  </pic:spPr>
                </pic:pic>
              </a:graphicData>
            </a:graphic>
          </wp:inline>
        </w:drawing>
      </w:r>
    </w:p>
    <w:p w14:paraId="25518D94">
      <w:pPr>
        <w:pStyle w:val="11"/>
        <w:spacing w:line="240" w:lineRule="auto"/>
        <w:ind w:firstLine="0" w:firstLineChars="0"/>
        <w:jc w:val="center"/>
        <w:rPr>
          <w:rFonts w:hint="eastAsia" w:ascii="仿宋" w:hAnsi="仿宋" w:eastAsia="仿宋" w:cs="Times New Roman"/>
          <w:color w:val="auto"/>
          <w:highlight w:val="none"/>
        </w:rPr>
      </w:pPr>
      <w:r>
        <w:rPr>
          <w:rFonts w:ascii="仿宋" w:hAnsi="仿宋" w:eastAsia="仿宋" w:cs="Times New Roman"/>
          <w:color w:val="auto"/>
          <w:highlight w:val="none"/>
        </w:rPr>
        <w:t>、</w:t>
      </w:r>
      <w:r>
        <w:rPr>
          <w:rFonts w:ascii="仿宋" w:hAnsi="仿宋" w:eastAsia="仿宋" w:cs="Times New Roman"/>
          <w:color w:val="auto"/>
          <w:highlight w:val="none"/>
        </w:rPr>
        <w:drawing>
          <wp:inline distT="0" distB="0" distL="114300" distR="114300">
            <wp:extent cx="5266690" cy="2731135"/>
            <wp:effectExtent l="0" t="0" r="10160" b="12065"/>
            <wp:docPr id="1338378895" name="图片 5" descr="地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378895" name="图片 5" descr="地图&#10;&#10;描述已自动生成"/>
                    <pic:cNvPicPr>
                      <a:picLocks noChangeAspect="1"/>
                    </pic:cNvPicPr>
                  </pic:nvPicPr>
                  <pic:blipFill>
                    <a:blip r:embed="rId14"/>
                    <a:stretch>
                      <a:fillRect/>
                    </a:stretch>
                  </pic:blipFill>
                  <pic:spPr>
                    <a:xfrm>
                      <a:off x="0" y="0"/>
                      <a:ext cx="5266690" cy="2731135"/>
                    </a:xfrm>
                    <a:prstGeom prst="rect">
                      <a:avLst/>
                    </a:prstGeom>
                    <a:noFill/>
                    <a:ln>
                      <a:noFill/>
                    </a:ln>
                  </pic:spPr>
                </pic:pic>
              </a:graphicData>
            </a:graphic>
          </wp:inline>
        </w:drawing>
      </w:r>
    </w:p>
    <w:p w14:paraId="44B12974">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应急预案</w:t>
      </w:r>
    </w:p>
    <w:p w14:paraId="5B9013F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可实现预案的动态管理（添加、删除、更新，查询），预案内容包含：通知对象、预案级别，预案处理措施等。</w:t>
      </w:r>
    </w:p>
    <w:p w14:paraId="4159E55C">
      <w:pPr>
        <w:pStyle w:val="11"/>
        <w:spacing w:line="240" w:lineRule="auto"/>
        <w:ind w:firstLine="0" w:firstLineChars="0"/>
        <w:jc w:val="center"/>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70500" cy="3035935"/>
            <wp:effectExtent l="0" t="0" r="6350" b="12065"/>
            <wp:docPr id="2061181546" name="图片 14" descr="图形用户界面, 应用程序, Word&#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181546" name="图片 14" descr="图形用户界面, 应用程序, Word&#10;&#10;描述已自动生成"/>
                    <pic:cNvPicPr>
                      <a:picLocks noChangeAspect="1"/>
                    </pic:cNvPicPr>
                  </pic:nvPicPr>
                  <pic:blipFill>
                    <a:blip r:embed="rId15"/>
                    <a:stretch>
                      <a:fillRect/>
                    </a:stretch>
                  </pic:blipFill>
                  <pic:spPr>
                    <a:xfrm>
                      <a:off x="0" y="0"/>
                      <a:ext cx="5270500" cy="3035935"/>
                    </a:xfrm>
                    <a:prstGeom prst="rect">
                      <a:avLst/>
                    </a:prstGeom>
                    <a:noFill/>
                    <a:ln>
                      <a:noFill/>
                    </a:ln>
                  </pic:spPr>
                </pic:pic>
              </a:graphicData>
            </a:graphic>
          </wp:inline>
        </w:drawing>
      </w:r>
    </w:p>
    <w:p w14:paraId="30C0C7F9">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预警行动</w:t>
      </w:r>
    </w:p>
    <w:p w14:paraId="6EC4753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收到不同的预警对应启动不同的预警行动级别，可查询单一预警行动的行动措施，及历史所有的预警行动措施。</w:t>
      </w:r>
    </w:p>
    <w:p w14:paraId="01D1D66A">
      <w:pPr>
        <w:pStyle w:val="11"/>
        <w:ind w:firstLine="0" w:firstLineChars="0"/>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60340" cy="3047365"/>
            <wp:effectExtent l="0" t="0" r="0" b="635"/>
            <wp:docPr id="1956275909" name="图片 57" descr="图形用户界面, 应用程序, 表格, Excel&#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275909" name="图片 57" descr="图形用户界面, 应用程序, 表格, Excel&#10;&#10;描述已自动生成"/>
                    <pic:cNvPicPr>
                      <a:picLocks noChangeAspect="1"/>
                    </pic:cNvPicPr>
                  </pic:nvPicPr>
                  <pic:blipFill>
                    <a:blip r:embed="rId16"/>
                    <a:stretch>
                      <a:fillRect/>
                    </a:stretch>
                  </pic:blipFill>
                  <pic:spPr>
                    <a:xfrm>
                      <a:off x="0" y="0"/>
                      <a:ext cx="5260340" cy="3047365"/>
                    </a:xfrm>
                    <a:prstGeom prst="rect">
                      <a:avLst/>
                    </a:prstGeom>
                    <a:noFill/>
                    <a:ln>
                      <a:noFill/>
                    </a:ln>
                  </pic:spPr>
                </pic:pic>
              </a:graphicData>
            </a:graphic>
          </wp:inline>
        </w:drawing>
      </w:r>
    </w:p>
    <w:p w14:paraId="6A1B57BA">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调度指挥</w:t>
      </w:r>
    </w:p>
    <w:p w14:paraId="360175C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根据旱情预警数据、水质污水预警数据、监测数据、水体（小微水体）数字模型等信息，实现工程调度（设备）、人工调度；并可查询历史所有调度的执行完成结果。</w:t>
      </w:r>
    </w:p>
    <w:p w14:paraId="710F4F44">
      <w:pPr>
        <w:spacing w:after="0" w:line="240" w:lineRule="auto"/>
        <w:rPr>
          <w:rFonts w:hint="eastAsia" w:ascii="仿宋" w:hAnsi="仿宋" w:eastAsia="仿宋" w:cs="Times New Roman"/>
          <w:color w:val="auto"/>
          <w:highlight w:val="none"/>
        </w:rPr>
      </w:pPr>
      <w:r>
        <w:rPr>
          <w:rFonts w:ascii="仿宋" w:hAnsi="仿宋" w:eastAsia="仿宋" w:cs="Times New Roman"/>
          <w:color w:val="auto"/>
          <w:sz w:val="32"/>
          <w:szCs w:val="32"/>
          <w:highlight w:val="none"/>
        </w:rPr>
        <w:drawing>
          <wp:inline distT="0" distB="0" distL="114300" distR="114300">
            <wp:extent cx="5272405" cy="2221865"/>
            <wp:effectExtent l="0" t="0" r="4445" b="6985"/>
            <wp:docPr id="1073705296" name="图片 58" descr="图形用户界面, 应用程序&#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05296" name="图片 58" descr="图形用户界面, 应用程序&#10;&#10;描述已自动生成"/>
                    <pic:cNvPicPr>
                      <a:picLocks noChangeAspect="1"/>
                    </pic:cNvPicPr>
                  </pic:nvPicPr>
                  <pic:blipFill>
                    <a:blip r:embed="rId17"/>
                    <a:stretch>
                      <a:fillRect/>
                    </a:stretch>
                  </pic:blipFill>
                  <pic:spPr>
                    <a:xfrm>
                      <a:off x="0" y="0"/>
                      <a:ext cx="5272405" cy="2221865"/>
                    </a:xfrm>
                    <a:prstGeom prst="rect">
                      <a:avLst/>
                    </a:prstGeom>
                    <a:noFill/>
                    <a:ln>
                      <a:noFill/>
                    </a:ln>
                  </pic:spPr>
                </pic:pic>
              </a:graphicData>
            </a:graphic>
          </wp:inline>
        </w:drawing>
      </w:r>
    </w:p>
    <w:p w14:paraId="7360E1F4">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报表统计</w:t>
      </w:r>
    </w:p>
    <w:p w14:paraId="66C9506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统计水资源水量报表、水质报表、旱情预警报表（每年旱情预警信息、预警行动信息、调度指挥信息、影响乡镇、单村信息；可以进行同比）。</w:t>
      </w:r>
    </w:p>
    <w:p w14:paraId="541DE4D1">
      <w:pPr>
        <w:pStyle w:val="11"/>
        <w:spacing w:line="240" w:lineRule="auto"/>
        <w:ind w:firstLine="0" w:firstLineChars="0"/>
        <w:jc w:val="center"/>
        <w:rPr>
          <w:rFonts w:hint="eastAsia" w:ascii="仿宋" w:hAnsi="仿宋" w:eastAsia="仿宋" w:cs="Times New Roman"/>
          <w:color w:val="auto"/>
          <w:highlight w:val="none"/>
        </w:rPr>
      </w:pPr>
      <w:r>
        <w:rPr>
          <w:rFonts w:ascii="仿宋" w:hAnsi="仿宋" w:eastAsia="仿宋" w:cs="Times New Roman"/>
          <w:color w:val="auto"/>
          <w:highlight w:val="none"/>
        </w:rPr>
        <w:drawing>
          <wp:inline distT="0" distB="0" distL="114300" distR="114300">
            <wp:extent cx="5260340" cy="2609215"/>
            <wp:effectExtent l="0" t="0" r="0" b="635"/>
            <wp:docPr id="86219488" name="图片 59" descr="表格&#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19488" name="图片 59" descr="表格&#10;&#10;描述已自动生成"/>
                    <pic:cNvPicPr>
                      <a:picLocks noChangeAspect="1"/>
                    </pic:cNvPicPr>
                  </pic:nvPicPr>
                  <pic:blipFill>
                    <a:blip r:embed="rId18"/>
                    <a:stretch>
                      <a:fillRect/>
                    </a:stretch>
                  </pic:blipFill>
                  <pic:spPr>
                    <a:xfrm>
                      <a:off x="0" y="0"/>
                      <a:ext cx="5260340" cy="2609215"/>
                    </a:xfrm>
                    <a:prstGeom prst="rect">
                      <a:avLst/>
                    </a:prstGeom>
                    <a:noFill/>
                    <a:ln>
                      <a:noFill/>
                    </a:ln>
                  </pic:spPr>
                </pic:pic>
              </a:graphicData>
            </a:graphic>
          </wp:inline>
        </w:drawing>
      </w:r>
    </w:p>
    <w:p w14:paraId="19E013A0">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日常巡查</w:t>
      </w:r>
    </w:p>
    <w:p w14:paraId="445D919B">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建立日常巡查制度，主要通过手机端进行现场巡查、拍照等相关操作，通过手机端提交，PC端展示相关巡查数据，并将巡查数据推送至制度管理以及预警管理系统，通过规则的设定提升巡查效率以及巡查制度的落实。</w:t>
      </w:r>
    </w:p>
    <w:p w14:paraId="54A7AECA">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制度管理</w:t>
      </w:r>
    </w:p>
    <w:p w14:paraId="3FE96029">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针对管辖内的水站管理，通过数字化手段建立奖惩制度，通过日常巡检数据、预警数据以及视频监控等数据，设置相关考核规则，建立考核模型，系统自动统计数据并与规则进行对比，实现对相关人员的考核，并统计相关考核数据，实现精准考核，提升水站管控效率。</w:t>
      </w:r>
    </w:p>
    <w:p w14:paraId="771AEA7F">
      <w:pPr>
        <w:pStyle w:val="4"/>
        <w:numPr>
          <w:ilvl w:val="2"/>
          <w:numId w:val="2"/>
        </w:numPr>
        <w:spacing w:before="0" w:after="0" w:line="416" w:lineRule="auto"/>
        <w:rPr>
          <w:rFonts w:hint="eastAsia" w:ascii="仿宋" w:hAnsi="仿宋" w:eastAsia="仿宋" w:cs="Times New Roman"/>
          <w:b/>
          <w:bCs/>
          <w:color w:val="auto"/>
          <w:highlight w:val="none"/>
        </w:rPr>
      </w:pPr>
      <w:bookmarkStart w:id="74" w:name="_Toc1310967218"/>
      <w:bookmarkStart w:id="75" w:name="_Toc3182"/>
      <w:bookmarkStart w:id="76" w:name="_Toc712267704"/>
      <w:bookmarkStart w:id="77" w:name="_Toc340546857"/>
      <w:r>
        <w:rPr>
          <w:rFonts w:hint="eastAsia" w:ascii="仿宋" w:hAnsi="仿宋" w:eastAsia="仿宋" w:cs="Times New Roman"/>
          <w:b/>
          <w:bCs/>
          <w:color w:val="auto"/>
          <w:highlight w:val="none"/>
        </w:rPr>
        <w:t>综合数据管理后台</w:t>
      </w:r>
      <w:bookmarkEnd w:id="74"/>
      <w:bookmarkEnd w:id="75"/>
      <w:bookmarkEnd w:id="76"/>
      <w:bookmarkEnd w:id="77"/>
    </w:p>
    <w:p w14:paraId="5EA2EFAA">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78" w:name="_Toc527106344"/>
      <w:bookmarkStart w:id="79" w:name="_Toc243814706"/>
      <w:bookmarkStart w:id="80" w:name="_Toc1009452750"/>
      <w:r>
        <w:rPr>
          <w:rFonts w:hint="eastAsia" w:ascii="仿宋" w:hAnsi="仿宋" w:eastAsia="仿宋" w:cs="Times New Roman"/>
          <w:b/>
          <w:bCs/>
          <w:color w:val="auto"/>
          <w:sz w:val="32"/>
          <w:szCs w:val="32"/>
          <w:highlight w:val="none"/>
        </w:rPr>
        <w:t>系统登录</w:t>
      </w:r>
      <w:bookmarkEnd w:id="78"/>
      <w:bookmarkEnd w:id="79"/>
      <w:bookmarkEnd w:id="80"/>
    </w:p>
    <w:p w14:paraId="2BD12B65">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管理后台操作人员登入后台时，只需输入一次账号密码后，下次即可免输登录，实现便捷化的登录操作。</w:t>
      </w:r>
    </w:p>
    <w:p w14:paraId="127A84FB">
      <w:pPr>
        <w:spacing w:after="0" w:line="600" w:lineRule="exact"/>
        <w:ind w:firstLine="640" w:firstLineChars="200"/>
        <w:rPr>
          <w:rFonts w:hint="eastAsia" w:ascii="仿宋" w:hAnsi="仿宋" w:eastAsia="仿宋"/>
          <w:color w:val="auto"/>
          <w:sz w:val="28"/>
          <w:highlight w:val="none"/>
        </w:rPr>
      </w:pPr>
      <w:r>
        <w:rPr>
          <w:rFonts w:hint="eastAsia" w:ascii="仿宋" w:hAnsi="仿宋" w:eastAsia="仿宋" w:cs="Times New Roman"/>
          <w:color w:val="auto"/>
          <w:sz w:val="32"/>
          <w:szCs w:val="32"/>
          <w:highlight w:val="none"/>
        </w:rPr>
        <w:t>登录界面提供忘记密码功能，发送密码重置申请至管理员，管理员审核后进行重置密码操作，将新密码以短信方式发送给申请人。</w:t>
      </w:r>
    </w:p>
    <w:p w14:paraId="014C4902">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81" w:name="_Toc766699821"/>
      <w:bookmarkStart w:id="82" w:name="_Toc688689315"/>
      <w:bookmarkStart w:id="83" w:name="_Toc2102504026"/>
      <w:r>
        <w:rPr>
          <w:rFonts w:hint="eastAsia" w:ascii="仿宋" w:hAnsi="仿宋" w:eastAsia="仿宋" w:cs="Times New Roman"/>
          <w:b/>
          <w:bCs/>
          <w:color w:val="auto"/>
          <w:sz w:val="32"/>
          <w:szCs w:val="32"/>
          <w:highlight w:val="none"/>
        </w:rPr>
        <w:t>采集管理</w:t>
      </w:r>
      <w:bookmarkEnd w:id="81"/>
      <w:bookmarkEnd w:id="82"/>
      <w:bookmarkEnd w:id="83"/>
    </w:p>
    <w:p w14:paraId="66999190">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数据采集管理：根据数据源清单发现及准确找到外部数据（含第三方数据），通过平台接口方式，将其他所需数据进行获取，同步送至数据加工厂内进行数据加工与提炼。</w:t>
      </w:r>
    </w:p>
    <w:p w14:paraId="2C72383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数据导入导出：后台支持对数据的导入导出功能，支持手动将数据上传平台，并提供下载入口可将后台数据进行下载，实现后台的操作便捷。</w:t>
      </w:r>
    </w:p>
    <w:p w14:paraId="34E3D220">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数据存储：后台支持对各类数据的分类存储，根据规则条件存储及筛选数据，归集在各个数据库内。</w:t>
      </w:r>
    </w:p>
    <w:p w14:paraId="2300F34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数据处理：数据处理过程是根据逻辑数据模型进行清洗，加工好的数据存储至数据库中。平台根据业务要求，可通过挑选所需数据，最终在前端展示。</w:t>
      </w:r>
    </w:p>
    <w:p w14:paraId="7682134E">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hint="eastAsia" w:ascii="仿宋" w:hAnsi="仿宋" w:eastAsia="仿宋" w:cs="Times New Roman"/>
          <w:b/>
          <w:bCs/>
          <w:color w:val="auto"/>
          <w:sz w:val="32"/>
          <w:szCs w:val="32"/>
          <w:highlight w:val="none"/>
        </w:rPr>
        <w:t>用户管理</w:t>
      </w:r>
    </w:p>
    <w:p w14:paraId="772B84B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在系统中，需要为每个使用该系统的人员独立的账户、登录口令及为账户分配相应的权限以便人员能正常使用系统的相关功能模块。数据综合管理后台应提供账号数据的新增，编辑，删除，导出，生效和失效等功能。</w:t>
      </w:r>
    </w:p>
    <w:p w14:paraId="5B8FDB44">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84" w:name="_Toc261034578"/>
      <w:bookmarkStart w:id="85" w:name="_Toc6148095"/>
      <w:bookmarkStart w:id="86" w:name="_Toc1433943497"/>
      <w:r>
        <w:rPr>
          <w:rFonts w:hint="eastAsia" w:ascii="仿宋" w:hAnsi="仿宋" w:eastAsia="仿宋" w:cs="Times New Roman"/>
          <w:b/>
          <w:bCs/>
          <w:color w:val="auto"/>
          <w:sz w:val="32"/>
          <w:szCs w:val="32"/>
          <w:highlight w:val="none"/>
        </w:rPr>
        <w:t>角色管理</w:t>
      </w:r>
      <w:bookmarkEnd w:id="84"/>
      <w:bookmarkEnd w:id="85"/>
      <w:bookmarkEnd w:id="86"/>
    </w:p>
    <w:p w14:paraId="38DB97BF">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为管理后台创建用户的角色信息，每个用户可以拥有一个或者多个角色，最后取权限的并集进行菜单的展示。在系统中超级管理员的权限最高，可以管理整个后台的所有功能，在超级管理员之下可建立其他管理员或普通用户，整个权限体系呈树杈型结构，既满足系统用户集中的管理，又实现了权限的层级式管理。</w:t>
      </w:r>
    </w:p>
    <w:p w14:paraId="5B593E45">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87" w:name="_Toc1226867445"/>
      <w:bookmarkStart w:id="88" w:name="_Toc2046545272"/>
      <w:bookmarkStart w:id="89" w:name="_Toc251817609"/>
      <w:r>
        <w:rPr>
          <w:rFonts w:hint="eastAsia" w:ascii="仿宋" w:hAnsi="仿宋" w:eastAsia="仿宋" w:cs="Times New Roman"/>
          <w:b/>
          <w:bCs/>
          <w:color w:val="auto"/>
          <w:sz w:val="32"/>
          <w:szCs w:val="32"/>
          <w:highlight w:val="none"/>
        </w:rPr>
        <w:t>权限管理</w:t>
      </w:r>
      <w:bookmarkEnd w:id="87"/>
      <w:bookmarkEnd w:id="88"/>
      <w:bookmarkEnd w:id="89"/>
    </w:p>
    <w:p w14:paraId="09B6CCA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系统基于RBAC为角色配置各后台功能的管理权限，各类管理人员的管理范围和权限不同。</w:t>
      </w:r>
    </w:p>
    <w:p w14:paraId="44D54E73">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90" w:name="_Toc1970653268"/>
      <w:bookmarkStart w:id="91" w:name="_Toc1755769873"/>
      <w:bookmarkStart w:id="92" w:name="_Toc40812505"/>
      <w:r>
        <w:rPr>
          <w:rFonts w:hint="eastAsia" w:ascii="仿宋" w:hAnsi="仿宋" w:eastAsia="仿宋" w:cs="Times New Roman"/>
          <w:b/>
          <w:bCs/>
          <w:color w:val="auto"/>
          <w:sz w:val="32"/>
          <w:szCs w:val="32"/>
          <w:highlight w:val="none"/>
        </w:rPr>
        <w:t>组织管理</w:t>
      </w:r>
      <w:bookmarkEnd w:id="90"/>
      <w:bookmarkEnd w:id="91"/>
      <w:bookmarkEnd w:id="92"/>
    </w:p>
    <w:p w14:paraId="462F655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系统应提供部门组织机构数据的增加、修改、删除功能。允许系统用户根据特殊需要进行组织机构数据的增加，为系统的特定组织机构管理、用户管理、特定权限分配提供数据基础。</w:t>
      </w:r>
    </w:p>
    <w:p w14:paraId="234EE8F0">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93" w:name="_Toc888488142"/>
      <w:bookmarkStart w:id="94" w:name="_Toc129187595"/>
      <w:bookmarkStart w:id="95" w:name="_Toc651462084"/>
      <w:r>
        <w:rPr>
          <w:rFonts w:hint="eastAsia" w:ascii="仿宋" w:hAnsi="仿宋" w:eastAsia="仿宋" w:cs="Times New Roman"/>
          <w:b/>
          <w:bCs/>
          <w:color w:val="auto"/>
          <w:sz w:val="32"/>
          <w:szCs w:val="32"/>
          <w:highlight w:val="none"/>
        </w:rPr>
        <w:t>菜单管理</w:t>
      </w:r>
      <w:bookmarkEnd w:id="93"/>
      <w:bookmarkEnd w:id="94"/>
      <w:bookmarkEnd w:id="95"/>
    </w:p>
    <w:p w14:paraId="254AF31D">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支持对系统菜单的管理功能，包括菜单编号、菜单名称、菜单路径、菜单模式，支持系统内的菜单自定义管理。</w:t>
      </w:r>
    </w:p>
    <w:p w14:paraId="475D74A7">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96" w:name="_Toc1251613382"/>
      <w:bookmarkStart w:id="97" w:name="_Toc1366405003"/>
      <w:bookmarkStart w:id="98" w:name="_Toc149942048"/>
      <w:r>
        <w:rPr>
          <w:rFonts w:hint="eastAsia" w:ascii="仿宋" w:hAnsi="仿宋" w:eastAsia="仿宋" w:cs="Times New Roman"/>
          <w:b/>
          <w:bCs/>
          <w:color w:val="auto"/>
          <w:sz w:val="32"/>
          <w:szCs w:val="32"/>
          <w:highlight w:val="none"/>
        </w:rPr>
        <w:t>参数管理</w:t>
      </w:r>
      <w:bookmarkEnd w:id="96"/>
      <w:bookmarkEnd w:id="97"/>
      <w:bookmarkEnd w:id="98"/>
    </w:p>
    <w:p w14:paraId="675111B1">
      <w:pPr>
        <w:ind w:firstLine="640" w:firstLineChars="200"/>
        <w:rPr>
          <w:rFonts w:hint="eastAsia" w:ascii="仿宋" w:hAnsi="仿宋" w:eastAsia="仿宋"/>
          <w:color w:val="auto"/>
          <w:sz w:val="28"/>
          <w:highlight w:val="none"/>
        </w:rPr>
      </w:pPr>
      <w:r>
        <w:rPr>
          <w:rFonts w:hint="eastAsia" w:ascii="仿宋" w:hAnsi="仿宋" w:eastAsia="仿宋" w:cs="Times New Roman"/>
          <w:color w:val="auto"/>
          <w:sz w:val="32"/>
          <w:szCs w:val="32"/>
          <w:highlight w:val="none"/>
        </w:rPr>
        <w:t>设置系统级别和应用级别的参数，实现灵活配置</w:t>
      </w:r>
      <w:r>
        <w:rPr>
          <w:rFonts w:hint="eastAsia" w:ascii="仿宋" w:hAnsi="仿宋" w:eastAsia="仿宋"/>
          <w:color w:val="auto"/>
          <w:sz w:val="28"/>
          <w:highlight w:val="none"/>
        </w:rPr>
        <w:t>。</w:t>
      </w:r>
    </w:p>
    <w:p w14:paraId="2C20AA23">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99" w:name="_Toc1263788909"/>
      <w:bookmarkStart w:id="100" w:name="_Toc2126248050"/>
      <w:bookmarkStart w:id="101" w:name="_Toc1077682805"/>
      <w:r>
        <w:rPr>
          <w:rFonts w:hint="eastAsia" w:ascii="仿宋" w:hAnsi="仿宋" w:eastAsia="仿宋" w:cs="Times New Roman"/>
          <w:b/>
          <w:bCs/>
          <w:color w:val="auto"/>
          <w:sz w:val="32"/>
          <w:szCs w:val="32"/>
          <w:highlight w:val="none"/>
        </w:rPr>
        <w:t>数据字典管理</w:t>
      </w:r>
      <w:bookmarkEnd w:id="99"/>
      <w:bookmarkEnd w:id="100"/>
      <w:bookmarkEnd w:id="101"/>
    </w:p>
    <w:p w14:paraId="7C2BDDB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可对系统数据字典内容进行新增，编辑，删除操作，实现对系统内的数据字段进行调整，完成字段的管理维护。</w:t>
      </w:r>
    </w:p>
    <w:p w14:paraId="39E505D4">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02" w:name="_Toc737824837"/>
      <w:bookmarkStart w:id="103" w:name="_Toc1886924733"/>
      <w:bookmarkStart w:id="104" w:name="_Toc1723090270"/>
      <w:r>
        <w:rPr>
          <w:rFonts w:hint="eastAsia" w:ascii="仿宋" w:hAnsi="仿宋" w:eastAsia="仿宋" w:cs="Times New Roman"/>
          <w:b/>
          <w:bCs/>
          <w:color w:val="auto"/>
          <w:sz w:val="32"/>
          <w:szCs w:val="32"/>
          <w:highlight w:val="none"/>
        </w:rPr>
        <w:t>系统日志管理</w:t>
      </w:r>
      <w:bookmarkEnd w:id="102"/>
      <w:bookmarkEnd w:id="103"/>
      <w:bookmarkEnd w:id="104"/>
    </w:p>
    <w:p w14:paraId="221D5BC7">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在庞大繁杂的业务流程中，需要将每个人的工作明细进行记录，系统提供日志管理模块，保留每个账号在系统中的操作痕迹。记录系统人员操作和各系统的操作内容，并提供操作日志的组合查询、导出等功能。</w:t>
      </w:r>
    </w:p>
    <w:p w14:paraId="5B5698E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登录日志管理：记录系统用户的登录，登出日志。</w:t>
      </w:r>
    </w:p>
    <w:p w14:paraId="24343421">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操作日志管理：记录系统用户对数据的更改日志。</w:t>
      </w:r>
    </w:p>
    <w:p w14:paraId="01C08C8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接口日志管理：在每个服务节点上埋点，实时采集相关日志。按业务类型的权重指标、日志等级指标、每个服务在一个时段内日志最大限制量指标、时间段指标等动态清洗过滤日志，清洗日志后生成可视化界面、为预警功能提供数据基础。</w:t>
      </w:r>
    </w:p>
    <w:p w14:paraId="52DC4699">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05" w:name="_Toc206313404"/>
      <w:bookmarkStart w:id="106" w:name="_Toc1904412376"/>
      <w:bookmarkStart w:id="107" w:name="_Toc1656685982"/>
      <w:r>
        <w:rPr>
          <w:rFonts w:hint="eastAsia" w:ascii="仿宋" w:hAnsi="仿宋" w:eastAsia="仿宋" w:cs="Times New Roman"/>
          <w:b/>
          <w:bCs/>
          <w:color w:val="auto"/>
          <w:sz w:val="32"/>
          <w:szCs w:val="32"/>
          <w:highlight w:val="none"/>
        </w:rPr>
        <w:t>数据安全管理</w:t>
      </w:r>
      <w:bookmarkEnd w:id="105"/>
      <w:bookmarkEnd w:id="106"/>
      <w:bookmarkEnd w:id="107"/>
    </w:p>
    <w:p w14:paraId="678D4BD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备份是为了防止数据灾难的有效措施之一，系统可实现定时、实时在线备份应用系统数据，然后保存到指定的云存储资源中。另外，当对重要数据进行删除操作（如红色预警数据）时，可通过短信等方式告知相关管理人员。</w:t>
      </w:r>
    </w:p>
    <w:p w14:paraId="32A2D23E">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08" w:name="_Toc1470774770"/>
      <w:bookmarkStart w:id="109" w:name="_Toc1795816119"/>
      <w:bookmarkStart w:id="110" w:name="_Toc1362528544"/>
      <w:r>
        <w:rPr>
          <w:rFonts w:hint="eastAsia" w:ascii="仿宋" w:hAnsi="仿宋" w:eastAsia="仿宋" w:cs="Times New Roman"/>
          <w:b/>
          <w:bCs/>
          <w:color w:val="auto"/>
          <w:sz w:val="32"/>
          <w:szCs w:val="32"/>
          <w:highlight w:val="none"/>
        </w:rPr>
        <w:t>短信管理</w:t>
      </w:r>
      <w:bookmarkEnd w:id="108"/>
      <w:bookmarkEnd w:id="109"/>
      <w:bookmarkEnd w:id="110"/>
    </w:p>
    <w:p w14:paraId="2B686047">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短信配置：系统与第三方平台进行短信接口的接入工作，配置短信模版，添加收件人等关键信息，可实现系统通过短信提醒关于政府各类通知消息的自动推送。</w:t>
      </w:r>
    </w:p>
    <w:p w14:paraId="5E424FC5">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短信日志管理：系统发送短息，监控短信的发送情况，收集发送短信情况日志，记录发送短信内容和时间，并记录发送是否成功，保存至数据库，方便后续追溯。</w:t>
      </w:r>
    </w:p>
    <w:p w14:paraId="30FB1973">
      <w:pPr>
        <w:rPr>
          <w:rFonts w:hint="eastAsia"/>
          <w:color w:val="auto"/>
          <w:highlight w:val="none"/>
        </w:rPr>
      </w:pPr>
    </w:p>
    <w:p w14:paraId="2C0C254C">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手持终端</w:t>
      </w:r>
    </w:p>
    <w:p w14:paraId="68FFAA40">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1" w:name="_Toc174534328"/>
      <w:r>
        <w:rPr>
          <w:rFonts w:ascii="仿宋" w:hAnsi="仿宋" w:eastAsia="仿宋" w:cs="Times New Roman"/>
          <w:b/>
          <w:bCs/>
          <w:color w:val="auto"/>
          <w:sz w:val="32"/>
          <w:szCs w:val="32"/>
          <w:highlight w:val="none"/>
        </w:rPr>
        <w:t>综合看板</w:t>
      </w:r>
      <w:bookmarkEnd w:id="111"/>
    </w:p>
    <w:p w14:paraId="33334AB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包含：位置信息、天气、菜单（运行管理、指标管理、工单管理、报表管理）、消息、关键指标、个人任务，个人设置等功能。</w:t>
      </w:r>
    </w:p>
    <w:p w14:paraId="51C5424A">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2" w:name="_Toc174534329"/>
      <w:r>
        <w:rPr>
          <w:rFonts w:ascii="仿宋" w:hAnsi="仿宋" w:eastAsia="仿宋" w:cs="Times New Roman"/>
          <w:b/>
          <w:bCs/>
          <w:color w:val="auto"/>
          <w:sz w:val="32"/>
          <w:szCs w:val="32"/>
          <w:highlight w:val="none"/>
        </w:rPr>
        <w:t>运行管理</w:t>
      </w:r>
      <w:bookmarkEnd w:id="112"/>
    </w:p>
    <w:p w14:paraId="178CF07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集合GIS显示，包含水资源、乡镇水厂、管网、泵站、单村水站的监测运行数据，报警数据查看，乡镇水厂、单村水站工艺图展示，视频展示等。</w:t>
      </w:r>
    </w:p>
    <w:p w14:paraId="14F2E2E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默认通过地图标注所有站点GIS及分布信息，可以通底部菜单进行区域筛选，站点类型筛选以及事件筛选，也可以通过搜索按钮进行站点编号或名称进行搜索具体站点，点击具体站点可以展示相应站点的具体情况；</w:t>
      </w:r>
    </w:p>
    <w:p w14:paraId="44F846B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区域筛选：有监测点、大用户、计量分区、二次供水、高频压力监测、阀门控制；</w:t>
      </w:r>
    </w:p>
    <w:p w14:paraId="03BD78D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站点类型：有管网监测、高层泵房、大用户、水质点、分区计量；</w:t>
      </w:r>
    </w:p>
    <w:p w14:paraId="16D1262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预警&amp;事件类型：分为爆管、冲洗、漏点、停水、隐患</w:t>
      </w:r>
    </w:p>
    <w:p w14:paraId="70B13E1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站点分布下同时有展示水厂信息，点击站点图标找到水厂进入单点分析；</w:t>
      </w:r>
    </w:p>
    <w:p w14:paraId="5AA7103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地图上支持当前用户的位置定位，此时需要打开“系统设置”页面下的上班模式；</w:t>
      </w:r>
    </w:p>
    <w:p w14:paraId="562588C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支持地图/影像之间的切换，地图是虚拟模式，影响是实景模式，与正常的地图操作方式一致；管线选项按钮，可以点击或者不点击用以显示管线。</w:t>
      </w:r>
    </w:p>
    <w:p w14:paraId="78FE58F1">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54175" cy="3053080"/>
            <wp:effectExtent l="9525" t="9525" r="12700" b="23495"/>
            <wp:docPr id="101" name="图片 6" descr="C:\Users\zxd\Desktop\设计文档\app截图\地图.png"/>
            <wp:cNvGraphicFramePr/>
            <a:graphic xmlns:a="http://schemas.openxmlformats.org/drawingml/2006/main">
              <a:graphicData uri="http://schemas.openxmlformats.org/drawingml/2006/picture">
                <pic:pic xmlns:pic="http://schemas.openxmlformats.org/drawingml/2006/picture">
                  <pic:nvPicPr>
                    <pic:cNvPr id="101" name="图片 6" descr="C:\Users\zxd\Desktop\设计文档\app截图\地图.png"/>
                    <pic:cNvPicPr/>
                  </pic:nvPicPr>
                  <pic:blipFill>
                    <a:blip r:embed="rId19" cstate="print"/>
                    <a:srcRect/>
                    <a:stretch>
                      <a:fillRect/>
                    </a:stretch>
                  </pic:blipFill>
                  <pic:spPr>
                    <a:xfrm>
                      <a:off x="0" y="0"/>
                      <a:ext cx="1663076" cy="3069533"/>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669415" cy="3049905"/>
            <wp:effectExtent l="9525" t="9525" r="16510" b="26670"/>
            <wp:docPr id="100" name="图片 7" descr="Screenshot_2017-04-14-16-06-57-337_com.heda.hedap.png"/>
            <wp:cNvGraphicFramePr/>
            <a:graphic xmlns:a="http://schemas.openxmlformats.org/drawingml/2006/main">
              <a:graphicData uri="http://schemas.openxmlformats.org/drawingml/2006/picture">
                <pic:pic xmlns:pic="http://schemas.openxmlformats.org/drawingml/2006/picture">
                  <pic:nvPicPr>
                    <pic:cNvPr id="100" name="图片 7" descr="Screenshot_2017-04-14-16-06-57-337_com.heda.hedap.png"/>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1689032" cy="3086130"/>
                    </a:xfrm>
                    <a:prstGeom prst="rect">
                      <a:avLst/>
                    </a:prstGeom>
                    <a:noFill/>
                    <a:ln w="9525">
                      <a:solidFill>
                        <a:schemeClr val="tx1"/>
                      </a:solidFill>
                      <a:miter lim="800000"/>
                      <a:headEnd/>
                      <a:tailEnd/>
                    </a:ln>
                  </pic:spPr>
                </pic:pic>
              </a:graphicData>
            </a:graphic>
          </wp:inline>
        </w:drawing>
      </w:r>
    </w:p>
    <w:p w14:paraId="50A71D65">
      <w:pPr>
        <w:pStyle w:val="44"/>
        <w:numPr>
          <w:ilvl w:val="0"/>
          <w:numId w:val="6"/>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实时数据</w:t>
      </w:r>
    </w:p>
    <w:p w14:paraId="361F91A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分为“实时”、“自选”、“报警”三个页签，有查询和添加自选的图形按钮：查询用来搜索具体的站点编号，增加按钮用来增加自选清单，配合“自选”功能一起使用；</w:t>
      </w:r>
    </w:p>
    <w:p w14:paraId="74242F2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实时页签下，集中显示站点的实时数据，支持分区和分类查询SCADA系统的实时水量、压力、累计、水质余氯浊度PH值、水温、开关状态、异常报警；通过切换片区查看片区范围内的站点数据</w:t>
      </w:r>
    </w:p>
    <w:p w14:paraId="2B30CEF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自选页签下，也可以支持自定义选择站点查看，关注用户所关心或者时常出现异常的站点信息；</w:t>
      </w:r>
    </w:p>
    <w:p w14:paraId="0A7FD82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报警页签下，基于水量、压力、累计、水质余氯浊度PH值、水温、开关状态等异常数据情况，分类显示实时站点下所属的报警数据；</w:t>
      </w:r>
    </w:p>
    <w:p w14:paraId="6595346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点击站点可以查看站点数值信息，一起显示压力、浊度、余氯、流量、累计及流速数值，点击站点这一行后支持特定类型下查看历史曲线，该曲线支持日期和月度查阅及该站点的参数信息。点击站点这一行后也支持特定类型下查看历史报表，该报表查看每日数值及该站点的参数信息。</w:t>
      </w:r>
    </w:p>
    <w:p w14:paraId="280734A6">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74495" cy="3013075"/>
            <wp:effectExtent l="9525" t="9525" r="11430" b="25400"/>
            <wp:docPr id="102" name="图片 6" descr="C:\Users\zxd\Desktop\设计文档\app截图\实时数据.png"/>
            <wp:cNvGraphicFramePr/>
            <a:graphic xmlns:a="http://schemas.openxmlformats.org/drawingml/2006/main">
              <a:graphicData uri="http://schemas.openxmlformats.org/drawingml/2006/picture">
                <pic:pic xmlns:pic="http://schemas.openxmlformats.org/drawingml/2006/picture">
                  <pic:nvPicPr>
                    <pic:cNvPr id="102" name="图片 6" descr="C:\Users\zxd\Desktop\设计文档\app截图\实时数据.png"/>
                    <pic:cNvPicPr/>
                  </pic:nvPicPr>
                  <pic:blipFill>
                    <a:blip r:embed="rId21" cstate="print"/>
                    <a:srcRect/>
                    <a:stretch>
                      <a:fillRect/>
                    </a:stretch>
                  </pic:blipFill>
                  <pic:spPr>
                    <a:xfrm>
                      <a:off x="0" y="0"/>
                      <a:ext cx="1680928" cy="3025228"/>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708785" cy="3013075"/>
            <wp:effectExtent l="9525" t="9525" r="15240" b="25400"/>
            <wp:docPr id="103" name="图片 4" descr="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4" descr="图形用户界面&#10;&#10;描述已自动生成"/>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736566" cy="3061590"/>
                    </a:xfrm>
                    <a:prstGeom prst="rect">
                      <a:avLst/>
                    </a:prstGeom>
                    <a:noFill/>
                    <a:ln w="9525">
                      <a:solidFill>
                        <a:schemeClr val="tx1"/>
                      </a:solidFill>
                      <a:miter lim="800000"/>
                      <a:headEnd/>
                      <a:tailEnd/>
                    </a:ln>
                  </pic:spPr>
                </pic:pic>
              </a:graphicData>
            </a:graphic>
          </wp:inline>
        </w:drawing>
      </w:r>
    </w:p>
    <w:p w14:paraId="377B7BC1">
      <w:pPr>
        <w:pStyle w:val="44"/>
        <w:numPr>
          <w:ilvl w:val="0"/>
          <w:numId w:val="6"/>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曲线监控</w:t>
      </w:r>
    </w:p>
    <w:p w14:paraId="17475E7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曲线监控实时报表，可以将需要水量叠加分析的站点整合在一起，以曲线或表格切换的形式，形象地进行区域水量今日、区域水量昨日、区域水量前日、大用户水量、大用户水量收费、大用户水量非收费、其余用量、其余用量减收费、其余用量减非收费、其余占比的叠加和分析，曲线表支持点击查阅点数值，也可以查询历史数据。</w:t>
      </w:r>
    </w:p>
    <w:p w14:paraId="28002D1D">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85925" cy="2828925"/>
            <wp:effectExtent l="9525" t="9525" r="19050" b="19050"/>
            <wp:docPr id="104" name="图片 9" descr="表格&#10;&#10;描述已自动生成"/>
            <wp:cNvGraphicFramePr/>
            <a:graphic xmlns:a="http://schemas.openxmlformats.org/drawingml/2006/main">
              <a:graphicData uri="http://schemas.openxmlformats.org/drawingml/2006/picture">
                <pic:pic xmlns:pic="http://schemas.openxmlformats.org/drawingml/2006/picture">
                  <pic:nvPicPr>
                    <pic:cNvPr id="104" name="图片 9" descr="表格&#10;&#10;描述已自动生成"/>
                    <pic:cNvPicPr/>
                  </pic:nvPicPr>
                  <pic:blipFill>
                    <a:blip r:embed="rId23" cstate="print"/>
                    <a:srcRect/>
                    <a:stretch>
                      <a:fillRect/>
                    </a:stretch>
                  </pic:blipFill>
                  <pic:spPr>
                    <a:xfrm>
                      <a:off x="0" y="0"/>
                      <a:ext cx="1692703" cy="2840935"/>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724660" cy="2831465"/>
            <wp:effectExtent l="9525" t="9525" r="18415" b="16510"/>
            <wp:docPr id="105" name="图片 6" descr="图表&#10;&#10;描述已自动生成"/>
            <wp:cNvGraphicFramePr/>
            <a:graphic xmlns:a="http://schemas.openxmlformats.org/drawingml/2006/main">
              <a:graphicData uri="http://schemas.openxmlformats.org/drawingml/2006/picture">
                <pic:pic xmlns:pic="http://schemas.openxmlformats.org/drawingml/2006/picture">
                  <pic:nvPicPr>
                    <pic:cNvPr id="105" name="图片 6" descr="图表&#10;&#10;描述已自动生成"/>
                    <pic:cNvPicPr/>
                  </pic:nvPicPr>
                  <pic:blipFill>
                    <a:blip r:embed="rId24" cstate="print"/>
                    <a:srcRect/>
                    <a:stretch>
                      <a:fillRect/>
                    </a:stretch>
                  </pic:blipFill>
                  <pic:spPr>
                    <a:xfrm>
                      <a:off x="0" y="0"/>
                      <a:ext cx="1755278" cy="2881402"/>
                    </a:xfrm>
                    <a:prstGeom prst="rect">
                      <a:avLst/>
                    </a:prstGeom>
                    <a:noFill/>
                    <a:ln w="9525">
                      <a:solidFill>
                        <a:schemeClr val="tx1"/>
                      </a:solidFill>
                      <a:miter lim="800000"/>
                      <a:headEnd/>
                      <a:tailEnd/>
                    </a:ln>
                  </pic:spPr>
                </pic:pic>
              </a:graphicData>
            </a:graphic>
          </wp:inline>
        </w:drawing>
      </w:r>
    </w:p>
    <w:p w14:paraId="29CF6D41">
      <w:pPr>
        <w:pStyle w:val="44"/>
        <w:numPr>
          <w:ilvl w:val="0"/>
          <w:numId w:val="6"/>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综合报警</w:t>
      </w:r>
    </w:p>
    <w:p w14:paraId="159F278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把所有和绑定用户关联的系统报警信息集中展示，方便绑定用户对报警信息的处置和管理。</w:t>
      </w:r>
    </w:p>
    <w:p w14:paraId="15BC9335">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854835" cy="3295015"/>
            <wp:effectExtent l="9525" t="9525" r="21590" b="10160"/>
            <wp:docPr id="106" name="officeArt object" descr="报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officeArt object" descr="报警"/>
                    <pic:cNvPicPr>
                      <a:picLocks noChangeAspect="1"/>
                    </pic:cNvPicPr>
                  </pic:nvPicPr>
                  <pic:blipFill>
                    <a:blip r:embed="rId25" cstate="print"/>
                    <a:stretch>
                      <a:fillRect/>
                    </a:stretch>
                  </pic:blipFill>
                  <pic:spPr>
                    <a:xfrm>
                      <a:off x="0" y="0"/>
                      <a:ext cx="1854835" cy="3295015"/>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828800" cy="3291840"/>
            <wp:effectExtent l="9525" t="9525" r="9525" b="13335"/>
            <wp:docPr id="107" name="officeArt object" descr="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officeArt object" descr="Picture 5"/>
                    <pic:cNvPicPr>
                      <a:picLocks noChangeAspect="1"/>
                    </pic:cNvPicPr>
                  </pic:nvPicPr>
                  <pic:blipFill>
                    <a:blip r:embed="rId26" cstate="print"/>
                    <a:stretch>
                      <a:fillRect/>
                    </a:stretch>
                  </pic:blipFill>
                  <pic:spPr>
                    <a:xfrm>
                      <a:off x="0" y="0"/>
                      <a:ext cx="1828800" cy="3291840"/>
                    </a:xfrm>
                    <a:prstGeom prst="rect">
                      <a:avLst/>
                    </a:prstGeom>
                    <a:noFill/>
                    <a:ln w="9525">
                      <a:solidFill>
                        <a:schemeClr val="tx1"/>
                      </a:solidFill>
                      <a:miter lim="800000"/>
                      <a:headEnd/>
                      <a:tailEnd/>
                    </a:ln>
                  </pic:spPr>
                </pic:pic>
              </a:graphicData>
            </a:graphic>
          </wp:inline>
        </w:drawing>
      </w:r>
    </w:p>
    <w:p w14:paraId="7E6802F6">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3" w:name="_Toc174534330"/>
      <w:r>
        <w:rPr>
          <w:rFonts w:ascii="仿宋" w:hAnsi="仿宋" w:eastAsia="仿宋" w:cs="Times New Roman"/>
          <w:b/>
          <w:bCs/>
          <w:color w:val="auto"/>
          <w:sz w:val="32"/>
          <w:szCs w:val="32"/>
          <w:highlight w:val="none"/>
        </w:rPr>
        <w:t>指标管理</w:t>
      </w:r>
      <w:bookmarkEnd w:id="113"/>
    </w:p>
    <w:p w14:paraId="774685B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查看所有乡镇水厂、单村水站，泵站运行指标，服务指标，水质指标，服务指标，营收指标等。</w:t>
      </w:r>
    </w:p>
    <w:p w14:paraId="67856C90">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4" w:name="_Toc174534331"/>
      <w:r>
        <w:rPr>
          <w:rFonts w:ascii="仿宋" w:hAnsi="仿宋" w:eastAsia="仿宋" w:cs="Times New Roman"/>
          <w:b/>
          <w:bCs/>
          <w:color w:val="auto"/>
          <w:sz w:val="32"/>
          <w:szCs w:val="32"/>
          <w:highlight w:val="none"/>
        </w:rPr>
        <w:t>工单管理</w:t>
      </w:r>
      <w:bookmarkEnd w:id="114"/>
    </w:p>
    <w:p w14:paraId="04A2C67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个人工单的查看，并实现工单任务，完成工单信息上报；可查看个人已完成工单，未完成工单，处置中工单等。</w:t>
      </w:r>
    </w:p>
    <w:p w14:paraId="73A4FAF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事件中心主界面，无论来自生产、管网、营收的异常事件都可以推送到事件中心，方便快速查看和处置。</w:t>
      </w:r>
    </w:p>
    <w:p w14:paraId="1B3C4B2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在实时数据界面有事件的快捷方式按钮进入，配合具体的异常类型显示，可以点击查看站点的所属预警信息。</w:t>
      </w:r>
    </w:p>
    <w:p w14:paraId="731C731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在事件中心显示报警列表，不同报警信息的图标不一样，用来人性化区分；可以点击进入详情页面查看， 绿色图标表示恢复正常， 红色图标表示正在报警。</w:t>
      </w:r>
    </w:p>
    <w:p w14:paraId="2577CAE4">
      <w:pPr>
        <w:pStyle w:val="11"/>
        <w:ind w:firstLine="0" w:firstLineChars="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424940" cy="2240915"/>
            <wp:effectExtent l="9525" t="9525" r="13335" b="16510"/>
            <wp:docPr id="108" name="图片 6" descr="实时数据2.PNG"/>
            <wp:cNvGraphicFramePr/>
            <a:graphic xmlns:a="http://schemas.openxmlformats.org/drawingml/2006/main">
              <a:graphicData uri="http://schemas.openxmlformats.org/drawingml/2006/picture">
                <pic:pic xmlns:pic="http://schemas.openxmlformats.org/drawingml/2006/picture">
                  <pic:nvPicPr>
                    <pic:cNvPr id="108" name="图片 6" descr="实时数据2.PNG"/>
                    <pic:cNvPicPr/>
                  </pic:nvPicPr>
                  <pic:blipFill>
                    <a:blip r:embed="rId27" cstate="print"/>
                    <a:stretch>
                      <a:fillRect/>
                    </a:stretch>
                  </pic:blipFill>
                  <pic:spPr>
                    <a:xfrm>
                      <a:off x="0" y="0"/>
                      <a:ext cx="1424940" cy="2240915"/>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460500" cy="2225675"/>
            <wp:effectExtent l="9525" t="9525" r="15875" b="12700"/>
            <wp:docPr id="109" name="图片 7" descr="Macintosh HD:Users:ruanweidong:Desktop:F6AE33E4A7FD6AE9A566CC67F6D2584A.png"/>
            <wp:cNvGraphicFramePr/>
            <a:graphic xmlns:a="http://schemas.openxmlformats.org/drawingml/2006/main">
              <a:graphicData uri="http://schemas.openxmlformats.org/drawingml/2006/picture">
                <pic:pic xmlns:pic="http://schemas.openxmlformats.org/drawingml/2006/picture">
                  <pic:nvPicPr>
                    <pic:cNvPr id="109" name="图片 7" descr="Macintosh HD:Users:ruanweidong:Desktop:F6AE33E4A7FD6AE9A566CC67F6D2584A.png"/>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1460500" cy="2225675"/>
                    </a:xfrm>
                    <a:prstGeom prst="rect">
                      <a:avLst/>
                    </a:prstGeom>
                    <a:noFill/>
                    <a:ln w="9525">
                      <a:solidFill>
                        <a:schemeClr val="tx1"/>
                      </a:solidFill>
                      <a:miter lim="800000"/>
                      <a:headEnd/>
                      <a:tailEnd/>
                    </a:ln>
                  </pic:spPr>
                </pic:pic>
              </a:graphicData>
            </a:graphic>
          </wp:inline>
        </w:drawing>
      </w:r>
    </w:p>
    <w:p w14:paraId="7FAF53C8">
      <w:pPr>
        <w:pStyle w:val="44"/>
        <w:numPr>
          <w:ilvl w:val="0"/>
          <w:numId w:val="7"/>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工单查询</w:t>
      </w:r>
    </w:p>
    <w:p w14:paraId="042E206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有工单查询和我的工单两个页签，打开时默认显示工单查询下当月的热线工单或被指派的工单，可以按照编号、责任部门和下单时间进行查询。</w:t>
      </w:r>
    </w:p>
    <w:p w14:paraId="789D2BD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点击以弹窗的形式查看该工单的重要信息，将工单的状态、超时操作、责任部门、责任人、联系人、用户号、详细地址、联系电话、受理内容、备注等字段信息展示出来。点击工单编号，可以查看该工单的相关录入流程和录音。</w:t>
      </w:r>
    </w:p>
    <w:p w14:paraId="40A7A19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属于当前登陆者自己的工单，可以按照编号、责任部门和下单时间进行查询。</w:t>
      </w:r>
    </w:p>
    <w:p w14:paraId="79EEC03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同时在APP主界面的消息区域中，工单快捷方式按钮，点击出现自己负责工单清单的清单以及状态，再点击具体一条信息后显示具体的工单内容。</w:t>
      </w:r>
    </w:p>
    <w:p w14:paraId="57521909">
      <w:pPr>
        <w:pStyle w:val="11"/>
        <w:ind w:firstLine="0" w:firstLineChars="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84655" cy="2838450"/>
            <wp:effectExtent l="9525" t="9525" r="20320" b="9525"/>
            <wp:docPr id="110" name="图片 110" descr="图片包含 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descr="图片包含 图形用户界面&#10;&#10;描述已自动生成"/>
                    <pic:cNvPicPr>
                      <a:picLocks noChangeAspect="1" noChangeArrowheads="1"/>
                    </pic:cNvPicPr>
                  </pic:nvPicPr>
                  <pic:blipFill>
                    <a:blip r:embed="rId29" cstate="print"/>
                    <a:srcRect/>
                    <a:stretch>
                      <a:fillRect/>
                    </a:stretch>
                  </pic:blipFill>
                  <pic:spPr>
                    <a:xfrm>
                      <a:off x="0" y="0"/>
                      <a:ext cx="1718242" cy="2895210"/>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677670" cy="2836545"/>
            <wp:effectExtent l="9525" t="9525" r="27305" b="11430"/>
            <wp:docPr id="111" name="图片 49" descr="图形用户界面, 文本, 应用程序&#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49" descr="图形用户界面, 文本, 应用程序&#10;&#10;描述已自动生成"/>
                    <pic:cNvPicPr>
                      <a:picLocks noChangeAspect="1" noChangeArrowheads="1"/>
                    </pic:cNvPicPr>
                  </pic:nvPicPr>
                  <pic:blipFill>
                    <a:blip r:embed="rId30" cstate="print"/>
                    <a:srcRect/>
                    <a:stretch>
                      <a:fillRect/>
                    </a:stretch>
                  </pic:blipFill>
                  <pic:spPr>
                    <a:xfrm>
                      <a:off x="0" y="0"/>
                      <a:ext cx="1698090" cy="2871710"/>
                    </a:xfrm>
                    <a:prstGeom prst="rect">
                      <a:avLst/>
                    </a:prstGeom>
                    <a:noFill/>
                    <a:ln w="9525">
                      <a:solidFill>
                        <a:schemeClr val="tx1"/>
                      </a:solidFill>
                      <a:miter lim="800000"/>
                      <a:headEnd/>
                      <a:tailEnd/>
                    </a:ln>
                  </pic:spPr>
                </pic:pic>
              </a:graphicData>
            </a:graphic>
          </wp:inline>
        </w:drawing>
      </w:r>
    </w:p>
    <w:p w14:paraId="03975AB2">
      <w:pPr>
        <w:pStyle w:val="44"/>
        <w:numPr>
          <w:ilvl w:val="0"/>
          <w:numId w:val="7"/>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工单处理</w:t>
      </w:r>
    </w:p>
    <w:p w14:paraId="607F0BC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指派给用户的工单，用户需要进一步的后续操作流程。操作查看、改派、处理、回访的步骤进度。</w:t>
      </w:r>
    </w:p>
    <w:p w14:paraId="04F36BB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该界面打开后，默认显示全部的工单任务，可以选择待办任务，在办任务，已办任务这三个页签，依据工单的状态来逻辑区分。作为筛选归类，点击具体的工单后出现工单处理的界面。</w:t>
      </w:r>
    </w:p>
    <w:p w14:paraId="0979367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包括所有发送到APP用户需要完成的工单，工单分为未查阅、已查阅、处理中、已完成四种状态，在工单详细内容中输入后体现，每种状态按照时间顺序到排，并支持搜索功能。</w:t>
      </w:r>
    </w:p>
    <w:p w14:paraId="0A2A1512">
      <w:pPr>
        <w:pStyle w:val="11"/>
        <w:ind w:firstLine="0" w:firstLineChars="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813560" cy="3247390"/>
            <wp:effectExtent l="9525" t="9525" r="24765" b="19685"/>
            <wp:docPr id="112" name="图片 112" descr="C:\Users\HDDZ\Desktop\APP\历史\和达APP-效果图_2\任务中心\任务中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C:\Users\HDDZ\Desktop\APP\历史\和达APP-效果图_2\任务中心\任务中心.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1838233" cy="3290485"/>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930400" cy="3243580"/>
            <wp:effectExtent l="9525" t="9525" r="22225" b="23495"/>
            <wp:docPr id="113" name="图片 49" descr="图形用户界面, 文本, 应用程序&#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49" descr="图形用户界面, 文本, 应用程序&#10;&#10;描述已自动生成"/>
                    <pic:cNvPicPr>
                      <a:picLocks noChangeAspect="1" noChangeArrowheads="1"/>
                    </pic:cNvPicPr>
                  </pic:nvPicPr>
                  <pic:blipFill>
                    <a:blip r:embed="rId30" cstate="print"/>
                    <a:srcRect/>
                    <a:stretch>
                      <a:fillRect/>
                    </a:stretch>
                  </pic:blipFill>
                  <pic:spPr>
                    <a:xfrm>
                      <a:off x="0" y="0"/>
                      <a:ext cx="1965753" cy="3303522"/>
                    </a:xfrm>
                    <a:prstGeom prst="rect">
                      <a:avLst/>
                    </a:prstGeom>
                    <a:noFill/>
                    <a:ln w="9525">
                      <a:solidFill>
                        <a:schemeClr val="tx1"/>
                      </a:solidFill>
                      <a:miter lim="800000"/>
                      <a:headEnd/>
                      <a:tailEnd/>
                    </a:ln>
                  </pic:spPr>
                </pic:pic>
              </a:graphicData>
            </a:graphic>
          </wp:inline>
        </w:drawing>
      </w:r>
    </w:p>
    <w:p w14:paraId="0B7717BA">
      <w:pPr>
        <w:pStyle w:val="44"/>
        <w:numPr>
          <w:ilvl w:val="0"/>
          <w:numId w:val="7"/>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工单统计</w:t>
      </w:r>
    </w:p>
    <w:p w14:paraId="72D5F94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有图形和表格两种展现形式切换，按当日、当月、当年、责任部门、工单状态、工单分类6种情况统计。点击图例或者蓝色数字可以穿透查看列表清单，点击列表可以查看工单详情。</w:t>
      </w:r>
    </w:p>
    <w:p w14:paraId="15C940A3">
      <w:pPr>
        <w:pStyle w:val="11"/>
        <w:ind w:firstLine="0" w:firstLineChars="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61160" cy="2925445"/>
            <wp:effectExtent l="9525" t="9525" r="24765" b="17780"/>
            <wp:docPr id="114" name="图片 4" descr="C:\Users\zxd\Desktop\设计文档\app截图\IMG_4808.PNG"/>
            <wp:cNvGraphicFramePr/>
            <a:graphic xmlns:a="http://schemas.openxmlformats.org/drawingml/2006/main">
              <a:graphicData uri="http://schemas.openxmlformats.org/drawingml/2006/picture">
                <pic:pic xmlns:pic="http://schemas.openxmlformats.org/drawingml/2006/picture">
                  <pic:nvPicPr>
                    <pic:cNvPr id="114" name="图片 4" descr="C:\Users\zxd\Desktop\设计文档\app截图\IMG_4808.PNG"/>
                    <pic:cNvPicPr/>
                  </pic:nvPicPr>
                  <pic:blipFill>
                    <a:blip r:embed="rId32" cstate="print"/>
                    <a:srcRect/>
                    <a:stretch>
                      <a:fillRect/>
                    </a:stretch>
                  </pic:blipFill>
                  <pic:spPr>
                    <a:xfrm>
                      <a:off x="0" y="0"/>
                      <a:ext cx="1688227" cy="2973414"/>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701165" cy="2933700"/>
            <wp:effectExtent l="9525" t="9525" r="22860" b="9525"/>
            <wp:docPr id="115" name="图片 6" descr="C:\Users\zxd\Desktop\设计文档\app截图\热线2.PNG"/>
            <wp:cNvGraphicFramePr/>
            <a:graphic xmlns:a="http://schemas.openxmlformats.org/drawingml/2006/main">
              <a:graphicData uri="http://schemas.openxmlformats.org/drawingml/2006/picture">
                <pic:pic xmlns:pic="http://schemas.openxmlformats.org/drawingml/2006/picture">
                  <pic:nvPicPr>
                    <pic:cNvPr id="115" name="图片 6" descr="C:\Users\zxd\Desktop\设计文档\app截图\热线2.PNG"/>
                    <pic:cNvPicPr/>
                  </pic:nvPicPr>
                  <pic:blipFill>
                    <a:blip r:embed="rId33" cstate="print"/>
                    <a:srcRect/>
                    <a:stretch>
                      <a:fillRect/>
                    </a:stretch>
                  </pic:blipFill>
                  <pic:spPr>
                    <a:xfrm>
                      <a:off x="0" y="0"/>
                      <a:ext cx="1721901" cy="2970083"/>
                    </a:xfrm>
                    <a:prstGeom prst="rect">
                      <a:avLst/>
                    </a:prstGeom>
                    <a:noFill/>
                    <a:ln w="9525">
                      <a:solidFill>
                        <a:schemeClr val="tx1"/>
                      </a:solidFill>
                      <a:miter lim="800000"/>
                      <a:headEnd/>
                      <a:tailEnd/>
                    </a:ln>
                  </pic:spPr>
                </pic:pic>
              </a:graphicData>
            </a:graphic>
          </wp:inline>
        </w:drawing>
      </w:r>
    </w:p>
    <w:p w14:paraId="64C15BE5">
      <w:pPr>
        <w:pStyle w:val="44"/>
        <w:numPr>
          <w:ilvl w:val="0"/>
          <w:numId w:val="7"/>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调度日志</w:t>
      </w:r>
    </w:p>
    <w:p w14:paraId="68EF403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实现调度指令的接收，通过电子日志的形式进行记录。</w:t>
      </w:r>
    </w:p>
    <w:p w14:paraId="3D80ABD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可以根据申请编号、申请部门和申请开始时间查询冲洗作业。点击列表可以查看冲水信息以及具体的审核信息。</w:t>
      </w:r>
    </w:p>
    <w:p w14:paraId="0C4D5A15">
      <w:pPr>
        <w:pStyle w:val="11"/>
        <w:ind w:firstLine="0" w:firstLineChars="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844675" cy="3326130"/>
            <wp:effectExtent l="9525" t="9525" r="12700" b="17145"/>
            <wp:docPr id="116" name="图片 4" descr="表格&#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4" descr="表格&#10;&#10;描述已自动生成"/>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844703" cy="3326283"/>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844675" cy="3321050"/>
            <wp:effectExtent l="9525" t="9525" r="12700" b="22225"/>
            <wp:docPr id="117" name="图片 9" descr="表格&#10;&#10;描述已自动生成"/>
            <wp:cNvGraphicFramePr/>
            <a:graphic xmlns:a="http://schemas.openxmlformats.org/drawingml/2006/main">
              <a:graphicData uri="http://schemas.openxmlformats.org/drawingml/2006/picture">
                <pic:pic xmlns:pic="http://schemas.openxmlformats.org/drawingml/2006/picture">
                  <pic:nvPicPr>
                    <pic:cNvPr id="117" name="图片 9" descr="表格&#10;&#10;描述已自动生成"/>
                    <pic:cNvPicPr/>
                  </pic:nvPicPr>
                  <pic:blipFill>
                    <a:blip r:embed="rId35" cstate="print"/>
                    <a:srcRect/>
                    <a:stretch>
                      <a:fillRect/>
                    </a:stretch>
                  </pic:blipFill>
                  <pic:spPr>
                    <a:xfrm>
                      <a:off x="0" y="0"/>
                      <a:ext cx="1844702" cy="3321293"/>
                    </a:xfrm>
                    <a:prstGeom prst="rect">
                      <a:avLst/>
                    </a:prstGeom>
                    <a:noFill/>
                    <a:ln w="9525">
                      <a:solidFill>
                        <a:schemeClr val="tx1"/>
                      </a:solidFill>
                      <a:miter lim="800000"/>
                      <a:headEnd/>
                      <a:tailEnd/>
                    </a:ln>
                  </pic:spPr>
                </pic:pic>
              </a:graphicData>
            </a:graphic>
          </wp:inline>
        </w:drawing>
      </w:r>
    </w:p>
    <w:p w14:paraId="0E859E97">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5" w:name="_Toc174534332"/>
      <w:r>
        <w:rPr>
          <w:rFonts w:ascii="仿宋" w:hAnsi="仿宋" w:eastAsia="仿宋" w:cs="Times New Roman"/>
          <w:b/>
          <w:bCs/>
          <w:color w:val="auto"/>
          <w:sz w:val="32"/>
          <w:szCs w:val="32"/>
          <w:highlight w:val="none"/>
        </w:rPr>
        <w:t>报表管理</w:t>
      </w:r>
      <w:bookmarkEnd w:id="115"/>
    </w:p>
    <w:p w14:paraId="3721BAD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实现乡镇水厂，单村水站，泵站日报表，月报表、年报表信息查询。</w:t>
      </w:r>
    </w:p>
    <w:p w14:paraId="240A3FA6">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区域供水日报</w:t>
      </w:r>
    </w:p>
    <w:p w14:paraId="38387FD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分站点展示区域内供水日报，可以根据站点监测点、大用户、分区计量、二次供水、高频压力检测、部门监控的类型，分类选择后显示供水日报，点击日期通过弹出框筛选特定日期供水日报。信息有前日供水量、昨日供水量、今日供水量、上月同期、去年同期、昨日变化系数、今日变化系数、最高压力、最低压力、本旬累计、本月累计、本年累计。</w:t>
      </w:r>
    </w:p>
    <w:p w14:paraId="6A8D78AD">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637030" cy="2834005"/>
            <wp:effectExtent l="9525" t="9525" r="10795" b="13970"/>
            <wp:docPr id="118" name="图片 8" descr="Screenshot_2017-04-14-16-14-33-581_com.heda.hedap.png"/>
            <wp:cNvGraphicFramePr/>
            <a:graphic xmlns:a="http://schemas.openxmlformats.org/drawingml/2006/main">
              <a:graphicData uri="http://schemas.openxmlformats.org/drawingml/2006/picture">
                <pic:pic xmlns:pic="http://schemas.openxmlformats.org/drawingml/2006/picture">
                  <pic:nvPicPr>
                    <pic:cNvPr id="118" name="图片 8" descr="Screenshot_2017-04-14-16-14-33-581_com.heda.hedap.png"/>
                    <pic:cNvPicPr/>
                  </pic:nvPicPr>
                  <pic:blipFill>
                    <a:blip r:embed="rId36" cstate="print">
                      <a:extLst>
                        <a:ext uri="{28A0092B-C50C-407E-A947-70E740481C1C}">
                          <a14:useLocalDpi xmlns:a14="http://schemas.microsoft.com/office/drawing/2010/main" val="0"/>
                        </a:ext>
                      </a:extLst>
                    </a:blip>
                    <a:srcRect/>
                    <a:stretch>
                      <a:fillRect/>
                    </a:stretch>
                  </pic:blipFill>
                  <pic:spPr>
                    <a:xfrm>
                      <a:off x="0" y="0"/>
                      <a:ext cx="1676993" cy="2902475"/>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drawing>
          <wp:inline distT="0" distB="0" distL="0" distR="0">
            <wp:extent cx="1573530" cy="2834640"/>
            <wp:effectExtent l="9525" t="9525" r="17145" b="13335"/>
            <wp:docPr id="119" name="图片 9" descr="Screenshot_2017-04-14-16-18-04-885_com.heda.hedap.png"/>
            <wp:cNvGraphicFramePr/>
            <a:graphic xmlns:a="http://schemas.openxmlformats.org/drawingml/2006/main">
              <a:graphicData uri="http://schemas.openxmlformats.org/drawingml/2006/picture">
                <pic:pic xmlns:pic="http://schemas.openxmlformats.org/drawingml/2006/picture">
                  <pic:nvPicPr>
                    <pic:cNvPr id="119" name="图片 9" descr="Screenshot_2017-04-14-16-18-04-885_com.heda.hedap.png"/>
                    <pic:cNvPicPr/>
                  </pic:nvPicPr>
                  <pic:blipFill>
                    <a:blip r:embed="rId37" cstate="print">
                      <a:extLst>
                        <a:ext uri="{28A0092B-C50C-407E-A947-70E740481C1C}">
                          <a14:useLocalDpi xmlns:a14="http://schemas.microsoft.com/office/drawing/2010/main" val="0"/>
                        </a:ext>
                      </a:extLst>
                    </a:blip>
                    <a:srcRect/>
                    <a:stretch>
                      <a:fillRect/>
                    </a:stretch>
                  </pic:blipFill>
                  <pic:spPr>
                    <a:xfrm>
                      <a:off x="0" y="0"/>
                      <a:ext cx="1595399" cy="2873305"/>
                    </a:xfrm>
                    <a:prstGeom prst="rect">
                      <a:avLst/>
                    </a:prstGeom>
                    <a:noFill/>
                    <a:ln w="9525">
                      <a:solidFill>
                        <a:schemeClr val="tx1"/>
                      </a:solidFill>
                      <a:miter lim="800000"/>
                      <a:headEnd/>
                      <a:tailEnd/>
                    </a:ln>
                  </pic:spPr>
                </pic:pic>
              </a:graphicData>
            </a:graphic>
          </wp:inline>
        </w:drawing>
      </w:r>
    </w:p>
    <w:p w14:paraId="505B84A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移动分析是按照部门管理绩效考核设计，与智慧管理平台PC端无缝对接，分为生产、管网工程、营销、热线等，对各个层面数据进行汇总统计，形成管理监控指标数据，并以图形化方式直观的展示在手机平台，直管领导可以准确实时掌握市民热线反馈问题处理情况，掌握市民用水舆情动态，对整个城市供水服务态势全面掌握，对异常事重要事件掌握最新处理动态。</w:t>
      </w:r>
    </w:p>
    <w:p w14:paraId="61FDB60A">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日月售水量</w:t>
      </w:r>
    </w:p>
    <w:p w14:paraId="5D3D8BA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按每日/每月统计公司下，公司的售水量，去年同期数据进行对比，分为公司名称、日期、去年同期、增长率，系统自动计算增长率，可切换具体日期，可以查询历史数据。</w:t>
      </w:r>
    </w:p>
    <w:p w14:paraId="1D226BD8">
      <w:pPr>
        <w:spacing w:after="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908175" cy="3307715"/>
            <wp:effectExtent l="9525" t="9525" r="25400" b="16510"/>
            <wp:docPr id="120" name="图片 10" descr="C726D7FBF223A2DDF717F5302E7A9E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0" descr="C726D7FBF223A2DDF717F5302E7A9E47"/>
                    <pic:cNvPicPr>
                      <a:picLocks noChangeAspect="1"/>
                    </pic:cNvPicPr>
                  </pic:nvPicPr>
                  <pic:blipFill>
                    <a:blip r:embed="rId38" cstate="print"/>
                    <a:stretch>
                      <a:fillRect/>
                    </a:stretch>
                  </pic:blipFill>
                  <pic:spPr>
                    <a:xfrm>
                      <a:off x="0" y="0"/>
                      <a:ext cx="1919492" cy="3327091"/>
                    </a:xfrm>
                    <a:prstGeom prst="rect">
                      <a:avLst/>
                    </a:prstGeom>
                    <a:noFill/>
                    <a:ln w="3175">
                      <a:solidFill>
                        <a:schemeClr val="tx1"/>
                      </a:solidFill>
                      <a:miter lim="800000"/>
                      <a:headEnd/>
                      <a:tailEnd/>
                    </a:ln>
                  </pic:spPr>
                </pic:pic>
              </a:graphicData>
            </a:graphic>
          </wp:inline>
        </w:drawing>
      </w:r>
    </w:p>
    <w:p w14:paraId="4C8FF477">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应收水费</w:t>
      </w:r>
    </w:p>
    <w:p w14:paraId="49A25F8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按月统计公司下，公司的应收水费数据情况，去年同期数据进行对比。</w:t>
      </w:r>
    </w:p>
    <w:p w14:paraId="7536D5BD">
      <w:pPr>
        <w:pStyle w:val="11"/>
        <w:ind w:firstLine="64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844675" cy="3299460"/>
            <wp:effectExtent l="9525" t="9525" r="12700" b="24765"/>
            <wp:docPr id="121" name="图片 6" descr="C:\Users\zxd\Desktop\设计文档\app截图\scada.PNG"/>
            <wp:cNvGraphicFramePr/>
            <a:graphic xmlns:a="http://schemas.openxmlformats.org/drawingml/2006/main">
              <a:graphicData uri="http://schemas.openxmlformats.org/drawingml/2006/picture">
                <pic:pic xmlns:pic="http://schemas.openxmlformats.org/drawingml/2006/picture">
                  <pic:nvPicPr>
                    <pic:cNvPr id="121" name="图片 6" descr="C:\Users\zxd\Desktop\设计文档\app截图\scada.PNG"/>
                    <pic:cNvPicPr/>
                  </pic:nvPicPr>
                  <pic:blipFill>
                    <a:blip r:embed="rId39" cstate="print"/>
                    <a:srcRect/>
                    <a:stretch>
                      <a:fillRect/>
                    </a:stretch>
                  </pic:blipFill>
                  <pic:spPr>
                    <a:xfrm>
                      <a:off x="0" y="0"/>
                      <a:ext cx="1857338" cy="3322392"/>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t xml:space="preserve"> </w:t>
      </w:r>
      <w:r>
        <w:rPr>
          <w:rFonts w:ascii="仿宋" w:hAnsi="仿宋" w:eastAsia="仿宋" w:cs="Times New Roman"/>
          <w:color w:val="auto"/>
          <w:sz w:val="32"/>
          <w:szCs w:val="32"/>
          <w:highlight w:val="none"/>
        </w:rPr>
        <w:drawing>
          <wp:inline distT="0" distB="0" distL="0" distR="0">
            <wp:extent cx="1876425" cy="3299460"/>
            <wp:effectExtent l="9525" t="9525" r="19050" b="24765"/>
            <wp:docPr id="124" name="图片 7" descr="C:\Users\zxd\Desktop\设计文档\app截图\scada_table.PNG"/>
            <wp:cNvGraphicFramePr/>
            <a:graphic xmlns:a="http://schemas.openxmlformats.org/drawingml/2006/main">
              <a:graphicData uri="http://schemas.openxmlformats.org/drawingml/2006/picture">
                <pic:pic xmlns:pic="http://schemas.openxmlformats.org/drawingml/2006/picture">
                  <pic:nvPicPr>
                    <pic:cNvPr id="124" name="图片 7" descr="C:\Users\zxd\Desktop\设计文档\app截图\scada_table.PNG"/>
                    <pic:cNvPicPr/>
                  </pic:nvPicPr>
                  <pic:blipFill>
                    <a:blip r:embed="rId40" cstate="print"/>
                    <a:srcRect/>
                    <a:stretch>
                      <a:fillRect/>
                    </a:stretch>
                  </pic:blipFill>
                  <pic:spPr>
                    <a:xfrm>
                      <a:off x="0" y="0"/>
                      <a:ext cx="1910855" cy="3359853"/>
                    </a:xfrm>
                    <a:prstGeom prst="rect">
                      <a:avLst/>
                    </a:prstGeom>
                    <a:noFill/>
                    <a:ln w="9525">
                      <a:solidFill>
                        <a:schemeClr val="tx1"/>
                      </a:solidFill>
                      <a:miter lim="800000"/>
                      <a:headEnd/>
                      <a:tailEnd/>
                    </a:ln>
                  </pic:spPr>
                </pic:pic>
              </a:graphicData>
            </a:graphic>
          </wp:inline>
        </w:drawing>
      </w:r>
    </w:p>
    <w:p w14:paraId="53B2B9DB">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水费回收率</w:t>
      </w:r>
    </w:p>
    <w:p w14:paraId="0A90ECB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水费回收率，统计本月，或者按年（不含本月）的金额数据，分为公司名称、应收、已收、欠费、回收率，统计公司下，公司下的应收、已收和欠费数据，计算回收率反映财务情况。</w:t>
      </w:r>
    </w:p>
    <w:p w14:paraId="74D4E584">
      <w:pPr>
        <w:pStyle w:val="11"/>
        <w:ind w:firstLine="64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2258060" cy="2138045"/>
            <wp:effectExtent l="9525" t="9525" r="18415" b="24130"/>
            <wp:docPr id="125" name="图片 14" descr="表格&#10;&#10;描述已自动生成"/>
            <wp:cNvGraphicFramePr/>
            <a:graphic xmlns:a="http://schemas.openxmlformats.org/drawingml/2006/main">
              <a:graphicData uri="http://schemas.openxmlformats.org/drawingml/2006/picture">
                <pic:pic xmlns:pic="http://schemas.openxmlformats.org/drawingml/2006/picture">
                  <pic:nvPicPr>
                    <pic:cNvPr id="125" name="图片 14" descr="表格&#10;&#10;描述已自动生成"/>
                    <pic:cNvPicPr/>
                  </pic:nvPicPr>
                  <pic:blipFill>
                    <a:blip r:embed="rId41" cstate="print"/>
                    <a:srcRect/>
                    <a:stretch>
                      <a:fillRect/>
                    </a:stretch>
                  </pic:blipFill>
                  <pic:spPr>
                    <a:xfrm>
                      <a:off x="0" y="0"/>
                      <a:ext cx="2285399" cy="2164294"/>
                    </a:xfrm>
                    <a:prstGeom prst="rect">
                      <a:avLst/>
                    </a:prstGeom>
                    <a:noFill/>
                    <a:ln w="317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t xml:space="preserve"> </w:t>
      </w:r>
      <w:r>
        <w:rPr>
          <w:rFonts w:ascii="仿宋" w:hAnsi="仿宋" w:eastAsia="仿宋" w:cs="Times New Roman"/>
          <w:color w:val="auto"/>
          <w:sz w:val="32"/>
          <w:szCs w:val="32"/>
          <w:highlight w:val="none"/>
        </w:rPr>
        <w:drawing>
          <wp:inline distT="0" distB="0" distL="0" distR="0">
            <wp:extent cx="2297430" cy="2130425"/>
            <wp:effectExtent l="9525" t="9525" r="17145" b="12700"/>
            <wp:docPr id="126" name="图片 15" descr="表格&#10;&#10;描述已自动生成"/>
            <wp:cNvGraphicFramePr/>
            <a:graphic xmlns:a="http://schemas.openxmlformats.org/drawingml/2006/main">
              <a:graphicData uri="http://schemas.openxmlformats.org/drawingml/2006/picture">
                <pic:pic xmlns:pic="http://schemas.openxmlformats.org/drawingml/2006/picture">
                  <pic:nvPicPr>
                    <pic:cNvPr id="126" name="图片 15" descr="表格&#10;&#10;描述已自动生成"/>
                    <pic:cNvPicPr/>
                  </pic:nvPicPr>
                  <pic:blipFill>
                    <a:blip r:embed="rId42" cstate="print"/>
                    <a:srcRect/>
                    <a:stretch>
                      <a:fillRect/>
                    </a:stretch>
                  </pic:blipFill>
                  <pic:spPr>
                    <a:xfrm>
                      <a:off x="0" y="0"/>
                      <a:ext cx="2323099" cy="2153763"/>
                    </a:xfrm>
                    <a:prstGeom prst="rect">
                      <a:avLst/>
                    </a:prstGeom>
                    <a:noFill/>
                    <a:ln w="3175">
                      <a:solidFill>
                        <a:schemeClr val="tx1"/>
                      </a:solidFill>
                      <a:miter lim="800000"/>
                      <a:headEnd/>
                      <a:tailEnd/>
                    </a:ln>
                  </pic:spPr>
                </pic:pic>
              </a:graphicData>
            </a:graphic>
          </wp:inline>
        </w:drawing>
      </w:r>
    </w:p>
    <w:p w14:paraId="2675E108">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昨日供水量</w:t>
      </w:r>
    </w:p>
    <w:p w14:paraId="1346AEE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昨日供水量，有柱状图和表格两种展现形式，统计了水厂&amp;公司&amp;站点的昨日供水量情况和去年同期供水量情况。</w:t>
      </w:r>
    </w:p>
    <w:p w14:paraId="19B1645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水厂数据与去年同期数据进行对比，公司数据与前日数据进行对比。</w:t>
      </w:r>
    </w:p>
    <w:p w14:paraId="4563E1FB">
      <w:pPr>
        <w:pStyle w:val="11"/>
        <w:ind w:firstLine="64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1844675" cy="3299460"/>
            <wp:effectExtent l="9525" t="9525" r="12700" b="24765"/>
            <wp:docPr id="127" name="图片 6" descr="C:\Users\zxd\Desktop\设计文档\app截图\scada.PNG"/>
            <wp:cNvGraphicFramePr/>
            <a:graphic xmlns:a="http://schemas.openxmlformats.org/drawingml/2006/main">
              <a:graphicData uri="http://schemas.openxmlformats.org/drawingml/2006/picture">
                <pic:pic xmlns:pic="http://schemas.openxmlformats.org/drawingml/2006/picture">
                  <pic:nvPicPr>
                    <pic:cNvPr id="127" name="图片 6" descr="C:\Users\zxd\Desktop\设计文档\app截图\scada.PNG"/>
                    <pic:cNvPicPr/>
                  </pic:nvPicPr>
                  <pic:blipFill>
                    <a:blip r:embed="rId39" cstate="print"/>
                    <a:srcRect/>
                    <a:stretch>
                      <a:fillRect/>
                    </a:stretch>
                  </pic:blipFill>
                  <pic:spPr>
                    <a:xfrm>
                      <a:off x="0" y="0"/>
                      <a:ext cx="1857338" cy="3322392"/>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t xml:space="preserve"> </w:t>
      </w:r>
      <w:r>
        <w:rPr>
          <w:rFonts w:ascii="仿宋" w:hAnsi="仿宋" w:eastAsia="仿宋" w:cs="Times New Roman"/>
          <w:color w:val="auto"/>
          <w:sz w:val="32"/>
          <w:szCs w:val="32"/>
          <w:highlight w:val="none"/>
        </w:rPr>
        <w:drawing>
          <wp:inline distT="0" distB="0" distL="0" distR="0">
            <wp:extent cx="1876425" cy="3299460"/>
            <wp:effectExtent l="9525" t="9525" r="19050" b="24765"/>
            <wp:docPr id="128" name="图片 7" descr="C:\Users\zxd\Desktop\设计文档\app截图\scada_table.PNG"/>
            <wp:cNvGraphicFramePr/>
            <a:graphic xmlns:a="http://schemas.openxmlformats.org/drawingml/2006/main">
              <a:graphicData uri="http://schemas.openxmlformats.org/drawingml/2006/picture">
                <pic:pic xmlns:pic="http://schemas.openxmlformats.org/drawingml/2006/picture">
                  <pic:nvPicPr>
                    <pic:cNvPr id="128" name="图片 7" descr="C:\Users\zxd\Desktop\设计文档\app截图\scada_table.PNG"/>
                    <pic:cNvPicPr/>
                  </pic:nvPicPr>
                  <pic:blipFill>
                    <a:blip r:embed="rId40" cstate="print"/>
                    <a:srcRect/>
                    <a:stretch>
                      <a:fillRect/>
                    </a:stretch>
                  </pic:blipFill>
                  <pic:spPr>
                    <a:xfrm>
                      <a:off x="0" y="0"/>
                      <a:ext cx="1910855" cy="3359853"/>
                    </a:xfrm>
                    <a:prstGeom prst="rect">
                      <a:avLst/>
                    </a:prstGeom>
                    <a:noFill/>
                    <a:ln w="9525">
                      <a:solidFill>
                        <a:schemeClr val="tx1"/>
                      </a:solidFill>
                      <a:miter lim="800000"/>
                      <a:headEnd/>
                      <a:tailEnd/>
                    </a:ln>
                  </pic:spPr>
                </pic:pic>
              </a:graphicData>
            </a:graphic>
          </wp:inline>
        </w:drawing>
      </w:r>
    </w:p>
    <w:p w14:paraId="23E13BBE">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最小水量</w:t>
      </w:r>
    </w:p>
    <w:p w14:paraId="12BDAE8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有柱状图和表格两种展现形式，统计了公司或者站点的今日夜间最小水量，并与昨日数据进行对比。通过最小水量的变化预测可能存在的漏损情况。</w:t>
      </w:r>
    </w:p>
    <w:p w14:paraId="11DD6E54">
      <w:pPr>
        <w:pStyle w:val="11"/>
        <w:ind w:firstLine="64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2297430" cy="1772285"/>
            <wp:effectExtent l="9525" t="9525" r="17145" b="27940"/>
            <wp:docPr id="129" name="图片 129" descr="图表, 条形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descr="图表, 条形图&#10;&#10;描述已自动生成"/>
                    <pic:cNvPicPr>
                      <a:picLocks noChangeAspect="1" noChangeArrowheads="1"/>
                    </pic:cNvPicPr>
                  </pic:nvPicPr>
                  <pic:blipFill>
                    <a:blip r:embed="rId43" cstate="print"/>
                    <a:srcRect/>
                    <a:stretch>
                      <a:fillRect/>
                    </a:stretch>
                  </pic:blipFill>
                  <pic:spPr>
                    <a:xfrm>
                      <a:off x="0" y="0"/>
                      <a:ext cx="2332754" cy="1799731"/>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t xml:space="preserve"> </w:t>
      </w:r>
      <w:r>
        <w:rPr>
          <w:rFonts w:ascii="仿宋" w:hAnsi="仿宋" w:eastAsia="仿宋" w:cs="Times New Roman"/>
          <w:color w:val="auto"/>
          <w:sz w:val="32"/>
          <w:szCs w:val="32"/>
          <w:highlight w:val="none"/>
        </w:rPr>
        <w:drawing>
          <wp:inline distT="0" distB="0" distL="0" distR="0">
            <wp:extent cx="2305685" cy="1772920"/>
            <wp:effectExtent l="9525" t="9525" r="27940" b="27305"/>
            <wp:docPr id="130" name="图片 130" descr="表格&#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descr="表格&#10;&#10;描述已自动生成"/>
                    <pic:cNvPicPr>
                      <a:picLocks noChangeAspect="1" noChangeArrowheads="1"/>
                    </pic:cNvPicPr>
                  </pic:nvPicPr>
                  <pic:blipFill>
                    <a:blip r:embed="rId44" cstate="print"/>
                    <a:srcRect/>
                    <a:stretch>
                      <a:fillRect/>
                    </a:stretch>
                  </pic:blipFill>
                  <pic:spPr>
                    <a:xfrm>
                      <a:off x="0" y="0"/>
                      <a:ext cx="2352873" cy="1809053"/>
                    </a:xfrm>
                    <a:prstGeom prst="rect">
                      <a:avLst/>
                    </a:prstGeom>
                    <a:noFill/>
                    <a:ln w="9525">
                      <a:solidFill>
                        <a:schemeClr val="tx1"/>
                      </a:solidFill>
                      <a:miter lim="800000"/>
                      <a:headEnd/>
                      <a:tailEnd/>
                    </a:ln>
                  </pic:spPr>
                </pic:pic>
              </a:graphicData>
            </a:graphic>
          </wp:inline>
        </w:drawing>
      </w:r>
    </w:p>
    <w:p w14:paraId="76DE3499">
      <w:pPr>
        <w:pStyle w:val="44"/>
        <w:numPr>
          <w:ilvl w:val="0"/>
          <w:numId w:val="8"/>
        </w:numPr>
        <w:spacing w:after="0" w:line="600" w:lineRule="exac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今日作业</w:t>
      </w:r>
    </w:p>
    <w:p w14:paraId="4594D89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有环形图和表格两种展现形式，基于各个分区的站点，统计今日停水作业和冲洗作业，并具有反查功能，可以点击图例或者蓝色数字可以穿透查看列表，点击列表又能查看详细信息。</w:t>
      </w:r>
    </w:p>
    <w:p w14:paraId="7A467212">
      <w:pPr>
        <w:pStyle w:val="11"/>
        <w:ind w:firstLine="64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2145030" cy="2733040"/>
            <wp:effectExtent l="9525" t="9525" r="17145" b="19685"/>
            <wp:docPr id="131" name="图片 131" descr="图形用户界面, 图表, 应用程序, 旭日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descr="图形用户界面, 图表, 应用程序, 旭日形&#10;&#10;描述已自动生成"/>
                    <pic:cNvPicPr>
                      <a:picLocks noChangeAspect="1" noChangeArrowheads="1"/>
                    </pic:cNvPicPr>
                  </pic:nvPicPr>
                  <pic:blipFill>
                    <a:blip r:embed="rId45" cstate="print"/>
                    <a:srcRect/>
                    <a:stretch>
                      <a:fillRect/>
                    </a:stretch>
                  </pic:blipFill>
                  <pic:spPr>
                    <a:xfrm>
                      <a:off x="0" y="0"/>
                      <a:ext cx="2145030" cy="2733040"/>
                    </a:xfrm>
                    <a:prstGeom prst="rect">
                      <a:avLst/>
                    </a:prstGeom>
                    <a:noFill/>
                    <a:ln w="9525">
                      <a:solidFill>
                        <a:schemeClr val="tx1"/>
                      </a:solidFill>
                      <a:miter lim="800000"/>
                      <a:headEnd/>
                      <a:tailEnd/>
                    </a:ln>
                  </pic:spPr>
                </pic:pic>
              </a:graphicData>
            </a:graphic>
          </wp:inline>
        </w:drawing>
      </w:r>
      <w:r>
        <w:rPr>
          <w:rFonts w:ascii="仿宋" w:hAnsi="仿宋" w:eastAsia="仿宋" w:cs="Times New Roman"/>
          <w:color w:val="auto"/>
          <w:sz w:val="32"/>
          <w:szCs w:val="32"/>
          <w:highlight w:val="none"/>
        </w:rPr>
        <w:t xml:space="preserve"> </w:t>
      </w:r>
      <w:r>
        <w:rPr>
          <w:rFonts w:ascii="仿宋" w:hAnsi="仿宋" w:eastAsia="仿宋" w:cs="Times New Roman"/>
          <w:color w:val="auto"/>
          <w:sz w:val="32"/>
          <w:szCs w:val="32"/>
          <w:highlight w:val="none"/>
        </w:rPr>
        <w:drawing>
          <wp:inline distT="0" distB="0" distL="0" distR="0">
            <wp:extent cx="1888490" cy="2719705"/>
            <wp:effectExtent l="9525" t="9525" r="26035" b="13970"/>
            <wp:docPr id="132" name="图片 132" descr="C:\Users\HDDZ\Desktop\图片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2" descr="C:\Users\HDDZ\Desktop\图片1.pn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a:xfrm>
                      <a:off x="0" y="0"/>
                      <a:ext cx="1888490" cy="2719705"/>
                    </a:xfrm>
                    <a:prstGeom prst="rect">
                      <a:avLst/>
                    </a:prstGeom>
                    <a:noFill/>
                    <a:ln w="9525">
                      <a:solidFill>
                        <a:schemeClr val="tx1"/>
                      </a:solidFill>
                      <a:miter lim="800000"/>
                      <a:headEnd/>
                      <a:tailEnd/>
                    </a:ln>
                  </pic:spPr>
                </pic:pic>
              </a:graphicData>
            </a:graphic>
          </wp:inline>
        </w:drawing>
      </w:r>
    </w:p>
    <w:p w14:paraId="7B930C7B">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6" w:name="_Toc174534333"/>
      <w:r>
        <w:rPr>
          <w:rFonts w:hint="eastAsia" w:ascii="仿宋" w:hAnsi="仿宋" w:eastAsia="仿宋" w:cs="Times New Roman"/>
          <w:b/>
          <w:bCs/>
          <w:color w:val="auto"/>
          <w:sz w:val="32"/>
          <w:szCs w:val="32"/>
          <w:highlight w:val="none"/>
        </w:rPr>
        <w:t>日常巡查</w:t>
      </w:r>
    </w:p>
    <w:p w14:paraId="5352B2E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将日常安全检查信息通过移动终端上传系统，针对巡查内容通知相关人。相关人对问题进行整改并反馈，系统对安全检查记录，整改记录汇总分析。</w:t>
      </w:r>
    </w:p>
    <w:p w14:paraId="26A66199">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巡查功能，能够流转于多个账号之间，对现场的问题进行上报以及整改记录，可指派人员针对性解决问题。可以新增巡查问题，并可以对问题进行查阅、审批、回复，支持以巡查问题状态、优先级、更新时间、类型进行筛选，发布检查报告，形成事故登记台账。</w:t>
      </w:r>
    </w:p>
    <w:p w14:paraId="57FAF2F6">
      <w:pPr>
        <w:pStyle w:val="5"/>
        <w:numPr>
          <w:ilvl w:val="3"/>
          <w:numId w:val="2"/>
        </w:numPr>
        <w:spacing w:before="0" w:after="0" w:line="415" w:lineRule="auto"/>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消息管理</w:t>
      </w:r>
      <w:bookmarkEnd w:id="116"/>
    </w:p>
    <w:p w14:paraId="5147B30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通知公告的消息提示及报警提示，并可以查看消息公告的详细内容及报警内容；</w:t>
      </w:r>
    </w:p>
    <w:p w14:paraId="46AC6125">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7" w:name="_Toc174534334"/>
      <w:r>
        <w:rPr>
          <w:rFonts w:ascii="仿宋" w:hAnsi="仿宋" w:eastAsia="仿宋" w:cs="Times New Roman"/>
          <w:b/>
          <w:bCs/>
          <w:color w:val="auto"/>
          <w:sz w:val="32"/>
          <w:szCs w:val="32"/>
          <w:highlight w:val="none"/>
        </w:rPr>
        <w:t>任务管理</w:t>
      </w:r>
      <w:bookmarkEnd w:id="117"/>
    </w:p>
    <w:p w14:paraId="5E17B27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提示个人任务信息列表，点击后到工单模块。</w:t>
      </w:r>
    </w:p>
    <w:p w14:paraId="4E2659E5">
      <w:pPr>
        <w:pStyle w:val="5"/>
        <w:numPr>
          <w:ilvl w:val="3"/>
          <w:numId w:val="2"/>
        </w:numPr>
        <w:spacing w:before="0" w:after="0" w:line="415" w:lineRule="auto"/>
        <w:rPr>
          <w:rFonts w:hint="eastAsia" w:ascii="仿宋" w:hAnsi="仿宋" w:eastAsia="仿宋" w:cs="Times New Roman"/>
          <w:b/>
          <w:bCs/>
          <w:color w:val="auto"/>
          <w:sz w:val="32"/>
          <w:szCs w:val="32"/>
          <w:highlight w:val="none"/>
        </w:rPr>
      </w:pPr>
      <w:bookmarkStart w:id="118" w:name="_Toc174534335"/>
      <w:r>
        <w:rPr>
          <w:rFonts w:ascii="仿宋" w:hAnsi="仿宋" w:eastAsia="仿宋" w:cs="Times New Roman"/>
          <w:b/>
          <w:bCs/>
          <w:color w:val="auto"/>
          <w:sz w:val="32"/>
          <w:szCs w:val="32"/>
          <w:highlight w:val="none"/>
        </w:rPr>
        <w:t>个人设置</w:t>
      </w:r>
      <w:bookmarkEnd w:id="118"/>
    </w:p>
    <w:p w14:paraId="305377C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用户名密码设置，版本号等。</w:t>
      </w:r>
    </w:p>
    <w:p w14:paraId="0D2752CF">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19" w:name="_Toc12155"/>
      <w:bookmarkStart w:id="120" w:name="_Toc6462"/>
      <w:bookmarkStart w:id="121" w:name="_Toc23161"/>
      <w:r>
        <w:rPr>
          <w:rFonts w:ascii="仿宋" w:hAnsi="仿宋" w:eastAsia="仿宋" w:cs="Times New Roman"/>
          <w:b/>
          <w:bCs/>
          <w:color w:val="auto"/>
          <w:sz w:val="32"/>
          <w:szCs w:val="32"/>
          <w:highlight w:val="none"/>
        </w:rPr>
        <w:t>整体技术架构设计</w:t>
      </w:r>
      <w:bookmarkEnd w:id="119"/>
      <w:bookmarkEnd w:id="120"/>
      <w:bookmarkEnd w:id="121"/>
    </w:p>
    <w:p w14:paraId="38A07B2F">
      <w:pPr>
        <w:numPr>
          <w:ilvl w:val="0"/>
          <w:numId w:val="9"/>
        </w:numPr>
        <w:spacing w:after="0" w:line="600" w:lineRule="exact"/>
        <w:ind w:firstLine="640" w:firstLineChars="200"/>
        <w:rPr>
          <w:rFonts w:hint="eastAsia" w:ascii="仿宋" w:hAnsi="仿宋" w:eastAsia="仿宋" w:cs="Times New Roman"/>
          <w:color w:val="auto"/>
          <w:sz w:val="32"/>
          <w:szCs w:val="32"/>
          <w:highlight w:val="none"/>
        </w:rPr>
      </w:pPr>
      <w:bookmarkStart w:id="122" w:name="_Toc3585"/>
      <w:bookmarkStart w:id="123" w:name="_Toc19525"/>
      <w:r>
        <w:rPr>
          <w:rFonts w:ascii="仿宋" w:hAnsi="仿宋" w:eastAsia="仿宋" w:cs="Times New Roman"/>
          <w:color w:val="auto"/>
          <w:sz w:val="32"/>
          <w:szCs w:val="32"/>
          <w:highlight w:val="none"/>
        </w:rPr>
        <w:t>架构图</w:t>
      </w:r>
    </w:p>
    <w:p w14:paraId="7FA28573">
      <w:pPr>
        <w:spacing w:after="0"/>
        <w:jc w:val="cente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drawing>
          <wp:inline distT="0" distB="0" distL="0" distR="0">
            <wp:extent cx="5274310" cy="3441700"/>
            <wp:effectExtent l="0" t="0" r="0" b="0"/>
            <wp:docPr id="490782225" name="图片 5" descr="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782225" name="图片 5" descr="图形用户界面&#10;&#10;描述已自动生成"/>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5274310" cy="3441700"/>
                    </a:xfrm>
                    <a:prstGeom prst="rect">
                      <a:avLst/>
                    </a:prstGeom>
                    <a:noFill/>
                    <a:ln>
                      <a:noFill/>
                    </a:ln>
                  </pic:spPr>
                </pic:pic>
              </a:graphicData>
            </a:graphic>
          </wp:inline>
        </w:drawing>
      </w:r>
    </w:p>
    <w:p w14:paraId="18E682A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（2）发布端：浙政钉、浙里办。</w:t>
      </w:r>
    </w:p>
    <w:p w14:paraId="5E2E9CC7">
      <w:pPr>
        <w:spacing w:after="0"/>
        <w:ind w:firstLine="640" w:firstLineChars="200"/>
        <w:rPr>
          <w:rFonts w:hint="eastAsia" w:ascii="仿宋" w:hAnsi="仿宋" w:eastAsia="仿宋" w:cs="Times New Roman"/>
          <w:color w:val="auto"/>
          <w:sz w:val="32"/>
          <w:szCs w:val="32"/>
          <w:highlight w:val="none"/>
        </w:rPr>
      </w:pPr>
      <w:bookmarkStart w:id="124" w:name="_Toc531513223"/>
      <w:r>
        <w:rPr>
          <w:rFonts w:ascii="仿宋" w:hAnsi="仿宋" w:eastAsia="仿宋" w:cs="Times New Roman"/>
          <w:color w:val="auto"/>
          <w:sz w:val="32"/>
          <w:szCs w:val="32"/>
          <w:highlight w:val="none"/>
        </w:rPr>
        <w:t>（3）架构描述</w:t>
      </w:r>
      <w:bookmarkEnd w:id="124"/>
    </w:p>
    <w:p w14:paraId="3D4157E8">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“四横”：即基础设施体系、数据资源体系、应用支撑体系、业务应用体系。</w:t>
      </w:r>
    </w:p>
    <w:p w14:paraId="0ED6426A">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基础设施体系（算力集成、网络集成）:包括政务云、政务外网、政务内网、感知网、视联网等。</w:t>
      </w:r>
    </w:p>
    <w:p w14:paraId="4CBE9BE6">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数据资源体系（数据集成）：包括但不限于基础库、人员库、规则库、预警库、设施库等多个数据库。</w:t>
      </w:r>
    </w:p>
    <w:p w14:paraId="476F93A8">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应用支撑体系（算法、模型、工具集成）：一体化数字资源系统（IRS）。</w:t>
      </w:r>
    </w:p>
    <w:p w14:paraId="1E806A5A">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业务应用体系:供水数字化系统平台，包括供水站检测一张图、预警场景、视频监控、监测设备配置、实时监测、预警报警、基础信息、系统集成等多项功能。</w:t>
      </w:r>
    </w:p>
    <w:p w14:paraId="3F7CBBC3">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“四纵”：即政策制度体系、标准规范体系、组织保障体系、网络安全体系。</w:t>
      </w:r>
    </w:p>
    <w:p w14:paraId="2F3C031B">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“两端”：即“浙里办”和“浙政钉”。</w:t>
      </w:r>
    </w:p>
    <w:p w14:paraId="2C4FDF6D">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25" w:name="_Toc16609"/>
      <w:r>
        <w:rPr>
          <w:rFonts w:ascii="仿宋" w:hAnsi="仿宋" w:eastAsia="仿宋" w:cs="Times New Roman"/>
          <w:b/>
          <w:bCs/>
          <w:color w:val="auto"/>
          <w:sz w:val="32"/>
          <w:szCs w:val="32"/>
          <w:highlight w:val="none"/>
        </w:rPr>
        <w:t>业务协同设计</w:t>
      </w:r>
      <w:bookmarkEnd w:id="122"/>
      <w:bookmarkEnd w:id="123"/>
      <w:bookmarkEnd w:id="125"/>
    </w:p>
    <w:p w14:paraId="0F3B306B">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（一）监测设备检测平台、视频监控平台实时同步到管理系统的原始库（接口及线下多种方式）；</w:t>
      </w:r>
    </w:p>
    <w:p w14:paraId="6CBD27D9">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（二）数据经过二次清洗进入到系统数据库和业务库；</w:t>
      </w:r>
    </w:p>
    <w:p w14:paraId="2FAEABC4">
      <w:pPr>
        <w:spacing w:after="0"/>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经过服务层处理后形成最终可用信息为驾驶舱视图层及图例所示的外部系统提供预警信息、预警处理、预警跟踪、预警分析等服务。</w:t>
      </w:r>
    </w:p>
    <w:p w14:paraId="5B004276">
      <w:pPr>
        <w:spacing w:after="0" w:line="600" w:lineRule="exact"/>
        <w:ind w:firstLine="420" w:firstLineChars="200"/>
        <w:rPr>
          <w:rFonts w:hint="eastAsia" w:ascii="仿宋" w:hAnsi="仿宋" w:eastAsia="仿宋" w:cs="Times New Roman"/>
          <w:color w:val="auto"/>
          <w:sz w:val="32"/>
          <w:szCs w:val="32"/>
          <w:highlight w:val="none"/>
        </w:rPr>
      </w:pPr>
      <w:r>
        <w:rPr>
          <w:color w:val="auto"/>
          <w:highlight w:val="none"/>
        </w:rPr>
        <w:drawing>
          <wp:anchor distT="0" distB="0" distL="114300" distR="114300" simplePos="0" relativeHeight="251660288" behindDoc="0" locked="0" layoutInCell="1" allowOverlap="1">
            <wp:simplePos x="0" y="0"/>
            <wp:positionH relativeFrom="column">
              <wp:posOffset>23495</wp:posOffset>
            </wp:positionH>
            <wp:positionV relativeFrom="paragraph">
              <wp:posOffset>50800</wp:posOffset>
            </wp:positionV>
            <wp:extent cx="5267960" cy="2761615"/>
            <wp:effectExtent l="0" t="0" r="8890" b="635"/>
            <wp:wrapTopAndBottom/>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48"/>
                    <a:stretch>
                      <a:fillRect/>
                    </a:stretch>
                  </pic:blipFill>
                  <pic:spPr>
                    <a:xfrm>
                      <a:off x="0" y="0"/>
                      <a:ext cx="5267960" cy="2761615"/>
                    </a:xfrm>
                    <a:prstGeom prst="rect">
                      <a:avLst/>
                    </a:prstGeom>
                    <a:noFill/>
                    <a:ln>
                      <a:noFill/>
                    </a:ln>
                  </pic:spPr>
                </pic:pic>
              </a:graphicData>
            </a:graphic>
          </wp:anchor>
        </w:drawing>
      </w:r>
    </w:p>
    <w:p w14:paraId="340294EA">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26" w:name="_Toc280"/>
      <w:bookmarkStart w:id="127" w:name="_Toc31219"/>
      <w:bookmarkStart w:id="128" w:name="_Toc13632"/>
      <w:r>
        <w:rPr>
          <w:rFonts w:ascii="仿宋" w:hAnsi="仿宋" w:eastAsia="仿宋" w:cs="Times New Roman"/>
          <w:b/>
          <w:bCs/>
          <w:color w:val="auto"/>
          <w:sz w:val="32"/>
          <w:szCs w:val="32"/>
          <w:highlight w:val="none"/>
        </w:rPr>
        <w:t>数据资源设计</w:t>
      </w:r>
      <w:bookmarkEnd w:id="126"/>
      <w:bookmarkEnd w:id="127"/>
      <w:bookmarkEnd w:id="128"/>
    </w:p>
    <w:p w14:paraId="6217ABFF">
      <w:pPr>
        <w:spacing w:after="0"/>
        <w:ind w:firstLine="640" w:firstLineChars="200"/>
        <w:rPr>
          <w:rFonts w:hint="eastAsia" w:ascii="仿宋" w:hAnsi="仿宋" w:eastAsia="仿宋" w:cs="Times New Roman"/>
          <w:color w:val="auto"/>
          <w:sz w:val="32"/>
          <w:szCs w:val="32"/>
          <w:highlight w:val="none"/>
          <w:lang w:bidi="ar"/>
        </w:rPr>
      </w:pPr>
      <w:bookmarkStart w:id="129" w:name="_Toc14564"/>
      <w:bookmarkStart w:id="130" w:name="_Toc3961"/>
      <w:r>
        <w:rPr>
          <w:rFonts w:hint="eastAsia" w:ascii="仿宋" w:hAnsi="仿宋" w:eastAsia="仿宋" w:cs="Times New Roman"/>
          <w:color w:val="auto"/>
          <w:sz w:val="32"/>
          <w:szCs w:val="32"/>
          <w:highlight w:val="none"/>
          <w:lang w:bidi="ar"/>
        </w:rPr>
        <w:t>本项目的数据资源建设规划主要是基于龙泉市县级公共数据仓基础上全面收集和整合供水相关的各类数据，包括水源地信息、水厂运行数据、供水管网数据、用户信息等，建立数据采集规范和标准，确保数据的质量和一致性，与相关部门和系统进行数据对接和共享，拓宽数据来源渠道，制定数据更新机制，以实时反映供水系统的动态变化；主要数据库结构包含水源地信息、水厂信息、供水管网信息、用户信息、水质监测情况信息、设备运行情况等；数据库建设内容充分利用现有基础数据库资源，如地理信息数据库、用户档案数据库等，进行数据融合和关联，新建针对供水系统特定需求的数据表，如管网压力监测数据、流量监测数据、设备运行监测等，对历史数据进行整理和归档，以便数据分析和挖掘，建立数据安全和备份机制，保障数据的完整性和可用性。</w:t>
      </w:r>
    </w:p>
    <w:p w14:paraId="412E516B">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根据</w:t>
      </w:r>
      <w:r>
        <w:rPr>
          <w:rFonts w:ascii="仿宋" w:hAnsi="仿宋" w:eastAsia="仿宋" w:cs="Times New Roman"/>
          <w:color w:val="auto"/>
          <w:sz w:val="32"/>
          <w:szCs w:val="32"/>
          <w:highlight w:val="none"/>
          <w:lang w:bidi="ar"/>
        </w:rPr>
        <w:t>龙泉市县级公共数据</w:t>
      </w:r>
      <w:r>
        <w:rPr>
          <w:rFonts w:hint="eastAsia" w:ascii="仿宋" w:hAnsi="仿宋" w:eastAsia="仿宋" w:cs="Times New Roman"/>
          <w:color w:val="auto"/>
          <w:sz w:val="32"/>
          <w:szCs w:val="32"/>
          <w:highlight w:val="none"/>
          <w:lang w:bidi="ar"/>
        </w:rPr>
        <w:t>共享和归集的的要求，推送数据库数据。</w:t>
      </w:r>
    </w:p>
    <w:p w14:paraId="28F65269">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为了满足交换管理的要求，每个前置库的所有前置交换表上增加如下管理字段：</w:t>
      </w:r>
    </w:p>
    <w:p w14:paraId="0CC44623">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1.tong_time（数据入库时间）。类型：timestamp，默认约束：current_timestamp,取前置库的系统当前时间，不允许其他操作。</w:t>
      </w:r>
    </w:p>
    <w:p w14:paraId="60C364D6">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2.op（操作标记）。类型：varchar（30），新增数据记录时需要标记op的值为“insert”，更新数据记录时需要标记op的值为“update”，删除数据记录时需要标记op的值为“delete”。</w:t>
      </w:r>
    </w:p>
    <w:p w14:paraId="43004174">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3.tongID（发送端自增列）。类型：bigint，默认约束：auto_increment，与前置交换表的业务主键作为联合主键。仅发送端前置交换表上有约束。</w:t>
      </w:r>
    </w:p>
    <w:p w14:paraId="7BDBE590">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4.sendtime（数据发送时间）。类型： datatime。仅接收端前置交换表上需要增加。</w:t>
      </w:r>
    </w:p>
    <w:p w14:paraId="3E02D121">
      <w:pPr>
        <w:pStyle w:val="4"/>
        <w:numPr>
          <w:ilvl w:val="2"/>
          <w:numId w:val="2"/>
        </w:numPr>
        <w:spacing w:before="0" w:after="0" w:line="416" w:lineRule="auto"/>
        <w:rPr>
          <w:rFonts w:hint="eastAsia" w:ascii="仿宋" w:hAnsi="仿宋" w:eastAsia="仿宋" w:cs="Times New Roman"/>
          <w:b/>
          <w:bCs/>
          <w:color w:val="auto"/>
          <w:highlight w:val="none"/>
        </w:rPr>
      </w:pPr>
      <w:bookmarkStart w:id="131" w:name="_Toc226"/>
      <w:bookmarkStart w:id="132" w:name="_Toc802593443"/>
      <w:bookmarkStart w:id="133" w:name="_Toc1509716020"/>
      <w:bookmarkStart w:id="134" w:name="_Toc34438271"/>
      <w:r>
        <w:rPr>
          <w:rFonts w:ascii="仿宋" w:hAnsi="仿宋" w:eastAsia="仿宋" w:cs="Times New Roman"/>
          <w:b/>
          <w:bCs/>
          <w:color w:val="auto"/>
          <w:highlight w:val="none"/>
        </w:rPr>
        <w:t>数据系统概述</w:t>
      </w:r>
      <w:bookmarkEnd w:id="131"/>
      <w:bookmarkEnd w:id="132"/>
      <w:bookmarkEnd w:id="133"/>
      <w:bookmarkEnd w:id="134"/>
    </w:p>
    <w:p w14:paraId="0D1DB6BC">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平台提供数据层、应用层等多层次的数据交换，提供基于文件、数据库、应用层的多种交换方式。</w:t>
      </w:r>
    </w:p>
    <w:p w14:paraId="47F7F24F">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数据共享交换平台设计了统一的管理总线和安全总线接口、 采用了“即插即用”的管理模型，具备了即插即用的特性，对于新拓展的适配器能够快速、动态的部署和集成。</w:t>
      </w:r>
    </w:p>
    <w:p w14:paraId="0E179A64">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高扩展低维护的特性</w:t>
      </w:r>
    </w:p>
    <w:p w14:paraId="3A8AB210">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使系统有足够好的可扩展能力， 各部分之间必须是松散耦合的， 每个部分的实现方法的变化不应该对系统的其他部分造成影响；系统中的新增的模块只需要在一处配置，可以被多个子系统共享的能力。</w:t>
      </w:r>
    </w:p>
    <w:p w14:paraId="75DDF171">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安全可靠的特性</w:t>
      </w:r>
    </w:p>
    <w:p w14:paraId="5E846FE3">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保证系统必须保证在广域网环境下的具有足够的安全性， 符合信息化建设中的安全要求，能与认证中心 CA/PKI 系统无缝结合。</w:t>
      </w:r>
    </w:p>
    <w:p w14:paraId="19C550C7">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支撑扩展的综合应用</w:t>
      </w:r>
    </w:p>
    <w:p w14:paraId="41B898B1">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通过对应用支撑体系的实现，不仅可以支持数据中心的数据整合、 共享交换，还可为其他部门或综合应用提供支撑， 如公共服务系统、 决策支持系统等， 真正做到成为数据信息系统的枢纽。</w:t>
      </w:r>
    </w:p>
    <w:p w14:paraId="61C69331">
      <w:pPr>
        <w:pStyle w:val="4"/>
        <w:numPr>
          <w:ilvl w:val="2"/>
          <w:numId w:val="2"/>
        </w:numPr>
        <w:spacing w:before="0" w:after="0" w:line="416" w:lineRule="auto"/>
        <w:rPr>
          <w:rFonts w:hint="eastAsia" w:ascii="仿宋" w:hAnsi="仿宋" w:eastAsia="仿宋" w:cs="Times New Roman"/>
          <w:b/>
          <w:bCs/>
          <w:color w:val="auto"/>
          <w:highlight w:val="none"/>
        </w:rPr>
      </w:pPr>
      <w:bookmarkStart w:id="135" w:name="_Toc1130919654"/>
      <w:bookmarkStart w:id="136" w:name="_Toc1277858835"/>
      <w:bookmarkStart w:id="137" w:name="_Toc843209694"/>
      <w:bookmarkStart w:id="138" w:name="_Toc27969"/>
      <w:r>
        <w:rPr>
          <w:rFonts w:ascii="仿宋" w:hAnsi="仿宋" w:eastAsia="仿宋" w:cs="Times New Roman"/>
          <w:b/>
          <w:bCs/>
          <w:color w:val="auto"/>
          <w:highlight w:val="none"/>
        </w:rPr>
        <w:t>数据库选型</w:t>
      </w:r>
      <w:bookmarkEnd w:id="135"/>
      <w:bookmarkEnd w:id="136"/>
      <w:bookmarkEnd w:id="137"/>
      <w:bookmarkEnd w:id="138"/>
    </w:p>
    <w:p w14:paraId="7B496610">
      <w:pPr>
        <w:spacing w:after="0" w:line="600" w:lineRule="exact"/>
        <w:ind w:firstLine="640" w:firstLineChars="200"/>
        <w:rPr>
          <w:rFonts w:hint="default" w:ascii="仿宋" w:hAnsi="仿宋" w:eastAsia="仿宋" w:cs="Times New Roman"/>
          <w:color w:val="auto"/>
          <w:sz w:val="32"/>
          <w:szCs w:val="32"/>
          <w:highlight w:val="none"/>
          <w:lang w:val="en-US" w:eastAsia="zh-CN" w:bidi="ar"/>
        </w:rPr>
      </w:pPr>
      <w:r>
        <w:rPr>
          <w:rFonts w:ascii="仿宋" w:hAnsi="仿宋" w:eastAsia="仿宋" w:cs="Times New Roman"/>
          <w:color w:val="auto"/>
          <w:sz w:val="32"/>
          <w:szCs w:val="32"/>
          <w:highlight w:val="none"/>
          <w:lang w:bidi="ar"/>
        </w:rPr>
        <w:t>数据库优先选择使用</w:t>
      </w:r>
      <w:r>
        <w:rPr>
          <w:rFonts w:hint="eastAsia" w:ascii="仿宋" w:hAnsi="仿宋" w:eastAsia="仿宋" w:cs="Times New Roman"/>
          <w:color w:val="auto"/>
          <w:sz w:val="32"/>
          <w:szCs w:val="32"/>
          <w:highlight w:val="none"/>
          <w:lang w:bidi="ar"/>
        </w:rPr>
        <w:t>PolarDB</w:t>
      </w:r>
      <w:r>
        <w:rPr>
          <w:rFonts w:hint="eastAsia" w:ascii="仿宋" w:hAnsi="仿宋" w:eastAsia="仿宋" w:cs="Times New Roman"/>
          <w:color w:val="auto"/>
          <w:sz w:val="32"/>
          <w:szCs w:val="32"/>
          <w:highlight w:val="none"/>
          <w:lang w:val="en-US" w:eastAsia="zh-CN" w:bidi="ar"/>
        </w:rPr>
        <w:t>-M</w:t>
      </w:r>
      <w:r>
        <w:rPr>
          <w:rFonts w:ascii="仿宋" w:hAnsi="仿宋" w:eastAsia="仿宋" w:cs="Times New Roman"/>
          <w:color w:val="auto"/>
          <w:sz w:val="32"/>
          <w:szCs w:val="32"/>
          <w:highlight w:val="none"/>
          <w:lang w:bidi="ar"/>
        </w:rPr>
        <w:t>，</w:t>
      </w:r>
      <w:r>
        <w:rPr>
          <w:rFonts w:hint="eastAsia" w:ascii="仿宋" w:hAnsi="仿宋" w:eastAsia="仿宋" w:cs="Times New Roman"/>
          <w:color w:val="auto"/>
          <w:sz w:val="32"/>
          <w:szCs w:val="32"/>
          <w:highlight w:val="none"/>
          <w:lang w:bidi="ar"/>
        </w:rPr>
        <w:t>PolarDB-M是阿里云推出的一款高度兼容MySQL协议的云原生数据</w:t>
      </w:r>
      <w:r>
        <w:rPr>
          <w:rFonts w:hint="eastAsia" w:ascii="仿宋" w:hAnsi="仿宋" w:eastAsia="仿宋" w:cs="Times New Roman"/>
          <w:color w:val="auto"/>
          <w:sz w:val="32"/>
          <w:szCs w:val="32"/>
          <w:highlight w:val="none"/>
          <w:lang w:eastAsia="zh-CN" w:bidi="ar"/>
        </w:rPr>
        <w:t>，</w:t>
      </w:r>
      <w:r>
        <w:rPr>
          <w:rFonts w:hint="eastAsia" w:ascii="仿宋" w:hAnsi="仿宋" w:eastAsia="仿宋" w:cs="Times New Roman"/>
          <w:color w:val="auto"/>
          <w:sz w:val="32"/>
          <w:szCs w:val="32"/>
          <w:highlight w:val="none"/>
          <w:lang w:bidi="ar"/>
        </w:rPr>
        <w:t>PolarDB是阿里云自主研发的新一代关系型云原生数据库，既拥有分布式设计的低成本优势，又具有集中式的易用性。PolarDB采用存储计算分离、软硬一体化设计，满足大规模应用场景需求</w:t>
      </w:r>
      <w:r>
        <w:rPr>
          <w:rFonts w:ascii="仿宋" w:hAnsi="仿宋" w:eastAsia="仿宋" w:cs="Times New Roman"/>
          <w:color w:val="auto"/>
          <w:sz w:val="32"/>
          <w:szCs w:val="32"/>
          <w:highlight w:val="none"/>
          <w:lang w:bidi="ar"/>
        </w:rPr>
        <w:t>。</w:t>
      </w:r>
      <w:r>
        <w:rPr>
          <w:rFonts w:hint="eastAsia" w:ascii="仿宋" w:hAnsi="仿宋" w:eastAsia="仿宋" w:cs="Times New Roman"/>
          <w:color w:val="auto"/>
          <w:sz w:val="32"/>
          <w:szCs w:val="32"/>
          <w:highlight w:val="none"/>
          <w:lang w:val="en-US" w:eastAsia="zh-CN" w:bidi="ar"/>
        </w:rPr>
        <w:t>具有以下核心优势。</w:t>
      </w:r>
    </w:p>
    <w:p w14:paraId="01C9485C">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高性能</w:t>
      </w:r>
      <w:r>
        <w:rPr>
          <w:rFonts w:hint="default" w:ascii="仿宋" w:hAnsi="仿宋" w:eastAsia="仿宋" w:cs="Times New Roman"/>
          <w:color w:val="auto"/>
          <w:sz w:val="32"/>
          <w:szCs w:val="32"/>
          <w:highlight w:val="none"/>
          <w:lang w:bidi="ar"/>
        </w:rPr>
        <w:t>：采用存储计算分离架构，借助 RDMA 高速网络和分布式共享存储等技术，相比开源 MySQL 性能提升6倍，可应对高并发请求，响应时间短、吞吐量高</w:t>
      </w:r>
      <w:r>
        <w:rPr>
          <w:rFonts w:ascii="仿宋" w:hAnsi="仿宋" w:eastAsia="仿宋" w:cs="Times New Roman"/>
          <w:color w:val="auto"/>
          <w:sz w:val="32"/>
          <w:szCs w:val="32"/>
          <w:highlight w:val="none"/>
          <w:lang w:bidi="ar"/>
        </w:rPr>
        <w:t>。</w:t>
      </w:r>
    </w:p>
    <w:p w14:paraId="21E9A6EC">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高弹性</w:t>
      </w:r>
      <w:r>
        <w:rPr>
          <w:rFonts w:hint="default" w:ascii="仿宋" w:hAnsi="仿宋" w:eastAsia="仿宋" w:cs="Times New Roman"/>
          <w:color w:val="auto"/>
          <w:sz w:val="32"/>
          <w:szCs w:val="32"/>
          <w:highlight w:val="none"/>
          <w:lang w:bidi="ar"/>
        </w:rPr>
        <w:t>：支持分钟级增删节点以及 Serverless 秒级动态弹降，资源伸缩范围广，0-256核，还支持最小 0.5PCU的资源颗粒度，能有效应对业务波峰波谷，控制成本</w:t>
      </w:r>
      <w:r>
        <w:rPr>
          <w:rFonts w:ascii="仿宋" w:hAnsi="仿宋" w:eastAsia="仿宋" w:cs="Times New Roman"/>
          <w:color w:val="auto"/>
          <w:sz w:val="32"/>
          <w:szCs w:val="32"/>
          <w:highlight w:val="none"/>
          <w:lang w:bidi="ar"/>
        </w:rPr>
        <w:t>。</w:t>
      </w:r>
    </w:p>
    <w:p w14:paraId="1BB579BD">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高可用性</w:t>
      </w:r>
      <w:r>
        <w:rPr>
          <w:rFonts w:hint="default" w:ascii="仿宋" w:hAnsi="仿宋" w:eastAsia="仿宋" w:cs="Times New Roman"/>
          <w:color w:val="auto"/>
          <w:sz w:val="32"/>
          <w:szCs w:val="32"/>
          <w:highlight w:val="none"/>
          <w:lang w:bidi="ar"/>
        </w:rPr>
        <w:t>：通过多副本冗余和故障自动切换机制，确保99.999%的数据可靠性，主节点故障后恢复时间小于10秒，GDN 集群间数据延迟小于2秒，支持异地多活容灾</w:t>
      </w:r>
      <w:r>
        <w:rPr>
          <w:rFonts w:ascii="仿宋" w:hAnsi="仿宋" w:eastAsia="仿宋" w:cs="Times New Roman"/>
          <w:color w:val="auto"/>
          <w:sz w:val="32"/>
          <w:szCs w:val="32"/>
          <w:highlight w:val="none"/>
          <w:lang w:bidi="ar"/>
        </w:rPr>
        <w:t>。</w:t>
      </w:r>
    </w:p>
    <w:p w14:paraId="1C0C1583">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高安全性</w:t>
      </w:r>
      <w:r>
        <w:rPr>
          <w:rFonts w:hint="default" w:ascii="仿宋" w:hAnsi="仿宋" w:eastAsia="仿宋" w:cs="Times New Roman"/>
          <w:color w:val="auto"/>
          <w:sz w:val="32"/>
          <w:szCs w:val="32"/>
          <w:highlight w:val="none"/>
          <w:lang w:bidi="ar"/>
        </w:rPr>
        <w:t>：内置数据加密、访问控制和审计日志等安全机制，采用白名单、VPC 网络、数据多副本存储等手段，确保数据访问、存储、管理等环节的安全</w:t>
      </w:r>
      <w:r>
        <w:rPr>
          <w:rFonts w:ascii="仿宋" w:hAnsi="仿宋" w:eastAsia="仿宋" w:cs="Times New Roman"/>
          <w:color w:val="auto"/>
          <w:sz w:val="32"/>
          <w:szCs w:val="32"/>
          <w:highlight w:val="none"/>
          <w:lang w:bidi="ar"/>
        </w:rPr>
        <w:t>。</w:t>
      </w:r>
    </w:p>
    <w:p w14:paraId="3EC23508">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低成本</w:t>
      </w:r>
      <w:r>
        <w:rPr>
          <w:rFonts w:hint="default" w:ascii="仿宋" w:hAnsi="仿宋" w:eastAsia="仿宋" w:cs="Times New Roman"/>
          <w:color w:val="auto"/>
          <w:sz w:val="32"/>
          <w:szCs w:val="32"/>
          <w:highlight w:val="none"/>
          <w:lang w:bidi="ar"/>
        </w:rPr>
        <w:t>：利用硬件压缩盘技术实现高压缩比，降低存储成本40%，多个计算节点共享存储，新增只读节点只需支付计算节点费用，存储空间自动伸缩，用户按实际用量付费</w:t>
      </w:r>
      <w:r>
        <w:rPr>
          <w:rFonts w:ascii="仿宋" w:hAnsi="仿宋" w:eastAsia="仿宋" w:cs="Times New Roman"/>
          <w:color w:val="auto"/>
          <w:sz w:val="32"/>
          <w:szCs w:val="32"/>
          <w:highlight w:val="none"/>
          <w:lang w:bidi="ar"/>
        </w:rPr>
        <w:t>。</w:t>
      </w:r>
    </w:p>
    <w:p w14:paraId="3B795936">
      <w:pPr>
        <w:pStyle w:val="4"/>
        <w:numPr>
          <w:ilvl w:val="2"/>
          <w:numId w:val="2"/>
        </w:numPr>
        <w:spacing w:before="0" w:after="0" w:line="416" w:lineRule="auto"/>
        <w:rPr>
          <w:rFonts w:hint="eastAsia" w:ascii="仿宋" w:hAnsi="仿宋" w:eastAsia="仿宋" w:cs="Times New Roman"/>
          <w:b/>
          <w:bCs/>
          <w:color w:val="auto"/>
          <w:highlight w:val="none"/>
        </w:rPr>
      </w:pPr>
      <w:bookmarkStart w:id="139" w:name="_Toc2136348828"/>
      <w:bookmarkStart w:id="140" w:name="_Toc580740505"/>
      <w:bookmarkStart w:id="141" w:name="_Toc2136969845"/>
      <w:bookmarkStart w:id="142" w:name="_Toc18046"/>
      <w:r>
        <w:rPr>
          <w:rFonts w:ascii="仿宋" w:hAnsi="仿宋" w:eastAsia="仿宋" w:cs="Times New Roman"/>
          <w:b/>
          <w:bCs/>
          <w:color w:val="auto"/>
          <w:highlight w:val="none"/>
        </w:rPr>
        <w:t>数据库高可用设计</w:t>
      </w:r>
      <w:bookmarkEnd w:id="139"/>
      <w:bookmarkEnd w:id="140"/>
      <w:bookmarkEnd w:id="141"/>
      <w:bookmarkEnd w:id="142"/>
    </w:p>
    <w:p w14:paraId="39603646">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（一）</w:t>
      </w:r>
      <w:r>
        <w:rPr>
          <w:rFonts w:hint="eastAsia" w:ascii="仿宋" w:hAnsi="仿宋" w:eastAsia="仿宋" w:cs="Times New Roman"/>
          <w:color w:val="auto"/>
          <w:sz w:val="32"/>
          <w:szCs w:val="32"/>
          <w:highlight w:val="none"/>
          <w:lang w:bidi="ar"/>
        </w:rPr>
        <w:t>PolarDB的高可用方案主要包括多副本机制、自动故障转移和基于X-Paxos一致性协议的数据复制。</w:t>
      </w:r>
    </w:p>
    <w:p w14:paraId="3B0EE41C">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多副本技术</w:t>
      </w:r>
      <w:r>
        <w:rPr>
          <w:rFonts w:hint="eastAsia" w:ascii="仿宋" w:hAnsi="仿宋" w:eastAsia="仿宋" w:cs="Times New Roman"/>
          <w:color w:val="auto"/>
          <w:sz w:val="32"/>
          <w:szCs w:val="32"/>
          <w:highlight w:val="none"/>
          <w:lang w:eastAsia="zh-CN" w:bidi="ar"/>
        </w:rPr>
        <w:t>：</w:t>
      </w:r>
      <w:r>
        <w:rPr>
          <w:rFonts w:hint="eastAsia" w:ascii="仿宋" w:hAnsi="仿宋" w:eastAsia="仿宋" w:cs="Times New Roman"/>
          <w:color w:val="auto"/>
          <w:sz w:val="32"/>
          <w:szCs w:val="32"/>
          <w:highlight w:val="none"/>
          <w:lang w:bidi="ar"/>
        </w:rPr>
        <w:t>采用一主多从的多副本架构，主副本处理读写请求，从副本用于备份和故障接管。副本间基于日志的复制方式同步数据，如主副本将事务日志发送到从副本以更新数据状态，确保主从数据一致，主副本故障时可快速切换</w:t>
      </w:r>
      <w:r>
        <w:rPr>
          <w:rFonts w:ascii="仿宋" w:hAnsi="仿宋" w:eastAsia="仿宋" w:cs="Times New Roman"/>
          <w:color w:val="auto"/>
          <w:sz w:val="32"/>
          <w:szCs w:val="32"/>
          <w:highlight w:val="none"/>
          <w:lang w:bidi="ar"/>
        </w:rPr>
        <w:t>。</w:t>
      </w:r>
    </w:p>
    <w:p w14:paraId="4551E75B">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hint="default" w:ascii="仿宋" w:hAnsi="仿宋" w:eastAsia="仿宋" w:cs="Times New Roman"/>
          <w:color w:val="auto"/>
          <w:sz w:val="32"/>
          <w:szCs w:val="32"/>
          <w:highlight w:val="none"/>
          <w:lang w:bidi="ar"/>
        </w:rPr>
        <w:t>故障自动检测与切换</w:t>
      </w:r>
      <w:r>
        <w:rPr>
          <w:rFonts w:hint="eastAsia" w:ascii="仿宋" w:hAnsi="仿宋" w:eastAsia="仿宋" w:cs="Times New Roman"/>
          <w:color w:val="auto"/>
          <w:sz w:val="32"/>
          <w:szCs w:val="32"/>
          <w:highlight w:val="none"/>
          <w:lang w:eastAsia="zh-CN" w:bidi="ar"/>
        </w:rPr>
        <w:t>：内置强大故障检测机制，通过心跳检测、网络连接监测等监控主副本状态。检测到主副本故障时，自动触发切换流程，综合考虑从副本状态选择新主副本，故障切换时间通常在数秒到数十秒之间</w:t>
      </w:r>
      <w:r>
        <w:rPr>
          <w:rFonts w:ascii="仿宋" w:hAnsi="仿宋" w:eastAsia="仿宋" w:cs="Times New Roman"/>
          <w:color w:val="auto"/>
          <w:sz w:val="32"/>
          <w:szCs w:val="32"/>
          <w:highlight w:val="none"/>
          <w:lang w:bidi="ar"/>
        </w:rPr>
        <w:t>。</w:t>
      </w:r>
    </w:p>
    <w:p w14:paraId="08A7CC4D">
      <w:pPr>
        <w:pStyle w:val="44"/>
        <w:numPr>
          <w:ilvl w:val="0"/>
          <w:numId w:val="10"/>
        </w:numPr>
        <w:spacing w:after="0" w:line="600" w:lineRule="exact"/>
        <w:rPr>
          <w:rFonts w:ascii="仿宋" w:hAnsi="仿宋" w:eastAsia="仿宋" w:cs="Times New Roman"/>
          <w:color w:val="auto"/>
          <w:sz w:val="32"/>
          <w:szCs w:val="32"/>
          <w:highlight w:val="none"/>
          <w:lang w:bidi="ar"/>
        </w:rPr>
      </w:pPr>
      <w:r>
        <w:rPr>
          <w:rFonts w:hint="default" w:ascii="仿宋" w:hAnsi="仿宋" w:eastAsia="仿宋" w:cs="Times New Roman"/>
          <w:color w:val="auto"/>
          <w:sz w:val="32"/>
          <w:szCs w:val="32"/>
          <w:highlight w:val="none"/>
          <w:lang w:bidi="ar"/>
        </w:rPr>
        <w:t>跨可用区部署</w:t>
      </w:r>
      <w:r>
        <w:rPr>
          <w:rFonts w:hint="eastAsia" w:ascii="仿宋" w:hAnsi="仿宋" w:eastAsia="仿宋" w:cs="Times New Roman"/>
          <w:color w:val="auto"/>
          <w:sz w:val="32"/>
          <w:szCs w:val="32"/>
          <w:highlight w:val="none"/>
          <w:lang w:eastAsia="zh-CN" w:bidi="ar"/>
        </w:rPr>
        <w:t>：支持将副本分布在不同可用区，避免数据中心级故障导致服务不可用。例如主副本在一个可用区，部分从副本在同一可用区，其他从副本在另一个可用区，跨可用区的数据同步采用高速网络连接和优化协议减少延迟。</w:t>
      </w:r>
    </w:p>
    <w:p w14:paraId="7573F125">
      <w:pPr>
        <w:pStyle w:val="44"/>
        <w:numPr>
          <w:ilvl w:val="0"/>
          <w:numId w:val="10"/>
        </w:numPr>
        <w:spacing w:after="0" w:line="600" w:lineRule="exact"/>
        <w:rPr>
          <w:rFonts w:ascii="仿宋" w:hAnsi="仿宋" w:eastAsia="仿宋" w:cs="Times New Roman"/>
          <w:color w:val="auto"/>
          <w:sz w:val="32"/>
          <w:szCs w:val="32"/>
          <w:highlight w:val="none"/>
          <w:lang w:bidi="ar"/>
        </w:rPr>
      </w:pPr>
      <w:r>
        <w:rPr>
          <w:rFonts w:hint="default" w:ascii="仿宋" w:hAnsi="仿宋" w:eastAsia="仿宋" w:cs="Times New Roman"/>
          <w:color w:val="auto"/>
          <w:sz w:val="32"/>
          <w:szCs w:val="32"/>
          <w:highlight w:val="none"/>
          <w:lang w:bidi="ar"/>
        </w:rPr>
        <w:t>数据备份与恢复策略</w:t>
      </w:r>
      <w:r>
        <w:rPr>
          <w:rFonts w:hint="eastAsia" w:ascii="仿宋" w:hAnsi="仿宋" w:eastAsia="仿宋" w:cs="Times New Roman"/>
          <w:color w:val="auto"/>
          <w:sz w:val="32"/>
          <w:szCs w:val="32"/>
          <w:highlight w:val="none"/>
          <w:lang w:eastAsia="zh-CN" w:bidi="ar"/>
        </w:rPr>
        <w:t>：具备自动备份功能，备份数据可存储在本地磁盘、对象存储等介质中，备份周期和保留时间可按需设置。数据丢失或损坏时，可利用备份数据恢复到指定时间点，通过备份数据和事务日志实现。</w:t>
      </w:r>
    </w:p>
    <w:p w14:paraId="133D14ED">
      <w:pPr>
        <w:pStyle w:val="44"/>
        <w:numPr>
          <w:ilvl w:val="0"/>
          <w:numId w:val="10"/>
        </w:numPr>
        <w:spacing w:after="0" w:line="600" w:lineRule="exact"/>
        <w:rPr>
          <w:rFonts w:ascii="仿宋" w:hAnsi="仿宋" w:eastAsia="仿宋" w:cs="Times New Roman"/>
          <w:color w:val="auto"/>
          <w:sz w:val="32"/>
          <w:szCs w:val="32"/>
          <w:highlight w:val="none"/>
          <w:lang w:bidi="ar"/>
        </w:rPr>
      </w:pPr>
      <w:r>
        <w:rPr>
          <w:rFonts w:hint="default" w:ascii="仿宋" w:hAnsi="仿宋" w:eastAsia="仿宋" w:cs="Times New Roman"/>
          <w:color w:val="auto"/>
          <w:sz w:val="32"/>
          <w:szCs w:val="32"/>
          <w:highlight w:val="none"/>
          <w:lang w:bidi="ar"/>
        </w:rPr>
        <w:t>分布式存储系统的高可用性</w:t>
      </w:r>
      <w:r>
        <w:rPr>
          <w:rFonts w:hint="eastAsia" w:ascii="仿宋" w:hAnsi="仿宋" w:eastAsia="仿宋" w:cs="Times New Roman"/>
          <w:color w:val="auto"/>
          <w:sz w:val="32"/>
          <w:szCs w:val="32"/>
          <w:highlight w:val="none"/>
          <w:lang w:eastAsia="zh-CN" w:bidi="ar"/>
        </w:rPr>
        <w:t>：其分布式存储系统采用分布式一致性协议，如 RAFT 协议等，确保数据在多个存储节点间的一致性和可用性。存储节点故障时，数据可自动重新分布到其他正常节点，且不影响数据库操作，节点修复后自动重新加入集群并同步数据。</w:t>
      </w:r>
    </w:p>
    <w:p w14:paraId="1DB12F84">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hint="default" w:ascii="仿宋" w:hAnsi="仿宋" w:eastAsia="仿宋" w:cs="Times New Roman"/>
          <w:color w:val="auto"/>
          <w:sz w:val="32"/>
          <w:szCs w:val="32"/>
          <w:highlight w:val="none"/>
          <w:lang w:bidi="ar"/>
        </w:rPr>
        <w:t>无感秒切技术</w:t>
      </w:r>
      <w:r>
        <w:rPr>
          <w:rFonts w:hint="eastAsia" w:ascii="仿宋" w:hAnsi="仿宋" w:eastAsia="仿宋" w:cs="Times New Roman"/>
          <w:color w:val="auto"/>
          <w:sz w:val="32"/>
          <w:szCs w:val="32"/>
          <w:highlight w:val="none"/>
          <w:lang w:eastAsia="zh-CN" w:bidi="ar"/>
        </w:rPr>
        <w:t>：引入高可用模块votingdisk service，基于共享存储架构实现自治的集群节点管理，降低故障检测和集群选主耗时。新增支持全局预热系统的热备节点，优化升主的执行耗时。结合数据库代理 polarproxy，支持连接保持和事务保持功能，在集群升降配或小版本升级时，保证用户连接和事务不中断</w:t>
      </w:r>
      <w:r>
        <w:rPr>
          <w:rFonts w:ascii="仿宋" w:hAnsi="仿宋" w:eastAsia="仿宋" w:cs="Times New Roman"/>
          <w:color w:val="auto"/>
          <w:sz w:val="32"/>
          <w:szCs w:val="32"/>
          <w:highlight w:val="none"/>
          <w:lang w:bidi="ar"/>
        </w:rPr>
        <w:t>。</w:t>
      </w:r>
    </w:p>
    <w:p w14:paraId="7CC2B82D">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（二）读写分离解决方案</w:t>
      </w:r>
    </w:p>
    <w:p w14:paraId="55209281">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读写分离主要是应用层解决方案和中间件解决方案，本系统选择使用应用层解决方案，在程序代码框架中使用Sharding-Jdbc 框架完成读写库的选择。</w:t>
      </w:r>
    </w:p>
    <w:p w14:paraId="5DA137F4">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优点：</w:t>
      </w:r>
    </w:p>
    <w:p w14:paraId="0CEC645C">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程序自动完成，数据源方便管理</w:t>
      </w:r>
    </w:p>
    <w:p w14:paraId="63D2D34B">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不需要维护，因为没用中间件</w:t>
      </w:r>
    </w:p>
    <w:p w14:paraId="2A00D517">
      <w:pPr>
        <w:pStyle w:val="44"/>
        <w:numPr>
          <w:ilvl w:val="0"/>
          <w:numId w:val="10"/>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理论支持任何数据库 （sql标准）</w:t>
      </w:r>
    </w:p>
    <w:p w14:paraId="7CFB9BF5">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架构图如下:</w:t>
      </w:r>
    </w:p>
    <w:p w14:paraId="5B9B0694">
      <w:pPr>
        <w:spacing w:after="0"/>
        <w:jc w:val="center"/>
        <w:rPr>
          <w:rFonts w:hint="eastAsia" w:ascii="仿宋" w:hAnsi="仿宋" w:eastAsia="仿宋" w:cs="Times New Roman"/>
          <w:color w:val="auto"/>
          <w:highlight w:val="none"/>
        </w:rPr>
      </w:pPr>
      <w:r>
        <w:rPr>
          <w:rFonts w:ascii="宋体" w:hAnsi="宋体" w:eastAsia="宋体" w:cs="宋体"/>
          <w:sz w:val="24"/>
          <w:szCs w:val="24"/>
        </w:rPr>
        <w:drawing>
          <wp:inline distT="0" distB="0" distL="114300" distR="114300">
            <wp:extent cx="3622675" cy="2966085"/>
            <wp:effectExtent l="0" t="0" r="4445" b="5715"/>
            <wp:docPr id="5"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6"/>
                    <pic:cNvPicPr>
                      <a:picLocks noChangeAspect="1"/>
                    </pic:cNvPicPr>
                  </pic:nvPicPr>
                  <pic:blipFill>
                    <a:blip r:embed="rId49"/>
                    <a:stretch>
                      <a:fillRect/>
                    </a:stretch>
                  </pic:blipFill>
                  <pic:spPr>
                    <a:xfrm>
                      <a:off x="0" y="0"/>
                      <a:ext cx="3622675" cy="2966085"/>
                    </a:xfrm>
                    <a:prstGeom prst="rect">
                      <a:avLst/>
                    </a:prstGeom>
                    <a:noFill/>
                    <a:ln w="9525">
                      <a:noFill/>
                    </a:ln>
                  </pic:spPr>
                </pic:pic>
              </a:graphicData>
            </a:graphic>
          </wp:inline>
        </w:drawing>
      </w:r>
    </w:p>
    <w:p w14:paraId="65585047">
      <w:pPr>
        <w:pStyle w:val="4"/>
        <w:numPr>
          <w:ilvl w:val="2"/>
          <w:numId w:val="2"/>
        </w:numPr>
        <w:spacing w:before="0" w:after="0" w:line="416" w:lineRule="auto"/>
        <w:rPr>
          <w:rFonts w:hint="eastAsia" w:ascii="仿宋" w:hAnsi="仿宋" w:eastAsia="仿宋" w:cs="Times New Roman"/>
          <w:b/>
          <w:bCs/>
          <w:color w:val="auto"/>
          <w:highlight w:val="none"/>
        </w:rPr>
      </w:pPr>
      <w:bookmarkStart w:id="143" w:name="_Toc90441461"/>
      <w:bookmarkEnd w:id="143"/>
      <w:bookmarkStart w:id="144" w:name="_Toc90461426"/>
      <w:bookmarkEnd w:id="144"/>
      <w:bookmarkStart w:id="145" w:name="_Toc90440532"/>
      <w:bookmarkEnd w:id="145"/>
      <w:bookmarkStart w:id="146" w:name="_Toc29088"/>
      <w:bookmarkStart w:id="147" w:name="_Toc1589019363"/>
      <w:bookmarkStart w:id="148" w:name="_Toc1101327058"/>
      <w:bookmarkStart w:id="149" w:name="_Toc1153983619"/>
      <w:r>
        <w:rPr>
          <w:rFonts w:ascii="仿宋" w:hAnsi="仿宋" w:eastAsia="仿宋" w:cs="Times New Roman"/>
          <w:b/>
          <w:bCs/>
          <w:color w:val="auto"/>
          <w:highlight w:val="none"/>
        </w:rPr>
        <w:t>基础数据标准、共享和交换数据标准</w:t>
      </w:r>
      <w:bookmarkEnd w:id="146"/>
      <w:bookmarkEnd w:id="147"/>
      <w:bookmarkEnd w:id="148"/>
      <w:bookmarkEnd w:id="149"/>
    </w:p>
    <w:p w14:paraId="080C9EF2">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数据资源体系提供元数据管理、数据供需关系管理、数据标准规范管理，与 XMA 整合协同平台结合，提供数据转换、整理、发布等功能。</w:t>
      </w:r>
    </w:p>
    <w:p w14:paraId="673A53A6">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1、遵循标准规范</w:t>
      </w:r>
    </w:p>
    <w:p w14:paraId="43A7E7D0">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采用面向服务架构 (SOA)设计和企业服务总线 (ESB)技术， 遵循 J2EE 标准体系结构，具有灵活的扩展性和良好的移植性。</w:t>
      </w:r>
    </w:p>
    <w:p w14:paraId="1B74EE9B">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技术路线采用 SOA、EAI、ETL、XML 等大量成熟的先进技术，架构在J2EE的分布式体系结构之上，数据交换采用XML，支持WEB服务和SOAP协议，在软件架构管理上采用JMX与WBEM集成的技术，使之成为管理模块技术的核心，结合CA认证机制的提供安全保障。同时提供中间层集成框架用来满足无需太多费用而又需要高可用性、 高可靠性以及可扩展性的应用需求。通过提供统一的集成平台降低了资源整合和应用的成本和复杂性，同时提供对现有应用程序集成强有力支持。XMA整合协同平台是各个部门建设业务系统的一个标准架构， 作为数据中心的平台建设， 必须能满足及支持区域性体系架构的要求。</w:t>
      </w:r>
    </w:p>
    <w:p w14:paraId="6FF27431">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系统遵循国际主流的SOA架构体系，采用先进、主流、可靠、安全、开放、实用、性价比好的系统架构，具有优秀的技术能力和性能指标。</w:t>
      </w:r>
    </w:p>
    <w:p w14:paraId="43606B5E">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2、多种交换方式</w:t>
      </w:r>
    </w:p>
    <w:p w14:paraId="6503E0D2">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数据交换接口主要包含：</w:t>
      </w:r>
    </w:p>
    <w:p w14:paraId="60D4B2CD">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Web 服务方式， 支持主流的协议接口， 如 SOAP、 REST等 Web 服务协议标准数据库接口方式， 支持主流关系型数据库的接口， 包括了 ORACLE 、 SQL SERVER 、 SYBASE、 DB2 等</w:t>
      </w:r>
    </w:p>
    <w:p w14:paraId="5ADC4C7F">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基于文件交换方式， 支持基于自定义格式的文件交换</w:t>
      </w:r>
    </w:p>
    <w:p w14:paraId="506F7ECD">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以 XML 格式为主，可支持各种类型的数据源的交换，包括关系型、结构化、 XML 、消息、文本数据、 WEB数据、矢量地图、影像、视频、音频等。</w:t>
      </w:r>
    </w:p>
    <w:p w14:paraId="60605011">
      <w:pPr>
        <w:pStyle w:val="4"/>
        <w:numPr>
          <w:ilvl w:val="2"/>
          <w:numId w:val="2"/>
        </w:numPr>
        <w:spacing w:before="0" w:after="0" w:line="416" w:lineRule="auto"/>
        <w:rPr>
          <w:rFonts w:hint="eastAsia" w:ascii="仿宋" w:hAnsi="仿宋" w:eastAsia="仿宋" w:cs="Times New Roman"/>
          <w:b/>
          <w:bCs/>
          <w:color w:val="auto"/>
          <w:highlight w:val="none"/>
        </w:rPr>
      </w:pPr>
      <w:bookmarkStart w:id="150" w:name="_Toc541799849"/>
      <w:bookmarkStart w:id="151" w:name="_Toc1077868476"/>
      <w:bookmarkStart w:id="152" w:name="_Toc14774"/>
      <w:bookmarkStart w:id="153" w:name="_Toc842310313"/>
      <w:r>
        <w:rPr>
          <w:rFonts w:ascii="仿宋" w:hAnsi="仿宋" w:eastAsia="仿宋" w:cs="Times New Roman"/>
          <w:b/>
          <w:bCs/>
          <w:color w:val="auto"/>
          <w:highlight w:val="none"/>
        </w:rPr>
        <w:t>外部数据交换和共享管理</w:t>
      </w:r>
      <w:bookmarkEnd w:id="150"/>
      <w:bookmarkEnd w:id="151"/>
      <w:bookmarkEnd w:id="152"/>
      <w:bookmarkEnd w:id="153"/>
    </w:p>
    <w:p w14:paraId="69EC94F5">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 xml:space="preserve">对多来源渠道的、相互不一致的数据进行数据融合处理；基于数据字典对实时数据和历史数据进行组织，以保证数据间关系的正确性、可理解性并避免数据冗余；以各种形式提供数据服务，采用分层次的方法对各类用户设置权限，使不同用户既能获得各自所需要的数据，又能确保数据传输过程的安全性及共享数据的互操作性和互用性；维护基础信息、动态业务数据以及系统管理配置参数；支撑系统的网络构架、信息安全、网络管理、流程管理、数据库维护和备份等运维能力。 </w:t>
      </w:r>
    </w:p>
    <w:p w14:paraId="341B73B7">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1、数据接口</w:t>
      </w:r>
    </w:p>
    <w:p w14:paraId="1C32FEDC">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运输层以下层次的通信协议选用合适的标准协议，运输层和网络层建议选用统一的TCP/IP协议，便于各节点之间组网传输，数据链路层和物理层可根据实际通信条件情况灵活选用，如ADSL、E1。</w:t>
      </w:r>
    </w:p>
    <w:p w14:paraId="6B680D6B">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按照对信息的各种需求，维护一个用于数据共享的标准数据注册中心，采用标准化数据的方式向各接入系统及各应用系统提供共享的信息；各接入系统在整合协同平台处对应维护一张数据字典，用于完成非标数据和标准数据的翻译，从而向共享的标准数据库提供标准化的数据信息；对于单一功能领域的特殊数据信息，系统提供在各子系统之间直接进行交换的途径，满足特定功能的应用需求；系统需要有一个专门的维护和管理机构，分别对系统的数据字典、标准共享数据库进行增添、更新等维护管理，以满足新的接入系统接入和系统发展的需求。</w:t>
      </w:r>
    </w:p>
    <w:p w14:paraId="11D7B75D">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2、安全认证管理</w:t>
      </w:r>
    </w:p>
    <w:p w14:paraId="1BA21712">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数据中心系统结合安全认证平台的应用主要包括： 数据中心应用单点登陆认证 数据共享交换安全认证 在项目中，根据需求把安全认证平台应用到每个功能和模块。</w:t>
      </w:r>
    </w:p>
    <w:p w14:paraId="345BCE6E">
      <w:pPr>
        <w:pStyle w:val="44"/>
        <w:numPr>
          <w:ilvl w:val="0"/>
          <w:numId w:val="11"/>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数据传输</w:t>
      </w:r>
    </w:p>
    <w:p w14:paraId="410B10FA">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在数据传输中，由于系统数据的异构特性，在数据发送接口和接收接口需要对数据格式按照数据字典的要求进行转换，统一于标准的数据格式满足应用的要求。</w:t>
      </w:r>
    </w:p>
    <w:p w14:paraId="60971771">
      <w:pPr>
        <w:pStyle w:val="44"/>
        <w:numPr>
          <w:ilvl w:val="0"/>
          <w:numId w:val="11"/>
        </w:numPr>
        <w:spacing w:after="0" w:line="600" w:lineRule="exact"/>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接口扩展</w:t>
      </w:r>
    </w:p>
    <w:p w14:paraId="1F6B34FA">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 xml:space="preserve">数据接口的分层次、模块化、规范化设计，将有利于系统的扩展性，对扩展性设计主要体现在以下几个方面：应用层协议的分层设计，各层功能明确，层之间可通过规范化的接口进行调用和传递信息。各层功能可独立实现，灵活性好，比如可通过购置商品化软件来实现通信子层；某一层协议的功能扩展或变化时，将不影响另一层协议的功能。 </w:t>
      </w:r>
    </w:p>
    <w:p w14:paraId="6EDC1603">
      <w:pPr>
        <w:spacing w:after="0" w:line="600" w:lineRule="exact"/>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采用数据登记标准的、基于XML格式的数据接口方案设计，灵活性比较好，系统扩展方便，适合接入系统的增加或接入信息内容的扩展，有利于满足新的系统接入和系统发展的需求。 数据传输协议基于一些主流的、成熟的数据传输协议，能很好适应系统扩展的需求。</w:t>
      </w:r>
    </w:p>
    <w:p w14:paraId="0C455DF7">
      <w:pPr>
        <w:pStyle w:val="4"/>
        <w:numPr>
          <w:ilvl w:val="2"/>
          <w:numId w:val="2"/>
        </w:numPr>
        <w:spacing w:before="0" w:after="0" w:line="416" w:lineRule="auto"/>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数据资源清单</w:t>
      </w:r>
    </w:p>
    <w:p w14:paraId="5C327D5C">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目前根据业务功能需要，暂列部分数据资源清单，待项目建设过程中实时汇总数据资源清单并进行相关编制</w:t>
      </w:r>
    </w:p>
    <w:p w14:paraId="180007D8">
      <w:pPr>
        <w:pStyle w:val="12"/>
        <w:rPr>
          <w:rFonts w:hint="eastAsia"/>
          <w:color w:val="auto"/>
          <w:highlight w:val="none"/>
        </w:rPr>
      </w:pPr>
    </w:p>
    <w:tbl>
      <w:tblPr>
        <w:tblStyle w:val="25"/>
        <w:tblW w:w="84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975"/>
        <w:gridCol w:w="1059"/>
        <w:gridCol w:w="834"/>
        <w:gridCol w:w="713"/>
        <w:gridCol w:w="656"/>
        <w:gridCol w:w="797"/>
        <w:gridCol w:w="1031"/>
        <w:gridCol w:w="1022"/>
        <w:gridCol w:w="694"/>
      </w:tblGrid>
      <w:tr w14:paraId="4C733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656" w:type="dxa"/>
          </w:tcPr>
          <w:p w14:paraId="54399FA4">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目录名称</w:t>
            </w:r>
          </w:p>
        </w:tc>
        <w:tc>
          <w:tcPr>
            <w:tcW w:w="975" w:type="dxa"/>
          </w:tcPr>
          <w:p w14:paraId="41AE3CEE">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数据项</w:t>
            </w:r>
          </w:p>
        </w:tc>
        <w:tc>
          <w:tcPr>
            <w:tcW w:w="1059" w:type="dxa"/>
          </w:tcPr>
          <w:p w14:paraId="546454F2">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英文名称</w:t>
            </w:r>
          </w:p>
        </w:tc>
        <w:tc>
          <w:tcPr>
            <w:tcW w:w="834" w:type="dxa"/>
          </w:tcPr>
          <w:p w14:paraId="281BA3A1">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类型</w:t>
            </w:r>
          </w:p>
        </w:tc>
        <w:tc>
          <w:tcPr>
            <w:tcW w:w="713" w:type="dxa"/>
          </w:tcPr>
          <w:p w14:paraId="4761178D">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长度</w:t>
            </w:r>
          </w:p>
        </w:tc>
        <w:tc>
          <w:tcPr>
            <w:tcW w:w="656" w:type="dxa"/>
          </w:tcPr>
          <w:p w14:paraId="72D161AC">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是否主键</w:t>
            </w:r>
          </w:p>
        </w:tc>
        <w:tc>
          <w:tcPr>
            <w:tcW w:w="797" w:type="dxa"/>
          </w:tcPr>
          <w:p w14:paraId="659D0170">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是否默认为空</w:t>
            </w:r>
          </w:p>
        </w:tc>
        <w:tc>
          <w:tcPr>
            <w:tcW w:w="1031" w:type="dxa"/>
          </w:tcPr>
          <w:p w14:paraId="534D0C90">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共享属性</w:t>
            </w:r>
          </w:p>
        </w:tc>
        <w:tc>
          <w:tcPr>
            <w:tcW w:w="1022" w:type="dxa"/>
          </w:tcPr>
          <w:p w14:paraId="4DE7D936">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开发属性</w:t>
            </w:r>
          </w:p>
        </w:tc>
        <w:tc>
          <w:tcPr>
            <w:tcW w:w="694" w:type="dxa"/>
          </w:tcPr>
          <w:p w14:paraId="5284D1D8">
            <w:pPr>
              <w:jc w:val="center"/>
              <w:rPr>
                <w:rFonts w:hint="eastAsia" w:ascii="仿宋" w:hAnsi="仿宋" w:eastAsia="仿宋" w:cs="Times New Roman"/>
                <w:b/>
                <w:bCs/>
                <w:color w:val="auto"/>
                <w:sz w:val="18"/>
                <w:szCs w:val="20"/>
                <w:highlight w:val="none"/>
              </w:rPr>
            </w:pPr>
            <w:r>
              <w:rPr>
                <w:rFonts w:hint="eastAsia" w:ascii="仿宋" w:hAnsi="仿宋" w:eastAsia="仿宋" w:cs="Times New Roman"/>
                <w:b/>
                <w:bCs/>
                <w:color w:val="auto"/>
                <w:sz w:val="18"/>
                <w:szCs w:val="20"/>
                <w:highlight w:val="none"/>
              </w:rPr>
              <w:t>定级</w:t>
            </w:r>
          </w:p>
        </w:tc>
      </w:tr>
      <w:tr w14:paraId="7E0D4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restart"/>
          </w:tcPr>
          <w:p w14:paraId="7AB29F1D">
            <w:pPr>
              <w:jc w:val="center"/>
              <w:rPr>
                <w:rFonts w:hint="eastAsia" w:ascii="仿宋" w:hAnsi="仿宋" w:eastAsia="仿宋" w:cs="Times New Roman"/>
                <w:b/>
                <w:bCs/>
                <w:color w:val="auto"/>
                <w:highlight w:val="none"/>
              </w:rPr>
            </w:pPr>
          </w:p>
          <w:p w14:paraId="318F22B5">
            <w:pPr>
              <w:jc w:val="center"/>
              <w:rPr>
                <w:rFonts w:hint="eastAsia" w:ascii="仿宋" w:hAnsi="仿宋" w:eastAsia="仿宋" w:cs="Times New Roman"/>
                <w:b/>
                <w:bCs/>
                <w:color w:val="auto"/>
                <w:highlight w:val="none"/>
              </w:rPr>
            </w:pPr>
          </w:p>
          <w:p w14:paraId="5B33474E">
            <w:pPr>
              <w:jc w:val="center"/>
              <w:rPr>
                <w:rFonts w:hint="eastAsia" w:ascii="仿宋" w:hAnsi="仿宋" w:eastAsia="仿宋" w:cs="Times New Roman"/>
                <w:b/>
                <w:bCs/>
                <w:color w:val="auto"/>
                <w:highlight w:val="none"/>
              </w:rPr>
            </w:pPr>
          </w:p>
          <w:p w14:paraId="59435519">
            <w:pPr>
              <w:jc w:val="center"/>
              <w:rPr>
                <w:rFonts w:hint="eastAsia" w:ascii="仿宋" w:hAnsi="仿宋" w:eastAsia="仿宋" w:cs="Times New Roman"/>
                <w:b/>
                <w:bCs/>
                <w:color w:val="auto"/>
                <w:highlight w:val="none"/>
              </w:rPr>
            </w:pPr>
          </w:p>
          <w:p w14:paraId="07249127">
            <w:pPr>
              <w:jc w:val="center"/>
              <w:rPr>
                <w:rFonts w:hint="eastAsia" w:ascii="仿宋" w:hAnsi="仿宋" w:eastAsia="仿宋" w:cs="Times New Roman"/>
                <w:b/>
                <w:bCs/>
                <w:color w:val="auto"/>
                <w:highlight w:val="none"/>
              </w:rPr>
            </w:pPr>
            <w:r>
              <w:rPr>
                <w:rFonts w:hint="eastAsia" w:ascii="仿宋" w:hAnsi="仿宋" w:eastAsia="仿宋" w:cs="Times New Roman"/>
                <w:b/>
                <w:bCs/>
                <w:color w:val="auto"/>
                <w:highlight w:val="none"/>
              </w:rPr>
              <w:t>信息化项项目</w:t>
            </w:r>
          </w:p>
        </w:tc>
        <w:tc>
          <w:tcPr>
            <w:tcW w:w="975" w:type="dxa"/>
          </w:tcPr>
          <w:p w14:paraId="20E13C5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项目ID</w:t>
            </w:r>
          </w:p>
        </w:tc>
        <w:tc>
          <w:tcPr>
            <w:tcW w:w="1059" w:type="dxa"/>
          </w:tcPr>
          <w:p w14:paraId="7BD3BD4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ID</w:t>
            </w:r>
          </w:p>
        </w:tc>
        <w:tc>
          <w:tcPr>
            <w:tcW w:w="834" w:type="dxa"/>
          </w:tcPr>
          <w:p w14:paraId="05111C1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7C6E98E8">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39ECE93A">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797" w:type="dxa"/>
          </w:tcPr>
          <w:p w14:paraId="50BC341B">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1031" w:type="dxa"/>
          </w:tcPr>
          <w:p w14:paraId="5F27C81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143359B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1104BE8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7264D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5E800E79">
            <w:pPr>
              <w:jc w:val="center"/>
              <w:rPr>
                <w:rFonts w:hint="eastAsia" w:ascii="仿宋" w:hAnsi="仿宋" w:eastAsia="仿宋" w:cs="Times New Roman"/>
                <w:b/>
                <w:bCs/>
                <w:color w:val="auto"/>
                <w:highlight w:val="none"/>
              </w:rPr>
            </w:pPr>
          </w:p>
        </w:tc>
        <w:tc>
          <w:tcPr>
            <w:tcW w:w="975" w:type="dxa"/>
          </w:tcPr>
          <w:p w14:paraId="71B80ECC">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项目名称</w:t>
            </w:r>
          </w:p>
        </w:tc>
        <w:tc>
          <w:tcPr>
            <w:tcW w:w="1059" w:type="dxa"/>
          </w:tcPr>
          <w:p w14:paraId="3D1C95F4">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PROJEC</w:t>
            </w:r>
            <w:r>
              <w:rPr>
                <w:rFonts w:hint="eastAsia" w:ascii="仿宋" w:hAnsi="仿宋" w:eastAsia="仿宋" w:cs="Times New Roman"/>
                <w:b/>
                <w:bCs/>
                <w:color w:val="auto"/>
                <w:sz w:val="13"/>
                <w:szCs w:val="13"/>
                <w:highlight w:val="none"/>
              </w:rPr>
              <w:tab/>
            </w:r>
            <w:r>
              <w:rPr>
                <w:rFonts w:hint="eastAsia" w:ascii="仿宋" w:hAnsi="仿宋" w:eastAsia="仿宋" w:cs="Times New Roman"/>
                <w:b/>
                <w:bCs/>
                <w:color w:val="auto"/>
                <w:sz w:val="13"/>
                <w:szCs w:val="13"/>
                <w:highlight w:val="none"/>
              </w:rPr>
              <w:t>TNAME</w:t>
            </w:r>
          </w:p>
        </w:tc>
        <w:tc>
          <w:tcPr>
            <w:tcW w:w="834" w:type="dxa"/>
          </w:tcPr>
          <w:p w14:paraId="0CB1969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13EA2C38">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19AF1745">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6D1C6B0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76422DB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63E1181A">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4D668E10">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09212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216DD8F4">
            <w:pPr>
              <w:jc w:val="center"/>
              <w:rPr>
                <w:rFonts w:hint="eastAsia" w:ascii="仿宋" w:hAnsi="仿宋" w:eastAsia="仿宋" w:cs="Times New Roman"/>
                <w:b/>
                <w:bCs/>
                <w:color w:val="auto"/>
                <w:highlight w:val="none"/>
              </w:rPr>
            </w:pPr>
          </w:p>
        </w:tc>
        <w:tc>
          <w:tcPr>
            <w:tcW w:w="975" w:type="dxa"/>
          </w:tcPr>
          <w:p w14:paraId="0E28D5BF">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行政区划名称</w:t>
            </w:r>
          </w:p>
        </w:tc>
        <w:tc>
          <w:tcPr>
            <w:tcW w:w="1059" w:type="dxa"/>
          </w:tcPr>
          <w:p w14:paraId="4F9CB057">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Areacode</w:t>
            </w:r>
          </w:p>
        </w:tc>
        <w:tc>
          <w:tcPr>
            <w:tcW w:w="834" w:type="dxa"/>
          </w:tcPr>
          <w:p w14:paraId="4925DD0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4C9D7D88">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50E5AD6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163986C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37F47C00">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3945E19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48EB622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5011D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5851D53E">
            <w:pPr>
              <w:jc w:val="center"/>
              <w:rPr>
                <w:rFonts w:hint="eastAsia" w:ascii="仿宋" w:hAnsi="仿宋" w:eastAsia="仿宋" w:cs="Times New Roman"/>
                <w:b/>
                <w:bCs/>
                <w:color w:val="auto"/>
                <w:highlight w:val="none"/>
              </w:rPr>
            </w:pPr>
          </w:p>
        </w:tc>
        <w:tc>
          <w:tcPr>
            <w:tcW w:w="975" w:type="dxa"/>
          </w:tcPr>
          <w:p w14:paraId="566E803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PH值</w:t>
            </w:r>
          </w:p>
        </w:tc>
        <w:tc>
          <w:tcPr>
            <w:tcW w:w="1059" w:type="dxa"/>
          </w:tcPr>
          <w:p w14:paraId="6838BB6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PH</w:t>
            </w:r>
          </w:p>
        </w:tc>
        <w:tc>
          <w:tcPr>
            <w:tcW w:w="834" w:type="dxa"/>
          </w:tcPr>
          <w:p w14:paraId="63796170">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429BE06D">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70FD8E2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4A43AF8F">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21B2D3BF">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6472153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07A495C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60072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58911EED">
            <w:pPr>
              <w:jc w:val="center"/>
              <w:rPr>
                <w:rFonts w:hint="eastAsia" w:ascii="仿宋" w:hAnsi="仿宋" w:eastAsia="仿宋" w:cs="Times New Roman"/>
                <w:b/>
                <w:bCs/>
                <w:color w:val="auto"/>
                <w:highlight w:val="none"/>
              </w:rPr>
            </w:pPr>
          </w:p>
        </w:tc>
        <w:tc>
          <w:tcPr>
            <w:tcW w:w="975" w:type="dxa"/>
          </w:tcPr>
          <w:p w14:paraId="525C48CE">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余氯</w:t>
            </w:r>
          </w:p>
        </w:tc>
        <w:tc>
          <w:tcPr>
            <w:tcW w:w="1059" w:type="dxa"/>
          </w:tcPr>
          <w:p w14:paraId="3961F774">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Residual chlorine</w:t>
            </w:r>
          </w:p>
        </w:tc>
        <w:tc>
          <w:tcPr>
            <w:tcW w:w="834" w:type="dxa"/>
          </w:tcPr>
          <w:p w14:paraId="7E5EF73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1C3E6C78">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21D404B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5DC4F6FB">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6843DE9C">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0EC0084D">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780B2E9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727C9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0E9651D5">
            <w:pPr>
              <w:jc w:val="center"/>
              <w:rPr>
                <w:rFonts w:hint="eastAsia" w:ascii="仿宋" w:hAnsi="仿宋" w:eastAsia="仿宋" w:cs="Times New Roman"/>
                <w:b/>
                <w:bCs/>
                <w:color w:val="auto"/>
                <w:highlight w:val="none"/>
              </w:rPr>
            </w:pPr>
          </w:p>
        </w:tc>
        <w:tc>
          <w:tcPr>
            <w:tcW w:w="975" w:type="dxa"/>
          </w:tcPr>
          <w:p w14:paraId="37CE079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浊度</w:t>
            </w:r>
          </w:p>
        </w:tc>
        <w:tc>
          <w:tcPr>
            <w:tcW w:w="1059" w:type="dxa"/>
          </w:tcPr>
          <w:p w14:paraId="7605C99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turbidity</w:t>
            </w:r>
          </w:p>
        </w:tc>
        <w:tc>
          <w:tcPr>
            <w:tcW w:w="834" w:type="dxa"/>
          </w:tcPr>
          <w:p w14:paraId="5713F70E">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33F9B35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0D61257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62E6DD15">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4DBC57D4">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4D823AC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1814D6AE">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4141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32003750">
            <w:pPr>
              <w:jc w:val="center"/>
              <w:rPr>
                <w:rFonts w:hint="eastAsia" w:ascii="仿宋" w:hAnsi="仿宋" w:eastAsia="仿宋" w:cs="Times New Roman"/>
                <w:b/>
                <w:bCs/>
                <w:color w:val="auto"/>
                <w:highlight w:val="none"/>
              </w:rPr>
            </w:pPr>
          </w:p>
        </w:tc>
        <w:tc>
          <w:tcPr>
            <w:tcW w:w="975" w:type="dxa"/>
          </w:tcPr>
          <w:p w14:paraId="4D56BFEB">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供水水压</w:t>
            </w:r>
          </w:p>
        </w:tc>
        <w:tc>
          <w:tcPr>
            <w:tcW w:w="1059" w:type="dxa"/>
          </w:tcPr>
          <w:p w14:paraId="140D7BA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waterpressure</w:t>
            </w:r>
          </w:p>
        </w:tc>
        <w:tc>
          <w:tcPr>
            <w:tcW w:w="834" w:type="dxa"/>
          </w:tcPr>
          <w:p w14:paraId="644CA07C">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6AB59C72">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543FB4BA">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2B05325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016812BD">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10A390D0">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6DF73F39">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437F9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023B724C">
            <w:pPr>
              <w:jc w:val="center"/>
              <w:rPr>
                <w:rFonts w:hint="eastAsia" w:ascii="仿宋" w:hAnsi="仿宋" w:eastAsia="仿宋" w:cs="Times New Roman"/>
                <w:b/>
                <w:bCs/>
                <w:color w:val="auto"/>
                <w:highlight w:val="none"/>
              </w:rPr>
            </w:pPr>
          </w:p>
        </w:tc>
        <w:tc>
          <w:tcPr>
            <w:tcW w:w="975" w:type="dxa"/>
          </w:tcPr>
          <w:p w14:paraId="3D9C90BF">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清水池水位</w:t>
            </w:r>
          </w:p>
        </w:tc>
        <w:tc>
          <w:tcPr>
            <w:tcW w:w="1059" w:type="dxa"/>
          </w:tcPr>
          <w:p w14:paraId="3A69BFA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waterlevel</w:t>
            </w:r>
          </w:p>
        </w:tc>
        <w:tc>
          <w:tcPr>
            <w:tcW w:w="834" w:type="dxa"/>
          </w:tcPr>
          <w:p w14:paraId="05E9AF4D">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70F6E3B4">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4A8A5C36">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39006C25">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604189D4">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4D51614E">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460EDEA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tr w14:paraId="613ED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tcPr>
          <w:p w14:paraId="10259FFD">
            <w:pPr>
              <w:jc w:val="center"/>
              <w:rPr>
                <w:rFonts w:hint="eastAsia" w:ascii="仿宋" w:hAnsi="仿宋" w:eastAsia="仿宋" w:cs="Times New Roman"/>
                <w:b/>
                <w:bCs/>
                <w:color w:val="auto"/>
                <w:highlight w:val="none"/>
              </w:rPr>
            </w:pPr>
          </w:p>
        </w:tc>
        <w:tc>
          <w:tcPr>
            <w:tcW w:w="975" w:type="dxa"/>
          </w:tcPr>
          <w:p w14:paraId="0E7756F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出厂水流量</w:t>
            </w:r>
          </w:p>
        </w:tc>
        <w:tc>
          <w:tcPr>
            <w:tcW w:w="1059" w:type="dxa"/>
          </w:tcPr>
          <w:p w14:paraId="134F57EF">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traffic</w:t>
            </w:r>
          </w:p>
        </w:tc>
        <w:tc>
          <w:tcPr>
            <w:tcW w:w="834" w:type="dxa"/>
          </w:tcPr>
          <w:p w14:paraId="65ED336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varchar</w:t>
            </w:r>
          </w:p>
        </w:tc>
        <w:tc>
          <w:tcPr>
            <w:tcW w:w="713" w:type="dxa"/>
          </w:tcPr>
          <w:p w14:paraId="57D8FBFC">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50</w:t>
            </w:r>
          </w:p>
        </w:tc>
        <w:tc>
          <w:tcPr>
            <w:tcW w:w="656" w:type="dxa"/>
          </w:tcPr>
          <w:p w14:paraId="3A47D407">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否</w:t>
            </w:r>
          </w:p>
        </w:tc>
        <w:tc>
          <w:tcPr>
            <w:tcW w:w="797" w:type="dxa"/>
          </w:tcPr>
          <w:p w14:paraId="709DF671">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是</w:t>
            </w:r>
          </w:p>
        </w:tc>
        <w:tc>
          <w:tcPr>
            <w:tcW w:w="1031" w:type="dxa"/>
          </w:tcPr>
          <w:p w14:paraId="77044E73">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无条件共享</w:t>
            </w:r>
          </w:p>
        </w:tc>
        <w:tc>
          <w:tcPr>
            <w:tcW w:w="1022" w:type="dxa"/>
          </w:tcPr>
          <w:p w14:paraId="7B42864A">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无条件开发</w:t>
            </w:r>
          </w:p>
        </w:tc>
        <w:tc>
          <w:tcPr>
            <w:tcW w:w="694" w:type="dxa"/>
          </w:tcPr>
          <w:p w14:paraId="4226B01B">
            <w:pPr>
              <w:jc w:val="center"/>
              <w:rPr>
                <w:rFonts w:hint="eastAsia" w:ascii="仿宋" w:hAnsi="仿宋" w:eastAsia="仿宋" w:cs="Times New Roman"/>
                <w:b/>
                <w:bCs/>
                <w:color w:val="auto"/>
                <w:sz w:val="13"/>
                <w:szCs w:val="13"/>
                <w:highlight w:val="none"/>
              </w:rPr>
            </w:pPr>
            <w:r>
              <w:rPr>
                <w:rFonts w:hint="eastAsia" w:ascii="仿宋" w:hAnsi="仿宋" w:eastAsia="仿宋" w:cs="Times New Roman"/>
                <w:b/>
                <w:bCs/>
                <w:color w:val="auto"/>
                <w:sz w:val="13"/>
                <w:szCs w:val="13"/>
                <w:highlight w:val="none"/>
              </w:rPr>
              <w:t>不敏感</w:t>
            </w:r>
          </w:p>
        </w:tc>
      </w:tr>
      <w:bookmarkEnd w:id="129"/>
      <w:bookmarkEnd w:id="130"/>
    </w:tbl>
    <w:p w14:paraId="422F97A2">
      <w:pPr>
        <w:pStyle w:val="4"/>
        <w:numPr>
          <w:ilvl w:val="2"/>
          <w:numId w:val="2"/>
        </w:numPr>
        <w:spacing w:before="0" w:after="0" w:line="416" w:lineRule="auto"/>
        <w:rPr>
          <w:rFonts w:hint="eastAsia" w:ascii="仿宋" w:hAnsi="仿宋" w:eastAsia="仿宋" w:cs="Times New Roman"/>
          <w:b/>
          <w:bCs/>
          <w:color w:val="auto"/>
          <w:highlight w:val="none"/>
        </w:rPr>
      </w:pPr>
      <w:bookmarkStart w:id="154" w:name="_Toc13096"/>
      <w:bookmarkStart w:id="155" w:name="_Toc3771"/>
      <w:r>
        <w:rPr>
          <w:rFonts w:hint="eastAsia" w:ascii="仿宋" w:hAnsi="仿宋" w:eastAsia="仿宋" w:cs="Times New Roman"/>
          <w:b/>
          <w:bCs/>
          <w:color w:val="auto"/>
          <w:highlight w:val="none"/>
        </w:rPr>
        <w:t>数据归集</w:t>
      </w:r>
    </w:p>
    <w:p w14:paraId="36D8F626">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采用接口方式根据数据资源目录规定的格式、频率将数据上传到市公共数据平台。</w:t>
      </w:r>
    </w:p>
    <w:p w14:paraId="3C67D08B">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直接通过调用数据共享交换平台提供的服务接口实时上传数据。对于系统中的历史存量的数据，则通过将存量数据按照数据导入要求（具体要求根据各个单位数据类型的不同，在实施时由双方来确认规范和模板），从数据库中导出来，再通过物理介质拷贝到与数据共享交换平台连接的电脑中，通过数据库导入的方式将系统中的历史存量的数据批量导入到数据中心库。</w:t>
      </w:r>
    </w:p>
    <w:p w14:paraId="75B83BEF">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56" w:name="_Toc9358"/>
      <w:r>
        <w:rPr>
          <w:rFonts w:ascii="仿宋" w:hAnsi="仿宋" w:eastAsia="仿宋" w:cs="Times New Roman"/>
          <w:b/>
          <w:bCs/>
          <w:color w:val="auto"/>
          <w:sz w:val="32"/>
          <w:szCs w:val="32"/>
          <w:highlight w:val="none"/>
        </w:rPr>
        <w:t>备份方案设计</w:t>
      </w:r>
      <w:bookmarkEnd w:id="154"/>
      <w:bookmarkEnd w:id="155"/>
      <w:bookmarkEnd w:id="156"/>
    </w:p>
    <w:p w14:paraId="37E03F0E">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完成对数据库数据的备份和恢复，对文件的备份和恢复；支持数据库备份策略设定，系统自动完成备份，支持增量备份、全量备份等，支持数据库异常时或数据丢失时能自动恢复数据。</w:t>
      </w:r>
    </w:p>
    <w:p w14:paraId="30DFC00C">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备份策略为</w:t>
      </w:r>
      <w:r>
        <w:rPr>
          <w:rFonts w:ascii="仿宋" w:hAnsi="仿宋" w:eastAsia="仿宋" w:cs="Times New Roman"/>
          <w:color w:val="auto"/>
          <w:sz w:val="32"/>
          <w:szCs w:val="32"/>
          <w:highlight w:val="none"/>
          <w:lang w:bidi="ar"/>
        </w:rPr>
        <w:t xml:space="preserve">: </w:t>
      </w:r>
    </w:p>
    <w:p w14:paraId="12D75C89">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系统每周一会产生一个全量备份</w:t>
      </w:r>
    </w:p>
    <w:p w14:paraId="6B05B4E1">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系统每天产生一个增量备份</w:t>
      </w:r>
    </w:p>
    <w:p w14:paraId="54F91605">
      <w:pPr>
        <w:spacing w:after="0" w:line="600" w:lineRule="exact"/>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系统开启</w:t>
      </w:r>
      <w:r>
        <w:rPr>
          <w:rFonts w:ascii="仿宋" w:hAnsi="仿宋" w:eastAsia="仿宋" w:cs="Times New Roman"/>
          <w:color w:val="auto"/>
          <w:sz w:val="32"/>
          <w:szCs w:val="32"/>
          <w:highlight w:val="none"/>
          <w:lang w:bidi="ar"/>
        </w:rPr>
        <w:t>binlog</w:t>
      </w:r>
      <w:r>
        <w:rPr>
          <w:rFonts w:hint="eastAsia" w:ascii="仿宋" w:hAnsi="仿宋" w:eastAsia="仿宋" w:cs="Times New Roman"/>
          <w:color w:val="auto"/>
          <w:sz w:val="32"/>
          <w:szCs w:val="32"/>
          <w:highlight w:val="none"/>
          <w:lang w:bidi="ar"/>
        </w:rPr>
        <w:t>日志</w:t>
      </w:r>
    </w:p>
    <w:p w14:paraId="72CEA870">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57" w:name="_Toc7046"/>
      <w:bookmarkStart w:id="158" w:name="_Toc26580"/>
      <w:bookmarkStart w:id="159" w:name="_Toc17459"/>
      <w:r>
        <w:rPr>
          <w:rFonts w:ascii="仿宋" w:hAnsi="仿宋" w:eastAsia="仿宋" w:cs="Times New Roman"/>
          <w:b/>
          <w:bCs/>
          <w:color w:val="auto"/>
          <w:sz w:val="32"/>
          <w:szCs w:val="32"/>
          <w:highlight w:val="none"/>
        </w:rPr>
        <w:t>安全系统设计</w:t>
      </w:r>
      <w:bookmarkEnd w:id="157"/>
      <w:bookmarkEnd w:id="158"/>
      <w:bookmarkEnd w:id="159"/>
    </w:p>
    <w:p w14:paraId="7D20BCBB">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建设单位信息安全现状分析</w:t>
      </w:r>
    </w:p>
    <w:p w14:paraId="6BF54F70">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明确建设单位信息安全现状分析，以表格形式列出本单位已有的信息安全技术防护设施和管理制度，信息安全管理组织架构和人员情况，信息安全监控、应急管理、灾备等情况。详细分析系统的安全保障需求，包括业务保障安全需求与信息安全合规性要求。1.业务保障安全需求。从“可用性（业务连续性）、完整性、保密性”三个方面对信息系统所涉及的业务的安全需求进行描述。应做到：应覆盖系统所涉及的业务部门、最终用户、行业主管部门、社会公众等利益相关方。应覆盖系统所互联的所有其他应用系统。 2.信息安全合规性要求。按照国家、浙江省以及所属行业颁布的相关法律法规和技术标准对系统的信息安全合规性需求进行描述。</w:t>
      </w:r>
    </w:p>
    <w:p w14:paraId="3CF55F1E">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系统或应用日志建设的方式和关键字段</w:t>
      </w:r>
    </w:p>
    <w:p w14:paraId="2C4EDD3D">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在庞大繁杂的业务流程中，需要将每个人的工作明细进行记录，系统提供日志管理模块，保留每个账号在系统中的操作痕迹。记录系统人员操作和各系统的操作内容，并提供操作日志的组合查询、导出等功能。</w:t>
      </w:r>
    </w:p>
    <w:p w14:paraId="688A30BE">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1、登录日志管理</w:t>
      </w:r>
    </w:p>
    <w:p w14:paraId="187CE316">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记录系统用户的登录，登出日志。</w:t>
      </w:r>
    </w:p>
    <w:p w14:paraId="0A20725A">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2、操作日志管理</w:t>
      </w:r>
    </w:p>
    <w:p w14:paraId="19CF9262">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记录系统用户对数据的更改日志。</w:t>
      </w:r>
    </w:p>
    <w:p w14:paraId="4B2F691B">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3、接口日志管理</w:t>
      </w:r>
    </w:p>
    <w:p w14:paraId="74E010CA">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在每个服务节点上埋点，实时采集相关日志。按业务类型的权重指标、日志等级指标、每个服务在一个时段内日志最大限制量指标、时间段指标等动态清洗过滤日志，清洗日志后生成可视化界面、为预警功能提供数据基础。</w:t>
      </w:r>
    </w:p>
    <w:p w14:paraId="52F1095F">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安全等级定级</w:t>
      </w:r>
    </w:p>
    <w:p w14:paraId="04016240">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系统通过信息安全等级保护</w:t>
      </w:r>
      <w:r>
        <w:rPr>
          <w:rFonts w:hint="eastAsia" w:ascii="仿宋" w:hAnsi="仿宋" w:eastAsia="仿宋" w:cs="Times New Roman"/>
          <w:color w:val="auto"/>
          <w:sz w:val="32"/>
          <w:szCs w:val="32"/>
          <w:highlight w:val="none"/>
          <w:lang w:bidi="ar"/>
        </w:rPr>
        <w:t>为二级等保</w:t>
      </w:r>
      <w:r>
        <w:rPr>
          <w:rFonts w:ascii="仿宋" w:hAnsi="仿宋" w:eastAsia="仿宋" w:cs="Times New Roman"/>
          <w:color w:val="auto"/>
          <w:sz w:val="32"/>
          <w:szCs w:val="32"/>
          <w:highlight w:val="none"/>
          <w:lang w:bidi="ar"/>
        </w:rPr>
        <w:t>，并达到良级以上。根据各信息系统的安全等级，结合国家有关标准规范</w:t>
      </w:r>
      <w:r>
        <w:rPr>
          <w:rFonts w:hint="eastAsia" w:ascii="仿宋" w:hAnsi="仿宋" w:eastAsia="仿宋" w:cs="Times New Roman"/>
          <w:color w:val="auto"/>
          <w:sz w:val="32"/>
          <w:szCs w:val="32"/>
          <w:highlight w:val="none"/>
          <w:lang w:bidi="ar"/>
        </w:rPr>
        <w:t>，主要从以下方面进行安全管理</w:t>
      </w:r>
    </w:p>
    <w:p w14:paraId="4422D178">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物理环境：评估信息系统的物理安全措施，包括机房的物理位置、防护设施、环境监控等，确保物理环境的安全性。例如，机房是否位于易于监控且不易受自然灾害影响的区域，是否有严格的出入管理，以及是否有温度、湿度等环境监控系统，这些都是确保物理环境安全的重要因素。</w:t>
      </w:r>
    </w:p>
    <w:p w14:paraId="06CAC67C">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通信网络：检查网络传输过程中的数据加密、访问控制、入侵检测等安全机制，保障数据在网络中的安全传输。网络通信的安全不仅关系到数据的保密性，还涉及到数据的完整性和可用性。因此，评估中会重点检查加密算法的强度、访问控制策略的合理性以及入侵检测系统的有效性。</w:t>
      </w:r>
    </w:p>
    <w:p w14:paraId="2C2D2704">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区域边界：评估网络边界的安全防护措施，如防火墙、边界路由器等，确保网络边界的安全性。网络边界是内外网络交互的关键点，其安全性直接关系到整个网络的安全。评估时会关注边界设备的配置是否合理，是否有足够的防护措施来抵御外部攻击。</w:t>
      </w:r>
    </w:p>
    <w:p w14:paraId="5B3E7F1F">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计算环境：对操作系统、数据库、应用软件等进行安全评估，确保计算环境的安全性。计算环境是信息系统的核心部分，其安全性直接影响到整个系统的安全。评估会涉及操作系统和数据库的安全配置、应用软件的安全漏洞以及补丁管理等。</w:t>
      </w:r>
    </w:p>
    <w:p w14:paraId="079FAAB9">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管理策略：审查信息系统的安全管理策略，包括安全策略、安全标准、安全流程等，确保策略的合理性与有效性。安全管理策略是信息系统安全的指导方针，评估时会关注策略是否全面覆盖了安全风险，是否与组织的业务目标相一致。</w:t>
      </w:r>
    </w:p>
    <w:p w14:paraId="1365223F">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管理制度：评估信息系统的安全管理制度，包括安全组织架构、安全职责分配、安全管理制度等，确保制度的完善性和可执行性。安全管理制度是确保安全管理策略得以实施的基础，评估会关注制度是否明确、是否易于执行。</w:t>
      </w:r>
    </w:p>
    <w:p w14:paraId="29DF96B7">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安全管理措施：检查信息系统的安全管理措施，如安全审计、风险评估、安全监控等，确保管理措施的有效性。这些措施是确保信息系统安全运行的关键，评估时会关注其是否能够及时发现和响应安全事件。</w:t>
      </w:r>
    </w:p>
    <w:p w14:paraId="01A5BD6E">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管理组织机构：评估信息系统的安全管理人员进行评估，包括人员的专业技能、安全意识、应急响应能力等，确保管理人员的素质。安全管理人员是信息系统安全的第一道防线，评估会关注其是否具备足够的专业知识和技能。</w:t>
      </w:r>
    </w:p>
    <w:p w14:paraId="4E60DB5C">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意识与培训：评估信息系统的安全意识培训机制，包括员工的安全教育、培训内容、培训效果等，确保员工的安全意识。安全意识是预防安全事件的重要手段，评估会关注培训是否能够有效提升员工的安全意识。</w:t>
      </w:r>
    </w:p>
    <w:p w14:paraId="74CC2D50">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事件与应急响应：检查信息系统的安全事件处理机制，包括事件报告、应急响应计划、事故处理流程等，确保应急响应的及时性和有效性。应急响应机制是信息系统在遭受攻击时的重要保障，评估会关注其是否能够快速有效地处理安全事件。</w:t>
      </w:r>
    </w:p>
    <w:p w14:paraId="57F35A03">
      <w:pPr>
        <w:spacing w:after="0"/>
        <w:ind w:firstLine="640" w:firstLineChars="200"/>
        <w:rPr>
          <w:rFonts w:hint="eastAsia" w:ascii="仿宋" w:hAnsi="仿宋" w:eastAsia="仿宋" w:cs="Times New Roman"/>
          <w:color w:val="auto"/>
          <w:sz w:val="32"/>
          <w:szCs w:val="32"/>
          <w:highlight w:val="none"/>
          <w:lang w:bidi="ar"/>
        </w:rPr>
      </w:pPr>
      <w:r>
        <w:rPr>
          <w:rFonts w:hint="eastAsia" w:ascii="仿宋" w:hAnsi="仿宋" w:eastAsia="仿宋" w:cs="Times New Roman"/>
          <w:color w:val="auto"/>
          <w:sz w:val="32"/>
          <w:szCs w:val="32"/>
          <w:highlight w:val="none"/>
          <w:lang w:bidi="ar"/>
        </w:rPr>
        <w:t>安全审计与合规性检查：评估信息系统的安全审计机制，包括审计策略、审计工具、审计记录等，确保系统的合规性。安全审计是检查信息系统安全状况的重要手段，评估会关注审计是否全面覆盖了安全风险，是否能够发现潜在的安全问题。</w:t>
      </w:r>
    </w:p>
    <w:p w14:paraId="2DD0F9FC">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安全管理方案</w:t>
      </w:r>
    </w:p>
    <w:p w14:paraId="45130AAB">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将在满足目前业务需求前提下，考虑信息系统安全防护能力等情况，从技术设备方面建立安全防护体系，着重设备的实用性、安全性、可靠性、可管理性等方面，加强信息安全建设，从而保障信息系统的安全运行。</w:t>
      </w:r>
    </w:p>
    <w:p w14:paraId="068D1EF6">
      <w:pPr>
        <w:pStyle w:val="5"/>
        <w:numPr>
          <w:ilvl w:val="3"/>
          <w:numId w:val="2"/>
        </w:numPr>
        <w:spacing w:before="0" w:after="0" w:line="416" w:lineRule="auto"/>
        <w:rPr>
          <w:rFonts w:hint="eastAsia" w:ascii="仿宋" w:hAnsi="仿宋" w:eastAsia="仿宋" w:cs="Times New Roman"/>
          <w:b/>
          <w:bCs/>
          <w:color w:val="auto"/>
          <w:sz w:val="32"/>
          <w:szCs w:val="32"/>
          <w:highlight w:val="none"/>
        </w:rPr>
      </w:pPr>
      <w:bookmarkStart w:id="160" w:name="_Toc174534338"/>
      <w:r>
        <w:rPr>
          <w:rFonts w:ascii="仿宋" w:hAnsi="仿宋" w:eastAsia="仿宋" w:cs="Times New Roman"/>
          <w:b/>
          <w:bCs/>
          <w:color w:val="auto"/>
          <w:sz w:val="32"/>
          <w:szCs w:val="32"/>
          <w:highlight w:val="none"/>
        </w:rPr>
        <w:t>防火墙系统</w:t>
      </w:r>
      <w:bookmarkEnd w:id="160"/>
    </w:p>
    <w:p w14:paraId="6EE978DD">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在网络边界处部署高性能防火墙系统，并配置访问控制策略，提供连接状态监控功能，通过规则表与连接状态表共同配合，提高系统的性能和安全性；采用动态过滤技术，根据实际应用的需要，为合法的访问连接动态地打开所需的端口，在连接结束的时候，自动地关闭相应的端口。</w:t>
      </w:r>
    </w:p>
    <w:p w14:paraId="0DCEAAA7">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利用防火墙的基于接口到接口的安全策略建立安全通道，对数据流的走向进行灵活严格的控制。</w:t>
      </w:r>
    </w:p>
    <w:p w14:paraId="4C757F97">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提供网络接口的地址转换功能，对于任何一个网络接口，可以进行向外的源地址转换，向内的目的地址转换以及向内的源地址转换三种NAT。实现了静态地址映射、动态地址映射、端口转换等功能。</w:t>
      </w:r>
    </w:p>
    <w:p w14:paraId="43AAF9A6">
      <w:pPr>
        <w:pStyle w:val="5"/>
        <w:numPr>
          <w:ilvl w:val="3"/>
          <w:numId w:val="2"/>
        </w:numPr>
        <w:spacing w:before="0" w:after="0" w:line="416" w:lineRule="auto"/>
        <w:rPr>
          <w:rFonts w:hint="eastAsia" w:ascii="仿宋" w:hAnsi="仿宋" w:eastAsia="仿宋" w:cs="Times New Roman"/>
          <w:b/>
          <w:bCs/>
          <w:color w:val="auto"/>
          <w:sz w:val="32"/>
          <w:szCs w:val="32"/>
          <w:highlight w:val="none"/>
        </w:rPr>
      </w:pPr>
      <w:bookmarkStart w:id="161" w:name="_Toc174534340"/>
      <w:r>
        <w:rPr>
          <w:rFonts w:ascii="仿宋" w:hAnsi="仿宋" w:eastAsia="仿宋" w:cs="Times New Roman"/>
          <w:b/>
          <w:bCs/>
          <w:color w:val="auto"/>
          <w:sz w:val="32"/>
          <w:szCs w:val="32"/>
          <w:highlight w:val="none"/>
        </w:rPr>
        <w:t>上网行为管理</w:t>
      </w:r>
      <w:bookmarkEnd w:id="161"/>
    </w:p>
    <w:p w14:paraId="11383EE2">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通过上网行为管理设备，有效管理内网上网行为，提供网络利用效率，防止数据泄露，确保网络安全。具备访问控制功能，可根据要求限制对不适当或非生产性网站的访问。具备应用程序控制：监控和限制对特定应用程序的使用。具备带宽管理：监控网络流量，优化带宽使用，确保关键业务应用程序的性能等服务。支持移动设备管理：管理移动设备上的上网行为，确保数据安全和合规性。实现网络安全，防止恶意软件和钓鱼攻击，保护组织免受网络威胁等。</w:t>
      </w:r>
    </w:p>
    <w:p w14:paraId="35D114F5">
      <w:pPr>
        <w:pStyle w:val="5"/>
        <w:numPr>
          <w:ilvl w:val="3"/>
          <w:numId w:val="2"/>
        </w:numPr>
        <w:spacing w:before="0" w:after="0" w:line="416" w:lineRule="auto"/>
        <w:rPr>
          <w:rFonts w:hint="eastAsia" w:ascii="仿宋" w:hAnsi="仿宋" w:eastAsia="仿宋" w:cs="Times New Roman"/>
          <w:b/>
          <w:bCs/>
          <w:color w:val="auto"/>
          <w:sz w:val="32"/>
          <w:szCs w:val="32"/>
          <w:highlight w:val="none"/>
        </w:rPr>
      </w:pPr>
      <w:bookmarkStart w:id="162" w:name="_Toc174534341"/>
      <w:r>
        <w:rPr>
          <w:rFonts w:ascii="仿宋" w:hAnsi="仿宋" w:eastAsia="仿宋" w:cs="Times New Roman"/>
          <w:b/>
          <w:bCs/>
          <w:color w:val="auto"/>
          <w:sz w:val="32"/>
          <w:szCs w:val="32"/>
          <w:highlight w:val="none"/>
        </w:rPr>
        <w:t>日志审计</w:t>
      </w:r>
      <w:bookmarkEnd w:id="162"/>
    </w:p>
    <w:p w14:paraId="311DBEF7">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日志审计设备是网络安全的重要组成部分，主要用于收集、存储和分析网络设备、服务器、应用程序和其他IT基础设施生成的日志数据。提高用户对IT环境的可见性，确保合规性，并帮助检测和响应安全事件。</w:t>
      </w:r>
    </w:p>
    <w:p w14:paraId="5D33D9E7">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数据安全</w:t>
      </w:r>
    </w:p>
    <w:p w14:paraId="293B5A65">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数据安全对本系统来说尤其重要，数据在广域网线路上传输，很难保证在传输过程中不被非法窃取，篡改。数据库存储着极其关键敏感的数据。任何细小的疏忽、遗漏而造成的敏感信息的破坏、泄露都将有可能导致异常严重的后果。因此，如何保护这些敏感数据在使用、传输过程中高度的强壮性、保密性、完整性和不可抵赖性是整个系统安全设计当中的重中之重。</w:t>
      </w:r>
    </w:p>
    <w:p w14:paraId="6507A89C">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强壮性：制定完备的备份方案和采取必要的冗余技术（例如，RAID5、双机备份、多机备份等，并且至少应具备双机备份）以确保丢失数据的可能性近可能的小，恢复数据尽可能的完备、方便、快捷。</w:t>
      </w:r>
    </w:p>
    <w:p w14:paraId="71DC534B">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保密性：指采取加密手段对在网络上传送的关键数据进行加密保护，在条件允许的情况下，在本机的存储也要采取相应的加密手段。</w:t>
      </w:r>
    </w:p>
    <w:p w14:paraId="2C74504B">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完整性：指采取必要的技术手段（例如：CRC校验码等）确保查询或是修改的数据的绝对真实、可靠性。</w:t>
      </w:r>
    </w:p>
    <w:p w14:paraId="05392464">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63" w:name="_Toc10143"/>
      <w:bookmarkStart w:id="164" w:name="_Toc12998"/>
      <w:bookmarkStart w:id="165" w:name="_Toc18212"/>
      <w:r>
        <w:rPr>
          <w:rFonts w:ascii="仿宋" w:hAnsi="仿宋" w:eastAsia="仿宋" w:cs="Times New Roman"/>
          <w:b/>
          <w:bCs/>
          <w:color w:val="auto"/>
          <w:sz w:val="32"/>
          <w:szCs w:val="32"/>
          <w:highlight w:val="none"/>
        </w:rPr>
        <w:t>软硬件部署环境设计及选型</w:t>
      </w:r>
      <w:bookmarkEnd w:id="163"/>
      <w:bookmarkEnd w:id="164"/>
      <w:bookmarkEnd w:id="165"/>
    </w:p>
    <w:p w14:paraId="7C35CD51">
      <w:pPr>
        <w:spacing w:after="0"/>
        <w:ind w:firstLine="640" w:firstLineChars="200"/>
        <w:rPr>
          <w:rFonts w:hint="eastAsia" w:ascii="仿宋" w:hAnsi="仿宋" w:eastAsia="仿宋" w:cs="Times New Roman"/>
          <w:color w:val="auto"/>
          <w:sz w:val="32"/>
          <w:szCs w:val="32"/>
          <w:highlight w:val="none"/>
          <w:lang w:bidi="ar"/>
        </w:rPr>
      </w:pPr>
      <w:bookmarkStart w:id="166" w:name="_Toc24139"/>
      <w:r>
        <w:rPr>
          <w:rFonts w:hint="eastAsia" w:ascii="仿宋" w:hAnsi="仿宋" w:eastAsia="仿宋" w:cs="Times New Roman"/>
          <w:color w:val="auto"/>
          <w:sz w:val="32"/>
          <w:szCs w:val="32"/>
          <w:highlight w:val="none"/>
          <w:lang w:bidi="ar"/>
        </w:rPr>
        <w:t>系统应根据实际使用对象和应用场景对网络的需求进行系统部署设计。如面向管理部门人员使用的应用端（治理端）应部署于政务云专有云区（或信创云），面向企业用户使用的应用端（服务端）则应部署于政务云公有云区，数据库部署于政务云专有云区（或信创云），日志SLS部署于政务云专有云区。</w:t>
      </w:r>
    </w:p>
    <w:p w14:paraId="37129716">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网络拓扑图：</w:t>
      </w:r>
    </w:p>
    <w:p w14:paraId="5F3AE7CE">
      <w:pPr>
        <w:pStyle w:val="12"/>
        <w:rPr>
          <w:rFonts w:hint="eastAsia"/>
          <w:color w:val="auto"/>
          <w:highlight w:val="none"/>
        </w:rPr>
      </w:pPr>
      <w:r>
        <w:rPr>
          <w:color w:val="auto"/>
          <w:highlight w:val="none"/>
        </w:rPr>
        <w:drawing>
          <wp:inline distT="0" distB="0" distL="114300" distR="114300">
            <wp:extent cx="5273040" cy="4599940"/>
            <wp:effectExtent l="0" t="0" r="3810" b="1016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0"/>
                    <a:stretch>
                      <a:fillRect/>
                    </a:stretch>
                  </pic:blipFill>
                  <pic:spPr>
                    <a:xfrm>
                      <a:off x="0" y="0"/>
                      <a:ext cx="5273040" cy="4599940"/>
                    </a:xfrm>
                    <a:prstGeom prst="rect">
                      <a:avLst/>
                    </a:prstGeom>
                    <a:noFill/>
                    <a:ln>
                      <a:noFill/>
                    </a:ln>
                  </pic:spPr>
                </pic:pic>
              </a:graphicData>
            </a:graphic>
          </wp:inline>
        </w:drawing>
      </w:r>
    </w:p>
    <w:bookmarkEnd w:id="166"/>
    <w:p w14:paraId="71DBA83E">
      <w:pPr>
        <w:pStyle w:val="3"/>
        <w:ind w:right="4114"/>
        <w:rPr>
          <w:rFonts w:hint="eastAsia" w:ascii="仿宋" w:hAnsi="仿宋" w:cs="仿宋"/>
          <w:color w:val="auto"/>
          <w:highlight w:val="none"/>
        </w:rPr>
      </w:pPr>
      <w:bookmarkStart w:id="167" w:name="_Toc22463"/>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1</w:t>
      </w:r>
      <w:r>
        <w:rPr>
          <w:rFonts w:ascii="仿宋" w:hAnsi="仿宋" w:eastAsia="仿宋" w:cs="Times New Roman"/>
          <w:color w:val="auto"/>
          <w:sz w:val="32"/>
          <w:szCs w:val="32"/>
          <w:highlight w:val="none"/>
        </w:rPr>
        <w:t>）</w:t>
      </w:r>
      <w:bookmarkStart w:id="168" w:name="_Toc24007"/>
      <w:bookmarkStart w:id="169" w:name="_Toc31681"/>
      <w:r>
        <w:rPr>
          <w:rFonts w:hint="eastAsia" w:ascii="仿宋" w:hAnsi="仿宋" w:eastAsia="仿宋" w:cs="Times New Roman"/>
          <w:color w:val="auto"/>
          <w:sz w:val="32"/>
          <w:szCs w:val="32"/>
          <w:highlight w:val="none"/>
        </w:rPr>
        <w:t>服务端硬件网络环境</w:t>
      </w:r>
      <w:bookmarkEnd w:id="167"/>
      <w:bookmarkEnd w:id="168"/>
      <w:bookmarkEnd w:id="169"/>
    </w:p>
    <w:tbl>
      <w:tblPr>
        <w:tblStyle w:val="24"/>
        <w:tblW w:w="8126" w:type="dxa"/>
        <w:tblInd w:w="98" w:type="dxa"/>
        <w:tblLayout w:type="fixed"/>
        <w:tblCellMar>
          <w:top w:w="0" w:type="dxa"/>
          <w:left w:w="108" w:type="dxa"/>
          <w:bottom w:w="0" w:type="dxa"/>
          <w:right w:w="108" w:type="dxa"/>
        </w:tblCellMar>
      </w:tblPr>
      <w:tblGrid>
        <w:gridCol w:w="1917"/>
        <w:gridCol w:w="6209"/>
      </w:tblGrid>
      <w:tr w14:paraId="741F9237">
        <w:tblPrEx>
          <w:tblCellMar>
            <w:top w:w="0" w:type="dxa"/>
            <w:left w:w="108" w:type="dxa"/>
            <w:bottom w:w="0" w:type="dxa"/>
            <w:right w:w="108" w:type="dxa"/>
          </w:tblCellMar>
        </w:tblPrEx>
        <w:trPr>
          <w:trHeight w:val="300"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24DA2">
            <w:pPr>
              <w:widowControl/>
              <w:jc w:val="center"/>
              <w:textAlignment w:val="center"/>
              <w:rPr>
                <w:rFonts w:hint="eastAsia" w:ascii="仿宋" w:hAnsi="仿宋" w:cs="仿宋"/>
                <w:b/>
                <w:bCs/>
                <w:color w:val="auto"/>
                <w:szCs w:val="21"/>
                <w:highlight w:val="none"/>
              </w:rPr>
            </w:pPr>
            <w:r>
              <w:rPr>
                <w:rFonts w:hint="eastAsia" w:ascii="仿宋" w:hAnsi="仿宋" w:cs="仿宋"/>
                <w:b/>
                <w:bCs/>
                <w:color w:val="auto"/>
                <w:kern w:val="0"/>
                <w:szCs w:val="21"/>
                <w:highlight w:val="none"/>
                <w:lang w:bidi="ar"/>
              </w:rPr>
              <w:t>产品</w:t>
            </w:r>
          </w:p>
        </w:tc>
        <w:tc>
          <w:tcPr>
            <w:tcW w:w="62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9041D">
            <w:pPr>
              <w:widowControl/>
              <w:jc w:val="center"/>
              <w:textAlignment w:val="center"/>
              <w:rPr>
                <w:rFonts w:hint="eastAsia" w:ascii="仿宋" w:hAnsi="仿宋" w:cs="仿宋"/>
                <w:b/>
                <w:bCs/>
                <w:color w:val="auto"/>
                <w:szCs w:val="21"/>
                <w:highlight w:val="none"/>
              </w:rPr>
            </w:pPr>
            <w:r>
              <w:rPr>
                <w:rFonts w:hint="eastAsia" w:ascii="仿宋" w:hAnsi="仿宋" w:cs="仿宋"/>
                <w:b/>
                <w:bCs/>
                <w:color w:val="auto"/>
                <w:kern w:val="0"/>
                <w:szCs w:val="21"/>
                <w:highlight w:val="none"/>
                <w:lang w:bidi="ar"/>
              </w:rPr>
              <w:t>规格信息</w:t>
            </w:r>
          </w:p>
        </w:tc>
      </w:tr>
      <w:tr w14:paraId="7EB914E0">
        <w:tblPrEx>
          <w:tblCellMar>
            <w:top w:w="0" w:type="dxa"/>
            <w:left w:w="108" w:type="dxa"/>
            <w:bottom w:w="0" w:type="dxa"/>
            <w:right w:w="108" w:type="dxa"/>
          </w:tblCellMar>
        </w:tblPrEx>
        <w:trPr>
          <w:trHeight w:val="516"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94555">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政务公有云负载均衡SLB</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C9BD">
            <w:pPr>
              <w:widowControl/>
              <w:jc w:val="center"/>
              <w:textAlignment w:val="center"/>
              <w:rPr>
                <w:rFonts w:hint="eastAsia" w:ascii="仿宋" w:hAnsi="仿宋" w:cs="仿宋"/>
                <w:color w:val="auto"/>
                <w:szCs w:val="21"/>
                <w:highlight w:val="none"/>
              </w:rPr>
            </w:pPr>
            <w:r>
              <w:rPr>
                <w:rStyle w:val="98"/>
                <w:rFonts w:hint="default" w:ascii="仿宋" w:hAnsi="仿宋" w:eastAsia="仿宋" w:cs="仿宋"/>
                <w:color w:val="auto"/>
                <w:sz w:val="21"/>
                <w:szCs w:val="21"/>
                <w:highlight w:val="none"/>
                <w:lang w:bidi="ar"/>
              </w:rPr>
              <w:t xml:space="preserve">网络类型: 经典网络 带宽峰值: 100Mbps 规格类型: 性能共享型 </w:t>
            </w:r>
          </w:p>
        </w:tc>
      </w:tr>
      <w:tr w14:paraId="628CDDCF">
        <w:tblPrEx>
          <w:tblCellMar>
            <w:top w:w="0" w:type="dxa"/>
            <w:left w:w="108" w:type="dxa"/>
            <w:bottom w:w="0" w:type="dxa"/>
            <w:right w:w="108" w:type="dxa"/>
          </w:tblCellMar>
        </w:tblPrEx>
        <w:trPr>
          <w:trHeight w:val="516"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2BE94">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政务专有云负载均衡SLB</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5FF37">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 xml:space="preserve">网络类型: 经典网络 带宽峰值: 100Mbps </w:t>
            </w:r>
          </w:p>
        </w:tc>
      </w:tr>
      <w:tr w14:paraId="45A4D3DF">
        <w:tblPrEx>
          <w:tblCellMar>
            <w:top w:w="0" w:type="dxa"/>
            <w:left w:w="108" w:type="dxa"/>
            <w:bottom w:w="0" w:type="dxa"/>
            <w:right w:w="108" w:type="dxa"/>
          </w:tblCellMar>
        </w:tblPrEx>
        <w:trPr>
          <w:trHeight w:val="64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63FB7">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政务公有云服务器ECS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73070">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实例规格: 2C8G 镜像: 麒麟 系统盘: ssd云盘,40GB</w:t>
            </w:r>
          </w:p>
          <w:p w14:paraId="68BA142C">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 xml:space="preserve">数据盘: 高效云盘,20GB </w:t>
            </w:r>
          </w:p>
        </w:tc>
      </w:tr>
      <w:tr w14:paraId="0EC5FFEE">
        <w:tblPrEx>
          <w:tblCellMar>
            <w:top w:w="0" w:type="dxa"/>
            <w:left w:w="108" w:type="dxa"/>
            <w:bottom w:w="0" w:type="dxa"/>
            <w:right w:w="108" w:type="dxa"/>
          </w:tblCellMar>
        </w:tblPrEx>
        <w:trPr>
          <w:trHeight w:val="64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0DD77">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政务公有云服务器ECS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CF4B3">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实例规格: 2C8G 镜像: 麒麟 系统盘: ssd云盘,40GB</w:t>
            </w:r>
          </w:p>
          <w:p w14:paraId="4BE44208">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数据盘: 高效云盘,20GB</w:t>
            </w:r>
          </w:p>
        </w:tc>
      </w:tr>
      <w:tr w14:paraId="20EA1B0E">
        <w:tblPrEx>
          <w:tblCellMar>
            <w:top w:w="0" w:type="dxa"/>
            <w:left w:w="108" w:type="dxa"/>
            <w:bottom w:w="0" w:type="dxa"/>
            <w:right w:w="108" w:type="dxa"/>
          </w:tblCellMar>
        </w:tblPrEx>
        <w:trPr>
          <w:trHeight w:val="64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0AD3">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政务公有云服务器ECS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437CA">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实例规格: 4C16G 镜像: 麒麟 系统盘: ssd云盘,40GB</w:t>
            </w:r>
          </w:p>
          <w:p w14:paraId="2C9D12E1">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 xml:space="preserve">  数据盘: 高效云盘,20GB</w:t>
            </w:r>
          </w:p>
        </w:tc>
      </w:tr>
      <w:tr w14:paraId="1EA77B05">
        <w:tblPrEx>
          <w:tblCellMar>
            <w:top w:w="0" w:type="dxa"/>
            <w:left w:w="108" w:type="dxa"/>
            <w:bottom w:w="0" w:type="dxa"/>
            <w:right w:w="108" w:type="dxa"/>
          </w:tblCellMar>
        </w:tblPrEx>
        <w:trPr>
          <w:trHeight w:val="64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CAF58">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政务专有云服务器ECS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F92D7">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实例规格: 2C8G 镜像: 麒麟 系统盘: ssd云盘,40GB</w:t>
            </w:r>
          </w:p>
          <w:p w14:paraId="74313412">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 xml:space="preserve">数据盘: 高效云盘,20GB  </w:t>
            </w:r>
          </w:p>
        </w:tc>
      </w:tr>
      <w:tr w14:paraId="0A61DB91">
        <w:tblPrEx>
          <w:tblCellMar>
            <w:top w:w="0" w:type="dxa"/>
            <w:left w:w="108" w:type="dxa"/>
            <w:bottom w:w="0" w:type="dxa"/>
            <w:right w:w="108" w:type="dxa"/>
          </w:tblCellMar>
        </w:tblPrEx>
        <w:trPr>
          <w:trHeight w:val="58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738A0">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政务专有云服务器ECS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0260">
            <w:pPr>
              <w:widowControl/>
              <w:jc w:val="center"/>
              <w:textAlignment w:val="cente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实例规格: 4C8G 镜像: 麒麟 系统盘: ssd云盘,40GB</w:t>
            </w:r>
          </w:p>
          <w:p w14:paraId="2DCC1C2E">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 xml:space="preserve">  数据盘: 高效云盘,200GB  </w:t>
            </w:r>
          </w:p>
        </w:tc>
      </w:tr>
      <w:tr w14:paraId="63ED4FCD">
        <w:tblPrEx>
          <w:tblCellMar>
            <w:top w:w="0" w:type="dxa"/>
            <w:left w:w="108" w:type="dxa"/>
            <w:bottom w:w="0" w:type="dxa"/>
            <w:right w:w="108" w:type="dxa"/>
          </w:tblCellMar>
        </w:tblPrEx>
        <w:trPr>
          <w:trHeight w:val="588" w:hRule="atLeast"/>
        </w:trPr>
        <w:tc>
          <w:tcPr>
            <w:tcW w:w="1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10EC2">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政务专有云数据库RDS</w:t>
            </w:r>
          </w:p>
        </w:tc>
        <w:tc>
          <w:tcPr>
            <w:tcW w:w="62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01472">
            <w:pPr>
              <w:widowControl/>
              <w:jc w:val="center"/>
              <w:textAlignment w:val="center"/>
              <w:rPr>
                <w:rFonts w:hint="eastAsia" w:ascii="仿宋" w:hAnsi="仿宋" w:cs="仿宋"/>
                <w:color w:val="auto"/>
                <w:szCs w:val="21"/>
                <w:highlight w:val="none"/>
              </w:rPr>
            </w:pPr>
            <w:r>
              <w:rPr>
                <w:rFonts w:hint="eastAsia" w:ascii="仿宋" w:hAnsi="仿宋" w:cs="仿宋"/>
                <w:color w:val="auto"/>
                <w:kern w:val="0"/>
                <w:szCs w:val="21"/>
                <w:highlight w:val="none"/>
                <w:lang w:bidi="ar"/>
              </w:rPr>
              <w:t>数据库类型: polardb-m版本 内核内存: 2C4G(独享型) 存储空间: 100GB</w:t>
            </w:r>
          </w:p>
        </w:tc>
      </w:tr>
    </w:tbl>
    <w:p w14:paraId="221B4504">
      <w:pPr>
        <w:pStyle w:val="3"/>
        <w:ind w:right="4114"/>
        <w:rPr>
          <w:rFonts w:hint="eastAsia" w:ascii="仿宋" w:hAnsi="仿宋" w:eastAsia="仿宋" w:cs="Times New Roman"/>
          <w:color w:val="auto"/>
          <w:sz w:val="32"/>
          <w:szCs w:val="32"/>
          <w:highlight w:val="none"/>
        </w:rPr>
      </w:pPr>
      <w:bookmarkStart w:id="170" w:name="_Toc25505"/>
      <w:bookmarkStart w:id="171" w:name="_Toc23676"/>
      <w:bookmarkStart w:id="172" w:name="_Toc16714"/>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2</w:t>
      </w:r>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服务端基础软件环境</w:t>
      </w:r>
      <w:bookmarkEnd w:id="170"/>
      <w:bookmarkEnd w:id="171"/>
      <w:bookmarkEnd w:id="172"/>
    </w:p>
    <w:tbl>
      <w:tblPr>
        <w:tblStyle w:val="25"/>
        <w:tblW w:w="0" w:type="auto"/>
        <w:tblInd w:w="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6"/>
        <w:gridCol w:w="2276"/>
        <w:gridCol w:w="3145"/>
      </w:tblGrid>
      <w:tr w14:paraId="28F7B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6" w:type="dxa"/>
            <w:shd w:val="clear" w:color="auto" w:fill="D8D8D8" w:themeFill="background1" w:themeFillShade="D9"/>
          </w:tcPr>
          <w:p w14:paraId="0B336041">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服务器</w:t>
            </w:r>
          </w:p>
        </w:tc>
        <w:tc>
          <w:tcPr>
            <w:tcW w:w="2276" w:type="dxa"/>
            <w:shd w:val="clear" w:color="auto" w:fill="D8D8D8" w:themeFill="background1" w:themeFillShade="D9"/>
          </w:tcPr>
          <w:p w14:paraId="4D006120">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操作系统</w:t>
            </w:r>
          </w:p>
        </w:tc>
        <w:tc>
          <w:tcPr>
            <w:tcW w:w="3145" w:type="dxa"/>
            <w:shd w:val="clear" w:color="auto" w:fill="D8D8D8" w:themeFill="background1" w:themeFillShade="D9"/>
          </w:tcPr>
          <w:p w14:paraId="229AD55B">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备注</w:t>
            </w:r>
          </w:p>
        </w:tc>
      </w:tr>
      <w:tr w14:paraId="4B094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6" w:type="dxa"/>
          </w:tcPr>
          <w:p w14:paraId="4248D471">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bidi="ar"/>
              </w:rPr>
              <w:t>信创云/</w:t>
            </w:r>
            <w:r>
              <w:rPr>
                <w:rFonts w:hint="eastAsia" w:ascii="仿宋" w:hAnsi="仿宋" w:cs="仿宋"/>
                <w:color w:val="auto"/>
                <w:kern w:val="0"/>
                <w:szCs w:val="21"/>
                <w:highlight w:val="none"/>
                <w:lang w:val="zh-CN"/>
              </w:rPr>
              <w:t>政务云ECS服务器（web服务器）</w:t>
            </w:r>
          </w:p>
        </w:tc>
        <w:tc>
          <w:tcPr>
            <w:tcW w:w="2276" w:type="dxa"/>
          </w:tcPr>
          <w:p w14:paraId="7F0ACC70">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rPr>
              <w:t>麒麟</w:t>
            </w:r>
            <w:r>
              <w:rPr>
                <w:rFonts w:hint="eastAsia" w:ascii="仿宋" w:hAnsi="仿宋" w:cs="仿宋"/>
                <w:color w:val="auto"/>
                <w:kern w:val="0"/>
                <w:szCs w:val="21"/>
                <w:highlight w:val="none"/>
                <w:lang w:val="zh-CN"/>
              </w:rPr>
              <w:t>等主流操作系统</w:t>
            </w:r>
          </w:p>
        </w:tc>
        <w:tc>
          <w:tcPr>
            <w:tcW w:w="3145" w:type="dxa"/>
          </w:tcPr>
          <w:p w14:paraId="5C51D946">
            <w:pPr>
              <w:rPr>
                <w:rFonts w:hint="eastAsia" w:ascii="仿宋" w:hAnsi="仿宋" w:cs="仿宋"/>
                <w:color w:val="auto"/>
                <w:kern w:val="0"/>
                <w:szCs w:val="21"/>
                <w:highlight w:val="none"/>
              </w:rPr>
            </w:pPr>
            <w:r>
              <w:rPr>
                <w:rFonts w:hint="eastAsia" w:ascii="仿宋" w:hAnsi="仿宋" w:cs="仿宋"/>
                <w:color w:val="auto"/>
                <w:kern w:val="0"/>
                <w:szCs w:val="21"/>
                <w:highlight w:val="none"/>
                <w:lang w:val="zh-CN"/>
              </w:rPr>
              <w:t>支持不同操作系统，建议使用Linux操作系统，JDK1.</w:t>
            </w:r>
            <w:r>
              <w:rPr>
                <w:rFonts w:hint="eastAsia" w:ascii="仿宋" w:hAnsi="仿宋" w:cs="仿宋"/>
                <w:color w:val="auto"/>
                <w:kern w:val="0"/>
                <w:szCs w:val="21"/>
                <w:highlight w:val="none"/>
              </w:rPr>
              <w:t>8及</w:t>
            </w:r>
            <w:r>
              <w:rPr>
                <w:rFonts w:hint="eastAsia" w:ascii="仿宋" w:hAnsi="仿宋" w:cs="仿宋"/>
                <w:color w:val="auto"/>
                <w:kern w:val="0"/>
                <w:szCs w:val="21"/>
                <w:highlight w:val="none"/>
                <w:lang w:val="zh-CN"/>
              </w:rPr>
              <w:t>以上版本</w:t>
            </w:r>
          </w:p>
        </w:tc>
      </w:tr>
      <w:tr w14:paraId="1A51C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6" w:type="dxa"/>
          </w:tcPr>
          <w:p w14:paraId="3D977AD6">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bidi="ar"/>
              </w:rPr>
              <w:t>信创云/</w:t>
            </w:r>
            <w:r>
              <w:rPr>
                <w:rFonts w:hint="eastAsia" w:ascii="仿宋" w:hAnsi="仿宋" w:cs="仿宋"/>
                <w:color w:val="auto"/>
                <w:kern w:val="0"/>
                <w:szCs w:val="21"/>
                <w:highlight w:val="none"/>
                <w:lang w:val="zh-CN"/>
              </w:rPr>
              <w:t>政务云RDS服务器（数据库服务器）</w:t>
            </w:r>
          </w:p>
        </w:tc>
        <w:tc>
          <w:tcPr>
            <w:tcW w:w="2276" w:type="dxa"/>
          </w:tcPr>
          <w:p w14:paraId="7750449F">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rPr>
              <w:t>CentOS7.6</w:t>
            </w:r>
          </w:p>
        </w:tc>
        <w:tc>
          <w:tcPr>
            <w:tcW w:w="3145" w:type="dxa"/>
          </w:tcPr>
          <w:p w14:paraId="5D6582A5">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支持各主流数据库，建议使用</w:t>
            </w:r>
            <w:r>
              <w:rPr>
                <w:rFonts w:hint="eastAsia" w:ascii="仿宋" w:hAnsi="仿宋" w:cs="仿宋"/>
                <w:color w:val="auto"/>
                <w:kern w:val="0"/>
                <w:szCs w:val="21"/>
                <w:highlight w:val="none"/>
              </w:rPr>
              <w:t>Polardb-M</w:t>
            </w:r>
            <w:r>
              <w:rPr>
                <w:rFonts w:hint="eastAsia" w:ascii="仿宋" w:hAnsi="仿宋" w:cs="仿宋"/>
                <w:color w:val="auto"/>
                <w:kern w:val="0"/>
                <w:szCs w:val="21"/>
                <w:highlight w:val="none"/>
                <w:lang w:val="zh-CN"/>
              </w:rPr>
              <w:t>数据库</w:t>
            </w:r>
          </w:p>
        </w:tc>
      </w:tr>
      <w:tr w14:paraId="70B9A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6" w:type="dxa"/>
          </w:tcPr>
          <w:p w14:paraId="4EAF4A92">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bidi="ar"/>
              </w:rPr>
              <w:t>信创云/</w:t>
            </w:r>
            <w:r>
              <w:rPr>
                <w:rFonts w:hint="eastAsia" w:ascii="仿宋" w:hAnsi="仿宋" w:cs="仿宋"/>
                <w:color w:val="auto"/>
                <w:kern w:val="0"/>
                <w:szCs w:val="21"/>
                <w:highlight w:val="none"/>
                <w:lang w:val="zh-CN"/>
              </w:rPr>
              <w:t>政务云ECS服务器（</w:t>
            </w:r>
            <w:r>
              <w:rPr>
                <w:rFonts w:hint="eastAsia" w:ascii="仿宋" w:hAnsi="仿宋" w:cs="仿宋"/>
                <w:color w:val="auto"/>
                <w:kern w:val="0"/>
                <w:szCs w:val="21"/>
                <w:highlight w:val="none"/>
              </w:rPr>
              <w:t>应用</w:t>
            </w:r>
            <w:r>
              <w:rPr>
                <w:rFonts w:hint="eastAsia" w:ascii="仿宋" w:hAnsi="仿宋" w:cs="仿宋"/>
                <w:color w:val="auto"/>
                <w:kern w:val="0"/>
                <w:szCs w:val="21"/>
                <w:highlight w:val="none"/>
                <w:lang w:val="zh-CN"/>
              </w:rPr>
              <w:t>服务器）</w:t>
            </w:r>
          </w:p>
        </w:tc>
        <w:tc>
          <w:tcPr>
            <w:tcW w:w="2276" w:type="dxa"/>
          </w:tcPr>
          <w:p w14:paraId="35CC9D07">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rPr>
              <w:t>麒麟</w:t>
            </w:r>
            <w:r>
              <w:rPr>
                <w:rFonts w:hint="eastAsia" w:ascii="仿宋" w:hAnsi="仿宋" w:cs="仿宋"/>
                <w:color w:val="auto"/>
                <w:kern w:val="0"/>
                <w:szCs w:val="21"/>
                <w:highlight w:val="none"/>
                <w:lang w:val="zh-CN"/>
              </w:rPr>
              <w:t>等主流操作系统</w:t>
            </w:r>
          </w:p>
        </w:tc>
        <w:tc>
          <w:tcPr>
            <w:tcW w:w="3145" w:type="dxa"/>
          </w:tcPr>
          <w:p w14:paraId="05B0F528">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支持不同操作系统，建议使用Linux操作系统</w:t>
            </w:r>
          </w:p>
        </w:tc>
      </w:tr>
      <w:tr w14:paraId="4BE0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6" w:type="dxa"/>
          </w:tcPr>
          <w:p w14:paraId="1DC7B467">
            <w:pPr>
              <w:rPr>
                <w:rFonts w:hint="eastAsia" w:ascii="仿宋" w:hAnsi="仿宋" w:cs="仿宋"/>
                <w:color w:val="auto"/>
                <w:kern w:val="0"/>
                <w:szCs w:val="21"/>
                <w:highlight w:val="none"/>
                <w:lang w:bidi="ar"/>
              </w:rPr>
            </w:pPr>
            <w:r>
              <w:rPr>
                <w:rFonts w:hint="eastAsia" w:ascii="仿宋" w:hAnsi="仿宋" w:cs="仿宋"/>
                <w:color w:val="auto"/>
                <w:kern w:val="0"/>
                <w:szCs w:val="21"/>
                <w:highlight w:val="none"/>
                <w:lang w:bidi="ar"/>
              </w:rPr>
              <w:t>信创云/</w:t>
            </w:r>
            <w:r>
              <w:rPr>
                <w:rFonts w:hint="eastAsia" w:ascii="仿宋" w:hAnsi="仿宋" w:cs="仿宋"/>
                <w:color w:val="auto"/>
                <w:kern w:val="0"/>
                <w:szCs w:val="21"/>
                <w:highlight w:val="none"/>
                <w:lang w:val="zh-CN"/>
              </w:rPr>
              <w:t>政务云</w:t>
            </w:r>
            <w:r>
              <w:rPr>
                <w:rFonts w:hint="eastAsia" w:ascii="仿宋" w:hAnsi="仿宋" w:cs="仿宋"/>
                <w:color w:val="auto"/>
                <w:kern w:val="0"/>
                <w:szCs w:val="21"/>
                <w:highlight w:val="none"/>
              </w:rPr>
              <w:t>OSS</w:t>
            </w:r>
            <w:r>
              <w:rPr>
                <w:rFonts w:hint="eastAsia" w:ascii="仿宋" w:hAnsi="仿宋" w:cs="仿宋"/>
                <w:color w:val="auto"/>
                <w:kern w:val="0"/>
                <w:szCs w:val="21"/>
                <w:highlight w:val="none"/>
                <w:lang w:val="zh-CN"/>
              </w:rPr>
              <w:t>服务器（</w:t>
            </w:r>
            <w:r>
              <w:rPr>
                <w:rFonts w:hint="eastAsia" w:ascii="仿宋" w:hAnsi="仿宋" w:cs="仿宋"/>
                <w:color w:val="auto"/>
                <w:kern w:val="0"/>
                <w:szCs w:val="21"/>
                <w:highlight w:val="none"/>
              </w:rPr>
              <w:t>文件存储</w:t>
            </w:r>
            <w:r>
              <w:rPr>
                <w:rFonts w:hint="eastAsia" w:ascii="仿宋" w:hAnsi="仿宋" w:cs="仿宋"/>
                <w:color w:val="auto"/>
                <w:kern w:val="0"/>
                <w:szCs w:val="21"/>
                <w:highlight w:val="none"/>
                <w:lang w:val="zh-CN"/>
              </w:rPr>
              <w:t>服务器）</w:t>
            </w:r>
          </w:p>
        </w:tc>
        <w:tc>
          <w:tcPr>
            <w:tcW w:w="2276" w:type="dxa"/>
          </w:tcPr>
          <w:p w14:paraId="11609848">
            <w:pPr>
              <w:rPr>
                <w:rFonts w:hint="eastAsia" w:ascii="仿宋" w:hAnsi="仿宋" w:eastAsia="仿宋" w:cs="仿宋"/>
                <w:color w:val="auto"/>
                <w:kern w:val="0"/>
                <w:szCs w:val="21"/>
                <w:highlight w:val="none"/>
              </w:rPr>
            </w:pPr>
            <w:r>
              <w:rPr>
                <w:rFonts w:hint="eastAsia" w:ascii="仿宋" w:hAnsi="仿宋" w:cs="仿宋"/>
                <w:color w:val="auto"/>
                <w:kern w:val="0"/>
                <w:szCs w:val="21"/>
                <w:highlight w:val="none"/>
              </w:rPr>
              <w:t>CentOS7.6</w:t>
            </w:r>
          </w:p>
        </w:tc>
        <w:tc>
          <w:tcPr>
            <w:tcW w:w="3145" w:type="dxa"/>
          </w:tcPr>
          <w:p w14:paraId="41BEB2DC">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rPr>
              <w:t>申请100G的存储空间</w:t>
            </w:r>
          </w:p>
        </w:tc>
      </w:tr>
    </w:tbl>
    <w:p w14:paraId="7E5A751C">
      <w:pPr>
        <w:pStyle w:val="3"/>
        <w:ind w:right="4114"/>
        <w:rPr>
          <w:rFonts w:hint="eastAsia" w:ascii="仿宋" w:hAnsi="仿宋" w:cs="仿宋"/>
          <w:color w:val="auto"/>
          <w:highlight w:val="none"/>
        </w:rPr>
      </w:pPr>
      <w:bookmarkStart w:id="173" w:name="_Toc9224"/>
      <w:bookmarkStart w:id="174" w:name="_Toc3101"/>
      <w:bookmarkStart w:id="175" w:name="_Toc25862"/>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3</w:t>
      </w:r>
      <w:r>
        <w:rPr>
          <w:rFonts w:ascii="仿宋" w:hAnsi="仿宋" w:eastAsia="仿宋" w:cs="Times New Roman"/>
          <w:color w:val="auto"/>
          <w:sz w:val="32"/>
          <w:szCs w:val="32"/>
          <w:highlight w:val="none"/>
        </w:rPr>
        <w:t>）</w:t>
      </w:r>
      <w:r>
        <w:rPr>
          <w:rFonts w:hint="eastAsia" w:ascii="仿宋" w:hAnsi="仿宋" w:eastAsia="仿宋" w:cs="Times New Roman"/>
          <w:color w:val="auto"/>
          <w:sz w:val="32"/>
          <w:szCs w:val="32"/>
          <w:highlight w:val="none"/>
        </w:rPr>
        <w:t>服务端应用支撑软件环境</w:t>
      </w:r>
      <w:bookmarkEnd w:id="173"/>
      <w:bookmarkEnd w:id="174"/>
      <w:bookmarkEnd w:id="175"/>
    </w:p>
    <w:tbl>
      <w:tblPr>
        <w:tblStyle w:val="25"/>
        <w:tblW w:w="0" w:type="auto"/>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20"/>
        <w:gridCol w:w="1850"/>
        <w:gridCol w:w="3585"/>
      </w:tblGrid>
      <w:tr w14:paraId="2479E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0" w:type="dxa"/>
            <w:shd w:val="clear" w:color="auto" w:fill="D8D8D8" w:themeFill="background1" w:themeFillShade="D9"/>
          </w:tcPr>
          <w:p w14:paraId="6F4BC042">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类型</w:t>
            </w:r>
          </w:p>
        </w:tc>
        <w:tc>
          <w:tcPr>
            <w:tcW w:w="1850" w:type="dxa"/>
            <w:shd w:val="clear" w:color="auto" w:fill="D8D8D8" w:themeFill="background1" w:themeFillShade="D9"/>
          </w:tcPr>
          <w:p w14:paraId="481BA561">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运行环境</w:t>
            </w:r>
          </w:p>
        </w:tc>
        <w:tc>
          <w:tcPr>
            <w:tcW w:w="3585" w:type="dxa"/>
            <w:shd w:val="clear" w:color="auto" w:fill="D8D8D8" w:themeFill="background1" w:themeFillShade="D9"/>
          </w:tcPr>
          <w:p w14:paraId="67A44863">
            <w:pPr>
              <w:jc w:val="center"/>
              <w:rPr>
                <w:rFonts w:hint="eastAsia" w:ascii="仿宋" w:hAnsi="仿宋" w:cs="仿宋"/>
                <w:color w:val="auto"/>
                <w:kern w:val="0"/>
                <w:szCs w:val="21"/>
                <w:highlight w:val="none"/>
                <w:lang w:val="zh-CN"/>
              </w:rPr>
            </w:pPr>
            <w:r>
              <w:rPr>
                <w:rFonts w:hint="eastAsia" w:ascii="仿宋" w:hAnsi="仿宋" w:cs="仿宋"/>
                <w:b/>
                <w:color w:val="auto"/>
                <w:kern w:val="0"/>
                <w:szCs w:val="21"/>
                <w:highlight w:val="none"/>
                <w:lang w:val="zh-CN"/>
              </w:rPr>
              <w:t>软件名称</w:t>
            </w:r>
          </w:p>
        </w:tc>
      </w:tr>
      <w:tr w14:paraId="1983B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0" w:type="dxa"/>
          </w:tcPr>
          <w:p w14:paraId="73F0CDA1">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Web服务</w:t>
            </w:r>
          </w:p>
        </w:tc>
        <w:tc>
          <w:tcPr>
            <w:tcW w:w="1850" w:type="dxa"/>
          </w:tcPr>
          <w:p w14:paraId="780DA05B">
            <w:pPr>
              <w:rPr>
                <w:rFonts w:hint="eastAsia" w:ascii="仿宋" w:hAnsi="仿宋" w:eastAsia="仿宋" w:cs="仿宋"/>
                <w:color w:val="auto"/>
                <w:kern w:val="0"/>
                <w:szCs w:val="21"/>
                <w:highlight w:val="none"/>
                <w:lang w:val="zh-CN"/>
              </w:rPr>
            </w:pPr>
            <w:r>
              <w:rPr>
                <w:rFonts w:hint="eastAsia" w:ascii="仿宋" w:hAnsi="仿宋" w:cs="仿宋"/>
                <w:color w:val="auto"/>
                <w:kern w:val="0"/>
                <w:szCs w:val="21"/>
                <w:highlight w:val="none"/>
              </w:rPr>
              <w:t>麒麟</w:t>
            </w:r>
          </w:p>
        </w:tc>
        <w:tc>
          <w:tcPr>
            <w:tcW w:w="3585" w:type="dxa"/>
          </w:tcPr>
          <w:p w14:paraId="3DCDC177">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Web中间件（支持tomcat、</w:t>
            </w:r>
            <w:r>
              <w:rPr>
                <w:rFonts w:hint="eastAsia" w:ascii="仿宋" w:hAnsi="仿宋" w:cs="仿宋"/>
                <w:color w:val="auto"/>
                <w:kern w:val="0"/>
                <w:szCs w:val="21"/>
                <w:highlight w:val="none"/>
              </w:rPr>
              <w:t>Nginx</w:t>
            </w:r>
            <w:r>
              <w:rPr>
                <w:rFonts w:hint="eastAsia" w:ascii="仿宋" w:hAnsi="仿宋" w:cs="仿宋"/>
                <w:color w:val="auto"/>
                <w:kern w:val="0"/>
                <w:szCs w:val="21"/>
                <w:highlight w:val="none"/>
                <w:lang w:val="zh-CN"/>
              </w:rPr>
              <w:t>、jetty等主流中间件）,均为第三方共享软件（免费）</w:t>
            </w:r>
          </w:p>
        </w:tc>
      </w:tr>
      <w:tr w14:paraId="27D65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0" w:type="dxa"/>
          </w:tcPr>
          <w:p w14:paraId="6CF145F9">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数据库</w:t>
            </w:r>
          </w:p>
        </w:tc>
        <w:tc>
          <w:tcPr>
            <w:tcW w:w="1850" w:type="dxa"/>
          </w:tcPr>
          <w:p w14:paraId="7F1648EE">
            <w:pPr>
              <w:rPr>
                <w:rFonts w:hint="eastAsia" w:ascii="仿宋" w:hAnsi="仿宋" w:eastAsia="仿宋" w:cs="仿宋"/>
                <w:color w:val="auto"/>
                <w:kern w:val="0"/>
                <w:szCs w:val="21"/>
                <w:highlight w:val="none"/>
                <w:lang w:val="zh-CN"/>
              </w:rPr>
            </w:pPr>
            <w:r>
              <w:rPr>
                <w:rFonts w:hint="eastAsia" w:ascii="仿宋" w:hAnsi="仿宋" w:cs="仿宋"/>
                <w:color w:val="auto"/>
                <w:kern w:val="0"/>
                <w:szCs w:val="21"/>
                <w:highlight w:val="none"/>
              </w:rPr>
              <w:t>麒麟</w:t>
            </w:r>
          </w:p>
        </w:tc>
        <w:tc>
          <w:tcPr>
            <w:tcW w:w="3585" w:type="dxa"/>
          </w:tcPr>
          <w:p w14:paraId="14F8CCD2">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直接使用政务云RDS服务器(含软件)，政务云提供的基础组件</w:t>
            </w:r>
          </w:p>
        </w:tc>
      </w:tr>
      <w:tr w14:paraId="53704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0" w:type="dxa"/>
          </w:tcPr>
          <w:p w14:paraId="661E12BF">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数据缓存</w:t>
            </w:r>
          </w:p>
        </w:tc>
        <w:tc>
          <w:tcPr>
            <w:tcW w:w="1850" w:type="dxa"/>
          </w:tcPr>
          <w:p w14:paraId="2AC222FF">
            <w:pPr>
              <w:rPr>
                <w:rFonts w:hint="eastAsia" w:ascii="仿宋" w:hAnsi="仿宋" w:eastAsia="仿宋" w:cs="仿宋"/>
                <w:color w:val="auto"/>
                <w:kern w:val="0"/>
                <w:szCs w:val="21"/>
                <w:highlight w:val="none"/>
                <w:lang w:val="zh-CN"/>
              </w:rPr>
            </w:pPr>
            <w:r>
              <w:rPr>
                <w:rFonts w:hint="eastAsia" w:ascii="仿宋" w:hAnsi="仿宋" w:cs="仿宋"/>
                <w:color w:val="auto"/>
                <w:kern w:val="0"/>
                <w:szCs w:val="21"/>
                <w:highlight w:val="none"/>
              </w:rPr>
              <w:t>麒麟</w:t>
            </w:r>
          </w:p>
        </w:tc>
        <w:tc>
          <w:tcPr>
            <w:tcW w:w="3585" w:type="dxa"/>
          </w:tcPr>
          <w:p w14:paraId="74C562E8">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Resdis,第三方共享软件（免费）</w:t>
            </w:r>
          </w:p>
        </w:tc>
      </w:tr>
      <w:tr w14:paraId="3E310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0" w:type="dxa"/>
          </w:tcPr>
          <w:p w14:paraId="15AF71C9">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Web服务负载均衡</w:t>
            </w:r>
          </w:p>
        </w:tc>
        <w:tc>
          <w:tcPr>
            <w:tcW w:w="1850" w:type="dxa"/>
          </w:tcPr>
          <w:p w14:paraId="06ACDB61">
            <w:pPr>
              <w:rPr>
                <w:rFonts w:hint="eastAsia" w:ascii="仿宋" w:hAnsi="仿宋" w:eastAsia="仿宋" w:cs="仿宋"/>
                <w:color w:val="auto"/>
                <w:kern w:val="0"/>
                <w:szCs w:val="21"/>
                <w:highlight w:val="none"/>
                <w:lang w:val="zh-CN"/>
              </w:rPr>
            </w:pPr>
            <w:r>
              <w:rPr>
                <w:rFonts w:hint="eastAsia" w:ascii="仿宋" w:hAnsi="仿宋" w:cs="仿宋"/>
                <w:color w:val="auto"/>
                <w:kern w:val="0"/>
                <w:szCs w:val="21"/>
                <w:highlight w:val="none"/>
              </w:rPr>
              <w:t>麒麟</w:t>
            </w:r>
          </w:p>
        </w:tc>
        <w:tc>
          <w:tcPr>
            <w:tcW w:w="3585" w:type="dxa"/>
          </w:tcPr>
          <w:p w14:paraId="3068C3EC">
            <w:pPr>
              <w:rPr>
                <w:rFonts w:hint="eastAsia" w:ascii="仿宋" w:hAnsi="仿宋" w:cs="仿宋"/>
                <w:color w:val="auto"/>
                <w:kern w:val="0"/>
                <w:szCs w:val="21"/>
                <w:highlight w:val="none"/>
                <w:lang w:val="zh-CN"/>
              </w:rPr>
            </w:pPr>
            <w:r>
              <w:rPr>
                <w:rFonts w:hint="eastAsia" w:ascii="仿宋" w:hAnsi="仿宋" w:cs="仿宋"/>
                <w:color w:val="auto"/>
                <w:kern w:val="0"/>
                <w:szCs w:val="21"/>
                <w:highlight w:val="none"/>
                <w:lang w:val="zh-CN"/>
              </w:rPr>
              <w:t>负载均衡中间件（支持Nginx、Haproxy、LVS等主流中间件），政务云提供的基础组件</w:t>
            </w:r>
          </w:p>
        </w:tc>
      </w:tr>
    </w:tbl>
    <w:p w14:paraId="7A7095ED">
      <w:pPr>
        <w:pStyle w:val="11"/>
        <w:ind w:firstLine="400"/>
        <w:rPr>
          <w:rFonts w:hint="eastAsia"/>
          <w:color w:val="auto"/>
          <w:highlight w:val="none"/>
        </w:rPr>
      </w:pPr>
    </w:p>
    <w:p w14:paraId="4C349916">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76" w:name="_Toc13670"/>
      <w:bookmarkStart w:id="177" w:name="_Toc31742"/>
      <w:bookmarkStart w:id="178" w:name="_Toc8143"/>
      <w:r>
        <w:rPr>
          <w:rFonts w:ascii="仿宋" w:hAnsi="仿宋" w:eastAsia="仿宋" w:cs="Times New Roman"/>
          <w:b/>
          <w:bCs/>
          <w:color w:val="auto"/>
          <w:sz w:val="32"/>
          <w:szCs w:val="32"/>
          <w:highlight w:val="none"/>
        </w:rPr>
        <w:t>物联系统设计方案</w:t>
      </w:r>
      <w:bookmarkEnd w:id="176"/>
      <w:bookmarkEnd w:id="177"/>
      <w:bookmarkEnd w:id="178"/>
    </w:p>
    <w:p w14:paraId="18E1C1B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物联综合</w:t>
      </w:r>
      <w:r>
        <w:rPr>
          <w:rFonts w:ascii="仿宋" w:hAnsi="仿宋" w:eastAsia="仿宋" w:cs="Times New Roman"/>
          <w:color w:val="auto"/>
          <w:sz w:val="32"/>
          <w:szCs w:val="32"/>
          <w:highlight w:val="none"/>
          <w:lang w:eastAsia="zh-Hans"/>
        </w:rPr>
        <w:t>应用</w:t>
      </w:r>
      <w:r>
        <w:rPr>
          <w:rFonts w:ascii="仿宋" w:hAnsi="仿宋" w:eastAsia="仿宋" w:cs="Times New Roman"/>
          <w:color w:val="auto"/>
          <w:sz w:val="32"/>
          <w:szCs w:val="32"/>
          <w:highlight w:val="none"/>
        </w:rPr>
        <w:t>是依托计算机信息、网络通讯、物联网、系统集成及云计算技术，通过数据采集、信息动态交互、智能分析，建立起来的一套集成的</w:t>
      </w:r>
      <w:r>
        <w:rPr>
          <w:rFonts w:hint="eastAsia" w:ascii="仿宋" w:hAnsi="仿宋" w:eastAsia="仿宋" w:cs="Times New Roman"/>
          <w:color w:val="auto"/>
          <w:sz w:val="32"/>
          <w:szCs w:val="32"/>
          <w:highlight w:val="none"/>
        </w:rPr>
        <w:t>物联</w:t>
      </w:r>
      <w:r>
        <w:rPr>
          <w:rFonts w:ascii="仿宋" w:hAnsi="仿宋" w:eastAsia="仿宋" w:cs="Times New Roman"/>
          <w:color w:val="auto"/>
          <w:sz w:val="32"/>
          <w:szCs w:val="32"/>
          <w:highlight w:val="none"/>
        </w:rPr>
        <w:t>管理系统。实现项目管理信息化、网络化、智能化、规范化，对</w:t>
      </w:r>
      <w:r>
        <w:rPr>
          <w:rFonts w:hint="eastAsia" w:ascii="仿宋" w:hAnsi="仿宋" w:eastAsia="仿宋" w:cs="Times New Roman"/>
          <w:color w:val="auto"/>
          <w:sz w:val="32"/>
          <w:szCs w:val="32"/>
          <w:highlight w:val="none"/>
        </w:rPr>
        <w:t>项目运营</w:t>
      </w:r>
      <w:r>
        <w:rPr>
          <w:rFonts w:ascii="仿宋" w:hAnsi="仿宋" w:eastAsia="仿宋" w:cs="Times New Roman"/>
          <w:color w:val="auto"/>
          <w:sz w:val="32"/>
          <w:szCs w:val="32"/>
          <w:highlight w:val="none"/>
        </w:rPr>
        <w:t>过程进行全方位的动态监控管理。</w:t>
      </w:r>
    </w:p>
    <w:p w14:paraId="27D1C32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在本次项目建设过程中，主要接入的物联数据有：视频监控以及水质、水量的监测数据，并接入龙泉市采录感知汇聚平台。</w:t>
      </w:r>
    </w:p>
    <w:p w14:paraId="35388D0E">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79" w:name="_Toc31268"/>
      <w:r>
        <w:rPr>
          <w:rFonts w:ascii="仿宋" w:hAnsi="仿宋" w:eastAsia="仿宋" w:cs="Times New Roman"/>
          <w:b/>
          <w:bCs/>
          <w:color w:val="auto"/>
          <w:sz w:val="32"/>
          <w:szCs w:val="32"/>
          <w:highlight w:val="none"/>
        </w:rPr>
        <w:t>接口设计</w:t>
      </w:r>
      <w:bookmarkEnd w:id="179"/>
      <w:r>
        <w:rPr>
          <w:rFonts w:ascii="仿宋" w:hAnsi="仿宋" w:eastAsia="仿宋" w:cs="Times New Roman"/>
          <w:b/>
          <w:bCs/>
          <w:color w:val="auto"/>
          <w:sz w:val="32"/>
          <w:szCs w:val="32"/>
          <w:highlight w:val="none"/>
        </w:rPr>
        <w:t xml:space="preserve"> </w:t>
      </w:r>
    </w:p>
    <w:p w14:paraId="55881C6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运输层以下层次的通信协议选用合适的标准协议，运输层和网络层建议选用统一的TCP/IP协议，便于各节点之间组网传输，数据链路层和物理层可根据实际通信条件情况灵活选用，如ADSL、E1。</w:t>
      </w:r>
    </w:p>
    <w:p w14:paraId="61B6EF8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按照对信息的各种需求，维护一个用于数据共享的标准数据注册中心，采用标准化数据的方式向各接入系统及各应用系统提供共享的信息；各接入系统在整合协同平台处对应维护一张数据字典，用于完成非标数据和标准数据的翻译，从而向共享的标准数据库提供标准化的数据信息；对于单一功能领域的特殊数据信息，系统提供在各子系统之间直接进行交换的途径，满足特定功能的应用需求；系统需要有一个专门的维护和管理机构，分别对系统的数据字典、标准共享数据库进行增添、更新等维护管理，以满足新的接入系统接入和系统发展的需求。</w:t>
      </w:r>
    </w:p>
    <w:p w14:paraId="4210639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数据交换接口主要包含：</w:t>
      </w:r>
    </w:p>
    <w:p w14:paraId="09C9654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Web 服务方式， 支持主流的协议接口，如SOAP、 REST等Web服务协议标准数据库接口方式，支持主流关系型数据库的接口，包括了ORACLE、SQL SERVER、SYBASE、DB2 等。</w:t>
      </w:r>
    </w:p>
    <w:p w14:paraId="0E3E60C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基于文件交换方式，支持基于自定义格式的文件交换</w:t>
      </w:r>
    </w:p>
    <w:p w14:paraId="0A1491C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以 XML 格式为主，可支持各种类型的数据源的交换，包括关系型、结构化、XML、消息、文本数据、WEB数据、矢量地图、影像、视频、音频等。</w:t>
      </w:r>
    </w:p>
    <w:p w14:paraId="5229826B">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外部接口</w:t>
      </w:r>
    </w:p>
    <w:tbl>
      <w:tblPr>
        <w:tblStyle w:val="24"/>
        <w:tblW w:w="4971"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515"/>
        <w:gridCol w:w="5958"/>
      </w:tblGrid>
      <w:tr w14:paraId="66E52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blHeader/>
        </w:trPr>
        <w:tc>
          <w:tcPr>
            <w:tcW w:w="1484" w:type="pct"/>
            <w:shd w:val="clear" w:color="auto" w:fill="auto"/>
          </w:tcPr>
          <w:p w14:paraId="1D7D17C4">
            <w:pPr>
              <w:pStyle w:val="12"/>
              <w:spacing w:after="0"/>
              <w:rPr>
                <w:rFonts w:hint="eastAsia" w:ascii="仿宋" w:hAnsi="仿宋" w:eastAsia="仿宋" w:cs="Times New Roman"/>
                <w:color w:val="auto"/>
                <w:sz w:val="24"/>
                <w:szCs w:val="24"/>
                <w:highlight w:val="none"/>
              </w:rPr>
            </w:pPr>
            <w:bookmarkStart w:id="180" w:name="_Hlk124171895"/>
            <w:r>
              <w:rPr>
                <w:rFonts w:ascii="仿宋" w:hAnsi="仿宋" w:eastAsia="仿宋" w:cs="Times New Roman"/>
                <w:color w:val="auto"/>
                <w:sz w:val="24"/>
                <w:szCs w:val="24"/>
                <w:highlight w:val="none"/>
              </w:rPr>
              <w:t>相关系统</w:t>
            </w:r>
          </w:p>
        </w:tc>
        <w:tc>
          <w:tcPr>
            <w:tcW w:w="3516" w:type="pct"/>
            <w:shd w:val="clear" w:color="auto" w:fill="auto"/>
          </w:tcPr>
          <w:p w14:paraId="63058C53">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接口名称</w:t>
            </w:r>
          </w:p>
        </w:tc>
      </w:tr>
      <w:tr w14:paraId="1A9BF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restart"/>
            <w:vAlign w:val="center"/>
          </w:tcPr>
          <w:p w14:paraId="00624DC7">
            <w:pPr>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移动端</w:t>
            </w:r>
          </w:p>
        </w:tc>
        <w:tc>
          <w:tcPr>
            <w:tcW w:w="3516" w:type="pct"/>
            <w:vAlign w:val="center"/>
          </w:tcPr>
          <w:p w14:paraId="564E72EE">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用户接口</w:t>
            </w:r>
          </w:p>
        </w:tc>
      </w:tr>
      <w:tr w14:paraId="7C158F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continue"/>
            <w:vAlign w:val="center"/>
          </w:tcPr>
          <w:p w14:paraId="6B933A35">
            <w:pPr>
              <w:spacing w:after="0"/>
              <w:rPr>
                <w:rFonts w:hint="eastAsia" w:ascii="仿宋" w:hAnsi="仿宋" w:eastAsia="仿宋" w:cs="Times New Roman"/>
                <w:color w:val="auto"/>
                <w:sz w:val="24"/>
                <w:szCs w:val="24"/>
                <w:highlight w:val="none"/>
              </w:rPr>
            </w:pPr>
          </w:p>
        </w:tc>
        <w:tc>
          <w:tcPr>
            <w:tcW w:w="3516" w:type="pct"/>
            <w:vAlign w:val="center"/>
          </w:tcPr>
          <w:p w14:paraId="0A2D0495">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日常巡查查询接口</w:t>
            </w:r>
          </w:p>
        </w:tc>
      </w:tr>
      <w:tr w14:paraId="16A332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continue"/>
            <w:vAlign w:val="center"/>
          </w:tcPr>
          <w:p w14:paraId="622A98D6">
            <w:pPr>
              <w:spacing w:after="0"/>
              <w:rPr>
                <w:rFonts w:hint="eastAsia" w:ascii="仿宋" w:hAnsi="仿宋" w:eastAsia="仿宋" w:cs="Times New Roman"/>
                <w:color w:val="auto"/>
                <w:sz w:val="24"/>
                <w:szCs w:val="24"/>
                <w:highlight w:val="none"/>
              </w:rPr>
            </w:pPr>
          </w:p>
        </w:tc>
        <w:tc>
          <w:tcPr>
            <w:tcW w:w="3516" w:type="pct"/>
            <w:vAlign w:val="center"/>
          </w:tcPr>
          <w:p w14:paraId="17363BDC">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问题分类接口</w:t>
            </w:r>
          </w:p>
        </w:tc>
      </w:tr>
      <w:tr w14:paraId="7488E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continue"/>
            <w:vAlign w:val="center"/>
          </w:tcPr>
          <w:p w14:paraId="0DE48271">
            <w:pPr>
              <w:spacing w:after="0"/>
              <w:rPr>
                <w:rFonts w:hint="eastAsia" w:ascii="仿宋" w:hAnsi="仿宋" w:eastAsia="仿宋" w:cs="Times New Roman"/>
                <w:color w:val="auto"/>
                <w:sz w:val="24"/>
                <w:szCs w:val="24"/>
                <w:highlight w:val="none"/>
              </w:rPr>
            </w:pPr>
          </w:p>
        </w:tc>
        <w:tc>
          <w:tcPr>
            <w:tcW w:w="3516" w:type="pct"/>
            <w:vAlign w:val="center"/>
          </w:tcPr>
          <w:p w14:paraId="126CD736">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日常巡查新增接口</w:t>
            </w:r>
          </w:p>
        </w:tc>
      </w:tr>
      <w:tr w14:paraId="1DB8AE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continue"/>
            <w:vAlign w:val="center"/>
          </w:tcPr>
          <w:p w14:paraId="424EFFA2">
            <w:pPr>
              <w:spacing w:after="0"/>
              <w:rPr>
                <w:rFonts w:hint="eastAsia" w:ascii="仿宋" w:hAnsi="仿宋" w:eastAsia="仿宋" w:cs="Times New Roman"/>
                <w:color w:val="auto"/>
                <w:sz w:val="24"/>
                <w:szCs w:val="24"/>
                <w:highlight w:val="none"/>
              </w:rPr>
            </w:pPr>
          </w:p>
        </w:tc>
        <w:tc>
          <w:tcPr>
            <w:tcW w:w="3516" w:type="pct"/>
            <w:vAlign w:val="center"/>
          </w:tcPr>
          <w:p w14:paraId="6BB1C3FD">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日常巡查修改接口</w:t>
            </w:r>
          </w:p>
        </w:tc>
      </w:tr>
      <w:tr w14:paraId="6FE17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84" w:type="pct"/>
            <w:vMerge w:val="continue"/>
            <w:vAlign w:val="center"/>
          </w:tcPr>
          <w:p w14:paraId="5109878F">
            <w:pPr>
              <w:spacing w:after="0"/>
              <w:rPr>
                <w:rFonts w:hint="eastAsia" w:ascii="仿宋" w:hAnsi="仿宋" w:eastAsia="仿宋" w:cs="Times New Roman"/>
                <w:color w:val="auto"/>
                <w:sz w:val="24"/>
                <w:szCs w:val="24"/>
                <w:highlight w:val="none"/>
              </w:rPr>
            </w:pPr>
          </w:p>
        </w:tc>
        <w:tc>
          <w:tcPr>
            <w:tcW w:w="3516" w:type="pct"/>
            <w:vAlign w:val="center"/>
          </w:tcPr>
          <w:p w14:paraId="75A2569B">
            <w:pPr>
              <w:pStyle w:val="12"/>
              <w:spacing w:after="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日常巡查删除接口</w:t>
            </w:r>
          </w:p>
        </w:tc>
      </w:tr>
      <w:bookmarkEnd w:id="180"/>
    </w:tbl>
    <w:p w14:paraId="3823C7FA">
      <w:pPr>
        <w:pStyle w:val="4"/>
        <w:numPr>
          <w:ilvl w:val="2"/>
          <w:numId w:val="2"/>
        </w:numPr>
        <w:spacing w:before="0" w:after="0" w:line="416" w:lineRule="auto"/>
        <w:rPr>
          <w:rFonts w:hint="eastAsia" w:ascii="仿宋" w:hAnsi="仿宋" w:eastAsia="仿宋" w:cs="Times New Roman"/>
          <w:b/>
          <w:bCs/>
          <w:color w:val="auto"/>
          <w:highlight w:val="none"/>
        </w:rPr>
      </w:pPr>
      <w:bookmarkStart w:id="181" w:name="_Toc87212581"/>
      <w:bookmarkStart w:id="182" w:name="_Toc124168381"/>
      <w:r>
        <w:rPr>
          <w:rFonts w:ascii="仿宋" w:hAnsi="仿宋" w:eastAsia="仿宋" w:cs="Times New Roman"/>
          <w:b/>
          <w:bCs/>
          <w:color w:val="auto"/>
          <w:highlight w:val="none"/>
        </w:rPr>
        <w:t>内部接口</w:t>
      </w:r>
      <w:bookmarkEnd w:id="181"/>
      <w:bookmarkEnd w:id="182"/>
    </w:p>
    <w:tbl>
      <w:tblPr>
        <w:tblStyle w:val="24"/>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517"/>
        <w:gridCol w:w="6005"/>
      </w:tblGrid>
      <w:tr w14:paraId="66AD00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blHeader/>
        </w:trPr>
        <w:tc>
          <w:tcPr>
            <w:tcW w:w="1477" w:type="pct"/>
            <w:shd w:val="clear" w:color="auto" w:fill="auto"/>
          </w:tcPr>
          <w:p w14:paraId="4FBB83D5">
            <w:pPr>
              <w:widowControl/>
              <w:spacing w:after="0" w:line="240" w:lineRule="auto"/>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相关系统</w:t>
            </w:r>
          </w:p>
        </w:tc>
        <w:tc>
          <w:tcPr>
            <w:tcW w:w="3523" w:type="pct"/>
            <w:shd w:val="clear" w:color="auto" w:fill="auto"/>
          </w:tcPr>
          <w:p w14:paraId="67BD5D31">
            <w:pPr>
              <w:widowControl/>
              <w:spacing w:after="0" w:line="240" w:lineRule="auto"/>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接口名称</w:t>
            </w:r>
          </w:p>
        </w:tc>
      </w:tr>
      <w:tr w14:paraId="3B3210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477" w:type="pct"/>
          </w:tcPr>
          <w:p w14:paraId="15F2AD6D">
            <w:pPr>
              <w:widowControl/>
              <w:spacing w:after="0" w:line="240" w:lineRule="auto"/>
              <w:jc w:val="center"/>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业务工作枢纽</w:t>
            </w:r>
          </w:p>
        </w:tc>
        <w:tc>
          <w:tcPr>
            <w:tcW w:w="3523" w:type="pct"/>
          </w:tcPr>
          <w:p w14:paraId="19F3DB55">
            <w:pPr>
              <w:widowControl/>
              <w:spacing w:after="0" w:line="240" w:lineRule="auto"/>
              <w:jc w:val="left"/>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单点登录接口</w:t>
            </w:r>
          </w:p>
        </w:tc>
      </w:tr>
      <w:tr w14:paraId="2FB9C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477" w:type="pct"/>
            <w:vMerge w:val="restart"/>
            <w:vAlign w:val="center"/>
          </w:tcPr>
          <w:p w14:paraId="0AA4DAA3">
            <w:pPr>
              <w:widowControl/>
              <w:spacing w:after="0" w:line="240" w:lineRule="auto"/>
              <w:jc w:val="center"/>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数据交换枢纽</w:t>
            </w:r>
          </w:p>
        </w:tc>
        <w:tc>
          <w:tcPr>
            <w:tcW w:w="3523" w:type="pct"/>
          </w:tcPr>
          <w:p w14:paraId="71644BB8">
            <w:pPr>
              <w:widowControl/>
              <w:spacing w:after="0" w:line="240" w:lineRule="auto"/>
              <w:jc w:val="left"/>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数据库交换接口</w:t>
            </w:r>
          </w:p>
        </w:tc>
      </w:tr>
      <w:tr w14:paraId="5CF934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77" w:type="pct"/>
            <w:vMerge w:val="continue"/>
            <w:vAlign w:val="center"/>
          </w:tcPr>
          <w:p w14:paraId="0620AF18">
            <w:pPr>
              <w:widowControl/>
              <w:spacing w:after="0" w:line="240" w:lineRule="auto"/>
              <w:jc w:val="left"/>
              <w:rPr>
                <w:rFonts w:hint="eastAsia" w:ascii="仿宋" w:hAnsi="仿宋" w:eastAsia="仿宋" w:cs="Times New Roman"/>
                <w:color w:val="auto"/>
                <w:sz w:val="24"/>
                <w:szCs w:val="24"/>
                <w:highlight w:val="none"/>
              </w:rPr>
            </w:pPr>
          </w:p>
        </w:tc>
        <w:tc>
          <w:tcPr>
            <w:tcW w:w="3523" w:type="pct"/>
          </w:tcPr>
          <w:p w14:paraId="2EE9DE12">
            <w:pPr>
              <w:widowControl/>
              <w:spacing w:after="0" w:line="240" w:lineRule="auto"/>
              <w:jc w:val="left"/>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文件交换接口</w:t>
            </w:r>
          </w:p>
        </w:tc>
      </w:tr>
      <w:tr w14:paraId="51E40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6" w:hRule="atLeast"/>
        </w:trPr>
        <w:tc>
          <w:tcPr>
            <w:tcW w:w="1477" w:type="pct"/>
            <w:vMerge w:val="continue"/>
            <w:vAlign w:val="center"/>
          </w:tcPr>
          <w:p w14:paraId="5F6A80C5">
            <w:pPr>
              <w:widowControl/>
              <w:spacing w:after="0" w:line="240" w:lineRule="auto"/>
              <w:jc w:val="left"/>
              <w:rPr>
                <w:rFonts w:hint="eastAsia" w:ascii="仿宋" w:hAnsi="仿宋" w:eastAsia="仿宋" w:cs="Times New Roman"/>
                <w:color w:val="auto"/>
                <w:sz w:val="24"/>
                <w:szCs w:val="24"/>
                <w:highlight w:val="none"/>
              </w:rPr>
            </w:pPr>
          </w:p>
        </w:tc>
        <w:tc>
          <w:tcPr>
            <w:tcW w:w="3523" w:type="pct"/>
          </w:tcPr>
          <w:p w14:paraId="13DAF48A">
            <w:pPr>
              <w:widowControl/>
              <w:spacing w:after="0" w:line="240" w:lineRule="auto"/>
              <w:jc w:val="left"/>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Web服务接口</w:t>
            </w:r>
          </w:p>
        </w:tc>
      </w:tr>
    </w:tbl>
    <w:p w14:paraId="33C662B3">
      <w:pPr>
        <w:pStyle w:val="44"/>
        <w:numPr>
          <w:ilvl w:val="0"/>
          <w:numId w:val="12"/>
        </w:numPr>
        <w:spacing w:after="0" w:line="360" w:lineRule="auto"/>
        <w:contextualSpacing w:val="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业务工作枢纽</w:t>
      </w:r>
    </w:p>
    <w:tbl>
      <w:tblPr>
        <w:tblStyle w:val="24"/>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4"/>
        <w:gridCol w:w="1984"/>
        <w:gridCol w:w="5404"/>
      </w:tblGrid>
      <w:tr w14:paraId="7C62D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8" w:type="dxa"/>
            <w:gridSpan w:val="2"/>
            <w:shd w:val="clear" w:color="auto" w:fill="auto"/>
          </w:tcPr>
          <w:p w14:paraId="5CC531CF">
            <w:pPr>
              <w:pStyle w:val="11"/>
              <w:spacing w:line="240" w:lineRule="auto"/>
              <w:ind w:firstLine="0" w:firstLineChars="0"/>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接口名称</w:t>
            </w:r>
          </w:p>
        </w:tc>
        <w:tc>
          <w:tcPr>
            <w:tcW w:w="5404" w:type="dxa"/>
            <w:shd w:val="clear" w:color="auto" w:fill="auto"/>
          </w:tcPr>
          <w:p w14:paraId="1414C8AA">
            <w:pPr>
              <w:pStyle w:val="11"/>
              <w:spacing w:line="240" w:lineRule="auto"/>
              <w:ind w:firstLine="0" w:firstLineChars="0"/>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接口作用</w:t>
            </w:r>
          </w:p>
        </w:tc>
      </w:tr>
      <w:tr w14:paraId="1283B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shd w:val="clear" w:color="auto" w:fill="auto"/>
            <w:vAlign w:val="center"/>
          </w:tcPr>
          <w:p w14:paraId="779B04F5">
            <w:pPr>
              <w:pStyle w:val="11"/>
              <w:spacing w:line="240" w:lineRule="auto"/>
              <w:ind w:firstLine="0" w:firstLineChars="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Web服务接口</w:t>
            </w:r>
          </w:p>
        </w:tc>
        <w:tc>
          <w:tcPr>
            <w:tcW w:w="1984" w:type="dxa"/>
            <w:shd w:val="clear" w:color="auto" w:fill="auto"/>
            <w:vAlign w:val="center"/>
          </w:tcPr>
          <w:p w14:paraId="111A1555">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单点登录接口</w:t>
            </w:r>
          </w:p>
        </w:tc>
        <w:tc>
          <w:tcPr>
            <w:tcW w:w="5404" w:type="dxa"/>
            <w:shd w:val="clear" w:color="auto" w:fill="auto"/>
            <w:vAlign w:val="center"/>
          </w:tcPr>
          <w:p w14:paraId="30B107C4">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主要用于接收统一认证平台提供的公钥。</w:t>
            </w:r>
          </w:p>
        </w:tc>
      </w:tr>
    </w:tbl>
    <w:p w14:paraId="615B6A51">
      <w:pPr>
        <w:pStyle w:val="44"/>
        <w:numPr>
          <w:ilvl w:val="0"/>
          <w:numId w:val="12"/>
        </w:numPr>
        <w:spacing w:after="0" w:line="360" w:lineRule="auto"/>
        <w:contextualSpacing w:val="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数据交换枢纽</w:t>
      </w:r>
    </w:p>
    <w:tbl>
      <w:tblPr>
        <w:tblStyle w:val="24"/>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4"/>
        <w:gridCol w:w="1984"/>
        <w:gridCol w:w="5404"/>
      </w:tblGrid>
      <w:tr w14:paraId="2DC06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8" w:type="dxa"/>
            <w:gridSpan w:val="2"/>
            <w:shd w:val="clear" w:color="auto" w:fill="auto"/>
          </w:tcPr>
          <w:p w14:paraId="0B0A906D">
            <w:pPr>
              <w:pStyle w:val="11"/>
              <w:spacing w:line="240" w:lineRule="auto"/>
              <w:ind w:firstLine="0" w:firstLineChars="0"/>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接口名称</w:t>
            </w:r>
          </w:p>
        </w:tc>
        <w:tc>
          <w:tcPr>
            <w:tcW w:w="5404" w:type="dxa"/>
            <w:shd w:val="clear" w:color="auto" w:fill="auto"/>
          </w:tcPr>
          <w:p w14:paraId="2F5367C3">
            <w:pPr>
              <w:pStyle w:val="11"/>
              <w:spacing w:line="240" w:lineRule="auto"/>
              <w:ind w:firstLine="0" w:firstLineChars="0"/>
              <w:jc w:val="center"/>
              <w:rPr>
                <w:rFonts w:hint="eastAsia" w:ascii="仿宋" w:hAnsi="仿宋" w:eastAsia="仿宋" w:cs="Times New Roman"/>
                <w:b/>
                <w:color w:val="auto"/>
                <w:sz w:val="24"/>
                <w:szCs w:val="24"/>
                <w:highlight w:val="none"/>
              </w:rPr>
            </w:pPr>
            <w:r>
              <w:rPr>
                <w:rFonts w:ascii="仿宋" w:hAnsi="仿宋" w:eastAsia="仿宋" w:cs="Times New Roman"/>
                <w:b/>
                <w:color w:val="auto"/>
                <w:sz w:val="24"/>
                <w:szCs w:val="24"/>
                <w:highlight w:val="none"/>
              </w:rPr>
              <w:t>接口作用</w:t>
            </w:r>
          </w:p>
        </w:tc>
      </w:tr>
      <w:tr w14:paraId="2F249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Merge w:val="restart"/>
            <w:shd w:val="clear" w:color="auto" w:fill="auto"/>
            <w:vAlign w:val="center"/>
          </w:tcPr>
          <w:p w14:paraId="491E965D">
            <w:pPr>
              <w:pStyle w:val="11"/>
              <w:ind w:firstLine="0" w:firstLineChars="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数据库交换接口</w:t>
            </w:r>
          </w:p>
        </w:tc>
        <w:tc>
          <w:tcPr>
            <w:tcW w:w="1984" w:type="dxa"/>
            <w:shd w:val="clear" w:color="auto" w:fill="auto"/>
            <w:vAlign w:val="center"/>
          </w:tcPr>
          <w:p w14:paraId="357B38B7">
            <w:pPr>
              <w:pStyle w:val="62"/>
              <w:spacing w:line="360" w:lineRule="auto"/>
              <w:rPr>
                <w:rFonts w:hint="eastAsia" w:ascii="仿宋" w:hAnsi="仿宋" w:eastAsia="仿宋"/>
                <w:color w:val="auto"/>
                <w:sz w:val="24"/>
                <w:szCs w:val="24"/>
                <w:highlight w:val="none"/>
              </w:rPr>
            </w:pPr>
            <w:r>
              <w:rPr>
                <w:rFonts w:ascii="仿宋" w:hAnsi="仿宋" w:eastAsia="仿宋"/>
                <w:color w:val="auto"/>
                <w:sz w:val="24"/>
                <w:szCs w:val="24"/>
                <w:highlight w:val="none"/>
              </w:rPr>
              <w:t>数据库适配接口</w:t>
            </w:r>
          </w:p>
        </w:tc>
        <w:tc>
          <w:tcPr>
            <w:tcW w:w="5404" w:type="dxa"/>
            <w:shd w:val="clear" w:color="auto" w:fill="auto"/>
            <w:vAlign w:val="center"/>
          </w:tcPr>
          <w:p w14:paraId="533B9088">
            <w:pPr>
              <w:pStyle w:val="62"/>
              <w:spacing w:line="360" w:lineRule="auto"/>
              <w:rPr>
                <w:rFonts w:hint="eastAsia" w:ascii="仿宋" w:hAnsi="仿宋" w:eastAsia="仿宋"/>
                <w:color w:val="auto"/>
                <w:sz w:val="24"/>
                <w:szCs w:val="24"/>
                <w:highlight w:val="none"/>
              </w:rPr>
            </w:pPr>
            <w:r>
              <w:rPr>
                <w:rFonts w:ascii="仿宋" w:hAnsi="仿宋" w:eastAsia="仿宋"/>
                <w:color w:val="auto"/>
                <w:sz w:val="24"/>
                <w:szCs w:val="24"/>
                <w:highlight w:val="none"/>
              </w:rPr>
              <w:t>以数据库适配器方式进行数据库数据的采集交换</w:t>
            </w:r>
          </w:p>
        </w:tc>
      </w:tr>
      <w:tr w14:paraId="180DA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Merge w:val="continue"/>
            <w:shd w:val="clear" w:color="auto" w:fill="auto"/>
            <w:vAlign w:val="center"/>
          </w:tcPr>
          <w:p w14:paraId="2A184960">
            <w:pPr>
              <w:pStyle w:val="11"/>
              <w:ind w:firstLine="0" w:firstLineChars="0"/>
              <w:rPr>
                <w:rFonts w:hint="eastAsia" w:ascii="仿宋" w:hAnsi="仿宋" w:eastAsia="仿宋" w:cs="Times New Roman"/>
                <w:color w:val="auto"/>
                <w:sz w:val="24"/>
                <w:szCs w:val="24"/>
                <w:highlight w:val="none"/>
              </w:rPr>
            </w:pPr>
          </w:p>
        </w:tc>
        <w:tc>
          <w:tcPr>
            <w:tcW w:w="1984" w:type="dxa"/>
            <w:shd w:val="clear" w:color="auto" w:fill="auto"/>
            <w:vAlign w:val="center"/>
          </w:tcPr>
          <w:p w14:paraId="00C3BDE6">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消息接口</w:t>
            </w:r>
          </w:p>
        </w:tc>
        <w:tc>
          <w:tcPr>
            <w:tcW w:w="5404" w:type="dxa"/>
            <w:shd w:val="clear" w:color="auto" w:fill="auto"/>
            <w:vAlign w:val="center"/>
          </w:tcPr>
          <w:p w14:paraId="7058C1BF">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以消息方式将数据库交换请求消息发送到共享交换平台，共享交换平台根据交换请求完成数据库的交换</w:t>
            </w:r>
          </w:p>
        </w:tc>
      </w:tr>
      <w:tr w14:paraId="3B2E9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Merge w:val="continue"/>
            <w:shd w:val="clear" w:color="auto" w:fill="auto"/>
            <w:vAlign w:val="center"/>
          </w:tcPr>
          <w:p w14:paraId="5EF80D5F">
            <w:pPr>
              <w:pStyle w:val="11"/>
              <w:ind w:firstLine="480"/>
              <w:rPr>
                <w:rFonts w:hint="eastAsia" w:ascii="仿宋" w:hAnsi="仿宋" w:eastAsia="仿宋" w:cs="Times New Roman"/>
                <w:color w:val="auto"/>
                <w:sz w:val="24"/>
                <w:szCs w:val="24"/>
                <w:highlight w:val="none"/>
              </w:rPr>
            </w:pPr>
          </w:p>
        </w:tc>
        <w:tc>
          <w:tcPr>
            <w:tcW w:w="1984" w:type="dxa"/>
            <w:shd w:val="clear" w:color="auto" w:fill="auto"/>
            <w:vAlign w:val="center"/>
          </w:tcPr>
          <w:p w14:paraId="6D25DA5D">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Web服务接口</w:t>
            </w:r>
          </w:p>
        </w:tc>
        <w:tc>
          <w:tcPr>
            <w:tcW w:w="5404" w:type="dxa"/>
            <w:shd w:val="clear" w:color="auto" w:fill="auto"/>
            <w:vAlign w:val="center"/>
          </w:tcPr>
          <w:p w14:paraId="60370E5B">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以web服务方式将数据库交换请求信息发送到共享交换平台，共享交换平台根据交换请求完成数据库的交换</w:t>
            </w:r>
          </w:p>
        </w:tc>
      </w:tr>
      <w:tr w14:paraId="324A9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Merge w:val="restart"/>
            <w:shd w:val="clear" w:color="auto" w:fill="auto"/>
            <w:vAlign w:val="center"/>
          </w:tcPr>
          <w:p w14:paraId="05EB860A">
            <w:pPr>
              <w:pStyle w:val="11"/>
              <w:ind w:firstLine="0" w:firstLineChars="0"/>
              <w:rPr>
                <w:rFonts w:hint="eastAsia" w:ascii="仿宋" w:hAnsi="仿宋" w:eastAsia="仿宋" w:cs="Times New Roman"/>
                <w:color w:val="auto"/>
                <w:sz w:val="24"/>
                <w:szCs w:val="24"/>
                <w:highlight w:val="none"/>
              </w:rPr>
            </w:pPr>
            <w:r>
              <w:rPr>
                <w:rFonts w:ascii="仿宋" w:hAnsi="仿宋" w:eastAsia="仿宋" w:cs="Times New Roman"/>
                <w:color w:val="auto"/>
                <w:sz w:val="24"/>
                <w:szCs w:val="24"/>
                <w:highlight w:val="none"/>
              </w:rPr>
              <w:t>文件交换接口</w:t>
            </w:r>
          </w:p>
        </w:tc>
        <w:tc>
          <w:tcPr>
            <w:tcW w:w="1984" w:type="dxa"/>
            <w:shd w:val="clear" w:color="auto" w:fill="auto"/>
            <w:vAlign w:val="center"/>
          </w:tcPr>
          <w:p w14:paraId="3781E24F">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消息接口</w:t>
            </w:r>
          </w:p>
        </w:tc>
        <w:tc>
          <w:tcPr>
            <w:tcW w:w="5404" w:type="dxa"/>
            <w:shd w:val="clear" w:color="auto" w:fill="auto"/>
            <w:vAlign w:val="center"/>
          </w:tcPr>
          <w:p w14:paraId="0CD3BEC7">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以消息方式将文件交换请求消息发送到共享交换平台，共享交换平台根据交换请求完成文件的交换</w:t>
            </w:r>
          </w:p>
        </w:tc>
      </w:tr>
      <w:tr w14:paraId="1343A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vMerge w:val="continue"/>
            <w:shd w:val="clear" w:color="auto" w:fill="auto"/>
            <w:vAlign w:val="center"/>
          </w:tcPr>
          <w:p w14:paraId="726D8463">
            <w:pPr>
              <w:pStyle w:val="11"/>
              <w:spacing w:line="240" w:lineRule="auto"/>
              <w:ind w:firstLine="480"/>
              <w:rPr>
                <w:rFonts w:hint="eastAsia" w:ascii="仿宋" w:hAnsi="仿宋" w:eastAsia="仿宋" w:cs="Times New Roman"/>
                <w:color w:val="auto"/>
                <w:sz w:val="24"/>
                <w:szCs w:val="24"/>
                <w:highlight w:val="none"/>
              </w:rPr>
            </w:pPr>
          </w:p>
        </w:tc>
        <w:tc>
          <w:tcPr>
            <w:tcW w:w="1984" w:type="dxa"/>
            <w:shd w:val="clear" w:color="auto" w:fill="auto"/>
            <w:vAlign w:val="center"/>
          </w:tcPr>
          <w:p w14:paraId="6E7CD075">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Web页面交换接口</w:t>
            </w:r>
          </w:p>
        </w:tc>
        <w:tc>
          <w:tcPr>
            <w:tcW w:w="5404" w:type="dxa"/>
            <w:shd w:val="clear" w:color="auto" w:fill="auto"/>
            <w:vAlign w:val="center"/>
          </w:tcPr>
          <w:p w14:paraId="45561A81">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以web页面报送方式将文件交换请求发送到共享交换平台，共享交换平台根据交换请求完成文件的解析、加载入库；页面也可以提供下载服务，供部门下载相关数据文件。</w:t>
            </w:r>
          </w:p>
        </w:tc>
      </w:tr>
      <w:tr w14:paraId="5872D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dxa"/>
            <w:shd w:val="clear" w:color="auto" w:fill="auto"/>
            <w:vAlign w:val="center"/>
          </w:tcPr>
          <w:p w14:paraId="2553613C">
            <w:pPr>
              <w:pStyle w:val="62"/>
              <w:jc w:val="both"/>
              <w:rPr>
                <w:rFonts w:hint="eastAsia" w:ascii="仿宋" w:hAnsi="仿宋" w:eastAsia="仿宋"/>
                <w:color w:val="auto"/>
                <w:sz w:val="24"/>
                <w:szCs w:val="24"/>
                <w:highlight w:val="none"/>
              </w:rPr>
            </w:pPr>
            <w:r>
              <w:rPr>
                <w:rFonts w:ascii="仿宋" w:hAnsi="仿宋" w:eastAsia="仿宋"/>
                <w:color w:val="auto"/>
                <w:sz w:val="24"/>
                <w:szCs w:val="24"/>
                <w:highlight w:val="none"/>
              </w:rPr>
              <w:t>Web服务接口</w:t>
            </w:r>
          </w:p>
        </w:tc>
        <w:tc>
          <w:tcPr>
            <w:tcW w:w="1984" w:type="dxa"/>
            <w:shd w:val="clear" w:color="auto" w:fill="auto"/>
            <w:vAlign w:val="center"/>
          </w:tcPr>
          <w:p w14:paraId="0AC60DE5">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WebService接口</w:t>
            </w:r>
          </w:p>
        </w:tc>
        <w:tc>
          <w:tcPr>
            <w:tcW w:w="5404" w:type="dxa"/>
            <w:shd w:val="clear" w:color="auto" w:fill="auto"/>
            <w:vAlign w:val="center"/>
          </w:tcPr>
          <w:p w14:paraId="6B0FCE86">
            <w:pPr>
              <w:pStyle w:val="62"/>
              <w:rPr>
                <w:rFonts w:hint="eastAsia" w:ascii="仿宋" w:hAnsi="仿宋" w:eastAsia="仿宋"/>
                <w:color w:val="auto"/>
                <w:sz w:val="24"/>
                <w:szCs w:val="24"/>
                <w:highlight w:val="none"/>
              </w:rPr>
            </w:pPr>
            <w:r>
              <w:rPr>
                <w:rFonts w:ascii="仿宋" w:hAnsi="仿宋" w:eastAsia="仿宋"/>
                <w:color w:val="auto"/>
                <w:sz w:val="24"/>
                <w:szCs w:val="24"/>
                <w:highlight w:val="none"/>
              </w:rPr>
              <w:t>以WebService接口调用方式进行数据交换共享。</w:t>
            </w:r>
          </w:p>
        </w:tc>
      </w:tr>
    </w:tbl>
    <w:p w14:paraId="49AFC89C">
      <w:pPr>
        <w:pStyle w:val="44"/>
        <w:numPr>
          <w:ilvl w:val="0"/>
          <w:numId w:val="12"/>
        </w:numPr>
        <w:spacing w:after="0" w:line="360" w:lineRule="auto"/>
        <w:contextualSpacing w:val="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接口鉴权</w:t>
      </w:r>
    </w:p>
    <w:p w14:paraId="77AFE56E">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授权信息</w:t>
      </w:r>
    </w:p>
    <w:p w14:paraId="3201A838">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接口调用方申请注册调用接口，系统管理员分配userKey和secret给接口调用方，以下为举例信息。</w:t>
      </w:r>
    </w:p>
    <w:tbl>
      <w:tblPr>
        <w:tblStyle w:val="24"/>
        <w:tblW w:w="5000" w:type="pct"/>
        <w:tblInd w:w="63" w:type="dxa"/>
        <w:tblLayout w:type="autofit"/>
        <w:tblCellMar>
          <w:top w:w="0" w:type="dxa"/>
          <w:left w:w="108" w:type="dxa"/>
          <w:bottom w:w="0" w:type="dxa"/>
          <w:right w:w="108" w:type="dxa"/>
        </w:tblCellMar>
      </w:tblPr>
      <w:tblGrid>
        <w:gridCol w:w="2150"/>
        <w:gridCol w:w="697"/>
        <w:gridCol w:w="971"/>
        <w:gridCol w:w="4578"/>
      </w:tblGrid>
      <w:tr w14:paraId="1CE6944E">
        <w:tblPrEx>
          <w:tblCellMar>
            <w:top w:w="0" w:type="dxa"/>
            <w:left w:w="108" w:type="dxa"/>
            <w:bottom w:w="0" w:type="dxa"/>
            <w:right w:w="108" w:type="dxa"/>
          </w:tblCellMar>
        </w:tblPrEx>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049F3E8B">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参数名</w:t>
            </w:r>
          </w:p>
        </w:tc>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6C2F17EF">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必选</w:t>
            </w:r>
          </w:p>
        </w:tc>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65B629ED">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类型</w:t>
            </w:r>
          </w:p>
        </w:tc>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18735DEA">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说明</w:t>
            </w:r>
          </w:p>
        </w:tc>
      </w:tr>
      <w:tr w14:paraId="5158A928">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54D433F3">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申请单位</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6BD9D348">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是</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1E8B617A">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string</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64274395">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浙江公路水运工程监理有限公司</w:t>
            </w:r>
          </w:p>
        </w:tc>
      </w:tr>
      <w:tr w14:paraId="1F756A69">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515E514D">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申请日期</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2A61D4C9">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是</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062CE662">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string</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038EFC65">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2022-05-30 00:00:00</w:t>
            </w:r>
          </w:p>
        </w:tc>
      </w:tr>
      <w:tr w14:paraId="5F90946A">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76800F10">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授权IP地址</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29CEDF9C">
            <w:pPr>
              <w:rPr>
                <w:rFonts w:ascii="Times New Roman" w:hAnsi="Times New Roman" w:eastAsia="宋体" w:cs="Times New Roman"/>
                <w:color w:val="auto"/>
                <w:kern w:val="0"/>
                <w:sz w:val="20"/>
                <w:szCs w:val="20"/>
                <w:highlight w:val="none"/>
              </w:rPr>
            </w:pP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006534D3">
            <w:pPr>
              <w:rPr>
                <w:rFonts w:ascii="Times New Roman" w:hAnsi="Times New Roman" w:eastAsia="宋体" w:cs="Times New Roman"/>
                <w:color w:val="auto"/>
                <w:kern w:val="0"/>
                <w:sz w:val="20"/>
                <w:szCs w:val="20"/>
                <w:highlight w:val="none"/>
              </w:rPr>
            </w:pP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45A82B43">
            <w:pPr>
              <w:rPr>
                <w:rFonts w:ascii="Times New Roman" w:hAnsi="Times New Roman" w:eastAsia="宋体" w:cs="Times New Roman"/>
                <w:color w:val="auto"/>
                <w:kern w:val="0"/>
                <w:sz w:val="20"/>
                <w:szCs w:val="20"/>
                <w:highlight w:val="none"/>
              </w:rPr>
            </w:pPr>
          </w:p>
        </w:tc>
      </w:tr>
      <w:tr w14:paraId="5240D1EB">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489A7E06">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userKey</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69E18C03">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是</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0CC53525">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string</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04948F0E">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10002</w:t>
            </w:r>
          </w:p>
        </w:tc>
      </w:tr>
      <w:tr w14:paraId="1DBBF545">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1BC2094D">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授权秘钥secret</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7DEB9C25">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是</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52D23B17">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string</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6631C0BD">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4028e5cc811396dd01811396dd790000</w:t>
            </w:r>
          </w:p>
        </w:tc>
      </w:tr>
    </w:tbl>
    <w:p w14:paraId="4EBD0D0A">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接口认证说明</w:t>
      </w:r>
    </w:p>
    <w:p w14:paraId="45AA2295">
      <w:pPr>
        <w:spacing w:after="0" w:line="600" w:lineRule="exact"/>
        <w:ind w:firstLine="640" w:firstLineChars="200"/>
        <w:rPr>
          <w:rFonts w:hint="eastAsia" w:ascii="宋体" w:hAnsi="宋体" w:eastAsia="宋体" w:cs="宋体"/>
          <w:color w:val="auto"/>
          <w:kern w:val="0"/>
          <w:sz w:val="24"/>
          <w:szCs w:val="24"/>
          <w:highlight w:val="none"/>
        </w:rPr>
      </w:pPr>
      <w:r>
        <w:rPr>
          <w:rFonts w:hint="eastAsia" w:ascii="仿宋" w:hAnsi="仿宋" w:eastAsia="仿宋" w:cs="Times New Roman"/>
          <w:color w:val="auto"/>
          <w:sz w:val="32"/>
          <w:szCs w:val="32"/>
          <w:highlight w:val="none"/>
        </w:rPr>
        <w:t>用户接口除必要的业务参数之外，需要额外传的认证参数（参数均为必填），具体规则如下表所示。</w:t>
      </w:r>
      <w:r>
        <w:rPr>
          <w:rFonts w:hint="eastAsia" w:ascii="宋体" w:hAnsi="宋体" w:eastAsia="宋体" w:cs="宋体"/>
          <w:color w:val="auto"/>
          <w:kern w:val="0"/>
          <w:sz w:val="24"/>
          <w:szCs w:val="24"/>
          <w:highlight w:val="none"/>
        </w:rPr>
        <w:t xml:space="preserve"> </w:t>
      </w:r>
    </w:p>
    <w:tbl>
      <w:tblPr>
        <w:tblStyle w:val="24"/>
        <w:tblW w:w="5000" w:type="pct"/>
        <w:tblInd w:w="63" w:type="dxa"/>
        <w:tblLayout w:type="autofit"/>
        <w:tblCellMar>
          <w:top w:w="0" w:type="dxa"/>
          <w:left w:w="108" w:type="dxa"/>
          <w:bottom w:w="0" w:type="dxa"/>
          <w:right w:w="108" w:type="dxa"/>
        </w:tblCellMar>
      </w:tblPr>
      <w:tblGrid>
        <w:gridCol w:w="1075"/>
        <w:gridCol w:w="7321"/>
      </w:tblGrid>
      <w:tr w14:paraId="3BC07B8F">
        <w:tblPrEx>
          <w:tblCellMar>
            <w:top w:w="0" w:type="dxa"/>
            <w:left w:w="108" w:type="dxa"/>
            <w:bottom w:w="0" w:type="dxa"/>
            <w:right w:w="108" w:type="dxa"/>
          </w:tblCellMar>
        </w:tblPrEx>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2AFD81D3">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参数</w:t>
            </w:r>
          </w:p>
        </w:tc>
        <w:tc>
          <w:tcPr>
            <w:tcW w:w="0" w:type="auto"/>
            <w:tcBorders>
              <w:top w:val="nil"/>
              <w:left w:val="nil"/>
              <w:bottom w:val="nil"/>
              <w:right w:val="nil"/>
            </w:tcBorders>
            <w:shd w:val="clear" w:color="auto" w:fill="0088CC"/>
            <w:tcMar>
              <w:top w:w="45" w:type="dxa"/>
              <w:left w:w="45" w:type="dxa"/>
              <w:bottom w:w="45" w:type="dxa"/>
              <w:right w:w="45" w:type="dxa"/>
            </w:tcMar>
            <w:vAlign w:val="center"/>
          </w:tcPr>
          <w:p w14:paraId="5A6A515E">
            <w:pPr>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参数说明</w:t>
            </w:r>
          </w:p>
        </w:tc>
      </w:tr>
      <w:tr w14:paraId="0BBB8746">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6250F2D1">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userKey</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56801BE8">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由系统分配给用户的userKey</w:t>
            </w:r>
          </w:p>
        </w:tc>
      </w:tr>
      <w:tr w14:paraId="61ACEBF8">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344142CD">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time</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46AC790E">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时间戳，格式为yyyyMMddhhmmssSSS，时间不可超过当前时间</w:t>
            </w:r>
          </w:p>
        </w:tc>
      </w:tr>
      <w:tr w14:paraId="4A2ED62E">
        <w:tblPrEx>
          <w:tblCellMar>
            <w:top w:w="0" w:type="dxa"/>
            <w:left w:w="108" w:type="dxa"/>
            <w:bottom w:w="0" w:type="dxa"/>
            <w:right w:w="108" w:type="dxa"/>
          </w:tblCellMar>
        </w:tblPrEx>
        <w:tc>
          <w:tcPr>
            <w:tcW w:w="0" w:type="auto"/>
            <w:tcBorders>
              <w:top w:val="single" w:color="CCCCCC" w:sz="6" w:space="0"/>
              <w:left w:val="single" w:color="CCCCCC" w:sz="6" w:space="0"/>
              <w:bottom w:val="single" w:color="CCCCCC" w:sz="6" w:space="0"/>
              <w:right w:val="single" w:color="CCCCCC" w:sz="6" w:space="0"/>
            </w:tcBorders>
            <w:shd w:val="clear" w:color="auto" w:fill="auto"/>
            <w:tcMar>
              <w:top w:w="45" w:type="dxa"/>
              <w:left w:w="45" w:type="dxa"/>
              <w:bottom w:w="45" w:type="dxa"/>
              <w:right w:w="45" w:type="dxa"/>
            </w:tcMar>
            <w:vAlign w:val="center"/>
          </w:tcPr>
          <w:p w14:paraId="41E579C9">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sign</w:t>
            </w:r>
          </w:p>
        </w:tc>
        <w:tc>
          <w:tcPr>
            <w:tcW w:w="0" w:type="auto"/>
            <w:tcBorders>
              <w:top w:val="single" w:color="CCCCCC" w:sz="6" w:space="0"/>
              <w:left w:val="nil"/>
              <w:bottom w:val="single" w:color="CCCCCC" w:sz="6" w:space="0"/>
              <w:right w:val="single" w:color="CCCCCC" w:sz="6" w:space="0"/>
            </w:tcBorders>
            <w:shd w:val="clear" w:color="auto" w:fill="auto"/>
            <w:tcMar>
              <w:top w:w="45" w:type="dxa"/>
              <w:left w:w="45" w:type="dxa"/>
              <w:bottom w:w="45" w:type="dxa"/>
              <w:right w:w="45" w:type="dxa"/>
            </w:tcMar>
            <w:vAlign w:val="center"/>
          </w:tcPr>
          <w:p w14:paraId="1B7DF50E">
            <w:pP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MD5(userKey + secret + time)</w:t>
            </w:r>
          </w:p>
        </w:tc>
      </w:tr>
    </w:tbl>
    <w:p w14:paraId="01DB701E">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请注意以下几点：</w:t>
      </w:r>
    </w:p>
    <w:p w14:paraId="5A68D45C">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sign是通过将userKey、secret和time进行拼接后使用MD5加密生成的，长度为32位，大小写均可。</w:t>
      </w:r>
    </w:p>
    <w:p w14:paraId="02A7C6BD">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sign的有效期为1天。</w:t>
      </w:r>
    </w:p>
    <w:p w14:paraId="797FE7B2">
      <w:pPr>
        <w:spacing w:after="0" w:line="600" w:lineRule="exact"/>
        <w:rPr>
          <w:rFonts w:hint="eastAsia" w:ascii="仿宋" w:hAnsi="仿宋" w:eastAsia="仿宋" w:cs="Times New Roman"/>
          <w:color w:val="auto"/>
          <w:sz w:val="32"/>
          <w:szCs w:val="32"/>
          <w:highlight w:val="none"/>
        </w:rPr>
      </w:pPr>
    </w:p>
    <w:p w14:paraId="3AE889DC">
      <w:pPr>
        <w:widowControl/>
        <w:spacing w:after="0" w:line="240" w:lineRule="auto"/>
        <w:jc w:val="lef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05FD8096">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183" w:name="_Toc24477"/>
      <w:bookmarkStart w:id="184" w:name="_Toc5218"/>
      <w:bookmarkStart w:id="185" w:name="_Toc29527"/>
      <w:r>
        <w:rPr>
          <w:rFonts w:ascii="仿宋" w:hAnsi="仿宋" w:eastAsia="仿宋" w:cs="Times New Roman"/>
          <w:b/>
          <w:bCs/>
          <w:color w:val="auto"/>
          <w:kern w:val="44"/>
          <w:sz w:val="44"/>
          <w:szCs w:val="44"/>
          <w:highlight w:val="none"/>
        </w:rPr>
        <w:t>智能化要素</w:t>
      </w:r>
      <w:bookmarkEnd w:id="183"/>
      <w:bookmarkEnd w:id="184"/>
      <w:bookmarkEnd w:id="185"/>
    </w:p>
    <w:p w14:paraId="693AAECA">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186" w:name="_Toc180074952"/>
      <w:bookmarkEnd w:id="186"/>
      <w:bookmarkStart w:id="187" w:name="_Toc180074835"/>
      <w:bookmarkEnd w:id="187"/>
      <w:bookmarkStart w:id="188" w:name="_Toc177743793"/>
      <w:bookmarkEnd w:id="188"/>
      <w:bookmarkStart w:id="189" w:name="_Toc177737210"/>
      <w:bookmarkEnd w:id="189"/>
      <w:bookmarkStart w:id="190" w:name="_Toc177737148"/>
      <w:bookmarkEnd w:id="190"/>
      <w:bookmarkStart w:id="191" w:name="_Toc657"/>
      <w:bookmarkStart w:id="192" w:name="_Toc22165"/>
    </w:p>
    <w:p w14:paraId="0B50735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93" w:name="_Toc23451"/>
      <w:r>
        <w:rPr>
          <w:rFonts w:ascii="仿宋" w:hAnsi="仿宋" w:eastAsia="仿宋" w:cs="Times New Roman"/>
          <w:b/>
          <w:bCs/>
          <w:color w:val="auto"/>
          <w:sz w:val="32"/>
          <w:szCs w:val="32"/>
          <w:highlight w:val="none"/>
        </w:rPr>
        <w:t>组件清单</w:t>
      </w:r>
      <w:bookmarkEnd w:id="191"/>
      <w:bookmarkEnd w:id="192"/>
      <w:bookmarkEnd w:id="193"/>
    </w:p>
    <w:p w14:paraId="2865C964">
      <w:pPr>
        <w:pStyle w:val="51"/>
        <w:rPr>
          <w:rFonts w:ascii="仿宋" w:hAnsi="仿宋" w:eastAsia="仿宋"/>
          <w:color w:val="auto"/>
          <w:highlight w:val="none"/>
        </w:rPr>
      </w:pPr>
    </w:p>
    <w:tbl>
      <w:tblPr>
        <w:tblStyle w:val="25"/>
        <w:tblW w:w="0" w:type="auto"/>
        <w:tblInd w:w="-7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5116"/>
        <w:gridCol w:w="3755"/>
      </w:tblGrid>
      <w:tr w14:paraId="2DF14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shd w:val="clear" w:color="auto" w:fill="BEBEBE"/>
          </w:tcPr>
          <w:p w14:paraId="63EBD3AC">
            <w:pPr>
              <w:pStyle w:val="21"/>
              <w:autoSpaceDE w:val="0"/>
              <w:spacing w:after="0" w:line="600" w:lineRule="exact"/>
              <w:jc w:val="center"/>
              <w:rPr>
                <w:rFonts w:hint="eastAsia" w:ascii="仿宋" w:hAnsi="仿宋" w:eastAsia="仿宋" w:cs="Times New Roman"/>
                <w:b/>
                <w:color w:val="auto"/>
                <w:kern w:val="0"/>
                <w:sz w:val="32"/>
                <w:szCs w:val="32"/>
                <w:highlight w:val="none"/>
                <w:lang w:bidi="ar"/>
              </w:rPr>
            </w:pPr>
            <w:r>
              <w:rPr>
                <w:rFonts w:ascii="仿宋" w:hAnsi="仿宋" w:eastAsia="仿宋" w:cs="Times New Roman"/>
                <w:b/>
                <w:color w:val="auto"/>
                <w:sz w:val="32"/>
                <w:szCs w:val="32"/>
                <w:highlight w:val="none"/>
                <w:lang w:bidi="ar"/>
              </w:rPr>
              <w:t>序号</w:t>
            </w:r>
          </w:p>
        </w:tc>
        <w:tc>
          <w:tcPr>
            <w:tcW w:w="5116" w:type="dxa"/>
            <w:shd w:val="clear" w:color="auto" w:fill="BEBEBE"/>
          </w:tcPr>
          <w:p w14:paraId="69245F39">
            <w:pPr>
              <w:pStyle w:val="21"/>
              <w:autoSpaceDE w:val="0"/>
              <w:spacing w:after="0" w:line="600" w:lineRule="exact"/>
              <w:jc w:val="center"/>
              <w:rPr>
                <w:rFonts w:hint="eastAsia" w:ascii="仿宋" w:hAnsi="仿宋" w:eastAsia="仿宋" w:cs="Times New Roman"/>
                <w:b/>
                <w:color w:val="auto"/>
                <w:kern w:val="0"/>
                <w:sz w:val="32"/>
                <w:szCs w:val="32"/>
                <w:highlight w:val="none"/>
                <w:lang w:bidi="ar"/>
              </w:rPr>
            </w:pPr>
            <w:r>
              <w:rPr>
                <w:rFonts w:ascii="仿宋" w:hAnsi="仿宋" w:eastAsia="仿宋" w:cs="Times New Roman"/>
                <w:b/>
                <w:color w:val="auto"/>
                <w:sz w:val="32"/>
                <w:szCs w:val="32"/>
                <w:highlight w:val="none"/>
                <w:lang w:bidi="ar"/>
              </w:rPr>
              <w:t>使用组件名称</w:t>
            </w:r>
          </w:p>
          <w:p w14:paraId="33660392">
            <w:pPr>
              <w:pStyle w:val="21"/>
              <w:autoSpaceDE w:val="0"/>
              <w:spacing w:after="0" w:line="600" w:lineRule="exact"/>
              <w:jc w:val="center"/>
              <w:rPr>
                <w:rFonts w:hint="eastAsia" w:ascii="仿宋" w:hAnsi="仿宋" w:eastAsia="仿宋" w:cs="Times New Roman"/>
                <w:b/>
                <w:color w:val="auto"/>
                <w:kern w:val="0"/>
                <w:sz w:val="32"/>
                <w:szCs w:val="32"/>
                <w:highlight w:val="none"/>
                <w:lang w:bidi="ar"/>
              </w:rPr>
            </w:pPr>
            <w:r>
              <w:rPr>
                <w:rFonts w:ascii="仿宋" w:hAnsi="仿宋" w:eastAsia="仿宋" w:cs="Times New Roman"/>
                <w:bCs/>
                <w:color w:val="auto"/>
                <w:sz w:val="32"/>
                <w:szCs w:val="32"/>
                <w:highlight w:val="none"/>
                <w:lang w:eastAsia="zh-Hans" w:bidi="ar"/>
              </w:rPr>
              <w:t>（</w:t>
            </w:r>
            <w:r>
              <w:rPr>
                <w:rFonts w:ascii="仿宋" w:hAnsi="仿宋" w:eastAsia="仿宋" w:cs="Times New Roman"/>
                <w:bCs/>
                <w:color w:val="auto"/>
                <w:sz w:val="32"/>
                <w:szCs w:val="32"/>
                <w:highlight w:val="none"/>
                <w:lang w:bidi="ar"/>
              </w:rPr>
              <w:t>在</w:t>
            </w:r>
            <w:r>
              <w:rPr>
                <w:rFonts w:ascii="仿宋" w:hAnsi="仿宋" w:eastAsia="仿宋" w:cs="Times New Roman"/>
                <w:color w:val="auto"/>
                <w:sz w:val="32"/>
                <w:szCs w:val="32"/>
                <w:highlight w:val="none"/>
                <w:lang w:eastAsia="zh-Hans" w:bidi="ar"/>
              </w:rPr>
              <w:t>IRS</w:t>
            </w:r>
            <w:r>
              <w:rPr>
                <w:rFonts w:ascii="仿宋" w:hAnsi="仿宋" w:eastAsia="仿宋" w:cs="Times New Roman"/>
                <w:color w:val="auto"/>
                <w:sz w:val="32"/>
                <w:szCs w:val="32"/>
                <w:highlight w:val="none"/>
                <w:lang w:bidi="ar"/>
              </w:rPr>
              <w:t>组件目录</w:t>
            </w:r>
            <w:r>
              <w:rPr>
                <w:rFonts w:ascii="仿宋" w:hAnsi="仿宋" w:eastAsia="仿宋" w:cs="Times New Roman"/>
                <w:color w:val="auto"/>
                <w:sz w:val="32"/>
                <w:szCs w:val="32"/>
                <w:highlight w:val="none"/>
                <w:lang w:eastAsia="zh-Hans" w:bidi="ar"/>
              </w:rPr>
              <w:t>中查询</w:t>
            </w:r>
            <w:r>
              <w:rPr>
                <w:rFonts w:ascii="仿宋" w:hAnsi="仿宋" w:eastAsia="仿宋" w:cs="Times New Roman"/>
                <w:b/>
                <w:color w:val="auto"/>
                <w:sz w:val="32"/>
                <w:szCs w:val="32"/>
                <w:highlight w:val="none"/>
                <w:lang w:eastAsia="zh-Hans" w:bidi="ar"/>
              </w:rPr>
              <w:t>）</w:t>
            </w:r>
          </w:p>
        </w:tc>
        <w:tc>
          <w:tcPr>
            <w:tcW w:w="3755" w:type="dxa"/>
            <w:shd w:val="clear" w:color="auto" w:fill="BEBEBE"/>
          </w:tcPr>
          <w:p w14:paraId="6BA3C729">
            <w:pPr>
              <w:pStyle w:val="21"/>
              <w:autoSpaceDE w:val="0"/>
              <w:spacing w:after="0" w:line="600" w:lineRule="exact"/>
              <w:jc w:val="center"/>
              <w:rPr>
                <w:rFonts w:hint="eastAsia" w:ascii="仿宋" w:hAnsi="仿宋" w:eastAsia="仿宋" w:cs="Times New Roman"/>
                <w:b/>
                <w:color w:val="auto"/>
                <w:kern w:val="0"/>
                <w:sz w:val="32"/>
                <w:szCs w:val="32"/>
                <w:highlight w:val="none"/>
                <w:lang w:bidi="ar"/>
              </w:rPr>
            </w:pPr>
            <w:r>
              <w:rPr>
                <w:rFonts w:ascii="仿宋" w:hAnsi="仿宋" w:eastAsia="仿宋" w:cs="Times New Roman"/>
                <w:b/>
                <w:color w:val="auto"/>
                <w:sz w:val="32"/>
                <w:szCs w:val="32"/>
                <w:highlight w:val="none"/>
                <w:lang w:eastAsia="zh-Hans" w:bidi="ar"/>
              </w:rPr>
              <w:t>组件</w:t>
            </w:r>
            <w:r>
              <w:rPr>
                <w:rFonts w:ascii="仿宋" w:hAnsi="仿宋" w:eastAsia="仿宋" w:cs="Times New Roman"/>
                <w:b/>
                <w:color w:val="auto"/>
                <w:sz w:val="32"/>
                <w:szCs w:val="32"/>
                <w:highlight w:val="none"/>
                <w:lang w:bidi="ar"/>
              </w:rPr>
              <w:t>类型</w:t>
            </w:r>
          </w:p>
          <w:p w14:paraId="051C68E8">
            <w:pPr>
              <w:pStyle w:val="21"/>
              <w:autoSpaceDE w:val="0"/>
              <w:spacing w:after="0" w:line="600" w:lineRule="exact"/>
              <w:jc w:val="center"/>
              <w:rPr>
                <w:rFonts w:hint="eastAsia" w:ascii="仿宋" w:hAnsi="仿宋" w:eastAsia="仿宋" w:cs="Times New Roman"/>
                <w:b/>
                <w:color w:val="auto"/>
                <w:kern w:val="0"/>
                <w:sz w:val="32"/>
                <w:szCs w:val="32"/>
                <w:highlight w:val="none"/>
                <w:lang w:eastAsia="zh-Hans" w:bidi="ar"/>
              </w:rPr>
            </w:pPr>
            <w:r>
              <w:rPr>
                <w:rFonts w:ascii="仿宋" w:hAnsi="仿宋" w:eastAsia="仿宋" w:cs="Times New Roman"/>
                <w:b/>
                <w:color w:val="auto"/>
                <w:sz w:val="32"/>
                <w:szCs w:val="32"/>
                <w:highlight w:val="none"/>
                <w:lang w:bidi="ar"/>
              </w:rPr>
              <w:t>（强制类/推荐类）</w:t>
            </w:r>
          </w:p>
        </w:tc>
      </w:tr>
      <w:tr w14:paraId="6547D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tcPr>
          <w:p w14:paraId="1D2D2FDF">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1</w:t>
            </w:r>
          </w:p>
        </w:tc>
        <w:tc>
          <w:tcPr>
            <w:tcW w:w="5116" w:type="dxa"/>
          </w:tcPr>
          <w:p w14:paraId="69924A83">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组织架构和用户体系（浙政钉）</w:t>
            </w:r>
          </w:p>
        </w:tc>
        <w:tc>
          <w:tcPr>
            <w:tcW w:w="3755" w:type="dxa"/>
          </w:tcPr>
          <w:p w14:paraId="2C416EE4">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强制类</w:t>
            </w:r>
          </w:p>
        </w:tc>
      </w:tr>
      <w:tr w14:paraId="2A532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vAlign w:val="center"/>
          </w:tcPr>
          <w:p w14:paraId="10497EC5">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2</w:t>
            </w:r>
          </w:p>
        </w:tc>
        <w:tc>
          <w:tcPr>
            <w:tcW w:w="5116" w:type="dxa"/>
            <w:vAlign w:val="center"/>
          </w:tcPr>
          <w:p w14:paraId="6E90FDFE">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浙政钉扫码登录</w:t>
            </w:r>
          </w:p>
        </w:tc>
        <w:tc>
          <w:tcPr>
            <w:tcW w:w="3755" w:type="dxa"/>
            <w:vAlign w:val="center"/>
          </w:tcPr>
          <w:p w14:paraId="4B6CDC7A">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推荐类</w:t>
            </w:r>
          </w:p>
        </w:tc>
      </w:tr>
      <w:tr w14:paraId="50C95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vAlign w:val="center"/>
          </w:tcPr>
          <w:p w14:paraId="52276BFA">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hint="eastAsia" w:ascii="仿宋" w:hAnsi="仿宋" w:eastAsia="仿宋" w:cs="Times New Roman"/>
                <w:color w:val="auto"/>
                <w:sz w:val="28"/>
                <w:szCs w:val="28"/>
                <w:highlight w:val="none"/>
                <w:lang w:bidi="ar"/>
              </w:rPr>
              <w:t>3</w:t>
            </w:r>
          </w:p>
        </w:tc>
        <w:tc>
          <w:tcPr>
            <w:tcW w:w="5116" w:type="dxa"/>
            <w:vAlign w:val="center"/>
          </w:tcPr>
          <w:p w14:paraId="4D662C83">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hint="eastAsia" w:ascii="仿宋" w:hAnsi="仿宋" w:eastAsia="仿宋" w:cs="Times New Roman"/>
                <w:color w:val="auto"/>
                <w:sz w:val="28"/>
                <w:szCs w:val="28"/>
                <w:highlight w:val="none"/>
                <w:lang w:bidi="ar"/>
              </w:rPr>
              <w:t>"浙里办"身份核验</w:t>
            </w:r>
          </w:p>
        </w:tc>
        <w:tc>
          <w:tcPr>
            <w:tcW w:w="3755" w:type="dxa"/>
            <w:vAlign w:val="center"/>
          </w:tcPr>
          <w:p w14:paraId="63C67D7F">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强制类</w:t>
            </w:r>
          </w:p>
        </w:tc>
      </w:tr>
      <w:tr w14:paraId="7EEC7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vAlign w:val="center"/>
          </w:tcPr>
          <w:p w14:paraId="582E0962">
            <w:pPr>
              <w:pStyle w:val="21"/>
              <w:autoSpaceDE w:val="0"/>
              <w:spacing w:after="0" w:line="600" w:lineRule="exact"/>
              <w:jc w:val="center"/>
              <w:rPr>
                <w:rFonts w:hint="eastAsia" w:ascii="仿宋" w:hAnsi="仿宋" w:eastAsia="仿宋" w:cs="Times New Roman"/>
                <w:color w:val="auto"/>
                <w:sz w:val="28"/>
                <w:szCs w:val="28"/>
                <w:highlight w:val="none"/>
                <w:lang w:bidi="ar"/>
              </w:rPr>
            </w:pPr>
            <w:r>
              <w:rPr>
                <w:rFonts w:hint="eastAsia" w:ascii="仿宋" w:hAnsi="仿宋" w:eastAsia="仿宋" w:cs="Times New Roman"/>
                <w:color w:val="auto"/>
                <w:sz w:val="28"/>
                <w:szCs w:val="28"/>
                <w:highlight w:val="none"/>
                <w:lang w:bidi="ar"/>
              </w:rPr>
              <w:t>4</w:t>
            </w:r>
          </w:p>
        </w:tc>
        <w:tc>
          <w:tcPr>
            <w:tcW w:w="5116" w:type="dxa"/>
            <w:vAlign w:val="center"/>
          </w:tcPr>
          <w:p w14:paraId="792AE12B">
            <w:pPr>
              <w:pStyle w:val="21"/>
              <w:autoSpaceDE w:val="0"/>
              <w:spacing w:after="0" w:line="600" w:lineRule="exact"/>
              <w:jc w:val="center"/>
              <w:rPr>
                <w:rFonts w:hint="eastAsia" w:ascii="仿宋" w:hAnsi="仿宋" w:eastAsia="仿宋" w:cs="Times New Roman"/>
                <w:color w:val="auto"/>
                <w:sz w:val="28"/>
                <w:szCs w:val="28"/>
                <w:highlight w:val="none"/>
                <w:lang w:bidi="ar"/>
              </w:rPr>
            </w:pPr>
            <w:r>
              <w:rPr>
                <w:rFonts w:hint="eastAsia" w:ascii="仿宋" w:hAnsi="仿宋" w:eastAsia="仿宋" w:cs="Times New Roman"/>
                <w:color w:val="auto"/>
                <w:sz w:val="28"/>
                <w:szCs w:val="28"/>
                <w:highlight w:val="none"/>
                <w:lang w:bidi="ar"/>
              </w:rPr>
              <w:t>"浙里办"统一用户</w:t>
            </w:r>
          </w:p>
        </w:tc>
        <w:tc>
          <w:tcPr>
            <w:tcW w:w="3755" w:type="dxa"/>
            <w:vAlign w:val="center"/>
          </w:tcPr>
          <w:p w14:paraId="7D0D3663">
            <w:pPr>
              <w:pStyle w:val="21"/>
              <w:autoSpaceDE w:val="0"/>
              <w:spacing w:after="0" w:line="600" w:lineRule="exact"/>
              <w:jc w:val="center"/>
              <w:rPr>
                <w:rFonts w:hint="eastAsia" w:ascii="仿宋" w:hAnsi="仿宋" w:eastAsia="仿宋" w:cs="Times New Roman"/>
                <w:color w:val="auto"/>
                <w:sz w:val="28"/>
                <w:szCs w:val="28"/>
                <w:highlight w:val="none"/>
                <w:lang w:bidi="ar"/>
              </w:rPr>
            </w:pPr>
            <w:r>
              <w:rPr>
                <w:rFonts w:ascii="仿宋" w:hAnsi="仿宋" w:eastAsia="仿宋" w:cs="Times New Roman"/>
                <w:color w:val="auto"/>
                <w:sz w:val="28"/>
                <w:szCs w:val="28"/>
                <w:highlight w:val="none"/>
                <w:lang w:bidi="ar"/>
              </w:rPr>
              <w:t>强制类</w:t>
            </w:r>
          </w:p>
        </w:tc>
      </w:tr>
      <w:tr w14:paraId="39486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shd w:val="clear" w:color="auto" w:fill="BEBEBE"/>
          </w:tcPr>
          <w:p w14:paraId="50F4DE93">
            <w:pPr>
              <w:pStyle w:val="21"/>
              <w:autoSpaceDE w:val="0"/>
              <w:spacing w:after="0" w:line="600" w:lineRule="exact"/>
              <w:jc w:val="center"/>
              <w:rPr>
                <w:rFonts w:hint="eastAsia" w:ascii="仿宋" w:hAnsi="仿宋" w:eastAsia="仿宋" w:cs="Times New Roman"/>
                <w:b/>
                <w:color w:val="auto"/>
                <w:kern w:val="0"/>
                <w:sz w:val="32"/>
                <w:szCs w:val="32"/>
                <w:highlight w:val="none"/>
                <w:lang w:eastAsia="zh-Hans" w:bidi="ar"/>
              </w:rPr>
            </w:pPr>
          </w:p>
        </w:tc>
        <w:tc>
          <w:tcPr>
            <w:tcW w:w="5116" w:type="dxa"/>
            <w:shd w:val="clear" w:color="auto" w:fill="BEBEBE"/>
          </w:tcPr>
          <w:p w14:paraId="5D0B8225">
            <w:pPr>
              <w:pStyle w:val="21"/>
              <w:autoSpaceDE w:val="0"/>
              <w:spacing w:after="0" w:line="600" w:lineRule="exact"/>
              <w:jc w:val="center"/>
              <w:rPr>
                <w:rFonts w:hint="eastAsia" w:ascii="仿宋" w:hAnsi="仿宋" w:eastAsia="仿宋" w:cs="Times New Roman"/>
                <w:b/>
                <w:color w:val="auto"/>
                <w:kern w:val="0"/>
                <w:sz w:val="32"/>
                <w:szCs w:val="32"/>
                <w:highlight w:val="none"/>
                <w:lang w:eastAsia="zh-Hans" w:bidi="ar"/>
              </w:rPr>
            </w:pPr>
            <w:r>
              <w:rPr>
                <w:rFonts w:ascii="仿宋" w:hAnsi="仿宋" w:eastAsia="仿宋" w:cs="Times New Roman"/>
                <w:b/>
                <w:color w:val="auto"/>
                <w:sz w:val="32"/>
                <w:szCs w:val="32"/>
                <w:highlight w:val="none"/>
                <w:lang w:bidi="ar"/>
              </w:rPr>
              <w:t>拟</w:t>
            </w:r>
            <w:r>
              <w:rPr>
                <w:rFonts w:ascii="仿宋" w:hAnsi="仿宋" w:eastAsia="仿宋" w:cs="Times New Roman"/>
                <w:b/>
                <w:color w:val="auto"/>
                <w:sz w:val="32"/>
                <w:szCs w:val="32"/>
                <w:highlight w:val="none"/>
                <w:lang w:eastAsia="zh-Hans" w:bidi="ar"/>
              </w:rPr>
              <w:t>贡献</w:t>
            </w:r>
            <w:r>
              <w:rPr>
                <w:rFonts w:ascii="仿宋" w:hAnsi="仿宋" w:eastAsia="仿宋" w:cs="Times New Roman"/>
                <w:b/>
                <w:color w:val="auto"/>
                <w:sz w:val="32"/>
                <w:szCs w:val="32"/>
                <w:highlight w:val="none"/>
                <w:lang w:bidi="ar"/>
              </w:rPr>
              <w:t>（上架）</w:t>
            </w:r>
            <w:r>
              <w:rPr>
                <w:rFonts w:ascii="仿宋" w:hAnsi="仿宋" w:eastAsia="仿宋" w:cs="Times New Roman"/>
                <w:b/>
                <w:color w:val="auto"/>
                <w:sz w:val="32"/>
                <w:szCs w:val="32"/>
                <w:highlight w:val="none"/>
                <w:lang w:eastAsia="zh-Hans" w:bidi="ar"/>
              </w:rPr>
              <w:t>组件名称</w:t>
            </w:r>
          </w:p>
        </w:tc>
        <w:tc>
          <w:tcPr>
            <w:tcW w:w="3755" w:type="dxa"/>
            <w:shd w:val="clear" w:color="auto" w:fill="BEBEBE"/>
          </w:tcPr>
          <w:p w14:paraId="1D8CAFFE">
            <w:pPr>
              <w:pStyle w:val="21"/>
              <w:autoSpaceDE w:val="0"/>
              <w:spacing w:after="0" w:line="600" w:lineRule="exact"/>
              <w:jc w:val="center"/>
              <w:rPr>
                <w:rFonts w:hint="eastAsia" w:ascii="仿宋" w:hAnsi="仿宋" w:eastAsia="仿宋" w:cs="Times New Roman"/>
                <w:b/>
                <w:color w:val="auto"/>
                <w:kern w:val="0"/>
                <w:sz w:val="32"/>
                <w:szCs w:val="32"/>
                <w:highlight w:val="none"/>
                <w:lang w:eastAsia="zh-Hans" w:bidi="ar"/>
              </w:rPr>
            </w:pPr>
            <w:r>
              <w:rPr>
                <w:rFonts w:ascii="仿宋" w:hAnsi="仿宋" w:eastAsia="仿宋" w:cs="Times New Roman"/>
                <w:b/>
                <w:color w:val="auto"/>
                <w:sz w:val="32"/>
                <w:szCs w:val="32"/>
                <w:highlight w:val="none"/>
                <w:lang w:eastAsia="zh-Hans" w:bidi="ar"/>
              </w:rPr>
              <w:t>组件介绍</w:t>
            </w:r>
          </w:p>
        </w:tc>
      </w:tr>
      <w:tr w14:paraId="19889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tcPr>
          <w:p w14:paraId="28E40206">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1</w:t>
            </w:r>
          </w:p>
        </w:tc>
        <w:tc>
          <w:tcPr>
            <w:tcW w:w="5116" w:type="dxa"/>
          </w:tcPr>
          <w:p w14:paraId="4E2E7539">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hint="eastAsia" w:ascii="仿宋" w:hAnsi="仿宋" w:eastAsia="仿宋" w:cs="Times New Roman"/>
                <w:color w:val="auto"/>
                <w:sz w:val="28"/>
                <w:szCs w:val="28"/>
                <w:highlight w:val="none"/>
                <w:lang w:bidi="ar"/>
              </w:rPr>
              <w:t>无</w:t>
            </w:r>
          </w:p>
        </w:tc>
        <w:tc>
          <w:tcPr>
            <w:tcW w:w="3755" w:type="dxa"/>
          </w:tcPr>
          <w:p w14:paraId="6753EBC3">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hint="eastAsia" w:ascii="仿宋" w:hAnsi="仿宋" w:eastAsia="仿宋" w:cs="Times New Roman"/>
                <w:color w:val="auto"/>
                <w:sz w:val="28"/>
                <w:szCs w:val="28"/>
                <w:highlight w:val="none"/>
                <w:lang w:bidi="ar"/>
              </w:rPr>
              <w:t>无</w:t>
            </w:r>
          </w:p>
        </w:tc>
      </w:tr>
      <w:tr w14:paraId="2CE9F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 w:type="dxa"/>
          </w:tcPr>
          <w:p w14:paraId="277478B9">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r>
              <w:rPr>
                <w:rFonts w:ascii="仿宋" w:hAnsi="仿宋" w:eastAsia="仿宋" w:cs="Times New Roman"/>
                <w:color w:val="auto"/>
                <w:sz w:val="28"/>
                <w:szCs w:val="28"/>
                <w:highlight w:val="none"/>
                <w:lang w:bidi="ar"/>
              </w:rPr>
              <w:t>2</w:t>
            </w:r>
          </w:p>
        </w:tc>
        <w:tc>
          <w:tcPr>
            <w:tcW w:w="5116" w:type="dxa"/>
          </w:tcPr>
          <w:p w14:paraId="3A48182A">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p>
        </w:tc>
        <w:tc>
          <w:tcPr>
            <w:tcW w:w="3755" w:type="dxa"/>
          </w:tcPr>
          <w:p w14:paraId="7AD3DD9E">
            <w:pPr>
              <w:pStyle w:val="21"/>
              <w:autoSpaceDE w:val="0"/>
              <w:spacing w:after="0" w:line="600" w:lineRule="exact"/>
              <w:jc w:val="center"/>
              <w:rPr>
                <w:rFonts w:hint="eastAsia" w:ascii="仿宋" w:hAnsi="仿宋" w:eastAsia="仿宋" w:cs="Times New Roman"/>
                <w:color w:val="auto"/>
                <w:kern w:val="0"/>
                <w:sz w:val="28"/>
                <w:szCs w:val="28"/>
                <w:highlight w:val="none"/>
                <w:lang w:bidi="ar"/>
              </w:rPr>
            </w:pPr>
          </w:p>
        </w:tc>
      </w:tr>
    </w:tbl>
    <w:p w14:paraId="26FC7FD0">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194" w:name="_Toc8675"/>
      <w:r>
        <w:rPr>
          <w:rFonts w:ascii="仿宋" w:hAnsi="仿宋" w:eastAsia="仿宋" w:cs="Times New Roman"/>
          <w:b/>
          <w:bCs/>
          <w:color w:val="auto"/>
          <w:sz w:val="32"/>
          <w:szCs w:val="32"/>
          <w:highlight w:val="none"/>
        </w:rPr>
        <w:t>应用工厂</w:t>
      </w:r>
      <w:bookmarkEnd w:id="194"/>
    </w:p>
    <w:p w14:paraId="3FC0266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应用按规定要求入驻应用工厂，进行标准、制度、操作手册等知识要素上传，进行代码托管，通过代码规范检测。</w:t>
      </w:r>
    </w:p>
    <w:p w14:paraId="498D2C9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项目发布端为浙政钉、浙里办。</w:t>
      </w:r>
    </w:p>
    <w:p w14:paraId="47F425B2">
      <w:pPr>
        <w:widowControl/>
        <w:spacing w:after="0" w:line="240" w:lineRule="auto"/>
        <w:jc w:val="lef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7C570822">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195" w:name="_Toc15037"/>
      <w:bookmarkStart w:id="196" w:name="_Toc8642"/>
      <w:bookmarkStart w:id="197" w:name="_Toc9061"/>
      <w:r>
        <w:rPr>
          <w:rFonts w:ascii="仿宋" w:hAnsi="仿宋" w:eastAsia="仿宋" w:cs="Times New Roman"/>
          <w:b/>
          <w:bCs/>
          <w:color w:val="auto"/>
          <w:kern w:val="44"/>
          <w:sz w:val="44"/>
          <w:szCs w:val="44"/>
          <w:highlight w:val="none"/>
        </w:rPr>
        <w:t>项目建设与运行管理</w:t>
      </w:r>
      <w:bookmarkEnd w:id="195"/>
      <w:bookmarkEnd w:id="196"/>
      <w:bookmarkEnd w:id="197"/>
    </w:p>
    <w:p w14:paraId="31E004D3">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198" w:name="_Toc177743797"/>
      <w:bookmarkEnd w:id="198"/>
      <w:bookmarkStart w:id="199" w:name="_Toc177737152"/>
      <w:bookmarkEnd w:id="199"/>
      <w:bookmarkStart w:id="200" w:name="_Toc180074839"/>
      <w:bookmarkEnd w:id="200"/>
      <w:bookmarkStart w:id="201" w:name="_Toc180074956"/>
      <w:bookmarkEnd w:id="201"/>
      <w:bookmarkStart w:id="202" w:name="_Toc177737214"/>
      <w:bookmarkEnd w:id="202"/>
      <w:bookmarkStart w:id="203" w:name="_Toc13124"/>
      <w:bookmarkStart w:id="204" w:name="_Toc8965"/>
    </w:p>
    <w:p w14:paraId="7A25F1E2">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05" w:name="_Toc31282"/>
      <w:r>
        <w:rPr>
          <w:rFonts w:ascii="仿宋" w:hAnsi="仿宋" w:eastAsia="仿宋" w:cs="Times New Roman"/>
          <w:b/>
          <w:bCs/>
          <w:color w:val="auto"/>
          <w:sz w:val="32"/>
          <w:szCs w:val="32"/>
          <w:highlight w:val="none"/>
        </w:rPr>
        <w:t>项目领导小组</w:t>
      </w:r>
      <w:bookmarkEnd w:id="203"/>
      <w:bookmarkEnd w:id="204"/>
      <w:bookmarkEnd w:id="205"/>
    </w:p>
    <w:p w14:paraId="64459F3C">
      <w:pPr>
        <w:spacing w:after="0" w:line="600" w:lineRule="exact"/>
        <w:ind w:firstLine="640" w:firstLineChars="200"/>
        <w:rPr>
          <w:rFonts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龙泉市住房和城乡建设局成立龙泉市供水数字化系统项目领导小组，由局分管领导挂帅，负责贯彻落实省水利厅、丽水市委市政府、丽水市水利局、龙泉市市委市政府关于城乡供水一体化和单村水站改造提升工作要求，协调省水利厅、丽水市水利局、龙泉市水利局及其他部门单位等，解决项目建设过程中碰到的重大问题，统筹推进龙泉市供水数字化系统项目工作；领导小组下设项目工作组，组长由龙泉市城乡供排水服务中心主要领导担任，工作组成员抽调科室工作人员组成，负责项目日常工作。</w:t>
      </w:r>
    </w:p>
    <w:p w14:paraId="0B330B41">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06" w:name="_Toc16467"/>
      <w:bookmarkStart w:id="207" w:name="_Toc14379"/>
      <w:bookmarkStart w:id="208" w:name="_Toc9878"/>
      <w:bookmarkStart w:id="209" w:name="_Toc16273"/>
      <w:bookmarkStart w:id="210" w:name="_Toc26513"/>
      <w:r>
        <w:rPr>
          <w:rFonts w:ascii="仿宋" w:hAnsi="仿宋" w:eastAsia="仿宋" w:cs="Times New Roman"/>
          <w:b/>
          <w:bCs/>
          <w:color w:val="auto"/>
          <w:sz w:val="32"/>
          <w:szCs w:val="32"/>
          <w:highlight w:val="none"/>
        </w:rPr>
        <w:t>项目建设周期及进度计划</w:t>
      </w:r>
      <w:bookmarkEnd w:id="206"/>
      <w:bookmarkEnd w:id="207"/>
      <w:bookmarkEnd w:id="208"/>
    </w:p>
    <w:p w14:paraId="40436334">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按照20</w:t>
      </w:r>
      <w:r>
        <w:rPr>
          <w:rFonts w:hint="eastAsia" w:ascii="仿宋" w:hAnsi="仿宋" w:eastAsia="仿宋" w:cs="Times New Roman"/>
          <w:color w:val="auto"/>
          <w:sz w:val="32"/>
          <w:szCs w:val="32"/>
          <w:highlight w:val="none"/>
        </w:rPr>
        <w:t>25</w:t>
      </w:r>
      <w:r>
        <w:rPr>
          <w:rFonts w:ascii="仿宋" w:hAnsi="仿宋" w:eastAsia="仿宋" w:cs="Times New Roman"/>
          <w:color w:val="auto"/>
          <w:sz w:val="32"/>
          <w:szCs w:val="32"/>
          <w:highlight w:val="none"/>
        </w:rPr>
        <w:t>年</w:t>
      </w:r>
      <w:r>
        <w:rPr>
          <w:rFonts w:hint="eastAsia" w:ascii="仿宋" w:hAnsi="仿宋" w:eastAsia="仿宋" w:cs="Times New Roman"/>
          <w:color w:val="auto"/>
          <w:sz w:val="32"/>
          <w:szCs w:val="32"/>
          <w:highlight w:val="none"/>
        </w:rPr>
        <w:t>1</w:t>
      </w:r>
      <w:r>
        <w:rPr>
          <w:rFonts w:ascii="仿宋" w:hAnsi="仿宋" w:eastAsia="仿宋" w:cs="Times New Roman"/>
          <w:color w:val="auto"/>
          <w:sz w:val="32"/>
          <w:szCs w:val="32"/>
          <w:highlight w:val="none"/>
        </w:rPr>
        <w:t>月启动项目，本项目力争在20</w:t>
      </w:r>
      <w:r>
        <w:rPr>
          <w:rFonts w:hint="eastAsia" w:ascii="仿宋" w:hAnsi="仿宋" w:eastAsia="仿宋" w:cs="Times New Roman"/>
          <w:color w:val="auto"/>
          <w:sz w:val="32"/>
          <w:szCs w:val="32"/>
          <w:highlight w:val="none"/>
        </w:rPr>
        <w:t>25</w:t>
      </w:r>
      <w:r>
        <w:rPr>
          <w:rFonts w:ascii="仿宋" w:hAnsi="仿宋" w:eastAsia="仿宋" w:cs="Times New Roman"/>
          <w:color w:val="auto"/>
          <w:sz w:val="32"/>
          <w:szCs w:val="32"/>
          <w:highlight w:val="none"/>
        </w:rPr>
        <w:t>年</w:t>
      </w:r>
      <w:r>
        <w:rPr>
          <w:rFonts w:hint="eastAsia" w:ascii="仿宋" w:hAnsi="仿宋" w:eastAsia="仿宋" w:cs="Times New Roman"/>
          <w:color w:val="auto"/>
          <w:sz w:val="32"/>
          <w:szCs w:val="32"/>
          <w:highlight w:val="none"/>
        </w:rPr>
        <w:t>7</w:t>
      </w:r>
      <w:r>
        <w:rPr>
          <w:rFonts w:ascii="仿宋" w:hAnsi="仿宋" w:eastAsia="仿宋" w:cs="Times New Roman"/>
          <w:color w:val="auto"/>
          <w:sz w:val="32"/>
          <w:szCs w:val="32"/>
          <w:highlight w:val="none"/>
        </w:rPr>
        <w:t>月完成项目初投入试运行，试运行1个月以上后通过终验，后续提供一年售后运行维护服务。项目建设时建设单位至少分别有一位项目经理和技术提供现场驻场服务，确保项目如期顺利进行。项目进度计划如下表：</w:t>
      </w:r>
    </w:p>
    <w:p w14:paraId="74418A45">
      <w:pPr>
        <w:spacing w:after="0"/>
        <w:jc w:val="center"/>
        <w:rPr>
          <w:rFonts w:hint="eastAsia" w:ascii="仿宋" w:hAnsi="仿宋" w:eastAsia="仿宋" w:cs="Times New Roman"/>
          <w:b/>
          <w:color w:val="auto"/>
          <w:sz w:val="28"/>
          <w:szCs w:val="21"/>
          <w:highlight w:val="none"/>
        </w:rPr>
      </w:pPr>
      <w:r>
        <w:rPr>
          <w:rFonts w:ascii="仿宋" w:hAnsi="仿宋" w:eastAsia="仿宋" w:cs="Times New Roman"/>
          <w:b/>
          <w:color w:val="auto"/>
          <w:sz w:val="28"/>
          <w:szCs w:val="21"/>
          <w:highlight w:val="none"/>
        </w:rPr>
        <w:t>项目进度计划表</w:t>
      </w:r>
    </w:p>
    <w:tbl>
      <w:tblPr>
        <w:tblStyle w:val="24"/>
        <w:tblW w:w="7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709"/>
        <w:gridCol w:w="709"/>
        <w:gridCol w:w="708"/>
        <w:gridCol w:w="709"/>
        <w:gridCol w:w="709"/>
        <w:gridCol w:w="709"/>
        <w:gridCol w:w="708"/>
        <w:gridCol w:w="851"/>
      </w:tblGrid>
      <w:tr w14:paraId="08F17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1" w:hRule="atLeast"/>
          <w:jc w:val="center"/>
        </w:trPr>
        <w:tc>
          <w:tcPr>
            <w:tcW w:w="1830" w:type="dxa"/>
            <w:vAlign w:val="center"/>
          </w:tcPr>
          <w:p w14:paraId="116264BE">
            <w:pPr>
              <w:spacing w:after="0"/>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mc:AlternateContent>
                <mc:Choice Requires="wpg">
                  <w:drawing>
                    <wp:anchor distT="0" distB="0" distL="114300" distR="114300" simplePos="0" relativeHeight="251659264" behindDoc="0" locked="0" layoutInCell="1" allowOverlap="1">
                      <wp:simplePos x="0" y="0"/>
                      <wp:positionH relativeFrom="column">
                        <wp:posOffset>-12700</wp:posOffset>
                      </wp:positionH>
                      <wp:positionV relativeFrom="paragraph">
                        <wp:posOffset>8890</wp:posOffset>
                      </wp:positionV>
                      <wp:extent cx="1067435" cy="1021080"/>
                      <wp:effectExtent l="0" t="0" r="37465" b="26670"/>
                      <wp:wrapNone/>
                      <wp:docPr id="1290170357" name="组合 563"/>
                      <wp:cNvGraphicFramePr/>
                      <a:graphic xmlns:a="http://schemas.openxmlformats.org/drawingml/2006/main">
                        <a:graphicData uri="http://schemas.microsoft.com/office/word/2010/wordprocessingGroup">
                          <wpg:wgp>
                            <wpg:cNvGrpSpPr/>
                            <wpg:grpSpPr>
                              <a:xfrm>
                                <a:off x="0" y="0"/>
                                <a:ext cx="1067435" cy="1021116"/>
                                <a:chOff x="0" y="0"/>
                                <a:chExt cx="1178" cy="1860"/>
                              </a:xfrm>
                            </wpg:grpSpPr>
                            <wps:wsp>
                              <wps:cNvPr id="1503236928" name="__TH_L2"/>
                              <wps:cNvCnPr>
                                <a:cxnSpLocks noChangeShapeType="1"/>
                              </wps:cNvCnPr>
                              <wps:spPr bwMode="auto">
                                <a:xfrm>
                                  <a:off x="0" y="0"/>
                                  <a:ext cx="1178" cy="1860"/>
                                </a:xfrm>
                                <a:prstGeom prst="line">
                                  <a:avLst/>
                                </a:prstGeom>
                                <a:noFill/>
                                <a:ln w="6350">
                                  <a:solidFill>
                                    <a:srgbClr val="000000"/>
                                  </a:solidFill>
                                  <a:round/>
                                </a:ln>
                              </wps:spPr>
                              <wps:bodyPr/>
                            </wps:wsp>
                            <wps:wsp>
                              <wps:cNvPr id="2052140170" name="__TH_B113"/>
                              <wps:cNvSpPr txBox="1">
                                <a:spLocks noChangeArrowheads="1"/>
                              </wps:cNvSpPr>
                              <wps:spPr bwMode="auto">
                                <a:xfrm>
                                  <a:off x="455" y="0"/>
                                  <a:ext cx="253" cy="385"/>
                                </a:xfrm>
                                <a:prstGeom prst="rect">
                                  <a:avLst/>
                                </a:prstGeom>
                                <a:noFill/>
                                <a:ln>
                                  <a:noFill/>
                                </a:ln>
                              </wps:spPr>
                              <wps:txbx>
                                <w:txbxContent>
                                  <w:p w14:paraId="692138A2">
                                    <w:pPr>
                                      <w:snapToGrid w:val="0"/>
                                      <w:rPr>
                                        <w:rFonts w:hint="eastAsia"/>
                                        <w:b/>
                                      </w:rPr>
                                    </w:pPr>
                                    <w:r>
                                      <w:rPr>
                                        <w:rFonts w:hint="eastAsia"/>
                                        <w:b/>
                                      </w:rPr>
                                      <w:t>工</w:t>
                                    </w:r>
                                  </w:p>
                                </w:txbxContent>
                              </wps:txbx>
                              <wps:bodyPr rot="0" vert="horz" wrap="square" lIns="0" tIns="0" rIns="0" bIns="0" anchor="t" anchorCtr="0" upright="1">
                                <a:noAutofit/>
                              </wps:bodyPr>
                            </wps:wsp>
                            <wps:wsp>
                              <wps:cNvPr id="96749424" name="__TH_B124"/>
                              <wps:cNvSpPr txBox="1">
                                <a:spLocks noChangeArrowheads="1"/>
                              </wps:cNvSpPr>
                              <wps:spPr bwMode="auto">
                                <a:xfrm>
                                  <a:off x="643" y="307"/>
                                  <a:ext cx="253" cy="375"/>
                                </a:xfrm>
                                <a:prstGeom prst="rect">
                                  <a:avLst/>
                                </a:prstGeom>
                                <a:noFill/>
                                <a:ln>
                                  <a:noFill/>
                                </a:ln>
                              </wps:spPr>
                              <wps:txbx>
                                <w:txbxContent>
                                  <w:p w14:paraId="57E46107">
                                    <w:pPr>
                                      <w:snapToGrid w:val="0"/>
                                      <w:rPr>
                                        <w:rFonts w:hint="eastAsia"/>
                                        <w:b/>
                                      </w:rPr>
                                    </w:pPr>
                                    <w:r>
                                      <w:rPr>
                                        <w:rFonts w:hint="eastAsia"/>
                                        <w:b/>
                                      </w:rPr>
                                      <w:t>作</w:t>
                                    </w:r>
                                  </w:p>
                                </w:txbxContent>
                              </wps:txbx>
                              <wps:bodyPr rot="0" vert="horz" wrap="square" lIns="0" tIns="0" rIns="0" bIns="0" anchor="t" anchorCtr="0" upright="1">
                                <a:noAutofit/>
                              </wps:bodyPr>
                            </wps:wsp>
                            <wps:wsp>
                              <wps:cNvPr id="550039975" name="__TH_B135"/>
                              <wps:cNvSpPr txBox="1">
                                <a:spLocks noChangeArrowheads="1"/>
                              </wps:cNvSpPr>
                              <wps:spPr bwMode="auto">
                                <a:xfrm>
                                  <a:off x="831" y="717"/>
                                  <a:ext cx="253" cy="437"/>
                                </a:xfrm>
                                <a:prstGeom prst="rect">
                                  <a:avLst/>
                                </a:prstGeom>
                                <a:noFill/>
                                <a:ln>
                                  <a:noFill/>
                                </a:ln>
                              </wps:spPr>
                              <wps:txbx>
                                <w:txbxContent>
                                  <w:p w14:paraId="7C3098A8">
                                    <w:pPr>
                                      <w:snapToGrid w:val="0"/>
                                      <w:rPr>
                                        <w:rFonts w:hint="eastAsia"/>
                                        <w:b/>
                                      </w:rPr>
                                    </w:pPr>
                                    <w:r>
                                      <w:rPr>
                                        <w:rFonts w:hint="eastAsia"/>
                                        <w:b/>
                                      </w:rPr>
                                      <w:t>月</w:t>
                                    </w:r>
                                  </w:p>
                                </w:txbxContent>
                              </wps:txbx>
                              <wps:bodyPr rot="0" vert="horz" wrap="square" lIns="0" tIns="0" rIns="0" bIns="0" anchor="t" anchorCtr="0" upright="1">
                                <a:noAutofit/>
                              </wps:bodyPr>
                            </wps:wsp>
                          </wpg:wgp>
                        </a:graphicData>
                      </a:graphic>
                    </wp:anchor>
                  </w:drawing>
                </mc:Choice>
                <mc:Fallback>
                  <w:pict>
                    <v:group id="组合 563" o:spid="_x0000_s1026" o:spt="203" style="position:absolute;left:0pt;margin-left:-1pt;margin-top:0.7pt;height:80.4pt;width:84.05pt;z-index:251659264;mso-width-relative:page;mso-height-relative:page;" coordsize="1178,1860" o:gfxdata="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g1mAEtcAAAAIAQAADwAAAAAAAAABACAAAAAiAAAAZHJzL2Rvd25yZXYueG1sUEsBAhQAFAAA&#10;AAgAh07iQMtHCJNGAwAAWwsAAA4AAAAAAAAAAQAgAAAAJgEAAGRycy9lMm9Eb2MueG1sUEsFBgAA&#10;AAAGAAYAWQEAAN4GAAAAAA==&#10;">
                      <o:lock v:ext="edit" aspectratio="f"/>
                      <v:line id="__TH_L2" o:spid="_x0000_s1026" o:spt="20" style="position:absolute;left:0;top:0;height:1860;width:1178;" filled="f" stroked="t" coordsize="21600,21600" o:gfxdata="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DQ&#10;8wLFwwAAAOMAAAAPAAAAAAAAAAEAIAAAACIAAABkcnMvZG93bnJldi54bWxQSwECFAAUAAAACACH&#10;TuJAMy8FnjsAAAA5AAAAEAAAAAAAAAABACAAAAASAQAAZHJzL3NoYXBleG1sLnhtbFBLBQYAAAAA&#10;BgAGAFsBAAC8AwAAAAA=&#10;">
                        <v:fill on="f" focussize="0,0"/>
                        <v:stroke weight="0.5pt" color="#000000" joinstyle="round"/>
                        <v:imagedata o:title=""/>
                        <o:lock v:ext="edit" aspectratio="f"/>
                      </v:line>
                      <v:shape id="__TH_B113" o:spid="_x0000_s1026" o:spt="202" type="#_x0000_t202" style="position:absolute;left:455;top:0;height:385;width:253;" filled="f" stroked="f" coordsize="21600,21600" o:gfxdata="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">
                        <v:fill on="f" focussize="0,0"/>
                        <v:stroke on="f"/>
                        <v:imagedata o:title=""/>
                        <o:lock v:ext="edit" aspectratio="f"/>
                        <v:textbox inset="0mm,0mm,0mm,0mm">
                          <w:txbxContent>
                            <w:p w14:paraId="692138A2">
                              <w:pPr>
                                <w:snapToGrid w:val="0"/>
                                <w:rPr>
                                  <w:rFonts w:hint="eastAsia"/>
                                  <w:b/>
                                </w:rPr>
                              </w:pPr>
                              <w:r>
                                <w:rPr>
                                  <w:rFonts w:hint="eastAsia"/>
                                  <w:b/>
                                </w:rPr>
                                <w:t>工</w:t>
                              </w:r>
                            </w:p>
                          </w:txbxContent>
                        </v:textbox>
                      </v:shape>
                      <v:shape id="__TH_B124" o:spid="_x0000_s1026" o:spt="202" type="#_x0000_t202" style="position:absolute;left:643;top:307;height:375;width:253;" filled="f" stroked="f" coordsize="21600,21600" o:gfxdata="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DI&#10;oPsCwwAAAOEAAAAPAAAAAAAAAAEAIAAAACIAAABkcnMvZG93bnJldi54bWxQSwECFAAUAAAACACH&#10;TuJAMy8FnjsAAAA5AAAAEAAAAAAAAAABACAAAAASAQAAZHJzL3NoYXBleG1sLnhtbFBLBQYAAAAA&#10;BgAGAFsBAAC8AwAAAAA=&#10;">
                        <v:fill on="f" focussize="0,0"/>
                        <v:stroke on="f"/>
                        <v:imagedata o:title=""/>
                        <o:lock v:ext="edit" aspectratio="f"/>
                        <v:textbox inset="0mm,0mm,0mm,0mm">
                          <w:txbxContent>
                            <w:p w14:paraId="57E46107">
                              <w:pPr>
                                <w:snapToGrid w:val="0"/>
                                <w:rPr>
                                  <w:rFonts w:hint="eastAsia"/>
                                  <w:b/>
                                </w:rPr>
                              </w:pPr>
                              <w:r>
                                <w:rPr>
                                  <w:rFonts w:hint="eastAsia"/>
                                  <w:b/>
                                </w:rPr>
                                <w:t>作</w:t>
                              </w:r>
                            </w:p>
                          </w:txbxContent>
                        </v:textbox>
                      </v:shape>
                      <v:shape id="__TH_B135" o:spid="_x0000_s1026" o:spt="202" type="#_x0000_t202" style="position:absolute;left:831;top:717;height:437;width:253;" filled="f" stroked="f" coordsize="21600,21600" o:gfxdata="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">
                        <v:fill on="f" focussize="0,0"/>
                        <v:stroke on="f"/>
                        <v:imagedata o:title=""/>
                        <o:lock v:ext="edit" aspectratio="f"/>
                        <v:textbox inset="0mm,0mm,0mm,0mm">
                          <w:txbxContent>
                            <w:p w14:paraId="7C3098A8">
                              <w:pPr>
                                <w:snapToGrid w:val="0"/>
                                <w:rPr>
                                  <w:rFonts w:hint="eastAsia"/>
                                  <w:b/>
                                </w:rPr>
                              </w:pPr>
                              <w:r>
                                <w:rPr>
                                  <w:rFonts w:hint="eastAsia"/>
                                  <w:b/>
                                </w:rPr>
                                <w:t>月</w:t>
                              </w:r>
                            </w:p>
                          </w:txbxContent>
                        </v:textbox>
                      </v:shape>
                    </v:group>
                  </w:pict>
                </mc:Fallback>
              </mc:AlternateContent>
            </w:r>
          </w:p>
          <w:p w14:paraId="06BF8141">
            <w:pPr>
              <w:spacing w:after="0"/>
              <w:rPr>
                <w:rFonts w:hint="eastAsia" w:ascii="仿宋" w:hAnsi="仿宋" w:eastAsia="仿宋" w:cs="Times New Roman"/>
                <w:b/>
                <w:color w:val="auto"/>
                <w:szCs w:val="21"/>
                <w:highlight w:val="none"/>
              </w:rPr>
            </w:pPr>
          </w:p>
          <w:p w14:paraId="7BCE3EE0">
            <w:pPr>
              <w:spacing w:after="0"/>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内容</w:t>
            </w:r>
          </w:p>
        </w:tc>
        <w:tc>
          <w:tcPr>
            <w:tcW w:w="709" w:type="dxa"/>
            <w:vAlign w:val="center"/>
          </w:tcPr>
          <w:p w14:paraId="324F1448">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1</w:t>
            </w:r>
          </w:p>
        </w:tc>
        <w:tc>
          <w:tcPr>
            <w:tcW w:w="709" w:type="dxa"/>
            <w:vAlign w:val="center"/>
          </w:tcPr>
          <w:p w14:paraId="1EC9E035">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2</w:t>
            </w:r>
          </w:p>
        </w:tc>
        <w:tc>
          <w:tcPr>
            <w:tcW w:w="708" w:type="dxa"/>
            <w:vAlign w:val="center"/>
          </w:tcPr>
          <w:p w14:paraId="41AB00C2">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3</w:t>
            </w:r>
          </w:p>
        </w:tc>
        <w:tc>
          <w:tcPr>
            <w:tcW w:w="709" w:type="dxa"/>
            <w:vAlign w:val="center"/>
          </w:tcPr>
          <w:p w14:paraId="5848F275">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4</w:t>
            </w:r>
          </w:p>
        </w:tc>
        <w:tc>
          <w:tcPr>
            <w:tcW w:w="709" w:type="dxa"/>
            <w:vAlign w:val="center"/>
          </w:tcPr>
          <w:p w14:paraId="018A667F">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5</w:t>
            </w:r>
          </w:p>
        </w:tc>
        <w:tc>
          <w:tcPr>
            <w:tcW w:w="709" w:type="dxa"/>
            <w:vAlign w:val="center"/>
          </w:tcPr>
          <w:p w14:paraId="358AD082">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6</w:t>
            </w:r>
          </w:p>
        </w:tc>
        <w:tc>
          <w:tcPr>
            <w:tcW w:w="708" w:type="dxa"/>
            <w:vAlign w:val="center"/>
          </w:tcPr>
          <w:p w14:paraId="296DD1D0">
            <w:pPr>
              <w:spacing w:after="0"/>
              <w:jc w:val="center"/>
              <w:rPr>
                <w:rFonts w:hint="eastAsia" w:ascii="仿宋" w:hAnsi="仿宋" w:eastAsia="仿宋" w:cs="Times New Roman"/>
                <w:b/>
                <w:color w:val="auto"/>
                <w:szCs w:val="21"/>
                <w:highlight w:val="none"/>
              </w:rPr>
            </w:pPr>
            <w:r>
              <w:rPr>
                <w:rFonts w:hint="eastAsia" w:ascii="仿宋" w:hAnsi="仿宋" w:eastAsia="仿宋" w:cs="Times New Roman"/>
                <w:b/>
                <w:color w:val="auto"/>
                <w:szCs w:val="21"/>
                <w:highlight w:val="none"/>
              </w:rPr>
              <w:t>7</w:t>
            </w:r>
          </w:p>
        </w:tc>
        <w:tc>
          <w:tcPr>
            <w:tcW w:w="851" w:type="dxa"/>
            <w:vAlign w:val="center"/>
          </w:tcPr>
          <w:p w14:paraId="7516DB8C">
            <w:pPr>
              <w:spacing w:after="0"/>
              <w:jc w:val="center"/>
              <w:rPr>
                <w:rFonts w:hint="eastAsia" w:ascii="仿宋" w:hAnsi="仿宋" w:eastAsia="仿宋" w:cs="Times New Roman"/>
                <w:b/>
                <w:color w:val="auto"/>
                <w:szCs w:val="21"/>
                <w:highlight w:val="none"/>
              </w:rPr>
            </w:pPr>
            <w:r>
              <w:rPr>
                <w:rFonts w:hint="eastAsia" w:ascii="仿宋" w:hAnsi="仿宋" w:eastAsia="仿宋" w:cs="Times New Roman"/>
                <w:b/>
                <w:color w:val="auto"/>
                <w:szCs w:val="21"/>
                <w:highlight w:val="none"/>
              </w:rPr>
              <w:t>8</w:t>
            </w:r>
          </w:p>
        </w:tc>
      </w:tr>
      <w:tr w14:paraId="4622B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31C3C22B">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项目启动</w:t>
            </w:r>
          </w:p>
        </w:tc>
        <w:tc>
          <w:tcPr>
            <w:tcW w:w="709" w:type="dxa"/>
          </w:tcPr>
          <w:p w14:paraId="3DFCC1A4">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tcPr>
          <w:p w14:paraId="249D7823">
            <w:pPr>
              <w:spacing w:after="0"/>
              <w:jc w:val="center"/>
              <w:rPr>
                <w:rFonts w:hint="eastAsia" w:ascii="仿宋" w:hAnsi="仿宋" w:eastAsia="仿宋" w:cs="Times New Roman"/>
                <w:b/>
                <w:color w:val="auto"/>
                <w:szCs w:val="21"/>
                <w:highlight w:val="none"/>
              </w:rPr>
            </w:pPr>
          </w:p>
        </w:tc>
        <w:tc>
          <w:tcPr>
            <w:tcW w:w="708" w:type="dxa"/>
          </w:tcPr>
          <w:p w14:paraId="48169C19">
            <w:pPr>
              <w:spacing w:after="0"/>
              <w:jc w:val="center"/>
              <w:rPr>
                <w:rFonts w:hint="eastAsia" w:ascii="仿宋" w:hAnsi="仿宋" w:eastAsia="仿宋" w:cs="Times New Roman"/>
                <w:b/>
                <w:color w:val="auto"/>
                <w:szCs w:val="21"/>
                <w:highlight w:val="none"/>
              </w:rPr>
            </w:pPr>
          </w:p>
        </w:tc>
        <w:tc>
          <w:tcPr>
            <w:tcW w:w="709" w:type="dxa"/>
          </w:tcPr>
          <w:p w14:paraId="266F4C91">
            <w:pPr>
              <w:spacing w:after="0"/>
              <w:jc w:val="center"/>
              <w:rPr>
                <w:rFonts w:hint="eastAsia" w:ascii="仿宋" w:hAnsi="仿宋" w:eastAsia="仿宋" w:cs="Times New Roman"/>
                <w:b/>
                <w:color w:val="auto"/>
                <w:szCs w:val="21"/>
                <w:highlight w:val="none"/>
              </w:rPr>
            </w:pPr>
          </w:p>
        </w:tc>
        <w:tc>
          <w:tcPr>
            <w:tcW w:w="709" w:type="dxa"/>
          </w:tcPr>
          <w:p w14:paraId="16D91638">
            <w:pPr>
              <w:spacing w:after="0"/>
              <w:jc w:val="center"/>
              <w:rPr>
                <w:rFonts w:hint="eastAsia" w:ascii="仿宋" w:hAnsi="仿宋" w:eastAsia="仿宋" w:cs="Times New Roman"/>
                <w:b/>
                <w:color w:val="auto"/>
                <w:szCs w:val="21"/>
                <w:highlight w:val="none"/>
              </w:rPr>
            </w:pPr>
          </w:p>
        </w:tc>
        <w:tc>
          <w:tcPr>
            <w:tcW w:w="709" w:type="dxa"/>
          </w:tcPr>
          <w:p w14:paraId="21361705">
            <w:pPr>
              <w:spacing w:after="0"/>
              <w:jc w:val="center"/>
              <w:rPr>
                <w:rFonts w:hint="eastAsia" w:ascii="仿宋" w:hAnsi="仿宋" w:eastAsia="仿宋" w:cs="Times New Roman"/>
                <w:b/>
                <w:color w:val="auto"/>
                <w:szCs w:val="21"/>
                <w:highlight w:val="none"/>
              </w:rPr>
            </w:pPr>
          </w:p>
        </w:tc>
        <w:tc>
          <w:tcPr>
            <w:tcW w:w="708" w:type="dxa"/>
          </w:tcPr>
          <w:p w14:paraId="331DE8E5">
            <w:pPr>
              <w:spacing w:after="0"/>
              <w:jc w:val="center"/>
              <w:rPr>
                <w:rFonts w:hint="eastAsia" w:ascii="仿宋" w:hAnsi="仿宋" w:eastAsia="仿宋" w:cs="Times New Roman"/>
                <w:b/>
                <w:color w:val="auto"/>
                <w:szCs w:val="21"/>
                <w:highlight w:val="none"/>
              </w:rPr>
            </w:pPr>
          </w:p>
        </w:tc>
        <w:tc>
          <w:tcPr>
            <w:tcW w:w="851" w:type="dxa"/>
          </w:tcPr>
          <w:p w14:paraId="1D7C5702">
            <w:pPr>
              <w:spacing w:after="0"/>
              <w:jc w:val="center"/>
              <w:rPr>
                <w:rFonts w:hint="eastAsia" w:ascii="仿宋" w:hAnsi="仿宋" w:eastAsia="仿宋" w:cs="Times New Roman"/>
                <w:b/>
                <w:color w:val="auto"/>
                <w:szCs w:val="21"/>
                <w:highlight w:val="none"/>
              </w:rPr>
            </w:pPr>
          </w:p>
        </w:tc>
      </w:tr>
      <w:tr w14:paraId="58599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3D91130C">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需求分析</w:t>
            </w:r>
          </w:p>
        </w:tc>
        <w:tc>
          <w:tcPr>
            <w:tcW w:w="709" w:type="dxa"/>
          </w:tcPr>
          <w:p w14:paraId="01948EED">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tcPr>
          <w:p w14:paraId="3B3BCC3A">
            <w:pPr>
              <w:spacing w:after="0"/>
              <w:jc w:val="center"/>
              <w:rPr>
                <w:rFonts w:hint="eastAsia" w:ascii="仿宋" w:hAnsi="仿宋" w:eastAsia="仿宋" w:cs="Times New Roman"/>
                <w:b/>
                <w:color w:val="auto"/>
                <w:szCs w:val="21"/>
                <w:highlight w:val="none"/>
              </w:rPr>
            </w:pPr>
          </w:p>
        </w:tc>
        <w:tc>
          <w:tcPr>
            <w:tcW w:w="708" w:type="dxa"/>
          </w:tcPr>
          <w:p w14:paraId="00169468">
            <w:pPr>
              <w:spacing w:after="0"/>
              <w:jc w:val="center"/>
              <w:rPr>
                <w:rFonts w:hint="eastAsia" w:ascii="仿宋" w:hAnsi="仿宋" w:eastAsia="仿宋" w:cs="Times New Roman"/>
                <w:b/>
                <w:color w:val="auto"/>
                <w:szCs w:val="21"/>
                <w:highlight w:val="none"/>
              </w:rPr>
            </w:pPr>
          </w:p>
        </w:tc>
        <w:tc>
          <w:tcPr>
            <w:tcW w:w="709" w:type="dxa"/>
          </w:tcPr>
          <w:p w14:paraId="7D4815B8">
            <w:pPr>
              <w:spacing w:after="0"/>
              <w:jc w:val="center"/>
              <w:rPr>
                <w:rFonts w:hint="eastAsia" w:ascii="仿宋" w:hAnsi="仿宋" w:eastAsia="仿宋" w:cs="Times New Roman"/>
                <w:b/>
                <w:color w:val="auto"/>
                <w:szCs w:val="21"/>
                <w:highlight w:val="none"/>
              </w:rPr>
            </w:pPr>
          </w:p>
        </w:tc>
        <w:tc>
          <w:tcPr>
            <w:tcW w:w="709" w:type="dxa"/>
          </w:tcPr>
          <w:p w14:paraId="51764009">
            <w:pPr>
              <w:spacing w:after="0"/>
              <w:jc w:val="center"/>
              <w:rPr>
                <w:rFonts w:hint="eastAsia" w:ascii="仿宋" w:hAnsi="仿宋" w:eastAsia="仿宋" w:cs="Times New Roman"/>
                <w:b/>
                <w:color w:val="auto"/>
                <w:szCs w:val="21"/>
                <w:highlight w:val="none"/>
              </w:rPr>
            </w:pPr>
          </w:p>
        </w:tc>
        <w:tc>
          <w:tcPr>
            <w:tcW w:w="709" w:type="dxa"/>
          </w:tcPr>
          <w:p w14:paraId="40837B0D">
            <w:pPr>
              <w:spacing w:after="0"/>
              <w:jc w:val="center"/>
              <w:rPr>
                <w:rFonts w:hint="eastAsia" w:ascii="仿宋" w:hAnsi="仿宋" w:eastAsia="仿宋" w:cs="Times New Roman"/>
                <w:b/>
                <w:color w:val="auto"/>
                <w:szCs w:val="21"/>
                <w:highlight w:val="none"/>
              </w:rPr>
            </w:pPr>
          </w:p>
        </w:tc>
        <w:tc>
          <w:tcPr>
            <w:tcW w:w="708" w:type="dxa"/>
          </w:tcPr>
          <w:p w14:paraId="0F147D23">
            <w:pPr>
              <w:spacing w:after="0"/>
              <w:jc w:val="center"/>
              <w:rPr>
                <w:rFonts w:hint="eastAsia" w:ascii="仿宋" w:hAnsi="仿宋" w:eastAsia="仿宋" w:cs="Times New Roman"/>
                <w:b/>
                <w:color w:val="auto"/>
                <w:szCs w:val="21"/>
                <w:highlight w:val="none"/>
              </w:rPr>
            </w:pPr>
          </w:p>
        </w:tc>
        <w:tc>
          <w:tcPr>
            <w:tcW w:w="851" w:type="dxa"/>
          </w:tcPr>
          <w:p w14:paraId="20117245">
            <w:pPr>
              <w:spacing w:after="0"/>
              <w:jc w:val="center"/>
              <w:rPr>
                <w:rFonts w:hint="eastAsia" w:ascii="仿宋" w:hAnsi="仿宋" w:eastAsia="仿宋" w:cs="Times New Roman"/>
                <w:b/>
                <w:color w:val="auto"/>
                <w:szCs w:val="21"/>
                <w:highlight w:val="none"/>
              </w:rPr>
            </w:pPr>
          </w:p>
        </w:tc>
      </w:tr>
      <w:tr w14:paraId="79C82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7F0EB9AB">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概要设计</w:t>
            </w:r>
          </w:p>
        </w:tc>
        <w:tc>
          <w:tcPr>
            <w:tcW w:w="709" w:type="dxa"/>
          </w:tcPr>
          <w:p w14:paraId="72F5CA02">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tcPr>
          <w:p w14:paraId="5A53965A">
            <w:pPr>
              <w:spacing w:after="0"/>
              <w:jc w:val="center"/>
              <w:rPr>
                <w:rFonts w:hint="eastAsia" w:ascii="仿宋" w:hAnsi="仿宋" w:eastAsia="仿宋" w:cs="Times New Roman"/>
                <w:b/>
                <w:color w:val="auto"/>
                <w:szCs w:val="21"/>
                <w:highlight w:val="none"/>
              </w:rPr>
            </w:pPr>
          </w:p>
        </w:tc>
        <w:tc>
          <w:tcPr>
            <w:tcW w:w="708" w:type="dxa"/>
          </w:tcPr>
          <w:p w14:paraId="53BBDCA0">
            <w:pPr>
              <w:spacing w:after="0"/>
              <w:jc w:val="center"/>
              <w:rPr>
                <w:rFonts w:hint="eastAsia" w:ascii="仿宋" w:hAnsi="仿宋" w:eastAsia="仿宋" w:cs="Times New Roman"/>
                <w:b/>
                <w:color w:val="auto"/>
                <w:szCs w:val="21"/>
                <w:highlight w:val="none"/>
              </w:rPr>
            </w:pPr>
          </w:p>
        </w:tc>
        <w:tc>
          <w:tcPr>
            <w:tcW w:w="709" w:type="dxa"/>
          </w:tcPr>
          <w:p w14:paraId="690BCF79">
            <w:pPr>
              <w:spacing w:after="0"/>
              <w:jc w:val="center"/>
              <w:rPr>
                <w:rFonts w:hint="eastAsia" w:ascii="仿宋" w:hAnsi="仿宋" w:eastAsia="仿宋" w:cs="Times New Roman"/>
                <w:b/>
                <w:color w:val="auto"/>
                <w:szCs w:val="21"/>
                <w:highlight w:val="none"/>
              </w:rPr>
            </w:pPr>
          </w:p>
        </w:tc>
        <w:tc>
          <w:tcPr>
            <w:tcW w:w="709" w:type="dxa"/>
          </w:tcPr>
          <w:p w14:paraId="05233DA3">
            <w:pPr>
              <w:spacing w:after="0"/>
              <w:jc w:val="center"/>
              <w:rPr>
                <w:rFonts w:hint="eastAsia" w:ascii="仿宋" w:hAnsi="仿宋" w:eastAsia="仿宋" w:cs="Times New Roman"/>
                <w:b/>
                <w:color w:val="auto"/>
                <w:szCs w:val="21"/>
                <w:highlight w:val="none"/>
              </w:rPr>
            </w:pPr>
          </w:p>
        </w:tc>
        <w:tc>
          <w:tcPr>
            <w:tcW w:w="709" w:type="dxa"/>
          </w:tcPr>
          <w:p w14:paraId="3400402D">
            <w:pPr>
              <w:spacing w:after="0"/>
              <w:jc w:val="center"/>
              <w:rPr>
                <w:rFonts w:hint="eastAsia" w:ascii="仿宋" w:hAnsi="仿宋" w:eastAsia="仿宋" w:cs="Times New Roman"/>
                <w:b/>
                <w:color w:val="auto"/>
                <w:szCs w:val="21"/>
                <w:highlight w:val="none"/>
              </w:rPr>
            </w:pPr>
          </w:p>
        </w:tc>
        <w:tc>
          <w:tcPr>
            <w:tcW w:w="708" w:type="dxa"/>
          </w:tcPr>
          <w:p w14:paraId="08AACD67">
            <w:pPr>
              <w:spacing w:after="0"/>
              <w:jc w:val="center"/>
              <w:rPr>
                <w:rFonts w:hint="eastAsia" w:ascii="仿宋" w:hAnsi="仿宋" w:eastAsia="仿宋" w:cs="Times New Roman"/>
                <w:b/>
                <w:color w:val="auto"/>
                <w:szCs w:val="21"/>
                <w:highlight w:val="none"/>
              </w:rPr>
            </w:pPr>
          </w:p>
        </w:tc>
        <w:tc>
          <w:tcPr>
            <w:tcW w:w="851" w:type="dxa"/>
          </w:tcPr>
          <w:p w14:paraId="1B968DBC">
            <w:pPr>
              <w:spacing w:after="0"/>
              <w:jc w:val="center"/>
              <w:rPr>
                <w:rFonts w:hint="eastAsia" w:ascii="仿宋" w:hAnsi="仿宋" w:eastAsia="仿宋" w:cs="Times New Roman"/>
                <w:b/>
                <w:color w:val="auto"/>
                <w:szCs w:val="21"/>
                <w:highlight w:val="none"/>
              </w:rPr>
            </w:pPr>
          </w:p>
        </w:tc>
      </w:tr>
      <w:tr w14:paraId="53B8C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0F0BD758">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需求和概要设计评审</w:t>
            </w:r>
          </w:p>
        </w:tc>
        <w:tc>
          <w:tcPr>
            <w:tcW w:w="709" w:type="dxa"/>
          </w:tcPr>
          <w:p w14:paraId="5450F8C0">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tcPr>
          <w:p w14:paraId="4163B6EA">
            <w:pPr>
              <w:spacing w:after="0"/>
              <w:jc w:val="center"/>
              <w:rPr>
                <w:rFonts w:hint="eastAsia" w:ascii="仿宋" w:hAnsi="仿宋" w:eastAsia="仿宋" w:cs="Times New Roman"/>
                <w:b/>
                <w:color w:val="auto"/>
                <w:szCs w:val="21"/>
                <w:highlight w:val="none"/>
              </w:rPr>
            </w:pPr>
          </w:p>
        </w:tc>
        <w:tc>
          <w:tcPr>
            <w:tcW w:w="708" w:type="dxa"/>
          </w:tcPr>
          <w:p w14:paraId="296D0EB1">
            <w:pPr>
              <w:spacing w:after="0"/>
              <w:jc w:val="center"/>
              <w:rPr>
                <w:rFonts w:hint="eastAsia" w:ascii="仿宋" w:hAnsi="仿宋" w:eastAsia="仿宋" w:cs="Times New Roman"/>
                <w:b/>
                <w:color w:val="auto"/>
                <w:szCs w:val="21"/>
                <w:highlight w:val="none"/>
              </w:rPr>
            </w:pPr>
          </w:p>
        </w:tc>
        <w:tc>
          <w:tcPr>
            <w:tcW w:w="709" w:type="dxa"/>
          </w:tcPr>
          <w:p w14:paraId="57D9746A">
            <w:pPr>
              <w:spacing w:after="0"/>
              <w:jc w:val="center"/>
              <w:rPr>
                <w:rFonts w:hint="eastAsia" w:ascii="仿宋" w:hAnsi="仿宋" w:eastAsia="仿宋" w:cs="Times New Roman"/>
                <w:b/>
                <w:color w:val="auto"/>
                <w:szCs w:val="21"/>
                <w:highlight w:val="none"/>
              </w:rPr>
            </w:pPr>
          </w:p>
        </w:tc>
        <w:tc>
          <w:tcPr>
            <w:tcW w:w="709" w:type="dxa"/>
          </w:tcPr>
          <w:p w14:paraId="4C53F7B9">
            <w:pPr>
              <w:spacing w:after="0"/>
              <w:jc w:val="center"/>
              <w:rPr>
                <w:rFonts w:hint="eastAsia" w:ascii="仿宋" w:hAnsi="仿宋" w:eastAsia="仿宋" w:cs="Times New Roman"/>
                <w:b/>
                <w:color w:val="auto"/>
                <w:szCs w:val="21"/>
                <w:highlight w:val="none"/>
              </w:rPr>
            </w:pPr>
          </w:p>
        </w:tc>
        <w:tc>
          <w:tcPr>
            <w:tcW w:w="709" w:type="dxa"/>
          </w:tcPr>
          <w:p w14:paraId="4C535FA7">
            <w:pPr>
              <w:spacing w:after="0"/>
              <w:jc w:val="center"/>
              <w:rPr>
                <w:rFonts w:hint="eastAsia" w:ascii="仿宋" w:hAnsi="仿宋" w:eastAsia="仿宋" w:cs="Times New Roman"/>
                <w:b/>
                <w:color w:val="auto"/>
                <w:szCs w:val="21"/>
                <w:highlight w:val="none"/>
              </w:rPr>
            </w:pPr>
          </w:p>
        </w:tc>
        <w:tc>
          <w:tcPr>
            <w:tcW w:w="708" w:type="dxa"/>
          </w:tcPr>
          <w:p w14:paraId="358975A4">
            <w:pPr>
              <w:spacing w:after="0"/>
              <w:jc w:val="center"/>
              <w:rPr>
                <w:rFonts w:hint="eastAsia" w:ascii="仿宋" w:hAnsi="仿宋" w:eastAsia="仿宋" w:cs="Times New Roman"/>
                <w:b/>
                <w:color w:val="auto"/>
                <w:szCs w:val="21"/>
                <w:highlight w:val="none"/>
              </w:rPr>
            </w:pPr>
          </w:p>
        </w:tc>
        <w:tc>
          <w:tcPr>
            <w:tcW w:w="851" w:type="dxa"/>
          </w:tcPr>
          <w:p w14:paraId="7572E499">
            <w:pPr>
              <w:spacing w:after="0"/>
              <w:jc w:val="center"/>
              <w:rPr>
                <w:rFonts w:hint="eastAsia" w:ascii="仿宋" w:hAnsi="仿宋" w:eastAsia="仿宋" w:cs="Times New Roman"/>
                <w:b/>
                <w:color w:val="auto"/>
                <w:szCs w:val="21"/>
                <w:highlight w:val="none"/>
              </w:rPr>
            </w:pPr>
          </w:p>
        </w:tc>
      </w:tr>
      <w:tr w14:paraId="6EE25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71E38E48">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系统开发（含外部系统对接）</w:t>
            </w:r>
          </w:p>
        </w:tc>
        <w:tc>
          <w:tcPr>
            <w:tcW w:w="709" w:type="dxa"/>
          </w:tcPr>
          <w:p w14:paraId="41D65100">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tcPr>
          <w:p w14:paraId="55EE35C1">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8" w:type="dxa"/>
          </w:tcPr>
          <w:p w14:paraId="2E911544">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tcPr>
          <w:p w14:paraId="0EE9979D">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326A2792">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2D7CD518">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8" w:type="dxa"/>
          </w:tcPr>
          <w:p w14:paraId="2907D761">
            <w:pPr>
              <w:spacing w:after="0"/>
              <w:jc w:val="center"/>
              <w:rPr>
                <w:rFonts w:hint="eastAsia" w:ascii="仿宋" w:hAnsi="仿宋" w:eastAsia="仿宋" w:cs="Times New Roman"/>
                <w:color w:val="auto"/>
                <w:szCs w:val="21"/>
                <w:highlight w:val="none"/>
              </w:rPr>
            </w:pPr>
          </w:p>
        </w:tc>
        <w:tc>
          <w:tcPr>
            <w:tcW w:w="851" w:type="dxa"/>
          </w:tcPr>
          <w:p w14:paraId="2CDE8007">
            <w:pPr>
              <w:spacing w:after="0"/>
              <w:jc w:val="center"/>
              <w:rPr>
                <w:rFonts w:hint="eastAsia" w:ascii="仿宋" w:hAnsi="仿宋" w:eastAsia="仿宋" w:cs="Times New Roman"/>
                <w:color w:val="auto"/>
                <w:szCs w:val="21"/>
                <w:highlight w:val="none"/>
              </w:rPr>
            </w:pPr>
          </w:p>
        </w:tc>
      </w:tr>
      <w:tr w14:paraId="0AF29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7BAD0FBB">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软件测试</w:t>
            </w:r>
          </w:p>
        </w:tc>
        <w:tc>
          <w:tcPr>
            <w:tcW w:w="709" w:type="dxa"/>
          </w:tcPr>
          <w:p w14:paraId="39417757">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tcPr>
          <w:p w14:paraId="1F8C0891">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8" w:type="dxa"/>
          </w:tcPr>
          <w:p w14:paraId="5A3172D9">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tcPr>
          <w:p w14:paraId="360FD64F">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189D689F">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69C36005">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8" w:type="dxa"/>
          </w:tcPr>
          <w:p w14:paraId="07478BDE">
            <w:pPr>
              <w:spacing w:after="0"/>
              <w:jc w:val="center"/>
              <w:rPr>
                <w:rFonts w:hint="eastAsia" w:ascii="仿宋" w:hAnsi="仿宋" w:eastAsia="仿宋" w:cs="Times New Roman"/>
                <w:color w:val="auto"/>
                <w:szCs w:val="21"/>
                <w:highlight w:val="none"/>
              </w:rPr>
            </w:pPr>
          </w:p>
        </w:tc>
        <w:tc>
          <w:tcPr>
            <w:tcW w:w="851" w:type="dxa"/>
          </w:tcPr>
          <w:p w14:paraId="5ECD7446">
            <w:pPr>
              <w:spacing w:after="0"/>
              <w:jc w:val="center"/>
              <w:rPr>
                <w:rFonts w:hint="eastAsia" w:ascii="仿宋" w:hAnsi="仿宋" w:eastAsia="仿宋" w:cs="Times New Roman"/>
                <w:color w:val="auto"/>
                <w:szCs w:val="21"/>
                <w:highlight w:val="none"/>
              </w:rPr>
            </w:pPr>
          </w:p>
        </w:tc>
      </w:tr>
      <w:tr w14:paraId="6D87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1885FD28">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第三方测试、密评、等保</w:t>
            </w:r>
          </w:p>
        </w:tc>
        <w:tc>
          <w:tcPr>
            <w:tcW w:w="709" w:type="dxa"/>
          </w:tcPr>
          <w:p w14:paraId="674DA785">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709" w:type="dxa"/>
          </w:tcPr>
          <w:p w14:paraId="292077CD">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8" w:type="dxa"/>
          </w:tcPr>
          <w:p w14:paraId="5DA0CF2F">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tcPr>
          <w:p w14:paraId="7D39247F">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143A27F5">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9" w:type="dxa"/>
            <w:shd w:val="clear" w:color="auto" w:fill="auto"/>
          </w:tcPr>
          <w:p w14:paraId="161B9362">
            <w:pPr>
              <w:spacing w:after="0"/>
              <w:jc w:val="center"/>
              <w:rPr>
                <w:rFonts w:hint="eastAsia" w:ascii="仿宋" w:hAnsi="仿宋" w:eastAsia="仿宋" w:cs="Times New Roman"/>
                <w:b/>
                <w:color w:val="auto"/>
                <w:szCs w:val="21"/>
                <w:highlight w:val="none"/>
              </w:rPr>
            </w:pPr>
            <w:r>
              <w:rPr>
                <w:rFonts w:ascii="仿宋" w:hAnsi="仿宋" w:eastAsia="仿宋" w:cs="Times New Roman"/>
                <w:b/>
                <w:color w:val="auto"/>
                <w:szCs w:val="21"/>
                <w:highlight w:val="none"/>
              </w:rPr>
              <w:t>√</w:t>
            </w:r>
          </w:p>
        </w:tc>
        <w:tc>
          <w:tcPr>
            <w:tcW w:w="708" w:type="dxa"/>
          </w:tcPr>
          <w:p w14:paraId="3AF1E4FA">
            <w:pPr>
              <w:spacing w:after="0"/>
              <w:jc w:val="center"/>
              <w:rPr>
                <w:rFonts w:hint="eastAsia" w:ascii="仿宋" w:hAnsi="仿宋" w:eastAsia="仿宋" w:cs="Times New Roman"/>
                <w:color w:val="auto"/>
                <w:szCs w:val="21"/>
                <w:highlight w:val="none"/>
              </w:rPr>
            </w:pPr>
          </w:p>
        </w:tc>
        <w:tc>
          <w:tcPr>
            <w:tcW w:w="851" w:type="dxa"/>
          </w:tcPr>
          <w:p w14:paraId="6CEA2482">
            <w:pPr>
              <w:spacing w:after="0"/>
              <w:jc w:val="center"/>
              <w:rPr>
                <w:rFonts w:hint="eastAsia" w:ascii="仿宋" w:hAnsi="仿宋" w:eastAsia="仿宋" w:cs="Times New Roman"/>
                <w:color w:val="auto"/>
                <w:szCs w:val="21"/>
                <w:highlight w:val="none"/>
              </w:rPr>
            </w:pPr>
          </w:p>
        </w:tc>
      </w:tr>
      <w:tr w14:paraId="36A83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014646CA">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实施部署</w:t>
            </w:r>
          </w:p>
        </w:tc>
        <w:tc>
          <w:tcPr>
            <w:tcW w:w="709" w:type="dxa"/>
          </w:tcPr>
          <w:p w14:paraId="00165A93">
            <w:pPr>
              <w:spacing w:after="0"/>
              <w:jc w:val="center"/>
              <w:rPr>
                <w:rFonts w:hint="eastAsia" w:ascii="仿宋" w:hAnsi="仿宋" w:eastAsia="仿宋" w:cs="Times New Roman"/>
                <w:color w:val="auto"/>
                <w:szCs w:val="21"/>
                <w:highlight w:val="none"/>
              </w:rPr>
            </w:pPr>
          </w:p>
        </w:tc>
        <w:tc>
          <w:tcPr>
            <w:tcW w:w="709" w:type="dxa"/>
          </w:tcPr>
          <w:p w14:paraId="749D6CCD">
            <w:pPr>
              <w:spacing w:after="0"/>
              <w:jc w:val="center"/>
              <w:rPr>
                <w:rFonts w:hint="eastAsia" w:ascii="仿宋" w:hAnsi="仿宋" w:eastAsia="仿宋" w:cs="Times New Roman"/>
                <w:color w:val="auto"/>
                <w:szCs w:val="21"/>
                <w:highlight w:val="none"/>
              </w:rPr>
            </w:pPr>
          </w:p>
        </w:tc>
        <w:tc>
          <w:tcPr>
            <w:tcW w:w="708" w:type="dxa"/>
          </w:tcPr>
          <w:p w14:paraId="5663F10A">
            <w:pPr>
              <w:spacing w:after="0"/>
              <w:jc w:val="center"/>
              <w:rPr>
                <w:rFonts w:hint="eastAsia" w:ascii="仿宋" w:hAnsi="仿宋" w:eastAsia="仿宋" w:cs="Times New Roman"/>
                <w:color w:val="auto"/>
                <w:szCs w:val="21"/>
                <w:highlight w:val="none"/>
              </w:rPr>
            </w:pPr>
          </w:p>
        </w:tc>
        <w:tc>
          <w:tcPr>
            <w:tcW w:w="709" w:type="dxa"/>
          </w:tcPr>
          <w:p w14:paraId="5322E413">
            <w:pPr>
              <w:spacing w:after="0"/>
              <w:jc w:val="center"/>
              <w:rPr>
                <w:rFonts w:hint="eastAsia" w:ascii="仿宋" w:hAnsi="仿宋" w:eastAsia="仿宋" w:cs="Times New Roman"/>
                <w:color w:val="auto"/>
                <w:szCs w:val="21"/>
                <w:highlight w:val="none"/>
              </w:rPr>
            </w:pPr>
          </w:p>
        </w:tc>
        <w:tc>
          <w:tcPr>
            <w:tcW w:w="709" w:type="dxa"/>
          </w:tcPr>
          <w:p w14:paraId="7C9485C4">
            <w:pPr>
              <w:spacing w:after="0"/>
              <w:jc w:val="center"/>
              <w:rPr>
                <w:rFonts w:hint="eastAsia" w:ascii="仿宋" w:hAnsi="仿宋" w:eastAsia="仿宋" w:cs="Times New Roman"/>
                <w:color w:val="auto"/>
                <w:szCs w:val="21"/>
                <w:highlight w:val="none"/>
              </w:rPr>
            </w:pPr>
          </w:p>
        </w:tc>
        <w:tc>
          <w:tcPr>
            <w:tcW w:w="709" w:type="dxa"/>
          </w:tcPr>
          <w:p w14:paraId="68DC9A60">
            <w:pPr>
              <w:spacing w:after="0"/>
              <w:jc w:val="center"/>
              <w:rPr>
                <w:rFonts w:hint="eastAsia" w:ascii="仿宋" w:hAnsi="仿宋" w:eastAsia="仿宋" w:cs="Times New Roman"/>
                <w:color w:val="auto"/>
                <w:szCs w:val="21"/>
                <w:highlight w:val="none"/>
              </w:rPr>
            </w:pPr>
          </w:p>
        </w:tc>
        <w:tc>
          <w:tcPr>
            <w:tcW w:w="708" w:type="dxa"/>
            <w:shd w:val="clear" w:color="auto" w:fill="auto"/>
          </w:tcPr>
          <w:p w14:paraId="721B3D8C">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851" w:type="dxa"/>
          </w:tcPr>
          <w:p w14:paraId="1A151A8C">
            <w:pPr>
              <w:spacing w:after="0"/>
              <w:jc w:val="center"/>
              <w:rPr>
                <w:rFonts w:hint="eastAsia" w:ascii="仿宋" w:hAnsi="仿宋" w:eastAsia="仿宋" w:cs="Times New Roman"/>
                <w:color w:val="auto"/>
                <w:szCs w:val="21"/>
                <w:highlight w:val="none"/>
              </w:rPr>
            </w:pPr>
          </w:p>
        </w:tc>
      </w:tr>
      <w:tr w14:paraId="3039C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6F0F2552">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系统初验</w:t>
            </w:r>
          </w:p>
        </w:tc>
        <w:tc>
          <w:tcPr>
            <w:tcW w:w="709" w:type="dxa"/>
          </w:tcPr>
          <w:p w14:paraId="3317A62A">
            <w:pPr>
              <w:spacing w:after="0"/>
              <w:jc w:val="center"/>
              <w:rPr>
                <w:rFonts w:hint="eastAsia" w:ascii="仿宋" w:hAnsi="仿宋" w:eastAsia="仿宋" w:cs="Times New Roman"/>
                <w:color w:val="auto"/>
                <w:szCs w:val="21"/>
                <w:highlight w:val="none"/>
              </w:rPr>
            </w:pPr>
          </w:p>
        </w:tc>
        <w:tc>
          <w:tcPr>
            <w:tcW w:w="709" w:type="dxa"/>
          </w:tcPr>
          <w:p w14:paraId="2D4E57F9">
            <w:pPr>
              <w:spacing w:after="0"/>
              <w:jc w:val="center"/>
              <w:rPr>
                <w:rFonts w:hint="eastAsia" w:ascii="仿宋" w:hAnsi="仿宋" w:eastAsia="仿宋" w:cs="Times New Roman"/>
                <w:color w:val="auto"/>
                <w:szCs w:val="21"/>
                <w:highlight w:val="none"/>
              </w:rPr>
            </w:pPr>
          </w:p>
        </w:tc>
        <w:tc>
          <w:tcPr>
            <w:tcW w:w="708" w:type="dxa"/>
          </w:tcPr>
          <w:p w14:paraId="3191C692">
            <w:pPr>
              <w:spacing w:after="0"/>
              <w:jc w:val="center"/>
              <w:rPr>
                <w:rFonts w:hint="eastAsia" w:ascii="仿宋" w:hAnsi="仿宋" w:eastAsia="仿宋" w:cs="Times New Roman"/>
                <w:color w:val="auto"/>
                <w:szCs w:val="21"/>
                <w:highlight w:val="none"/>
              </w:rPr>
            </w:pPr>
          </w:p>
        </w:tc>
        <w:tc>
          <w:tcPr>
            <w:tcW w:w="709" w:type="dxa"/>
          </w:tcPr>
          <w:p w14:paraId="407BA415">
            <w:pPr>
              <w:spacing w:after="0"/>
              <w:jc w:val="center"/>
              <w:rPr>
                <w:rFonts w:hint="eastAsia" w:ascii="仿宋" w:hAnsi="仿宋" w:eastAsia="仿宋" w:cs="Times New Roman"/>
                <w:color w:val="auto"/>
                <w:szCs w:val="21"/>
                <w:highlight w:val="none"/>
              </w:rPr>
            </w:pPr>
          </w:p>
        </w:tc>
        <w:tc>
          <w:tcPr>
            <w:tcW w:w="709" w:type="dxa"/>
          </w:tcPr>
          <w:p w14:paraId="625299AF">
            <w:pPr>
              <w:spacing w:after="0"/>
              <w:jc w:val="center"/>
              <w:rPr>
                <w:rFonts w:hint="eastAsia" w:ascii="仿宋" w:hAnsi="仿宋" w:eastAsia="仿宋" w:cs="Times New Roman"/>
                <w:color w:val="auto"/>
                <w:szCs w:val="21"/>
                <w:highlight w:val="none"/>
              </w:rPr>
            </w:pPr>
          </w:p>
        </w:tc>
        <w:tc>
          <w:tcPr>
            <w:tcW w:w="709" w:type="dxa"/>
          </w:tcPr>
          <w:p w14:paraId="15DEC989">
            <w:pPr>
              <w:spacing w:after="0"/>
              <w:jc w:val="center"/>
              <w:rPr>
                <w:rFonts w:hint="eastAsia" w:ascii="仿宋" w:hAnsi="仿宋" w:eastAsia="仿宋" w:cs="Times New Roman"/>
                <w:color w:val="auto"/>
                <w:szCs w:val="21"/>
                <w:highlight w:val="none"/>
              </w:rPr>
            </w:pPr>
          </w:p>
        </w:tc>
        <w:tc>
          <w:tcPr>
            <w:tcW w:w="708" w:type="dxa"/>
            <w:shd w:val="clear" w:color="auto" w:fill="auto"/>
          </w:tcPr>
          <w:p w14:paraId="1EE64305">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851" w:type="dxa"/>
          </w:tcPr>
          <w:p w14:paraId="02A5DDC7">
            <w:pPr>
              <w:spacing w:after="0"/>
              <w:jc w:val="center"/>
              <w:rPr>
                <w:rFonts w:hint="eastAsia" w:ascii="仿宋" w:hAnsi="仿宋" w:eastAsia="仿宋" w:cs="Times New Roman"/>
                <w:color w:val="auto"/>
                <w:szCs w:val="21"/>
                <w:highlight w:val="none"/>
              </w:rPr>
            </w:pPr>
          </w:p>
        </w:tc>
      </w:tr>
      <w:tr w14:paraId="3E9FF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34D24C56">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试运行及问题完善</w:t>
            </w:r>
          </w:p>
        </w:tc>
        <w:tc>
          <w:tcPr>
            <w:tcW w:w="709" w:type="dxa"/>
          </w:tcPr>
          <w:p w14:paraId="02C752CB">
            <w:pPr>
              <w:spacing w:after="0"/>
              <w:jc w:val="center"/>
              <w:rPr>
                <w:rFonts w:hint="eastAsia" w:ascii="仿宋" w:hAnsi="仿宋" w:eastAsia="仿宋" w:cs="Times New Roman"/>
                <w:color w:val="auto"/>
                <w:szCs w:val="21"/>
                <w:highlight w:val="none"/>
              </w:rPr>
            </w:pPr>
          </w:p>
        </w:tc>
        <w:tc>
          <w:tcPr>
            <w:tcW w:w="709" w:type="dxa"/>
          </w:tcPr>
          <w:p w14:paraId="33BFD72A">
            <w:pPr>
              <w:spacing w:after="0"/>
              <w:jc w:val="center"/>
              <w:rPr>
                <w:rFonts w:hint="eastAsia" w:ascii="仿宋" w:hAnsi="仿宋" w:eastAsia="仿宋" w:cs="Times New Roman"/>
                <w:color w:val="auto"/>
                <w:szCs w:val="21"/>
                <w:highlight w:val="none"/>
              </w:rPr>
            </w:pPr>
          </w:p>
        </w:tc>
        <w:tc>
          <w:tcPr>
            <w:tcW w:w="708" w:type="dxa"/>
          </w:tcPr>
          <w:p w14:paraId="61AE408C">
            <w:pPr>
              <w:spacing w:after="0"/>
              <w:jc w:val="center"/>
              <w:rPr>
                <w:rFonts w:hint="eastAsia" w:ascii="仿宋" w:hAnsi="仿宋" w:eastAsia="仿宋" w:cs="Times New Roman"/>
                <w:color w:val="auto"/>
                <w:szCs w:val="21"/>
                <w:highlight w:val="none"/>
              </w:rPr>
            </w:pPr>
          </w:p>
        </w:tc>
        <w:tc>
          <w:tcPr>
            <w:tcW w:w="709" w:type="dxa"/>
          </w:tcPr>
          <w:p w14:paraId="74EF26FA">
            <w:pPr>
              <w:spacing w:after="0"/>
              <w:jc w:val="center"/>
              <w:rPr>
                <w:rFonts w:hint="eastAsia" w:ascii="仿宋" w:hAnsi="仿宋" w:eastAsia="仿宋" w:cs="Times New Roman"/>
                <w:color w:val="auto"/>
                <w:szCs w:val="21"/>
                <w:highlight w:val="none"/>
              </w:rPr>
            </w:pPr>
          </w:p>
        </w:tc>
        <w:tc>
          <w:tcPr>
            <w:tcW w:w="709" w:type="dxa"/>
          </w:tcPr>
          <w:p w14:paraId="15B74926">
            <w:pPr>
              <w:spacing w:after="0"/>
              <w:jc w:val="center"/>
              <w:rPr>
                <w:rFonts w:hint="eastAsia" w:ascii="仿宋" w:hAnsi="仿宋" w:eastAsia="仿宋" w:cs="Times New Roman"/>
                <w:color w:val="auto"/>
                <w:szCs w:val="21"/>
                <w:highlight w:val="none"/>
              </w:rPr>
            </w:pPr>
          </w:p>
        </w:tc>
        <w:tc>
          <w:tcPr>
            <w:tcW w:w="709" w:type="dxa"/>
          </w:tcPr>
          <w:p w14:paraId="337DE1E4">
            <w:pPr>
              <w:spacing w:after="0"/>
              <w:jc w:val="center"/>
              <w:rPr>
                <w:rFonts w:hint="eastAsia" w:ascii="仿宋" w:hAnsi="仿宋" w:eastAsia="仿宋" w:cs="Times New Roman"/>
                <w:color w:val="auto"/>
                <w:szCs w:val="21"/>
                <w:highlight w:val="none"/>
              </w:rPr>
            </w:pPr>
          </w:p>
        </w:tc>
        <w:tc>
          <w:tcPr>
            <w:tcW w:w="708" w:type="dxa"/>
          </w:tcPr>
          <w:p w14:paraId="7F4FAC4F">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851" w:type="dxa"/>
          </w:tcPr>
          <w:p w14:paraId="2E9253A7">
            <w:pPr>
              <w:spacing w:after="0"/>
              <w:jc w:val="center"/>
              <w:rPr>
                <w:rFonts w:hint="eastAsia" w:ascii="仿宋" w:hAnsi="仿宋" w:eastAsia="仿宋" w:cs="Times New Roman"/>
                <w:color w:val="auto"/>
                <w:szCs w:val="21"/>
                <w:highlight w:val="none"/>
              </w:rPr>
            </w:pPr>
          </w:p>
        </w:tc>
      </w:tr>
      <w:tr w14:paraId="68128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1A083206">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系统终验（含准备）</w:t>
            </w:r>
          </w:p>
        </w:tc>
        <w:tc>
          <w:tcPr>
            <w:tcW w:w="709" w:type="dxa"/>
          </w:tcPr>
          <w:p w14:paraId="4773DE08">
            <w:pPr>
              <w:spacing w:after="0"/>
              <w:jc w:val="center"/>
              <w:rPr>
                <w:rFonts w:hint="eastAsia" w:ascii="仿宋" w:hAnsi="仿宋" w:eastAsia="仿宋" w:cs="Times New Roman"/>
                <w:color w:val="auto"/>
                <w:szCs w:val="21"/>
                <w:highlight w:val="none"/>
              </w:rPr>
            </w:pPr>
          </w:p>
        </w:tc>
        <w:tc>
          <w:tcPr>
            <w:tcW w:w="709" w:type="dxa"/>
          </w:tcPr>
          <w:p w14:paraId="4319A82E">
            <w:pPr>
              <w:spacing w:after="0"/>
              <w:jc w:val="center"/>
              <w:rPr>
                <w:rFonts w:hint="eastAsia" w:ascii="仿宋" w:hAnsi="仿宋" w:eastAsia="仿宋" w:cs="Times New Roman"/>
                <w:color w:val="auto"/>
                <w:szCs w:val="21"/>
                <w:highlight w:val="none"/>
              </w:rPr>
            </w:pPr>
          </w:p>
        </w:tc>
        <w:tc>
          <w:tcPr>
            <w:tcW w:w="708" w:type="dxa"/>
          </w:tcPr>
          <w:p w14:paraId="4A55CD4B">
            <w:pPr>
              <w:spacing w:after="0"/>
              <w:jc w:val="center"/>
              <w:rPr>
                <w:rFonts w:hint="eastAsia" w:ascii="仿宋" w:hAnsi="仿宋" w:eastAsia="仿宋" w:cs="Times New Roman"/>
                <w:color w:val="auto"/>
                <w:szCs w:val="21"/>
                <w:highlight w:val="none"/>
              </w:rPr>
            </w:pPr>
          </w:p>
        </w:tc>
        <w:tc>
          <w:tcPr>
            <w:tcW w:w="709" w:type="dxa"/>
          </w:tcPr>
          <w:p w14:paraId="58B19541">
            <w:pPr>
              <w:spacing w:after="0"/>
              <w:jc w:val="center"/>
              <w:rPr>
                <w:rFonts w:hint="eastAsia" w:ascii="仿宋" w:hAnsi="仿宋" w:eastAsia="仿宋" w:cs="Times New Roman"/>
                <w:color w:val="auto"/>
                <w:szCs w:val="21"/>
                <w:highlight w:val="none"/>
              </w:rPr>
            </w:pPr>
          </w:p>
        </w:tc>
        <w:tc>
          <w:tcPr>
            <w:tcW w:w="709" w:type="dxa"/>
          </w:tcPr>
          <w:p w14:paraId="2FB7C4BE">
            <w:pPr>
              <w:spacing w:after="0"/>
              <w:jc w:val="center"/>
              <w:rPr>
                <w:rFonts w:hint="eastAsia" w:ascii="仿宋" w:hAnsi="仿宋" w:eastAsia="仿宋" w:cs="Times New Roman"/>
                <w:color w:val="auto"/>
                <w:szCs w:val="21"/>
                <w:highlight w:val="none"/>
              </w:rPr>
            </w:pPr>
          </w:p>
        </w:tc>
        <w:tc>
          <w:tcPr>
            <w:tcW w:w="709" w:type="dxa"/>
          </w:tcPr>
          <w:p w14:paraId="3803769B">
            <w:pPr>
              <w:spacing w:after="0"/>
              <w:jc w:val="center"/>
              <w:rPr>
                <w:rFonts w:hint="eastAsia" w:ascii="仿宋" w:hAnsi="仿宋" w:eastAsia="仿宋" w:cs="Times New Roman"/>
                <w:color w:val="auto"/>
                <w:szCs w:val="21"/>
                <w:highlight w:val="none"/>
              </w:rPr>
            </w:pPr>
          </w:p>
        </w:tc>
        <w:tc>
          <w:tcPr>
            <w:tcW w:w="708" w:type="dxa"/>
          </w:tcPr>
          <w:p w14:paraId="77E9DA05">
            <w:pPr>
              <w:spacing w:after="0"/>
              <w:jc w:val="center"/>
              <w:rPr>
                <w:rFonts w:hint="eastAsia" w:ascii="仿宋" w:hAnsi="仿宋" w:eastAsia="仿宋" w:cs="Times New Roman"/>
                <w:color w:val="auto"/>
                <w:szCs w:val="21"/>
                <w:highlight w:val="none"/>
              </w:rPr>
            </w:pPr>
          </w:p>
        </w:tc>
        <w:tc>
          <w:tcPr>
            <w:tcW w:w="851" w:type="dxa"/>
          </w:tcPr>
          <w:p w14:paraId="615DD71E">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r>
      <w:tr w14:paraId="36A82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0" w:type="dxa"/>
            <w:vAlign w:val="center"/>
          </w:tcPr>
          <w:p w14:paraId="2A41C50E">
            <w:pPr>
              <w:spacing w:after="0"/>
              <w:rPr>
                <w:rFonts w:hint="eastAsia" w:ascii="仿宋" w:hAnsi="仿宋" w:eastAsia="仿宋" w:cs="Times New Roman"/>
                <w:color w:val="auto"/>
                <w:szCs w:val="21"/>
                <w:highlight w:val="none"/>
              </w:rPr>
            </w:pPr>
            <w:r>
              <w:rPr>
                <w:rFonts w:ascii="仿宋" w:hAnsi="仿宋" w:eastAsia="仿宋" w:cs="Times New Roman"/>
                <w:color w:val="auto"/>
                <w:szCs w:val="21"/>
                <w:highlight w:val="none"/>
              </w:rPr>
              <w:t>系统运维</w:t>
            </w:r>
          </w:p>
        </w:tc>
        <w:tc>
          <w:tcPr>
            <w:tcW w:w="709" w:type="dxa"/>
          </w:tcPr>
          <w:p w14:paraId="383164E8">
            <w:pPr>
              <w:spacing w:after="0"/>
              <w:jc w:val="center"/>
              <w:rPr>
                <w:rFonts w:hint="eastAsia" w:ascii="仿宋" w:hAnsi="仿宋" w:eastAsia="仿宋" w:cs="Times New Roman"/>
                <w:color w:val="auto"/>
                <w:szCs w:val="21"/>
                <w:highlight w:val="none"/>
              </w:rPr>
            </w:pPr>
          </w:p>
        </w:tc>
        <w:tc>
          <w:tcPr>
            <w:tcW w:w="709" w:type="dxa"/>
          </w:tcPr>
          <w:p w14:paraId="59F8E24F">
            <w:pPr>
              <w:spacing w:after="0"/>
              <w:jc w:val="center"/>
              <w:rPr>
                <w:rFonts w:hint="eastAsia" w:ascii="仿宋" w:hAnsi="仿宋" w:eastAsia="仿宋" w:cs="Times New Roman"/>
                <w:color w:val="auto"/>
                <w:szCs w:val="21"/>
                <w:highlight w:val="none"/>
              </w:rPr>
            </w:pPr>
          </w:p>
        </w:tc>
        <w:tc>
          <w:tcPr>
            <w:tcW w:w="708" w:type="dxa"/>
          </w:tcPr>
          <w:p w14:paraId="3C0EDC39">
            <w:pPr>
              <w:spacing w:after="0"/>
              <w:jc w:val="center"/>
              <w:rPr>
                <w:rFonts w:hint="eastAsia" w:ascii="仿宋" w:hAnsi="仿宋" w:eastAsia="仿宋" w:cs="Times New Roman"/>
                <w:color w:val="auto"/>
                <w:szCs w:val="21"/>
                <w:highlight w:val="none"/>
              </w:rPr>
            </w:pPr>
          </w:p>
        </w:tc>
        <w:tc>
          <w:tcPr>
            <w:tcW w:w="709" w:type="dxa"/>
          </w:tcPr>
          <w:p w14:paraId="21234349">
            <w:pPr>
              <w:spacing w:after="0"/>
              <w:jc w:val="center"/>
              <w:rPr>
                <w:rFonts w:hint="eastAsia" w:ascii="仿宋" w:hAnsi="仿宋" w:eastAsia="仿宋" w:cs="Times New Roman"/>
                <w:color w:val="auto"/>
                <w:szCs w:val="21"/>
                <w:highlight w:val="none"/>
              </w:rPr>
            </w:pPr>
          </w:p>
        </w:tc>
        <w:tc>
          <w:tcPr>
            <w:tcW w:w="709" w:type="dxa"/>
          </w:tcPr>
          <w:p w14:paraId="60D9136C">
            <w:pPr>
              <w:spacing w:after="0"/>
              <w:jc w:val="center"/>
              <w:rPr>
                <w:rFonts w:hint="eastAsia" w:ascii="仿宋" w:hAnsi="仿宋" w:eastAsia="仿宋" w:cs="Times New Roman"/>
                <w:color w:val="auto"/>
                <w:szCs w:val="21"/>
                <w:highlight w:val="none"/>
              </w:rPr>
            </w:pPr>
          </w:p>
        </w:tc>
        <w:tc>
          <w:tcPr>
            <w:tcW w:w="709" w:type="dxa"/>
          </w:tcPr>
          <w:p w14:paraId="02CAF027">
            <w:pPr>
              <w:spacing w:after="0"/>
              <w:jc w:val="center"/>
              <w:rPr>
                <w:rFonts w:hint="eastAsia" w:ascii="仿宋" w:hAnsi="仿宋" w:eastAsia="仿宋" w:cs="Times New Roman"/>
                <w:color w:val="auto"/>
                <w:szCs w:val="21"/>
                <w:highlight w:val="none"/>
              </w:rPr>
            </w:pPr>
          </w:p>
        </w:tc>
        <w:tc>
          <w:tcPr>
            <w:tcW w:w="708" w:type="dxa"/>
          </w:tcPr>
          <w:p w14:paraId="3E6BBA72">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c>
          <w:tcPr>
            <w:tcW w:w="851" w:type="dxa"/>
          </w:tcPr>
          <w:p w14:paraId="45DC7CAF">
            <w:pPr>
              <w:spacing w:after="0"/>
              <w:jc w:val="center"/>
              <w:rPr>
                <w:rFonts w:hint="eastAsia" w:ascii="仿宋" w:hAnsi="仿宋" w:eastAsia="仿宋" w:cs="Times New Roman"/>
                <w:color w:val="auto"/>
                <w:szCs w:val="21"/>
                <w:highlight w:val="none"/>
              </w:rPr>
            </w:pPr>
            <w:r>
              <w:rPr>
                <w:rFonts w:ascii="仿宋" w:hAnsi="仿宋" w:eastAsia="仿宋" w:cs="Times New Roman"/>
                <w:b/>
                <w:color w:val="auto"/>
                <w:szCs w:val="21"/>
                <w:highlight w:val="none"/>
              </w:rPr>
              <w:t>√</w:t>
            </w:r>
          </w:p>
        </w:tc>
      </w:tr>
    </w:tbl>
    <w:p w14:paraId="6C8D42E0">
      <w:pPr>
        <w:spacing w:after="0"/>
        <w:ind w:firstLine="422" w:firstLineChars="200"/>
        <w:jc w:val="center"/>
        <w:rPr>
          <w:rFonts w:hint="eastAsia" w:ascii="仿宋" w:hAnsi="仿宋" w:eastAsia="仿宋" w:cs="Times New Roman"/>
          <w:b/>
          <w:color w:val="auto"/>
          <w:szCs w:val="21"/>
          <w:highlight w:val="none"/>
        </w:rPr>
      </w:pPr>
    </w:p>
    <w:p w14:paraId="024B69F0">
      <w:pPr>
        <w:spacing w:after="0" w:line="600" w:lineRule="exact"/>
        <w:ind w:firstLine="643" w:firstLineChars="200"/>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第一阶段</w:t>
      </w:r>
    </w:p>
    <w:p w14:paraId="222BD8A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阶段任务：项目启动和需求分析</w:t>
      </w:r>
    </w:p>
    <w:p w14:paraId="07236EE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工作内容：项目启动，完成项目进度计划制定；开展用户单位需求调研，编写需求规格说明书并细化实施方案。通过采购单位组织的需求评审工作。</w:t>
      </w:r>
    </w:p>
    <w:p w14:paraId="7562D53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参加人员：项目经理、技术负责人、项目管理组、需求调研组、用户方相关工作人员。</w:t>
      </w:r>
    </w:p>
    <w:p w14:paraId="6B9B2A8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时间安排：项目启动后1个月内完成。</w:t>
      </w:r>
    </w:p>
    <w:p w14:paraId="3ABC2F47">
      <w:pPr>
        <w:spacing w:after="0" w:line="600" w:lineRule="exact"/>
        <w:ind w:firstLine="643" w:firstLineChars="200"/>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第二阶段</w:t>
      </w:r>
    </w:p>
    <w:p w14:paraId="606E785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阶段任务：系统设计</w:t>
      </w:r>
    </w:p>
    <w:p w14:paraId="090C126E">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工作内容：开展系统分析，进行系统概要和详细设计说明书编制。通过采购单位组织的系统设计评审工作。</w:t>
      </w:r>
    </w:p>
    <w:p w14:paraId="2F2BB17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参加人员：项目经理、项目管理组、业务支持组、系统设计组、软件开发组、采购方相关工作人员。</w:t>
      </w:r>
    </w:p>
    <w:p w14:paraId="3A451D12">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时间安排：项目启动后1个月内完成。</w:t>
      </w:r>
    </w:p>
    <w:p w14:paraId="0878FD68">
      <w:pPr>
        <w:spacing w:after="0" w:line="600" w:lineRule="exact"/>
        <w:ind w:firstLine="643" w:firstLineChars="200"/>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第三阶段</w:t>
      </w:r>
    </w:p>
    <w:p w14:paraId="249E254C">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阶段任务：系统开发、实施部署，完成外部系统对接，完善项目测试、验收方案，通过系统初验，系统发布进入试运行</w:t>
      </w:r>
    </w:p>
    <w:p w14:paraId="62099605">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工作内容：具体完成项目的全部系统开发工作，并做好和相关各系统的对接工作。完成系统测试并正式部署，完善项目验收方案。经采购人审核通过，进行项目初验。</w:t>
      </w:r>
    </w:p>
    <w:p w14:paraId="24CD2D9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参加人员：项目经理、技术负责人、软件开发组、系统测试组、用户方相关工作人员、采购方相关工作人员。</w:t>
      </w:r>
    </w:p>
    <w:p w14:paraId="6E5B93C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时间安排：项目启动后2个月内完成。</w:t>
      </w:r>
    </w:p>
    <w:p w14:paraId="4A4259BE">
      <w:pPr>
        <w:spacing w:after="0" w:line="600" w:lineRule="exact"/>
        <w:ind w:firstLine="643" w:firstLineChars="200"/>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第四阶段</w:t>
      </w:r>
    </w:p>
    <w:p w14:paraId="6E79BD7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阶段任务：系统试运行</w:t>
      </w:r>
    </w:p>
    <w:p w14:paraId="4F6575B6">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工作内容：完成系统试运行工作，正式交付使用，通过系统性能测试、安全性测试，并准备项目验收所需的材料。系统试运行期间安排专人提供7*24小时应急处理和响应服务。</w:t>
      </w:r>
    </w:p>
    <w:p w14:paraId="0261A30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参加人员：项目经理、技术负责人、软件开发组、实施维护组、系统测试组、用户方相关工作人员、采购方相关工作人员。</w:t>
      </w:r>
    </w:p>
    <w:p w14:paraId="76B9250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时间安排：项目启动后5个月内完成。</w:t>
      </w:r>
    </w:p>
    <w:p w14:paraId="37CF632E">
      <w:pPr>
        <w:spacing w:after="0" w:line="600" w:lineRule="exact"/>
        <w:ind w:firstLine="643" w:firstLineChars="200"/>
        <w:rPr>
          <w:rFonts w:hint="eastAsia" w:ascii="仿宋" w:hAnsi="仿宋" w:eastAsia="仿宋" w:cs="Times New Roman"/>
          <w:b/>
          <w:bCs/>
          <w:color w:val="auto"/>
          <w:sz w:val="32"/>
          <w:szCs w:val="32"/>
          <w:highlight w:val="none"/>
        </w:rPr>
      </w:pPr>
      <w:r>
        <w:rPr>
          <w:rFonts w:ascii="仿宋" w:hAnsi="仿宋" w:eastAsia="仿宋" w:cs="Times New Roman"/>
          <w:b/>
          <w:bCs/>
          <w:color w:val="auto"/>
          <w:sz w:val="32"/>
          <w:szCs w:val="32"/>
          <w:highlight w:val="none"/>
        </w:rPr>
        <w:t>第五阶段</w:t>
      </w:r>
    </w:p>
    <w:p w14:paraId="2A1CA511">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阶段任务：验收和运行维护</w:t>
      </w:r>
    </w:p>
    <w:p w14:paraId="27F5505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项目完成试运行后，进行项目终验。验收通过后提供一年维护。</w:t>
      </w:r>
    </w:p>
    <w:p w14:paraId="091831A3">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参加人员：项目经理、技术负责人、实施维护组、采购方相关工作人员。</w:t>
      </w:r>
    </w:p>
    <w:p w14:paraId="003502C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时间安排：验收合格后持续1年。</w:t>
      </w:r>
    </w:p>
    <w:p w14:paraId="0CB72CA3">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11" w:name="_Toc31255"/>
      <w:r>
        <w:rPr>
          <w:rFonts w:ascii="仿宋" w:hAnsi="仿宋" w:eastAsia="仿宋" w:cs="Times New Roman"/>
          <w:b/>
          <w:bCs/>
          <w:color w:val="auto"/>
          <w:sz w:val="32"/>
          <w:szCs w:val="32"/>
          <w:highlight w:val="none"/>
        </w:rPr>
        <w:t>资金管理方式</w:t>
      </w:r>
      <w:bookmarkEnd w:id="209"/>
      <w:bookmarkEnd w:id="210"/>
      <w:bookmarkEnd w:id="211"/>
    </w:p>
    <w:p w14:paraId="6A38151F">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项目资金列入202</w:t>
      </w:r>
      <w:r>
        <w:rPr>
          <w:rFonts w:hint="eastAsia" w:ascii="仿宋" w:hAnsi="仿宋" w:eastAsia="仿宋" w:cs="Times New Roman"/>
          <w:color w:val="auto"/>
          <w:sz w:val="32"/>
          <w:szCs w:val="32"/>
          <w:highlight w:val="none"/>
        </w:rPr>
        <w:t>5</w:t>
      </w:r>
      <w:r>
        <w:rPr>
          <w:rFonts w:ascii="仿宋" w:hAnsi="仿宋" w:eastAsia="仿宋" w:cs="Times New Roman"/>
          <w:color w:val="auto"/>
          <w:sz w:val="32"/>
          <w:szCs w:val="32"/>
          <w:highlight w:val="none"/>
        </w:rPr>
        <w:t>年电子政务项目建设资金。按照政府有关项目管理、经费使用要求，制定严格的经费管理规定，实行专款专用，按照财务规定严格执行。</w:t>
      </w:r>
    </w:p>
    <w:p w14:paraId="048F3F6A">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12" w:name="_Toc3009"/>
      <w:bookmarkStart w:id="213" w:name="_Toc31046"/>
      <w:bookmarkStart w:id="214" w:name="_Toc32457"/>
      <w:r>
        <w:rPr>
          <w:rFonts w:ascii="仿宋" w:hAnsi="仿宋" w:eastAsia="仿宋" w:cs="Times New Roman"/>
          <w:b/>
          <w:bCs/>
          <w:color w:val="auto"/>
          <w:sz w:val="32"/>
          <w:szCs w:val="32"/>
          <w:highlight w:val="none"/>
        </w:rPr>
        <w:t>人员培训需求和计划</w:t>
      </w:r>
      <w:bookmarkEnd w:id="212"/>
      <w:bookmarkEnd w:id="213"/>
      <w:bookmarkEnd w:id="214"/>
    </w:p>
    <w:p w14:paraId="0680850D">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简要概述培训对象、培训内容和培训方式。</w:t>
      </w:r>
    </w:p>
    <w:p w14:paraId="0B7CF867">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包括但不限于，经分析论证提出包括培训目标、培训内容、课时、授课人员、费用标准、培训单位及人员数量、培训地点等内容的培训计划。具体可描述通过培训达到的信息化人力资源建设目标；提供项目相关业务人员和技术人员的培训计划；明确人员类型和数量、培训内容、时间、成绩等。</w:t>
      </w:r>
    </w:p>
    <w:p w14:paraId="54522F21">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培训对象</w:t>
      </w:r>
    </w:p>
    <w:p w14:paraId="6FE6E92A">
      <w:pPr>
        <w:numPr>
          <w:ilvl w:val="0"/>
          <w:numId w:val="14"/>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直接用户</w:t>
      </w:r>
      <w:r>
        <w:rPr>
          <w:rFonts w:ascii="仿宋" w:hAnsi="仿宋" w:eastAsia="仿宋" w:cs="Times New Roman"/>
          <w:color w:val="auto"/>
          <w:sz w:val="32"/>
          <w:szCs w:val="32"/>
          <w:highlight w:val="none"/>
        </w:rPr>
        <w:t>：直接使用新系统的人员。</w:t>
      </w:r>
    </w:p>
    <w:p w14:paraId="088BEAD8">
      <w:pPr>
        <w:numPr>
          <w:ilvl w:val="0"/>
          <w:numId w:val="14"/>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管理人员</w:t>
      </w:r>
      <w:r>
        <w:rPr>
          <w:rFonts w:ascii="仿宋" w:hAnsi="仿宋" w:eastAsia="仿宋" w:cs="Times New Roman"/>
          <w:color w:val="auto"/>
          <w:sz w:val="32"/>
          <w:szCs w:val="32"/>
          <w:highlight w:val="none"/>
        </w:rPr>
        <w:t>：负责监督系统运行或协调相关工作的中高层管理人员。</w:t>
      </w:r>
    </w:p>
    <w:p w14:paraId="7ABD1A3C">
      <w:pPr>
        <w:numPr>
          <w:ilvl w:val="0"/>
          <w:numId w:val="14"/>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IT支持团队</w:t>
      </w:r>
      <w:r>
        <w:rPr>
          <w:rFonts w:ascii="仿宋" w:hAnsi="仿宋" w:eastAsia="仿宋" w:cs="Times New Roman"/>
          <w:color w:val="auto"/>
          <w:sz w:val="32"/>
          <w:szCs w:val="32"/>
          <w:highlight w:val="none"/>
        </w:rPr>
        <w:t>：负责维护和支持新系统的IT技术人员。</w:t>
      </w:r>
    </w:p>
    <w:p w14:paraId="43A471B9">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培训目标</w:t>
      </w:r>
    </w:p>
    <w:p w14:paraId="16AB9EDA">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培训的目标是确保所有相关人员能够理解系统功能，掌握操作技能，具备数据处理能力，有效地使用系统，从而提高工作效率，保障业务流程的顺畅开展。</w:t>
      </w:r>
    </w:p>
    <w:p w14:paraId="50F9C01A">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培训内容</w:t>
      </w:r>
    </w:p>
    <w:p w14:paraId="184B740C">
      <w:pPr>
        <w:numPr>
          <w:ilvl w:val="0"/>
          <w:numId w:val="15"/>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系统概览</w:t>
      </w:r>
      <w:r>
        <w:rPr>
          <w:rFonts w:ascii="仿宋" w:hAnsi="仿宋" w:eastAsia="仿宋" w:cs="Times New Roman"/>
          <w:color w:val="auto"/>
          <w:sz w:val="32"/>
          <w:szCs w:val="32"/>
          <w:highlight w:val="none"/>
        </w:rPr>
        <w:t>：介绍新系统的基本架构、功能模块及其对企业运营的影响。</w:t>
      </w:r>
    </w:p>
    <w:p w14:paraId="21AFB898">
      <w:pPr>
        <w:numPr>
          <w:ilvl w:val="0"/>
          <w:numId w:val="15"/>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操作指南</w:t>
      </w:r>
      <w:r>
        <w:rPr>
          <w:rFonts w:ascii="仿宋" w:hAnsi="仿宋" w:eastAsia="仿宋" w:cs="Times New Roman"/>
          <w:color w:val="auto"/>
          <w:sz w:val="32"/>
          <w:szCs w:val="32"/>
          <w:highlight w:val="none"/>
        </w:rPr>
        <w:t>：详细讲解新系统的使用方法，包括但不限于登录、数据输入、查询、报表生成等日常操作。</w:t>
      </w:r>
    </w:p>
    <w:p w14:paraId="6D495697">
      <w:pPr>
        <w:numPr>
          <w:ilvl w:val="0"/>
          <w:numId w:val="15"/>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常见问题处理</w:t>
      </w:r>
      <w:r>
        <w:rPr>
          <w:rFonts w:ascii="仿宋" w:hAnsi="仿宋" w:eastAsia="仿宋" w:cs="Times New Roman"/>
          <w:color w:val="auto"/>
          <w:sz w:val="32"/>
          <w:szCs w:val="32"/>
          <w:highlight w:val="none"/>
        </w:rPr>
        <w:t>：列出在使用过程中可能出现的问题及其解决方案。</w:t>
      </w:r>
    </w:p>
    <w:p w14:paraId="318BC19D">
      <w:pPr>
        <w:numPr>
          <w:ilvl w:val="0"/>
          <w:numId w:val="15"/>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数据迁移与整合</w:t>
      </w:r>
      <w:r>
        <w:rPr>
          <w:rFonts w:ascii="仿宋" w:hAnsi="仿宋" w:eastAsia="仿宋" w:cs="Times New Roman"/>
          <w:color w:val="auto"/>
          <w:sz w:val="32"/>
          <w:szCs w:val="32"/>
          <w:highlight w:val="none"/>
        </w:rPr>
        <w:t>：如果涉及到从旧系统向新系统的数据迁移，则需要说明具体步骤和注意事项。</w:t>
      </w:r>
    </w:p>
    <w:p w14:paraId="598F6718">
      <w:pPr>
        <w:numPr>
          <w:ilvl w:val="0"/>
          <w:numId w:val="15"/>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安全与合规性</w:t>
      </w:r>
      <w:r>
        <w:rPr>
          <w:rFonts w:ascii="仿宋" w:hAnsi="仿宋" w:eastAsia="仿宋" w:cs="Times New Roman"/>
          <w:color w:val="auto"/>
          <w:sz w:val="32"/>
          <w:szCs w:val="32"/>
          <w:highlight w:val="none"/>
        </w:rPr>
        <w:t>：强调数据保护的重要性，包括用户隐私保护措施、密码策略、访问权限控制等。</w:t>
      </w:r>
    </w:p>
    <w:p w14:paraId="6D72F35C">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培训方式</w:t>
      </w:r>
    </w:p>
    <w:p w14:paraId="6DEF02FC">
      <w:pPr>
        <w:numPr>
          <w:ilvl w:val="0"/>
          <w:numId w:val="16"/>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现场演示</w:t>
      </w:r>
      <w:r>
        <w:rPr>
          <w:rFonts w:ascii="仿宋" w:hAnsi="仿宋" w:eastAsia="仿宋" w:cs="Times New Roman"/>
          <w:color w:val="auto"/>
          <w:sz w:val="32"/>
          <w:szCs w:val="32"/>
          <w:highlight w:val="none"/>
        </w:rPr>
        <w:t>：通过现场演示的方式让培训对象直观地了解新系统的操作流程。</w:t>
      </w:r>
    </w:p>
    <w:p w14:paraId="0552736A">
      <w:pPr>
        <w:numPr>
          <w:ilvl w:val="0"/>
          <w:numId w:val="16"/>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实操练习</w:t>
      </w:r>
      <w:r>
        <w:rPr>
          <w:rFonts w:ascii="仿宋" w:hAnsi="仿宋" w:eastAsia="仿宋" w:cs="Times New Roman"/>
          <w:color w:val="auto"/>
          <w:sz w:val="32"/>
          <w:szCs w:val="32"/>
          <w:highlight w:val="none"/>
        </w:rPr>
        <w:t>：设置模拟场景或提供测试环境，让培训对象亲手操作，熟悉系统功能。</w:t>
      </w:r>
    </w:p>
    <w:p w14:paraId="47225258">
      <w:pPr>
        <w:numPr>
          <w:ilvl w:val="0"/>
          <w:numId w:val="16"/>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在线视频教程</w:t>
      </w:r>
      <w:r>
        <w:rPr>
          <w:rFonts w:ascii="仿宋" w:hAnsi="仿宋" w:eastAsia="仿宋" w:cs="Times New Roman"/>
          <w:color w:val="auto"/>
          <w:sz w:val="32"/>
          <w:szCs w:val="32"/>
          <w:highlight w:val="none"/>
        </w:rPr>
        <w:t>：录制操作视频供培训对象随时观看学习。</w:t>
      </w:r>
    </w:p>
    <w:p w14:paraId="0ABDD396">
      <w:pPr>
        <w:numPr>
          <w:ilvl w:val="0"/>
          <w:numId w:val="16"/>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Q&amp;A环节</w:t>
      </w:r>
      <w:r>
        <w:rPr>
          <w:rFonts w:ascii="仿宋" w:hAnsi="仿宋" w:eastAsia="仿宋" w:cs="Times New Roman"/>
          <w:color w:val="auto"/>
          <w:sz w:val="32"/>
          <w:szCs w:val="32"/>
          <w:highlight w:val="none"/>
        </w:rPr>
        <w:t>：预留时间解答培训对象在培训过程中产生的疑问。</w:t>
      </w:r>
    </w:p>
    <w:p w14:paraId="2F6ADE43">
      <w:pPr>
        <w:numPr>
          <w:ilvl w:val="0"/>
          <w:numId w:val="16"/>
        </w:numPr>
        <w:spacing w:after="0" w:line="600" w:lineRule="exact"/>
        <w:ind w:left="0" w:firstLine="643" w:firstLineChars="200"/>
        <w:rPr>
          <w:rFonts w:hint="eastAsia" w:ascii="仿宋" w:hAnsi="仿宋" w:eastAsia="仿宋" w:cs="Times New Roman"/>
          <w:color w:val="auto"/>
          <w:sz w:val="32"/>
          <w:szCs w:val="32"/>
          <w:highlight w:val="none"/>
        </w:rPr>
      </w:pPr>
      <w:r>
        <w:rPr>
          <w:rFonts w:ascii="仿宋" w:hAnsi="仿宋" w:eastAsia="仿宋" w:cs="Times New Roman"/>
          <w:b/>
          <w:bCs/>
          <w:color w:val="auto"/>
          <w:sz w:val="32"/>
          <w:szCs w:val="32"/>
          <w:highlight w:val="none"/>
        </w:rPr>
        <w:t>文档资料</w:t>
      </w:r>
      <w:r>
        <w:rPr>
          <w:rFonts w:ascii="仿宋" w:hAnsi="仿宋" w:eastAsia="仿宋" w:cs="Times New Roman"/>
          <w:color w:val="auto"/>
          <w:sz w:val="32"/>
          <w:szCs w:val="32"/>
          <w:highlight w:val="none"/>
        </w:rPr>
        <w:t>：准备详细的用户手册和常见问题解答（FAQ），方便培训对象查阅。</w:t>
      </w:r>
    </w:p>
    <w:p w14:paraId="31DD6FBB">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时间安排</w:t>
      </w:r>
    </w:p>
    <w:p w14:paraId="1714260A">
      <w:pPr>
        <w:numPr>
          <w:ilvl w:val="0"/>
          <w:numId w:val="17"/>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在新系统正式上线前至少两周开始培训，确保所有相关人员有足够的时间来熟悉系统。</w:t>
      </w:r>
    </w:p>
    <w:p w14:paraId="7B03FD95">
      <w:pPr>
        <w:numPr>
          <w:ilvl w:val="0"/>
          <w:numId w:val="17"/>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分批次进行，避免所有人员同时离开工作岗位参加培训。</w:t>
      </w:r>
    </w:p>
    <w:p w14:paraId="632446EC">
      <w:pPr>
        <w:numPr>
          <w:ilvl w:val="0"/>
          <w:numId w:val="17"/>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根据各部门的具体情况灵活安排培训时间，尽量不影响正常业务运作。</w:t>
      </w:r>
    </w:p>
    <w:p w14:paraId="01C1A713">
      <w:pPr>
        <w:pStyle w:val="44"/>
        <w:numPr>
          <w:ilvl w:val="0"/>
          <w:numId w:val="13"/>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后续跟进</w:t>
      </w:r>
    </w:p>
    <w:p w14:paraId="7D33477C">
      <w:pPr>
        <w:numPr>
          <w:ilvl w:val="0"/>
          <w:numId w:val="17"/>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定期检查培训效果，收集用户反馈，及时调整培训内容或方式。</w:t>
      </w:r>
    </w:p>
    <w:p w14:paraId="334A5A1C">
      <w:pPr>
        <w:numPr>
          <w:ilvl w:val="0"/>
          <w:numId w:val="17"/>
        </w:numPr>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提供持续的支持，设立专门的热线或邮箱，方便用户在遇到问题时寻求帮助。</w:t>
      </w:r>
    </w:p>
    <w:p w14:paraId="466FAA88">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15" w:name="_Toc13082"/>
      <w:bookmarkStart w:id="216" w:name="_Toc26058"/>
      <w:bookmarkStart w:id="217" w:name="_Toc12201"/>
      <w:r>
        <w:rPr>
          <w:rFonts w:ascii="仿宋" w:hAnsi="仿宋" w:eastAsia="仿宋" w:cs="Times New Roman"/>
          <w:b/>
          <w:bCs/>
          <w:color w:val="auto"/>
          <w:sz w:val="32"/>
          <w:szCs w:val="32"/>
          <w:highlight w:val="none"/>
        </w:rPr>
        <w:t>运维</w:t>
      </w:r>
      <w:bookmarkEnd w:id="215"/>
      <w:bookmarkEnd w:id="216"/>
      <w:r>
        <w:rPr>
          <w:rFonts w:ascii="仿宋" w:hAnsi="仿宋" w:eastAsia="仿宋" w:cs="Times New Roman"/>
          <w:b/>
          <w:bCs/>
          <w:color w:val="auto"/>
          <w:sz w:val="32"/>
          <w:szCs w:val="32"/>
          <w:highlight w:val="none"/>
        </w:rPr>
        <w:t>管理</w:t>
      </w:r>
      <w:bookmarkEnd w:id="217"/>
    </w:p>
    <w:p w14:paraId="44EDEC63">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常态化运营管理</w:t>
      </w:r>
    </w:p>
    <w:p w14:paraId="769268A7">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本项目建设完成后，进入常态化运行管理阶段。由龙泉市住房和城乡建设局和承建单位负责常态化运行和维护管理。龙泉市城乡供排水服务中心具体负责平台的日常运行和更新等。承建单位负责系统bug修复和系统更新维护。</w:t>
      </w:r>
    </w:p>
    <w:p w14:paraId="69C5D4F0">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应用系统更新维护</w:t>
      </w:r>
    </w:p>
    <w:p w14:paraId="772EC7B3">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根据“谁建设、谁运维”原则，由龙泉市住房和城乡建设局做好龙泉市供水数字化系统项目的运行维护工作。自项目验收合格之日起计算，提供1年免费维护期，并积极配合大数据局开展运维。在免费服务期限内，承建单位负责平台系统相关软件的正常运行维护与升级：包含数据库的更新、动态维护，及时排查软件运行中存在的问题，电话响应7×24小时、现场响应8小时内，确保平台的安全性、可靠性和稳定性。</w:t>
      </w:r>
    </w:p>
    <w:p w14:paraId="03871E1D">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项目维保范围、维保期限和维保责任</w:t>
      </w:r>
    </w:p>
    <w:p w14:paraId="719ADE61">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维保范围：主要涉及现场硬件正常使用、系统功能正常使用以及发布端的正常使用，并满足大数据局政务系统要求。</w:t>
      </w:r>
    </w:p>
    <w:p w14:paraId="5D5210A5">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维保期限：</w:t>
      </w:r>
      <w:r>
        <w:rPr>
          <w:rFonts w:ascii="仿宋" w:hAnsi="仿宋" w:eastAsia="仿宋" w:cs="Times New Roman"/>
          <w:color w:val="auto"/>
          <w:sz w:val="32"/>
          <w:szCs w:val="32"/>
          <w:highlight w:val="none"/>
        </w:rPr>
        <w:t>软件一年免费运维，硬件三年免费质保</w:t>
      </w:r>
      <w:r>
        <w:rPr>
          <w:rFonts w:hint="eastAsia" w:ascii="仿宋" w:hAnsi="仿宋" w:eastAsia="仿宋" w:cs="Times New Roman"/>
          <w:color w:val="auto"/>
          <w:sz w:val="32"/>
          <w:szCs w:val="32"/>
          <w:highlight w:val="none"/>
        </w:rPr>
        <w:t>，并提供数据发布的日常运维服务。</w:t>
      </w:r>
    </w:p>
    <w:p w14:paraId="305568E0">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本应用相关开发、运维、安全等厂商以及ISV相关人员须严格按照统一管理要求入驻ISV管理系统</w:t>
      </w:r>
      <w:r>
        <w:rPr>
          <w:rFonts w:hint="eastAsia" w:ascii="仿宋" w:hAnsi="仿宋" w:eastAsia="仿宋" w:cs="Times New Roman"/>
          <w:color w:val="auto"/>
          <w:sz w:val="32"/>
          <w:szCs w:val="32"/>
          <w:highlight w:val="none"/>
        </w:rPr>
        <w:t>。</w:t>
      </w:r>
    </w:p>
    <w:p w14:paraId="57A53888">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7876AD78">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218" w:name="_Toc23471"/>
      <w:bookmarkStart w:id="219" w:name="_Toc21382"/>
      <w:bookmarkStart w:id="220" w:name="_Toc20203"/>
      <w:r>
        <w:rPr>
          <w:rFonts w:ascii="仿宋" w:hAnsi="仿宋" w:eastAsia="仿宋" w:cs="Times New Roman"/>
          <w:b/>
          <w:bCs/>
          <w:color w:val="auto"/>
          <w:kern w:val="44"/>
          <w:sz w:val="44"/>
          <w:szCs w:val="44"/>
          <w:highlight w:val="none"/>
        </w:rPr>
        <w:t>项目的效益和风险分析</w:t>
      </w:r>
      <w:bookmarkEnd w:id="218"/>
      <w:bookmarkEnd w:id="219"/>
      <w:bookmarkEnd w:id="220"/>
    </w:p>
    <w:p w14:paraId="7BE9BC4B">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221" w:name="_Toc180074846"/>
      <w:bookmarkEnd w:id="221"/>
      <w:bookmarkStart w:id="222" w:name="_Toc177743804"/>
      <w:bookmarkEnd w:id="222"/>
      <w:bookmarkStart w:id="223" w:name="_Toc177737221"/>
      <w:bookmarkEnd w:id="223"/>
      <w:bookmarkStart w:id="224" w:name="_Toc177737162"/>
      <w:bookmarkEnd w:id="224"/>
      <w:bookmarkStart w:id="225" w:name="_Toc180074963"/>
      <w:bookmarkEnd w:id="225"/>
    </w:p>
    <w:p w14:paraId="50E97212">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26" w:name="_Toc26897"/>
      <w:r>
        <w:rPr>
          <w:rFonts w:ascii="仿宋" w:hAnsi="仿宋" w:eastAsia="仿宋" w:cs="Times New Roman"/>
          <w:b/>
          <w:bCs/>
          <w:color w:val="auto"/>
          <w:sz w:val="32"/>
          <w:szCs w:val="32"/>
          <w:highlight w:val="none"/>
        </w:rPr>
        <w:t>经济效益分析</w:t>
      </w:r>
      <w:bookmarkEnd w:id="226"/>
    </w:p>
    <w:p w14:paraId="26C9FAE0">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通过大数据、云计算、人工智能等信息化技术，强化基层政府治理体系和治理能力现代化手段，实现“数据多跑路、基层多减负”的目标，由机器换人、机器学习的形式，解决人力需要花费大量精力处理的工作，降低政府投入成本，提升政府监管效能及质量。</w:t>
      </w:r>
    </w:p>
    <w:p w14:paraId="2DAA3127">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（1）以数据协同突破数据资源壁垒。通过大数据“因果链”，实现预警前置，打通数据资源的壁垒，自动连接“监管链”，实现责任闭环。</w:t>
      </w:r>
    </w:p>
    <w:p w14:paraId="752C6D79">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2）由于技术手段的使用、业务流程的优化而减少的公共服务成本，增强经费使用效率；通过智能化设备的投入使用，改变了传统的工作方式，减少了人工的投入和时间的耗费，加快了工作效率，提高了工作的积极性；由于良好的管理形象的增强而产生的人才吸引、旅游开发等方面的增值效应。</w:t>
      </w:r>
    </w:p>
    <w:p w14:paraId="44709FA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27" w:name="_Toc17019"/>
      <w:r>
        <w:rPr>
          <w:rFonts w:ascii="仿宋" w:hAnsi="仿宋" w:eastAsia="仿宋" w:cs="Times New Roman"/>
          <w:b/>
          <w:bCs/>
          <w:color w:val="auto"/>
          <w:sz w:val="32"/>
          <w:szCs w:val="32"/>
          <w:highlight w:val="none"/>
        </w:rPr>
        <w:t>社会效益分析</w:t>
      </w:r>
      <w:bookmarkEnd w:id="227"/>
    </w:p>
    <w:p w14:paraId="2FA9F508">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（1）提高监管水平</w:t>
      </w:r>
    </w:p>
    <w:p w14:paraId="2629F732">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可以提高政府办事效率和管理水平及监管力度。通过集成管理平台，管理部门可以实现远程监控和自动化控制，降低人工巡检的工作量，提高供水系统的运行效率。当出现突发事件（如自然灾害导致的供水中断）时，系统可以快速定位问题区域，并迅速调度资源进行修复，减少对村民生活的影响。</w:t>
      </w:r>
    </w:p>
    <w:p w14:paraId="32FCF0FD">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（2）提升公共服务能力</w:t>
      </w:r>
    </w:p>
    <w:p w14:paraId="2CB5D9C0">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系统上用水量分析可以及时对乡村文旅、客流、经济发展提供数据支撑，有助于管理部门进一步提供公共服务，促进农业现代化和乡村旅游的发展。</w:t>
      </w:r>
    </w:p>
    <w:p w14:paraId="576F6B4C">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（3）减少水资源浪费</w:t>
      </w:r>
    </w:p>
    <w:p w14:paraId="68742690">
      <w:pPr>
        <w:spacing w:after="0"/>
        <w:ind w:firstLine="640" w:firstLineChars="200"/>
        <w:rPr>
          <w:rFonts w:hint="eastAsia" w:ascii="仿宋" w:hAnsi="仿宋" w:eastAsia="仿宋" w:cs="Times New Roman"/>
          <w:color w:val="auto"/>
          <w:sz w:val="32"/>
          <w:szCs w:val="32"/>
          <w:highlight w:val="none"/>
          <w:lang w:bidi="ar"/>
        </w:rPr>
      </w:pPr>
      <w:r>
        <w:rPr>
          <w:rFonts w:ascii="仿宋" w:hAnsi="仿宋" w:eastAsia="仿宋" w:cs="Times New Roman"/>
          <w:color w:val="auto"/>
          <w:sz w:val="32"/>
          <w:szCs w:val="32"/>
          <w:highlight w:val="none"/>
          <w:lang w:bidi="ar"/>
        </w:rPr>
        <w:t>项目建设科减少水资源浪费，保障供水安全。项目监测到供水设施的问题，及时通知相关单位修复，可以减少水资源的浪费。通过监测水质和流量，管理部门可以实时掌握水源状况，及时发现污染源，进一步保障农村地区的饮用水安全。</w:t>
      </w:r>
    </w:p>
    <w:p w14:paraId="4AF847FD">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28" w:name="_Toc10673"/>
      <w:bookmarkStart w:id="229" w:name="_Toc11185"/>
      <w:bookmarkStart w:id="230" w:name="_Toc20409"/>
      <w:r>
        <w:rPr>
          <w:rFonts w:ascii="仿宋" w:hAnsi="仿宋" w:eastAsia="仿宋" w:cs="Times New Roman"/>
          <w:b/>
          <w:bCs/>
          <w:color w:val="auto"/>
          <w:sz w:val="32"/>
          <w:szCs w:val="32"/>
          <w:highlight w:val="none"/>
        </w:rPr>
        <w:t>风险分析</w:t>
      </w:r>
      <w:bookmarkEnd w:id="228"/>
      <w:bookmarkEnd w:id="229"/>
      <w:bookmarkEnd w:id="230"/>
    </w:p>
    <w:p w14:paraId="31EEA168">
      <w:pPr>
        <w:pStyle w:val="4"/>
        <w:numPr>
          <w:ilvl w:val="2"/>
          <w:numId w:val="2"/>
        </w:numPr>
        <w:spacing w:before="0" w:after="0" w:line="416" w:lineRule="auto"/>
        <w:rPr>
          <w:rFonts w:hint="eastAsia" w:ascii="仿宋" w:hAnsi="仿宋" w:eastAsia="仿宋" w:cs="Times New Roman"/>
          <w:b/>
          <w:bCs/>
          <w:color w:val="auto"/>
          <w:highlight w:val="none"/>
        </w:rPr>
      </w:pPr>
      <w:r>
        <w:rPr>
          <w:rFonts w:ascii="仿宋" w:hAnsi="仿宋" w:eastAsia="仿宋" w:cs="Times New Roman"/>
          <w:b/>
          <w:bCs/>
          <w:color w:val="auto"/>
          <w:highlight w:val="none"/>
        </w:rPr>
        <w:t>项目实施的外部风险及控制措施</w:t>
      </w:r>
    </w:p>
    <w:p w14:paraId="2AB2ED39">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外部风险主要有项目的政治、经济环境的变化，包括与项目相关的规章或标准的变化，组织中雇佣关系的变化，如公司并购、自然灾害等。这类风险对项目的影响和项目性质的关系较大。</w:t>
      </w:r>
    </w:p>
    <w:p w14:paraId="2D436067">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在项目执行过程中，时刻监督风险的发展与变化情况，并确定随着某些风险的消失而带来的新的风险。风险监控包括三个层面的工作：</w:t>
      </w:r>
    </w:p>
    <w:p w14:paraId="0CD607D8">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1、跟踪已识别风险的发展变化情况，包括在整个项目周期内，风险产生的条件和导致的后果变化，衡量风险减缓计划需求。</w:t>
      </w:r>
    </w:p>
    <w:p w14:paraId="09F7945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2、根据风险的变化情况及时调整风险应对计划，并对已发生的风险及其产生的遗留风险和新增风险及时识别、分析，并采取适当的应对措施。对于已发生过和已解决的风险也应及时从风险监控列表调整出去。</w:t>
      </w:r>
    </w:p>
    <w:p w14:paraId="7A02307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借助项目管理工具，通过成熟的组织级项目管理方法、流程和最佳实践，充分发挥项目团队的灵活性、主动性，使项目管理软件生产活动标准化、流程，使软件项目向可预测、可管理和可自我约束的方向发展，从而提升项目执行效率和产品质量。</w:t>
      </w:r>
    </w:p>
    <w:p w14:paraId="4109DF75">
      <w:pPr>
        <w:pStyle w:val="4"/>
        <w:numPr>
          <w:ilvl w:val="2"/>
          <w:numId w:val="2"/>
        </w:numPr>
        <w:spacing w:before="0" w:after="0" w:line="416" w:lineRule="auto"/>
        <w:rPr>
          <w:rFonts w:hint="eastAsia" w:ascii="仿宋" w:hAnsi="仿宋" w:eastAsia="仿宋" w:cs="Times New Roman"/>
          <w:color w:val="auto"/>
          <w:highlight w:val="none"/>
        </w:rPr>
      </w:pPr>
      <w:r>
        <w:rPr>
          <w:rFonts w:ascii="仿宋" w:hAnsi="仿宋" w:eastAsia="仿宋" w:cs="Times New Roman"/>
          <w:b/>
          <w:bCs/>
          <w:color w:val="auto"/>
          <w:highlight w:val="none"/>
        </w:rPr>
        <w:t>项目实施的内部风险及控制措施</w:t>
      </w:r>
    </w:p>
    <w:p w14:paraId="32CE5529">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内部风险包括如下方面：</w:t>
      </w:r>
    </w:p>
    <w:p w14:paraId="30A5CE94">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技术风险：使用不成熟的技术、软硬件性能风险、技术设计有误、使用错误的工具、系统集成风险、错误评估系统复杂性、测试不全面等</w:t>
      </w:r>
    </w:p>
    <w:p w14:paraId="63F2BE9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范围风险：需求理解偏差、范围评估不准确、用户需求变化快、未经需求变更进行系统实现等</w:t>
      </w:r>
    </w:p>
    <w:p w14:paraId="72864A8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进度风险：工作量评估不准确、人员流动、资源短缺/能力不足/延误造成的进度风险</w:t>
      </w:r>
    </w:p>
    <w:p w14:paraId="24E5BBD7">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成本风险：售前预算评估偏差、预算超支、费用超额、范围变更或蔓延未进行</w:t>
      </w:r>
    </w:p>
    <w:p w14:paraId="1C63F3C2">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 管理风险：工作分配不恰当、未能及时解决优先级高的任务或冲突、沟通不足、团队协作管理不足等</w:t>
      </w:r>
    </w:p>
    <w:p w14:paraId="418B2C59">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控制措施：</w:t>
      </w:r>
    </w:p>
    <w:p w14:paraId="13312821">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项目准备阶段</w:t>
      </w:r>
    </w:p>
    <w:p w14:paraId="5FDD2CA3">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在项目初期，企业及项目前期材料（包括市场环境、项目策划书、项目章程、历史项目经验等）提前输出项目风险管理计划，并在项目准备前与关键项目相关方进行充分沟通，包括售前、商务、项目领导等。</w:t>
      </w:r>
    </w:p>
    <w:p w14:paraId="43066153">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输出的项目风险管理计划需要包括：风险管理的目的、组织与职责、风险定义、风险类别、风险概率及影响、风险状态、风险管理流程、管理工具及模版（风险与问题表、风险登记册、风险报告等）、应对策略、风险管理推进事项等。</w:t>
      </w:r>
    </w:p>
    <w:p w14:paraId="66D08D82">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本阶段所做的大部分措施都是为规避后续发生风险或降低可能性：</w:t>
      </w:r>
    </w:p>
    <w:p w14:paraId="69D1A4B1">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增强高层支持：召开项目启动大会，并规划阶段重要会议邀请高层参加，并宣导项目重要程度以及需高层支持的事项</w:t>
      </w:r>
    </w:p>
    <w:p w14:paraId="2AA80CCB">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技术环境准备：项目前期提前申请服务器资源，为后续开发预留一定空间</w:t>
      </w:r>
    </w:p>
    <w:p w14:paraId="0BFF903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系统集成评估与约定：提前确认外围系统计划以及对接技术是否成熟，并根据时间节点安排项目总体计划</w:t>
      </w:r>
    </w:p>
    <w:p w14:paraId="664BE72A">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相关方及团队资源整合：充分根据项目范围对团队资源进行规划；与相关方沟通好，提前建立项目组织架构，明确各自职责</w:t>
      </w:r>
    </w:p>
    <w:p w14:paraId="08F03304">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 为项目设置缓冲：进行项目计划及预算编制时，需为风险发生可能性高的阶段预留一定buffer，以便真正发生减少项目变更</w:t>
      </w:r>
    </w:p>
    <w:p w14:paraId="01E1E47E">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（6） 外部合同约定：如果是甲乙双方合作的项目，尽可能根据实际经验在sow中提前约定清楚，尤其是列出涉及成本及变更的情况与管理条款</w:t>
      </w:r>
    </w:p>
    <w:p w14:paraId="5207668D">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（7） 项目集中办公：如果有条件，尽量组织项目关键成员在同一工作场所办公，当面沟通效率更高。如存在远程沟通等其他情况，提前约定好项目沟通管理方法</w:t>
      </w:r>
    </w:p>
    <w:p w14:paraId="00F61296">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（8） 项目规范计划管理：针对项目整体的所有工作需要进行规范，这部分不仅是对本阶段，在整个项目过程中每项重要工作都需要提前明确管理规范，以避免风险发生</w:t>
      </w:r>
    </w:p>
    <w:p w14:paraId="7B33A30F">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方案设计阶段</w:t>
      </w:r>
    </w:p>
    <w:p w14:paraId="07037ADA">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方案设计阶段，着重考虑内部的风险，侧重于将需求转化为系统功能的风险，具体事项体现在实际的工作当中，项目经理需要在此过程中保持风险意识，并根据风险管理计划执行。当发生风险，快速判断并采取对应措施，减少风险带来的影响及问题，并定期进行复盘。</w:t>
      </w:r>
    </w:p>
    <w:p w14:paraId="2B8CBAB7">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详细规划并进行深入调研：项目需求是项目风险重要来源之一，在项目前期需要充分进行调研规划，准确获取用户需求，确保双方沟通不存在误差；调研过程中尽量与用户进行多次确认，并组织团队输出对应的调研报告与流程分析，以便需求理解完整与全面的覆盖度</w:t>
      </w:r>
    </w:p>
    <w:p w14:paraId="50E3B6D3">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范围明确定义：为避免后期范围蔓延，在本阶段需求调研时建议充分调研并产出与用户的范围确认书，避免后续范围轻易变更</w:t>
      </w:r>
    </w:p>
    <w:p w14:paraId="4AE9AD4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方案合理设计：通过调研报告，以及流程分析，并拆分为专题进行详细确认（此部分需要与高层进行较多的沟通，切忌只关注业务，关注管理需求）</w:t>
      </w:r>
    </w:p>
    <w:p w14:paraId="01A90A22">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a. 需要考虑到项目管理目标尤其是关键目标作为重点考虑，并结合用户需求进行拆解；</w:t>
      </w:r>
    </w:p>
    <w:p w14:paraId="4CF67A91">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b. 方案需要考虑到易用性与可扩展性，流程上要满足管理流程并尽可能简化，界面及功能主要参考最终用户的需求（注意是参考，不能完全按照用户需求去做，不合理的地方要进行沟通，需避免设计太复杂）；</w:t>
      </w:r>
    </w:p>
    <w:p w14:paraId="26C8D9B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c. 方案设计要与用户进行多次确认，没有完美的方案，但最优方案一定是综合项目各个相关方的期望及需求，满足最大化效益的方案。如存在部分不能满足的需求，及时与用户沟通并进行说明，如因为项目范围暂时不能实现可以根据优先级进行安排</w:t>
      </w:r>
    </w:p>
    <w:p w14:paraId="0254A93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d. 方案需要共同签字确认，避免随意变更</w:t>
      </w:r>
    </w:p>
    <w:p w14:paraId="04EC0F6E">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技术架构设计：技术专家指导进行设计，也要结合业务场景考虑，比如我常做的电商、支付需要着重考虑系统单据量对服务器的性能要求；另外也要考虑系统的安全性</w:t>
      </w:r>
    </w:p>
    <w:p w14:paraId="6F1892C7">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 开发清单及人天详尽拆解：在做系统开发之前，需要根据所确认的方案针对系统功能模块进行尽可能详尽的拆解，这部分需要充分与产品经理以及技术经理沟通，并与团队及用户进行确认。</w:t>
      </w:r>
    </w:p>
    <w:p w14:paraId="1CC3C662">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a. 开发清单内容需详细：包括功能项、开发项、开发类型（大维度可拆解为接口、页面、报表）、优先级、完成阶段、开发模式、状态（尽可能详尽，以后要定时监控，比如待开发、技术设计中、开发30%、开发50%、开发80%、等待测试、等待修改、测试完成、已移植UAT、已上线、已取消等）开始时间、结束时间、开发方式、难度、负责人，并且每一项内容以及职责都要尽可能在本阶段明确</w:t>
      </w:r>
    </w:p>
    <w:p w14:paraId="1D9E701A">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b. 人天资源评估需具体：组织产品、技术、测试团队，详尽评估每一项工作的工作量以及人天，可以将人天评估拆分为功能及原型设计、技术设计、前端开发、后端开发、单元测试、联调、系统配置、集成测试、压力测试、上线切换、培训等人天，此部分不仅需要合理评估，项目经理也要预留时间。</w:t>
      </w:r>
    </w:p>
    <w:p w14:paraId="623F486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系统实施阶段</w:t>
      </w:r>
    </w:p>
    <w:p w14:paraId="30C93850">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系统实施阶段同样关注具体工作，也需要在此过程中，识别、监控与管理风险，通过日常严谨的工作规避风险</w:t>
      </w:r>
    </w:p>
    <w:p w14:paraId="328224F0">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产品设计：尽量覆盖用户需求，注重用户体验，与此同时，我认为本阶段除了开发、用户，也需拉上测试团队一起评审（避免后期测试不了解需求沟通困难或提出不成熟需求），包括功能、原型、逻辑的评审，让项目组即使同步信息</w:t>
      </w:r>
    </w:p>
    <w:p w14:paraId="45CFD6CA">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技术设计：考虑性能与效率、实现逻辑、代码规范等</w:t>
      </w:r>
    </w:p>
    <w:p w14:paraId="516FE7C9">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系统测试：系统测试也是决定项目质量比较关键的环节，测试之前需详细规划系统测试计划与流程</w:t>
      </w:r>
    </w:p>
    <w:p w14:paraId="4D1BF32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a. 单元测试：单元测试前技术需进行自测，测试团队在了解系统功能的前提下完成测试用例的编写，项目经理关注团队的整体协作与配合，确保产品经理及测试团队共同认可测试用例，穷尽场景</w:t>
      </w:r>
    </w:p>
    <w:p w14:paraId="444BA636">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b. 联调或集成测试：涉及到外围系统的，前面说过需要在项目初期就明确外围系统的大致计划，在本项任务开始之前，提前确认外围系统的进度，并与之同步测试范围与计划。可提前准备集成测试脚本，安排专项会议拉上外围系统负责人集中进行测试，并提前说明测试场景以同步信息；在集成测试后，要求大家进行集成测试的签字确认</w:t>
      </w:r>
    </w:p>
    <w:p w14:paraId="2534424E">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c. 压力测试：这部分如果是要求性能高的，务必尽早组织规划，包括申请服务器、压测脚本准备、资源等等</w:t>
      </w:r>
    </w:p>
    <w:p w14:paraId="60E07842">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文档系统管理：这部分其实在项目全生命周期都存在，之所以放在这个阶段说明，是提醒大家在本阶段对项目过程的文档务必定期进行检查</w:t>
      </w:r>
    </w:p>
    <w:p w14:paraId="1E727896">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项目上线阶段</w:t>
      </w:r>
    </w:p>
    <w:p w14:paraId="2888C898">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编制系统切换策略：提前制定系统切换策略，规划总体原则、上线范围（组织、功能）、上线支持分工、上线支持流程制度等，并可能考虑到历史数据处理办法、用户账号等基础信息的切换。</w:t>
      </w:r>
    </w:p>
    <w:p w14:paraId="2284283E">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召开上线动员大会：为获得高层支持，如出现问题及时宣导</w:t>
      </w:r>
    </w:p>
    <w:p w14:paraId="43088EC4">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监控与问题记录：本阶段更加需要监控上线情况，可采用可视化工具检测数据，并记录问题，提供解决办法</w:t>
      </w:r>
    </w:p>
    <w:p w14:paraId="3A59D08B">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（4） 系统发布规范：由专人统一管理版本，一致发布</w:t>
      </w:r>
    </w:p>
    <w:p w14:paraId="22A2281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5. 项目收尾阶段</w:t>
      </w:r>
    </w:p>
    <w:p w14:paraId="41E88153">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 复盘：对项目前期风险管理的实施情况以及问题进行经验教训总结，检查风险登记册及风险报告的留存</w:t>
      </w:r>
    </w:p>
    <w:p w14:paraId="0FB622E0">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 文档再次整理：检查项目过程中所有组织资产是否完善并分类留存，可使用SVN或进行归档</w:t>
      </w:r>
    </w:p>
    <w:p w14:paraId="5964970F">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（3） 系统优化：注意控制需求，也要着重关注需求变更对系统逻辑带来的影响，本阶段的系统优化可能会由于逻辑考虑不全面影响之前的业务应用</w:t>
      </w:r>
    </w:p>
    <w:p w14:paraId="0303F052">
      <w:pPr>
        <w:pStyle w:val="4"/>
        <w:numPr>
          <w:ilvl w:val="2"/>
          <w:numId w:val="2"/>
        </w:numPr>
        <w:spacing w:before="0" w:after="0" w:line="416" w:lineRule="auto"/>
        <w:rPr>
          <w:rFonts w:hint="eastAsia" w:ascii="仿宋" w:hAnsi="仿宋" w:eastAsia="仿宋" w:cs="Times New Roman"/>
          <w:color w:val="auto"/>
          <w:highlight w:val="none"/>
        </w:rPr>
      </w:pPr>
      <w:r>
        <w:rPr>
          <w:rFonts w:ascii="仿宋" w:hAnsi="仿宋" w:eastAsia="仿宋" w:cs="Times New Roman"/>
          <w:b/>
          <w:bCs/>
          <w:color w:val="auto"/>
          <w:highlight w:val="none"/>
        </w:rPr>
        <w:t>项目长期运行风险及控制措施</w:t>
      </w:r>
    </w:p>
    <w:p w14:paraId="49273369">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通过风险监视和风险规避消除一些潜在的威胁项目健康实施的事件。风险的管理在整个项目生命周期中是连续、反复进行的，消除了某些风险来源后，有可能又会出现其他的风险，而且，为减少风险损失而进行的风险管理本身也会带来新的风险。</w:t>
      </w:r>
    </w:p>
    <w:p w14:paraId="7FEC10C5">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1、风险监视</w:t>
      </w:r>
    </w:p>
    <w:p w14:paraId="1E4C4D4E">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由于时间对项目的影响是很难预计的，因此风险监视是项目实施过程中的一项重要工作。监视风险即监视项目产品、以及项目过程的进展和项目环境的变化，通过核查项目进展的效果与计划的差异来改善项目的实施。一般情况下，随着时间的推移，有关项目风险的信息会逐渐增多，风险的不确定性会逐渐降低，但风险监视工作也随信息量的增大而日渐复杂。我们一般可采取项目的审核检查的方式，通过各实施阶段的目标、计划、实际效果的对比、分析，寻找问题的根源，提出解决问题的方法。</w:t>
      </w:r>
    </w:p>
    <w:p w14:paraId="703E6700">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2、风险规避</w:t>
      </w:r>
    </w:p>
    <w:p w14:paraId="250257A6">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在风险管理规划基础上进行风险控制，一旦监视到风险，就应采取合理措施进行风险规避，可以从改变风险性质、改变风险发生的概率、改变风险的影响大小等多方面着手。风险规避的策略一般有预防、转移、回避、接受、后备措施等几种方式。</w:t>
      </w:r>
    </w:p>
    <w:p w14:paraId="65E93D77">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其中，预防风险不忽视项目的教育培训和按程序办事两个方面。由于项目实施成员的任何不当行为都会构成项目的风险因素，要减轻与之相应的影响，就必须对有关人员进行详细和有效的风险教育和项目培训，教育培训的内容应该包含项目相关的策略、计划、标准、规章规范、项目知识、产品知识等。在项目活动中，应该严格按照项目制度，如进度、人力调配、文档管理、资源分配等。</w:t>
      </w:r>
    </w:p>
    <w:p w14:paraId="3FE7E6FB">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回避风险，通过改变项目来规避风险。通常会通过修改项目目标、项目范围、项目结构等方式来回避风险的威胁。</w:t>
      </w:r>
    </w:p>
    <w:p w14:paraId="3E95027A">
      <w:pPr>
        <w:widowControl/>
        <w:spacing w:after="0" w:line="240" w:lineRule="auto"/>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用于规避风险的后备措施，主要体现在后备费用、预留进度时间、后备技术力量三个方面，这些后备措施在项目计划中就应预留，保证在项目实施过程中，能充分调用后备力量解决问题。</w:t>
      </w:r>
      <w:r>
        <w:rPr>
          <w:rFonts w:ascii="仿宋" w:hAnsi="仿宋" w:eastAsia="仿宋" w:cs="Times New Roman"/>
          <w:color w:val="auto"/>
          <w:sz w:val="32"/>
          <w:szCs w:val="32"/>
          <w:highlight w:val="none"/>
        </w:rPr>
        <w:br w:type="page"/>
      </w:r>
    </w:p>
    <w:p w14:paraId="758CCD3F">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231" w:name="_Toc16639"/>
      <w:bookmarkStart w:id="232" w:name="_Toc18901"/>
      <w:bookmarkStart w:id="233" w:name="_Toc16498"/>
      <w:bookmarkStart w:id="234" w:name="_Toc21920"/>
      <w:bookmarkStart w:id="235" w:name="_Toc30992"/>
      <w:r>
        <w:rPr>
          <w:rFonts w:ascii="仿宋" w:hAnsi="仿宋" w:eastAsia="仿宋" w:cs="Times New Roman"/>
          <w:b/>
          <w:bCs/>
          <w:color w:val="auto"/>
          <w:kern w:val="44"/>
          <w:sz w:val="44"/>
          <w:szCs w:val="44"/>
          <w:highlight w:val="none"/>
        </w:rPr>
        <w:t>项目预算及建设清单</w:t>
      </w:r>
      <w:bookmarkEnd w:id="231"/>
      <w:bookmarkEnd w:id="232"/>
      <w:bookmarkEnd w:id="233"/>
    </w:p>
    <w:p w14:paraId="35AADC4E">
      <w:pPr>
        <w:pStyle w:val="44"/>
        <w:keepNext/>
        <w:keepLines/>
        <w:numPr>
          <w:ilvl w:val="0"/>
          <w:numId w:val="2"/>
        </w:numPr>
        <w:spacing w:after="0" w:line="416" w:lineRule="auto"/>
        <w:contextualSpacing w:val="0"/>
        <w:outlineLvl w:val="1"/>
        <w:rPr>
          <w:rFonts w:hint="eastAsia" w:ascii="仿宋" w:hAnsi="仿宋" w:eastAsia="仿宋" w:cs="Times New Roman"/>
          <w:b/>
          <w:bCs/>
          <w:vanish/>
          <w:color w:val="auto"/>
          <w:sz w:val="32"/>
          <w:szCs w:val="32"/>
          <w:highlight w:val="none"/>
        </w:rPr>
      </w:pPr>
      <w:bookmarkStart w:id="236" w:name="_Toc177737167"/>
      <w:bookmarkEnd w:id="236"/>
      <w:bookmarkStart w:id="237" w:name="_Toc177743809"/>
      <w:bookmarkEnd w:id="237"/>
      <w:bookmarkStart w:id="238" w:name="_Toc177737226"/>
      <w:bookmarkEnd w:id="238"/>
      <w:bookmarkStart w:id="239" w:name="_Toc180074968"/>
      <w:bookmarkEnd w:id="239"/>
      <w:bookmarkStart w:id="240" w:name="_Toc180074851"/>
      <w:bookmarkEnd w:id="240"/>
    </w:p>
    <w:p w14:paraId="76D25DE5">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41" w:name="_Toc12764"/>
      <w:r>
        <w:rPr>
          <w:rFonts w:ascii="仿宋" w:hAnsi="仿宋" w:eastAsia="仿宋" w:cs="Times New Roman"/>
          <w:b/>
          <w:bCs/>
          <w:color w:val="auto"/>
          <w:sz w:val="32"/>
          <w:szCs w:val="32"/>
          <w:highlight w:val="none"/>
        </w:rPr>
        <w:t>投资总</w:t>
      </w:r>
      <w:bookmarkEnd w:id="234"/>
      <w:bookmarkEnd w:id="235"/>
      <w:r>
        <w:rPr>
          <w:rFonts w:ascii="仿宋" w:hAnsi="仿宋" w:eastAsia="仿宋" w:cs="Times New Roman"/>
          <w:b/>
          <w:bCs/>
          <w:color w:val="auto"/>
          <w:sz w:val="32"/>
          <w:szCs w:val="32"/>
          <w:highlight w:val="none"/>
        </w:rPr>
        <w:t>估算</w:t>
      </w:r>
      <w:bookmarkEnd w:id="241"/>
    </w:p>
    <w:p w14:paraId="7F6917EB">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项目的投资总数为</w:t>
      </w:r>
      <w:bookmarkStart w:id="242" w:name="OLE_LINK6"/>
      <w:r>
        <w:rPr>
          <w:rFonts w:hint="eastAsia" w:ascii="仿宋" w:hAnsi="仿宋" w:eastAsia="仿宋" w:cs="Times New Roman"/>
          <w:color w:val="auto"/>
          <w:sz w:val="32"/>
          <w:szCs w:val="32"/>
          <w:highlight w:val="none"/>
          <w:lang w:val="en-US" w:eastAsia="zh-CN"/>
        </w:rPr>
        <w:t>89.7</w:t>
      </w:r>
      <w:r>
        <w:rPr>
          <w:rFonts w:ascii="仿宋" w:hAnsi="仿宋" w:eastAsia="仿宋" w:cs="Times New Roman"/>
          <w:color w:val="auto"/>
          <w:sz w:val="32"/>
          <w:szCs w:val="32"/>
          <w:highlight w:val="none"/>
        </w:rPr>
        <w:t>万元（免费运维期为</w:t>
      </w:r>
      <w:r>
        <w:rPr>
          <w:rFonts w:hint="eastAsia" w:ascii="仿宋" w:hAnsi="仿宋" w:eastAsia="仿宋" w:cs="Times New Roman"/>
          <w:color w:val="auto"/>
          <w:sz w:val="32"/>
          <w:szCs w:val="32"/>
          <w:highlight w:val="none"/>
        </w:rPr>
        <w:t>1</w:t>
      </w:r>
      <w:r>
        <w:rPr>
          <w:rFonts w:ascii="仿宋" w:hAnsi="仿宋" w:eastAsia="仿宋" w:cs="Times New Roman"/>
          <w:color w:val="auto"/>
          <w:sz w:val="32"/>
          <w:szCs w:val="32"/>
          <w:highlight w:val="none"/>
        </w:rPr>
        <w:t>年）</w:t>
      </w:r>
      <w:bookmarkEnd w:id="242"/>
      <w:r>
        <w:rPr>
          <w:rFonts w:ascii="仿宋" w:hAnsi="仿宋" w:eastAsia="仿宋" w:cs="Times New Roman"/>
          <w:color w:val="auto"/>
          <w:sz w:val="32"/>
          <w:szCs w:val="32"/>
          <w:highlight w:val="none"/>
        </w:rPr>
        <w:t>。具体资金组成如下：</w:t>
      </w:r>
    </w:p>
    <w:p w14:paraId="7DC78AC7">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43" w:name="_Toc8742"/>
      <w:bookmarkStart w:id="244" w:name="_Toc29839"/>
      <w:bookmarkStart w:id="245" w:name="_Toc32000"/>
      <w:r>
        <w:rPr>
          <w:rFonts w:ascii="仿宋" w:hAnsi="仿宋" w:eastAsia="仿宋" w:cs="Times New Roman"/>
          <w:b/>
          <w:bCs/>
          <w:color w:val="auto"/>
          <w:sz w:val="32"/>
          <w:szCs w:val="32"/>
          <w:highlight w:val="none"/>
        </w:rPr>
        <w:t>项目采购方式</w:t>
      </w:r>
      <w:bookmarkEnd w:id="243"/>
      <w:bookmarkEnd w:id="244"/>
      <w:bookmarkEnd w:id="245"/>
      <w:bookmarkStart w:id="254" w:name="_GoBack"/>
      <w:bookmarkEnd w:id="254"/>
    </w:p>
    <w:p w14:paraId="6B23F099">
      <w:pPr>
        <w:spacing w:after="0" w:line="600" w:lineRule="exact"/>
        <w:ind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本项目采购方式为公开招标。</w:t>
      </w:r>
    </w:p>
    <w:p w14:paraId="5CD2049B">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46" w:name="_Toc5589"/>
      <w:bookmarkStart w:id="247" w:name="_Toc31743"/>
      <w:bookmarkStart w:id="248" w:name="_Toc28802"/>
      <w:r>
        <w:rPr>
          <w:rFonts w:ascii="仿宋" w:hAnsi="仿宋" w:eastAsia="仿宋" w:cs="Times New Roman"/>
          <w:b/>
          <w:bCs/>
          <w:color w:val="auto"/>
          <w:sz w:val="32"/>
          <w:szCs w:val="32"/>
          <w:highlight w:val="none"/>
        </w:rPr>
        <w:t>投资建设预算清单</w:t>
      </w:r>
      <w:bookmarkEnd w:id="246"/>
      <w:bookmarkEnd w:id="247"/>
      <w:bookmarkEnd w:id="248"/>
    </w:p>
    <w:tbl>
      <w:tblPr>
        <w:tblStyle w:val="24"/>
        <w:tblW w:w="7220" w:type="dxa"/>
        <w:jc w:val="center"/>
        <w:tblLayout w:type="autofit"/>
        <w:tblCellMar>
          <w:top w:w="0" w:type="dxa"/>
          <w:left w:w="108" w:type="dxa"/>
          <w:bottom w:w="0" w:type="dxa"/>
          <w:right w:w="108" w:type="dxa"/>
        </w:tblCellMar>
      </w:tblPr>
      <w:tblGrid>
        <w:gridCol w:w="1080"/>
        <w:gridCol w:w="3021"/>
        <w:gridCol w:w="3119"/>
      </w:tblGrid>
      <w:tr w14:paraId="37AC30A7">
        <w:tblPrEx>
          <w:tblCellMar>
            <w:top w:w="0" w:type="dxa"/>
            <w:left w:w="108" w:type="dxa"/>
            <w:bottom w:w="0" w:type="dxa"/>
            <w:right w:w="108" w:type="dxa"/>
          </w:tblCellMar>
        </w:tblPrEx>
        <w:trPr>
          <w:trHeight w:val="600" w:hRule="atLeast"/>
          <w:jc w:val="center"/>
        </w:trPr>
        <w:tc>
          <w:tcPr>
            <w:tcW w:w="1080" w:type="dxa"/>
            <w:tcBorders>
              <w:top w:val="single" w:color="auto" w:sz="8" w:space="0"/>
              <w:left w:val="single" w:color="auto" w:sz="8" w:space="0"/>
              <w:bottom w:val="single" w:color="auto" w:sz="8" w:space="0"/>
              <w:right w:val="single" w:color="auto" w:sz="8" w:space="0"/>
            </w:tcBorders>
            <w:shd w:val="clear" w:color="auto" w:fill="auto"/>
            <w:vAlign w:val="center"/>
          </w:tcPr>
          <w:p w14:paraId="0007A539">
            <w:pPr>
              <w:widowControl/>
              <w:spacing w:after="0"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序号</w:t>
            </w:r>
          </w:p>
        </w:tc>
        <w:tc>
          <w:tcPr>
            <w:tcW w:w="3021" w:type="dxa"/>
            <w:tcBorders>
              <w:top w:val="single" w:color="auto" w:sz="8" w:space="0"/>
              <w:left w:val="nil"/>
              <w:bottom w:val="single" w:color="auto" w:sz="8" w:space="0"/>
              <w:right w:val="single" w:color="auto" w:sz="8" w:space="0"/>
            </w:tcBorders>
            <w:shd w:val="clear" w:color="auto" w:fill="auto"/>
            <w:vAlign w:val="center"/>
          </w:tcPr>
          <w:p w14:paraId="405A394C">
            <w:pPr>
              <w:widowControl/>
              <w:spacing w:after="0"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名称</w:t>
            </w:r>
          </w:p>
        </w:tc>
        <w:tc>
          <w:tcPr>
            <w:tcW w:w="3119" w:type="dxa"/>
            <w:tcBorders>
              <w:top w:val="single" w:color="auto" w:sz="8" w:space="0"/>
              <w:left w:val="nil"/>
              <w:bottom w:val="single" w:color="auto" w:sz="8" w:space="0"/>
              <w:right w:val="single" w:color="auto" w:sz="8" w:space="0"/>
            </w:tcBorders>
            <w:shd w:val="clear" w:color="auto" w:fill="auto"/>
            <w:vAlign w:val="center"/>
          </w:tcPr>
          <w:p w14:paraId="6054FE49">
            <w:pPr>
              <w:widowControl/>
              <w:spacing w:after="0"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金额（万元）</w:t>
            </w:r>
          </w:p>
        </w:tc>
      </w:tr>
      <w:tr w14:paraId="50AD45D8">
        <w:tblPrEx>
          <w:tblCellMar>
            <w:top w:w="0" w:type="dxa"/>
            <w:left w:w="108" w:type="dxa"/>
            <w:bottom w:w="0" w:type="dxa"/>
            <w:right w:w="108" w:type="dxa"/>
          </w:tblCellMar>
        </w:tblPrEx>
        <w:trPr>
          <w:trHeight w:val="600" w:hRule="atLeast"/>
          <w:jc w:val="center"/>
        </w:trPr>
        <w:tc>
          <w:tcPr>
            <w:tcW w:w="1080" w:type="dxa"/>
            <w:tcBorders>
              <w:top w:val="nil"/>
              <w:left w:val="single" w:color="auto" w:sz="8" w:space="0"/>
              <w:bottom w:val="single" w:color="auto" w:sz="8" w:space="0"/>
              <w:right w:val="single" w:color="auto" w:sz="8" w:space="0"/>
            </w:tcBorders>
            <w:shd w:val="clear" w:color="auto" w:fill="auto"/>
            <w:vAlign w:val="center"/>
          </w:tcPr>
          <w:p w14:paraId="63D3535A">
            <w:pPr>
              <w:widowControl/>
              <w:spacing w:after="0"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1</w:t>
            </w:r>
          </w:p>
        </w:tc>
        <w:tc>
          <w:tcPr>
            <w:tcW w:w="3021" w:type="dxa"/>
            <w:tcBorders>
              <w:top w:val="nil"/>
              <w:left w:val="nil"/>
              <w:bottom w:val="single" w:color="auto" w:sz="8" w:space="0"/>
              <w:right w:val="single" w:color="auto" w:sz="8" w:space="0"/>
            </w:tcBorders>
            <w:shd w:val="clear" w:color="auto" w:fill="auto"/>
            <w:vAlign w:val="center"/>
          </w:tcPr>
          <w:p w14:paraId="3D3197FC">
            <w:pPr>
              <w:widowControl/>
              <w:spacing w:after="0" w:line="240" w:lineRule="auto"/>
              <w:jc w:val="left"/>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应用软件费用预估</w:t>
            </w:r>
          </w:p>
        </w:tc>
        <w:tc>
          <w:tcPr>
            <w:tcW w:w="3119" w:type="dxa"/>
            <w:tcBorders>
              <w:top w:val="nil"/>
              <w:left w:val="nil"/>
              <w:bottom w:val="single" w:color="auto" w:sz="8" w:space="0"/>
              <w:right w:val="single" w:color="auto" w:sz="8" w:space="0"/>
            </w:tcBorders>
            <w:shd w:val="clear" w:color="auto" w:fill="auto"/>
            <w:vAlign w:val="center"/>
          </w:tcPr>
          <w:p w14:paraId="32A074CA">
            <w:pPr>
              <w:widowControl/>
              <w:spacing w:after="0" w:line="240" w:lineRule="auto"/>
              <w:jc w:val="center"/>
              <w:rPr>
                <w:rFonts w:hint="default" w:ascii="仿宋" w:hAnsi="仿宋" w:eastAsia="仿宋" w:cs="宋体"/>
                <w:color w:val="auto"/>
                <w:kern w:val="0"/>
                <w:sz w:val="28"/>
                <w:szCs w:val="28"/>
                <w:highlight w:val="none"/>
                <w:lang w:val="en-US" w:eastAsia="zh-CN"/>
              </w:rPr>
            </w:pPr>
            <w:r>
              <w:rPr>
                <w:rFonts w:hint="eastAsia" w:ascii="仿宋" w:hAnsi="仿宋" w:eastAsia="仿宋" w:cs="宋体"/>
                <w:color w:val="auto"/>
                <w:kern w:val="0"/>
                <w:sz w:val="28"/>
                <w:szCs w:val="28"/>
                <w:highlight w:val="none"/>
                <w:lang w:val="en-US" w:eastAsia="zh-CN"/>
              </w:rPr>
              <w:t>85.5</w:t>
            </w:r>
          </w:p>
        </w:tc>
      </w:tr>
      <w:tr w14:paraId="77719138">
        <w:tblPrEx>
          <w:tblCellMar>
            <w:top w:w="0" w:type="dxa"/>
            <w:left w:w="108" w:type="dxa"/>
            <w:bottom w:w="0" w:type="dxa"/>
            <w:right w:w="108" w:type="dxa"/>
          </w:tblCellMar>
        </w:tblPrEx>
        <w:trPr>
          <w:trHeight w:val="600" w:hRule="atLeast"/>
          <w:jc w:val="center"/>
        </w:trPr>
        <w:tc>
          <w:tcPr>
            <w:tcW w:w="1080" w:type="dxa"/>
            <w:tcBorders>
              <w:top w:val="nil"/>
              <w:left w:val="single" w:color="auto" w:sz="8" w:space="0"/>
              <w:bottom w:val="single" w:color="auto" w:sz="8" w:space="0"/>
              <w:right w:val="single" w:color="auto" w:sz="8" w:space="0"/>
            </w:tcBorders>
            <w:shd w:val="clear" w:color="auto" w:fill="auto"/>
            <w:vAlign w:val="center"/>
          </w:tcPr>
          <w:p w14:paraId="225D4EDB">
            <w:pPr>
              <w:widowControl/>
              <w:spacing w:after="0" w:line="240" w:lineRule="auto"/>
              <w:jc w:val="center"/>
              <w:rPr>
                <w:rFonts w:hint="eastAsia"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2</w:t>
            </w:r>
          </w:p>
        </w:tc>
        <w:tc>
          <w:tcPr>
            <w:tcW w:w="3021" w:type="dxa"/>
            <w:tcBorders>
              <w:top w:val="nil"/>
              <w:left w:val="nil"/>
              <w:bottom w:val="single" w:color="auto" w:sz="8" w:space="0"/>
              <w:right w:val="single" w:color="auto" w:sz="8" w:space="0"/>
            </w:tcBorders>
            <w:shd w:val="clear" w:color="auto" w:fill="auto"/>
            <w:vAlign w:val="center"/>
          </w:tcPr>
          <w:p w14:paraId="70A6E3CC">
            <w:pPr>
              <w:widowControl/>
              <w:spacing w:after="0" w:line="240" w:lineRule="auto"/>
              <w:jc w:val="left"/>
              <w:rPr>
                <w:rFonts w:hint="default" w:ascii="仿宋" w:hAnsi="仿宋" w:eastAsia="仿宋" w:cs="宋体"/>
                <w:b/>
                <w:bCs/>
                <w:color w:val="auto"/>
                <w:kern w:val="0"/>
                <w:sz w:val="28"/>
                <w:szCs w:val="28"/>
                <w:highlight w:val="none"/>
                <w:lang w:val="en-US" w:eastAsia="zh-CN"/>
              </w:rPr>
            </w:pPr>
            <w:r>
              <w:rPr>
                <w:rFonts w:hint="eastAsia" w:ascii="仿宋" w:hAnsi="仿宋" w:eastAsia="仿宋" w:cs="宋体"/>
                <w:b/>
                <w:bCs/>
                <w:color w:val="auto"/>
                <w:kern w:val="0"/>
                <w:sz w:val="28"/>
                <w:szCs w:val="28"/>
                <w:highlight w:val="none"/>
                <w:lang w:val="en-US" w:eastAsia="zh-CN"/>
              </w:rPr>
              <w:t>二级等保及软测</w:t>
            </w:r>
          </w:p>
        </w:tc>
        <w:tc>
          <w:tcPr>
            <w:tcW w:w="3119" w:type="dxa"/>
            <w:tcBorders>
              <w:top w:val="nil"/>
              <w:left w:val="nil"/>
              <w:bottom w:val="single" w:color="auto" w:sz="8" w:space="0"/>
              <w:right w:val="single" w:color="auto" w:sz="8" w:space="0"/>
            </w:tcBorders>
            <w:shd w:val="clear" w:color="auto" w:fill="auto"/>
            <w:vAlign w:val="center"/>
          </w:tcPr>
          <w:p w14:paraId="4D7E0ACF">
            <w:pPr>
              <w:widowControl/>
              <w:spacing w:after="0" w:line="240" w:lineRule="auto"/>
              <w:jc w:val="center"/>
              <w:rPr>
                <w:rFonts w:hint="default" w:ascii="仿宋" w:hAnsi="仿宋" w:eastAsia="仿宋" w:cs="宋体"/>
                <w:color w:val="auto"/>
                <w:kern w:val="0"/>
                <w:sz w:val="28"/>
                <w:szCs w:val="28"/>
                <w:highlight w:val="none"/>
                <w:lang w:val="en-US" w:eastAsia="zh-CN"/>
              </w:rPr>
            </w:pPr>
            <w:r>
              <w:rPr>
                <w:rFonts w:hint="eastAsia" w:ascii="仿宋" w:hAnsi="仿宋" w:eastAsia="仿宋" w:cs="宋体"/>
                <w:color w:val="auto"/>
                <w:kern w:val="0"/>
                <w:sz w:val="28"/>
                <w:szCs w:val="28"/>
                <w:highlight w:val="none"/>
                <w:lang w:val="en-US" w:eastAsia="zh-CN"/>
              </w:rPr>
              <w:t>4.2</w:t>
            </w:r>
          </w:p>
        </w:tc>
      </w:tr>
      <w:tr w14:paraId="482BB60B">
        <w:tblPrEx>
          <w:tblCellMar>
            <w:top w:w="0" w:type="dxa"/>
            <w:left w:w="108" w:type="dxa"/>
            <w:bottom w:w="0" w:type="dxa"/>
            <w:right w:w="108" w:type="dxa"/>
          </w:tblCellMar>
        </w:tblPrEx>
        <w:trPr>
          <w:trHeight w:val="600" w:hRule="atLeast"/>
          <w:jc w:val="center"/>
        </w:trPr>
        <w:tc>
          <w:tcPr>
            <w:tcW w:w="4101" w:type="dxa"/>
            <w:gridSpan w:val="2"/>
            <w:tcBorders>
              <w:top w:val="single" w:color="auto" w:sz="8" w:space="0"/>
              <w:left w:val="single" w:color="auto" w:sz="8" w:space="0"/>
              <w:bottom w:val="single" w:color="auto" w:sz="8" w:space="0"/>
              <w:right w:val="single" w:color="000000" w:sz="8" w:space="0"/>
            </w:tcBorders>
            <w:shd w:val="clear" w:color="auto" w:fill="auto"/>
            <w:vAlign w:val="center"/>
          </w:tcPr>
          <w:p w14:paraId="56A04096">
            <w:pPr>
              <w:widowControl/>
              <w:spacing w:after="0" w:line="240" w:lineRule="auto"/>
              <w:jc w:val="center"/>
              <w:rPr>
                <w:rFonts w:hint="eastAsia" w:ascii="仿宋" w:hAnsi="仿宋" w:eastAsia="仿宋" w:cs="宋体"/>
                <w:b/>
                <w:bCs/>
                <w:color w:val="auto"/>
                <w:kern w:val="0"/>
                <w:sz w:val="28"/>
                <w:szCs w:val="28"/>
                <w:highlight w:val="none"/>
              </w:rPr>
            </w:pPr>
            <w:r>
              <w:rPr>
                <w:rFonts w:hint="eastAsia" w:ascii="仿宋" w:hAnsi="仿宋" w:eastAsia="仿宋" w:cs="宋体"/>
                <w:b/>
                <w:bCs/>
                <w:color w:val="auto"/>
                <w:kern w:val="0"/>
                <w:sz w:val="28"/>
                <w:szCs w:val="28"/>
                <w:highlight w:val="none"/>
              </w:rPr>
              <w:t>合计</w:t>
            </w:r>
          </w:p>
        </w:tc>
        <w:tc>
          <w:tcPr>
            <w:tcW w:w="3119" w:type="dxa"/>
            <w:tcBorders>
              <w:top w:val="nil"/>
              <w:left w:val="nil"/>
              <w:bottom w:val="single" w:color="auto" w:sz="8" w:space="0"/>
              <w:right w:val="single" w:color="auto" w:sz="8" w:space="0"/>
            </w:tcBorders>
            <w:shd w:val="clear" w:color="auto" w:fill="auto"/>
            <w:vAlign w:val="center"/>
          </w:tcPr>
          <w:p w14:paraId="5CDA924F">
            <w:pPr>
              <w:widowControl/>
              <w:spacing w:after="0" w:line="240" w:lineRule="auto"/>
              <w:jc w:val="center"/>
              <w:rPr>
                <w:rFonts w:hint="default" w:ascii="仿宋" w:hAnsi="仿宋" w:eastAsia="仿宋" w:cs="宋体"/>
                <w:b/>
                <w:bCs/>
                <w:color w:val="auto"/>
                <w:kern w:val="0"/>
                <w:sz w:val="28"/>
                <w:szCs w:val="28"/>
                <w:highlight w:val="none"/>
                <w:lang w:val="en-US" w:eastAsia="zh-CN"/>
              </w:rPr>
            </w:pPr>
            <w:r>
              <w:rPr>
                <w:rFonts w:hint="eastAsia" w:ascii="仿宋" w:hAnsi="仿宋" w:eastAsia="仿宋" w:cs="宋体"/>
                <w:b/>
                <w:bCs/>
                <w:color w:val="auto"/>
                <w:kern w:val="0"/>
                <w:sz w:val="28"/>
                <w:szCs w:val="28"/>
                <w:highlight w:val="none"/>
                <w:lang w:val="en-US" w:eastAsia="zh-CN"/>
              </w:rPr>
              <w:t>89.7</w:t>
            </w:r>
          </w:p>
        </w:tc>
      </w:tr>
    </w:tbl>
    <w:p w14:paraId="4FF39990">
      <w:pPr>
        <w:rPr>
          <w:rFonts w:hint="eastAsia"/>
          <w:color w:val="auto"/>
          <w:highlight w:val="none"/>
        </w:rPr>
      </w:pPr>
    </w:p>
    <w:p w14:paraId="4F5713C9">
      <w:pPr>
        <w:pStyle w:val="3"/>
        <w:numPr>
          <w:ilvl w:val="1"/>
          <w:numId w:val="2"/>
        </w:numPr>
        <w:spacing w:before="0" w:after="0" w:line="416" w:lineRule="auto"/>
        <w:rPr>
          <w:rFonts w:hint="eastAsia" w:ascii="仿宋" w:hAnsi="仿宋" w:eastAsia="仿宋" w:cs="Times New Roman"/>
          <w:b/>
          <w:bCs/>
          <w:color w:val="auto"/>
          <w:sz w:val="32"/>
          <w:szCs w:val="32"/>
          <w:highlight w:val="none"/>
        </w:rPr>
      </w:pPr>
      <w:bookmarkStart w:id="249" w:name="_Toc15867"/>
      <w:bookmarkStart w:id="250" w:name="_Toc30567"/>
      <w:bookmarkStart w:id="251" w:name="_Toc1431"/>
      <w:r>
        <w:rPr>
          <w:rFonts w:ascii="仿宋" w:hAnsi="仿宋" w:eastAsia="仿宋" w:cs="Times New Roman"/>
          <w:b/>
          <w:bCs/>
          <w:color w:val="auto"/>
          <w:sz w:val="32"/>
          <w:szCs w:val="32"/>
          <w:highlight w:val="none"/>
        </w:rPr>
        <w:t>与其他同类系统建设投资调查情况</w:t>
      </w:r>
      <w:bookmarkEnd w:id="249"/>
      <w:bookmarkEnd w:id="250"/>
      <w:bookmarkEnd w:id="251"/>
    </w:p>
    <w:p w14:paraId="5A9EE421">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湖州市水上应急救援中心：航道数字化养护服务咨询项目，功能主要涉及航道管理、智能感知物联网数据采集、驾驶舱等功能，合同费用约262万。</w:t>
      </w:r>
    </w:p>
    <w:p w14:paraId="1CA2A53A">
      <w:pPr>
        <w:pStyle w:val="32"/>
        <w:spacing w:before="156" w:after="156"/>
        <w:ind w:firstLine="640"/>
        <w:rPr>
          <w:color w:val="auto"/>
          <w:highlight w:val="none"/>
        </w:rPr>
      </w:pPr>
      <w:r>
        <w:rPr>
          <w:rFonts w:hint="eastAsia" w:ascii="仿宋" w:hAnsi="仿宋" w:eastAsia="仿宋" w:cs="Times New Roman"/>
          <w:color w:val="auto"/>
          <w:sz w:val="32"/>
          <w:szCs w:val="32"/>
          <w:highlight w:val="none"/>
        </w:rPr>
        <w:t>缙云县交通局：G330洞合线长坑沿溪桥动态安全监测系统，功能主要涉及物联数据集成，并将相关数据上传至省厅相关系统。合同费用约105万。</w:t>
      </w:r>
    </w:p>
    <w:p w14:paraId="26A95061">
      <w:pPr>
        <w:spacing w:after="0" w:line="600" w:lineRule="exact"/>
        <w:ind w:firstLine="640" w:firstLineChars="200"/>
        <w:rPr>
          <w:rFonts w:hint="eastAsia" w:ascii="仿宋" w:hAnsi="仿宋" w:eastAsia="仿宋" w:cs="Times New Roman"/>
          <w:color w:val="auto"/>
          <w:sz w:val="32"/>
          <w:szCs w:val="32"/>
          <w:highlight w:val="none"/>
        </w:rPr>
      </w:pPr>
      <w:r>
        <w:rPr>
          <w:rFonts w:hint="eastAsia" w:ascii="仿宋" w:hAnsi="仿宋" w:eastAsia="仿宋" w:cs="Times New Roman"/>
          <w:color w:val="auto"/>
          <w:sz w:val="32"/>
          <w:szCs w:val="32"/>
          <w:highlight w:val="none"/>
        </w:rPr>
        <w:t>温岭市金达建设有限公司：太龙公路扩容提速工程信息化智能管理系统，功能涉及智能管理系统、物联网的硬件采购、物联数据的采集等内容，合同费用约398万。</w:t>
      </w:r>
    </w:p>
    <w:p w14:paraId="487D5674">
      <w:pPr>
        <w:widowControl/>
        <w:spacing w:after="0" w:line="240" w:lineRule="auto"/>
        <w:jc w:val="lef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0B6A8958">
      <w:pPr>
        <w:pStyle w:val="2"/>
        <w:numPr>
          <w:ilvl w:val="0"/>
          <w:numId w:val="1"/>
        </w:numPr>
        <w:spacing w:before="0" w:after="0" w:line="578" w:lineRule="auto"/>
        <w:ind w:left="0" w:firstLine="0"/>
        <w:jc w:val="center"/>
        <w:rPr>
          <w:rFonts w:hint="eastAsia" w:ascii="仿宋" w:hAnsi="仿宋" w:eastAsia="仿宋" w:cs="Times New Roman"/>
          <w:b/>
          <w:bCs/>
          <w:color w:val="auto"/>
          <w:kern w:val="44"/>
          <w:sz w:val="44"/>
          <w:szCs w:val="44"/>
          <w:highlight w:val="none"/>
        </w:rPr>
      </w:pPr>
      <w:bookmarkStart w:id="252" w:name="_Toc19607"/>
      <w:r>
        <w:rPr>
          <w:rFonts w:ascii="仿宋" w:hAnsi="仿宋" w:eastAsia="仿宋" w:cs="Times New Roman"/>
          <w:b/>
          <w:bCs/>
          <w:color w:val="auto"/>
          <w:kern w:val="44"/>
          <w:sz w:val="44"/>
          <w:szCs w:val="44"/>
          <w:highlight w:val="none"/>
        </w:rPr>
        <w:t>初步实施计划</w:t>
      </w:r>
      <w:bookmarkEnd w:id="252"/>
    </w:p>
    <w:p w14:paraId="1123A959">
      <w:pPr>
        <w:pStyle w:val="44"/>
        <w:spacing w:after="0" w:line="600" w:lineRule="exact"/>
        <w:ind w:left="0" w:firstLine="640" w:firstLineChars="200"/>
        <w:jc w:val="left"/>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一、建设计划：2025年1月-8月。</w:t>
      </w:r>
    </w:p>
    <w:p w14:paraId="20246D89">
      <w:pPr>
        <w:pStyle w:val="44"/>
        <w:spacing w:after="0" w:line="600" w:lineRule="exact"/>
        <w:ind w:left="0" w:firstLine="640" w:firstLineChars="200"/>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t>二、实施计划：按照下表填写各阶段时间和内容</w:t>
      </w:r>
    </w:p>
    <w:tbl>
      <w:tblPr>
        <w:tblStyle w:val="24"/>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9"/>
        <w:gridCol w:w="3250"/>
        <w:gridCol w:w="3683"/>
      </w:tblGrid>
      <w:tr w14:paraId="3F59C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308AEF12">
            <w:pPr>
              <w:spacing w:after="0" w:line="240" w:lineRule="auto"/>
              <w:jc w:val="center"/>
              <w:rPr>
                <w:rFonts w:hint="eastAsia" w:ascii="仿宋" w:hAnsi="仿宋" w:eastAsia="仿宋" w:cs="Times New Roman"/>
                <w:b/>
                <w:bCs/>
                <w:color w:val="auto"/>
                <w:sz w:val="28"/>
                <w:szCs w:val="28"/>
                <w:highlight w:val="none"/>
              </w:rPr>
            </w:pPr>
            <w:r>
              <w:rPr>
                <w:rFonts w:ascii="仿宋" w:hAnsi="仿宋" w:eastAsia="仿宋" w:cs="Times New Roman"/>
                <w:b/>
                <w:bCs/>
                <w:color w:val="auto"/>
                <w:sz w:val="28"/>
                <w:szCs w:val="28"/>
                <w:highlight w:val="none"/>
              </w:rPr>
              <w:t>阶段</w:t>
            </w:r>
          </w:p>
        </w:tc>
        <w:tc>
          <w:tcPr>
            <w:tcW w:w="3250" w:type="dxa"/>
            <w:vAlign w:val="center"/>
          </w:tcPr>
          <w:p w14:paraId="5D025842">
            <w:pPr>
              <w:spacing w:after="0" w:line="240" w:lineRule="auto"/>
              <w:jc w:val="center"/>
              <w:rPr>
                <w:rFonts w:hint="eastAsia" w:ascii="仿宋" w:hAnsi="仿宋" w:eastAsia="仿宋" w:cs="Times New Roman"/>
                <w:b/>
                <w:bCs/>
                <w:color w:val="auto"/>
                <w:sz w:val="28"/>
                <w:szCs w:val="28"/>
                <w:highlight w:val="none"/>
              </w:rPr>
            </w:pPr>
            <w:r>
              <w:rPr>
                <w:rFonts w:ascii="仿宋" w:hAnsi="仿宋" w:eastAsia="仿宋" w:cs="Times New Roman"/>
                <w:b/>
                <w:bCs/>
                <w:color w:val="auto"/>
                <w:sz w:val="28"/>
                <w:szCs w:val="28"/>
                <w:highlight w:val="none"/>
              </w:rPr>
              <w:t>时间</w:t>
            </w:r>
          </w:p>
        </w:tc>
        <w:tc>
          <w:tcPr>
            <w:tcW w:w="3683" w:type="dxa"/>
            <w:vAlign w:val="center"/>
          </w:tcPr>
          <w:p w14:paraId="3E00CA32">
            <w:pPr>
              <w:spacing w:after="0" w:line="240" w:lineRule="auto"/>
              <w:jc w:val="center"/>
              <w:rPr>
                <w:rFonts w:hint="eastAsia" w:ascii="仿宋" w:hAnsi="仿宋" w:eastAsia="仿宋" w:cs="Times New Roman"/>
                <w:b/>
                <w:bCs/>
                <w:color w:val="auto"/>
                <w:sz w:val="28"/>
                <w:szCs w:val="28"/>
                <w:highlight w:val="none"/>
              </w:rPr>
            </w:pPr>
            <w:r>
              <w:rPr>
                <w:rFonts w:ascii="仿宋" w:hAnsi="仿宋" w:eastAsia="仿宋" w:cs="Times New Roman"/>
                <w:b/>
                <w:bCs/>
                <w:color w:val="auto"/>
                <w:sz w:val="28"/>
                <w:szCs w:val="28"/>
                <w:highlight w:val="none"/>
              </w:rPr>
              <w:t>内容</w:t>
            </w:r>
          </w:p>
        </w:tc>
      </w:tr>
      <w:tr w14:paraId="5B3ED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715E1D3B">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立项</w:t>
            </w:r>
          </w:p>
        </w:tc>
        <w:tc>
          <w:tcPr>
            <w:tcW w:w="3250" w:type="dxa"/>
            <w:vAlign w:val="center"/>
          </w:tcPr>
          <w:p w14:paraId="429447D6">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2025年1月</w:t>
            </w:r>
          </w:p>
        </w:tc>
        <w:tc>
          <w:tcPr>
            <w:tcW w:w="3683" w:type="dxa"/>
            <w:vAlign w:val="center"/>
          </w:tcPr>
          <w:p w14:paraId="4D94A9B1">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项目启动，完成项目进度计划制定；开展用户单位需求调研，编写需求规格说明书并细化实施方案。通过采购单位组织的需求评审工作，完成立项。</w:t>
            </w:r>
          </w:p>
        </w:tc>
      </w:tr>
      <w:tr w14:paraId="2FAF7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153FC3AC">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技审</w:t>
            </w:r>
          </w:p>
        </w:tc>
        <w:tc>
          <w:tcPr>
            <w:tcW w:w="3250" w:type="dxa"/>
            <w:vAlign w:val="center"/>
          </w:tcPr>
          <w:p w14:paraId="4A4251A2">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2025年2月</w:t>
            </w:r>
          </w:p>
        </w:tc>
        <w:tc>
          <w:tcPr>
            <w:tcW w:w="3683" w:type="dxa"/>
            <w:vAlign w:val="center"/>
          </w:tcPr>
          <w:p w14:paraId="6D429DDF">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开展系统分析，进行系统概要和详细设计说明书编制。通过采购单位组织的系统设计评审工作。</w:t>
            </w:r>
          </w:p>
        </w:tc>
      </w:tr>
      <w:tr w14:paraId="403BF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7929D260">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采购</w:t>
            </w:r>
          </w:p>
        </w:tc>
        <w:tc>
          <w:tcPr>
            <w:tcW w:w="3250" w:type="dxa"/>
            <w:vAlign w:val="center"/>
          </w:tcPr>
          <w:p w14:paraId="5478B398">
            <w:pPr>
              <w:spacing w:after="0" w:line="240" w:lineRule="auto"/>
              <w:jc w:val="center"/>
              <w:rPr>
                <w:rFonts w:hint="eastAsia" w:ascii="仿宋" w:hAnsi="仿宋" w:eastAsia="仿宋" w:cs="Times New Roman"/>
                <w:color w:val="auto"/>
                <w:sz w:val="28"/>
                <w:szCs w:val="28"/>
                <w:highlight w:val="none"/>
              </w:rPr>
            </w:pPr>
          </w:p>
        </w:tc>
        <w:tc>
          <w:tcPr>
            <w:tcW w:w="3683" w:type="dxa"/>
            <w:vAlign w:val="center"/>
          </w:tcPr>
          <w:p w14:paraId="358EBED6">
            <w:pPr>
              <w:spacing w:after="0" w:line="240" w:lineRule="auto"/>
              <w:rPr>
                <w:rFonts w:hint="eastAsia" w:ascii="仿宋" w:hAnsi="仿宋" w:eastAsia="仿宋" w:cs="Times New Roman"/>
                <w:color w:val="auto"/>
                <w:sz w:val="28"/>
                <w:szCs w:val="28"/>
                <w:highlight w:val="none"/>
              </w:rPr>
            </w:pPr>
          </w:p>
        </w:tc>
      </w:tr>
      <w:tr w14:paraId="387A0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56B85269">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实施</w:t>
            </w:r>
          </w:p>
        </w:tc>
        <w:tc>
          <w:tcPr>
            <w:tcW w:w="3250" w:type="dxa"/>
            <w:vAlign w:val="center"/>
          </w:tcPr>
          <w:p w14:paraId="783E7988">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2025年3月-2025年5月</w:t>
            </w:r>
          </w:p>
        </w:tc>
        <w:tc>
          <w:tcPr>
            <w:tcW w:w="3683" w:type="dxa"/>
            <w:vAlign w:val="center"/>
          </w:tcPr>
          <w:p w14:paraId="0FC94C1F">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系统开发、实施部署，完成外部系统对接，完善项目测试、验收方案，通过系统初验</w:t>
            </w:r>
          </w:p>
        </w:tc>
      </w:tr>
      <w:tr w14:paraId="3F17F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3BBFB089">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试运行</w:t>
            </w:r>
          </w:p>
        </w:tc>
        <w:tc>
          <w:tcPr>
            <w:tcW w:w="3250" w:type="dxa"/>
            <w:vAlign w:val="center"/>
          </w:tcPr>
          <w:p w14:paraId="43E45A27">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2025年6月</w:t>
            </w:r>
          </w:p>
        </w:tc>
        <w:tc>
          <w:tcPr>
            <w:tcW w:w="3683" w:type="dxa"/>
            <w:vAlign w:val="center"/>
          </w:tcPr>
          <w:p w14:paraId="2A63509A">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完成系统试运行工作，系统至少试运行一个月，正式交付使用，通过系统性能测试、安全性测试并出具试运行报告，并准备项目验收所需的材料。系统试运行期间安排专人提供7*24小时应急处理和响应服务。</w:t>
            </w:r>
          </w:p>
        </w:tc>
      </w:tr>
      <w:tr w14:paraId="54B75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14F46AC4">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验收</w:t>
            </w:r>
          </w:p>
        </w:tc>
        <w:tc>
          <w:tcPr>
            <w:tcW w:w="3250" w:type="dxa"/>
            <w:vAlign w:val="center"/>
          </w:tcPr>
          <w:p w14:paraId="7FB09B1E">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2025年7月</w:t>
            </w:r>
          </w:p>
        </w:tc>
        <w:tc>
          <w:tcPr>
            <w:tcW w:w="3683" w:type="dxa"/>
            <w:vAlign w:val="center"/>
          </w:tcPr>
          <w:p w14:paraId="353BDDC3">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项目完成试运行后，进行项目终验。</w:t>
            </w:r>
          </w:p>
        </w:tc>
      </w:tr>
      <w:tr w14:paraId="5C3D7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9" w:type="dxa"/>
            <w:vAlign w:val="center"/>
          </w:tcPr>
          <w:p w14:paraId="17D50470">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运行</w:t>
            </w:r>
          </w:p>
        </w:tc>
        <w:tc>
          <w:tcPr>
            <w:tcW w:w="3250" w:type="dxa"/>
            <w:vAlign w:val="center"/>
          </w:tcPr>
          <w:p w14:paraId="62180C7C">
            <w:pPr>
              <w:spacing w:after="0" w:line="240" w:lineRule="auto"/>
              <w:jc w:val="center"/>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2025年8月</w:t>
            </w:r>
          </w:p>
        </w:tc>
        <w:tc>
          <w:tcPr>
            <w:tcW w:w="3683" w:type="dxa"/>
            <w:vAlign w:val="center"/>
          </w:tcPr>
          <w:p w14:paraId="4FA3DC0B">
            <w:pPr>
              <w:spacing w:after="0" w:line="240" w:lineRule="auto"/>
              <w:rPr>
                <w:rFonts w:hint="eastAsia" w:ascii="仿宋" w:hAnsi="仿宋" w:eastAsia="仿宋" w:cs="Times New Roman"/>
                <w:color w:val="auto"/>
                <w:sz w:val="28"/>
                <w:szCs w:val="28"/>
                <w:highlight w:val="none"/>
              </w:rPr>
            </w:pPr>
            <w:r>
              <w:rPr>
                <w:rFonts w:ascii="仿宋" w:hAnsi="仿宋" w:eastAsia="仿宋" w:cs="Times New Roman"/>
                <w:color w:val="auto"/>
                <w:sz w:val="28"/>
                <w:szCs w:val="28"/>
                <w:highlight w:val="none"/>
              </w:rPr>
              <w:t>验收通过后正式运行，后续提供一年维护。</w:t>
            </w:r>
          </w:p>
        </w:tc>
      </w:tr>
    </w:tbl>
    <w:p w14:paraId="3D922911">
      <w:pPr>
        <w:spacing w:after="0" w:line="600" w:lineRule="exact"/>
        <w:ind w:firstLine="640" w:firstLineChars="200"/>
        <w:rPr>
          <w:rFonts w:hint="eastAsia" w:ascii="仿宋" w:hAnsi="仿宋" w:eastAsia="仿宋" w:cs="Times New Roman"/>
          <w:color w:val="auto"/>
          <w:sz w:val="32"/>
          <w:szCs w:val="32"/>
          <w:highlight w:val="none"/>
        </w:rPr>
      </w:pPr>
    </w:p>
    <w:p w14:paraId="2B3E4878">
      <w:pPr>
        <w:rPr>
          <w:rFonts w:hint="eastAsia" w:ascii="仿宋" w:hAnsi="仿宋" w:eastAsia="仿宋" w:cs="Times New Roman"/>
          <w:color w:val="auto"/>
          <w:sz w:val="32"/>
          <w:szCs w:val="32"/>
          <w:highlight w:val="none"/>
        </w:rPr>
      </w:pPr>
      <w:r>
        <w:rPr>
          <w:rFonts w:ascii="仿宋" w:hAnsi="仿宋" w:eastAsia="仿宋" w:cs="Times New Roman"/>
          <w:color w:val="auto"/>
          <w:sz w:val="32"/>
          <w:szCs w:val="32"/>
          <w:highlight w:val="none"/>
        </w:rPr>
        <w:br w:type="page"/>
      </w:r>
    </w:p>
    <w:p w14:paraId="1FEFF103">
      <w:pPr>
        <w:widowControl/>
        <w:spacing w:after="0" w:line="240" w:lineRule="auto"/>
        <w:jc w:val="left"/>
        <w:rPr>
          <w:rFonts w:hint="eastAsia" w:ascii="仿宋" w:hAnsi="仿宋" w:eastAsia="仿宋" w:cs="Times New Roman"/>
          <w:color w:val="auto"/>
          <w:sz w:val="32"/>
          <w:szCs w:val="32"/>
          <w:highlight w:val="none"/>
        </w:rPr>
        <w:sectPr>
          <w:footerReference r:id="rId7" w:type="default"/>
          <w:pgSz w:w="11906" w:h="16838"/>
          <w:pgMar w:top="1440" w:right="1800" w:bottom="1440" w:left="1800" w:header="851" w:footer="992" w:gutter="0"/>
          <w:pgNumType w:start="1"/>
          <w:cols w:space="425" w:num="1"/>
          <w:docGrid w:type="lines" w:linePitch="312" w:charSpace="0"/>
        </w:sectPr>
      </w:pPr>
    </w:p>
    <w:p w14:paraId="2DC156BC">
      <w:pPr>
        <w:widowControl/>
        <w:spacing w:after="0" w:line="240" w:lineRule="auto"/>
        <w:jc w:val="left"/>
        <w:rPr>
          <w:rFonts w:hint="eastAsia" w:ascii="仿宋" w:hAnsi="仿宋" w:eastAsia="仿宋" w:cs="Times New Roman"/>
          <w:color w:val="auto"/>
          <w:sz w:val="32"/>
          <w:szCs w:val="32"/>
          <w:highlight w:val="none"/>
        </w:rPr>
      </w:pPr>
    </w:p>
    <w:p w14:paraId="6D292BC8">
      <w:pPr>
        <w:pStyle w:val="2"/>
        <w:spacing w:before="0" w:after="0" w:line="578" w:lineRule="auto"/>
        <w:rPr>
          <w:rFonts w:hint="eastAsia" w:ascii="仿宋" w:hAnsi="仿宋" w:eastAsia="仿宋" w:cs="Times New Roman"/>
          <w:color w:val="auto"/>
          <w:kern w:val="44"/>
          <w:sz w:val="32"/>
          <w:szCs w:val="32"/>
          <w:highlight w:val="none"/>
        </w:rPr>
      </w:pPr>
      <w:bookmarkStart w:id="253" w:name="_Toc4276"/>
      <w:r>
        <w:rPr>
          <w:rFonts w:ascii="仿宋" w:hAnsi="仿宋" w:eastAsia="仿宋" w:cs="Times New Roman"/>
          <w:color w:val="auto"/>
          <w:kern w:val="44"/>
          <w:sz w:val="32"/>
          <w:szCs w:val="32"/>
          <w:highlight w:val="none"/>
        </w:rPr>
        <w:t>附件1：功能点清单表EXCEL</w:t>
      </w:r>
      <w:bookmarkEnd w:id="253"/>
    </w:p>
    <w:tbl>
      <w:tblPr>
        <w:tblStyle w:val="24"/>
        <w:tblW w:w="0" w:type="auto"/>
        <w:tblInd w:w="-10" w:type="dxa"/>
        <w:tblLayout w:type="fixed"/>
        <w:tblCellMar>
          <w:top w:w="0" w:type="dxa"/>
          <w:left w:w="108" w:type="dxa"/>
          <w:bottom w:w="0" w:type="dxa"/>
          <w:right w:w="108" w:type="dxa"/>
        </w:tblCellMar>
      </w:tblPr>
      <w:tblGrid>
        <w:gridCol w:w="1134"/>
        <w:gridCol w:w="851"/>
        <w:gridCol w:w="1417"/>
        <w:gridCol w:w="7402"/>
        <w:gridCol w:w="509"/>
        <w:gridCol w:w="766"/>
        <w:gridCol w:w="876"/>
        <w:gridCol w:w="993"/>
      </w:tblGrid>
      <w:tr w14:paraId="60CC2A4B">
        <w:tblPrEx>
          <w:tblCellMar>
            <w:top w:w="0" w:type="dxa"/>
            <w:left w:w="108" w:type="dxa"/>
            <w:bottom w:w="0" w:type="dxa"/>
            <w:right w:w="108" w:type="dxa"/>
          </w:tblCellMar>
        </w:tblPrEx>
        <w:trPr>
          <w:trHeight w:val="270" w:hRule="atLeast"/>
        </w:trPr>
        <w:tc>
          <w:tcPr>
            <w:tcW w:w="1985" w:type="dxa"/>
            <w:gridSpan w:val="2"/>
            <w:tcBorders>
              <w:top w:val="single" w:color="auto" w:sz="8" w:space="0"/>
              <w:left w:val="single" w:color="auto" w:sz="8" w:space="0"/>
              <w:bottom w:val="single" w:color="auto" w:sz="8" w:space="0"/>
              <w:right w:val="single" w:color="000000" w:sz="8" w:space="0"/>
            </w:tcBorders>
            <w:shd w:val="clear" w:color="auto" w:fill="auto"/>
            <w:vAlign w:val="center"/>
          </w:tcPr>
          <w:p w14:paraId="5F818E6A">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序号</w:t>
            </w:r>
          </w:p>
        </w:tc>
        <w:tc>
          <w:tcPr>
            <w:tcW w:w="1417" w:type="dxa"/>
            <w:tcBorders>
              <w:top w:val="single" w:color="auto" w:sz="8" w:space="0"/>
              <w:left w:val="nil"/>
              <w:bottom w:val="single" w:color="auto" w:sz="8" w:space="0"/>
              <w:right w:val="single" w:color="auto" w:sz="8" w:space="0"/>
            </w:tcBorders>
            <w:shd w:val="clear" w:color="auto" w:fill="auto"/>
            <w:vAlign w:val="center"/>
          </w:tcPr>
          <w:p w14:paraId="084174F8">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产品类别</w:t>
            </w:r>
          </w:p>
        </w:tc>
        <w:tc>
          <w:tcPr>
            <w:tcW w:w="7402" w:type="dxa"/>
            <w:tcBorders>
              <w:top w:val="single" w:color="auto" w:sz="8" w:space="0"/>
              <w:left w:val="nil"/>
              <w:bottom w:val="single" w:color="auto" w:sz="8" w:space="0"/>
              <w:right w:val="single" w:color="auto" w:sz="8" w:space="0"/>
            </w:tcBorders>
            <w:shd w:val="clear" w:color="auto" w:fill="auto"/>
            <w:vAlign w:val="center"/>
          </w:tcPr>
          <w:p w14:paraId="5230F641">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技术规格</w:t>
            </w:r>
          </w:p>
        </w:tc>
        <w:tc>
          <w:tcPr>
            <w:tcW w:w="509" w:type="dxa"/>
            <w:tcBorders>
              <w:top w:val="single" w:color="auto" w:sz="8" w:space="0"/>
              <w:left w:val="nil"/>
              <w:bottom w:val="single" w:color="auto" w:sz="8" w:space="0"/>
              <w:right w:val="single" w:color="auto" w:sz="8" w:space="0"/>
            </w:tcBorders>
            <w:shd w:val="clear" w:color="auto" w:fill="auto"/>
            <w:vAlign w:val="center"/>
          </w:tcPr>
          <w:p w14:paraId="3B64033D">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单位</w:t>
            </w:r>
          </w:p>
        </w:tc>
        <w:tc>
          <w:tcPr>
            <w:tcW w:w="766" w:type="dxa"/>
            <w:tcBorders>
              <w:top w:val="single" w:color="auto" w:sz="8" w:space="0"/>
              <w:left w:val="nil"/>
              <w:bottom w:val="single" w:color="auto" w:sz="8" w:space="0"/>
              <w:right w:val="single" w:color="auto" w:sz="8" w:space="0"/>
            </w:tcBorders>
            <w:shd w:val="clear" w:color="auto" w:fill="auto"/>
            <w:vAlign w:val="center"/>
          </w:tcPr>
          <w:p w14:paraId="06DD1D05">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数量</w:t>
            </w:r>
          </w:p>
        </w:tc>
        <w:tc>
          <w:tcPr>
            <w:tcW w:w="876" w:type="dxa"/>
            <w:tcBorders>
              <w:top w:val="single" w:color="auto" w:sz="8" w:space="0"/>
              <w:left w:val="nil"/>
              <w:bottom w:val="single" w:color="auto" w:sz="8" w:space="0"/>
              <w:right w:val="single" w:color="auto" w:sz="8" w:space="0"/>
            </w:tcBorders>
            <w:shd w:val="clear" w:color="auto" w:fill="auto"/>
            <w:vAlign w:val="center"/>
          </w:tcPr>
          <w:p w14:paraId="6BAF04D5">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单价</w:t>
            </w:r>
          </w:p>
        </w:tc>
        <w:tc>
          <w:tcPr>
            <w:tcW w:w="993" w:type="dxa"/>
            <w:tcBorders>
              <w:top w:val="single" w:color="auto" w:sz="8" w:space="0"/>
              <w:left w:val="nil"/>
              <w:bottom w:val="single" w:color="auto" w:sz="8" w:space="0"/>
              <w:right w:val="single" w:color="auto" w:sz="8" w:space="0"/>
            </w:tcBorders>
            <w:shd w:val="clear" w:color="auto" w:fill="auto"/>
            <w:vAlign w:val="center"/>
          </w:tcPr>
          <w:p w14:paraId="34594C2D">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总价</w:t>
            </w:r>
          </w:p>
        </w:tc>
      </w:tr>
      <w:tr w14:paraId="03FEBDAB">
        <w:tblPrEx>
          <w:tblCellMar>
            <w:top w:w="0" w:type="dxa"/>
            <w:left w:w="108" w:type="dxa"/>
            <w:bottom w:w="0" w:type="dxa"/>
            <w:right w:w="108" w:type="dxa"/>
          </w:tblCellMar>
        </w:tblPrEx>
        <w:trPr>
          <w:trHeight w:val="270" w:hRule="atLeast"/>
        </w:trPr>
        <w:tc>
          <w:tcPr>
            <w:tcW w:w="1134" w:type="dxa"/>
            <w:vMerge w:val="restart"/>
            <w:tcBorders>
              <w:top w:val="nil"/>
              <w:left w:val="single" w:color="auto" w:sz="8" w:space="0"/>
              <w:bottom w:val="single" w:color="000000" w:sz="8" w:space="0"/>
              <w:right w:val="single" w:color="auto" w:sz="8" w:space="0"/>
            </w:tcBorders>
            <w:shd w:val="clear" w:color="auto" w:fill="auto"/>
            <w:vAlign w:val="center"/>
          </w:tcPr>
          <w:p w14:paraId="137F782F">
            <w:pPr>
              <w:widowControl/>
              <w:spacing w:after="0" w:line="240" w:lineRule="auto"/>
              <w:jc w:val="center"/>
              <w:rPr>
                <w:rFonts w:hint="eastAsia" w:ascii="宋体" w:hAnsi="宋体" w:eastAsia="宋体" w:cs="宋体"/>
                <w:b/>
                <w:bCs/>
                <w:color w:val="auto"/>
                <w:kern w:val="0"/>
                <w:sz w:val="22"/>
                <w:highlight w:val="none"/>
              </w:rPr>
            </w:pPr>
            <w:r>
              <w:rPr>
                <w:rFonts w:hint="eastAsia" w:ascii="宋体" w:hAnsi="宋体" w:eastAsia="宋体" w:cs="宋体"/>
                <w:b/>
                <w:bCs/>
                <w:color w:val="auto"/>
                <w:kern w:val="0"/>
                <w:sz w:val="22"/>
                <w:highlight w:val="none"/>
              </w:rPr>
              <w:t>一、数字化综合管理平台　</w:t>
            </w:r>
          </w:p>
        </w:tc>
        <w:tc>
          <w:tcPr>
            <w:tcW w:w="851" w:type="dxa"/>
            <w:tcBorders>
              <w:top w:val="nil"/>
              <w:left w:val="nil"/>
              <w:bottom w:val="single" w:color="auto" w:sz="8" w:space="0"/>
              <w:right w:val="single" w:color="auto" w:sz="8" w:space="0"/>
            </w:tcBorders>
            <w:shd w:val="clear" w:color="auto" w:fill="auto"/>
            <w:vAlign w:val="center"/>
          </w:tcPr>
          <w:p w14:paraId="1C325CFF">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1417" w:type="dxa"/>
            <w:tcBorders>
              <w:top w:val="nil"/>
              <w:left w:val="nil"/>
              <w:bottom w:val="single" w:color="auto" w:sz="8" w:space="0"/>
              <w:right w:val="single" w:color="auto" w:sz="8" w:space="0"/>
            </w:tcBorders>
            <w:shd w:val="clear" w:color="auto" w:fill="auto"/>
            <w:vAlign w:val="center"/>
          </w:tcPr>
          <w:p w14:paraId="532665C6">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水源监测</w:t>
            </w:r>
          </w:p>
        </w:tc>
        <w:tc>
          <w:tcPr>
            <w:tcW w:w="7402" w:type="dxa"/>
            <w:tcBorders>
              <w:top w:val="nil"/>
              <w:left w:val="nil"/>
              <w:bottom w:val="single" w:color="auto" w:sz="8" w:space="0"/>
              <w:right w:val="single" w:color="auto" w:sz="8" w:space="0"/>
            </w:tcBorders>
            <w:shd w:val="clear" w:color="auto" w:fill="auto"/>
            <w:vAlign w:val="center"/>
          </w:tcPr>
          <w:p w14:paraId="031B2D2F">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主要涉及对接水利局相关系统数据，并对数据进行清洗、统计、分析。</w:t>
            </w:r>
          </w:p>
        </w:tc>
        <w:tc>
          <w:tcPr>
            <w:tcW w:w="509" w:type="dxa"/>
            <w:tcBorders>
              <w:top w:val="nil"/>
              <w:left w:val="nil"/>
              <w:bottom w:val="single" w:color="auto" w:sz="8" w:space="0"/>
              <w:right w:val="single" w:color="auto" w:sz="8" w:space="0"/>
            </w:tcBorders>
            <w:shd w:val="clear" w:color="auto" w:fill="auto"/>
            <w:vAlign w:val="center"/>
          </w:tcPr>
          <w:p w14:paraId="44A105C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70680C8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62B6327F">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17800</w:t>
            </w:r>
          </w:p>
        </w:tc>
        <w:tc>
          <w:tcPr>
            <w:tcW w:w="993" w:type="dxa"/>
            <w:tcBorders>
              <w:top w:val="nil"/>
              <w:left w:val="nil"/>
              <w:bottom w:val="single" w:color="auto" w:sz="8" w:space="0"/>
              <w:right w:val="single" w:color="auto" w:sz="8" w:space="0"/>
            </w:tcBorders>
            <w:shd w:val="clear" w:color="auto" w:fill="auto"/>
            <w:vAlign w:val="center"/>
          </w:tcPr>
          <w:p w14:paraId="02BC11A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17800</w:t>
            </w:r>
          </w:p>
        </w:tc>
      </w:tr>
      <w:tr w14:paraId="13B46815">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EBEF5DB">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EEAADE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w:t>
            </w:r>
          </w:p>
        </w:tc>
        <w:tc>
          <w:tcPr>
            <w:tcW w:w="1417" w:type="dxa"/>
            <w:tcBorders>
              <w:top w:val="nil"/>
              <w:left w:val="nil"/>
              <w:bottom w:val="single" w:color="auto" w:sz="8" w:space="0"/>
              <w:right w:val="single" w:color="auto" w:sz="8" w:space="0"/>
            </w:tcBorders>
            <w:shd w:val="clear" w:color="auto" w:fill="auto"/>
            <w:vAlign w:val="center"/>
          </w:tcPr>
          <w:p w14:paraId="6C1DB820">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预警管理-供水量预警</w:t>
            </w:r>
          </w:p>
        </w:tc>
        <w:tc>
          <w:tcPr>
            <w:tcW w:w="7402" w:type="dxa"/>
            <w:tcBorders>
              <w:top w:val="nil"/>
              <w:left w:val="nil"/>
              <w:bottom w:val="single" w:color="auto" w:sz="8" w:space="0"/>
              <w:right w:val="single" w:color="auto" w:sz="8" w:space="0"/>
            </w:tcBorders>
            <w:shd w:val="clear" w:color="auto" w:fill="auto"/>
            <w:vAlign w:val="center"/>
          </w:tcPr>
          <w:p w14:paraId="4B2D9B96">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通过对接水利局系统，实时获取现场水站的供水量信息，并对相关数据进行统计分析，并结合当地气象预报，系统分析水源可供水量和趋势的预警预报，并将预警预报数据形成相关报表推送至相关水站负责人及行业管理人员，为管理人员的水源调度提供数字化支撑。</w:t>
            </w:r>
          </w:p>
        </w:tc>
        <w:tc>
          <w:tcPr>
            <w:tcW w:w="509" w:type="dxa"/>
            <w:tcBorders>
              <w:top w:val="nil"/>
              <w:left w:val="nil"/>
              <w:bottom w:val="single" w:color="auto" w:sz="8" w:space="0"/>
              <w:right w:val="single" w:color="auto" w:sz="8" w:space="0"/>
            </w:tcBorders>
            <w:shd w:val="clear" w:color="auto" w:fill="auto"/>
            <w:vAlign w:val="center"/>
          </w:tcPr>
          <w:p w14:paraId="2FB69BFD">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0B8B123A">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71470253">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c>
          <w:tcPr>
            <w:tcW w:w="993" w:type="dxa"/>
            <w:tcBorders>
              <w:top w:val="nil"/>
              <w:left w:val="nil"/>
              <w:bottom w:val="single" w:color="auto" w:sz="8" w:space="0"/>
              <w:right w:val="single" w:color="auto" w:sz="8" w:space="0"/>
            </w:tcBorders>
            <w:shd w:val="clear" w:color="auto" w:fill="auto"/>
            <w:vAlign w:val="center"/>
          </w:tcPr>
          <w:p w14:paraId="4C312064">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r>
      <w:tr w14:paraId="6514664B">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B09B99C">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0F22503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w:t>
            </w:r>
          </w:p>
        </w:tc>
        <w:tc>
          <w:tcPr>
            <w:tcW w:w="1417" w:type="dxa"/>
            <w:tcBorders>
              <w:top w:val="nil"/>
              <w:left w:val="nil"/>
              <w:bottom w:val="single" w:color="auto" w:sz="8" w:space="0"/>
              <w:right w:val="single" w:color="auto" w:sz="8" w:space="0"/>
            </w:tcBorders>
            <w:shd w:val="clear" w:color="auto" w:fill="auto"/>
            <w:vAlign w:val="center"/>
          </w:tcPr>
          <w:p w14:paraId="326B3C52">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预警管理-水质预警</w:t>
            </w:r>
          </w:p>
        </w:tc>
        <w:tc>
          <w:tcPr>
            <w:tcW w:w="7402" w:type="dxa"/>
            <w:tcBorders>
              <w:top w:val="nil"/>
              <w:left w:val="nil"/>
              <w:bottom w:val="single" w:color="auto" w:sz="8" w:space="0"/>
              <w:right w:val="single" w:color="auto" w:sz="8" w:space="0"/>
            </w:tcBorders>
            <w:shd w:val="clear" w:color="auto" w:fill="auto"/>
            <w:vAlign w:val="center"/>
          </w:tcPr>
          <w:p w14:paraId="56F5EB6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通过对接水利局系统，实时获取现场水站的水质监测数据，并对监测的数据进行分类，通过预警功能的设定，对对接的数据进行清洗、过滤，梳理相关监测指标，实现对水源水质情况进行预警;可查看水质变化曲线,对水质变化趋势进行研判,提前对管理人员预报水质预判结果、影响因素和变化趋势等信息,实现水源水质恶化趋势的提前告警及预报。</w:t>
            </w:r>
          </w:p>
        </w:tc>
        <w:tc>
          <w:tcPr>
            <w:tcW w:w="509" w:type="dxa"/>
            <w:tcBorders>
              <w:top w:val="nil"/>
              <w:left w:val="nil"/>
              <w:bottom w:val="single" w:color="auto" w:sz="8" w:space="0"/>
              <w:right w:val="single" w:color="auto" w:sz="8" w:space="0"/>
            </w:tcBorders>
            <w:shd w:val="clear" w:color="auto" w:fill="auto"/>
            <w:vAlign w:val="center"/>
          </w:tcPr>
          <w:p w14:paraId="3355CC6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7D8F656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01322665">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c>
          <w:tcPr>
            <w:tcW w:w="993" w:type="dxa"/>
            <w:tcBorders>
              <w:top w:val="nil"/>
              <w:left w:val="nil"/>
              <w:bottom w:val="single" w:color="auto" w:sz="8" w:space="0"/>
              <w:right w:val="single" w:color="auto" w:sz="8" w:space="0"/>
            </w:tcBorders>
            <w:shd w:val="clear" w:color="auto" w:fill="auto"/>
            <w:vAlign w:val="center"/>
          </w:tcPr>
          <w:p w14:paraId="7BF79B79">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r>
      <w:tr w14:paraId="6133397F">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AA541DB">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10DC5D0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4</w:t>
            </w:r>
          </w:p>
        </w:tc>
        <w:tc>
          <w:tcPr>
            <w:tcW w:w="1417" w:type="dxa"/>
            <w:tcBorders>
              <w:top w:val="nil"/>
              <w:left w:val="nil"/>
              <w:bottom w:val="single" w:color="auto" w:sz="8" w:space="0"/>
              <w:right w:val="single" w:color="auto" w:sz="8" w:space="0"/>
            </w:tcBorders>
            <w:shd w:val="clear" w:color="auto" w:fill="auto"/>
            <w:vAlign w:val="center"/>
          </w:tcPr>
          <w:p w14:paraId="70E8BF2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预警管理-旱情预警</w:t>
            </w:r>
          </w:p>
        </w:tc>
        <w:tc>
          <w:tcPr>
            <w:tcW w:w="7402" w:type="dxa"/>
            <w:tcBorders>
              <w:top w:val="nil"/>
              <w:left w:val="nil"/>
              <w:bottom w:val="single" w:color="auto" w:sz="8" w:space="0"/>
              <w:right w:val="single" w:color="auto" w:sz="8" w:space="0"/>
            </w:tcBorders>
            <w:shd w:val="clear" w:color="auto" w:fill="auto"/>
            <w:vAlign w:val="center"/>
          </w:tcPr>
          <w:p w14:paraId="2BFA72E5">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实现对水资源安全综合管控，通过建立水资源（小微水体）数字模型结合历史供水数据，预测小微水体的枯水期，及影响乡镇、单村用水风险预警预报、实施调度指挥。</w:t>
            </w:r>
          </w:p>
        </w:tc>
        <w:tc>
          <w:tcPr>
            <w:tcW w:w="509" w:type="dxa"/>
            <w:tcBorders>
              <w:top w:val="nil"/>
              <w:left w:val="nil"/>
              <w:bottom w:val="single" w:color="auto" w:sz="8" w:space="0"/>
              <w:right w:val="single" w:color="auto" w:sz="8" w:space="0"/>
            </w:tcBorders>
            <w:shd w:val="clear" w:color="auto" w:fill="auto"/>
            <w:vAlign w:val="center"/>
          </w:tcPr>
          <w:p w14:paraId="42167D5A">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73D3CE7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FA3C2B5">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c>
          <w:tcPr>
            <w:tcW w:w="993" w:type="dxa"/>
            <w:tcBorders>
              <w:top w:val="nil"/>
              <w:left w:val="nil"/>
              <w:bottom w:val="single" w:color="auto" w:sz="8" w:space="0"/>
              <w:right w:val="single" w:color="auto" w:sz="8" w:space="0"/>
            </w:tcBorders>
            <w:shd w:val="clear" w:color="auto" w:fill="auto"/>
            <w:vAlign w:val="center"/>
          </w:tcPr>
          <w:p w14:paraId="687164C1">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42000</w:t>
            </w:r>
          </w:p>
        </w:tc>
      </w:tr>
      <w:tr w14:paraId="5C6E24F6">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531A0DF">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BF5356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5</w:t>
            </w:r>
          </w:p>
        </w:tc>
        <w:tc>
          <w:tcPr>
            <w:tcW w:w="1417" w:type="dxa"/>
            <w:tcBorders>
              <w:top w:val="nil"/>
              <w:left w:val="nil"/>
              <w:bottom w:val="single" w:color="auto" w:sz="8" w:space="0"/>
              <w:right w:val="single" w:color="auto" w:sz="8" w:space="0"/>
            </w:tcBorders>
            <w:shd w:val="clear" w:color="auto" w:fill="auto"/>
            <w:vAlign w:val="center"/>
          </w:tcPr>
          <w:p w14:paraId="690F42B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水站管理-综合管控</w:t>
            </w:r>
          </w:p>
        </w:tc>
        <w:tc>
          <w:tcPr>
            <w:tcW w:w="7402" w:type="dxa"/>
            <w:tcBorders>
              <w:top w:val="nil"/>
              <w:left w:val="nil"/>
              <w:bottom w:val="single" w:color="auto" w:sz="8" w:space="0"/>
              <w:right w:val="single" w:color="auto" w:sz="8" w:space="0"/>
            </w:tcBorders>
            <w:shd w:val="clear" w:color="auto" w:fill="auto"/>
            <w:vAlign w:val="center"/>
          </w:tcPr>
          <w:p w14:paraId="097FD940">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结合GIS实现一张图水资源管理、小微水体枯竭时间展示、监测报警展示、旱情预警展示、水质污水展示、预警行动展示、乡镇/单村可持续用水时长统计，调度指挥展示等。</w:t>
            </w:r>
          </w:p>
        </w:tc>
        <w:tc>
          <w:tcPr>
            <w:tcW w:w="509" w:type="dxa"/>
            <w:tcBorders>
              <w:top w:val="nil"/>
              <w:left w:val="nil"/>
              <w:bottom w:val="single" w:color="auto" w:sz="8" w:space="0"/>
              <w:right w:val="single" w:color="auto" w:sz="8" w:space="0"/>
            </w:tcBorders>
            <w:shd w:val="clear" w:color="auto" w:fill="auto"/>
            <w:vAlign w:val="center"/>
          </w:tcPr>
          <w:p w14:paraId="08BE338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03CAD21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6EAFB0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28200</w:t>
            </w:r>
          </w:p>
        </w:tc>
        <w:tc>
          <w:tcPr>
            <w:tcW w:w="993" w:type="dxa"/>
            <w:tcBorders>
              <w:top w:val="nil"/>
              <w:left w:val="nil"/>
              <w:bottom w:val="single" w:color="auto" w:sz="8" w:space="0"/>
              <w:right w:val="single" w:color="auto" w:sz="8" w:space="0"/>
            </w:tcBorders>
            <w:shd w:val="clear" w:color="auto" w:fill="auto"/>
            <w:vAlign w:val="center"/>
          </w:tcPr>
          <w:p w14:paraId="4FADDFC3">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28200</w:t>
            </w:r>
          </w:p>
        </w:tc>
      </w:tr>
      <w:tr w14:paraId="2EDF2BB2">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88CEB81">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1336A3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6</w:t>
            </w:r>
          </w:p>
        </w:tc>
        <w:tc>
          <w:tcPr>
            <w:tcW w:w="1417" w:type="dxa"/>
            <w:tcBorders>
              <w:top w:val="nil"/>
              <w:left w:val="nil"/>
              <w:bottom w:val="single" w:color="auto" w:sz="8" w:space="0"/>
              <w:right w:val="single" w:color="auto" w:sz="8" w:space="0"/>
            </w:tcBorders>
            <w:shd w:val="clear" w:color="auto" w:fill="auto"/>
            <w:vAlign w:val="center"/>
          </w:tcPr>
          <w:p w14:paraId="4C7D815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水站管理-水源管理</w:t>
            </w:r>
          </w:p>
        </w:tc>
        <w:tc>
          <w:tcPr>
            <w:tcW w:w="7402" w:type="dxa"/>
            <w:tcBorders>
              <w:top w:val="nil"/>
              <w:left w:val="nil"/>
              <w:bottom w:val="single" w:color="auto" w:sz="8" w:space="0"/>
              <w:right w:val="single" w:color="auto" w:sz="8" w:space="0"/>
            </w:tcBorders>
            <w:shd w:val="clear" w:color="auto" w:fill="auto"/>
            <w:vAlign w:val="center"/>
          </w:tcPr>
          <w:p w14:paraId="05D8A30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主要针对供水资源的台账管理系统，结合GIS展示水资源位置信息、取水口信息、水质类别、责任人、供水区域信息（位置（乡镇、单村（户、人口）））等基本信息台账，可进行基本信息动态维护。</w:t>
            </w:r>
          </w:p>
        </w:tc>
        <w:tc>
          <w:tcPr>
            <w:tcW w:w="509" w:type="dxa"/>
            <w:tcBorders>
              <w:top w:val="nil"/>
              <w:left w:val="nil"/>
              <w:bottom w:val="single" w:color="auto" w:sz="8" w:space="0"/>
              <w:right w:val="single" w:color="auto" w:sz="8" w:space="0"/>
            </w:tcBorders>
            <w:shd w:val="clear" w:color="auto" w:fill="auto"/>
            <w:vAlign w:val="center"/>
          </w:tcPr>
          <w:p w14:paraId="62F3200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241FA5C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6D2672F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28200</w:t>
            </w:r>
          </w:p>
        </w:tc>
        <w:tc>
          <w:tcPr>
            <w:tcW w:w="993" w:type="dxa"/>
            <w:tcBorders>
              <w:top w:val="nil"/>
              <w:left w:val="nil"/>
              <w:bottom w:val="single" w:color="auto" w:sz="8" w:space="0"/>
              <w:right w:val="single" w:color="auto" w:sz="8" w:space="0"/>
            </w:tcBorders>
            <w:shd w:val="clear" w:color="auto" w:fill="auto"/>
            <w:vAlign w:val="center"/>
          </w:tcPr>
          <w:p w14:paraId="7716559C">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28200</w:t>
            </w:r>
          </w:p>
        </w:tc>
      </w:tr>
      <w:tr w14:paraId="277D3B09">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429C2667">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B7A15F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7</w:t>
            </w:r>
          </w:p>
        </w:tc>
        <w:tc>
          <w:tcPr>
            <w:tcW w:w="1417" w:type="dxa"/>
            <w:tcBorders>
              <w:top w:val="nil"/>
              <w:left w:val="nil"/>
              <w:bottom w:val="single" w:color="auto" w:sz="8" w:space="0"/>
              <w:right w:val="single" w:color="auto" w:sz="8" w:space="0"/>
            </w:tcBorders>
            <w:shd w:val="clear" w:color="auto" w:fill="auto"/>
            <w:vAlign w:val="center"/>
          </w:tcPr>
          <w:p w14:paraId="15AA32D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水站管理-水体模型</w:t>
            </w:r>
          </w:p>
        </w:tc>
        <w:tc>
          <w:tcPr>
            <w:tcW w:w="7402" w:type="dxa"/>
            <w:tcBorders>
              <w:top w:val="nil"/>
              <w:left w:val="nil"/>
              <w:bottom w:val="single" w:color="auto" w:sz="8" w:space="0"/>
              <w:right w:val="single" w:color="auto" w:sz="8" w:space="0"/>
            </w:tcBorders>
            <w:shd w:val="clear" w:color="auto" w:fill="auto"/>
            <w:vAlign w:val="center"/>
          </w:tcPr>
          <w:p w14:paraId="3D6D81A1">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根据水资源（小微水体）的库容量、实时水位及历史水量、制水水量、用水水量搭建一套水资源（小微水体）的数字模型，模拟推测出水体（小微水体）枯竭时间。</w:t>
            </w:r>
          </w:p>
        </w:tc>
        <w:tc>
          <w:tcPr>
            <w:tcW w:w="509" w:type="dxa"/>
            <w:tcBorders>
              <w:top w:val="nil"/>
              <w:left w:val="nil"/>
              <w:bottom w:val="single" w:color="auto" w:sz="8" w:space="0"/>
              <w:right w:val="single" w:color="auto" w:sz="8" w:space="0"/>
            </w:tcBorders>
            <w:shd w:val="clear" w:color="auto" w:fill="auto"/>
            <w:vAlign w:val="center"/>
          </w:tcPr>
          <w:p w14:paraId="2D12CC5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4534F63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BD5D3E7">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50000</w:t>
            </w:r>
          </w:p>
        </w:tc>
        <w:tc>
          <w:tcPr>
            <w:tcW w:w="993" w:type="dxa"/>
            <w:tcBorders>
              <w:top w:val="nil"/>
              <w:left w:val="nil"/>
              <w:bottom w:val="single" w:color="auto" w:sz="8" w:space="0"/>
              <w:right w:val="single" w:color="auto" w:sz="8" w:space="0"/>
            </w:tcBorders>
            <w:shd w:val="clear" w:color="auto" w:fill="auto"/>
            <w:vAlign w:val="center"/>
          </w:tcPr>
          <w:p w14:paraId="752F026E">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50000</w:t>
            </w:r>
          </w:p>
        </w:tc>
      </w:tr>
      <w:tr w14:paraId="3687A216">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A4E9287">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0357F8BF">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8</w:t>
            </w:r>
          </w:p>
        </w:tc>
        <w:tc>
          <w:tcPr>
            <w:tcW w:w="1417" w:type="dxa"/>
            <w:tcBorders>
              <w:top w:val="nil"/>
              <w:left w:val="nil"/>
              <w:bottom w:val="single" w:color="auto" w:sz="8" w:space="0"/>
              <w:right w:val="single" w:color="auto" w:sz="8" w:space="0"/>
            </w:tcBorders>
            <w:shd w:val="clear" w:color="auto" w:fill="auto"/>
            <w:vAlign w:val="center"/>
          </w:tcPr>
          <w:p w14:paraId="60EE779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水站管理-预警报警</w:t>
            </w:r>
          </w:p>
        </w:tc>
        <w:tc>
          <w:tcPr>
            <w:tcW w:w="7402" w:type="dxa"/>
            <w:tcBorders>
              <w:top w:val="nil"/>
              <w:left w:val="nil"/>
              <w:bottom w:val="single" w:color="auto" w:sz="8" w:space="0"/>
              <w:right w:val="single" w:color="auto" w:sz="8" w:space="0"/>
            </w:tcBorders>
            <w:shd w:val="clear" w:color="auto" w:fill="auto"/>
            <w:vAlign w:val="center"/>
          </w:tcPr>
          <w:p w14:paraId="376F1BF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主要通过感知设备、AI智能设备、遥感水质数据实现水资源监测（水位、水质、水量、视频），包含：实时数据、曲线数据、报警数据、并可以实现历史数据的同比、环比。</w:t>
            </w:r>
          </w:p>
        </w:tc>
        <w:tc>
          <w:tcPr>
            <w:tcW w:w="509" w:type="dxa"/>
            <w:tcBorders>
              <w:top w:val="nil"/>
              <w:left w:val="nil"/>
              <w:bottom w:val="single" w:color="auto" w:sz="8" w:space="0"/>
              <w:right w:val="single" w:color="auto" w:sz="8" w:space="0"/>
            </w:tcBorders>
            <w:shd w:val="clear" w:color="auto" w:fill="auto"/>
            <w:vAlign w:val="center"/>
          </w:tcPr>
          <w:p w14:paraId="3C90EECE">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1F263C6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8E77CD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30000</w:t>
            </w:r>
          </w:p>
        </w:tc>
        <w:tc>
          <w:tcPr>
            <w:tcW w:w="993" w:type="dxa"/>
            <w:tcBorders>
              <w:top w:val="nil"/>
              <w:left w:val="nil"/>
              <w:bottom w:val="single" w:color="auto" w:sz="8" w:space="0"/>
              <w:right w:val="single" w:color="auto" w:sz="8" w:space="0"/>
            </w:tcBorders>
            <w:shd w:val="clear" w:color="auto" w:fill="auto"/>
            <w:vAlign w:val="center"/>
          </w:tcPr>
          <w:p w14:paraId="03AD9DB4">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30000</w:t>
            </w:r>
          </w:p>
        </w:tc>
      </w:tr>
      <w:tr w14:paraId="0CBD1492">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C61F977">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5AC0B0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9</w:t>
            </w:r>
          </w:p>
        </w:tc>
        <w:tc>
          <w:tcPr>
            <w:tcW w:w="1417" w:type="dxa"/>
            <w:tcBorders>
              <w:top w:val="nil"/>
              <w:left w:val="nil"/>
              <w:bottom w:val="single" w:color="auto" w:sz="8" w:space="0"/>
              <w:right w:val="single" w:color="auto" w:sz="8" w:space="0"/>
            </w:tcBorders>
            <w:shd w:val="clear" w:color="auto" w:fill="auto"/>
            <w:vAlign w:val="center"/>
          </w:tcPr>
          <w:p w14:paraId="5430836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水站管理-应急预案</w:t>
            </w:r>
          </w:p>
        </w:tc>
        <w:tc>
          <w:tcPr>
            <w:tcW w:w="7402" w:type="dxa"/>
            <w:tcBorders>
              <w:top w:val="nil"/>
              <w:left w:val="nil"/>
              <w:bottom w:val="single" w:color="auto" w:sz="8" w:space="0"/>
              <w:right w:val="single" w:color="auto" w:sz="8" w:space="0"/>
            </w:tcBorders>
            <w:shd w:val="clear" w:color="auto" w:fill="auto"/>
            <w:vAlign w:val="center"/>
          </w:tcPr>
          <w:p w14:paraId="642E0186">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可实现预案的动态管理（添加、删除、更新，查询），预案内容包含：通知对象、预案级别，预案处理措施等。</w:t>
            </w:r>
          </w:p>
        </w:tc>
        <w:tc>
          <w:tcPr>
            <w:tcW w:w="509" w:type="dxa"/>
            <w:tcBorders>
              <w:top w:val="nil"/>
              <w:left w:val="nil"/>
              <w:bottom w:val="single" w:color="auto" w:sz="8" w:space="0"/>
              <w:right w:val="single" w:color="auto" w:sz="8" w:space="0"/>
            </w:tcBorders>
            <w:shd w:val="clear" w:color="auto" w:fill="auto"/>
            <w:vAlign w:val="center"/>
          </w:tcPr>
          <w:p w14:paraId="53FD5C3A">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39C80226">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490746E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35000</w:t>
            </w:r>
          </w:p>
        </w:tc>
        <w:tc>
          <w:tcPr>
            <w:tcW w:w="993" w:type="dxa"/>
            <w:tcBorders>
              <w:top w:val="nil"/>
              <w:left w:val="nil"/>
              <w:bottom w:val="single" w:color="auto" w:sz="8" w:space="0"/>
              <w:right w:val="single" w:color="auto" w:sz="8" w:space="0"/>
            </w:tcBorders>
            <w:shd w:val="clear" w:color="auto" w:fill="auto"/>
            <w:vAlign w:val="center"/>
          </w:tcPr>
          <w:p w14:paraId="37387A6A">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35000</w:t>
            </w:r>
          </w:p>
        </w:tc>
      </w:tr>
      <w:tr w14:paraId="78C97997">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4CCAD345">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1C17DAAE">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10</w:t>
            </w:r>
          </w:p>
        </w:tc>
        <w:tc>
          <w:tcPr>
            <w:tcW w:w="1417" w:type="dxa"/>
            <w:tcBorders>
              <w:top w:val="nil"/>
              <w:left w:val="nil"/>
              <w:bottom w:val="single" w:color="auto" w:sz="8" w:space="0"/>
              <w:right w:val="single" w:color="auto" w:sz="8" w:space="0"/>
            </w:tcBorders>
            <w:shd w:val="clear" w:color="auto" w:fill="auto"/>
            <w:vAlign w:val="center"/>
          </w:tcPr>
          <w:p w14:paraId="5A2D0C2B">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水站管理-预警处置</w:t>
            </w:r>
          </w:p>
        </w:tc>
        <w:tc>
          <w:tcPr>
            <w:tcW w:w="7402" w:type="dxa"/>
            <w:tcBorders>
              <w:top w:val="nil"/>
              <w:left w:val="nil"/>
              <w:bottom w:val="single" w:color="auto" w:sz="8" w:space="0"/>
              <w:right w:val="single" w:color="auto" w:sz="8" w:space="0"/>
            </w:tcBorders>
            <w:shd w:val="clear" w:color="auto" w:fill="auto"/>
            <w:vAlign w:val="center"/>
          </w:tcPr>
          <w:p w14:paraId="0D38A7F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收到不同的预警对应启动不同的预警行动级别，可查询单一预警行动的行动措施，及历史所有的预警行动措施。</w:t>
            </w:r>
          </w:p>
        </w:tc>
        <w:tc>
          <w:tcPr>
            <w:tcW w:w="509" w:type="dxa"/>
            <w:tcBorders>
              <w:top w:val="nil"/>
              <w:left w:val="nil"/>
              <w:bottom w:val="single" w:color="auto" w:sz="8" w:space="0"/>
              <w:right w:val="single" w:color="auto" w:sz="8" w:space="0"/>
            </w:tcBorders>
            <w:shd w:val="clear" w:color="auto" w:fill="auto"/>
            <w:vAlign w:val="center"/>
          </w:tcPr>
          <w:p w14:paraId="51914AA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4DE90BC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0074E254">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30000</w:t>
            </w:r>
          </w:p>
        </w:tc>
        <w:tc>
          <w:tcPr>
            <w:tcW w:w="993" w:type="dxa"/>
            <w:tcBorders>
              <w:top w:val="nil"/>
              <w:left w:val="nil"/>
              <w:bottom w:val="single" w:color="auto" w:sz="8" w:space="0"/>
              <w:right w:val="single" w:color="auto" w:sz="8" w:space="0"/>
            </w:tcBorders>
            <w:shd w:val="clear" w:color="auto" w:fill="auto"/>
            <w:vAlign w:val="center"/>
          </w:tcPr>
          <w:p w14:paraId="1F1B639E">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30000</w:t>
            </w:r>
          </w:p>
        </w:tc>
      </w:tr>
      <w:tr w14:paraId="4CDA0B28">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644A8F5A">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1B6A4AB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11</w:t>
            </w:r>
          </w:p>
        </w:tc>
        <w:tc>
          <w:tcPr>
            <w:tcW w:w="1417" w:type="dxa"/>
            <w:tcBorders>
              <w:top w:val="nil"/>
              <w:left w:val="nil"/>
              <w:bottom w:val="single" w:color="auto" w:sz="8" w:space="0"/>
              <w:right w:val="single" w:color="auto" w:sz="8" w:space="0"/>
            </w:tcBorders>
            <w:shd w:val="clear" w:color="auto" w:fill="auto"/>
            <w:vAlign w:val="center"/>
          </w:tcPr>
          <w:p w14:paraId="57C1DC5F">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水站管理-调度指挥</w:t>
            </w:r>
          </w:p>
        </w:tc>
        <w:tc>
          <w:tcPr>
            <w:tcW w:w="7402" w:type="dxa"/>
            <w:tcBorders>
              <w:top w:val="nil"/>
              <w:left w:val="nil"/>
              <w:bottom w:val="single" w:color="auto" w:sz="8" w:space="0"/>
              <w:right w:val="single" w:color="auto" w:sz="8" w:space="0"/>
            </w:tcBorders>
            <w:shd w:val="clear" w:color="auto" w:fill="auto"/>
            <w:vAlign w:val="center"/>
          </w:tcPr>
          <w:p w14:paraId="43300CB1">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根据旱情预警数据、水质污水预警数据、监测数据、水体（小微水体）数字模型等信息，实现工程调度（设备）、人工调度；并可查询历史所有调度的执行完成结果。</w:t>
            </w:r>
          </w:p>
        </w:tc>
        <w:tc>
          <w:tcPr>
            <w:tcW w:w="509" w:type="dxa"/>
            <w:tcBorders>
              <w:top w:val="nil"/>
              <w:left w:val="nil"/>
              <w:bottom w:val="single" w:color="auto" w:sz="8" w:space="0"/>
              <w:right w:val="single" w:color="auto" w:sz="8" w:space="0"/>
            </w:tcBorders>
            <w:shd w:val="clear" w:color="auto" w:fill="auto"/>
            <w:vAlign w:val="center"/>
          </w:tcPr>
          <w:p w14:paraId="2563B686">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7D5DEC7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744D358">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39000</w:t>
            </w:r>
          </w:p>
        </w:tc>
        <w:tc>
          <w:tcPr>
            <w:tcW w:w="993" w:type="dxa"/>
            <w:tcBorders>
              <w:top w:val="nil"/>
              <w:left w:val="nil"/>
              <w:bottom w:val="single" w:color="auto" w:sz="8" w:space="0"/>
              <w:right w:val="single" w:color="auto" w:sz="8" w:space="0"/>
            </w:tcBorders>
            <w:shd w:val="clear" w:color="auto" w:fill="auto"/>
            <w:vAlign w:val="center"/>
          </w:tcPr>
          <w:p w14:paraId="466C893F">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39000</w:t>
            </w:r>
          </w:p>
        </w:tc>
      </w:tr>
      <w:tr w14:paraId="050CB980">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63EACC21">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41A5FC95">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12</w:t>
            </w:r>
          </w:p>
        </w:tc>
        <w:tc>
          <w:tcPr>
            <w:tcW w:w="1417" w:type="dxa"/>
            <w:tcBorders>
              <w:top w:val="nil"/>
              <w:left w:val="nil"/>
              <w:bottom w:val="single" w:color="auto" w:sz="8" w:space="0"/>
              <w:right w:val="single" w:color="auto" w:sz="8" w:space="0"/>
            </w:tcBorders>
            <w:shd w:val="clear" w:color="auto" w:fill="auto"/>
            <w:vAlign w:val="center"/>
          </w:tcPr>
          <w:p w14:paraId="17D7BDD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水站管理-报表统计</w:t>
            </w:r>
          </w:p>
        </w:tc>
        <w:tc>
          <w:tcPr>
            <w:tcW w:w="7402" w:type="dxa"/>
            <w:tcBorders>
              <w:top w:val="nil"/>
              <w:left w:val="nil"/>
              <w:bottom w:val="single" w:color="auto" w:sz="8" w:space="0"/>
              <w:right w:val="single" w:color="auto" w:sz="8" w:space="0"/>
            </w:tcBorders>
            <w:shd w:val="clear" w:color="auto" w:fill="auto"/>
            <w:vAlign w:val="center"/>
          </w:tcPr>
          <w:p w14:paraId="4A9BAA0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统计水资源水量报表、水质报表、旱情预警报表（每年旱情预警信息、预警行动信息、调度指挥信息、影响乡镇、单村信息；可以进行同比）。</w:t>
            </w:r>
          </w:p>
        </w:tc>
        <w:tc>
          <w:tcPr>
            <w:tcW w:w="509" w:type="dxa"/>
            <w:tcBorders>
              <w:top w:val="nil"/>
              <w:left w:val="nil"/>
              <w:bottom w:val="single" w:color="auto" w:sz="8" w:space="0"/>
              <w:right w:val="single" w:color="auto" w:sz="8" w:space="0"/>
            </w:tcBorders>
            <w:shd w:val="clear" w:color="auto" w:fill="auto"/>
            <w:vAlign w:val="center"/>
          </w:tcPr>
          <w:p w14:paraId="50D72AE8">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6995E7F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36F1A95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32000</w:t>
            </w:r>
          </w:p>
        </w:tc>
        <w:tc>
          <w:tcPr>
            <w:tcW w:w="993" w:type="dxa"/>
            <w:tcBorders>
              <w:top w:val="nil"/>
              <w:left w:val="nil"/>
              <w:bottom w:val="single" w:color="auto" w:sz="8" w:space="0"/>
              <w:right w:val="single" w:color="auto" w:sz="8" w:space="0"/>
            </w:tcBorders>
            <w:shd w:val="clear" w:color="auto" w:fill="auto"/>
            <w:vAlign w:val="center"/>
          </w:tcPr>
          <w:p w14:paraId="6FFAD6B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32000</w:t>
            </w:r>
          </w:p>
        </w:tc>
      </w:tr>
      <w:tr w14:paraId="41015C0E">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43516D3">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13B986C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13</w:t>
            </w:r>
          </w:p>
        </w:tc>
        <w:tc>
          <w:tcPr>
            <w:tcW w:w="1417" w:type="dxa"/>
            <w:tcBorders>
              <w:top w:val="nil"/>
              <w:left w:val="nil"/>
              <w:bottom w:val="single" w:color="auto" w:sz="8" w:space="0"/>
              <w:right w:val="single" w:color="auto" w:sz="8" w:space="0"/>
            </w:tcBorders>
            <w:shd w:val="clear" w:color="auto" w:fill="auto"/>
            <w:vAlign w:val="center"/>
          </w:tcPr>
          <w:p w14:paraId="4F735562">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水站管理-日常巡查</w:t>
            </w:r>
          </w:p>
        </w:tc>
        <w:tc>
          <w:tcPr>
            <w:tcW w:w="7402" w:type="dxa"/>
            <w:tcBorders>
              <w:top w:val="nil"/>
              <w:left w:val="nil"/>
              <w:bottom w:val="single" w:color="auto" w:sz="8" w:space="0"/>
              <w:right w:val="single" w:color="auto" w:sz="8" w:space="0"/>
            </w:tcBorders>
            <w:shd w:val="clear" w:color="auto" w:fill="auto"/>
            <w:vAlign w:val="center"/>
          </w:tcPr>
          <w:p w14:paraId="169F5E15">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建立日常巡查制度，主要通过手机端进行现场巡查、拍照等相关操作，通过手机端提交，PC端展示相关巡查数据，并将巡查数据推送至制度管理以及预警管理系统，通过规则的设定提升巡查效率以及巡查制度的落实。</w:t>
            </w:r>
          </w:p>
        </w:tc>
        <w:tc>
          <w:tcPr>
            <w:tcW w:w="509" w:type="dxa"/>
            <w:tcBorders>
              <w:top w:val="nil"/>
              <w:left w:val="nil"/>
              <w:bottom w:val="single" w:color="auto" w:sz="8" w:space="0"/>
              <w:right w:val="single" w:color="auto" w:sz="8" w:space="0"/>
            </w:tcBorders>
            <w:shd w:val="clear" w:color="auto" w:fill="auto"/>
            <w:vAlign w:val="center"/>
          </w:tcPr>
          <w:p w14:paraId="7AE8F80F">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56814CA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3965E65A">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32800</w:t>
            </w:r>
          </w:p>
        </w:tc>
        <w:tc>
          <w:tcPr>
            <w:tcW w:w="993" w:type="dxa"/>
            <w:tcBorders>
              <w:top w:val="nil"/>
              <w:left w:val="nil"/>
              <w:bottom w:val="single" w:color="auto" w:sz="8" w:space="0"/>
              <w:right w:val="single" w:color="auto" w:sz="8" w:space="0"/>
            </w:tcBorders>
            <w:shd w:val="clear" w:color="auto" w:fill="auto"/>
            <w:vAlign w:val="center"/>
          </w:tcPr>
          <w:p w14:paraId="1542DC12">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32800</w:t>
            </w:r>
          </w:p>
        </w:tc>
      </w:tr>
      <w:tr w14:paraId="61C3887D">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6C3563CB">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742535D">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14</w:t>
            </w:r>
          </w:p>
        </w:tc>
        <w:tc>
          <w:tcPr>
            <w:tcW w:w="1417" w:type="dxa"/>
            <w:tcBorders>
              <w:top w:val="nil"/>
              <w:left w:val="nil"/>
              <w:bottom w:val="single" w:color="auto" w:sz="8" w:space="0"/>
              <w:right w:val="single" w:color="auto" w:sz="8" w:space="0"/>
            </w:tcBorders>
            <w:shd w:val="clear" w:color="auto" w:fill="auto"/>
            <w:vAlign w:val="center"/>
          </w:tcPr>
          <w:p w14:paraId="2684F0E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水站管理-制度管理</w:t>
            </w:r>
          </w:p>
        </w:tc>
        <w:tc>
          <w:tcPr>
            <w:tcW w:w="7402" w:type="dxa"/>
            <w:tcBorders>
              <w:top w:val="nil"/>
              <w:left w:val="nil"/>
              <w:bottom w:val="single" w:color="auto" w:sz="8" w:space="0"/>
              <w:right w:val="single" w:color="auto" w:sz="8" w:space="0"/>
            </w:tcBorders>
            <w:shd w:val="clear" w:color="auto" w:fill="auto"/>
            <w:vAlign w:val="center"/>
          </w:tcPr>
          <w:p w14:paraId="551B7B47">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针对管辖内的水站管理，通过数字化手段建立奖惩制度，通过日常巡检数据、预警数据以及视频监控等数据，设置相关考核规则，建立考核模型，系统自动统计数据并与规则进行对比，实现对相关人员的考核，并统计相关考核数据，实现精准考核，提升水站管控效率。</w:t>
            </w:r>
          </w:p>
        </w:tc>
        <w:tc>
          <w:tcPr>
            <w:tcW w:w="509" w:type="dxa"/>
            <w:tcBorders>
              <w:top w:val="nil"/>
              <w:left w:val="nil"/>
              <w:bottom w:val="single" w:color="auto" w:sz="8" w:space="0"/>
              <w:right w:val="single" w:color="auto" w:sz="8" w:space="0"/>
            </w:tcBorders>
            <w:shd w:val="clear" w:color="auto" w:fill="auto"/>
            <w:vAlign w:val="center"/>
          </w:tcPr>
          <w:p w14:paraId="1A55421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53D42F8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0E307EC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48000</w:t>
            </w:r>
          </w:p>
        </w:tc>
        <w:tc>
          <w:tcPr>
            <w:tcW w:w="993" w:type="dxa"/>
            <w:tcBorders>
              <w:top w:val="nil"/>
              <w:left w:val="nil"/>
              <w:bottom w:val="single" w:color="auto" w:sz="8" w:space="0"/>
              <w:right w:val="single" w:color="auto" w:sz="8" w:space="0"/>
            </w:tcBorders>
            <w:shd w:val="clear" w:color="auto" w:fill="auto"/>
            <w:vAlign w:val="center"/>
          </w:tcPr>
          <w:p w14:paraId="757D44C1">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48000</w:t>
            </w:r>
          </w:p>
        </w:tc>
      </w:tr>
      <w:tr w14:paraId="48639AD8">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2557FE4D">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3BC3901D">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15</w:t>
            </w:r>
          </w:p>
        </w:tc>
        <w:tc>
          <w:tcPr>
            <w:tcW w:w="1417" w:type="dxa"/>
            <w:tcBorders>
              <w:top w:val="nil"/>
              <w:left w:val="nil"/>
              <w:bottom w:val="single" w:color="auto" w:sz="8" w:space="0"/>
              <w:right w:val="single" w:color="auto" w:sz="8" w:space="0"/>
            </w:tcBorders>
            <w:shd w:val="clear" w:color="auto" w:fill="auto"/>
            <w:vAlign w:val="center"/>
          </w:tcPr>
          <w:p w14:paraId="587C6E9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数据管理-系统登录</w:t>
            </w:r>
          </w:p>
        </w:tc>
        <w:tc>
          <w:tcPr>
            <w:tcW w:w="7402" w:type="dxa"/>
            <w:tcBorders>
              <w:top w:val="nil"/>
              <w:left w:val="nil"/>
              <w:bottom w:val="single" w:color="auto" w:sz="8" w:space="0"/>
              <w:right w:val="single" w:color="auto" w:sz="8" w:space="0"/>
            </w:tcBorders>
            <w:shd w:val="clear" w:color="auto" w:fill="auto"/>
            <w:vAlign w:val="center"/>
          </w:tcPr>
          <w:p w14:paraId="38AB90B1">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管理后台操作人员登入后台时，只需输入一次账号密码后，下次即可免输登录，实现便捷化的登录操作。</w:t>
            </w:r>
          </w:p>
        </w:tc>
        <w:tc>
          <w:tcPr>
            <w:tcW w:w="509" w:type="dxa"/>
            <w:tcBorders>
              <w:top w:val="nil"/>
              <w:left w:val="nil"/>
              <w:bottom w:val="single" w:color="auto" w:sz="8" w:space="0"/>
              <w:right w:val="single" w:color="auto" w:sz="8" w:space="0"/>
            </w:tcBorders>
            <w:shd w:val="clear" w:color="auto" w:fill="auto"/>
            <w:vAlign w:val="center"/>
          </w:tcPr>
          <w:p w14:paraId="28DA971E">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64E411F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C9145A9">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c>
          <w:tcPr>
            <w:tcW w:w="993" w:type="dxa"/>
            <w:tcBorders>
              <w:top w:val="nil"/>
              <w:left w:val="nil"/>
              <w:bottom w:val="single" w:color="auto" w:sz="8" w:space="0"/>
              <w:right w:val="single" w:color="auto" w:sz="8" w:space="0"/>
            </w:tcBorders>
            <w:shd w:val="clear" w:color="auto" w:fill="auto"/>
            <w:vAlign w:val="center"/>
          </w:tcPr>
          <w:p w14:paraId="0C2A2895">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r>
      <w:tr w14:paraId="211770E4">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30382B95">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5ECC82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16</w:t>
            </w:r>
          </w:p>
        </w:tc>
        <w:tc>
          <w:tcPr>
            <w:tcW w:w="1417" w:type="dxa"/>
            <w:tcBorders>
              <w:top w:val="nil"/>
              <w:left w:val="nil"/>
              <w:bottom w:val="single" w:color="auto" w:sz="8" w:space="0"/>
              <w:right w:val="single" w:color="auto" w:sz="8" w:space="0"/>
            </w:tcBorders>
            <w:shd w:val="clear" w:color="auto" w:fill="auto"/>
            <w:vAlign w:val="center"/>
          </w:tcPr>
          <w:p w14:paraId="17C8200C">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数据管理-采集管理</w:t>
            </w:r>
          </w:p>
        </w:tc>
        <w:tc>
          <w:tcPr>
            <w:tcW w:w="7402" w:type="dxa"/>
            <w:tcBorders>
              <w:top w:val="nil"/>
              <w:left w:val="nil"/>
              <w:bottom w:val="single" w:color="auto" w:sz="8" w:space="0"/>
              <w:right w:val="single" w:color="auto" w:sz="8" w:space="0"/>
            </w:tcBorders>
            <w:shd w:val="clear" w:color="auto" w:fill="auto"/>
            <w:vAlign w:val="center"/>
          </w:tcPr>
          <w:p w14:paraId="73821AB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数据采集管理：根据数据源清单发现及准确找到外部数据（含第三方数据），通过平台接口方式，将其他所需数据进行获取，同步送至数据加工厂内进行数据加工与提炼。</w:t>
            </w:r>
          </w:p>
        </w:tc>
        <w:tc>
          <w:tcPr>
            <w:tcW w:w="509" w:type="dxa"/>
            <w:tcBorders>
              <w:top w:val="nil"/>
              <w:left w:val="nil"/>
              <w:bottom w:val="single" w:color="auto" w:sz="8" w:space="0"/>
              <w:right w:val="single" w:color="auto" w:sz="8" w:space="0"/>
            </w:tcBorders>
            <w:shd w:val="clear" w:color="auto" w:fill="auto"/>
            <w:vAlign w:val="center"/>
          </w:tcPr>
          <w:p w14:paraId="6148AF35">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3C76697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25B97CBC">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15000</w:t>
            </w:r>
          </w:p>
        </w:tc>
        <w:tc>
          <w:tcPr>
            <w:tcW w:w="993" w:type="dxa"/>
            <w:tcBorders>
              <w:top w:val="nil"/>
              <w:left w:val="nil"/>
              <w:bottom w:val="single" w:color="auto" w:sz="8" w:space="0"/>
              <w:right w:val="single" w:color="auto" w:sz="8" w:space="0"/>
            </w:tcBorders>
            <w:shd w:val="clear" w:color="auto" w:fill="auto"/>
            <w:vAlign w:val="center"/>
          </w:tcPr>
          <w:p w14:paraId="57F30519">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15000</w:t>
            </w:r>
          </w:p>
        </w:tc>
      </w:tr>
      <w:tr w14:paraId="4E6E751F">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1B52A862">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4D126B0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17</w:t>
            </w:r>
          </w:p>
        </w:tc>
        <w:tc>
          <w:tcPr>
            <w:tcW w:w="1417" w:type="dxa"/>
            <w:tcBorders>
              <w:top w:val="nil"/>
              <w:left w:val="nil"/>
              <w:bottom w:val="single" w:color="auto" w:sz="8" w:space="0"/>
              <w:right w:val="single" w:color="auto" w:sz="8" w:space="0"/>
            </w:tcBorders>
            <w:shd w:val="clear" w:color="auto" w:fill="auto"/>
            <w:vAlign w:val="center"/>
          </w:tcPr>
          <w:p w14:paraId="569FD011">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数据管理-用户管理</w:t>
            </w:r>
          </w:p>
        </w:tc>
        <w:tc>
          <w:tcPr>
            <w:tcW w:w="7402" w:type="dxa"/>
            <w:tcBorders>
              <w:top w:val="nil"/>
              <w:left w:val="nil"/>
              <w:bottom w:val="single" w:color="auto" w:sz="8" w:space="0"/>
              <w:right w:val="single" w:color="auto" w:sz="8" w:space="0"/>
            </w:tcBorders>
            <w:shd w:val="clear" w:color="auto" w:fill="auto"/>
            <w:vAlign w:val="center"/>
          </w:tcPr>
          <w:p w14:paraId="4BFDF9B0">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在系统中，需要为每个使用该系统的人员独立的账户、登录口令及为账户分配相应的权限以便人员能正常使用系统的相关功能模块。数据综合管理后台应提供账号数据的新增，编辑，删除，导出，生效和失效等功能。</w:t>
            </w:r>
          </w:p>
        </w:tc>
        <w:tc>
          <w:tcPr>
            <w:tcW w:w="509" w:type="dxa"/>
            <w:tcBorders>
              <w:top w:val="nil"/>
              <w:left w:val="nil"/>
              <w:bottom w:val="single" w:color="auto" w:sz="8" w:space="0"/>
              <w:right w:val="single" w:color="auto" w:sz="8" w:space="0"/>
            </w:tcBorders>
            <w:shd w:val="clear" w:color="auto" w:fill="auto"/>
            <w:vAlign w:val="center"/>
          </w:tcPr>
          <w:p w14:paraId="6960A2C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3B51EEA8">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513D839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c>
          <w:tcPr>
            <w:tcW w:w="993" w:type="dxa"/>
            <w:tcBorders>
              <w:top w:val="nil"/>
              <w:left w:val="nil"/>
              <w:bottom w:val="single" w:color="auto" w:sz="8" w:space="0"/>
              <w:right w:val="single" w:color="auto" w:sz="8" w:space="0"/>
            </w:tcBorders>
            <w:shd w:val="clear" w:color="auto" w:fill="auto"/>
            <w:vAlign w:val="center"/>
          </w:tcPr>
          <w:p w14:paraId="3FEEFD0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r>
      <w:tr w14:paraId="7A890015">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7E901633">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8B0B0F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18</w:t>
            </w:r>
          </w:p>
        </w:tc>
        <w:tc>
          <w:tcPr>
            <w:tcW w:w="1417" w:type="dxa"/>
            <w:tcBorders>
              <w:top w:val="nil"/>
              <w:left w:val="nil"/>
              <w:bottom w:val="single" w:color="auto" w:sz="8" w:space="0"/>
              <w:right w:val="single" w:color="auto" w:sz="8" w:space="0"/>
            </w:tcBorders>
            <w:shd w:val="clear" w:color="auto" w:fill="auto"/>
            <w:vAlign w:val="center"/>
          </w:tcPr>
          <w:p w14:paraId="2D81D91C">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数据管理-角色管理</w:t>
            </w:r>
          </w:p>
        </w:tc>
        <w:tc>
          <w:tcPr>
            <w:tcW w:w="7402" w:type="dxa"/>
            <w:tcBorders>
              <w:top w:val="nil"/>
              <w:left w:val="nil"/>
              <w:bottom w:val="single" w:color="auto" w:sz="8" w:space="0"/>
              <w:right w:val="single" w:color="auto" w:sz="8" w:space="0"/>
            </w:tcBorders>
            <w:shd w:val="clear" w:color="auto" w:fill="auto"/>
            <w:vAlign w:val="center"/>
          </w:tcPr>
          <w:p w14:paraId="6972D7D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为管理后台创建用户的角色信息，每个用户可以拥有一个或者多个角色，最后取权限的并集进行菜单的展示。在系统中超级管理员的权限最高，可以管理整个后台的所有功能，在超级管理员之下可建立其他管理员或普通用户，整个权限体系呈树杈型结构，既满足系统用户集中的管理，又实现了权限的层级式管理。</w:t>
            </w:r>
          </w:p>
        </w:tc>
        <w:tc>
          <w:tcPr>
            <w:tcW w:w="509" w:type="dxa"/>
            <w:tcBorders>
              <w:top w:val="nil"/>
              <w:left w:val="nil"/>
              <w:bottom w:val="single" w:color="auto" w:sz="8" w:space="0"/>
              <w:right w:val="single" w:color="auto" w:sz="8" w:space="0"/>
            </w:tcBorders>
            <w:shd w:val="clear" w:color="auto" w:fill="auto"/>
            <w:vAlign w:val="center"/>
          </w:tcPr>
          <w:p w14:paraId="75D0518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53D4F89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2C50BFFF">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c>
          <w:tcPr>
            <w:tcW w:w="993" w:type="dxa"/>
            <w:tcBorders>
              <w:top w:val="nil"/>
              <w:left w:val="nil"/>
              <w:bottom w:val="single" w:color="auto" w:sz="8" w:space="0"/>
              <w:right w:val="single" w:color="auto" w:sz="8" w:space="0"/>
            </w:tcBorders>
            <w:shd w:val="clear" w:color="auto" w:fill="auto"/>
            <w:vAlign w:val="center"/>
          </w:tcPr>
          <w:p w14:paraId="30E27400">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r>
      <w:tr w14:paraId="1ADC2798">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74D52EE5">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3174FE6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19</w:t>
            </w:r>
          </w:p>
        </w:tc>
        <w:tc>
          <w:tcPr>
            <w:tcW w:w="1417" w:type="dxa"/>
            <w:tcBorders>
              <w:top w:val="nil"/>
              <w:left w:val="nil"/>
              <w:bottom w:val="single" w:color="auto" w:sz="8" w:space="0"/>
              <w:right w:val="single" w:color="auto" w:sz="8" w:space="0"/>
            </w:tcBorders>
            <w:shd w:val="clear" w:color="auto" w:fill="auto"/>
            <w:vAlign w:val="center"/>
          </w:tcPr>
          <w:p w14:paraId="70508EF4">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数据管理-权限管理</w:t>
            </w:r>
          </w:p>
        </w:tc>
        <w:tc>
          <w:tcPr>
            <w:tcW w:w="7402" w:type="dxa"/>
            <w:tcBorders>
              <w:top w:val="nil"/>
              <w:left w:val="nil"/>
              <w:bottom w:val="single" w:color="auto" w:sz="8" w:space="0"/>
              <w:right w:val="single" w:color="auto" w:sz="8" w:space="0"/>
            </w:tcBorders>
            <w:shd w:val="clear" w:color="auto" w:fill="auto"/>
            <w:vAlign w:val="center"/>
          </w:tcPr>
          <w:p w14:paraId="5D89292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系统基于RBAC为角色配置各后台功能的管理权限，各类管理人员的管理范围和权限不同。</w:t>
            </w:r>
          </w:p>
        </w:tc>
        <w:tc>
          <w:tcPr>
            <w:tcW w:w="509" w:type="dxa"/>
            <w:tcBorders>
              <w:top w:val="nil"/>
              <w:left w:val="nil"/>
              <w:bottom w:val="single" w:color="auto" w:sz="8" w:space="0"/>
              <w:right w:val="single" w:color="auto" w:sz="8" w:space="0"/>
            </w:tcBorders>
            <w:shd w:val="clear" w:color="auto" w:fill="auto"/>
            <w:vAlign w:val="center"/>
          </w:tcPr>
          <w:p w14:paraId="71FD1A4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15E616D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37064809">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c>
          <w:tcPr>
            <w:tcW w:w="993" w:type="dxa"/>
            <w:tcBorders>
              <w:top w:val="nil"/>
              <w:left w:val="nil"/>
              <w:bottom w:val="single" w:color="auto" w:sz="8" w:space="0"/>
              <w:right w:val="single" w:color="auto" w:sz="8" w:space="0"/>
            </w:tcBorders>
            <w:shd w:val="clear" w:color="auto" w:fill="auto"/>
            <w:vAlign w:val="center"/>
          </w:tcPr>
          <w:p w14:paraId="070661A2">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r>
      <w:tr w14:paraId="34E06C8F">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AE7BE59">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77E24C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20</w:t>
            </w:r>
          </w:p>
        </w:tc>
        <w:tc>
          <w:tcPr>
            <w:tcW w:w="1417" w:type="dxa"/>
            <w:tcBorders>
              <w:top w:val="nil"/>
              <w:left w:val="nil"/>
              <w:bottom w:val="single" w:color="auto" w:sz="8" w:space="0"/>
              <w:right w:val="single" w:color="auto" w:sz="8" w:space="0"/>
            </w:tcBorders>
            <w:shd w:val="clear" w:color="auto" w:fill="auto"/>
            <w:vAlign w:val="center"/>
          </w:tcPr>
          <w:p w14:paraId="3D5625A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数据管理-组织管理</w:t>
            </w:r>
          </w:p>
        </w:tc>
        <w:tc>
          <w:tcPr>
            <w:tcW w:w="7402" w:type="dxa"/>
            <w:tcBorders>
              <w:top w:val="nil"/>
              <w:left w:val="nil"/>
              <w:bottom w:val="single" w:color="auto" w:sz="8" w:space="0"/>
              <w:right w:val="single" w:color="auto" w:sz="8" w:space="0"/>
            </w:tcBorders>
            <w:shd w:val="clear" w:color="auto" w:fill="auto"/>
            <w:vAlign w:val="center"/>
          </w:tcPr>
          <w:p w14:paraId="2CEF9AF0">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系统应提供部门组织机构数据的增加、修改、删除功能。允许系统用户根据特殊需要进行组织机构数据的增加，为系统的特定组织机构管理、用户管理、特定权限分配提供数据基础。</w:t>
            </w:r>
          </w:p>
        </w:tc>
        <w:tc>
          <w:tcPr>
            <w:tcW w:w="509" w:type="dxa"/>
            <w:tcBorders>
              <w:top w:val="nil"/>
              <w:left w:val="nil"/>
              <w:bottom w:val="single" w:color="auto" w:sz="8" w:space="0"/>
              <w:right w:val="single" w:color="auto" w:sz="8" w:space="0"/>
            </w:tcBorders>
            <w:shd w:val="clear" w:color="auto" w:fill="auto"/>
            <w:vAlign w:val="center"/>
          </w:tcPr>
          <w:p w14:paraId="7F17BB28">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4C73E2CB">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4D069EE">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c>
          <w:tcPr>
            <w:tcW w:w="993" w:type="dxa"/>
            <w:tcBorders>
              <w:top w:val="nil"/>
              <w:left w:val="nil"/>
              <w:bottom w:val="single" w:color="auto" w:sz="8" w:space="0"/>
              <w:right w:val="single" w:color="auto" w:sz="8" w:space="0"/>
            </w:tcBorders>
            <w:shd w:val="clear" w:color="auto" w:fill="auto"/>
            <w:vAlign w:val="center"/>
          </w:tcPr>
          <w:p w14:paraId="1A7C7D52">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14100</w:t>
            </w:r>
          </w:p>
        </w:tc>
      </w:tr>
      <w:tr w14:paraId="3C73BBD0">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20B18584">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55BCB1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21</w:t>
            </w:r>
          </w:p>
        </w:tc>
        <w:tc>
          <w:tcPr>
            <w:tcW w:w="1417" w:type="dxa"/>
            <w:tcBorders>
              <w:top w:val="nil"/>
              <w:left w:val="nil"/>
              <w:bottom w:val="single" w:color="auto" w:sz="8" w:space="0"/>
              <w:right w:val="single" w:color="auto" w:sz="8" w:space="0"/>
            </w:tcBorders>
            <w:shd w:val="clear" w:color="auto" w:fill="auto"/>
            <w:vAlign w:val="center"/>
          </w:tcPr>
          <w:p w14:paraId="3D8AABF6">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数据管理-菜单管理</w:t>
            </w:r>
          </w:p>
        </w:tc>
        <w:tc>
          <w:tcPr>
            <w:tcW w:w="7402" w:type="dxa"/>
            <w:tcBorders>
              <w:top w:val="nil"/>
              <w:left w:val="nil"/>
              <w:bottom w:val="single" w:color="auto" w:sz="8" w:space="0"/>
              <w:right w:val="single" w:color="auto" w:sz="8" w:space="0"/>
            </w:tcBorders>
            <w:shd w:val="clear" w:color="auto" w:fill="auto"/>
            <w:vAlign w:val="center"/>
          </w:tcPr>
          <w:p w14:paraId="0BF3D336">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支持对系统菜单的管理功能，包括菜单编号、菜单名称、菜单路径、菜单模式，支持系统内的菜单自定义管理。</w:t>
            </w:r>
          </w:p>
        </w:tc>
        <w:tc>
          <w:tcPr>
            <w:tcW w:w="509" w:type="dxa"/>
            <w:tcBorders>
              <w:top w:val="nil"/>
              <w:left w:val="nil"/>
              <w:bottom w:val="single" w:color="auto" w:sz="8" w:space="0"/>
              <w:right w:val="single" w:color="auto" w:sz="8" w:space="0"/>
            </w:tcBorders>
            <w:shd w:val="clear" w:color="auto" w:fill="auto"/>
            <w:vAlign w:val="center"/>
          </w:tcPr>
          <w:p w14:paraId="23FA861A">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5CF751D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70C4A87">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c>
          <w:tcPr>
            <w:tcW w:w="993" w:type="dxa"/>
            <w:tcBorders>
              <w:top w:val="nil"/>
              <w:left w:val="nil"/>
              <w:bottom w:val="single" w:color="auto" w:sz="8" w:space="0"/>
              <w:right w:val="single" w:color="auto" w:sz="8" w:space="0"/>
            </w:tcBorders>
            <w:shd w:val="clear" w:color="auto" w:fill="auto"/>
            <w:vAlign w:val="center"/>
          </w:tcPr>
          <w:p w14:paraId="4D93DC35">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r>
      <w:tr w14:paraId="0ADA9041">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3EF8FD3E">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11815D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22</w:t>
            </w:r>
          </w:p>
        </w:tc>
        <w:tc>
          <w:tcPr>
            <w:tcW w:w="1417" w:type="dxa"/>
            <w:tcBorders>
              <w:top w:val="nil"/>
              <w:left w:val="nil"/>
              <w:bottom w:val="single" w:color="auto" w:sz="8" w:space="0"/>
              <w:right w:val="single" w:color="auto" w:sz="8" w:space="0"/>
            </w:tcBorders>
            <w:shd w:val="clear" w:color="auto" w:fill="auto"/>
            <w:vAlign w:val="center"/>
          </w:tcPr>
          <w:p w14:paraId="440A4BD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数据管理-参数管理</w:t>
            </w:r>
          </w:p>
        </w:tc>
        <w:tc>
          <w:tcPr>
            <w:tcW w:w="7402" w:type="dxa"/>
            <w:tcBorders>
              <w:top w:val="nil"/>
              <w:left w:val="nil"/>
              <w:bottom w:val="single" w:color="auto" w:sz="8" w:space="0"/>
              <w:right w:val="single" w:color="auto" w:sz="8" w:space="0"/>
            </w:tcBorders>
            <w:shd w:val="clear" w:color="auto" w:fill="auto"/>
            <w:vAlign w:val="center"/>
          </w:tcPr>
          <w:p w14:paraId="5A0C719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设置系统级别和应用级别的参数，实现灵活配置。</w:t>
            </w:r>
          </w:p>
        </w:tc>
        <w:tc>
          <w:tcPr>
            <w:tcW w:w="509" w:type="dxa"/>
            <w:tcBorders>
              <w:top w:val="nil"/>
              <w:left w:val="nil"/>
              <w:bottom w:val="single" w:color="auto" w:sz="8" w:space="0"/>
              <w:right w:val="single" w:color="auto" w:sz="8" w:space="0"/>
            </w:tcBorders>
            <w:shd w:val="clear" w:color="auto" w:fill="auto"/>
            <w:vAlign w:val="center"/>
          </w:tcPr>
          <w:p w14:paraId="2A6F6D3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0FBD1D37">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651678BB">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8500</w:t>
            </w:r>
          </w:p>
        </w:tc>
        <w:tc>
          <w:tcPr>
            <w:tcW w:w="993" w:type="dxa"/>
            <w:tcBorders>
              <w:top w:val="nil"/>
              <w:left w:val="nil"/>
              <w:bottom w:val="single" w:color="auto" w:sz="8" w:space="0"/>
              <w:right w:val="single" w:color="auto" w:sz="8" w:space="0"/>
            </w:tcBorders>
            <w:shd w:val="clear" w:color="auto" w:fill="auto"/>
            <w:vAlign w:val="center"/>
          </w:tcPr>
          <w:p w14:paraId="2A228F27">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8500</w:t>
            </w:r>
          </w:p>
        </w:tc>
      </w:tr>
      <w:tr w14:paraId="4A9BD6F7">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7DDCD338">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1BA001B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23</w:t>
            </w:r>
          </w:p>
        </w:tc>
        <w:tc>
          <w:tcPr>
            <w:tcW w:w="1417" w:type="dxa"/>
            <w:tcBorders>
              <w:top w:val="nil"/>
              <w:left w:val="nil"/>
              <w:bottom w:val="single" w:color="auto" w:sz="8" w:space="0"/>
              <w:right w:val="single" w:color="auto" w:sz="8" w:space="0"/>
            </w:tcBorders>
            <w:shd w:val="clear" w:color="auto" w:fill="auto"/>
            <w:vAlign w:val="center"/>
          </w:tcPr>
          <w:p w14:paraId="646F3C7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数据管理-数据字典管理</w:t>
            </w:r>
          </w:p>
        </w:tc>
        <w:tc>
          <w:tcPr>
            <w:tcW w:w="7402" w:type="dxa"/>
            <w:tcBorders>
              <w:top w:val="nil"/>
              <w:left w:val="nil"/>
              <w:bottom w:val="single" w:color="auto" w:sz="8" w:space="0"/>
              <w:right w:val="single" w:color="auto" w:sz="8" w:space="0"/>
            </w:tcBorders>
            <w:shd w:val="clear" w:color="auto" w:fill="auto"/>
            <w:vAlign w:val="center"/>
          </w:tcPr>
          <w:p w14:paraId="1A6FCA1F">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可对系统数据字典内容进行新增，编辑，删除操作，实现对系统内的数据字段进行调整，完成字段的管理维护。</w:t>
            </w:r>
          </w:p>
        </w:tc>
        <w:tc>
          <w:tcPr>
            <w:tcW w:w="509" w:type="dxa"/>
            <w:tcBorders>
              <w:top w:val="nil"/>
              <w:left w:val="nil"/>
              <w:bottom w:val="single" w:color="auto" w:sz="8" w:space="0"/>
              <w:right w:val="single" w:color="auto" w:sz="8" w:space="0"/>
            </w:tcBorders>
            <w:shd w:val="clear" w:color="auto" w:fill="auto"/>
            <w:vAlign w:val="center"/>
          </w:tcPr>
          <w:p w14:paraId="4DA9CAC6">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05D4DAA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51D538DF">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c>
          <w:tcPr>
            <w:tcW w:w="993" w:type="dxa"/>
            <w:tcBorders>
              <w:top w:val="nil"/>
              <w:left w:val="nil"/>
              <w:bottom w:val="single" w:color="auto" w:sz="8" w:space="0"/>
              <w:right w:val="single" w:color="auto" w:sz="8" w:space="0"/>
            </w:tcBorders>
            <w:shd w:val="clear" w:color="auto" w:fill="auto"/>
            <w:vAlign w:val="center"/>
          </w:tcPr>
          <w:p w14:paraId="7BF394AE">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13000</w:t>
            </w:r>
          </w:p>
        </w:tc>
      </w:tr>
      <w:tr w14:paraId="50618E87">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7929008">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CAC55A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24</w:t>
            </w:r>
          </w:p>
        </w:tc>
        <w:tc>
          <w:tcPr>
            <w:tcW w:w="1417" w:type="dxa"/>
            <w:tcBorders>
              <w:top w:val="nil"/>
              <w:left w:val="nil"/>
              <w:bottom w:val="single" w:color="auto" w:sz="8" w:space="0"/>
              <w:right w:val="single" w:color="auto" w:sz="8" w:space="0"/>
            </w:tcBorders>
            <w:shd w:val="clear" w:color="auto" w:fill="auto"/>
            <w:vAlign w:val="center"/>
          </w:tcPr>
          <w:p w14:paraId="6A5DC95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数据管理-系统日志管理</w:t>
            </w:r>
          </w:p>
        </w:tc>
        <w:tc>
          <w:tcPr>
            <w:tcW w:w="7402" w:type="dxa"/>
            <w:tcBorders>
              <w:top w:val="nil"/>
              <w:left w:val="nil"/>
              <w:bottom w:val="single" w:color="auto" w:sz="8" w:space="0"/>
              <w:right w:val="single" w:color="auto" w:sz="8" w:space="0"/>
            </w:tcBorders>
            <w:shd w:val="clear" w:color="auto" w:fill="auto"/>
            <w:vAlign w:val="center"/>
          </w:tcPr>
          <w:p w14:paraId="2B02163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在庞大繁杂的业务流程中，需要将每个人的工作明细进行记录，系统提供日志管理模块，保留每个账号在系统中的操作痕迹。记录系统人员操作和各系统的操作内容，并提供操作日志的组合查询、导出等功能。</w:t>
            </w:r>
          </w:p>
        </w:tc>
        <w:tc>
          <w:tcPr>
            <w:tcW w:w="509" w:type="dxa"/>
            <w:tcBorders>
              <w:top w:val="nil"/>
              <w:left w:val="nil"/>
              <w:bottom w:val="single" w:color="auto" w:sz="8" w:space="0"/>
              <w:right w:val="single" w:color="auto" w:sz="8" w:space="0"/>
            </w:tcBorders>
            <w:shd w:val="clear" w:color="auto" w:fill="auto"/>
            <w:vAlign w:val="center"/>
          </w:tcPr>
          <w:p w14:paraId="0A1B801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5C0CF39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77E941B7">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19800</w:t>
            </w:r>
          </w:p>
        </w:tc>
        <w:tc>
          <w:tcPr>
            <w:tcW w:w="993" w:type="dxa"/>
            <w:tcBorders>
              <w:top w:val="nil"/>
              <w:left w:val="nil"/>
              <w:bottom w:val="single" w:color="auto" w:sz="8" w:space="0"/>
              <w:right w:val="single" w:color="auto" w:sz="8" w:space="0"/>
            </w:tcBorders>
            <w:shd w:val="clear" w:color="auto" w:fill="auto"/>
            <w:vAlign w:val="center"/>
          </w:tcPr>
          <w:p w14:paraId="4A8AF839">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19800</w:t>
            </w:r>
          </w:p>
        </w:tc>
      </w:tr>
      <w:tr w14:paraId="4B056106">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49A5B97E">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75C9F88D">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25</w:t>
            </w:r>
          </w:p>
        </w:tc>
        <w:tc>
          <w:tcPr>
            <w:tcW w:w="1417" w:type="dxa"/>
            <w:tcBorders>
              <w:top w:val="nil"/>
              <w:left w:val="nil"/>
              <w:bottom w:val="single" w:color="auto" w:sz="8" w:space="0"/>
              <w:right w:val="single" w:color="auto" w:sz="8" w:space="0"/>
            </w:tcBorders>
            <w:shd w:val="clear" w:color="auto" w:fill="auto"/>
            <w:vAlign w:val="center"/>
          </w:tcPr>
          <w:p w14:paraId="60513AFF">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数据管理-数据安全管理</w:t>
            </w:r>
          </w:p>
        </w:tc>
        <w:tc>
          <w:tcPr>
            <w:tcW w:w="7402" w:type="dxa"/>
            <w:tcBorders>
              <w:top w:val="nil"/>
              <w:left w:val="nil"/>
              <w:bottom w:val="single" w:color="auto" w:sz="8" w:space="0"/>
              <w:right w:val="single" w:color="auto" w:sz="8" w:space="0"/>
            </w:tcBorders>
            <w:shd w:val="clear" w:color="auto" w:fill="auto"/>
            <w:vAlign w:val="center"/>
          </w:tcPr>
          <w:p w14:paraId="2751398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备份是为了防止数据灾难的有效措施之一，系统可实现定时、实时在线备份应用系统数据，然后保存到指定的云存储资源中。另外，当对重要数据进行删除操作（如红色预警数据）时，可通过短信等方式告知相关管理人员。</w:t>
            </w:r>
          </w:p>
        </w:tc>
        <w:tc>
          <w:tcPr>
            <w:tcW w:w="509" w:type="dxa"/>
            <w:tcBorders>
              <w:top w:val="nil"/>
              <w:left w:val="nil"/>
              <w:bottom w:val="single" w:color="auto" w:sz="8" w:space="0"/>
              <w:right w:val="single" w:color="auto" w:sz="8" w:space="0"/>
            </w:tcBorders>
            <w:shd w:val="clear" w:color="auto" w:fill="auto"/>
            <w:vAlign w:val="center"/>
          </w:tcPr>
          <w:p w14:paraId="7219CC28">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62BA16F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1810B683">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29500</w:t>
            </w:r>
          </w:p>
        </w:tc>
        <w:tc>
          <w:tcPr>
            <w:tcW w:w="993" w:type="dxa"/>
            <w:tcBorders>
              <w:top w:val="nil"/>
              <w:left w:val="nil"/>
              <w:bottom w:val="single" w:color="auto" w:sz="8" w:space="0"/>
              <w:right w:val="single" w:color="auto" w:sz="8" w:space="0"/>
            </w:tcBorders>
            <w:shd w:val="clear" w:color="auto" w:fill="auto"/>
            <w:vAlign w:val="center"/>
          </w:tcPr>
          <w:p w14:paraId="543687D2">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29500</w:t>
            </w:r>
          </w:p>
        </w:tc>
      </w:tr>
      <w:tr w14:paraId="0079C5E2">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286805F0">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39B88B19">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26</w:t>
            </w:r>
          </w:p>
        </w:tc>
        <w:tc>
          <w:tcPr>
            <w:tcW w:w="1417" w:type="dxa"/>
            <w:tcBorders>
              <w:top w:val="nil"/>
              <w:left w:val="nil"/>
              <w:bottom w:val="single" w:color="auto" w:sz="8" w:space="0"/>
              <w:right w:val="single" w:color="auto" w:sz="8" w:space="0"/>
            </w:tcBorders>
            <w:shd w:val="clear" w:color="auto" w:fill="auto"/>
            <w:vAlign w:val="center"/>
          </w:tcPr>
          <w:p w14:paraId="77BD1FC9">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数据管理-短信管理</w:t>
            </w:r>
          </w:p>
        </w:tc>
        <w:tc>
          <w:tcPr>
            <w:tcW w:w="7402" w:type="dxa"/>
            <w:tcBorders>
              <w:top w:val="nil"/>
              <w:left w:val="nil"/>
              <w:bottom w:val="single" w:color="auto" w:sz="8" w:space="0"/>
              <w:right w:val="single" w:color="auto" w:sz="8" w:space="0"/>
            </w:tcBorders>
            <w:shd w:val="clear" w:color="auto" w:fill="auto"/>
            <w:vAlign w:val="center"/>
          </w:tcPr>
          <w:p w14:paraId="2D795CD4">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短信配置：系统与第三方平台进行短信接口的接入工作，配置短信模版，添加收件人等关键信息，可实现系统通过短信提醒关于政府各类通知消息的自动推送。</w:t>
            </w:r>
          </w:p>
        </w:tc>
        <w:tc>
          <w:tcPr>
            <w:tcW w:w="509" w:type="dxa"/>
            <w:tcBorders>
              <w:top w:val="nil"/>
              <w:left w:val="nil"/>
              <w:bottom w:val="single" w:color="auto" w:sz="8" w:space="0"/>
              <w:right w:val="single" w:color="auto" w:sz="8" w:space="0"/>
            </w:tcBorders>
            <w:shd w:val="clear" w:color="auto" w:fill="auto"/>
            <w:vAlign w:val="center"/>
          </w:tcPr>
          <w:p w14:paraId="23EAFFC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项</w:t>
            </w:r>
          </w:p>
        </w:tc>
        <w:tc>
          <w:tcPr>
            <w:tcW w:w="766" w:type="dxa"/>
            <w:tcBorders>
              <w:top w:val="nil"/>
              <w:left w:val="nil"/>
              <w:bottom w:val="single" w:color="auto" w:sz="8" w:space="0"/>
              <w:right w:val="single" w:color="auto" w:sz="8" w:space="0"/>
            </w:tcBorders>
            <w:shd w:val="clear" w:color="auto" w:fill="auto"/>
            <w:vAlign w:val="center"/>
          </w:tcPr>
          <w:p w14:paraId="0962D860">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tcBorders>
              <w:top w:val="nil"/>
              <w:left w:val="nil"/>
              <w:bottom w:val="single" w:color="auto" w:sz="8" w:space="0"/>
              <w:right w:val="single" w:color="auto" w:sz="8" w:space="0"/>
            </w:tcBorders>
            <w:shd w:val="clear" w:color="auto" w:fill="auto"/>
            <w:vAlign w:val="center"/>
          </w:tcPr>
          <w:p w14:paraId="30138A02">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19800</w:t>
            </w:r>
          </w:p>
        </w:tc>
        <w:tc>
          <w:tcPr>
            <w:tcW w:w="993" w:type="dxa"/>
            <w:tcBorders>
              <w:top w:val="nil"/>
              <w:left w:val="nil"/>
              <w:bottom w:val="single" w:color="auto" w:sz="8" w:space="0"/>
              <w:right w:val="single" w:color="auto" w:sz="8" w:space="0"/>
            </w:tcBorders>
            <w:shd w:val="clear" w:color="auto" w:fill="auto"/>
            <w:vAlign w:val="center"/>
          </w:tcPr>
          <w:p w14:paraId="78A22BDD">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19800</w:t>
            </w:r>
          </w:p>
        </w:tc>
      </w:tr>
      <w:tr w14:paraId="211E4564">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AA927AC">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663D0A5">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27</w:t>
            </w:r>
          </w:p>
        </w:tc>
        <w:tc>
          <w:tcPr>
            <w:tcW w:w="1417" w:type="dxa"/>
            <w:tcBorders>
              <w:top w:val="nil"/>
              <w:left w:val="nil"/>
              <w:bottom w:val="single" w:color="auto" w:sz="8" w:space="0"/>
              <w:right w:val="single" w:color="auto" w:sz="8" w:space="0"/>
            </w:tcBorders>
            <w:shd w:val="clear" w:color="auto" w:fill="auto"/>
            <w:vAlign w:val="center"/>
          </w:tcPr>
          <w:p w14:paraId="5E48231B">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（浙里办、浙政钉）-综合看板</w:t>
            </w:r>
          </w:p>
        </w:tc>
        <w:tc>
          <w:tcPr>
            <w:tcW w:w="7402" w:type="dxa"/>
            <w:tcBorders>
              <w:top w:val="nil"/>
              <w:left w:val="nil"/>
              <w:bottom w:val="single" w:color="auto" w:sz="8" w:space="0"/>
              <w:right w:val="single" w:color="auto" w:sz="8" w:space="0"/>
            </w:tcBorders>
            <w:shd w:val="clear" w:color="auto" w:fill="auto"/>
            <w:vAlign w:val="center"/>
          </w:tcPr>
          <w:p w14:paraId="1077A27F">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包含：位置信息、天气、菜单（运行管理、指标管理、工单管理、报表管理）、消息、关键指标、个人任务，个人设置等功能。</w:t>
            </w:r>
          </w:p>
        </w:tc>
        <w:tc>
          <w:tcPr>
            <w:tcW w:w="509" w:type="dxa"/>
            <w:vMerge w:val="restart"/>
            <w:tcBorders>
              <w:top w:val="nil"/>
              <w:left w:val="single" w:color="auto" w:sz="8" w:space="0"/>
              <w:bottom w:val="single" w:color="000000" w:sz="8" w:space="0"/>
              <w:right w:val="single" w:color="auto" w:sz="8" w:space="0"/>
            </w:tcBorders>
            <w:shd w:val="clear" w:color="auto" w:fill="auto"/>
            <w:vAlign w:val="center"/>
          </w:tcPr>
          <w:p w14:paraId="58A193E3">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套</w:t>
            </w:r>
          </w:p>
        </w:tc>
        <w:tc>
          <w:tcPr>
            <w:tcW w:w="766" w:type="dxa"/>
            <w:vMerge w:val="restart"/>
            <w:tcBorders>
              <w:top w:val="nil"/>
              <w:left w:val="single" w:color="auto" w:sz="8" w:space="0"/>
              <w:bottom w:val="single" w:color="000000" w:sz="8" w:space="0"/>
              <w:right w:val="single" w:color="auto" w:sz="8" w:space="0"/>
            </w:tcBorders>
            <w:shd w:val="clear" w:color="auto" w:fill="auto"/>
            <w:vAlign w:val="center"/>
          </w:tcPr>
          <w:p w14:paraId="49B35CAE">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876" w:type="dxa"/>
            <w:vMerge w:val="restart"/>
            <w:tcBorders>
              <w:top w:val="nil"/>
              <w:left w:val="single" w:color="auto" w:sz="8" w:space="0"/>
              <w:bottom w:val="single" w:color="000000" w:sz="8" w:space="0"/>
              <w:right w:val="single" w:color="auto" w:sz="8" w:space="0"/>
            </w:tcBorders>
            <w:shd w:val="clear" w:color="auto" w:fill="auto"/>
            <w:vAlign w:val="center"/>
          </w:tcPr>
          <w:p w14:paraId="00F76AAA">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170000</w:t>
            </w:r>
          </w:p>
        </w:tc>
        <w:tc>
          <w:tcPr>
            <w:tcW w:w="993" w:type="dxa"/>
            <w:vMerge w:val="restart"/>
            <w:tcBorders>
              <w:top w:val="nil"/>
              <w:left w:val="single" w:color="auto" w:sz="8" w:space="0"/>
              <w:bottom w:val="single" w:color="000000" w:sz="8" w:space="0"/>
              <w:right w:val="single" w:color="auto" w:sz="8" w:space="0"/>
            </w:tcBorders>
            <w:shd w:val="clear" w:color="auto" w:fill="auto"/>
            <w:vAlign w:val="center"/>
          </w:tcPr>
          <w:p w14:paraId="2EC39B01">
            <w:pPr>
              <w:keepNext w:val="0"/>
              <w:keepLines w:val="0"/>
              <w:widowControl/>
              <w:suppressLineNumbers w:val="0"/>
              <w:jc w:val="center"/>
              <w:textAlignment w:val="center"/>
              <w:rPr>
                <w:rFonts w:hint="eastAsia" w:ascii="宋体" w:hAnsi="宋体" w:eastAsia="宋体" w:cs="宋体"/>
                <w:color w:val="auto"/>
                <w:kern w:val="0"/>
                <w:sz w:val="22"/>
                <w:highlight w:val="none"/>
              </w:rPr>
            </w:pPr>
            <w:r>
              <w:rPr>
                <w:rFonts w:hint="eastAsia" w:ascii="宋体" w:hAnsi="宋体" w:eastAsia="宋体" w:cs="宋体"/>
                <w:i w:val="0"/>
                <w:iCs w:val="0"/>
                <w:color w:val="000000"/>
                <w:kern w:val="0"/>
                <w:sz w:val="24"/>
                <w:szCs w:val="24"/>
                <w:u w:val="none"/>
                <w:lang w:val="en-US" w:eastAsia="zh-CN" w:bidi="ar"/>
              </w:rPr>
              <w:t>170000</w:t>
            </w:r>
          </w:p>
        </w:tc>
      </w:tr>
      <w:tr w14:paraId="219B2A36">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2158CC02">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66972D2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28</w:t>
            </w:r>
          </w:p>
        </w:tc>
        <w:tc>
          <w:tcPr>
            <w:tcW w:w="1417" w:type="dxa"/>
            <w:tcBorders>
              <w:top w:val="nil"/>
              <w:left w:val="nil"/>
              <w:bottom w:val="single" w:color="auto" w:sz="8" w:space="0"/>
              <w:right w:val="single" w:color="auto" w:sz="8" w:space="0"/>
            </w:tcBorders>
            <w:shd w:val="clear" w:color="auto" w:fill="auto"/>
            <w:vAlign w:val="center"/>
          </w:tcPr>
          <w:p w14:paraId="50ACDB45">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（浙里办、浙政钉）-运行管理</w:t>
            </w:r>
          </w:p>
        </w:tc>
        <w:tc>
          <w:tcPr>
            <w:tcW w:w="7402" w:type="dxa"/>
            <w:tcBorders>
              <w:top w:val="nil"/>
              <w:left w:val="nil"/>
              <w:bottom w:val="single" w:color="auto" w:sz="8" w:space="0"/>
              <w:right w:val="single" w:color="auto" w:sz="8" w:space="0"/>
            </w:tcBorders>
            <w:shd w:val="clear" w:color="auto" w:fill="auto"/>
            <w:vAlign w:val="center"/>
          </w:tcPr>
          <w:p w14:paraId="1264C5F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集合GIS显示，包含水资源、乡镇水厂、管网、泵站、单村水站的监测运行数据，报警数据查看，乡镇水厂、单村水站工艺图展示，视频展示等。</w:t>
            </w:r>
          </w:p>
        </w:tc>
        <w:tc>
          <w:tcPr>
            <w:tcW w:w="509" w:type="dxa"/>
            <w:vMerge w:val="continue"/>
            <w:tcBorders>
              <w:top w:val="nil"/>
              <w:left w:val="single" w:color="auto" w:sz="8" w:space="0"/>
              <w:bottom w:val="single" w:color="000000" w:sz="8" w:space="0"/>
              <w:right w:val="single" w:color="auto" w:sz="8" w:space="0"/>
            </w:tcBorders>
            <w:vAlign w:val="center"/>
          </w:tcPr>
          <w:p w14:paraId="3F0BCE7A">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42FD032D">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7F6F9B8D">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77AF77FD">
            <w:pPr>
              <w:widowControl/>
              <w:spacing w:after="0" w:line="240" w:lineRule="auto"/>
              <w:jc w:val="left"/>
              <w:rPr>
                <w:rFonts w:hint="eastAsia" w:ascii="宋体" w:hAnsi="宋体" w:eastAsia="宋体" w:cs="宋体"/>
                <w:color w:val="auto"/>
                <w:kern w:val="0"/>
                <w:sz w:val="22"/>
                <w:highlight w:val="none"/>
              </w:rPr>
            </w:pPr>
          </w:p>
        </w:tc>
      </w:tr>
      <w:tr w14:paraId="36A6E1F6">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8AF127D">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4F651A14">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29</w:t>
            </w:r>
          </w:p>
        </w:tc>
        <w:tc>
          <w:tcPr>
            <w:tcW w:w="1417" w:type="dxa"/>
            <w:tcBorders>
              <w:top w:val="nil"/>
              <w:left w:val="nil"/>
              <w:bottom w:val="single" w:color="auto" w:sz="8" w:space="0"/>
              <w:right w:val="single" w:color="auto" w:sz="8" w:space="0"/>
            </w:tcBorders>
            <w:shd w:val="clear" w:color="auto" w:fill="auto"/>
            <w:vAlign w:val="center"/>
          </w:tcPr>
          <w:p w14:paraId="74A654D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（浙里办、浙政钉）-指标管理</w:t>
            </w:r>
          </w:p>
        </w:tc>
        <w:tc>
          <w:tcPr>
            <w:tcW w:w="7402" w:type="dxa"/>
            <w:tcBorders>
              <w:top w:val="nil"/>
              <w:left w:val="nil"/>
              <w:bottom w:val="single" w:color="auto" w:sz="8" w:space="0"/>
              <w:right w:val="single" w:color="auto" w:sz="8" w:space="0"/>
            </w:tcBorders>
            <w:shd w:val="clear" w:color="auto" w:fill="auto"/>
            <w:vAlign w:val="center"/>
          </w:tcPr>
          <w:p w14:paraId="2C11CBAB">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查看所有乡镇水厂、单村水站，泵站运行指标，服务指标，水质指标，服务指标，营收指标等。</w:t>
            </w:r>
          </w:p>
        </w:tc>
        <w:tc>
          <w:tcPr>
            <w:tcW w:w="509" w:type="dxa"/>
            <w:vMerge w:val="continue"/>
            <w:tcBorders>
              <w:top w:val="nil"/>
              <w:left w:val="single" w:color="auto" w:sz="8" w:space="0"/>
              <w:bottom w:val="single" w:color="000000" w:sz="8" w:space="0"/>
              <w:right w:val="single" w:color="auto" w:sz="8" w:space="0"/>
            </w:tcBorders>
            <w:vAlign w:val="center"/>
          </w:tcPr>
          <w:p w14:paraId="41BF39DC">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601B857C">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1ADCDAB6">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25BF4AD7">
            <w:pPr>
              <w:widowControl/>
              <w:spacing w:after="0" w:line="240" w:lineRule="auto"/>
              <w:jc w:val="left"/>
              <w:rPr>
                <w:rFonts w:hint="eastAsia" w:ascii="宋体" w:hAnsi="宋体" w:eastAsia="宋体" w:cs="宋体"/>
                <w:color w:val="auto"/>
                <w:kern w:val="0"/>
                <w:sz w:val="22"/>
                <w:highlight w:val="none"/>
              </w:rPr>
            </w:pPr>
          </w:p>
        </w:tc>
      </w:tr>
      <w:tr w14:paraId="2197D9A2">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3B377BA0">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A8E7A1F">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30</w:t>
            </w:r>
          </w:p>
        </w:tc>
        <w:tc>
          <w:tcPr>
            <w:tcW w:w="1417" w:type="dxa"/>
            <w:tcBorders>
              <w:top w:val="nil"/>
              <w:left w:val="nil"/>
              <w:bottom w:val="single" w:color="auto" w:sz="8" w:space="0"/>
              <w:right w:val="single" w:color="auto" w:sz="8" w:space="0"/>
            </w:tcBorders>
            <w:shd w:val="clear" w:color="auto" w:fill="auto"/>
            <w:vAlign w:val="center"/>
          </w:tcPr>
          <w:p w14:paraId="26EFDEAA">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（浙里办、浙政钉）-工单管理</w:t>
            </w:r>
          </w:p>
        </w:tc>
        <w:tc>
          <w:tcPr>
            <w:tcW w:w="7402" w:type="dxa"/>
            <w:tcBorders>
              <w:top w:val="nil"/>
              <w:left w:val="nil"/>
              <w:bottom w:val="single" w:color="auto" w:sz="8" w:space="0"/>
              <w:right w:val="single" w:color="auto" w:sz="8" w:space="0"/>
            </w:tcBorders>
            <w:shd w:val="clear" w:color="auto" w:fill="auto"/>
            <w:vAlign w:val="center"/>
          </w:tcPr>
          <w:p w14:paraId="5B3DECB5">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个人工单的查看，并实现工单任务，完成工单信息上报；可查看个人已完成工单，未完成工单，处置中工单等。</w:t>
            </w:r>
          </w:p>
        </w:tc>
        <w:tc>
          <w:tcPr>
            <w:tcW w:w="509" w:type="dxa"/>
            <w:vMerge w:val="continue"/>
            <w:tcBorders>
              <w:top w:val="nil"/>
              <w:left w:val="single" w:color="auto" w:sz="8" w:space="0"/>
              <w:bottom w:val="single" w:color="000000" w:sz="8" w:space="0"/>
              <w:right w:val="single" w:color="auto" w:sz="8" w:space="0"/>
            </w:tcBorders>
            <w:vAlign w:val="center"/>
          </w:tcPr>
          <w:p w14:paraId="71AECA7F">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599B55CF">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3737C0CA">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70EBD002">
            <w:pPr>
              <w:widowControl/>
              <w:spacing w:after="0" w:line="240" w:lineRule="auto"/>
              <w:jc w:val="left"/>
              <w:rPr>
                <w:rFonts w:hint="eastAsia" w:ascii="宋体" w:hAnsi="宋体" w:eastAsia="宋体" w:cs="宋体"/>
                <w:color w:val="auto"/>
                <w:kern w:val="0"/>
                <w:sz w:val="22"/>
                <w:highlight w:val="none"/>
              </w:rPr>
            </w:pPr>
          </w:p>
        </w:tc>
      </w:tr>
      <w:tr w14:paraId="610E95F8">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5984EDE6">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5BA7666C">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31</w:t>
            </w:r>
          </w:p>
        </w:tc>
        <w:tc>
          <w:tcPr>
            <w:tcW w:w="1417" w:type="dxa"/>
            <w:tcBorders>
              <w:top w:val="nil"/>
              <w:left w:val="nil"/>
              <w:bottom w:val="single" w:color="auto" w:sz="8" w:space="0"/>
              <w:right w:val="single" w:color="auto" w:sz="8" w:space="0"/>
            </w:tcBorders>
            <w:shd w:val="clear" w:color="auto" w:fill="auto"/>
            <w:vAlign w:val="center"/>
          </w:tcPr>
          <w:p w14:paraId="40111D3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（浙里办、浙政钉）-报表管理</w:t>
            </w:r>
          </w:p>
        </w:tc>
        <w:tc>
          <w:tcPr>
            <w:tcW w:w="7402" w:type="dxa"/>
            <w:tcBorders>
              <w:top w:val="nil"/>
              <w:left w:val="nil"/>
              <w:bottom w:val="single" w:color="auto" w:sz="8" w:space="0"/>
              <w:right w:val="single" w:color="auto" w:sz="8" w:space="0"/>
            </w:tcBorders>
            <w:shd w:val="clear" w:color="auto" w:fill="auto"/>
            <w:vAlign w:val="center"/>
          </w:tcPr>
          <w:p w14:paraId="6B9ABAF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实现乡镇水厂，单村水站，泵站日报表，月报表、年报表信息查询。</w:t>
            </w:r>
          </w:p>
        </w:tc>
        <w:tc>
          <w:tcPr>
            <w:tcW w:w="509" w:type="dxa"/>
            <w:vMerge w:val="continue"/>
            <w:tcBorders>
              <w:top w:val="nil"/>
              <w:left w:val="single" w:color="auto" w:sz="8" w:space="0"/>
              <w:bottom w:val="single" w:color="000000" w:sz="8" w:space="0"/>
              <w:right w:val="single" w:color="auto" w:sz="8" w:space="0"/>
            </w:tcBorders>
            <w:vAlign w:val="center"/>
          </w:tcPr>
          <w:p w14:paraId="2A039CD4">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67A437AC">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21F8A657">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5B121DD0">
            <w:pPr>
              <w:widowControl/>
              <w:spacing w:after="0" w:line="240" w:lineRule="auto"/>
              <w:jc w:val="left"/>
              <w:rPr>
                <w:rFonts w:hint="eastAsia" w:ascii="宋体" w:hAnsi="宋体" w:eastAsia="宋体" w:cs="宋体"/>
                <w:color w:val="auto"/>
                <w:kern w:val="0"/>
                <w:sz w:val="22"/>
                <w:highlight w:val="none"/>
              </w:rPr>
            </w:pPr>
          </w:p>
        </w:tc>
      </w:tr>
      <w:tr w14:paraId="3A780130">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79C2A08">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0D052DB5">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32</w:t>
            </w:r>
          </w:p>
        </w:tc>
        <w:tc>
          <w:tcPr>
            <w:tcW w:w="1417" w:type="dxa"/>
            <w:tcBorders>
              <w:top w:val="nil"/>
              <w:left w:val="nil"/>
              <w:bottom w:val="single" w:color="auto" w:sz="8" w:space="0"/>
              <w:right w:val="single" w:color="auto" w:sz="8" w:space="0"/>
            </w:tcBorders>
            <w:shd w:val="clear" w:color="auto" w:fill="auto"/>
            <w:vAlign w:val="center"/>
          </w:tcPr>
          <w:p w14:paraId="1AB7201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（浙里办、浙政钉）-日常巡查</w:t>
            </w:r>
          </w:p>
        </w:tc>
        <w:tc>
          <w:tcPr>
            <w:tcW w:w="7402" w:type="dxa"/>
            <w:tcBorders>
              <w:top w:val="nil"/>
              <w:left w:val="nil"/>
              <w:bottom w:val="single" w:color="auto" w:sz="8" w:space="0"/>
              <w:right w:val="single" w:color="auto" w:sz="8" w:space="0"/>
            </w:tcBorders>
            <w:shd w:val="clear" w:color="auto" w:fill="auto"/>
            <w:vAlign w:val="center"/>
          </w:tcPr>
          <w:p w14:paraId="7E56FA0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将日常安全检查信息通过移动终端上传系统，针对巡查内容通知相关人。相关人对问题进行整改并反馈，系统对安全检查记录，整改记录汇总分析。</w:t>
            </w:r>
          </w:p>
        </w:tc>
        <w:tc>
          <w:tcPr>
            <w:tcW w:w="509" w:type="dxa"/>
            <w:vMerge w:val="continue"/>
            <w:tcBorders>
              <w:top w:val="nil"/>
              <w:left w:val="single" w:color="auto" w:sz="8" w:space="0"/>
              <w:bottom w:val="single" w:color="000000" w:sz="8" w:space="0"/>
              <w:right w:val="single" w:color="auto" w:sz="8" w:space="0"/>
            </w:tcBorders>
            <w:vAlign w:val="center"/>
          </w:tcPr>
          <w:p w14:paraId="69C3D3E9">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18A56FFB">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1DC5BDF6">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46154EAC">
            <w:pPr>
              <w:widowControl/>
              <w:spacing w:after="0" w:line="240" w:lineRule="auto"/>
              <w:jc w:val="left"/>
              <w:rPr>
                <w:rFonts w:hint="eastAsia" w:ascii="宋体" w:hAnsi="宋体" w:eastAsia="宋体" w:cs="宋体"/>
                <w:color w:val="auto"/>
                <w:kern w:val="0"/>
                <w:sz w:val="22"/>
                <w:highlight w:val="none"/>
              </w:rPr>
            </w:pPr>
          </w:p>
        </w:tc>
      </w:tr>
      <w:tr w14:paraId="1342B424">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28D26D13">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BAF353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33</w:t>
            </w:r>
          </w:p>
        </w:tc>
        <w:tc>
          <w:tcPr>
            <w:tcW w:w="1417" w:type="dxa"/>
            <w:tcBorders>
              <w:top w:val="nil"/>
              <w:left w:val="nil"/>
              <w:bottom w:val="single" w:color="auto" w:sz="8" w:space="0"/>
              <w:right w:val="single" w:color="auto" w:sz="8" w:space="0"/>
            </w:tcBorders>
            <w:shd w:val="clear" w:color="auto" w:fill="auto"/>
            <w:vAlign w:val="center"/>
          </w:tcPr>
          <w:p w14:paraId="7B98509E">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（浙里办、浙政钉）-消息管理</w:t>
            </w:r>
          </w:p>
        </w:tc>
        <w:tc>
          <w:tcPr>
            <w:tcW w:w="7402" w:type="dxa"/>
            <w:tcBorders>
              <w:top w:val="nil"/>
              <w:left w:val="nil"/>
              <w:bottom w:val="single" w:color="auto" w:sz="8" w:space="0"/>
              <w:right w:val="single" w:color="auto" w:sz="8" w:space="0"/>
            </w:tcBorders>
            <w:shd w:val="clear" w:color="auto" w:fill="auto"/>
            <w:vAlign w:val="center"/>
          </w:tcPr>
          <w:p w14:paraId="1D59C9F7">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通知公告的消息提示及报警提示，并可以查看消息公告的详细内容及报警内容；</w:t>
            </w:r>
          </w:p>
        </w:tc>
        <w:tc>
          <w:tcPr>
            <w:tcW w:w="509" w:type="dxa"/>
            <w:vMerge w:val="continue"/>
            <w:tcBorders>
              <w:top w:val="nil"/>
              <w:left w:val="single" w:color="auto" w:sz="8" w:space="0"/>
              <w:bottom w:val="single" w:color="000000" w:sz="8" w:space="0"/>
              <w:right w:val="single" w:color="auto" w:sz="8" w:space="0"/>
            </w:tcBorders>
            <w:vAlign w:val="center"/>
          </w:tcPr>
          <w:p w14:paraId="18A5D948">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2D8D5CC0">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232BF111">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67CBDF4E">
            <w:pPr>
              <w:widowControl/>
              <w:spacing w:after="0" w:line="240" w:lineRule="auto"/>
              <w:jc w:val="left"/>
              <w:rPr>
                <w:rFonts w:hint="eastAsia" w:ascii="宋体" w:hAnsi="宋体" w:eastAsia="宋体" w:cs="宋体"/>
                <w:color w:val="auto"/>
                <w:kern w:val="0"/>
                <w:sz w:val="22"/>
                <w:highlight w:val="none"/>
              </w:rPr>
            </w:pPr>
          </w:p>
        </w:tc>
      </w:tr>
      <w:tr w14:paraId="2CB44F8D">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010585C6">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4BE9B55A">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34</w:t>
            </w:r>
          </w:p>
        </w:tc>
        <w:tc>
          <w:tcPr>
            <w:tcW w:w="1417" w:type="dxa"/>
            <w:tcBorders>
              <w:top w:val="nil"/>
              <w:left w:val="nil"/>
              <w:bottom w:val="single" w:color="auto" w:sz="8" w:space="0"/>
              <w:right w:val="single" w:color="auto" w:sz="8" w:space="0"/>
            </w:tcBorders>
            <w:shd w:val="clear" w:color="auto" w:fill="auto"/>
            <w:vAlign w:val="center"/>
          </w:tcPr>
          <w:p w14:paraId="5FDF0EEB">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（浙里办、浙政钉）-任务管理</w:t>
            </w:r>
          </w:p>
        </w:tc>
        <w:tc>
          <w:tcPr>
            <w:tcW w:w="7402" w:type="dxa"/>
            <w:tcBorders>
              <w:top w:val="nil"/>
              <w:left w:val="nil"/>
              <w:bottom w:val="single" w:color="auto" w:sz="8" w:space="0"/>
              <w:right w:val="single" w:color="auto" w:sz="8" w:space="0"/>
            </w:tcBorders>
            <w:shd w:val="clear" w:color="auto" w:fill="auto"/>
            <w:vAlign w:val="center"/>
          </w:tcPr>
          <w:p w14:paraId="0B4C2EC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提示个人任务信息列表，点击后到工单模块。</w:t>
            </w:r>
          </w:p>
        </w:tc>
        <w:tc>
          <w:tcPr>
            <w:tcW w:w="509" w:type="dxa"/>
            <w:vMerge w:val="continue"/>
            <w:tcBorders>
              <w:top w:val="nil"/>
              <w:left w:val="single" w:color="auto" w:sz="8" w:space="0"/>
              <w:bottom w:val="single" w:color="000000" w:sz="8" w:space="0"/>
              <w:right w:val="single" w:color="auto" w:sz="8" w:space="0"/>
            </w:tcBorders>
            <w:vAlign w:val="center"/>
          </w:tcPr>
          <w:p w14:paraId="04AB673B">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3EA3FB3B">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33E9D423">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2C7C040E">
            <w:pPr>
              <w:widowControl/>
              <w:spacing w:after="0" w:line="240" w:lineRule="auto"/>
              <w:jc w:val="left"/>
              <w:rPr>
                <w:rFonts w:hint="eastAsia" w:ascii="宋体" w:hAnsi="宋体" w:eastAsia="宋体" w:cs="宋体"/>
                <w:color w:val="auto"/>
                <w:kern w:val="0"/>
                <w:sz w:val="22"/>
                <w:highlight w:val="none"/>
              </w:rPr>
            </w:pPr>
          </w:p>
        </w:tc>
      </w:tr>
      <w:tr w14:paraId="4E5F1A12">
        <w:tblPrEx>
          <w:tblCellMar>
            <w:top w:w="0" w:type="dxa"/>
            <w:left w:w="108" w:type="dxa"/>
            <w:bottom w:w="0" w:type="dxa"/>
            <w:right w:w="108" w:type="dxa"/>
          </w:tblCellMar>
        </w:tblPrEx>
        <w:trPr>
          <w:trHeight w:val="270" w:hRule="atLeast"/>
        </w:trPr>
        <w:tc>
          <w:tcPr>
            <w:tcW w:w="1134" w:type="dxa"/>
            <w:vMerge w:val="continue"/>
            <w:tcBorders>
              <w:top w:val="nil"/>
              <w:left w:val="single" w:color="auto" w:sz="8" w:space="0"/>
              <w:bottom w:val="single" w:color="000000" w:sz="8" w:space="0"/>
              <w:right w:val="single" w:color="auto" w:sz="8" w:space="0"/>
            </w:tcBorders>
            <w:vAlign w:val="center"/>
          </w:tcPr>
          <w:p w14:paraId="1C5C8C1F">
            <w:pPr>
              <w:widowControl/>
              <w:spacing w:after="0" w:line="240" w:lineRule="auto"/>
              <w:jc w:val="left"/>
              <w:rPr>
                <w:rFonts w:hint="eastAsia" w:ascii="宋体" w:hAnsi="宋体" w:eastAsia="宋体" w:cs="宋体"/>
                <w:b/>
                <w:bCs/>
                <w:color w:val="auto"/>
                <w:kern w:val="0"/>
                <w:sz w:val="22"/>
                <w:highlight w:val="none"/>
              </w:rPr>
            </w:pPr>
          </w:p>
        </w:tc>
        <w:tc>
          <w:tcPr>
            <w:tcW w:w="851" w:type="dxa"/>
            <w:tcBorders>
              <w:top w:val="nil"/>
              <w:left w:val="nil"/>
              <w:bottom w:val="single" w:color="auto" w:sz="8" w:space="0"/>
              <w:right w:val="single" w:color="auto" w:sz="8" w:space="0"/>
            </w:tcBorders>
            <w:shd w:val="clear" w:color="auto" w:fill="auto"/>
            <w:vAlign w:val="center"/>
          </w:tcPr>
          <w:p w14:paraId="25784812">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35</w:t>
            </w:r>
          </w:p>
        </w:tc>
        <w:tc>
          <w:tcPr>
            <w:tcW w:w="1417" w:type="dxa"/>
            <w:tcBorders>
              <w:top w:val="nil"/>
              <w:left w:val="nil"/>
              <w:bottom w:val="single" w:color="auto" w:sz="8" w:space="0"/>
              <w:right w:val="single" w:color="auto" w:sz="8" w:space="0"/>
            </w:tcBorders>
            <w:shd w:val="clear" w:color="auto" w:fill="auto"/>
            <w:vAlign w:val="center"/>
          </w:tcPr>
          <w:p w14:paraId="1271A6F8">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（浙里办、浙政钉）-个人设置</w:t>
            </w:r>
          </w:p>
        </w:tc>
        <w:tc>
          <w:tcPr>
            <w:tcW w:w="7402" w:type="dxa"/>
            <w:tcBorders>
              <w:top w:val="nil"/>
              <w:left w:val="nil"/>
              <w:bottom w:val="single" w:color="auto" w:sz="8" w:space="0"/>
              <w:right w:val="single" w:color="auto" w:sz="8" w:space="0"/>
            </w:tcBorders>
            <w:shd w:val="clear" w:color="auto" w:fill="auto"/>
            <w:vAlign w:val="center"/>
          </w:tcPr>
          <w:p w14:paraId="2D1F3610">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用户名密码设置，版本号等。</w:t>
            </w:r>
          </w:p>
        </w:tc>
        <w:tc>
          <w:tcPr>
            <w:tcW w:w="509" w:type="dxa"/>
            <w:vMerge w:val="continue"/>
            <w:tcBorders>
              <w:top w:val="nil"/>
              <w:left w:val="single" w:color="auto" w:sz="8" w:space="0"/>
              <w:bottom w:val="single" w:color="000000" w:sz="8" w:space="0"/>
              <w:right w:val="single" w:color="auto" w:sz="8" w:space="0"/>
            </w:tcBorders>
            <w:vAlign w:val="center"/>
          </w:tcPr>
          <w:p w14:paraId="2169BF9C">
            <w:pPr>
              <w:widowControl/>
              <w:spacing w:after="0" w:line="240" w:lineRule="auto"/>
              <w:jc w:val="left"/>
              <w:rPr>
                <w:rFonts w:hint="eastAsia" w:ascii="宋体" w:hAnsi="宋体" w:eastAsia="宋体" w:cs="宋体"/>
                <w:color w:val="auto"/>
                <w:kern w:val="0"/>
                <w:sz w:val="22"/>
                <w:highlight w:val="none"/>
              </w:rPr>
            </w:pPr>
          </w:p>
        </w:tc>
        <w:tc>
          <w:tcPr>
            <w:tcW w:w="766" w:type="dxa"/>
            <w:vMerge w:val="continue"/>
            <w:tcBorders>
              <w:top w:val="nil"/>
              <w:left w:val="single" w:color="auto" w:sz="8" w:space="0"/>
              <w:bottom w:val="single" w:color="000000" w:sz="8" w:space="0"/>
              <w:right w:val="single" w:color="auto" w:sz="8" w:space="0"/>
            </w:tcBorders>
            <w:vAlign w:val="center"/>
          </w:tcPr>
          <w:p w14:paraId="70E87532">
            <w:pPr>
              <w:widowControl/>
              <w:spacing w:after="0" w:line="240" w:lineRule="auto"/>
              <w:jc w:val="left"/>
              <w:rPr>
                <w:rFonts w:hint="eastAsia" w:ascii="宋体" w:hAnsi="宋体" w:eastAsia="宋体" w:cs="宋体"/>
                <w:color w:val="auto"/>
                <w:kern w:val="0"/>
                <w:sz w:val="22"/>
                <w:highlight w:val="none"/>
              </w:rPr>
            </w:pPr>
          </w:p>
        </w:tc>
        <w:tc>
          <w:tcPr>
            <w:tcW w:w="876" w:type="dxa"/>
            <w:vMerge w:val="continue"/>
            <w:tcBorders>
              <w:top w:val="nil"/>
              <w:left w:val="single" w:color="auto" w:sz="8" w:space="0"/>
              <w:bottom w:val="single" w:color="000000" w:sz="8" w:space="0"/>
              <w:right w:val="single" w:color="auto" w:sz="8" w:space="0"/>
            </w:tcBorders>
            <w:vAlign w:val="center"/>
          </w:tcPr>
          <w:p w14:paraId="20E501D7">
            <w:pPr>
              <w:widowControl/>
              <w:spacing w:after="0" w:line="240" w:lineRule="auto"/>
              <w:jc w:val="left"/>
              <w:rPr>
                <w:rFonts w:hint="eastAsia" w:ascii="宋体" w:hAnsi="宋体" w:eastAsia="宋体" w:cs="宋体"/>
                <w:color w:val="auto"/>
                <w:kern w:val="0"/>
                <w:sz w:val="22"/>
                <w:highlight w:val="none"/>
              </w:rPr>
            </w:pPr>
          </w:p>
        </w:tc>
        <w:tc>
          <w:tcPr>
            <w:tcW w:w="993" w:type="dxa"/>
            <w:vMerge w:val="continue"/>
            <w:tcBorders>
              <w:top w:val="nil"/>
              <w:left w:val="single" w:color="auto" w:sz="8" w:space="0"/>
              <w:bottom w:val="single" w:color="000000" w:sz="8" w:space="0"/>
              <w:right w:val="single" w:color="auto" w:sz="8" w:space="0"/>
            </w:tcBorders>
            <w:vAlign w:val="center"/>
          </w:tcPr>
          <w:p w14:paraId="0C84668E">
            <w:pPr>
              <w:widowControl/>
              <w:spacing w:after="0" w:line="240" w:lineRule="auto"/>
              <w:jc w:val="left"/>
              <w:rPr>
                <w:rFonts w:hint="eastAsia" w:ascii="宋体" w:hAnsi="宋体" w:eastAsia="宋体" w:cs="宋体"/>
                <w:color w:val="auto"/>
                <w:kern w:val="0"/>
                <w:sz w:val="22"/>
                <w:highlight w:val="none"/>
              </w:rPr>
            </w:pPr>
          </w:p>
        </w:tc>
      </w:tr>
      <w:tr w14:paraId="426E3143">
        <w:tblPrEx>
          <w:tblCellMar>
            <w:top w:w="0" w:type="dxa"/>
            <w:left w:w="108" w:type="dxa"/>
            <w:bottom w:w="0" w:type="dxa"/>
            <w:right w:w="108" w:type="dxa"/>
          </w:tblCellMar>
        </w:tblPrEx>
        <w:trPr>
          <w:trHeight w:val="270" w:hRule="atLeast"/>
        </w:trPr>
        <w:tc>
          <w:tcPr>
            <w:tcW w:w="3402" w:type="dxa"/>
            <w:gridSpan w:val="3"/>
            <w:tcBorders>
              <w:top w:val="nil"/>
              <w:left w:val="single" w:color="auto" w:sz="8" w:space="0"/>
              <w:bottom w:val="single" w:color="auto" w:sz="8" w:space="0"/>
              <w:right w:val="single" w:color="000000" w:sz="8" w:space="0"/>
            </w:tcBorders>
            <w:shd w:val="clear" w:color="auto" w:fill="auto"/>
            <w:vAlign w:val="center"/>
          </w:tcPr>
          <w:p w14:paraId="3177FF21">
            <w:pPr>
              <w:widowControl/>
              <w:spacing w:after="0" w:line="240" w:lineRule="auto"/>
              <w:jc w:val="center"/>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合     计</w:t>
            </w:r>
          </w:p>
        </w:tc>
        <w:tc>
          <w:tcPr>
            <w:tcW w:w="7402" w:type="dxa"/>
            <w:tcBorders>
              <w:top w:val="nil"/>
              <w:left w:val="nil"/>
              <w:bottom w:val="single" w:color="auto" w:sz="8" w:space="0"/>
              <w:right w:val="single" w:color="auto" w:sz="8" w:space="0"/>
            </w:tcBorders>
            <w:shd w:val="clear" w:color="auto" w:fill="auto"/>
            <w:vAlign w:val="center"/>
          </w:tcPr>
          <w:p w14:paraId="63835F9D">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　</w:t>
            </w:r>
          </w:p>
        </w:tc>
        <w:tc>
          <w:tcPr>
            <w:tcW w:w="509" w:type="dxa"/>
            <w:tcBorders>
              <w:top w:val="nil"/>
              <w:left w:val="nil"/>
              <w:bottom w:val="single" w:color="auto" w:sz="8" w:space="0"/>
              <w:right w:val="single" w:color="auto" w:sz="8" w:space="0"/>
            </w:tcBorders>
            <w:shd w:val="clear" w:color="auto" w:fill="auto"/>
            <w:vAlign w:val="center"/>
          </w:tcPr>
          <w:p w14:paraId="41F806F1">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　</w:t>
            </w:r>
          </w:p>
        </w:tc>
        <w:tc>
          <w:tcPr>
            <w:tcW w:w="766" w:type="dxa"/>
            <w:tcBorders>
              <w:top w:val="nil"/>
              <w:left w:val="nil"/>
              <w:bottom w:val="single" w:color="auto" w:sz="8" w:space="0"/>
              <w:right w:val="single" w:color="auto" w:sz="8" w:space="0"/>
            </w:tcBorders>
            <w:shd w:val="clear" w:color="auto" w:fill="auto"/>
            <w:vAlign w:val="center"/>
          </w:tcPr>
          <w:p w14:paraId="632F1D85">
            <w:pPr>
              <w:widowControl/>
              <w:spacing w:after="0" w:line="240" w:lineRule="auto"/>
              <w:jc w:val="left"/>
              <w:rPr>
                <w:rFonts w:hint="eastAsia" w:ascii="宋体" w:hAnsi="宋体" w:eastAsia="宋体" w:cs="宋体"/>
                <w:color w:val="auto"/>
                <w:kern w:val="0"/>
                <w:sz w:val="22"/>
                <w:highlight w:val="none"/>
              </w:rPr>
            </w:pPr>
            <w:r>
              <w:rPr>
                <w:rFonts w:hint="eastAsia" w:ascii="宋体" w:hAnsi="宋体" w:eastAsia="宋体" w:cs="宋体"/>
                <w:color w:val="auto"/>
                <w:kern w:val="0"/>
                <w:sz w:val="22"/>
                <w:highlight w:val="none"/>
              </w:rPr>
              <w:t>　</w:t>
            </w:r>
          </w:p>
        </w:tc>
        <w:tc>
          <w:tcPr>
            <w:tcW w:w="876" w:type="dxa"/>
            <w:tcBorders>
              <w:top w:val="nil"/>
              <w:left w:val="nil"/>
              <w:bottom w:val="single" w:color="auto" w:sz="8" w:space="0"/>
              <w:right w:val="single" w:color="auto" w:sz="8" w:space="0"/>
            </w:tcBorders>
            <w:shd w:val="clear" w:color="auto" w:fill="auto"/>
            <w:vAlign w:val="center"/>
          </w:tcPr>
          <w:p w14:paraId="218C6C95">
            <w:pPr>
              <w:jc w:val="left"/>
              <w:rPr>
                <w:rFonts w:hint="eastAsia" w:ascii="宋体" w:hAnsi="宋体" w:eastAsia="宋体" w:cs="宋体"/>
                <w:color w:val="auto"/>
                <w:kern w:val="0"/>
                <w:sz w:val="22"/>
                <w:highlight w:val="none"/>
              </w:rPr>
            </w:pPr>
          </w:p>
        </w:tc>
        <w:tc>
          <w:tcPr>
            <w:tcW w:w="993" w:type="dxa"/>
            <w:tcBorders>
              <w:top w:val="nil"/>
              <w:left w:val="nil"/>
              <w:bottom w:val="single" w:color="auto" w:sz="8" w:space="0"/>
              <w:right w:val="single" w:color="auto" w:sz="8" w:space="0"/>
            </w:tcBorders>
            <w:shd w:val="clear" w:color="auto" w:fill="auto"/>
            <w:vAlign w:val="center"/>
          </w:tcPr>
          <w:p w14:paraId="232E4DDF">
            <w:pPr>
              <w:widowControl/>
              <w:jc w:val="center"/>
              <w:textAlignment w:val="center"/>
              <w:rPr>
                <w:rFonts w:hint="default" w:ascii="宋体" w:hAnsi="宋体" w:eastAsia="宋体" w:cs="宋体"/>
                <w:b/>
                <w:bCs/>
                <w:color w:val="auto"/>
                <w:kern w:val="0"/>
                <w:sz w:val="22"/>
                <w:highlight w:val="none"/>
                <w:lang w:val="en-US" w:eastAsia="zh-CN"/>
              </w:rPr>
            </w:pPr>
            <w:r>
              <w:rPr>
                <w:rFonts w:hint="eastAsia" w:ascii="宋体" w:hAnsi="宋体" w:eastAsia="宋体" w:cs="宋体"/>
                <w:b/>
                <w:bCs/>
                <w:color w:val="auto"/>
                <w:kern w:val="0"/>
                <w:sz w:val="22"/>
                <w:highlight w:val="none"/>
                <w:lang w:val="en-US" w:eastAsia="zh-CN" w:bidi="ar"/>
              </w:rPr>
              <w:t>855000</w:t>
            </w:r>
          </w:p>
        </w:tc>
      </w:tr>
    </w:tbl>
    <w:p w14:paraId="48E5DA35">
      <w:pPr>
        <w:spacing w:after="0" w:line="600" w:lineRule="exact"/>
        <w:rPr>
          <w:rFonts w:hint="eastAsia" w:ascii="仿宋" w:hAnsi="仿宋" w:eastAsia="仿宋" w:cs="Times New Roman"/>
          <w:color w:val="auto"/>
          <w:sz w:val="32"/>
          <w:szCs w:val="32"/>
          <w:highlight w:val="none"/>
        </w:rPr>
      </w:pPr>
    </w:p>
    <w:sectPr>
      <w:pgSz w:w="16838" w:h="11906" w:orient="landscape"/>
      <w:pgMar w:top="1803" w:right="1440" w:bottom="1803" w:left="1440" w:header="851" w:footer="992" w:gutter="0"/>
      <w:pgNumType w:start="1"/>
      <w:cols w:space="0" w:num="1"/>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Light">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等线">
    <w:altName w:val="微软雅黑"/>
    <w:panose1 w:val="00000000000000000000"/>
    <w:charset w:val="00"/>
    <w:family w:val="auto"/>
    <w:pitch w:val="default"/>
    <w:sig w:usb0="00000000" w:usb1="00000000" w:usb2="00000000" w:usb3="00000000" w:csb0="00000000"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D6F50">
    <w:pPr>
      <w:pStyle w:val="16"/>
      <w:jc w:val="cente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26357651"/>
    </w:sdtPr>
    <w:sdtEndPr>
      <w:rPr>
        <w:rFonts w:ascii="Times New Roman" w:hAnsi="Times New Roman" w:cs="Times New Roman"/>
        <w:sz w:val="24"/>
        <w:szCs w:val="24"/>
      </w:rPr>
    </w:sdtEndPr>
    <w:sdtContent>
      <w:p w14:paraId="591927FD">
        <w:pPr>
          <w:pStyle w:val="16"/>
          <w:jc w:val="center"/>
          <w:rPr>
            <w:rFonts w:ascii="Times New Roman" w:hAnsi="Times New Roman" w:cs="Times New Roman"/>
            <w:sz w:val="24"/>
            <w:szCs w:val="24"/>
          </w:rPr>
        </w:pP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77437194"/>
    </w:sdtPr>
    <w:sdtEndPr>
      <w:rPr>
        <w:rFonts w:ascii="Times New Roman" w:hAnsi="Times New Roman" w:cs="Times New Roman"/>
        <w:sz w:val="24"/>
        <w:szCs w:val="24"/>
      </w:rPr>
    </w:sdtEndPr>
    <w:sdtContent>
      <w:p w14:paraId="25AC86B3">
        <w:pPr>
          <w:pStyle w:val="16"/>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PAGE   \* MERGEFORMAT</w:instrText>
        </w:r>
        <w:r>
          <w:rPr>
            <w:rFonts w:ascii="Times New Roman" w:hAnsi="Times New Roman" w:cs="Times New Roman"/>
            <w:sz w:val="24"/>
            <w:szCs w:val="24"/>
          </w:rPr>
          <w:fldChar w:fldCharType="separate"/>
        </w:r>
        <w:r>
          <w:rPr>
            <w:rFonts w:ascii="Times New Roman" w:hAnsi="Times New Roman" w:cs="Times New Roman"/>
            <w:sz w:val="24"/>
            <w:szCs w:val="24"/>
            <w:lang w:val="zh-CN"/>
          </w:rPr>
          <w:t>9</w:t>
        </w:r>
        <w:r>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50A260"/>
    <w:multiLevelType w:val="singleLevel"/>
    <w:tmpl w:val="A550A260"/>
    <w:lvl w:ilvl="0" w:tentative="0">
      <w:start w:val="1"/>
      <w:numFmt w:val="decimal"/>
      <w:suff w:val="nothing"/>
      <w:lvlText w:val="（%1）"/>
      <w:lvlJc w:val="left"/>
    </w:lvl>
  </w:abstractNum>
  <w:abstractNum w:abstractNumId="1">
    <w:nsid w:val="0376785E"/>
    <w:multiLevelType w:val="multilevel"/>
    <w:tmpl w:val="0376785E"/>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2">
    <w:nsid w:val="0F7B1986"/>
    <w:multiLevelType w:val="multilevel"/>
    <w:tmpl w:val="0F7B1986"/>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151F7193"/>
    <w:multiLevelType w:val="multilevel"/>
    <w:tmpl w:val="151F7193"/>
    <w:lvl w:ilvl="0" w:tentative="0">
      <w:start w:val="1"/>
      <w:numFmt w:val="chineseCounting"/>
      <w:lvlText w:val="第%1章"/>
      <w:lvlJc w:val="left"/>
      <w:pPr>
        <w:ind w:left="440" w:hanging="440"/>
      </w:pPr>
      <w:rPr>
        <w:rFonts w:hint="eastAsia"/>
      </w:rPr>
    </w:lvl>
    <w:lvl w:ilvl="1" w:tentative="0">
      <w:start w:val="1"/>
      <w:numFmt w:val="decimal"/>
      <w:lvlText w:val="（%2）"/>
      <w:lvlJc w:val="left"/>
      <w:pPr>
        <w:ind w:left="1520" w:hanging="1080"/>
      </w:pPr>
      <w:rPr>
        <w:rFonts w:hint="default"/>
      </w:r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18E65C00"/>
    <w:multiLevelType w:val="multilevel"/>
    <w:tmpl w:val="18E65C00"/>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5">
    <w:nsid w:val="1D6C78BC"/>
    <w:multiLevelType w:val="multilevel"/>
    <w:tmpl w:val="1D6C78BC"/>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6">
    <w:nsid w:val="2A6D4CCA"/>
    <w:multiLevelType w:val="multilevel"/>
    <w:tmpl w:val="2A6D4CCA"/>
    <w:lvl w:ilvl="0" w:tentative="0">
      <w:start w:val="1"/>
      <w:numFmt w:val="decimal"/>
      <w:lvlText w:val="（%1）"/>
      <w:lvlJc w:val="left"/>
      <w:pPr>
        <w:ind w:left="1520" w:hanging="108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7">
    <w:nsid w:val="2A985008"/>
    <w:multiLevelType w:val="multilevel"/>
    <w:tmpl w:val="2A985008"/>
    <w:lvl w:ilvl="0" w:tentative="0">
      <w:start w:val="1"/>
      <w:numFmt w:val="decimal"/>
      <w:lvlText w:val="%1)"/>
      <w:lvlJc w:val="left"/>
      <w:pPr>
        <w:ind w:left="1960" w:hanging="440"/>
      </w:pPr>
    </w:lvl>
    <w:lvl w:ilvl="1" w:tentative="0">
      <w:start w:val="1"/>
      <w:numFmt w:val="lowerLetter"/>
      <w:lvlText w:val="%2)"/>
      <w:lvlJc w:val="left"/>
      <w:pPr>
        <w:ind w:left="2400" w:hanging="440"/>
      </w:pPr>
    </w:lvl>
    <w:lvl w:ilvl="2" w:tentative="0">
      <w:start w:val="1"/>
      <w:numFmt w:val="lowerRoman"/>
      <w:lvlText w:val="%3."/>
      <w:lvlJc w:val="right"/>
      <w:pPr>
        <w:ind w:left="2840" w:hanging="440"/>
      </w:pPr>
    </w:lvl>
    <w:lvl w:ilvl="3" w:tentative="0">
      <w:start w:val="1"/>
      <w:numFmt w:val="decimal"/>
      <w:lvlText w:val="%4."/>
      <w:lvlJc w:val="left"/>
      <w:pPr>
        <w:ind w:left="3280" w:hanging="440"/>
      </w:pPr>
    </w:lvl>
    <w:lvl w:ilvl="4" w:tentative="0">
      <w:start w:val="1"/>
      <w:numFmt w:val="lowerLetter"/>
      <w:lvlText w:val="%5)"/>
      <w:lvlJc w:val="left"/>
      <w:pPr>
        <w:ind w:left="3720" w:hanging="440"/>
      </w:pPr>
    </w:lvl>
    <w:lvl w:ilvl="5" w:tentative="0">
      <w:start w:val="1"/>
      <w:numFmt w:val="lowerRoman"/>
      <w:lvlText w:val="%6."/>
      <w:lvlJc w:val="right"/>
      <w:pPr>
        <w:ind w:left="4160" w:hanging="440"/>
      </w:pPr>
    </w:lvl>
    <w:lvl w:ilvl="6" w:tentative="0">
      <w:start w:val="1"/>
      <w:numFmt w:val="decimal"/>
      <w:lvlText w:val="%7."/>
      <w:lvlJc w:val="left"/>
      <w:pPr>
        <w:ind w:left="4600" w:hanging="440"/>
      </w:pPr>
    </w:lvl>
    <w:lvl w:ilvl="7" w:tentative="0">
      <w:start w:val="1"/>
      <w:numFmt w:val="lowerLetter"/>
      <w:lvlText w:val="%8)"/>
      <w:lvlJc w:val="left"/>
      <w:pPr>
        <w:ind w:left="5040" w:hanging="440"/>
      </w:pPr>
    </w:lvl>
    <w:lvl w:ilvl="8" w:tentative="0">
      <w:start w:val="1"/>
      <w:numFmt w:val="lowerRoman"/>
      <w:lvlText w:val="%9."/>
      <w:lvlJc w:val="right"/>
      <w:pPr>
        <w:ind w:left="5480" w:hanging="440"/>
      </w:pPr>
    </w:lvl>
  </w:abstractNum>
  <w:abstractNum w:abstractNumId="8">
    <w:nsid w:val="467475A8"/>
    <w:multiLevelType w:val="multilevel"/>
    <w:tmpl w:val="467475A8"/>
    <w:lvl w:ilvl="0" w:tentative="0">
      <w:start w:val="1"/>
      <w:numFmt w:val="decimal"/>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9">
    <w:nsid w:val="4A501486"/>
    <w:multiLevelType w:val="multilevel"/>
    <w:tmpl w:val="4A501486"/>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10">
    <w:nsid w:val="4EF712CC"/>
    <w:multiLevelType w:val="multilevel"/>
    <w:tmpl w:val="4EF712CC"/>
    <w:lvl w:ilvl="0" w:tentative="0">
      <w:start w:val="1"/>
      <w:numFmt w:val="bullet"/>
      <w:lvlText w:val=""/>
      <w:lvlJc w:val="left"/>
      <w:pPr>
        <w:ind w:left="1080" w:hanging="440"/>
      </w:pPr>
      <w:rPr>
        <w:rFonts w:hint="default" w:ascii="Wingdings" w:hAnsi="Wingdings"/>
      </w:rPr>
    </w:lvl>
    <w:lvl w:ilvl="1" w:tentative="0">
      <w:start w:val="1"/>
      <w:numFmt w:val="bullet"/>
      <w:lvlText w:val=""/>
      <w:lvlJc w:val="left"/>
      <w:pPr>
        <w:ind w:left="1520" w:hanging="440"/>
      </w:pPr>
      <w:rPr>
        <w:rFonts w:hint="default" w:ascii="Wingdings" w:hAnsi="Wingdings"/>
      </w:rPr>
    </w:lvl>
    <w:lvl w:ilvl="2" w:tentative="0">
      <w:start w:val="1"/>
      <w:numFmt w:val="bullet"/>
      <w:lvlText w:val=""/>
      <w:lvlJc w:val="left"/>
      <w:pPr>
        <w:ind w:left="1960" w:hanging="440"/>
      </w:pPr>
      <w:rPr>
        <w:rFonts w:hint="default" w:ascii="Wingdings" w:hAnsi="Wingdings"/>
      </w:rPr>
    </w:lvl>
    <w:lvl w:ilvl="3" w:tentative="0">
      <w:start w:val="1"/>
      <w:numFmt w:val="bullet"/>
      <w:lvlText w:val=""/>
      <w:lvlJc w:val="left"/>
      <w:pPr>
        <w:ind w:left="2400" w:hanging="440"/>
      </w:pPr>
      <w:rPr>
        <w:rFonts w:hint="default" w:ascii="Wingdings" w:hAnsi="Wingdings"/>
      </w:rPr>
    </w:lvl>
    <w:lvl w:ilvl="4" w:tentative="0">
      <w:start w:val="1"/>
      <w:numFmt w:val="bullet"/>
      <w:lvlText w:val=""/>
      <w:lvlJc w:val="left"/>
      <w:pPr>
        <w:ind w:left="2840" w:hanging="440"/>
      </w:pPr>
      <w:rPr>
        <w:rFonts w:hint="default" w:ascii="Wingdings" w:hAnsi="Wingdings"/>
      </w:rPr>
    </w:lvl>
    <w:lvl w:ilvl="5" w:tentative="0">
      <w:start w:val="1"/>
      <w:numFmt w:val="bullet"/>
      <w:lvlText w:val=""/>
      <w:lvlJc w:val="left"/>
      <w:pPr>
        <w:ind w:left="3280" w:hanging="440"/>
      </w:pPr>
      <w:rPr>
        <w:rFonts w:hint="default" w:ascii="Wingdings" w:hAnsi="Wingdings"/>
      </w:rPr>
    </w:lvl>
    <w:lvl w:ilvl="6" w:tentative="0">
      <w:start w:val="1"/>
      <w:numFmt w:val="bullet"/>
      <w:lvlText w:val=""/>
      <w:lvlJc w:val="left"/>
      <w:pPr>
        <w:ind w:left="3720" w:hanging="440"/>
      </w:pPr>
      <w:rPr>
        <w:rFonts w:hint="default" w:ascii="Wingdings" w:hAnsi="Wingdings"/>
      </w:rPr>
    </w:lvl>
    <w:lvl w:ilvl="7" w:tentative="0">
      <w:start w:val="1"/>
      <w:numFmt w:val="bullet"/>
      <w:lvlText w:val=""/>
      <w:lvlJc w:val="left"/>
      <w:pPr>
        <w:ind w:left="4160" w:hanging="440"/>
      </w:pPr>
      <w:rPr>
        <w:rFonts w:hint="default" w:ascii="Wingdings" w:hAnsi="Wingdings"/>
      </w:rPr>
    </w:lvl>
    <w:lvl w:ilvl="8" w:tentative="0">
      <w:start w:val="1"/>
      <w:numFmt w:val="bullet"/>
      <w:lvlText w:val=""/>
      <w:lvlJc w:val="left"/>
      <w:pPr>
        <w:ind w:left="4600" w:hanging="440"/>
      </w:pPr>
      <w:rPr>
        <w:rFonts w:hint="default" w:ascii="Wingdings" w:hAnsi="Wingdings"/>
      </w:rPr>
    </w:lvl>
  </w:abstractNum>
  <w:abstractNum w:abstractNumId="11">
    <w:nsid w:val="5BD24D33"/>
    <w:multiLevelType w:val="multilevel"/>
    <w:tmpl w:val="5BD24D33"/>
    <w:lvl w:ilvl="0" w:tentative="0">
      <w:start w:val="1"/>
      <w:numFmt w:val="decimal"/>
      <w:lvlText w:val="（%1）"/>
      <w:lvlJc w:val="left"/>
      <w:pPr>
        <w:ind w:left="1083" w:hanging="440"/>
      </w:pPr>
      <w:rPr>
        <w:rFonts w:hint="default"/>
      </w:rPr>
    </w:lvl>
    <w:lvl w:ilvl="1" w:tentative="0">
      <w:start w:val="1"/>
      <w:numFmt w:val="lowerLetter"/>
      <w:lvlText w:val="%2)"/>
      <w:lvlJc w:val="left"/>
      <w:pPr>
        <w:ind w:left="1523" w:hanging="440"/>
      </w:pPr>
    </w:lvl>
    <w:lvl w:ilvl="2" w:tentative="0">
      <w:start w:val="1"/>
      <w:numFmt w:val="lowerRoman"/>
      <w:lvlText w:val="%3."/>
      <w:lvlJc w:val="right"/>
      <w:pPr>
        <w:ind w:left="1963" w:hanging="440"/>
      </w:pPr>
    </w:lvl>
    <w:lvl w:ilvl="3" w:tentative="0">
      <w:start w:val="1"/>
      <w:numFmt w:val="decimal"/>
      <w:lvlText w:val="%4."/>
      <w:lvlJc w:val="left"/>
      <w:pPr>
        <w:ind w:left="2403" w:hanging="440"/>
      </w:pPr>
    </w:lvl>
    <w:lvl w:ilvl="4" w:tentative="0">
      <w:start w:val="1"/>
      <w:numFmt w:val="lowerLetter"/>
      <w:lvlText w:val="%5)"/>
      <w:lvlJc w:val="left"/>
      <w:pPr>
        <w:ind w:left="2843" w:hanging="440"/>
      </w:pPr>
    </w:lvl>
    <w:lvl w:ilvl="5" w:tentative="0">
      <w:start w:val="1"/>
      <w:numFmt w:val="lowerRoman"/>
      <w:lvlText w:val="%6."/>
      <w:lvlJc w:val="right"/>
      <w:pPr>
        <w:ind w:left="3283" w:hanging="440"/>
      </w:pPr>
    </w:lvl>
    <w:lvl w:ilvl="6" w:tentative="0">
      <w:start w:val="1"/>
      <w:numFmt w:val="decimal"/>
      <w:lvlText w:val="%7."/>
      <w:lvlJc w:val="left"/>
      <w:pPr>
        <w:ind w:left="3723" w:hanging="440"/>
      </w:pPr>
    </w:lvl>
    <w:lvl w:ilvl="7" w:tentative="0">
      <w:start w:val="1"/>
      <w:numFmt w:val="lowerLetter"/>
      <w:lvlText w:val="%8)"/>
      <w:lvlJc w:val="left"/>
      <w:pPr>
        <w:ind w:left="4163" w:hanging="440"/>
      </w:pPr>
    </w:lvl>
    <w:lvl w:ilvl="8" w:tentative="0">
      <w:start w:val="1"/>
      <w:numFmt w:val="lowerRoman"/>
      <w:lvlText w:val="%9."/>
      <w:lvlJc w:val="right"/>
      <w:pPr>
        <w:ind w:left="4603" w:hanging="440"/>
      </w:pPr>
    </w:lvl>
  </w:abstractNum>
  <w:abstractNum w:abstractNumId="12">
    <w:nsid w:val="5C1269AB"/>
    <w:multiLevelType w:val="multilevel"/>
    <w:tmpl w:val="5C1269A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3">
    <w:nsid w:val="690B0EA5"/>
    <w:multiLevelType w:val="multilevel"/>
    <w:tmpl w:val="690B0EA5"/>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14">
    <w:nsid w:val="6DE9469B"/>
    <w:multiLevelType w:val="multilevel"/>
    <w:tmpl w:val="6DE9469B"/>
    <w:lvl w:ilvl="0" w:tentative="0">
      <w:start w:val="1"/>
      <w:numFmt w:val="bullet"/>
      <w:lvlText w:val=""/>
      <w:lvlJc w:val="left"/>
      <w:pPr>
        <w:ind w:left="1080" w:hanging="440"/>
      </w:pPr>
      <w:rPr>
        <w:rFonts w:hint="default" w:ascii="Wingdings" w:hAnsi="Wingdings"/>
      </w:rPr>
    </w:lvl>
    <w:lvl w:ilvl="1" w:tentative="0">
      <w:start w:val="1"/>
      <w:numFmt w:val="bullet"/>
      <w:lvlText w:val=""/>
      <w:lvlJc w:val="left"/>
      <w:pPr>
        <w:ind w:left="1520" w:hanging="440"/>
      </w:pPr>
      <w:rPr>
        <w:rFonts w:hint="default" w:ascii="Wingdings" w:hAnsi="Wingdings"/>
      </w:rPr>
    </w:lvl>
    <w:lvl w:ilvl="2" w:tentative="0">
      <w:start w:val="1"/>
      <w:numFmt w:val="bullet"/>
      <w:lvlText w:val=""/>
      <w:lvlJc w:val="left"/>
      <w:pPr>
        <w:ind w:left="1960" w:hanging="440"/>
      </w:pPr>
      <w:rPr>
        <w:rFonts w:hint="default" w:ascii="Wingdings" w:hAnsi="Wingdings"/>
      </w:rPr>
    </w:lvl>
    <w:lvl w:ilvl="3" w:tentative="0">
      <w:start w:val="1"/>
      <w:numFmt w:val="bullet"/>
      <w:lvlText w:val=""/>
      <w:lvlJc w:val="left"/>
      <w:pPr>
        <w:ind w:left="2400" w:hanging="440"/>
      </w:pPr>
      <w:rPr>
        <w:rFonts w:hint="default" w:ascii="Wingdings" w:hAnsi="Wingdings"/>
      </w:rPr>
    </w:lvl>
    <w:lvl w:ilvl="4" w:tentative="0">
      <w:start w:val="1"/>
      <w:numFmt w:val="bullet"/>
      <w:lvlText w:val=""/>
      <w:lvlJc w:val="left"/>
      <w:pPr>
        <w:ind w:left="2840" w:hanging="440"/>
      </w:pPr>
      <w:rPr>
        <w:rFonts w:hint="default" w:ascii="Wingdings" w:hAnsi="Wingdings"/>
      </w:rPr>
    </w:lvl>
    <w:lvl w:ilvl="5" w:tentative="0">
      <w:start w:val="1"/>
      <w:numFmt w:val="bullet"/>
      <w:lvlText w:val=""/>
      <w:lvlJc w:val="left"/>
      <w:pPr>
        <w:ind w:left="3280" w:hanging="440"/>
      </w:pPr>
      <w:rPr>
        <w:rFonts w:hint="default" w:ascii="Wingdings" w:hAnsi="Wingdings"/>
      </w:rPr>
    </w:lvl>
    <w:lvl w:ilvl="6" w:tentative="0">
      <w:start w:val="1"/>
      <w:numFmt w:val="bullet"/>
      <w:lvlText w:val=""/>
      <w:lvlJc w:val="left"/>
      <w:pPr>
        <w:ind w:left="3720" w:hanging="440"/>
      </w:pPr>
      <w:rPr>
        <w:rFonts w:hint="default" w:ascii="Wingdings" w:hAnsi="Wingdings"/>
      </w:rPr>
    </w:lvl>
    <w:lvl w:ilvl="7" w:tentative="0">
      <w:start w:val="1"/>
      <w:numFmt w:val="bullet"/>
      <w:lvlText w:val=""/>
      <w:lvlJc w:val="left"/>
      <w:pPr>
        <w:ind w:left="4160" w:hanging="440"/>
      </w:pPr>
      <w:rPr>
        <w:rFonts w:hint="default" w:ascii="Wingdings" w:hAnsi="Wingdings"/>
      </w:rPr>
    </w:lvl>
    <w:lvl w:ilvl="8" w:tentative="0">
      <w:start w:val="1"/>
      <w:numFmt w:val="bullet"/>
      <w:lvlText w:val=""/>
      <w:lvlJc w:val="left"/>
      <w:pPr>
        <w:ind w:left="4600" w:hanging="440"/>
      </w:pPr>
      <w:rPr>
        <w:rFonts w:hint="default" w:ascii="Wingdings" w:hAnsi="Wingdings"/>
      </w:rPr>
    </w:lvl>
  </w:abstractNum>
  <w:abstractNum w:abstractNumId="15">
    <w:nsid w:val="703743CC"/>
    <w:multiLevelType w:val="multilevel"/>
    <w:tmpl w:val="703743CC"/>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16">
    <w:nsid w:val="795C1C0D"/>
    <w:multiLevelType w:val="multilevel"/>
    <w:tmpl w:val="795C1C0D"/>
    <w:lvl w:ilvl="0" w:tentative="0">
      <w:start w:val="1"/>
      <w:numFmt w:val="decimal"/>
      <w:lvlText w:val="（%1）"/>
      <w:lvlJc w:val="left"/>
      <w:pPr>
        <w:ind w:left="1085" w:hanging="440"/>
      </w:pPr>
      <w:rPr>
        <w:rFonts w:hint="default"/>
      </w:rPr>
    </w:lvl>
    <w:lvl w:ilvl="1" w:tentative="0">
      <w:start w:val="1"/>
      <w:numFmt w:val="lowerLetter"/>
      <w:lvlText w:val="%2)"/>
      <w:lvlJc w:val="left"/>
      <w:pPr>
        <w:ind w:left="1525" w:hanging="440"/>
      </w:pPr>
    </w:lvl>
    <w:lvl w:ilvl="2" w:tentative="0">
      <w:start w:val="1"/>
      <w:numFmt w:val="lowerRoman"/>
      <w:lvlText w:val="%3."/>
      <w:lvlJc w:val="right"/>
      <w:pPr>
        <w:ind w:left="1965" w:hanging="440"/>
      </w:pPr>
    </w:lvl>
    <w:lvl w:ilvl="3" w:tentative="0">
      <w:start w:val="1"/>
      <w:numFmt w:val="decimal"/>
      <w:lvlText w:val="%4."/>
      <w:lvlJc w:val="left"/>
      <w:pPr>
        <w:ind w:left="2405" w:hanging="440"/>
      </w:pPr>
    </w:lvl>
    <w:lvl w:ilvl="4" w:tentative="0">
      <w:start w:val="1"/>
      <w:numFmt w:val="lowerLetter"/>
      <w:lvlText w:val="%5)"/>
      <w:lvlJc w:val="left"/>
      <w:pPr>
        <w:ind w:left="2845" w:hanging="440"/>
      </w:pPr>
    </w:lvl>
    <w:lvl w:ilvl="5" w:tentative="0">
      <w:start w:val="1"/>
      <w:numFmt w:val="lowerRoman"/>
      <w:lvlText w:val="%6."/>
      <w:lvlJc w:val="right"/>
      <w:pPr>
        <w:ind w:left="3285" w:hanging="440"/>
      </w:pPr>
    </w:lvl>
    <w:lvl w:ilvl="6" w:tentative="0">
      <w:start w:val="1"/>
      <w:numFmt w:val="decimal"/>
      <w:lvlText w:val="%7."/>
      <w:lvlJc w:val="left"/>
      <w:pPr>
        <w:ind w:left="3725" w:hanging="440"/>
      </w:pPr>
    </w:lvl>
    <w:lvl w:ilvl="7" w:tentative="0">
      <w:start w:val="1"/>
      <w:numFmt w:val="lowerLetter"/>
      <w:lvlText w:val="%8)"/>
      <w:lvlJc w:val="left"/>
      <w:pPr>
        <w:ind w:left="4165" w:hanging="440"/>
      </w:pPr>
    </w:lvl>
    <w:lvl w:ilvl="8" w:tentative="0">
      <w:start w:val="1"/>
      <w:numFmt w:val="lowerRoman"/>
      <w:lvlText w:val="%9."/>
      <w:lvlJc w:val="right"/>
      <w:pPr>
        <w:ind w:left="4605" w:hanging="440"/>
      </w:pPr>
    </w:lvl>
  </w:abstractNum>
  <w:num w:numId="1">
    <w:abstractNumId w:val="3"/>
  </w:num>
  <w:num w:numId="2">
    <w:abstractNumId w:val="8"/>
  </w:num>
  <w:num w:numId="3">
    <w:abstractNumId w:val="6"/>
  </w:num>
  <w:num w:numId="4">
    <w:abstractNumId w:val="7"/>
  </w:num>
  <w:num w:numId="5">
    <w:abstractNumId w:val="16"/>
  </w:num>
  <w:num w:numId="6">
    <w:abstractNumId w:val="9"/>
  </w:num>
  <w:num w:numId="7">
    <w:abstractNumId w:val="15"/>
  </w:num>
  <w:num w:numId="8">
    <w:abstractNumId w:val="13"/>
  </w:num>
  <w:num w:numId="9">
    <w:abstractNumId w:val="0"/>
  </w:num>
  <w:num w:numId="10">
    <w:abstractNumId w:val="10"/>
  </w:num>
  <w:num w:numId="11">
    <w:abstractNumId w:val="14"/>
  </w:num>
  <w:num w:numId="12">
    <w:abstractNumId w:val="2"/>
  </w:num>
  <w:num w:numId="13">
    <w:abstractNumId w:val="11"/>
  </w:num>
  <w:num w:numId="14">
    <w:abstractNumId w:val="12"/>
  </w:num>
  <w:num w:numId="15">
    <w:abstractNumId w:val="4"/>
  </w:num>
  <w:num w:numId="16">
    <w:abstractNumId w:val="5"/>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Q1NDBiYmFiYzc1Y2IzNzQ4MTQzZWE3NTEyODJlNGUifQ=="/>
  </w:docVars>
  <w:rsids>
    <w:rsidRoot w:val="00394219"/>
    <w:rsid w:val="000067CA"/>
    <w:rsid w:val="00024369"/>
    <w:rsid w:val="000259F3"/>
    <w:rsid w:val="00036FCB"/>
    <w:rsid w:val="0004635A"/>
    <w:rsid w:val="00053C23"/>
    <w:rsid w:val="00055A35"/>
    <w:rsid w:val="00057357"/>
    <w:rsid w:val="000661CB"/>
    <w:rsid w:val="000667D3"/>
    <w:rsid w:val="0007014A"/>
    <w:rsid w:val="00075A20"/>
    <w:rsid w:val="00082B81"/>
    <w:rsid w:val="00087E84"/>
    <w:rsid w:val="00097260"/>
    <w:rsid w:val="000B3812"/>
    <w:rsid w:val="000C18E2"/>
    <w:rsid w:val="000D3D59"/>
    <w:rsid w:val="000E1ED9"/>
    <w:rsid w:val="000E22A0"/>
    <w:rsid w:val="000E6101"/>
    <w:rsid w:val="000F6A12"/>
    <w:rsid w:val="00105126"/>
    <w:rsid w:val="001103BA"/>
    <w:rsid w:val="001201EF"/>
    <w:rsid w:val="0014086C"/>
    <w:rsid w:val="00154CD8"/>
    <w:rsid w:val="00157619"/>
    <w:rsid w:val="00160558"/>
    <w:rsid w:val="00165F9B"/>
    <w:rsid w:val="0016684A"/>
    <w:rsid w:val="00170D63"/>
    <w:rsid w:val="00186A4E"/>
    <w:rsid w:val="00194B91"/>
    <w:rsid w:val="001950CC"/>
    <w:rsid w:val="001A135B"/>
    <w:rsid w:val="001B0C31"/>
    <w:rsid w:val="001B17C0"/>
    <w:rsid w:val="001D3569"/>
    <w:rsid w:val="001D36B7"/>
    <w:rsid w:val="001E3973"/>
    <w:rsid w:val="001F28B0"/>
    <w:rsid w:val="00201E12"/>
    <w:rsid w:val="002107B3"/>
    <w:rsid w:val="00214076"/>
    <w:rsid w:val="002142BD"/>
    <w:rsid w:val="002149A1"/>
    <w:rsid w:val="00222A07"/>
    <w:rsid w:val="00251F03"/>
    <w:rsid w:val="00254B0A"/>
    <w:rsid w:val="00256168"/>
    <w:rsid w:val="00262AA3"/>
    <w:rsid w:val="002752BA"/>
    <w:rsid w:val="00286F86"/>
    <w:rsid w:val="002B07CD"/>
    <w:rsid w:val="002B4361"/>
    <w:rsid w:val="002B5F15"/>
    <w:rsid w:val="002D3030"/>
    <w:rsid w:val="002D767A"/>
    <w:rsid w:val="002E1632"/>
    <w:rsid w:val="002E346A"/>
    <w:rsid w:val="00304E7B"/>
    <w:rsid w:val="003159FC"/>
    <w:rsid w:val="0032095C"/>
    <w:rsid w:val="00335C96"/>
    <w:rsid w:val="0034212E"/>
    <w:rsid w:val="0034354C"/>
    <w:rsid w:val="0034361E"/>
    <w:rsid w:val="00345852"/>
    <w:rsid w:val="00346C96"/>
    <w:rsid w:val="00356532"/>
    <w:rsid w:val="00362805"/>
    <w:rsid w:val="00377861"/>
    <w:rsid w:val="003926D4"/>
    <w:rsid w:val="0039279D"/>
    <w:rsid w:val="00392B28"/>
    <w:rsid w:val="00392C28"/>
    <w:rsid w:val="00394219"/>
    <w:rsid w:val="00397B33"/>
    <w:rsid w:val="003A3206"/>
    <w:rsid w:val="003B3541"/>
    <w:rsid w:val="003C7F32"/>
    <w:rsid w:val="003D6729"/>
    <w:rsid w:val="003D6970"/>
    <w:rsid w:val="004055DE"/>
    <w:rsid w:val="004073F0"/>
    <w:rsid w:val="00410CCC"/>
    <w:rsid w:val="0042097D"/>
    <w:rsid w:val="00425D62"/>
    <w:rsid w:val="00432C60"/>
    <w:rsid w:val="00445D7B"/>
    <w:rsid w:val="004560E3"/>
    <w:rsid w:val="00485147"/>
    <w:rsid w:val="004A0A09"/>
    <w:rsid w:val="004A23F3"/>
    <w:rsid w:val="004A404F"/>
    <w:rsid w:val="004B0314"/>
    <w:rsid w:val="004B13F7"/>
    <w:rsid w:val="004F4DD7"/>
    <w:rsid w:val="005307DE"/>
    <w:rsid w:val="005366F7"/>
    <w:rsid w:val="0054044B"/>
    <w:rsid w:val="00547A16"/>
    <w:rsid w:val="0055037A"/>
    <w:rsid w:val="00554014"/>
    <w:rsid w:val="00570B9A"/>
    <w:rsid w:val="00571050"/>
    <w:rsid w:val="00573DAE"/>
    <w:rsid w:val="005802DC"/>
    <w:rsid w:val="00593B8A"/>
    <w:rsid w:val="005A200A"/>
    <w:rsid w:val="005A4A7D"/>
    <w:rsid w:val="005F6E2D"/>
    <w:rsid w:val="00610291"/>
    <w:rsid w:val="006134F8"/>
    <w:rsid w:val="006163D5"/>
    <w:rsid w:val="00616F60"/>
    <w:rsid w:val="00622436"/>
    <w:rsid w:val="00632FE4"/>
    <w:rsid w:val="006506B7"/>
    <w:rsid w:val="006558DD"/>
    <w:rsid w:val="00656DA9"/>
    <w:rsid w:val="00662A9D"/>
    <w:rsid w:val="00681BD0"/>
    <w:rsid w:val="00692ABB"/>
    <w:rsid w:val="006A2066"/>
    <w:rsid w:val="006D0EF1"/>
    <w:rsid w:val="006D4996"/>
    <w:rsid w:val="006E0A2C"/>
    <w:rsid w:val="006E248C"/>
    <w:rsid w:val="006F79EF"/>
    <w:rsid w:val="0070043B"/>
    <w:rsid w:val="00723147"/>
    <w:rsid w:val="0072453B"/>
    <w:rsid w:val="00725D8F"/>
    <w:rsid w:val="00733363"/>
    <w:rsid w:val="0077069A"/>
    <w:rsid w:val="007A10C1"/>
    <w:rsid w:val="007B0246"/>
    <w:rsid w:val="007B64CA"/>
    <w:rsid w:val="007C3CAE"/>
    <w:rsid w:val="007C497B"/>
    <w:rsid w:val="007D4779"/>
    <w:rsid w:val="007D57D8"/>
    <w:rsid w:val="007F56F5"/>
    <w:rsid w:val="007F5B5E"/>
    <w:rsid w:val="0081357D"/>
    <w:rsid w:val="00813B6C"/>
    <w:rsid w:val="008237C2"/>
    <w:rsid w:val="00830BA4"/>
    <w:rsid w:val="008367AE"/>
    <w:rsid w:val="00840E9F"/>
    <w:rsid w:val="008530C8"/>
    <w:rsid w:val="00883D97"/>
    <w:rsid w:val="00886070"/>
    <w:rsid w:val="008A237F"/>
    <w:rsid w:val="008A6A2F"/>
    <w:rsid w:val="008D2BBE"/>
    <w:rsid w:val="008D2F2C"/>
    <w:rsid w:val="008E6309"/>
    <w:rsid w:val="008E69DD"/>
    <w:rsid w:val="008F18CE"/>
    <w:rsid w:val="00917890"/>
    <w:rsid w:val="009354B2"/>
    <w:rsid w:val="0093747E"/>
    <w:rsid w:val="009643F0"/>
    <w:rsid w:val="00970443"/>
    <w:rsid w:val="00972305"/>
    <w:rsid w:val="00981D9B"/>
    <w:rsid w:val="00982201"/>
    <w:rsid w:val="00992F40"/>
    <w:rsid w:val="009931EA"/>
    <w:rsid w:val="00996BFA"/>
    <w:rsid w:val="009A0DAE"/>
    <w:rsid w:val="009A6BFD"/>
    <w:rsid w:val="009B2926"/>
    <w:rsid w:val="009B3772"/>
    <w:rsid w:val="009D0512"/>
    <w:rsid w:val="009E494D"/>
    <w:rsid w:val="009E7402"/>
    <w:rsid w:val="009F25F2"/>
    <w:rsid w:val="009F3DFB"/>
    <w:rsid w:val="009F3E16"/>
    <w:rsid w:val="00A01011"/>
    <w:rsid w:val="00A5472C"/>
    <w:rsid w:val="00A54B73"/>
    <w:rsid w:val="00A61416"/>
    <w:rsid w:val="00A65BBA"/>
    <w:rsid w:val="00A70E4C"/>
    <w:rsid w:val="00A84118"/>
    <w:rsid w:val="00A8457F"/>
    <w:rsid w:val="00A96E2B"/>
    <w:rsid w:val="00AA4220"/>
    <w:rsid w:val="00AA5B15"/>
    <w:rsid w:val="00AE387C"/>
    <w:rsid w:val="00AF0486"/>
    <w:rsid w:val="00B21EBF"/>
    <w:rsid w:val="00B42E5D"/>
    <w:rsid w:val="00B46D3B"/>
    <w:rsid w:val="00B61256"/>
    <w:rsid w:val="00B676C3"/>
    <w:rsid w:val="00B76FC4"/>
    <w:rsid w:val="00B7798C"/>
    <w:rsid w:val="00B87907"/>
    <w:rsid w:val="00BB35DA"/>
    <w:rsid w:val="00BB36B9"/>
    <w:rsid w:val="00BB56A5"/>
    <w:rsid w:val="00BC6240"/>
    <w:rsid w:val="00BD5B8D"/>
    <w:rsid w:val="00BE64DD"/>
    <w:rsid w:val="00BE7BD9"/>
    <w:rsid w:val="00C16296"/>
    <w:rsid w:val="00C32431"/>
    <w:rsid w:val="00C33BE6"/>
    <w:rsid w:val="00C3689C"/>
    <w:rsid w:val="00C477CD"/>
    <w:rsid w:val="00C665A9"/>
    <w:rsid w:val="00C720EE"/>
    <w:rsid w:val="00C865DD"/>
    <w:rsid w:val="00C9585B"/>
    <w:rsid w:val="00C95B36"/>
    <w:rsid w:val="00CA25B8"/>
    <w:rsid w:val="00CA7F3E"/>
    <w:rsid w:val="00CB2E37"/>
    <w:rsid w:val="00CB68C0"/>
    <w:rsid w:val="00CC7C1A"/>
    <w:rsid w:val="00D06CF9"/>
    <w:rsid w:val="00D11F10"/>
    <w:rsid w:val="00D142BD"/>
    <w:rsid w:val="00D150BA"/>
    <w:rsid w:val="00D1641E"/>
    <w:rsid w:val="00D17E3B"/>
    <w:rsid w:val="00D2600B"/>
    <w:rsid w:val="00D3446D"/>
    <w:rsid w:val="00D352FB"/>
    <w:rsid w:val="00D408DC"/>
    <w:rsid w:val="00D776BF"/>
    <w:rsid w:val="00D91862"/>
    <w:rsid w:val="00D9317E"/>
    <w:rsid w:val="00D9424C"/>
    <w:rsid w:val="00DB5878"/>
    <w:rsid w:val="00DC3C82"/>
    <w:rsid w:val="00DC3E67"/>
    <w:rsid w:val="00DD5284"/>
    <w:rsid w:val="00DE2D38"/>
    <w:rsid w:val="00DF0814"/>
    <w:rsid w:val="00E062B0"/>
    <w:rsid w:val="00E2547C"/>
    <w:rsid w:val="00E37E3C"/>
    <w:rsid w:val="00E40F55"/>
    <w:rsid w:val="00E44DBF"/>
    <w:rsid w:val="00E4682E"/>
    <w:rsid w:val="00E52EF3"/>
    <w:rsid w:val="00E563E9"/>
    <w:rsid w:val="00E64FB1"/>
    <w:rsid w:val="00E7704A"/>
    <w:rsid w:val="00E82DB2"/>
    <w:rsid w:val="00E921B5"/>
    <w:rsid w:val="00E94D03"/>
    <w:rsid w:val="00E94E1B"/>
    <w:rsid w:val="00E974F4"/>
    <w:rsid w:val="00EA07E9"/>
    <w:rsid w:val="00EA6800"/>
    <w:rsid w:val="00EA6E79"/>
    <w:rsid w:val="00EB4DAC"/>
    <w:rsid w:val="00EC291B"/>
    <w:rsid w:val="00ED3643"/>
    <w:rsid w:val="00EE5B34"/>
    <w:rsid w:val="00F03DC5"/>
    <w:rsid w:val="00F523DD"/>
    <w:rsid w:val="00F54927"/>
    <w:rsid w:val="00F54FF7"/>
    <w:rsid w:val="00F57AEF"/>
    <w:rsid w:val="00F64DA3"/>
    <w:rsid w:val="00F73561"/>
    <w:rsid w:val="00F905D8"/>
    <w:rsid w:val="00F93035"/>
    <w:rsid w:val="00FA1517"/>
    <w:rsid w:val="00FA7D0A"/>
    <w:rsid w:val="00FB7169"/>
    <w:rsid w:val="00FC280A"/>
    <w:rsid w:val="00FC3BD3"/>
    <w:rsid w:val="00FC7506"/>
    <w:rsid w:val="00FD179F"/>
    <w:rsid w:val="00FD4E7B"/>
    <w:rsid w:val="00FD7149"/>
    <w:rsid w:val="00FE1DE8"/>
    <w:rsid w:val="01B97F5E"/>
    <w:rsid w:val="02BA3F8E"/>
    <w:rsid w:val="037C4E46"/>
    <w:rsid w:val="03F1578E"/>
    <w:rsid w:val="053C6EDC"/>
    <w:rsid w:val="05812B41"/>
    <w:rsid w:val="07652C5B"/>
    <w:rsid w:val="07E775D3"/>
    <w:rsid w:val="08C51453"/>
    <w:rsid w:val="0CAA0BCF"/>
    <w:rsid w:val="0EA97B12"/>
    <w:rsid w:val="0EE96807"/>
    <w:rsid w:val="0EFD148A"/>
    <w:rsid w:val="117F1A77"/>
    <w:rsid w:val="12B261E7"/>
    <w:rsid w:val="15475B55"/>
    <w:rsid w:val="167A1613"/>
    <w:rsid w:val="18E67433"/>
    <w:rsid w:val="192B12EA"/>
    <w:rsid w:val="19CD0549"/>
    <w:rsid w:val="1CEB6DC6"/>
    <w:rsid w:val="20686980"/>
    <w:rsid w:val="20F50E6A"/>
    <w:rsid w:val="21BE0F4D"/>
    <w:rsid w:val="248A448F"/>
    <w:rsid w:val="25167DE7"/>
    <w:rsid w:val="2A162684"/>
    <w:rsid w:val="2BC5112A"/>
    <w:rsid w:val="2D0B0DBF"/>
    <w:rsid w:val="2DDB4C35"/>
    <w:rsid w:val="2E2634D8"/>
    <w:rsid w:val="2E4E5407"/>
    <w:rsid w:val="2EB37960"/>
    <w:rsid w:val="2F674BC9"/>
    <w:rsid w:val="3082157B"/>
    <w:rsid w:val="30DF0DA9"/>
    <w:rsid w:val="313F4A0C"/>
    <w:rsid w:val="31DA0E5D"/>
    <w:rsid w:val="324A2389"/>
    <w:rsid w:val="33EA5BD2"/>
    <w:rsid w:val="343F3A31"/>
    <w:rsid w:val="3460235C"/>
    <w:rsid w:val="36372C24"/>
    <w:rsid w:val="368A544A"/>
    <w:rsid w:val="37225683"/>
    <w:rsid w:val="373E7E7C"/>
    <w:rsid w:val="3751343E"/>
    <w:rsid w:val="3A302271"/>
    <w:rsid w:val="3DFD6502"/>
    <w:rsid w:val="3F1E2BD3"/>
    <w:rsid w:val="3F3146B5"/>
    <w:rsid w:val="409450DC"/>
    <w:rsid w:val="40D43E92"/>
    <w:rsid w:val="412E783C"/>
    <w:rsid w:val="415B010F"/>
    <w:rsid w:val="417050F4"/>
    <w:rsid w:val="456B6447"/>
    <w:rsid w:val="46421086"/>
    <w:rsid w:val="46614287"/>
    <w:rsid w:val="466E6887"/>
    <w:rsid w:val="46F506BE"/>
    <w:rsid w:val="47544B14"/>
    <w:rsid w:val="477B2C8C"/>
    <w:rsid w:val="479779C7"/>
    <w:rsid w:val="493556E9"/>
    <w:rsid w:val="49EE4458"/>
    <w:rsid w:val="4A070E34"/>
    <w:rsid w:val="4AA652FF"/>
    <w:rsid w:val="4BAB4622"/>
    <w:rsid w:val="4CA010CC"/>
    <w:rsid w:val="4D1D3ADF"/>
    <w:rsid w:val="4D20220D"/>
    <w:rsid w:val="4F895E47"/>
    <w:rsid w:val="506E0D7C"/>
    <w:rsid w:val="5079410E"/>
    <w:rsid w:val="51EE6435"/>
    <w:rsid w:val="530879CB"/>
    <w:rsid w:val="534F7EC8"/>
    <w:rsid w:val="538A4F55"/>
    <w:rsid w:val="53FF0DCE"/>
    <w:rsid w:val="53FF492A"/>
    <w:rsid w:val="546155E5"/>
    <w:rsid w:val="55AA22D2"/>
    <w:rsid w:val="55B1368E"/>
    <w:rsid w:val="588F037F"/>
    <w:rsid w:val="59FD7B5D"/>
    <w:rsid w:val="5A0D516B"/>
    <w:rsid w:val="5A6E2809"/>
    <w:rsid w:val="5AFB2B80"/>
    <w:rsid w:val="5BC7436F"/>
    <w:rsid w:val="5BD743DE"/>
    <w:rsid w:val="5BDC0B3A"/>
    <w:rsid w:val="5C062164"/>
    <w:rsid w:val="5D845EA0"/>
    <w:rsid w:val="5E47584B"/>
    <w:rsid w:val="5E70084D"/>
    <w:rsid w:val="5EB427B5"/>
    <w:rsid w:val="5FE00B1B"/>
    <w:rsid w:val="603210F1"/>
    <w:rsid w:val="61534507"/>
    <w:rsid w:val="61735199"/>
    <w:rsid w:val="61C5646F"/>
    <w:rsid w:val="61D5316E"/>
    <w:rsid w:val="63302D52"/>
    <w:rsid w:val="63A159FD"/>
    <w:rsid w:val="63B868A3"/>
    <w:rsid w:val="63F024E1"/>
    <w:rsid w:val="659F41BF"/>
    <w:rsid w:val="6764121C"/>
    <w:rsid w:val="68000E3E"/>
    <w:rsid w:val="6B76151E"/>
    <w:rsid w:val="6BCA5692"/>
    <w:rsid w:val="6C515AE7"/>
    <w:rsid w:val="6C691082"/>
    <w:rsid w:val="6D1C60F5"/>
    <w:rsid w:val="6E2C680B"/>
    <w:rsid w:val="6EA93634"/>
    <w:rsid w:val="6F7C2E7B"/>
    <w:rsid w:val="722B0FD9"/>
    <w:rsid w:val="72B61D69"/>
    <w:rsid w:val="73E07E7C"/>
    <w:rsid w:val="759B26F7"/>
    <w:rsid w:val="759E027B"/>
    <w:rsid w:val="76A72ED3"/>
    <w:rsid w:val="79206F6D"/>
    <w:rsid w:val="7B28211E"/>
    <w:rsid w:val="7B446F42"/>
    <w:rsid w:val="7B550A9A"/>
    <w:rsid w:val="7B5911DE"/>
    <w:rsid w:val="7B6770D5"/>
    <w:rsid w:val="7C9E5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3"/>
    <w:qFormat/>
    <w:uiPriority w:val="9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30"/>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31"/>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34"/>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35"/>
    <w:semiHidden/>
    <w:unhideWhenUsed/>
    <w:qFormat/>
    <w:uiPriority w:val="9"/>
    <w:pPr>
      <w:keepNext/>
      <w:keepLines/>
      <w:spacing w:before="80" w:after="40"/>
      <w:outlineLvl w:val="4"/>
    </w:pPr>
    <w:rPr>
      <w:rFonts w:cstheme="majorBidi"/>
      <w:color w:val="104862" w:themeColor="accent1" w:themeShade="BF"/>
      <w:sz w:val="24"/>
      <w:szCs w:val="24"/>
    </w:rPr>
  </w:style>
  <w:style w:type="paragraph" w:styleId="7">
    <w:name w:val="heading 6"/>
    <w:basedOn w:val="1"/>
    <w:next w:val="1"/>
    <w:link w:val="36"/>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37"/>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38"/>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39"/>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63"/>
    <w:unhideWhenUsed/>
    <w:qFormat/>
    <w:uiPriority w:val="0"/>
    <w:pPr>
      <w:widowControl/>
      <w:spacing w:after="0" w:line="360" w:lineRule="auto"/>
      <w:ind w:firstLine="420" w:firstLineChars="200"/>
    </w:pPr>
    <w:rPr>
      <w:kern w:val="0"/>
      <w:sz w:val="20"/>
      <w:szCs w:val="20"/>
    </w:rPr>
  </w:style>
  <w:style w:type="paragraph" w:styleId="12">
    <w:name w:val="Body Text"/>
    <w:basedOn w:val="1"/>
    <w:next w:val="13"/>
    <w:link w:val="61"/>
    <w:semiHidden/>
    <w:unhideWhenUsed/>
    <w:qFormat/>
    <w:uiPriority w:val="99"/>
    <w:pPr>
      <w:spacing w:after="120"/>
    </w:pPr>
  </w:style>
  <w:style w:type="paragraph" w:styleId="13">
    <w:name w:val="Date"/>
    <w:basedOn w:val="1"/>
    <w:next w:val="1"/>
    <w:unhideWhenUsed/>
    <w:qFormat/>
    <w:uiPriority w:val="99"/>
    <w:pPr>
      <w:ind w:left="100" w:leftChars="2500"/>
    </w:pPr>
    <w:rPr>
      <w:lang w:val="zh-CN"/>
    </w:rPr>
  </w:style>
  <w:style w:type="paragraph" w:styleId="14">
    <w:name w:val="Body Text Indent"/>
    <w:basedOn w:val="1"/>
    <w:link w:val="57"/>
    <w:semiHidden/>
    <w:unhideWhenUsed/>
    <w:qFormat/>
    <w:uiPriority w:val="99"/>
    <w:pPr>
      <w:spacing w:after="120"/>
      <w:ind w:left="420" w:leftChars="200"/>
    </w:pPr>
  </w:style>
  <w:style w:type="paragraph" w:styleId="15">
    <w:name w:val="toc 3"/>
    <w:basedOn w:val="1"/>
    <w:next w:val="1"/>
    <w:autoRedefine/>
    <w:unhideWhenUsed/>
    <w:qFormat/>
    <w:uiPriority w:val="39"/>
    <w:pPr>
      <w:ind w:left="840" w:leftChars="400"/>
    </w:pPr>
  </w:style>
  <w:style w:type="paragraph" w:styleId="16">
    <w:name w:val="footer"/>
    <w:basedOn w:val="1"/>
    <w:link w:val="50"/>
    <w:unhideWhenUsed/>
    <w:qFormat/>
    <w:uiPriority w:val="0"/>
    <w:pPr>
      <w:tabs>
        <w:tab w:val="center" w:pos="4153"/>
        <w:tab w:val="right" w:pos="8306"/>
      </w:tabs>
      <w:snapToGrid w:val="0"/>
      <w:jc w:val="left"/>
    </w:pPr>
    <w:rPr>
      <w:sz w:val="18"/>
      <w:szCs w:val="18"/>
    </w:rPr>
  </w:style>
  <w:style w:type="paragraph" w:styleId="17">
    <w:name w:val="header"/>
    <w:basedOn w:val="1"/>
    <w:link w:val="49"/>
    <w:unhideWhenUsed/>
    <w:qFormat/>
    <w:uiPriority w:val="0"/>
    <w:pPr>
      <w:tabs>
        <w:tab w:val="center" w:pos="4153"/>
        <w:tab w:val="right" w:pos="8306"/>
      </w:tabs>
      <w:snapToGrid w:val="0"/>
      <w:jc w:val="center"/>
    </w:pPr>
    <w:rPr>
      <w:sz w:val="18"/>
      <w:szCs w:val="18"/>
    </w:rPr>
  </w:style>
  <w:style w:type="paragraph" w:styleId="18">
    <w:name w:val="toc 1"/>
    <w:basedOn w:val="1"/>
    <w:next w:val="1"/>
    <w:autoRedefine/>
    <w:unhideWhenUsed/>
    <w:qFormat/>
    <w:uiPriority w:val="39"/>
  </w:style>
  <w:style w:type="paragraph" w:styleId="19">
    <w:name w:val="Subtitle"/>
    <w:basedOn w:val="1"/>
    <w:next w:val="1"/>
    <w:link w:val="41"/>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0">
    <w:name w:val="toc 2"/>
    <w:basedOn w:val="1"/>
    <w:next w:val="1"/>
    <w:autoRedefine/>
    <w:unhideWhenUsed/>
    <w:qFormat/>
    <w:uiPriority w:val="39"/>
    <w:pPr>
      <w:ind w:left="420" w:leftChars="200"/>
    </w:pPr>
  </w:style>
  <w:style w:type="paragraph" w:styleId="21">
    <w:name w:val="Normal (Web)"/>
    <w:basedOn w:val="1"/>
    <w:qFormat/>
    <w:uiPriority w:val="0"/>
    <w:rPr>
      <w:sz w:val="24"/>
      <w:szCs w:val="24"/>
    </w:rPr>
  </w:style>
  <w:style w:type="paragraph" w:styleId="22">
    <w:name w:val="Title"/>
    <w:basedOn w:val="1"/>
    <w:next w:val="1"/>
    <w:link w:val="40"/>
    <w:qFormat/>
    <w:uiPriority w:val="10"/>
    <w:pPr>
      <w:spacing w:after="80"/>
      <w:contextualSpacing/>
      <w:jc w:val="center"/>
    </w:pPr>
    <w:rPr>
      <w:rFonts w:asciiTheme="majorHAnsi" w:hAnsiTheme="majorHAnsi" w:eastAsiaTheme="majorEastAsia" w:cstheme="majorBidi"/>
      <w:spacing w:val="-10"/>
      <w:kern w:val="28"/>
      <w:sz w:val="56"/>
      <w:szCs w:val="56"/>
    </w:rPr>
  </w:style>
  <w:style w:type="paragraph" w:styleId="23">
    <w:name w:val="Body Text First Indent 2"/>
    <w:basedOn w:val="14"/>
    <w:link w:val="58"/>
    <w:qFormat/>
    <w:uiPriority w:val="99"/>
    <w:pPr>
      <w:tabs>
        <w:tab w:val="left" w:pos="720"/>
        <w:tab w:val="left" w:pos="900"/>
        <w:tab w:val="left" w:pos="1260"/>
        <w:tab w:val="left" w:pos="2160"/>
        <w:tab w:val="left" w:pos="2880"/>
        <w:tab w:val="left" w:pos="3600"/>
        <w:tab w:val="left" w:pos="4320"/>
        <w:tab w:val="left" w:pos="5040"/>
        <w:tab w:val="left" w:pos="5760"/>
      </w:tabs>
      <w:spacing w:line="240" w:lineRule="auto"/>
      <w:ind w:firstLine="420"/>
    </w:pPr>
    <w:rPr>
      <w:rFonts w:ascii="Times New Roman" w:hAnsi="Times New Roman" w:eastAsia="宋体" w:cs="宋体"/>
      <w:sz w:val="24"/>
      <w:szCs w:val="21"/>
    </w:rPr>
  </w:style>
  <w:style w:type="table" w:styleId="25">
    <w:name w:val="Table Grid"/>
    <w:basedOn w:val="24"/>
    <w:qFormat/>
    <w:uiPriority w:val="59"/>
    <w:pPr>
      <w:spacing w:after="160" w:line="278"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22"/>
    <w:rPr>
      <w:b/>
    </w:rPr>
  </w:style>
  <w:style w:type="character" w:styleId="28">
    <w:name w:val="FollowedHyperlink"/>
    <w:basedOn w:val="26"/>
    <w:semiHidden/>
    <w:unhideWhenUsed/>
    <w:qFormat/>
    <w:uiPriority w:val="99"/>
    <w:rPr>
      <w:color w:val="96607D" w:themeColor="followedHyperlink"/>
      <w:u w:val="single"/>
      <w14:textFill>
        <w14:solidFill>
          <w14:schemeClr w14:val="folHlink"/>
        </w14:solidFill>
      </w14:textFill>
    </w:rPr>
  </w:style>
  <w:style w:type="character" w:styleId="29">
    <w:name w:val="Hyperlink"/>
    <w:qFormat/>
    <w:uiPriority w:val="99"/>
    <w:rPr>
      <w:color w:val="0000FF"/>
      <w:u w:val="single"/>
    </w:rPr>
  </w:style>
  <w:style w:type="character" w:customStyle="1" w:styleId="30">
    <w:name w:val="标题 2 字符"/>
    <w:basedOn w:val="26"/>
    <w:link w:val="3"/>
    <w:qFormat/>
    <w:uiPriority w:val="9"/>
    <w:rPr>
      <w:rFonts w:asciiTheme="majorHAnsi" w:hAnsiTheme="majorHAnsi" w:eastAsiaTheme="majorEastAsia" w:cstheme="majorBidi"/>
      <w:color w:val="104862" w:themeColor="accent1" w:themeShade="BF"/>
      <w:sz w:val="40"/>
      <w:szCs w:val="40"/>
    </w:rPr>
  </w:style>
  <w:style w:type="character" w:customStyle="1" w:styleId="31">
    <w:name w:val="标题 3 字符"/>
    <w:basedOn w:val="26"/>
    <w:link w:val="4"/>
    <w:qFormat/>
    <w:uiPriority w:val="9"/>
    <w:rPr>
      <w:rFonts w:asciiTheme="majorHAnsi" w:hAnsiTheme="majorHAnsi" w:eastAsiaTheme="majorEastAsia" w:cstheme="majorBidi"/>
      <w:color w:val="104862" w:themeColor="accent1" w:themeShade="BF"/>
      <w:sz w:val="32"/>
      <w:szCs w:val="32"/>
    </w:rPr>
  </w:style>
  <w:style w:type="paragraph" w:customStyle="1" w:styleId="32">
    <w:name w:val="01 正文-首行缩进2字符"/>
    <w:basedOn w:val="1"/>
    <w:qFormat/>
    <w:uiPriority w:val="0"/>
    <w:pPr>
      <w:spacing w:before="50" w:beforeLines="50" w:after="50" w:afterLines="50" w:line="360" w:lineRule="auto"/>
      <w:ind w:firstLine="200" w:firstLineChars="200"/>
    </w:pPr>
    <w:rPr>
      <w:rFonts w:ascii="Arial" w:hAnsi="Arial" w:eastAsia="宋体"/>
      <w:color w:val="000000"/>
      <w:sz w:val="24"/>
      <w:szCs w:val="24"/>
    </w:rPr>
  </w:style>
  <w:style w:type="character" w:customStyle="1" w:styleId="33">
    <w:name w:val="标题 1 字符"/>
    <w:basedOn w:val="26"/>
    <w:link w:val="2"/>
    <w:qFormat/>
    <w:uiPriority w:val="9"/>
    <w:rPr>
      <w:rFonts w:asciiTheme="majorHAnsi" w:hAnsiTheme="majorHAnsi" w:eastAsiaTheme="majorEastAsia" w:cstheme="majorBidi"/>
      <w:color w:val="104862" w:themeColor="accent1" w:themeShade="BF"/>
      <w:sz w:val="48"/>
      <w:szCs w:val="48"/>
    </w:rPr>
  </w:style>
  <w:style w:type="character" w:customStyle="1" w:styleId="34">
    <w:name w:val="标题 4 字符"/>
    <w:basedOn w:val="26"/>
    <w:link w:val="5"/>
    <w:qFormat/>
    <w:uiPriority w:val="9"/>
    <w:rPr>
      <w:rFonts w:cstheme="majorBidi"/>
      <w:color w:val="104862" w:themeColor="accent1" w:themeShade="BF"/>
      <w:sz w:val="28"/>
      <w:szCs w:val="28"/>
    </w:rPr>
  </w:style>
  <w:style w:type="character" w:customStyle="1" w:styleId="35">
    <w:name w:val="标题 5 字符"/>
    <w:basedOn w:val="26"/>
    <w:link w:val="6"/>
    <w:semiHidden/>
    <w:qFormat/>
    <w:uiPriority w:val="9"/>
    <w:rPr>
      <w:rFonts w:cstheme="majorBidi"/>
      <w:color w:val="104862" w:themeColor="accent1" w:themeShade="BF"/>
      <w:sz w:val="24"/>
      <w:szCs w:val="24"/>
    </w:rPr>
  </w:style>
  <w:style w:type="character" w:customStyle="1" w:styleId="36">
    <w:name w:val="标题 6 字符"/>
    <w:basedOn w:val="26"/>
    <w:link w:val="7"/>
    <w:semiHidden/>
    <w:qFormat/>
    <w:uiPriority w:val="9"/>
    <w:rPr>
      <w:rFonts w:cstheme="majorBidi"/>
      <w:b/>
      <w:bCs/>
      <w:color w:val="104862" w:themeColor="accent1" w:themeShade="BF"/>
    </w:rPr>
  </w:style>
  <w:style w:type="character" w:customStyle="1" w:styleId="37">
    <w:name w:val="标题 7 字符"/>
    <w:basedOn w:val="26"/>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38">
    <w:name w:val="标题 8 字符"/>
    <w:basedOn w:val="26"/>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39">
    <w:name w:val="标题 9 字符"/>
    <w:basedOn w:val="26"/>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40">
    <w:name w:val="标题 字符"/>
    <w:basedOn w:val="26"/>
    <w:link w:val="22"/>
    <w:qFormat/>
    <w:uiPriority w:val="10"/>
    <w:rPr>
      <w:rFonts w:asciiTheme="majorHAnsi" w:hAnsiTheme="majorHAnsi" w:eastAsiaTheme="majorEastAsia" w:cstheme="majorBidi"/>
      <w:spacing w:val="-10"/>
      <w:kern w:val="28"/>
      <w:sz w:val="56"/>
      <w:szCs w:val="56"/>
    </w:rPr>
  </w:style>
  <w:style w:type="character" w:customStyle="1" w:styleId="41">
    <w:name w:val="副标题 字符"/>
    <w:basedOn w:val="26"/>
    <w:link w:val="19"/>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42">
    <w:name w:val="Quote"/>
    <w:basedOn w:val="1"/>
    <w:next w:val="1"/>
    <w:link w:val="43"/>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43">
    <w:name w:val="引用 字符"/>
    <w:basedOn w:val="26"/>
    <w:link w:val="42"/>
    <w:qFormat/>
    <w:uiPriority w:val="29"/>
    <w:rPr>
      <w:i/>
      <w:iCs/>
      <w:color w:val="404040" w:themeColor="text1" w:themeTint="BF"/>
      <w14:textFill>
        <w14:solidFill>
          <w14:schemeClr w14:val="tx1">
            <w14:lumMod w14:val="75000"/>
            <w14:lumOff w14:val="25000"/>
          </w14:schemeClr>
        </w14:solidFill>
      </w14:textFill>
    </w:rPr>
  </w:style>
  <w:style w:type="paragraph" w:styleId="44">
    <w:name w:val="List Paragraph"/>
    <w:basedOn w:val="1"/>
    <w:qFormat/>
    <w:uiPriority w:val="99"/>
    <w:pPr>
      <w:ind w:left="720"/>
      <w:contextualSpacing/>
    </w:pPr>
  </w:style>
  <w:style w:type="character" w:customStyle="1" w:styleId="45">
    <w:name w:val="明显强调1"/>
    <w:basedOn w:val="26"/>
    <w:qFormat/>
    <w:uiPriority w:val="21"/>
    <w:rPr>
      <w:i/>
      <w:iCs/>
      <w:color w:val="104862" w:themeColor="accent1" w:themeShade="BF"/>
    </w:rPr>
  </w:style>
  <w:style w:type="paragraph" w:styleId="46">
    <w:name w:val="Intense Quote"/>
    <w:basedOn w:val="1"/>
    <w:next w:val="1"/>
    <w:link w:val="47"/>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47">
    <w:name w:val="明显引用 字符"/>
    <w:basedOn w:val="26"/>
    <w:link w:val="46"/>
    <w:qFormat/>
    <w:uiPriority w:val="30"/>
    <w:rPr>
      <w:i/>
      <w:iCs/>
      <w:color w:val="104862" w:themeColor="accent1" w:themeShade="BF"/>
    </w:rPr>
  </w:style>
  <w:style w:type="character" w:customStyle="1" w:styleId="48">
    <w:name w:val="明显参考1"/>
    <w:basedOn w:val="26"/>
    <w:qFormat/>
    <w:uiPriority w:val="32"/>
    <w:rPr>
      <w:b/>
      <w:bCs/>
      <w:smallCaps/>
      <w:color w:val="104862" w:themeColor="accent1" w:themeShade="BF"/>
      <w:spacing w:val="5"/>
    </w:rPr>
  </w:style>
  <w:style w:type="character" w:customStyle="1" w:styleId="49">
    <w:name w:val="页眉 字符"/>
    <w:basedOn w:val="26"/>
    <w:link w:val="17"/>
    <w:qFormat/>
    <w:uiPriority w:val="99"/>
    <w:rPr>
      <w:sz w:val="18"/>
      <w:szCs w:val="18"/>
    </w:rPr>
  </w:style>
  <w:style w:type="character" w:customStyle="1" w:styleId="50">
    <w:name w:val="页脚 字符"/>
    <w:basedOn w:val="26"/>
    <w:link w:val="16"/>
    <w:qFormat/>
    <w:uiPriority w:val="99"/>
    <w:rPr>
      <w:sz w:val="18"/>
      <w:szCs w:val="18"/>
    </w:rPr>
  </w:style>
  <w:style w:type="paragraph" w:customStyle="1" w:styleId="51">
    <w:name w:val="Default"/>
    <w:basedOn w:val="1"/>
    <w:qFormat/>
    <w:uiPriority w:val="0"/>
    <w:pPr>
      <w:autoSpaceDE w:val="0"/>
      <w:autoSpaceDN w:val="0"/>
      <w:adjustRightInd w:val="0"/>
      <w:spacing w:after="0"/>
      <w:jc w:val="left"/>
    </w:pPr>
    <w:rPr>
      <w:rFonts w:hint="eastAsia" w:ascii="宋体" w:hAnsi="Calibri" w:eastAsia="宋体" w:cs="Times New Roman"/>
      <w:color w:val="000000"/>
      <w:kern w:val="0"/>
      <w:sz w:val="24"/>
      <w:szCs w:val="24"/>
    </w:rPr>
  </w:style>
  <w:style w:type="paragraph" w:customStyle="1" w:styleId="52">
    <w:name w:val="￥正文"/>
    <w:basedOn w:val="1"/>
    <w:qFormat/>
    <w:uiPriority w:val="0"/>
    <w:pPr>
      <w:spacing w:line="360" w:lineRule="auto"/>
      <w:ind w:firstLine="200" w:firstLineChars="200"/>
    </w:pPr>
    <w:rPr>
      <w:rFonts w:ascii="宋体" w:hAnsi="Calibri" w:eastAsia="仿宋" w:cs="Times New Roman"/>
      <w:sz w:val="32"/>
    </w:rPr>
  </w:style>
  <w:style w:type="paragraph" w:customStyle="1" w:styleId="53">
    <w:name w:val="TOC 标题1"/>
    <w:basedOn w:val="2"/>
    <w:next w:val="1"/>
    <w:unhideWhenUsed/>
    <w:qFormat/>
    <w:uiPriority w:val="39"/>
    <w:pPr>
      <w:widowControl/>
      <w:spacing w:before="240" w:after="0" w:line="259" w:lineRule="auto"/>
      <w:jc w:val="left"/>
      <w:outlineLvl w:val="9"/>
    </w:pPr>
    <w:rPr>
      <w:kern w:val="0"/>
      <w:sz w:val="32"/>
      <w:szCs w:val="32"/>
    </w:rPr>
  </w:style>
  <w:style w:type="character" w:customStyle="1" w:styleId="54">
    <w:name w:val="未处理的提及1"/>
    <w:basedOn w:val="26"/>
    <w:semiHidden/>
    <w:unhideWhenUsed/>
    <w:qFormat/>
    <w:uiPriority w:val="99"/>
    <w:rPr>
      <w:color w:val="605E5C"/>
      <w:shd w:val="clear" w:color="auto" w:fill="E1DFDD"/>
    </w:rPr>
  </w:style>
  <w:style w:type="paragraph" w:customStyle="1" w:styleId="55">
    <w:name w:val="段落正文"/>
    <w:basedOn w:val="1"/>
    <w:link w:val="56"/>
    <w:qFormat/>
    <w:uiPriority w:val="0"/>
    <w:pPr>
      <w:spacing w:after="0" w:line="360" w:lineRule="auto"/>
      <w:ind w:firstLine="567"/>
    </w:pPr>
    <w:rPr>
      <w:rFonts w:ascii="仿宋_GB2312" w:hAnsi="宋体" w:eastAsia="仿宋_GB2312" w:cs="Times New Roman"/>
      <w:sz w:val="24"/>
      <w:szCs w:val="24"/>
    </w:rPr>
  </w:style>
  <w:style w:type="character" w:customStyle="1" w:styleId="56">
    <w:name w:val="段落正文 Char"/>
    <w:link w:val="55"/>
    <w:qFormat/>
    <w:uiPriority w:val="0"/>
    <w:rPr>
      <w:rFonts w:ascii="仿宋_GB2312" w:hAnsi="宋体" w:eastAsia="仿宋_GB2312" w:cs="Times New Roman"/>
      <w:sz w:val="24"/>
      <w:szCs w:val="24"/>
    </w:rPr>
  </w:style>
  <w:style w:type="character" w:customStyle="1" w:styleId="57">
    <w:name w:val="正文文本缩进 字符"/>
    <w:basedOn w:val="26"/>
    <w:link w:val="14"/>
    <w:semiHidden/>
    <w:qFormat/>
    <w:uiPriority w:val="99"/>
  </w:style>
  <w:style w:type="character" w:customStyle="1" w:styleId="58">
    <w:name w:val="正文文本首行缩进 2 字符"/>
    <w:basedOn w:val="57"/>
    <w:link w:val="23"/>
    <w:qFormat/>
    <w:uiPriority w:val="99"/>
    <w:rPr>
      <w:rFonts w:ascii="Times New Roman" w:hAnsi="Times New Roman" w:eastAsia="宋体" w:cs="宋体"/>
      <w:sz w:val="24"/>
      <w:szCs w:val="21"/>
    </w:rPr>
  </w:style>
  <w:style w:type="paragraph" w:customStyle="1" w:styleId="59">
    <w:name w:val="列表段落1"/>
    <w:basedOn w:val="1"/>
    <w:link w:val="60"/>
    <w:qFormat/>
    <w:uiPriority w:val="34"/>
    <w:pPr>
      <w:spacing w:after="0" w:line="360" w:lineRule="auto"/>
      <w:ind w:firstLine="200" w:firstLineChars="200"/>
    </w:pPr>
    <w:rPr>
      <w:rFonts w:ascii="Calibri" w:hAnsi="Calibri" w:eastAsia="宋体" w:cs="黑体"/>
      <w:sz w:val="24"/>
    </w:rPr>
  </w:style>
  <w:style w:type="character" w:customStyle="1" w:styleId="60">
    <w:name w:val="列出段落 Char"/>
    <w:basedOn w:val="26"/>
    <w:link w:val="59"/>
    <w:qFormat/>
    <w:locked/>
    <w:uiPriority w:val="34"/>
    <w:rPr>
      <w:rFonts w:ascii="Calibri" w:hAnsi="Calibri" w:eastAsia="宋体" w:cs="黑体"/>
      <w:sz w:val="24"/>
    </w:rPr>
  </w:style>
  <w:style w:type="character" w:customStyle="1" w:styleId="61">
    <w:name w:val="正文文本 字符"/>
    <w:basedOn w:val="26"/>
    <w:link w:val="12"/>
    <w:semiHidden/>
    <w:qFormat/>
    <w:uiPriority w:val="99"/>
  </w:style>
  <w:style w:type="paragraph" w:customStyle="1" w:styleId="62">
    <w:name w:val="B表格正文"/>
    <w:next w:val="1"/>
    <w:qFormat/>
    <w:uiPriority w:val="0"/>
    <w:rPr>
      <w:rFonts w:ascii="Calibri" w:hAnsi="Calibri" w:eastAsia="黑体" w:cs="Times New Roman"/>
      <w:kern w:val="2"/>
      <w:sz w:val="21"/>
      <w:szCs w:val="21"/>
      <w:lang w:val="en-US" w:eastAsia="zh-CN" w:bidi="ar-SA"/>
    </w:rPr>
  </w:style>
  <w:style w:type="character" w:customStyle="1" w:styleId="63">
    <w:name w:val="正文缩进 字符"/>
    <w:link w:val="11"/>
    <w:qFormat/>
    <w:uiPriority w:val="0"/>
    <w:rPr>
      <w:kern w:val="0"/>
      <w:sz w:val="20"/>
      <w:szCs w:val="20"/>
    </w:rPr>
  </w:style>
  <w:style w:type="paragraph" w:customStyle="1" w:styleId="64">
    <w:name w:val="仿宋四号首行缩进2字符"/>
    <w:basedOn w:val="1"/>
    <w:qFormat/>
    <w:uiPriority w:val="0"/>
    <w:pPr>
      <w:spacing w:after="190" w:afterLines="50" w:line="288" w:lineRule="auto"/>
      <w:ind w:firstLine="560"/>
    </w:pPr>
    <w:rPr>
      <w:rFonts w:ascii="仿宋" w:hAnsi="仿宋"/>
      <w:szCs w:val="30"/>
    </w:rPr>
  </w:style>
  <w:style w:type="paragraph" w:customStyle="1" w:styleId="65">
    <w:name w:val="xl103"/>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66">
    <w:name w:val="xl104"/>
    <w:basedOn w:val="1"/>
    <w:qFormat/>
    <w:uiPriority w:val="0"/>
    <w:pPr>
      <w:widowControl/>
      <w:pBdr>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color w:val="000000"/>
      <w:kern w:val="0"/>
      <w:sz w:val="24"/>
      <w:szCs w:val="24"/>
    </w:rPr>
  </w:style>
  <w:style w:type="paragraph" w:customStyle="1" w:styleId="67">
    <w:name w:val="xl105"/>
    <w:basedOn w:val="1"/>
    <w:qFormat/>
    <w:uiPriority w:val="0"/>
    <w:pPr>
      <w:widowControl/>
      <w:pBdr>
        <w:bottom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68">
    <w:name w:val="xl106"/>
    <w:basedOn w:val="1"/>
    <w:qFormat/>
    <w:uiPriority w:val="0"/>
    <w:pPr>
      <w:widowControl/>
      <w:pBdr>
        <w:bottom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color w:val="000000"/>
      <w:kern w:val="0"/>
      <w:sz w:val="24"/>
      <w:szCs w:val="24"/>
    </w:rPr>
  </w:style>
  <w:style w:type="paragraph" w:customStyle="1" w:styleId="69">
    <w:name w:val="xl107"/>
    <w:basedOn w:val="1"/>
    <w:qFormat/>
    <w:uiPriority w:val="0"/>
    <w:pPr>
      <w:widowControl/>
      <w:pBdr>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70">
    <w:name w:val="xl108"/>
    <w:basedOn w:val="1"/>
    <w:qFormat/>
    <w:uiPriority w:val="0"/>
    <w:pPr>
      <w:widowControl/>
      <w:pBdr>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1">
    <w:name w:val="xl109"/>
    <w:basedOn w:val="1"/>
    <w:qFormat/>
    <w:uiPriority w:val="0"/>
    <w:pPr>
      <w:widowControl/>
      <w:pBdr>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72">
    <w:name w:val="xl110"/>
    <w:basedOn w:val="1"/>
    <w:qFormat/>
    <w:uiPriority w:val="0"/>
    <w:pPr>
      <w:widowControl/>
      <w:pBdr>
        <w:left w:val="single" w:color="auto" w:sz="8" w:space="0"/>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73">
    <w:name w:val="xl111"/>
    <w:basedOn w:val="1"/>
    <w:qFormat/>
    <w:uiPriority w:val="0"/>
    <w:pPr>
      <w:widowControl/>
      <w:pBdr>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74">
    <w:name w:val="xl112"/>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5">
    <w:name w:val="xl113"/>
    <w:basedOn w:val="1"/>
    <w:qFormat/>
    <w:uiPriority w:val="0"/>
    <w:pPr>
      <w:widowControl/>
      <w:pBdr>
        <w:top w:val="single" w:color="auto" w:sz="8" w:space="0"/>
        <w:bottom w:val="single" w:color="auto" w:sz="8" w:space="0"/>
        <w:right w:val="single" w:color="000000"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6">
    <w:name w:val="xl114"/>
    <w:basedOn w:val="1"/>
    <w:qFormat/>
    <w:uiPriority w:val="0"/>
    <w:pPr>
      <w:widowControl/>
      <w:pBdr>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7">
    <w:name w:val="xl115"/>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8">
    <w:name w:val="xl116"/>
    <w:basedOn w:val="1"/>
    <w:qFormat/>
    <w:uiPriority w:val="0"/>
    <w:pPr>
      <w:widowControl/>
      <w:pBdr>
        <w:left w:val="single" w:color="auto" w:sz="8" w:space="0"/>
        <w:bottom w:val="single" w:color="000000"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79">
    <w:name w:val="xl117"/>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0">
    <w:name w:val="xl118"/>
    <w:basedOn w:val="1"/>
    <w:qFormat/>
    <w:uiPriority w:val="0"/>
    <w:pPr>
      <w:widowControl/>
      <w:pBdr>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1">
    <w:name w:val="xl119"/>
    <w:basedOn w:val="1"/>
    <w:qFormat/>
    <w:uiPriority w:val="0"/>
    <w:pPr>
      <w:widowControl/>
      <w:pBdr>
        <w:left w:val="single" w:color="auto" w:sz="8" w:space="0"/>
        <w:bottom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2">
    <w:name w:val="xl120"/>
    <w:basedOn w:val="1"/>
    <w:qFormat/>
    <w:uiPriority w:val="0"/>
    <w:pPr>
      <w:widowControl/>
      <w:pBdr>
        <w:bottom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3">
    <w:name w:val="xl121"/>
    <w:basedOn w:val="1"/>
    <w:qFormat/>
    <w:uiPriority w:val="0"/>
    <w:pPr>
      <w:widowControl/>
      <w:pBdr>
        <w:bottom w:val="single" w:color="auto" w:sz="8" w:space="0"/>
        <w:right w:val="single" w:color="000000"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4">
    <w:name w:val="xl122"/>
    <w:basedOn w:val="1"/>
    <w:qFormat/>
    <w:uiPriority w:val="0"/>
    <w:pPr>
      <w:widowControl/>
      <w:pBdr>
        <w:left w:val="single" w:color="auto" w:sz="8" w:space="0"/>
        <w:bottom w:val="single" w:color="000000"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5">
    <w:name w:val="xl123"/>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86">
    <w:name w:val="xl124"/>
    <w:basedOn w:val="1"/>
    <w:qFormat/>
    <w:uiPriority w:val="0"/>
    <w:pPr>
      <w:widowControl/>
      <w:pBdr>
        <w:left w:val="single" w:color="auto" w:sz="8" w:space="0"/>
        <w:bottom w:val="single" w:color="000000"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87">
    <w:name w:val="xl125"/>
    <w:basedOn w:val="1"/>
    <w:qFormat/>
    <w:uiPriority w:val="0"/>
    <w:pPr>
      <w:widowControl/>
      <w:pBdr>
        <w:top w:val="single" w:color="000000" w:sz="8" w:space="0"/>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88">
    <w:name w:val="xl126"/>
    <w:basedOn w:val="1"/>
    <w:qFormat/>
    <w:uiPriority w:val="0"/>
    <w:pPr>
      <w:widowControl/>
      <w:pBdr>
        <w:top w:val="single" w:color="000000" w:sz="8" w:space="0"/>
        <w:left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89">
    <w:name w:val="xl127"/>
    <w:basedOn w:val="1"/>
    <w:qFormat/>
    <w:uiPriority w:val="0"/>
    <w:pPr>
      <w:widowControl/>
      <w:pBdr>
        <w:left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90">
    <w:name w:val="xl128"/>
    <w:basedOn w:val="1"/>
    <w:qFormat/>
    <w:uiPriority w:val="0"/>
    <w:pPr>
      <w:widowControl/>
      <w:pBdr>
        <w:left w:val="single" w:color="auto" w:sz="8" w:space="0"/>
        <w:bottom w:val="single" w:color="auto" w:sz="8" w:space="0"/>
        <w:right w:val="single" w:color="auto" w:sz="8" w:space="0"/>
      </w:pBdr>
      <w:spacing w:before="100" w:beforeAutospacing="1" w:after="100" w:afterAutospacing="1" w:line="240" w:lineRule="auto"/>
      <w:jc w:val="left"/>
      <w:textAlignment w:val="center"/>
    </w:pPr>
    <w:rPr>
      <w:rFonts w:ascii="宋体" w:hAnsi="宋体" w:eastAsia="宋体" w:cs="宋体"/>
      <w:kern w:val="0"/>
      <w:sz w:val="24"/>
      <w:szCs w:val="24"/>
    </w:rPr>
  </w:style>
  <w:style w:type="paragraph" w:customStyle="1" w:styleId="91">
    <w:name w:val="xl129"/>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92">
    <w:name w:val="xl130"/>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93">
    <w:name w:val="xl131"/>
    <w:basedOn w:val="1"/>
    <w:qFormat/>
    <w:uiPriority w:val="0"/>
    <w:pPr>
      <w:widowControl/>
      <w:pBdr>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94">
    <w:name w:val="xl132"/>
    <w:basedOn w:val="1"/>
    <w:qFormat/>
    <w:uiPriority w:val="0"/>
    <w:pPr>
      <w:widowControl/>
      <w:pBdr>
        <w:top w:val="single" w:color="000000" w:sz="8" w:space="0"/>
        <w:left w:val="single" w:color="auto"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95">
    <w:name w:val="xl133"/>
    <w:basedOn w:val="1"/>
    <w:qFormat/>
    <w:uiPriority w:val="0"/>
    <w:pPr>
      <w:widowControl/>
      <w:pBdr>
        <w:left w:val="single" w:color="auto" w:sz="8" w:space="0"/>
        <w:bottom w:val="single" w:color="000000" w:sz="8" w:space="0"/>
        <w:right w:val="single" w:color="auto" w:sz="8" w:space="0"/>
      </w:pBdr>
      <w:spacing w:before="100" w:beforeAutospacing="1" w:after="100" w:afterAutospacing="1" w:line="240" w:lineRule="auto"/>
      <w:jc w:val="center"/>
      <w:textAlignment w:val="center"/>
    </w:pPr>
    <w:rPr>
      <w:rFonts w:ascii="宋体" w:hAnsi="宋体" w:eastAsia="宋体" w:cs="宋体"/>
      <w:b/>
      <w:bCs/>
      <w:kern w:val="0"/>
      <w:sz w:val="24"/>
      <w:szCs w:val="24"/>
    </w:rPr>
  </w:style>
  <w:style w:type="paragraph" w:customStyle="1" w:styleId="96">
    <w:name w:val="xl134"/>
    <w:basedOn w:val="1"/>
    <w:qFormat/>
    <w:uiPriority w:val="0"/>
    <w:pPr>
      <w:widowControl/>
      <w:pBdr>
        <w:top w:val="single" w:color="auto" w:sz="8" w:space="0"/>
        <w:bottom w:val="single" w:color="auto"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paragraph" w:customStyle="1" w:styleId="97">
    <w:name w:val="xl135"/>
    <w:basedOn w:val="1"/>
    <w:qFormat/>
    <w:uiPriority w:val="0"/>
    <w:pPr>
      <w:widowControl/>
      <w:pBdr>
        <w:top w:val="single" w:color="auto" w:sz="8" w:space="0"/>
        <w:bottom w:val="single" w:color="auto" w:sz="8" w:space="0"/>
        <w:right w:val="single" w:color="000000" w:sz="8" w:space="0"/>
      </w:pBdr>
      <w:spacing w:before="100" w:beforeAutospacing="1" w:after="100" w:afterAutospacing="1" w:line="240" w:lineRule="auto"/>
      <w:jc w:val="center"/>
      <w:textAlignment w:val="center"/>
    </w:pPr>
    <w:rPr>
      <w:rFonts w:ascii="宋体" w:hAnsi="宋体" w:eastAsia="宋体" w:cs="宋体"/>
      <w:kern w:val="0"/>
      <w:sz w:val="24"/>
      <w:szCs w:val="24"/>
    </w:rPr>
  </w:style>
  <w:style w:type="character" w:customStyle="1" w:styleId="98">
    <w:name w:val="font31"/>
    <w:basedOn w:val="26"/>
    <w:qFormat/>
    <w:uiPriority w:val="0"/>
    <w:rPr>
      <w:rFonts w:hint="eastAsia" w:ascii="等线" w:hAnsi="等线" w:eastAsia="等线" w:cs="等线"/>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3" Type="http://schemas.openxmlformats.org/officeDocument/2006/relationships/fontTable" Target="fontTable.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42.png"/><Relationship Id="rId5" Type="http://schemas.openxmlformats.org/officeDocument/2006/relationships/footer" Target="footer1.xml"/><Relationship Id="rId49" Type="http://schemas.openxmlformats.org/officeDocument/2006/relationships/image" Target="media/image41.png"/><Relationship Id="rId48" Type="http://schemas.openxmlformats.org/officeDocument/2006/relationships/image" Target="media/image40.png"/><Relationship Id="rId47" Type="http://schemas.openxmlformats.org/officeDocument/2006/relationships/image" Target="media/image39.png"/><Relationship Id="rId46" Type="http://schemas.openxmlformats.org/officeDocument/2006/relationships/image" Target="media/image38.png"/><Relationship Id="rId45" Type="http://schemas.openxmlformats.org/officeDocument/2006/relationships/image" Target="media/image37.png"/><Relationship Id="rId44" Type="http://schemas.openxmlformats.org/officeDocument/2006/relationships/image" Target="media/image36.png"/><Relationship Id="rId43" Type="http://schemas.openxmlformats.org/officeDocument/2006/relationships/image" Target="media/image35.png"/><Relationship Id="rId42" Type="http://schemas.openxmlformats.org/officeDocument/2006/relationships/image" Target="media/image34.png"/><Relationship Id="rId41" Type="http://schemas.openxmlformats.org/officeDocument/2006/relationships/image" Target="media/image33.png"/><Relationship Id="rId40" Type="http://schemas.openxmlformats.org/officeDocument/2006/relationships/image" Target="media/image32.png"/><Relationship Id="rId4" Type="http://schemas.openxmlformats.org/officeDocument/2006/relationships/endnotes" Target="endnotes.xml"/><Relationship Id="rId39" Type="http://schemas.openxmlformats.org/officeDocument/2006/relationships/image" Target="media/image31.png"/><Relationship Id="rId38" Type="http://schemas.openxmlformats.org/officeDocument/2006/relationships/image" Target="media/image30.png"/><Relationship Id="rId37" Type="http://schemas.openxmlformats.org/officeDocument/2006/relationships/image" Target="media/image29.png"/><Relationship Id="rId36" Type="http://schemas.openxmlformats.org/officeDocument/2006/relationships/image" Target="media/image28.png"/><Relationship Id="rId35" Type="http://schemas.openxmlformats.org/officeDocument/2006/relationships/image" Target="media/image27.png"/><Relationship Id="rId34" Type="http://schemas.openxmlformats.org/officeDocument/2006/relationships/image" Target="media/image26.png"/><Relationship Id="rId33" Type="http://schemas.openxmlformats.org/officeDocument/2006/relationships/image" Target="media/image25.png"/><Relationship Id="rId32" Type="http://schemas.openxmlformats.org/officeDocument/2006/relationships/image" Target="media/image24.png"/><Relationship Id="rId31" Type="http://schemas.openxmlformats.org/officeDocument/2006/relationships/image" Target="media/image23.jpeg"/><Relationship Id="rId30" Type="http://schemas.openxmlformats.org/officeDocument/2006/relationships/image" Target="media/image22.png"/><Relationship Id="rId3" Type="http://schemas.openxmlformats.org/officeDocument/2006/relationships/footnotes" Target="footnotes.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jpe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115</Pages>
  <Words>19444</Words>
  <Characters>20090</Characters>
  <Lines>381</Lines>
  <Paragraphs>107</Paragraphs>
  <TotalTime>7287</TotalTime>
  <ScaleCrop>false</ScaleCrop>
  <LinksUpToDate>false</LinksUpToDate>
  <CharactersWithSpaces>20320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2024-12-11T08:01:00Z</dcterms:created>
  <dc:creator>Yangyang Shao</dc:creator>
  <cp:lastModifiedBy>欢</cp:lastModifiedBy>
  <cp:lastPrinted>2024-10-22T02:59:00Z</cp:lastPrinted>
  <dcterms:modified xsi:type="dcterms:W3CDTF">2025-03-06T06:32:54Z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72552A6090294D9C8CB85F4512E17BCB_13</vt:lpwstr>
  </property>
  <property fmtid="{D5CDD505-2E9C-101B-9397-08002B2CF9AE}" pid="4" name="KSOTemplateDocerSaveRecord">
    <vt:lpwstr>eyJoZGlkIjoiMmQ1NDBiYmFiYzc1Y2IzNzQ4MTQzZWE3NTEyODJlNGUiLCJ1c2VySWQiOiI2NDk3MTIyNTUifQ==</vt:lpwstr>
  </property>
</Properties>
</file>