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26CA9">
      <w:pPr>
        <w:pStyle w:val="7"/>
        <w:ind w:firstLine="0" w:firstLineChars="0"/>
        <w:jc w:val="center"/>
        <w:rPr>
          <w:rFonts w:hint="eastAsia" w:ascii="宋体" w:hAnsi="宋体" w:eastAsia="宋体"/>
          <w:b w:val="0"/>
          <w:bCs w:val="0"/>
        </w:rPr>
      </w:pPr>
      <w:bookmarkStart w:id="0" w:name="_Toc24716"/>
      <w:r>
        <w:rPr>
          <w:rFonts w:hint="eastAsia" w:ascii="宋体" w:hAnsi="宋体" w:eastAsia="宋体"/>
          <w:b w:val="0"/>
          <w:bCs w:val="0"/>
        </w:rPr>
        <w:t>中标人公告内容</w:t>
      </w:r>
      <w:bookmarkEnd w:id="0"/>
    </w:p>
    <w:p w14:paraId="4D53116D">
      <w:pPr>
        <w:spacing w:line="360" w:lineRule="auto"/>
        <w:rPr>
          <w:rFonts w:hint="eastAsia" w:ascii="宋体" w:hAnsi="宋体"/>
          <w:spacing w:val="20"/>
          <w:sz w:val="24"/>
        </w:rPr>
      </w:pPr>
      <w:bookmarkStart w:id="1" w:name="_GoBack"/>
      <w:bookmarkEnd w:id="1"/>
      <w:r>
        <w:rPr>
          <w:rFonts w:hint="eastAsia" w:ascii="宋体" w:hAnsi="宋体"/>
          <w:spacing w:val="20"/>
          <w:sz w:val="24"/>
        </w:rPr>
        <w:t>采购项目：</w:t>
      </w:r>
      <w:r>
        <w:rPr>
          <w:rFonts w:hint="eastAsia" w:ascii="宋体" w:hAnsi="宋体" w:eastAsia="宋体" w:cs="宋体"/>
          <w:color w:val="auto"/>
          <w:sz w:val="24"/>
          <w:szCs w:val="24"/>
          <w:u w:val="single"/>
        </w:rPr>
        <w:t xml:space="preserve"> 2024 年度中央广播电视节目无线数字覆盖工程完善提升项目 </w:t>
      </w:r>
      <w:r>
        <w:rPr>
          <w:rFonts w:hint="eastAsia" w:ascii="宋体" w:hAnsi="宋体"/>
          <w:spacing w:val="20"/>
          <w:sz w:val="24"/>
        </w:rPr>
        <w:t xml:space="preserve">                            </w:t>
      </w:r>
    </w:p>
    <w:p w14:paraId="4A95C9F2">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r>
        <w:rPr>
          <w:rFonts w:hint="eastAsia" w:ascii="宋体" w:hAnsi="宋体" w:eastAsia="宋体" w:cs="宋体"/>
          <w:color w:val="auto"/>
          <w:sz w:val="24"/>
          <w:szCs w:val="24"/>
          <w:u w:val="single"/>
        </w:rPr>
        <w:t xml:space="preserve"> QYZFCG2024-004 </w:t>
      </w:r>
      <w:r>
        <w:rPr>
          <w:rFonts w:hint="eastAsia" w:ascii="宋体" w:hAnsi="宋体"/>
          <w:sz w:val="24"/>
          <w:lang w:val="en-GB"/>
        </w:rPr>
        <w:tab/>
      </w:r>
      <w:r>
        <w:rPr>
          <w:rFonts w:hint="eastAsia" w:ascii="宋体" w:hAnsi="宋体"/>
          <w:spacing w:val="20"/>
          <w:sz w:val="24"/>
        </w:rPr>
        <w:t xml:space="preserve">                             </w:t>
      </w:r>
    </w:p>
    <w:tbl>
      <w:tblPr>
        <w:tblStyle w:val="10"/>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338"/>
        <w:gridCol w:w="2245"/>
        <w:gridCol w:w="817"/>
        <w:gridCol w:w="1251"/>
        <w:gridCol w:w="1875"/>
      </w:tblGrid>
      <w:tr w14:paraId="06C3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805" w:type="dxa"/>
            <w:tcBorders>
              <w:top w:val="single" w:color="auto" w:sz="4" w:space="0"/>
              <w:left w:val="single" w:color="auto" w:sz="4" w:space="0"/>
              <w:bottom w:val="single" w:color="auto" w:sz="4" w:space="0"/>
              <w:right w:val="single" w:color="auto" w:sz="4" w:space="0"/>
            </w:tcBorders>
            <w:noWrap w:val="0"/>
            <w:vAlign w:val="center"/>
          </w:tcPr>
          <w:p w14:paraId="6846BB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pacing w:val="20"/>
                <w:sz w:val="24"/>
              </w:rPr>
            </w:pPr>
            <w:r>
              <w:rPr>
                <w:rFonts w:hint="eastAsia" w:ascii="宋体" w:hAnsi="宋体"/>
                <w:spacing w:val="20"/>
                <w:sz w:val="24"/>
              </w:rPr>
              <w:t>中标人名称</w:t>
            </w:r>
          </w:p>
        </w:tc>
        <w:tc>
          <w:tcPr>
            <w:tcW w:w="3583" w:type="dxa"/>
            <w:gridSpan w:val="2"/>
            <w:tcBorders>
              <w:top w:val="single" w:color="auto" w:sz="4" w:space="0"/>
              <w:left w:val="single" w:color="auto" w:sz="4" w:space="0"/>
              <w:bottom w:val="single" w:color="auto" w:sz="4" w:space="0"/>
              <w:right w:val="single" w:color="auto" w:sz="4" w:space="0"/>
            </w:tcBorders>
            <w:noWrap w:val="0"/>
            <w:vAlign w:val="center"/>
          </w:tcPr>
          <w:p w14:paraId="41D22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spacing w:val="20"/>
                <w:sz w:val="24"/>
                <w:lang w:val="en-US" w:eastAsia="zh-CN"/>
              </w:rPr>
            </w:pPr>
            <w:r>
              <w:rPr>
                <w:rFonts w:hint="default" w:ascii="宋体" w:hAnsi="宋体" w:eastAsia="宋体"/>
                <w:spacing w:val="20"/>
                <w:sz w:val="24"/>
                <w:lang w:val="en-US" w:eastAsia="zh-CN"/>
              </w:rPr>
              <w:t>庆元华数广电网络有限公司</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17248F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20"/>
                <w:sz w:val="24"/>
              </w:rPr>
            </w:pPr>
            <w:r>
              <w:rPr>
                <w:rFonts w:hint="eastAsia" w:ascii="宋体" w:hAnsi="宋体"/>
                <w:spacing w:val="20"/>
                <w:sz w:val="24"/>
              </w:rPr>
              <w:t>法定代表人</w:t>
            </w:r>
          </w:p>
          <w:p w14:paraId="6A0CC8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pacing w:val="20"/>
                <w:sz w:val="24"/>
              </w:rPr>
            </w:pPr>
            <w:r>
              <w:rPr>
                <w:rFonts w:hint="eastAsia" w:ascii="宋体" w:hAnsi="宋体"/>
                <w:spacing w:val="20"/>
                <w:sz w:val="24"/>
              </w:rPr>
              <w:t>（负责人）</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83D47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spacing w:val="20"/>
                <w:sz w:val="24"/>
                <w:lang w:val="en-US" w:eastAsia="zh-CN"/>
              </w:rPr>
            </w:pPr>
            <w:r>
              <w:rPr>
                <w:rFonts w:hint="eastAsia" w:ascii="宋体" w:hAnsi="宋体"/>
                <w:spacing w:val="20"/>
                <w:sz w:val="24"/>
                <w:lang w:val="en-US" w:eastAsia="zh-CN"/>
              </w:rPr>
              <w:t>林云</w:t>
            </w:r>
          </w:p>
        </w:tc>
      </w:tr>
      <w:tr w14:paraId="7FD7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05" w:type="dxa"/>
            <w:tcBorders>
              <w:top w:val="single" w:color="auto" w:sz="4" w:space="0"/>
              <w:left w:val="single" w:color="auto" w:sz="4" w:space="0"/>
              <w:bottom w:val="single" w:color="auto" w:sz="4" w:space="0"/>
              <w:right w:val="single" w:color="auto" w:sz="4" w:space="0"/>
            </w:tcBorders>
            <w:noWrap w:val="0"/>
            <w:vAlign w:val="center"/>
          </w:tcPr>
          <w:p w14:paraId="537285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20"/>
                <w:sz w:val="24"/>
              </w:rPr>
            </w:pPr>
            <w:r>
              <w:rPr>
                <w:rFonts w:hint="eastAsia" w:ascii="宋体" w:hAnsi="宋体" w:eastAsia="宋体" w:cs="Times New Roman"/>
                <w:spacing w:val="20"/>
                <w:sz w:val="24"/>
              </w:rPr>
              <w:t>中标人地址</w:t>
            </w:r>
          </w:p>
        </w:tc>
        <w:tc>
          <w:tcPr>
            <w:tcW w:w="7526" w:type="dxa"/>
            <w:gridSpan w:val="5"/>
            <w:tcBorders>
              <w:top w:val="single" w:color="auto" w:sz="4" w:space="0"/>
              <w:left w:val="single" w:color="auto" w:sz="4" w:space="0"/>
              <w:bottom w:val="single" w:color="auto" w:sz="4" w:space="0"/>
              <w:right w:val="single" w:color="auto" w:sz="4" w:space="0"/>
            </w:tcBorders>
            <w:noWrap w:val="0"/>
            <w:vAlign w:val="center"/>
          </w:tcPr>
          <w:p w14:paraId="44A299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spacing w:val="20"/>
                <w:sz w:val="24"/>
              </w:rPr>
            </w:pPr>
            <w:r>
              <w:rPr>
                <w:rFonts w:hint="eastAsia" w:ascii="宋体" w:hAnsi="宋体" w:eastAsia="宋体" w:cs="Times New Roman"/>
                <w:spacing w:val="20"/>
                <w:sz w:val="24"/>
              </w:rPr>
              <w:t xml:space="preserve">浙江省丽水市庆元县屏都街道屏都综合新区金山大道生物科技产业园商业中心2层 210-1 室  </w:t>
            </w:r>
          </w:p>
        </w:tc>
      </w:tr>
      <w:tr w14:paraId="6995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31" w:type="dxa"/>
            <w:gridSpan w:val="6"/>
            <w:tcBorders>
              <w:top w:val="single" w:color="auto" w:sz="4" w:space="0"/>
              <w:left w:val="single" w:color="auto" w:sz="4" w:space="0"/>
              <w:bottom w:val="single" w:color="auto" w:sz="4" w:space="0"/>
              <w:right w:val="single" w:color="auto" w:sz="4" w:space="0"/>
            </w:tcBorders>
            <w:noWrap w:val="0"/>
            <w:vAlign w:val="center"/>
          </w:tcPr>
          <w:p w14:paraId="39DD17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pacing w:val="20"/>
                <w:sz w:val="24"/>
              </w:rPr>
            </w:pPr>
            <w:r>
              <w:rPr>
                <w:rFonts w:hint="eastAsia" w:ascii="宋体" w:hAnsi="宋体" w:eastAsia="宋体" w:cs="Times New Roman"/>
                <w:spacing w:val="20"/>
                <w:sz w:val="24"/>
              </w:rPr>
              <w:t>中</w:t>
            </w:r>
            <w:r>
              <w:rPr>
                <w:rFonts w:hint="eastAsia" w:ascii="宋体" w:hAnsi="宋体" w:eastAsia="宋体" w:cs="Times New Roman"/>
                <w:spacing w:val="20"/>
                <w:sz w:val="24"/>
                <w:lang w:val="en-US" w:eastAsia="zh-CN"/>
              </w:rPr>
              <w:t xml:space="preserve"> </w:t>
            </w:r>
            <w:r>
              <w:rPr>
                <w:rFonts w:hint="eastAsia" w:ascii="宋体" w:hAnsi="宋体" w:eastAsia="宋体" w:cs="Times New Roman"/>
                <w:spacing w:val="20"/>
                <w:sz w:val="24"/>
              </w:rPr>
              <w:t>标</w:t>
            </w:r>
            <w:r>
              <w:rPr>
                <w:rFonts w:hint="eastAsia" w:ascii="宋体" w:hAnsi="宋体" w:eastAsia="宋体" w:cs="Times New Roman"/>
                <w:spacing w:val="20"/>
                <w:sz w:val="24"/>
                <w:lang w:val="en-US" w:eastAsia="zh-CN"/>
              </w:rPr>
              <w:t xml:space="preserve"> </w:t>
            </w:r>
            <w:r>
              <w:rPr>
                <w:rFonts w:hint="eastAsia" w:ascii="宋体" w:hAnsi="宋体" w:eastAsia="宋体" w:cs="Times New Roman"/>
                <w:spacing w:val="20"/>
                <w:sz w:val="24"/>
              </w:rPr>
              <w:t>标</w:t>
            </w:r>
            <w:r>
              <w:rPr>
                <w:rFonts w:hint="eastAsia" w:ascii="宋体" w:hAnsi="宋体" w:eastAsia="宋体" w:cs="Times New Roman"/>
                <w:spacing w:val="20"/>
                <w:sz w:val="24"/>
                <w:lang w:val="en-US" w:eastAsia="zh-CN"/>
              </w:rPr>
              <w:t xml:space="preserve"> </w:t>
            </w:r>
            <w:r>
              <w:rPr>
                <w:rFonts w:hint="eastAsia" w:ascii="宋体" w:hAnsi="宋体" w:eastAsia="宋体" w:cs="Times New Roman"/>
                <w:spacing w:val="20"/>
                <w:sz w:val="24"/>
              </w:rPr>
              <w:t>的</w:t>
            </w:r>
          </w:p>
        </w:tc>
      </w:tr>
      <w:tr w14:paraId="5E5B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05" w:type="dxa"/>
            <w:tcBorders>
              <w:top w:val="single" w:color="auto" w:sz="4" w:space="0"/>
              <w:left w:val="single" w:color="auto" w:sz="4" w:space="0"/>
              <w:bottom w:val="single" w:color="auto" w:sz="4" w:space="0"/>
              <w:right w:val="single" w:color="auto" w:sz="4" w:space="0"/>
            </w:tcBorders>
            <w:noWrap w:val="0"/>
            <w:vAlign w:val="center"/>
          </w:tcPr>
          <w:p w14:paraId="2B968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spacing w:val="20"/>
                <w:sz w:val="24"/>
              </w:rPr>
            </w:pPr>
            <w:r>
              <w:rPr>
                <w:rFonts w:hint="eastAsia" w:ascii="宋体" w:hAnsi="宋体"/>
                <w:color w:val="000000"/>
                <w:spacing w:val="20"/>
                <w:sz w:val="24"/>
              </w:rPr>
              <w:t>名</w:t>
            </w:r>
            <w:r>
              <w:rPr>
                <w:rFonts w:hint="eastAsia" w:ascii="宋体" w:hAnsi="宋体"/>
                <w:color w:val="000000"/>
                <w:spacing w:val="20"/>
                <w:sz w:val="24"/>
                <w:lang w:val="en-US" w:eastAsia="zh-CN"/>
              </w:rPr>
              <w:t xml:space="preserve"> </w:t>
            </w:r>
            <w:r>
              <w:rPr>
                <w:rFonts w:hint="eastAsia" w:ascii="宋体" w:hAnsi="宋体"/>
                <w:color w:val="000000"/>
                <w:spacing w:val="20"/>
                <w:sz w:val="24"/>
              </w:rPr>
              <w:t>称</w:t>
            </w:r>
          </w:p>
        </w:tc>
        <w:tc>
          <w:tcPr>
            <w:tcW w:w="3583" w:type="dxa"/>
            <w:gridSpan w:val="2"/>
            <w:tcBorders>
              <w:top w:val="single" w:color="auto" w:sz="4" w:space="0"/>
              <w:left w:val="single" w:color="auto" w:sz="4" w:space="0"/>
              <w:bottom w:val="single" w:color="auto" w:sz="4" w:space="0"/>
              <w:right w:val="single" w:color="auto" w:sz="4" w:space="0"/>
            </w:tcBorders>
            <w:noWrap w:val="0"/>
            <w:vAlign w:val="center"/>
          </w:tcPr>
          <w:p w14:paraId="44D8F6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000000"/>
                <w:spacing w:val="20"/>
                <w:sz w:val="24"/>
              </w:rPr>
            </w:pPr>
            <w:r>
              <w:rPr>
                <w:rFonts w:hint="eastAsia" w:ascii="宋体" w:hAnsi="宋体"/>
                <w:color w:val="000000"/>
                <w:spacing w:val="20"/>
                <w:sz w:val="24"/>
              </w:rPr>
              <w:t>内</w:t>
            </w:r>
            <w:r>
              <w:rPr>
                <w:rFonts w:hint="eastAsia" w:ascii="宋体" w:hAnsi="宋体"/>
                <w:color w:val="000000"/>
                <w:spacing w:val="20"/>
                <w:sz w:val="24"/>
                <w:lang w:val="en-US" w:eastAsia="zh-CN"/>
              </w:rPr>
              <w:t xml:space="preserve"> </w:t>
            </w:r>
            <w:r>
              <w:rPr>
                <w:rFonts w:hint="eastAsia" w:ascii="宋体" w:hAnsi="宋体"/>
                <w:color w:val="000000"/>
                <w:spacing w:val="20"/>
                <w:sz w:val="24"/>
              </w:rPr>
              <w:t>容</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97DE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olor w:val="000000"/>
                <w:spacing w:val="20"/>
                <w:sz w:val="24"/>
                <w:lang w:val="en-US" w:eastAsia="zh-CN"/>
              </w:rPr>
            </w:pPr>
            <w:r>
              <w:rPr>
                <w:rFonts w:hint="eastAsia" w:ascii="宋体" w:hAnsi="宋体" w:eastAsia="宋体"/>
                <w:color w:val="000000"/>
                <w:spacing w:val="20"/>
                <w:sz w:val="24"/>
                <w:lang w:val="en-US" w:eastAsia="zh-CN"/>
              </w:rPr>
              <w:t>数量</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714137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olor w:val="000000"/>
                <w:spacing w:val="20"/>
                <w:sz w:val="24"/>
                <w:lang w:val="en-US" w:eastAsia="zh-CN"/>
              </w:rPr>
            </w:pPr>
            <w:r>
              <w:rPr>
                <w:rFonts w:hint="eastAsia" w:ascii="宋体" w:hAnsi="宋体" w:eastAsia="宋体"/>
                <w:color w:val="000000"/>
                <w:spacing w:val="20"/>
                <w:sz w:val="24"/>
                <w:lang w:val="en-US" w:eastAsia="zh-CN"/>
              </w:rPr>
              <w:t>单价</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844BB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olor w:val="000000"/>
                <w:spacing w:val="20"/>
                <w:sz w:val="24"/>
                <w:lang w:eastAsia="zh-CN"/>
              </w:rPr>
            </w:pPr>
            <w:r>
              <w:rPr>
                <w:rFonts w:hint="eastAsia" w:ascii="宋体" w:hAnsi="宋体"/>
                <w:color w:val="000000"/>
                <w:spacing w:val="20"/>
                <w:sz w:val="24"/>
                <w:lang w:eastAsia="zh-CN"/>
              </w:rPr>
              <w:t>备注</w:t>
            </w:r>
          </w:p>
        </w:tc>
      </w:tr>
      <w:tr w14:paraId="6C24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64BE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铁塔维护清理</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023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华数</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10A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CCA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6911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25CC549">
            <w:pPr>
              <w:spacing w:line="360" w:lineRule="auto"/>
              <w:jc w:val="center"/>
              <w:rPr>
                <w:rFonts w:ascii="宋体" w:hAnsi="宋体"/>
                <w:spacing w:val="20"/>
                <w:sz w:val="24"/>
              </w:rPr>
            </w:pPr>
          </w:p>
        </w:tc>
      </w:tr>
      <w:tr w14:paraId="4470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B557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铁塔维护</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1EA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华数</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6D31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3927D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571C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14300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6365002">
            <w:pPr>
              <w:spacing w:line="360" w:lineRule="auto"/>
              <w:jc w:val="center"/>
              <w:rPr>
                <w:rFonts w:ascii="宋体" w:hAnsi="宋体"/>
                <w:spacing w:val="20"/>
                <w:sz w:val="24"/>
              </w:rPr>
            </w:pPr>
          </w:p>
        </w:tc>
      </w:tr>
      <w:tr w14:paraId="3490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875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铁塔检测</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B61A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中塔建设</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D2D1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D52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B2B9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9800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B0A27AC">
            <w:pPr>
              <w:spacing w:line="360" w:lineRule="auto"/>
              <w:jc w:val="center"/>
              <w:rPr>
                <w:rFonts w:ascii="宋体" w:hAnsi="宋体"/>
                <w:spacing w:val="20"/>
                <w:sz w:val="24"/>
              </w:rPr>
            </w:pPr>
          </w:p>
        </w:tc>
      </w:tr>
      <w:tr w14:paraId="70B4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A9F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杆塔倾斜在线监测装置</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C3AA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成越</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0533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CY-GTQX</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B4F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037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13500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A0687AB">
            <w:pPr>
              <w:spacing w:line="360" w:lineRule="auto"/>
              <w:jc w:val="center"/>
              <w:rPr>
                <w:rFonts w:ascii="宋体" w:hAnsi="宋体"/>
                <w:spacing w:val="20"/>
                <w:sz w:val="24"/>
              </w:rPr>
            </w:pPr>
          </w:p>
        </w:tc>
      </w:tr>
      <w:tr w14:paraId="17B3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E9D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杆塔倾斜在线监测系统软件</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B8E1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成越</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36E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CY-V1.0</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7714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A0535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98000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54F7BE4">
            <w:pPr>
              <w:spacing w:line="360" w:lineRule="auto"/>
              <w:jc w:val="center"/>
              <w:rPr>
                <w:rFonts w:ascii="宋体" w:hAnsi="宋体"/>
                <w:spacing w:val="20"/>
                <w:sz w:val="24"/>
              </w:rPr>
            </w:pPr>
          </w:p>
        </w:tc>
      </w:tr>
      <w:tr w14:paraId="56CB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27C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监测服务器</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6348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inspur</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6FC9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CS5260H2</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50A42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5A7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5DF1FD94">
            <w:pPr>
              <w:spacing w:line="360" w:lineRule="auto"/>
              <w:jc w:val="center"/>
              <w:rPr>
                <w:rFonts w:ascii="宋体" w:hAnsi="宋体"/>
                <w:spacing w:val="20"/>
                <w:sz w:val="24"/>
              </w:rPr>
            </w:pPr>
          </w:p>
        </w:tc>
      </w:tr>
      <w:tr w14:paraId="7302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B4A7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国产数据库</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5884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海量数据</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CCC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G100</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B7E8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595D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36000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6473304C">
            <w:pPr>
              <w:spacing w:line="360" w:lineRule="auto"/>
              <w:jc w:val="center"/>
              <w:rPr>
                <w:rFonts w:ascii="宋体" w:hAnsi="宋体"/>
                <w:spacing w:val="20"/>
                <w:sz w:val="24"/>
              </w:rPr>
            </w:pPr>
          </w:p>
        </w:tc>
      </w:tr>
      <w:tr w14:paraId="079C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C6D6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国产操作系统</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96D7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银河麒麟</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9837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银河麒麟高级服务器操作系统V10</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BEB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BAB1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6C51D60">
            <w:pPr>
              <w:spacing w:line="360" w:lineRule="auto"/>
              <w:jc w:val="center"/>
              <w:rPr>
                <w:rFonts w:ascii="宋体" w:hAnsi="宋体"/>
                <w:spacing w:val="20"/>
                <w:sz w:val="24"/>
              </w:rPr>
            </w:pPr>
          </w:p>
        </w:tc>
      </w:tr>
      <w:tr w14:paraId="02EA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B7B4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太阳能板改装</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CFE4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华数</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435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C11B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EF659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187B002">
            <w:pPr>
              <w:spacing w:line="360" w:lineRule="auto"/>
              <w:jc w:val="center"/>
              <w:rPr>
                <w:rFonts w:ascii="宋体" w:hAnsi="宋体"/>
                <w:spacing w:val="20"/>
                <w:sz w:val="24"/>
              </w:rPr>
            </w:pPr>
          </w:p>
        </w:tc>
      </w:tr>
      <w:tr w14:paraId="418A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3A9B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太阳能板扩容</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21C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华数</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4E4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55F7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E64E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82B6740">
            <w:pPr>
              <w:spacing w:line="360" w:lineRule="auto"/>
              <w:jc w:val="center"/>
              <w:rPr>
                <w:rFonts w:ascii="宋体" w:hAnsi="宋体"/>
                <w:spacing w:val="20"/>
                <w:sz w:val="24"/>
              </w:rPr>
            </w:pPr>
          </w:p>
        </w:tc>
      </w:tr>
      <w:tr w14:paraId="7513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8F87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太阳能板扩容</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B1C4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华数</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690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8596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BCEC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7F593C1">
            <w:pPr>
              <w:spacing w:line="360" w:lineRule="auto"/>
              <w:jc w:val="center"/>
              <w:rPr>
                <w:rFonts w:ascii="宋体" w:hAnsi="宋体"/>
                <w:spacing w:val="20"/>
                <w:sz w:val="24"/>
              </w:rPr>
            </w:pPr>
          </w:p>
        </w:tc>
      </w:tr>
      <w:tr w14:paraId="6EFA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CADF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直流汇流箱</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35F2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赛光</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AE41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SWCB-5</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4560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17611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11BEA87">
            <w:pPr>
              <w:spacing w:line="360" w:lineRule="auto"/>
              <w:jc w:val="center"/>
              <w:rPr>
                <w:rFonts w:ascii="宋体" w:hAnsi="宋体"/>
                <w:spacing w:val="20"/>
                <w:sz w:val="24"/>
              </w:rPr>
            </w:pPr>
          </w:p>
        </w:tc>
      </w:tr>
      <w:tr w14:paraId="3F9E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0A6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太阳能控制器</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10C5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赛光</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5049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SSCP-48</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D5BE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004D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889C90A">
            <w:pPr>
              <w:spacing w:line="360" w:lineRule="auto"/>
              <w:jc w:val="center"/>
              <w:rPr>
                <w:rFonts w:ascii="宋体" w:hAnsi="宋体"/>
                <w:spacing w:val="20"/>
                <w:sz w:val="24"/>
              </w:rPr>
            </w:pPr>
          </w:p>
        </w:tc>
      </w:tr>
      <w:tr w14:paraId="4723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6BFF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储能单元</w:t>
            </w:r>
          </w:p>
        </w:tc>
        <w:tc>
          <w:tcPr>
            <w:tcW w:w="13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9406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NPP</w:t>
            </w:r>
          </w:p>
        </w:tc>
        <w:tc>
          <w:tcPr>
            <w:tcW w:w="2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C754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NPG12-250Ah</w:t>
            </w:r>
          </w:p>
        </w:tc>
        <w:tc>
          <w:tcPr>
            <w:tcW w:w="8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4E3D9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40162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2650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D487ADC">
            <w:pPr>
              <w:spacing w:line="360" w:lineRule="auto"/>
              <w:jc w:val="center"/>
              <w:rPr>
                <w:rFonts w:ascii="宋体" w:hAnsi="宋体"/>
                <w:spacing w:val="20"/>
                <w:sz w:val="24"/>
              </w:rPr>
            </w:pPr>
          </w:p>
        </w:tc>
      </w:tr>
      <w:tr w14:paraId="4C7B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CEF6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储能柜</w:t>
            </w:r>
          </w:p>
        </w:tc>
        <w:tc>
          <w:tcPr>
            <w:tcW w:w="13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5FE2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华数</w:t>
            </w:r>
          </w:p>
        </w:tc>
        <w:tc>
          <w:tcPr>
            <w:tcW w:w="2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E87D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81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8E97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E3F9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473E91F">
            <w:pPr>
              <w:spacing w:line="360" w:lineRule="auto"/>
              <w:jc w:val="center"/>
              <w:rPr>
                <w:rFonts w:ascii="宋体" w:hAnsi="宋体"/>
                <w:spacing w:val="20"/>
                <w:sz w:val="24"/>
              </w:rPr>
            </w:pPr>
          </w:p>
        </w:tc>
      </w:tr>
      <w:tr w14:paraId="0C06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60205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电源远程控制系统</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9E95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成越</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66E2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定制（S3-F、S3-P25、S3-R485）</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8DFE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5F600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CEACB6A">
            <w:pPr>
              <w:spacing w:line="360" w:lineRule="auto"/>
              <w:jc w:val="center"/>
              <w:rPr>
                <w:rFonts w:ascii="宋体" w:hAnsi="宋体"/>
                <w:spacing w:val="20"/>
                <w:sz w:val="24"/>
              </w:rPr>
            </w:pPr>
          </w:p>
        </w:tc>
      </w:tr>
      <w:tr w14:paraId="26C6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BAE2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电源远程控制系统软件接口模块</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DF0A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卓佑</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1BB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V6.0</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6D889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3380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82C905A">
            <w:pPr>
              <w:spacing w:line="360" w:lineRule="auto"/>
              <w:jc w:val="center"/>
              <w:rPr>
                <w:rFonts w:ascii="宋体" w:hAnsi="宋体"/>
                <w:spacing w:val="20"/>
                <w:sz w:val="24"/>
              </w:rPr>
            </w:pPr>
          </w:p>
        </w:tc>
      </w:tr>
      <w:tr w14:paraId="1230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BE7E1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网络摄像机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A8CB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海康威视</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2A4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DS-2CD2245CV6-I</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87F1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D9F4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EDD4B62">
            <w:pPr>
              <w:spacing w:line="360" w:lineRule="auto"/>
              <w:jc w:val="center"/>
              <w:rPr>
                <w:rFonts w:ascii="宋体" w:hAnsi="宋体"/>
                <w:spacing w:val="20"/>
                <w:sz w:val="24"/>
              </w:rPr>
            </w:pPr>
          </w:p>
        </w:tc>
      </w:tr>
      <w:tr w14:paraId="4369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D74E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支架</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9DC2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海康威视</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93208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DS-1292</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7E0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914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C00FC58">
            <w:pPr>
              <w:spacing w:line="360" w:lineRule="auto"/>
              <w:jc w:val="center"/>
              <w:rPr>
                <w:rFonts w:ascii="宋体" w:hAnsi="宋体"/>
                <w:spacing w:val="20"/>
                <w:sz w:val="24"/>
              </w:rPr>
            </w:pPr>
          </w:p>
        </w:tc>
      </w:tr>
      <w:tr w14:paraId="38BB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DCBC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7118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大华</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54E5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DH-PFM301</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6D9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4BC6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4108EAE">
            <w:pPr>
              <w:spacing w:line="360" w:lineRule="auto"/>
              <w:jc w:val="center"/>
              <w:rPr>
                <w:rFonts w:ascii="宋体" w:hAnsi="宋体"/>
                <w:spacing w:val="20"/>
                <w:sz w:val="24"/>
              </w:rPr>
            </w:pPr>
          </w:p>
        </w:tc>
      </w:tr>
      <w:tr w14:paraId="05C3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C2FC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防雨盒</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7B7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华数</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0B10C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230*150*85</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5D88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0083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7118FAE">
            <w:pPr>
              <w:spacing w:line="360" w:lineRule="auto"/>
              <w:jc w:val="center"/>
              <w:rPr>
                <w:rFonts w:ascii="宋体" w:hAnsi="宋体"/>
                <w:spacing w:val="20"/>
                <w:sz w:val="24"/>
              </w:rPr>
            </w:pPr>
          </w:p>
        </w:tc>
      </w:tr>
      <w:tr w14:paraId="1529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6C4B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直播球</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C6D3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海康威视</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AF63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DS-ZBD402X-YS</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485C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3E3E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6800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85FEF10">
            <w:pPr>
              <w:spacing w:line="360" w:lineRule="auto"/>
              <w:jc w:val="center"/>
              <w:rPr>
                <w:rFonts w:ascii="宋体" w:hAnsi="宋体"/>
                <w:spacing w:val="20"/>
                <w:sz w:val="24"/>
              </w:rPr>
            </w:pPr>
          </w:p>
        </w:tc>
      </w:tr>
      <w:tr w14:paraId="0CF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0CB9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球机支架</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45C6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海康威视</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F6E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DS-1602</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31B6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727B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D3008DC">
            <w:pPr>
              <w:spacing w:line="360" w:lineRule="auto"/>
              <w:jc w:val="center"/>
              <w:rPr>
                <w:rFonts w:ascii="宋体" w:hAnsi="宋体"/>
                <w:spacing w:val="20"/>
                <w:sz w:val="24"/>
              </w:rPr>
            </w:pPr>
          </w:p>
        </w:tc>
      </w:tr>
      <w:tr w14:paraId="1409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DE60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不锈钢箱</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BE64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华数</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F642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300*400*180</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C66A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3054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AFD76DA">
            <w:pPr>
              <w:spacing w:line="360" w:lineRule="auto"/>
              <w:jc w:val="center"/>
              <w:rPr>
                <w:rFonts w:ascii="宋体" w:hAnsi="宋体"/>
                <w:spacing w:val="20"/>
                <w:sz w:val="24"/>
              </w:rPr>
            </w:pPr>
          </w:p>
        </w:tc>
      </w:tr>
      <w:tr w14:paraId="79EE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607CE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二合一避雷器</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5728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万邦</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BF15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WBN-2/220</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F6B0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F424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165</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F607438">
            <w:pPr>
              <w:spacing w:line="360" w:lineRule="auto"/>
              <w:jc w:val="center"/>
              <w:rPr>
                <w:rFonts w:ascii="宋体" w:hAnsi="宋体"/>
                <w:spacing w:val="20"/>
                <w:sz w:val="24"/>
              </w:rPr>
            </w:pPr>
          </w:p>
        </w:tc>
      </w:tr>
      <w:tr w14:paraId="22C9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0E0E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硬盘录像机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DB19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海康威视</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68FF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DS-7608N-I3/ZB</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056D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E60A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6F05C16">
            <w:pPr>
              <w:spacing w:line="360" w:lineRule="auto"/>
              <w:jc w:val="center"/>
              <w:rPr>
                <w:rFonts w:ascii="宋体" w:hAnsi="宋体"/>
                <w:spacing w:val="20"/>
                <w:sz w:val="24"/>
              </w:rPr>
            </w:pPr>
          </w:p>
        </w:tc>
      </w:tr>
      <w:tr w14:paraId="2627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1814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硬盘</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22A0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希捷</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D6F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ST6000vx001</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D4791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54A0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950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B63138A">
            <w:pPr>
              <w:spacing w:line="360" w:lineRule="auto"/>
              <w:jc w:val="center"/>
              <w:rPr>
                <w:rFonts w:ascii="宋体" w:hAnsi="宋体"/>
                <w:spacing w:val="20"/>
                <w:sz w:val="24"/>
              </w:rPr>
            </w:pPr>
          </w:p>
        </w:tc>
      </w:tr>
      <w:tr w14:paraId="072E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272E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硬盘</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CAB4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海康威视</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2D6B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HK726TAH</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E46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5CEC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F3B8280">
            <w:pPr>
              <w:spacing w:line="360" w:lineRule="auto"/>
              <w:jc w:val="center"/>
              <w:rPr>
                <w:rFonts w:ascii="宋体" w:hAnsi="宋体"/>
                <w:spacing w:val="20"/>
                <w:sz w:val="24"/>
              </w:rPr>
            </w:pPr>
          </w:p>
        </w:tc>
      </w:tr>
      <w:tr w14:paraId="1BFF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0488D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网线</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AE8B8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爱普华顿</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9E7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AP-6-01F</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75A8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B734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179CF3F">
            <w:pPr>
              <w:spacing w:line="360" w:lineRule="auto"/>
              <w:jc w:val="center"/>
              <w:rPr>
                <w:rFonts w:ascii="宋体" w:hAnsi="宋体"/>
                <w:spacing w:val="20"/>
                <w:sz w:val="24"/>
              </w:rPr>
            </w:pPr>
          </w:p>
        </w:tc>
      </w:tr>
      <w:tr w14:paraId="13A2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245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电缆线</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A4BD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海棠</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B0FF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RVV2*1.0</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67B98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5A5A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4FF35AF">
            <w:pPr>
              <w:spacing w:line="360" w:lineRule="auto"/>
              <w:jc w:val="center"/>
              <w:rPr>
                <w:rFonts w:ascii="宋体" w:hAnsi="宋体"/>
                <w:spacing w:val="20"/>
                <w:sz w:val="24"/>
              </w:rPr>
            </w:pPr>
          </w:p>
        </w:tc>
      </w:tr>
      <w:tr w14:paraId="012B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5E8C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PVC线管</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AEE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中财</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76EF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ɸ20</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5642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0E88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CC3BE81">
            <w:pPr>
              <w:spacing w:line="360" w:lineRule="auto"/>
              <w:jc w:val="center"/>
              <w:rPr>
                <w:rFonts w:ascii="宋体" w:hAnsi="宋体"/>
                <w:spacing w:val="20"/>
                <w:sz w:val="24"/>
              </w:rPr>
            </w:pPr>
          </w:p>
        </w:tc>
      </w:tr>
      <w:tr w14:paraId="0A8F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357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16路硬盘录像机</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46F4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海康威视</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62BD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DS-7616N-E1-V3</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81F14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A61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650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30F05AA1">
            <w:pPr>
              <w:spacing w:line="360" w:lineRule="auto"/>
              <w:jc w:val="center"/>
              <w:rPr>
                <w:rFonts w:ascii="宋体" w:hAnsi="宋体"/>
                <w:spacing w:val="20"/>
                <w:sz w:val="24"/>
              </w:rPr>
            </w:pPr>
          </w:p>
        </w:tc>
      </w:tr>
      <w:tr w14:paraId="0F24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C01D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网桥</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5903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冠航</w:t>
            </w:r>
          </w:p>
        </w:tc>
        <w:tc>
          <w:tcPr>
            <w:tcW w:w="2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08A4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IOTNB-QGL900</w:t>
            </w:r>
          </w:p>
        </w:tc>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5320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EDBF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02C2A75E">
            <w:pPr>
              <w:spacing w:line="360" w:lineRule="auto"/>
              <w:jc w:val="center"/>
              <w:rPr>
                <w:rFonts w:ascii="宋体" w:hAnsi="宋体"/>
                <w:spacing w:val="20"/>
                <w:sz w:val="24"/>
              </w:rPr>
            </w:pPr>
          </w:p>
        </w:tc>
      </w:tr>
      <w:tr w14:paraId="3736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331" w:type="dxa"/>
            <w:gridSpan w:val="6"/>
            <w:tcBorders>
              <w:top w:val="single" w:color="auto" w:sz="4" w:space="0"/>
              <w:left w:val="single" w:color="auto" w:sz="4" w:space="0"/>
              <w:bottom w:val="single" w:color="auto" w:sz="4" w:space="0"/>
              <w:right w:val="single" w:color="auto" w:sz="4" w:space="0"/>
            </w:tcBorders>
            <w:noWrap w:val="0"/>
            <w:vAlign w:val="top"/>
          </w:tcPr>
          <w:p w14:paraId="71F51BF7">
            <w:pPr>
              <w:spacing w:line="360" w:lineRule="auto"/>
              <w:rPr>
                <w:rFonts w:hint="eastAsia" w:ascii="宋体" w:hAnsi="宋体"/>
                <w:spacing w:val="20"/>
                <w:sz w:val="24"/>
              </w:rPr>
            </w:pPr>
            <w:r>
              <w:rPr>
                <w:rFonts w:hint="eastAsia" w:ascii="宋体" w:hAnsi="宋体"/>
                <w:spacing w:val="20"/>
                <w:sz w:val="24"/>
              </w:rPr>
              <w:t>服务要求：</w:t>
            </w:r>
          </w:p>
          <w:p w14:paraId="19838A07">
            <w:pPr>
              <w:autoSpaceDE w:val="0"/>
              <w:autoSpaceDN w:val="0"/>
              <w:spacing w:line="440" w:lineRule="exact"/>
              <w:ind w:firstLine="241" w:firstLineChars="100"/>
              <w:jc w:val="left"/>
              <w:rPr>
                <w:rFonts w:hint="eastAsia" w:ascii="仿宋_GB2312" w:hAnsi="仿宋_GB2312" w:eastAsia="仿宋_GB2312" w:cs="仿宋_GB2312"/>
                <w:b/>
                <w:sz w:val="24"/>
              </w:rPr>
            </w:pPr>
            <w:r>
              <w:rPr>
                <w:rFonts w:hint="eastAsia" w:ascii="仿宋_GB2312" w:hAnsi="仿宋_GB2312" w:eastAsia="仿宋_GB2312" w:cs="仿宋_GB2312"/>
                <w:b/>
                <w:sz w:val="24"/>
              </w:rPr>
              <w:t>1、采购设备的总体要求：</w:t>
            </w:r>
          </w:p>
          <w:p w14:paraId="48E027EC">
            <w:pPr>
              <w:spacing w:line="4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sz w:val="24"/>
              </w:rPr>
              <w:t>1）必须符合招标文件(包括补充更正，如有)的技术要求和配置；必须是国内相应制造厂商生产并提供的原装合格产品；必须</w:t>
            </w:r>
            <w:r>
              <w:rPr>
                <w:rFonts w:hint="eastAsia" w:ascii="仿宋_GB2312" w:hAnsi="仿宋_GB2312" w:eastAsia="仿宋_GB2312" w:cs="仿宋_GB2312"/>
                <w:color w:val="000000"/>
                <w:sz w:val="24"/>
              </w:rPr>
              <w:t>是2024年1月1日以后生产的、符合国家质量技术标准的设备。</w:t>
            </w:r>
          </w:p>
          <w:p w14:paraId="7849A5E6">
            <w:pPr>
              <w:autoSpaceDE w:val="0"/>
              <w:spacing w:line="44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2）售后服务按国家市场监督管理总局和国家其他有关规定执行，国家没有规定的按厂商规定执行。国家规定标准低于厂商标准的按厂商标准执行。</w:t>
            </w:r>
          </w:p>
          <w:p w14:paraId="6463954E">
            <w:pPr>
              <w:autoSpaceDE w:val="0"/>
              <w:autoSpaceDN w:val="0"/>
              <w:snapToGrid w:val="0"/>
              <w:spacing w:line="440" w:lineRule="exact"/>
              <w:ind w:firstLine="354" w:firstLineChars="147"/>
              <w:textAlignment w:val="bottom"/>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2、售后服务</w:t>
            </w:r>
          </w:p>
          <w:p w14:paraId="73150C5B">
            <w:pPr>
              <w:autoSpaceDE w:val="0"/>
              <w:spacing w:line="44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1）本项目设备提供</w:t>
            </w:r>
            <w:r>
              <w:rPr>
                <w:rFonts w:hint="eastAsia" w:ascii="仿宋_GB2312" w:hAnsi="仿宋_GB2312" w:eastAsia="仿宋_GB2312" w:cs="仿宋_GB2312"/>
                <w:b/>
                <w:color w:val="000000"/>
                <w:sz w:val="24"/>
              </w:rPr>
              <w:t>1</w:t>
            </w:r>
            <w:r>
              <w:rPr>
                <w:rFonts w:hint="eastAsia" w:ascii="仿宋_GB2312" w:hAnsi="仿宋_GB2312" w:eastAsia="仿宋_GB2312" w:cs="仿宋_GB2312"/>
                <w:color w:val="000000"/>
                <w:sz w:val="24"/>
              </w:rPr>
              <w:t>年的质保期，若设备原厂商提供更长质保期，则按最长的质保期执行，质保期从验收合格交付使用之日起算；质保期内因不能排除的故障而影响工作的情况每发生一次，其质保期相应延长</w:t>
            </w:r>
            <w:r>
              <w:rPr>
                <w:rFonts w:hint="eastAsia" w:ascii="仿宋_GB2312" w:hAnsi="仿宋_GB2312" w:eastAsia="仿宋_GB2312" w:cs="仿宋_GB2312"/>
                <w:b/>
                <w:color w:val="000000"/>
                <w:sz w:val="24"/>
              </w:rPr>
              <w:t>90</w:t>
            </w:r>
            <w:r>
              <w:rPr>
                <w:rFonts w:hint="eastAsia" w:ascii="仿宋_GB2312" w:hAnsi="仿宋_GB2312" w:eastAsia="仿宋_GB2312" w:cs="仿宋_GB2312"/>
                <w:color w:val="000000"/>
                <w:sz w:val="24"/>
              </w:rPr>
              <w:t>天，质保期内因设备本身缺陷造成各种故障应由卖方免费技术服务和维修。</w:t>
            </w:r>
          </w:p>
          <w:p w14:paraId="089C9951">
            <w:pPr>
              <w:autoSpaceDE w:val="0"/>
              <w:spacing w:line="44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2）在设备（或系统）整个使用期内，中标供应商应确保正常使用，在接到采购单位维修要求后在</w:t>
            </w:r>
            <w:r>
              <w:rPr>
                <w:rFonts w:hint="eastAsia" w:ascii="仿宋_GB2312" w:hAnsi="仿宋_GB2312" w:eastAsia="仿宋_GB2312" w:cs="仿宋_GB2312"/>
                <w:b/>
                <w:color w:val="000000"/>
                <w:sz w:val="24"/>
              </w:rPr>
              <w:t>0.5</w:t>
            </w:r>
            <w:r>
              <w:rPr>
                <w:rFonts w:hint="eastAsia" w:ascii="仿宋_GB2312" w:hAnsi="仿宋_GB2312" w:eastAsia="仿宋_GB2312" w:cs="仿宋_GB2312"/>
                <w:color w:val="000000"/>
                <w:sz w:val="24"/>
              </w:rPr>
              <w:t>小时内响应并提出解决方案，</w:t>
            </w:r>
            <w:r>
              <w:rPr>
                <w:rFonts w:hint="eastAsia" w:ascii="仿宋_GB2312" w:hAnsi="仿宋_GB2312" w:eastAsia="仿宋_GB2312" w:cs="仿宋_GB2312"/>
                <w:b/>
                <w:color w:val="000000"/>
                <w:sz w:val="24"/>
              </w:rPr>
              <w:t>2小</w:t>
            </w:r>
            <w:r>
              <w:rPr>
                <w:rFonts w:hint="eastAsia" w:ascii="仿宋_GB2312" w:hAnsi="仿宋_GB2312" w:eastAsia="仿宋_GB2312" w:cs="仿宋_GB2312"/>
                <w:color w:val="000000"/>
                <w:sz w:val="24"/>
              </w:rPr>
              <w:t>时内到达现场对故障进行处理，维修过程中所需材料中标供应商在接到通知后应及时提供，最长不超过24小时必须送达采购单位。若24小时内无法修复的，应48小时内提供相应备用设备并负责安装调试，为此，投标供应商应提供相应承诺书。</w:t>
            </w:r>
          </w:p>
          <w:p w14:paraId="5402543F">
            <w:pPr>
              <w:autoSpaceDE w:val="0"/>
              <w:spacing w:line="44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3）在质保期内，中标供应商应负责对其提供的设备进行现场维修、损坏件更换，不收取额外费用，响应时间必须满足采购人工作正常运行的要求。</w:t>
            </w:r>
          </w:p>
          <w:p w14:paraId="31F5204F">
            <w:pPr>
              <w:autoSpaceDE w:val="0"/>
              <w:spacing w:line="44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4）供应商在投标文件中须说明保修期内提供的服务计划。</w:t>
            </w:r>
          </w:p>
          <w:p w14:paraId="18F8B63E">
            <w:pPr>
              <w:autoSpaceDE w:val="0"/>
              <w:autoSpaceDN w:val="0"/>
              <w:snapToGrid w:val="0"/>
              <w:spacing w:line="440" w:lineRule="exact"/>
              <w:ind w:left="-181" w:leftChars="-86" w:right="-178" w:rightChars="-85" w:firstLine="482" w:firstLineChars="200"/>
              <w:textAlignment w:val="bottom"/>
              <w:rPr>
                <w:rFonts w:hint="eastAsia" w:ascii="仿宋_GB2312" w:hAnsi="仿宋_GB2312" w:eastAsia="仿宋_GB2312" w:cs="仿宋_GB2312"/>
                <w:b/>
                <w:bCs/>
                <w:sz w:val="24"/>
              </w:rPr>
            </w:pPr>
            <w:r>
              <w:rPr>
                <w:rFonts w:hint="eastAsia" w:ascii="仿宋_GB2312" w:hAnsi="仿宋_GB2312" w:eastAsia="仿宋_GB2312" w:cs="仿宋_GB2312"/>
                <w:b/>
                <w:color w:val="000000"/>
                <w:sz w:val="24"/>
              </w:rPr>
              <w:t>3、</w:t>
            </w:r>
            <w:r>
              <w:rPr>
                <w:rFonts w:hint="eastAsia" w:ascii="仿宋_GB2312" w:hAnsi="仿宋_GB2312" w:eastAsia="仿宋_GB2312" w:cs="仿宋_GB2312"/>
                <w:b/>
                <w:bCs/>
                <w:color w:val="000000"/>
                <w:sz w:val="24"/>
              </w:rPr>
              <w:t>交货期限、地点及方式</w:t>
            </w:r>
          </w:p>
          <w:p w14:paraId="1B5FB02B">
            <w:pPr>
              <w:autoSpaceDE w:val="0"/>
              <w:spacing w:line="44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交付期限：中标人在收到采购人书面通知设备进场后120天内完成系统安装、集成、调试、培训等工作</w:t>
            </w:r>
            <w:r>
              <w:rPr>
                <w:rFonts w:hint="eastAsia" w:ascii="仿宋_GB2312" w:hAnsi="仿宋_GB2312" w:eastAsia="仿宋_GB2312" w:cs="仿宋_GB2312"/>
                <w:color w:val="000000"/>
                <w:sz w:val="24"/>
              </w:rPr>
              <w:t>。</w:t>
            </w:r>
          </w:p>
          <w:p w14:paraId="55578ABB">
            <w:pPr>
              <w:autoSpaceDE w:val="0"/>
              <w:spacing w:line="44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交付地点：采购单位指定。</w:t>
            </w:r>
          </w:p>
          <w:p w14:paraId="38FB0C66">
            <w:pPr>
              <w:autoSpaceDE w:val="0"/>
              <w:spacing w:line="44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交付方式：中标方提供中标货物的安装、培训和技术指导。</w:t>
            </w:r>
          </w:p>
          <w:p w14:paraId="59C49B80">
            <w:pPr>
              <w:autoSpaceDE w:val="0"/>
              <w:autoSpaceDN w:val="0"/>
              <w:snapToGrid w:val="0"/>
              <w:spacing w:line="440" w:lineRule="exact"/>
              <w:ind w:left="-181" w:leftChars="-86" w:right="-178" w:rightChars="-85" w:firstLine="482" w:firstLineChars="200"/>
              <w:textAlignment w:val="bottom"/>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4、培训</w:t>
            </w:r>
          </w:p>
          <w:p w14:paraId="2974BC6C">
            <w:pPr>
              <w:autoSpaceDE w:val="0"/>
              <w:autoSpaceDN w:val="0"/>
              <w:snapToGrid w:val="0"/>
              <w:spacing w:line="440" w:lineRule="exact"/>
              <w:ind w:firstLine="480" w:firstLineChars="200"/>
              <w:textAlignment w:val="bottom"/>
              <w:rPr>
                <w:rFonts w:hint="eastAsia" w:ascii="仿宋_GB2312" w:hAnsi="仿宋_GB2312" w:eastAsia="仿宋_GB2312" w:cs="仿宋_GB2312"/>
                <w:sz w:val="24"/>
              </w:rPr>
            </w:pPr>
            <w:r>
              <w:rPr>
                <w:rFonts w:hint="eastAsia" w:ascii="仿宋_GB2312" w:hAnsi="仿宋_GB2312" w:eastAsia="仿宋_GB2312" w:cs="仿宋_GB2312"/>
                <w:snapToGrid w:val="0"/>
                <w:kern w:val="0"/>
                <w:sz w:val="24"/>
              </w:rPr>
              <w:t>投标人应提供相应的培训计划，详细说明培训的方式、地点、人数、</w:t>
            </w:r>
            <w:r>
              <w:rPr>
                <w:rFonts w:hint="eastAsia" w:ascii="仿宋_GB2312" w:hAnsi="仿宋_GB2312" w:eastAsia="仿宋_GB2312" w:cs="仿宋_GB2312"/>
                <w:sz w:val="24"/>
              </w:rPr>
              <w:t>时间等实质性内容。</w:t>
            </w:r>
          </w:p>
          <w:p w14:paraId="039B8DA0">
            <w:pPr>
              <w:autoSpaceDE w:val="0"/>
              <w:autoSpaceDN w:val="0"/>
              <w:snapToGrid w:val="0"/>
              <w:spacing w:line="440" w:lineRule="exact"/>
              <w:ind w:left="-181" w:leftChars="-86" w:right="-178" w:rightChars="-85" w:firstLine="482" w:firstLineChars="200"/>
              <w:textAlignment w:val="bottom"/>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5、付款方式、时间和条件</w:t>
            </w:r>
          </w:p>
          <w:p w14:paraId="0032C440">
            <w:pPr>
              <w:autoSpaceDE w:val="0"/>
              <w:autoSpaceDN w:val="0"/>
              <w:snapToGrid w:val="0"/>
              <w:spacing w:line="440" w:lineRule="exact"/>
              <w:ind w:firstLine="480" w:firstLineChars="200"/>
              <w:textAlignment w:val="bottom"/>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kern w:val="0"/>
                <w:sz w:val="24"/>
              </w:rPr>
              <w:t>1）采购合同签订生效并具备实施条件后7个工作日，采购单位向成交供应商支付合同总价的40%预付款</w:t>
            </w:r>
            <w:r>
              <w:rPr>
                <w:rFonts w:hint="eastAsia" w:ascii="仿宋_GB2312" w:hAnsi="仿宋_GB2312" w:eastAsia="仿宋_GB2312" w:cs="仿宋_GB2312"/>
                <w:snapToGrid w:val="0"/>
                <w:color w:val="000000"/>
                <w:kern w:val="0"/>
                <w:sz w:val="24"/>
              </w:rPr>
              <w:t>；</w:t>
            </w:r>
          </w:p>
          <w:p w14:paraId="2266F4DE">
            <w:pPr>
              <w:autoSpaceDE w:val="0"/>
              <w:autoSpaceDN w:val="0"/>
              <w:snapToGrid w:val="0"/>
              <w:spacing w:line="440" w:lineRule="exact"/>
              <w:ind w:firstLine="480" w:firstLineChars="200"/>
              <w:textAlignment w:val="bottom"/>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color w:val="000000"/>
                <w:kern w:val="0"/>
                <w:sz w:val="24"/>
              </w:rPr>
              <w:t>2）当本项目完成最终验收合格通过后，采购单位向成交供应商支付至合</w:t>
            </w:r>
            <w:r>
              <w:rPr>
                <w:rFonts w:hint="eastAsia" w:ascii="仿宋_GB2312" w:hAnsi="仿宋_GB2312" w:eastAsia="仿宋_GB2312" w:cs="仿宋_GB2312"/>
                <w:snapToGrid w:val="0"/>
                <w:kern w:val="0"/>
                <w:sz w:val="24"/>
              </w:rPr>
              <w:t>同总价的60%。</w:t>
            </w:r>
          </w:p>
          <w:p w14:paraId="5722E50B">
            <w:pPr>
              <w:widowControl/>
              <w:autoSpaceDE w:val="0"/>
              <w:autoSpaceDN w:val="0"/>
              <w:spacing w:line="440" w:lineRule="exact"/>
              <w:ind w:firstLine="482" w:firstLineChars="200"/>
              <w:textAlignment w:val="bottom"/>
              <w:rPr>
                <w:rFonts w:hint="eastAsia" w:ascii="仿宋_GB2312" w:hAnsi="仿宋_GB2312" w:eastAsia="仿宋_GB2312" w:cs="仿宋_GB2312"/>
                <w:b/>
                <w:sz w:val="24"/>
              </w:rPr>
            </w:pPr>
            <w:r>
              <w:rPr>
                <w:rFonts w:hint="eastAsia" w:ascii="仿宋_GB2312" w:hAnsi="仿宋_GB2312" w:eastAsia="仿宋_GB2312" w:cs="仿宋_GB2312"/>
                <w:b/>
                <w:sz w:val="24"/>
              </w:rPr>
              <w:t>6、验收</w:t>
            </w:r>
          </w:p>
          <w:p w14:paraId="13B6B0FE">
            <w:pPr>
              <w:widowControl/>
              <w:autoSpaceDE w:val="0"/>
              <w:autoSpaceDN w:val="0"/>
              <w:spacing w:line="440" w:lineRule="exact"/>
              <w:ind w:firstLine="480" w:firstLineChars="200"/>
              <w:textAlignment w:val="bottom"/>
              <w:rPr>
                <w:rFonts w:hint="eastAsia" w:ascii="仿宋_GB2312" w:hAnsi="仿宋_GB2312" w:eastAsia="仿宋_GB2312" w:cs="仿宋_GB2312"/>
                <w:sz w:val="24"/>
              </w:rPr>
            </w:pPr>
            <w:r>
              <w:rPr>
                <w:rFonts w:hint="eastAsia" w:ascii="仿宋_GB2312" w:hAnsi="仿宋_GB2312" w:eastAsia="仿宋_GB2312" w:cs="仿宋_GB2312"/>
                <w:sz w:val="24"/>
              </w:rPr>
              <w:t>1）投标人应提供系统软硬件的有效检验材料，经采购人认可后，与合同的技术指标一起作为验收标准。验收中发现系统软硬件达不到验收标准或合同规定的技术指标，卖方必须更换，并负担由此给用户造成的损失，直到验收合格为止。</w:t>
            </w:r>
          </w:p>
          <w:p w14:paraId="7B8879E2">
            <w:pPr>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2）投标人应于投标书中提供系统软硬件的验收标准和检测办法，并在验收中提供买方认可的相应检测手段，验收标准应符合中国有关的国家、地方、行业的标准，如若中标，经买方确认后作为验收的依据。</w:t>
            </w:r>
          </w:p>
          <w:p w14:paraId="2F3A1C76">
            <w:pPr>
              <w:widowControl/>
              <w:autoSpaceDE w:val="0"/>
              <w:autoSpaceDN w:val="0"/>
              <w:spacing w:line="440" w:lineRule="exact"/>
              <w:ind w:left="-181" w:leftChars="-86" w:right="-178" w:rightChars="-85" w:firstLine="600" w:firstLineChars="250"/>
              <w:textAlignment w:val="bottom"/>
              <w:rPr>
                <w:rFonts w:hint="eastAsia" w:ascii="仿宋_GB2312" w:hAnsi="仿宋_GB2312" w:eastAsia="仿宋_GB2312" w:cs="仿宋_GB2312"/>
                <w:sz w:val="24"/>
              </w:rPr>
            </w:pPr>
            <w:r>
              <w:rPr>
                <w:rFonts w:hint="eastAsia" w:ascii="仿宋_GB2312" w:hAnsi="仿宋_GB2312" w:eastAsia="仿宋_GB2312" w:cs="仿宋_GB2312"/>
                <w:sz w:val="24"/>
              </w:rPr>
              <w:t>3）验收费用由供应商承担。</w:t>
            </w:r>
          </w:p>
          <w:p w14:paraId="69CE77D3">
            <w:pPr>
              <w:widowControl/>
              <w:autoSpaceDE w:val="0"/>
              <w:autoSpaceDN w:val="0"/>
              <w:spacing w:line="440" w:lineRule="exact"/>
              <w:ind w:left="-181" w:leftChars="-86" w:right="-178" w:rightChars="-85" w:firstLine="602" w:firstLineChars="250"/>
              <w:textAlignment w:val="bottom"/>
              <w:rPr>
                <w:rFonts w:hint="eastAsia" w:ascii="仿宋_GB2312" w:hAnsi="仿宋_GB2312" w:eastAsia="仿宋_GB2312" w:cs="仿宋_GB2312"/>
                <w:b/>
                <w:bCs/>
                <w:sz w:val="24"/>
              </w:rPr>
            </w:pPr>
            <w:r>
              <w:rPr>
                <w:rFonts w:hint="eastAsia" w:ascii="仿宋_GB2312" w:hAnsi="仿宋_GB2312" w:eastAsia="仿宋_GB2312" w:cs="仿宋_GB2312"/>
                <w:b/>
                <w:bCs/>
                <w:sz w:val="24"/>
              </w:rPr>
              <w:t>7、本项目不组织现场考察，需要投标人自行去单位查看现场设备，对于出现设备不匹配，跟原有系统对接不成功，自行承担责任。</w:t>
            </w:r>
          </w:p>
          <w:p w14:paraId="2D642467">
            <w:pPr>
              <w:widowControl/>
              <w:autoSpaceDE w:val="0"/>
              <w:autoSpaceDN w:val="0"/>
              <w:spacing w:line="440" w:lineRule="exact"/>
              <w:ind w:left="-181" w:leftChars="-86" w:right="-178" w:rightChars="-85" w:firstLine="602" w:firstLineChars="250"/>
              <w:textAlignment w:val="bottom"/>
              <w:rPr>
                <w:rFonts w:hint="eastAsia" w:ascii="仿宋_GB2312" w:hAnsi="仿宋_GB2312" w:eastAsia="仿宋_GB2312" w:cs="仿宋_GB2312"/>
                <w:b/>
                <w:bCs/>
                <w:sz w:val="24"/>
              </w:rPr>
            </w:pPr>
            <w:r>
              <w:rPr>
                <w:rFonts w:hint="eastAsia" w:ascii="仿宋_GB2312" w:hAnsi="仿宋_GB2312" w:eastAsia="仿宋_GB2312" w:cs="仿宋_GB2312"/>
                <w:b/>
                <w:bCs/>
                <w:sz w:val="24"/>
              </w:rPr>
              <w:t>8、本项目的设备安装地点为巾子峰、竹口、黄田、淤上、隆宫、安南、百山祖、五大堡、贤良、张村、荷地、岭头、举水、西溪、左溪、官塘、江根，距离庆云县城最远的有100公里，基站基本要步行，步行最远的需要2个小时，投标人需综合考虑运费和二次搬运费。</w:t>
            </w:r>
          </w:p>
          <w:p w14:paraId="214756F5">
            <w:pPr>
              <w:widowControl/>
              <w:autoSpaceDE w:val="0"/>
              <w:autoSpaceDN w:val="0"/>
              <w:spacing w:line="440" w:lineRule="exact"/>
              <w:ind w:left="-181" w:leftChars="-86" w:right="-178" w:rightChars="-85" w:firstLine="602" w:firstLineChars="250"/>
              <w:textAlignment w:val="bottom"/>
              <w:rPr>
                <w:rFonts w:ascii="宋体" w:hAnsi="宋体"/>
                <w:spacing w:val="20"/>
                <w:sz w:val="24"/>
              </w:rPr>
            </w:pPr>
            <w:r>
              <w:rPr>
                <w:rFonts w:hint="eastAsia" w:ascii="仿宋_GB2312" w:hAnsi="仿宋_GB2312" w:eastAsia="仿宋_GB2312" w:cs="仿宋_GB2312"/>
                <w:b/>
                <w:bCs/>
                <w:sz w:val="24"/>
              </w:rPr>
              <w:t>▲9、因该工程涉及电力、高处作业等专业施工，中标单位专业施工人员必须具有相应专业证书，施工前提供证书查验，没有专业证书的人员，不得参与相应的专业工作。</w:t>
            </w:r>
          </w:p>
        </w:tc>
      </w:tr>
    </w:tbl>
    <w:p w14:paraId="26091F1B">
      <w:pPr>
        <w:rPr>
          <w:rFonts w:hint="eastAsia" w:ascii="宋体" w:hAnsi="宋体"/>
          <w:spacing w:val="20"/>
          <w:szCs w:val="21"/>
        </w:rPr>
      </w:pPr>
    </w:p>
    <w:p w14:paraId="53BA1B16">
      <w:pPr>
        <w:rPr>
          <w:rFonts w:hint="eastAsia" w:ascii="宋体" w:hAnsi="宋体"/>
          <w:spacing w:val="20"/>
          <w:szCs w:val="21"/>
        </w:rPr>
      </w:pPr>
      <w:r>
        <w:rPr>
          <w:rFonts w:hint="eastAsia" w:ascii="宋体" w:hAnsi="宋体"/>
          <w:spacing w:val="20"/>
          <w:szCs w:val="21"/>
        </w:rPr>
        <w:t>注：1、中标人应根据其投标情况填写该表，并保证其与投标文件内容的一致性、正确性和真实性；</w:t>
      </w:r>
    </w:p>
    <w:p w14:paraId="7EBBF273">
      <w:pPr>
        <w:ind w:firstLine="490" w:firstLineChars="196"/>
        <w:rPr>
          <w:rFonts w:hint="eastAsia"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14:paraId="76F227EE">
      <w:pPr>
        <w:ind w:firstLine="490" w:firstLineChars="196"/>
        <w:rPr>
          <w:rFonts w:hint="eastAsia" w:ascii="宋体" w:hAnsi="宋体"/>
          <w:spacing w:val="20"/>
          <w:szCs w:val="21"/>
        </w:rPr>
      </w:pPr>
      <w:r>
        <w:rPr>
          <w:rFonts w:hint="eastAsia" w:ascii="宋体" w:hAnsi="宋体"/>
          <w:spacing w:val="20"/>
          <w:szCs w:val="21"/>
        </w:rPr>
        <w:t>3、本表内容涉及较多，中标人可以适当增减表格行数，以保证表格内容的完整；</w:t>
      </w:r>
    </w:p>
    <w:p w14:paraId="1BD59893">
      <w:pPr>
        <w:ind w:firstLine="490" w:firstLineChars="196"/>
        <w:rPr>
          <w:rFonts w:hint="eastAsia"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将该表格及项目投标文件电子文档</w:t>
      </w:r>
      <w:r>
        <w:rPr>
          <w:rFonts w:hint="eastAsia" w:ascii="宋体" w:hAnsi="宋体"/>
          <w:spacing w:val="20"/>
          <w:szCs w:val="21"/>
          <w:lang w:eastAsia="zh-CN"/>
        </w:rPr>
        <w:t>发送至邮箱</w:t>
      </w:r>
      <w:r>
        <w:rPr>
          <w:rFonts w:hint="eastAsia" w:ascii="宋体" w:hAnsi="宋体"/>
          <w:spacing w:val="20"/>
          <w:szCs w:val="21"/>
          <w:lang w:val="en-US" w:eastAsia="zh-CN"/>
        </w:rPr>
        <w:t xml:space="preserve">lssqyxjyzx@163.com </w:t>
      </w:r>
      <w:r>
        <w:rPr>
          <w:rFonts w:hint="eastAsia" w:ascii="宋体" w:hAnsi="宋体"/>
          <w:spacing w:val="20"/>
          <w:szCs w:val="21"/>
        </w:rPr>
        <w:t>。未按时提交规定内容造成后果由中标人自行承担。</w:t>
      </w:r>
    </w:p>
    <w:p w14:paraId="42868714">
      <w:pPr>
        <w:spacing w:line="360" w:lineRule="exact"/>
        <w:ind w:firstLine="482"/>
        <w:rPr>
          <w:rFonts w:hint="eastAsia" w:ascii="仿宋_GB2312"/>
          <w:b/>
          <w:strike/>
          <w:color w:val="auto"/>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w:t>
      </w:r>
      <w:r>
        <w:rPr>
          <w:rFonts w:hint="eastAsia" w:ascii="宋体" w:hAnsi="宋体"/>
          <w:spacing w:val="20"/>
          <w:szCs w:val="21"/>
          <w:lang w:eastAsia="zh-CN"/>
        </w:rPr>
        <w:t>承担。</w:t>
      </w:r>
    </w:p>
    <w:p w14:paraId="7B849A7B"/>
    <w:sectPr>
      <w:footerReference r:id="rId3" w:type="default"/>
      <w:pgSz w:w="11906" w:h="16838"/>
      <w:pgMar w:top="1440" w:right="1440" w:bottom="1440" w:left="1440"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358C">
    <w:pPr>
      <w:pStyle w:val="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AC9A85">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- 77 -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CAC9A85">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- 77 -</w:t>
                    </w:r>
                    <w:r>
                      <w:rPr>
                        <w:rFonts w:hint="eastAsia"/>
                        <w:lang w:eastAsia="zh-CN"/>
                      </w:rPr>
                      <w:fldChar w:fldCharType="end"/>
                    </w:r>
                  </w:p>
                </w:txbxContent>
              </v:textbox>
            </v:shape>
          </w:pict>
        </mc:Fallback>
      </mc:AlternateContent>
    </w:r>
  </w:p>
  <w:p w14:paraId="2059BD02">
    <w:pPr>
      <w:rPr>
        <w:rFonts w:ascii="仿宋_GB2312"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MTg4NjIxNTcwOTBjMmQwZjNlMzg0MGZiZGQ2M2EifQ=="/>
  </w:docVars>
  <w:rsids>
    <w:rsidRoot w:val="3DC30888"/>
    <w:rsid w:val="3DC3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3"/>
    <w:basedOn w:val="1"/>
    <w:next w:val="8"/>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widowControl/>
      <w:spacing w:after="120"/>
      <w:ind w:left="420" w:leftChars="200" w:firstLine="420" w:firstLineChars="200"/>
      <w:jc w:val="left"/>
    </w:pPr>
    <w:rPr>
      <w:rFonts w:eastAsia="仿宋_GB2312"/>
    </w:rPr>
  </w:style>
  <w:style w:type="paragraph" w:styleId="3">
    <w:name w:val="Body Text Indent"/>
    <w:basedOn w:val="1"/>
    <w:next w:val="1"/>
    <w:uiPriority w:val="0"/>
    <w:pPr>
      <w:ind w:firstLine="540"/>
    </w:pPr>
    <w:rPr>
      <w:sz w:val="28"/>
      <w:szCs w:val="20"/>
    </w:rPr>
  </w:style>
  <w:style w:type="paragraph" w:styleId="4">
    <w:name w:val="Body Text First Indent"/>
    <w:basedOn w:val="5"/>
    <w:next w:val="6"/>
    <w:uiPriority w:val="0"/>
    <w:pPr>
      <w:tabs>
        <w:tab w:val="left" w:pos="208"/>
      </w:tabs>
      <w:spacing w:after="120" w:line="240" w:lineRule="auto"/>
      <w:ind w:firstLine="420" w:firstLineChars="100"/>
    </w:pPr>
    <w:rPr>
      <w:rFonts w:ascii="Times New Roman" w:eastAsia="宋体"/>
      <w:sz w:val="21"/>
    </w:rPr>
  </w:style>
  <w:style w:type="paragraph" w:styleId="5">
    <w:name w:val="Body Text"/>
    <w:basedOn w:val="1"/>
    <w:next w:val="4"/>
    <w:qFormat/>
    <w:uiPriority w:val="0"/>
    <w:pPr>
      <w:tabs>
        <w:tab w:val="left" w:pos="208"/>
      </w:tabs>
      <w:spacing w:line="432" w:lineRule="auto"/>
    </w:pPr>
    <w:rPr>
      <w:rFonts w:ascii="仿宋_GB2312" w:eastAsia="仿宋_GB2312"/>
      <w:sz w:val="28"/>
    </w:rPr>
  </w:style>
  <w:style w:type="paragraph" w:styleId="6">
    <w:name w:val="toc 6"/>
    <w:basedOn w:val="1"/>
    <w:next w:val="1"/>
    <w:unhideWhenUsed/>
    <w:uiPriority w:val="39"/>
    <w:pPr>
      <w:ind w:left="1050"/>
      <w:jc w:val="left"/>
    </w:pPr>
    <w:rPr>
      <w:rFonts w:ascii="Calibri" w:hAnsi="Calibri"/>
      <w:sz w:val="18"/>
      <w:szCs w:val="18"/>
    </w:rPr>
  </w:style>
  <w:style w:type="paragraph" w:styleId="8">
    <w:name w:val="Normal Indent"/>
    <w:basedOn w:val="1"/>
    <w:next w:val="3"/>
    <w:qFormat/>
    <w:uiPriority w:val="0"/>
    <w:pPr>
      <w:ind w:firstLine="420"/>
    </w:pPr>
    <w:rPr>
      <w:rFonts w:ascii="Times New Roman" w:hAnsi="Times New Roman"/>
      <w:szCs w:val="20"/>
    </w:rPr>
  </w:style>
  <w:style w:type="paragraph" w:styleId="9">
    <w:name w:val="footer"/>
    <w:basedOn w:val="1"/>
    <w:qFormat/>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2024-09-11T01:51:00Z</dcterms:created>
  <dc:creator>炼</dc:creator>
  <cp:lastModifiedBy>炼</cp:lastModifiedBy>
  <dcterms:modified xsi:type="dcterms:W3CDTF">2024-09-11T02:15:34Z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220B76643CB04D589C4139071CE4424D_11</vt:lpwstr>
  </property>
</Properties>
</file>