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C3925FE">
      <w:pPr>
        <w:tabs>
          <w:tab w:val="left" w:pos="720"/>
          <w:tab w:val="left" w:pos="2160"/>
          <w:tab w:val="left" w:pos="2880"/>
          <w:tab w:val="left" w:pos="3600"/>
          <w:tab w:val="left" w:pos="4320"/>
          <w:tab w:val="left" w:pos="5040"/>
          <w:tab w:val="left" w:pos="5760"/>
        </w:tabs>
        <w:autoSpaceDE w:val="0"/>
        <w:autoSpaceDN w:val="0"/>
        <w:adjustRightInd w:val="0"/>
        <w:spacing w:line="360" w:lineRule="auto"/>
        <w:ind w:left="540" w:right="924" w:firstLine="355"/>
        <w:jc w:val="center"/>
        <w:rPr>
          <w:rFonts w:ascii="宋体"/>
          <w:b/>
          <w:color w:val="auto"/>
          <w:kern w:val="0"/>
          <w:sz w:val="52"/>
          <w:szCs w:val="52"/>
          <w:highlight w:val="none"/>
        </w:rPr>
      </w:pPr>
    </w:p>
    <w:p w14:paraId="434A3148">
      <w:pPr>
        <w:tabs>
          <w:tab w:val="left" w:pos="720"/>
          <w:tab w:val="left" w:pos="2160"/>
          <w:tab w:val="left" w:pos="2880"/>
          <w:tab w:val="left" w:pos="3600"/>
          <w:tab w:val="left" w:pos="4320"/>
          <w:tab w:val="left" w:pos="5040"/>
          <w:tab w:val="left" w:pos="5760"/>
        </w:tabs>
        <w:autoSpaceDE w:val="0"/>
        <w:autoSpaceDN w:val="0"/>
        <w:adjustRightInd w:val="0"/>
        <w:spacing w:line="360" w:lineRule="auto"/>
        <w:ind w:left="540" w:right="924" w:firstLine="355"/>
        <w:jc w:val="center"/>
        <w:rPr>
          <w:rFonts w:ascii="宋体"/>
          <w:b/>
          <w:color w:val="auto"/>
          <w:kern w:val="0"/>
          <w:sz w:val="52"/>
          <w:szCs w:val="52"/>
          <w:highlight w:val="none"/>
        </w:rPr>
      </w:pPr>
      <w:r>
        <w:rPr>
          <w:rFonts w:hint="eastAsia" w:ascii="宋体"/>
          <w:b/>
          <w:color w:val="auto"/>
          <w:kern w:val="0"/>
          <w:sz w:val="52"/>
          <w:szCs w:val="52"/>
          <w:highlight w:val="none"/>
        </w:rPr>
        <w:t>台州市政府采购</w:t>
      </w:r>
    </w:p>
    <w:p w14:paraId="07FC8252">
      <w:pPr>
        <w:tabs>
          <w:tab w:val="left" w:pos="720"/>
          <w:tab w:val="left" w:pos="2160"/>
          <w:tab w:val="left" w:pos="2880"/>
          <w:tab w:val="left" w:pos="3600"/>
          <w:tab w:val="left" w:pos="4320"/>
          <w:tab w:val="left" w:pos="5040"/>
          <w:tab w:val="left" w:pos="5760"/>
        </w:tabs>
        <w:autoSpaceDE w:val="0"/>
        <w:autoSpaceDN w:val="0"/>
        <w:adjustRightInd w:val="0"/>
        <w:spacing w:line="360" w:lineRule="auto"/>
        <w:ind w:left="540" w:right="924" w:firstLine="355"/>
        <w:jc w:val="center"/>
        <w:rPr>
          <w:rFonts w:ascii="宋体"/>
          <w:b/>
          <w:color w:val="auto"/>
          <w:kern w:val="0"/>
          <w:sz w:val="52"/>
          <w:szCs w:val="52"/>
          <w:highlight w:val="none"/>
        </w:rPr>
      </w:pPr>
      <w:r>
        <w:rPr>
          <w:rFonts w:hint="eastAsia" w:ascii="宋体"/>
          <w:b/>
          <w:color w:val="auto"/>
          <w:kern w:val="0"/>
          <w:sz w:val="52"/>
          <w:szCs w:val="52"/>
          <w:highlight w:val="none"/>
        </w:rPr>
        <w:t>竞争性磋商采购文件</w:t>
      </w:r>
    </w:p>
    <w:p w14:paraId="3334F7DA">
      <w:pPr>
        <w:tabs>
          <w:tab w:val="left" w:pos="720"/>
          <w:tab w:val="left" w:pos="2160"/>
          <w:tab w:val="left" w:pos="2880"/>
          <w:tab w:val="left" w:pos="3600"/>
          <w:tab w:val="left" w:pos="4320"/>
          <w:tab w:val="left" w:pos="5040"/>
          <w:tab w:val="left" w:pos="5760"/>
        </w:tabs>
        <w:autoSpaceDE w:val="0"/>
        <w:autoSpaceDN w:val="0"/>
        <w:adjustRightInd w:val="0"/>
        <w:spacing w:line="360" w:lineRule="auto"/>
        <w:ind w:left="540" w:right="924" w:firstLine="355"/>
        <w:jc w:val="center"/>
        <w:rPr>
          <w:rFonts w:hint="eastAsia" w:ascii="宋体"/>
          <w:b/>
          <w:color w:val="auto"/>
          <w:kern w:val="0"/>
          <w:sz w:val="32"/>
          <w:highlight w:val="none"/>
          <w:lang w:val="en-US" w:eastAsia="zh-CN"/>
        </w:rPr>
      </w:pPr>
      <w:r>
        <w:rPr>
          <w:rFonts w:hint="eastAsia" w:ascii="宋体"/>
          <w:b/>
          <w:color w:val="auto"/>
          <w:kern w:val="0"/>
          <w:sz w:val="32"/>
          <w:highlight w:val="none"/>
          <w:lang w:val="en-US" w:eastAsia="zh-CN"/>
        </w:rPr>
        <w:t>椒财采确</w:t>
      </w:r>
      <w:r>
        <w:rPr>
          <w:rFonts w:hint="eastAsia" w:ascii="宋体"/>
          <w:b/>
          <w:color w:val="auto"/>
          <w:kern w:val="0"/>
          <w:sz w:val="32"/>
          <w:highlight w:val="none"/>
          <w:lang w:val="en-US" w:eastAsia="zh-CN"/>
        </w:rPr>
        <w:fldChar w:fldCharType="begin"/>
      </w:r>
      <w:r>
        <w:rPr>
          <w:rFonts w:hint="eastAsia" w:ascii="宋体"/>
          <w:b/>
          <w:color w:val="auto"/>
          <w:kern w:val="0"/>
          <w:sz w:val="32"/>
          <w:highlight w:val="none"/>
          <w:lang w:val="en-US" w:eastAsia="zh-CN"/>
        </w:rPr>
        <w:instrText xml:space="preserve"> HYPERLINK "https://pay.zcygov.cn/purchaseplan_front/" \l "/plan/list/view?id=1000000000013167601&amp;_app_=zcy.procurement" \t "https://www.zcygov.cn/delegation-order/_procurement_/order/_blank" </w:instrText>
      </w:r>
      <w:r>
        <w:rPr>
          <w:rFonts w:hint="eastAsia" w:ascii="宋体"/>
          <w:b/>
          <w:color w:val="auto"/>
          <w:kern w:val="0"/>
          <w:sz w:val="32"/>
          <w:highlight w:val="none"/>
          <w:lang w:val="en-US" w:eastAsia="zh-CN"/>
        </w:rPr>
        <w:fldChar w:fldCharType="separate"/>
      </w:r>
      <w:r>
        <w:rPr>
          <w:rFonts w:hint="eastAsia" w:ascii="宋体"/>
          <w:b/>
          <w:color w:val="auto"/>
          <w:kern w:val="0"/>
          <w:sz w:val="32"/>
          <w:highlight w:val="none"/>
          <w:lang w:val="en-US" w:eastAsia="zh-CN"/>
        </w:rPr>
        <w:t>临[2025]308号</w:t>
      </w:r>
    </w:p>
    <w:p w14:paraId="7755E9D6">
      <w:pPr>
        <w:tabs>
          <w:tab w:val="left" w:pos="720"/>
          <w:tab w:val="left" w:pos="2160"/>
          <w:tab w:val="left" w:pos="2880"/>
          <w:tab w:val="left" w:pos="3600"/>
          <w:tab w:val="left" w:pos="4320"/>
          <w:tab w:val="left" w:pos="5040"/>
          <w:tab w:val="left" w:pos="5760"/>
        </w:tabs>
        <w:autoSpaceDE w:val="0"/>
        <w:autoSpaceDN w:val="0"/>
        <w:adjustRightInd w:val="0"/>
        <w:spacing w:line="360" w:lineRule="auto"/>
        <w:ind w:left="540" w:right="924" w:firstLine="355"/>
        <w:jc w:val="center"/>
        <w:rPr>
          <w:rFonts w:ascii="宋体"/>
          <w:b/>
          <w:color w:val="auto"/>
          <w:kern w:val="0"/>
          <w:sz w:val="32"/>
          <w:highlight w:val="none"/>
        </w:rPr>
      </w:pPr>
      <w:r>
        <w:rPr>
          <w:rFonts w:hint="eastAsia" w:ascii="宋体"/>
          <w:b/>
          <w:color w:val="auto"/>
          <w:kern w:val="0"/>
          <w:sz w:val="32"/>
          <w:highlight w:val="none"/>
          <w:lang w:val="en-US" w:eastAsia="zh-CN"/>
        </w:rPr>
        <w:fldChar w:fldCharType="end"/>
      </w:r>
    </w:p>
    <w:p w14:paraId="1E2F9310">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left="1440" w:right="1800"/>
        <w:jc w:val="center"/>
        <w:rPr>
          <w:rFonts w:ascii="宋体"/>
          <w:color w:val="auto"/>
          <w:kern w:val="0"/>
          <w:sz w:val="24"/>
          <w:highlight w:val="none"/>
        </w:rPr>
      </w:pPr>
    </w:p>
    <w:p w14:paraId="23F9E864">
      <w:pPr>
        <w:autoSpaceDE w:val="0"/>
        <w:autoSpaceDN w:val="0"/>
        <w:adjustRightInd w:val="0"/>
        <w:spacing w:line="360" w:lineRule="auto"/>
        <w:rPr>
          <w:rFonts w:ascii="宋体"/>
          <w:b/>
          <w:color w:val="auto"/>
          <w:kern w:val="0"/>
          <w:sz w:val="52"/>
          <w:szCs w:val="52"/>
          <w:highlight w:val="none"/>
        </w:rPr>
      </w:pPr>
    </w:p>
    <w:p w14:paraId="683529A0">
      <w:pPr>
        <w:autoSpaceDE w:val="0"/>
        <w:autoSpaceDN w:val="0"/>
        <w:adjustRightInd w:val="0"/>
        <w:spacing w:line="360" w:lineRule="auto"/>
        <w:ind w:firstLine="1797" w:firstLineChars="642"/>
        <w:jc w:val="center"/>
        <w:rPr>
          <w:rFonts w:ascii="宋体"/>
          <w:color w:val="auto"/>
          <w:kern w:val="0"/>
          <w:sz w:val="28"/>
          <w:highlight w:val="none"/>
        </w:rPr>
      </w:pPr>
    </w:p>
    <w:p w14:paraId="0BFA7316">
      <w:pPr>
        <w:autoSpaceDE w:val="0"/>
        <w:autoSpaceDN w:val="0"/>
        <w:adjustRightInd w:val="0"/>
        <w:spacing w:line="360" w:lineRule="auto"/>
        <w:jc w:val="center"/>
        <w:rPr>
          <w:rFonts w:ascii="宋体"/>
          <w:color w:val="auto"/>
          <w:kern w:val="0"/>
          <w:sz w:val="28"/>
          <w:highlight w:val="none"/>
        </w:rPr>
      </w:pPr>
      <w:r>
        <w:rPr>
          <w:rFonts w:hint="eastAsia" w:ascii="宋体"/>
          <w:color w:val="auto"/>
          <w:kern w:val="0"/>
          <w:sz w:val="28"/>
          <w:highlight w:val="none"/>
        </w:rPr>
        <w:t>采购项目：</w:t>
      </w:r>
      <w:r>
        <w:rPr>
          <w:rFonts w:hint="eastAsia" w:ascii="宋体"/>
          <w:color w:val="auto"/>
          <w:kern w:val="0"/>
          <w:sz w:val="28"/>
          <w:highlight w:val="none"/>
          <w:lang w:eastAsia="zh-CN"/>
        </w:rPr>
        <w:t>台州市椒江区前所街道椒北南渠（大树岙村段）综合整治工程</w:t>
      </w:r>
    </w:p>
    <w:p w14:paraId="50238BB1">
      <w:pPr>
        <w:autoSpaceDE w:val="0"/>
        <w:autoSpaceDN w:val="0"/>
        <w:adjustRightInd w:val="0"/>
        <w:spacing w:line="360" w:lineRule="auto"/>
        <w:jc w:val="center"/>
        <w:rPr>
          <w:rFonts w:ascii="宋体"/>
          <w:color w:val="auto"/>
          <w:kern w:val="0"/>
          <w:sz w:val="28"/>
          <w:highlight w:val="none"/>
        </w:rPr>
      </w:pPr>
      <w:r>
        <w:rPr>
          <w:rFonts w:hint="eastAsia" w:ascii="宋体"/>
          <w:color w:val="auto"/>
          <w:kern w:val="0"/>
          <w:sz w:val="28"/>
          <w:highlight w:val="none"/>
        </w:rPr>
        <w:t>采 购 人：</w:t>
      </w:r>
      <w:r>
        <w:rPr>
          <w:rFonts w:hint="eastAsia" w:ascii="宋体"/>
          <w:color w:val="auto"/>
          <w:kern w:val="0"/>
          <w:sz w:val="28"/>
          <w:highlight w:val="none"/>
          <w:lang w:eastAsia="zh-CN"/>
        </w:rPr>
        <w:t>台州市椒江区人民政府前所街道办事处</w:t>
      </w:r>
      <w:r>
        <w:rPr>
          <w:rFonts w:hint="eastAsia" w:ascii="宋体" w:hAnsi="宋体" w:cs="宋体"/>
          <w:color w:val="auto"/>
          <w:kern w:val="0"/>
          <w:sz w:val="28"/>
          <w:szCs w:val="28"/>
          <w:highlight w:val="none"/>
        </w:rPr>
        <w:t>（盖章）</w:t>
      </w:r>
    </w:p>
    <w:p w14:paraId="70BE20D8">
      <w:pPr>
        <w:autoSpaceDE w:val="0"/>
        <w:autoSpaceDN w:val="0"/>
        <w:adjustRightInd w:val="0"/>
        <w:spacing w:line="360" w:lineRule="auto"/>
        <w:rPr>
          <w:rFonts w:ascii="宋体"/>
          <w:color w:val="auto"/>
          <w:kern w:val="0"/>
          <w:sz w:val="28"/>
          <w:highlight w:val="none"/>
        </w:rPr>
      </w:pPr>
    </w:p>
    <w:p w14:paraId="1F775835">
      <w:pPr>
        <w:autoSpaceDE w:val="0"/>
        <w:autoSpaceDN w:val="0"/>
        <w:adjustRightInd w:val="0"/>
        <w:spacing w:line="360" w:lineRule="auto"/>
        <w:rPr>
          <w:rFonts w:ascii="宋体"/>
          <w:color w:val="auto"/>
          <w:kern w:val="0"/>
          <w:sz w:val="28"/>
          <w:highlight w:val="none"/>
        </w:rPr>
      </w:pPr>
    </w:p>
    <w:p w14:paraId="7B7C0876">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left="1440" w:right="1800"/>
        <w:jc w:val="center"/>
        <w:rPr>
          <w:rFonts w:ascii="宋体"/>
          <w:color w:val="auto"/>
          <w:kern w:val="0"/>
          <w:sz w:val="32"/>
          <w:highlight w:val="none"/>
        </w:rPr>
      </w:pPr>
    </w:p>
    <w:p w14:paraId="1858B847">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right="1800"/>
        <w:rPr>
          <w:rFonts w:ascii="宋体"/>
          <w:color w:val="auto"/>
          <w:kern w:val="0"/>
          <w:sz w:val="32"/>
          <w:highlight w:val="none"/>
        </w:rPr>
      </w:pPr>
    </w:p>
    <w:p w14:paraId="55610F77">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left="1440" w:right="1800" w:firstLine="560" w:firstLineChars="200"/>
        <w:jc w:val="center"/>
        <w:rPr>
          <w:rFonts w:ascii="宋体" w:hAnsi="宋体" w:cs="宋体"/>
          <w:color w:val="auto"/>
          <w:kern w:val="0"/>
          <w:sz w:val="28"/>
          <w:szCs w:val="28"/>
          <w:highlight w:val="none"/>
        </w:rPr>
      </w:pPr>
      <w:r>
        <w:rPr>
          <w:rFonts w:hint="eastAsia" w:ascii="宋体" w:hAnsi="宋体" w:cs="宋体"/>
          <w:color w:val="auto"/>
          <w:kern w:val="0"/>
          <w:sz w:val="28"/>
          <w:szCs w:val="28"/>
          <w:highlight w:val="none"/>
        </w:rPr>
        <w:t>台州市建设咨询有限公司（盖章）</w:t>
      </w:r>
    </w:p>
    <w:p w14:paraId="66390BC1">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left="1440" w:right="1800" w:firstLine="560" w:firstLineChars="200"/>
        <w:jc w:val="center"/>
        <w:rPr>
          <w:color w:val="auto"/>
          <w:highlight w:val="none"/>
        </w:rPr>
      </w:pPr>
      <w:r>
        <w:rPr>
          <w:rFonts w:hint="eastAsia" w:ascii="宋体" w:hAnsi="宋体" w:cs="宋体"/>
          <w:color w:val="auto"/>
          <w:kern w:val="0"/>
          <w:sz w:val="28"/>
          <w:szCs w:val="28"/>
          <w:highlight w:val="none"/>
          <w:lang w:val="en-US" w:eastAsia="zh-CN"/>
        </w:rPr>
        <w:t>2024</w:t>
      </w:r>
      <w:r>
        <w:rPr>
          <w:rFonts w:hint="eastAsia" w:ascii="宋体" w:hAnsi="宋体" w:cs="宋体"/>
          <w:color w:val="auto"/>
          <w:kern w:val="0"/>
          <w:sz w:val="28"/>
          <w:szCs w:val="28"/>
          <w:highlight w:val="none"/>
        </w:rPr>
        <w:t>年0</w:t>
      </w:r>
      <w:r>
        <w:rPr>
          <w:rFonts w:hint="eastAsia" w:ascii="宋体" w:hAnsi="宋体" w:cs="宋体"/>
          <w:color w:val="auto"/>
          <w:kern w:val="0"/>
          <w:sz w:val="28"/>
          <w:szCs w:val="28"/>
          <w:highlight w:val="none"/>
          <w:lang w:val="en-US" w:eastAsia="zh-CN"/>
        </w:rPr>
        <w:t>4</w:t>
      </w:r>
      <w:r>
        <w:rPr>
          <w:rFonts w:hint="eastAsia" w:ascii="宋体" w:hAnsi="宋体" w:cs="宋体"/>
          <w:color w:val="auto"/>
          <w:kern w:val="0"/>
          <w:sz w:val="28"/>
          <w:szCs w:val="28"/>
          <w:highlight w:val="none"/>
        </w:rPr>
        <w:t>月</w:t>
      </w:r>
    </w:p>
    <w:p w14:paraId="62BB8663">
      <w:pPr>
        <w:spacing w:line="360" w:lineRule="auto"/>
        <w:rPr>
          <w:color w:val="auto"/>
          <w:highlight w:val="none"/>
        </w:rPr>
      </w:pPr>
    </w:p>
    <w:p w14:paraId="066FA4A0">
      <w:pPr>
        <w:pStyle w:val="35"/>
        <w:rPr>
          <w:color w:val="auto"/>
          <w:highlight w:val="none"/>
        </w:rPr>
      </w:pPr>
    </w:p>
    <w:p w14:paraId="24560238">
      <w:pPr>
        <w:spacing w:line="360" w:lineRule="auto"/>
        <w:rPr>
          <w:color w:val="auto"/>
          <w:highlight w:val="none"/>
        </w:rPr>
      </w:pPr>
    </w:p>
    <w:p w14:paraId="0E3D9ECA">
      <w:pPr>
        <w:rPr>
          <w:rFonts w:ascii="宋体" w:hAnsi="宋体" w:cs="Arial"/>
          <w:b/>
          <w:bCs/>
          <w:color w:val="auto"/>
          <w:sz w:val="36"/>
          <w:szCs w:val="36"/>
          <w:highlight w:val="none"/>
        </w:rPr>
      </w:pPr>
      <w:r>
        <w:rPr>
          <w:rFonts w:hint="eastAsia" w:ascii="宋体" w:hAnsi="宋体" w:cs="Arial"/>
          <w:b/>
          <w:bCs/>
          <w:color w:val="auto"/>
          <w:sz w:val="36"/>
          <w:szCs w:val="36"/>
          <w:highlight w:val="none"/>
        </w:rPr>
        <w:br w:type="page"/>
      </w:r>
    </w:p>
    <w:sdt>
      <w:sdtPr>
        <w:rPr>
          <w:rFonts w:hint="eastAsia" w:ascii="宋体" w:hAnsi="宋体" w:cs="宋体"/>
          <w:color w:val="auto"/>
          <w:sz w:val="32"/>
          <w:szCs w:val="32"/>
          <w:highlight w:val="none"/>
        </w:rPr>
        <w:id w:val="147453465"/>
        <w:docPartObj>
          <w:docPartGallery w:val="Table of Contents"/>
          <w:docPartUnique/>
        </w:docPartObj>
      </w:sdtPr>
      <w:sdtEndPr>
        <w:rPr>
          <w:rFonts w:hint="eastAsia" w:ascii="Times New Roman" w:hAnsi="Times New Roman" w:cs="Times New Roman"/>
          <w:color w:val="auto"/>
          <w:sz w:val="21"/>
          <w:szCs w:val="28"/>
          <w:highlight w:val="none"/>
        </w:rPr>
      </w:sdtEndPr>
      <w:sdtContent>
        <w:p w14:paraId="13EA8FDB">
          <w:pPr>
            <w:jc w:val="center"/>
            <w:rPr>
              <w:rFonts w:ascii="宋体" w:hAnsi="宋体" w:cs="宋体"/>
              <w:color w:val="auto"/>
              <w:sz w:val="32"/>
              <w:szCs w:val="32"/>
              <w:highlight w:val="none"/>
            </w:rPr>
          </w:pPr>
        </w:p>
        <w:p w14:paraId="24A1948F">
          <w:pPr>
            <w:spacing w:line="360" w:lineRule="auto"/>
            <w:jc w:val="center"/>
            <w:rPr>
              <w:rFonts w:ascii="宋体" w:hAnsi="宋体" w:cs="宋体"/>
              <w:color w:val="auto"/>
              <w:sz w:val="32"/>
              <w:szCs w:val="32"/>
              <w:highlight w:val="none"/>
            </w:rPr>
          </w:pPr>
          <w:r>
            <w:rPr>
              <w:rFonts w:hint="eastAsia" w:ascii="宋体" w:hAnsi="宋体" w:cs="宋体"/>
              <w:color w:val="auto"/>
              <w:sz w:val="32"/>
              <w:szCs w:val="32"/>
              <w:highlight w:val="none"/>
            </w:rPr>
            <w:t>目  录</w:t>
          </w:r>
        </w:p>
        <w:p w14:paraId="41D7FD91">
          <w:pPr>
            <w:pStyle w:val="56"/>
            <w:tabs>
              <w:tab w:val="right" w:leader="dot" w:pos="9070"/>
            </w:tabs>
            <w:spacing w:line="360" w:lineRule="auto"/>
            <w:rPr>
              <w:rFonts w:ascii="宋体" w:hAnsi="宋体" w:cs="宋体"/>
              <w:color w:val="auto"/>
              <w:sz w:val="32"/>
              <w:szCs w:val="32"/>
              <w:highlight w:val="none"/>
            </w:rPr>
          </w:pPr>
          <w:r>
            <w:rPr>
              <w:rFonts w:hint="eastAsia" w:ascii="宋体" w:hAnsi="宋体" w:cs="宋体"/>
              <w:color w:val="auto"/>
              <w:sz w:val="32"/>
              <w:szCs w:val="32"/>
              <w:highlight w:val="none"/>
            </w:rPr>
            <w:fldChar w:fldCharType="begin"/>
          </w:r>
          <w:r>
            <w:rPr>
              <w:rFonts w:hint="eastAsia" w:ascii="宋体" w:hAnsi="宋体" w:cs="宋体"/>
              <w:color w:val="auto"/>
              <w:sz w:val="32"/>
              <w:szCs w:val="32"/>
              <w:highlight w:val="none"/>
            </w:rPr>
            <w:instrText xml:space="preserve">TOC \o "1-1" \h \u </w:instrText>
          </w:r>
          <w:r>
            <w:rPr>
              <w:rFonts w:hint="eastAsia" w:ascii="宋体" w:hAnsi="宋体" w:cs="宋体"/>
              <w:color w:val="auto"/>
              <w:sz w:val="32"/>
              <w:szCs w:val="32"/>
              <w:highlight w:val="none"/>
            </w:rPr>
            <w:fldChar w:fldCharType="separate"/>
          </w:r>
          <w:r>
            <w:rPr>
              <w:color w:val="auto"/>
              <w:highlight w:val="none"/>
            </w:rPr>
            <w:fldChar w:fldCharType="begin"/>
          </w:r>
          <w:r>
            <w:rPr>
              <w:color w:val="auto"/>
              <w:highlight w:val="none"/>
            </w:rPr>
            <w:instrText xml:space="preserve"> HYPERLINK \l "_Toc32401" </w:instrText>
          </w:r>
          <w:r>
            <w:rPr>
              <w:color w:val="auto"/>
              <w:highlight w:val="none"/>
            </w:rPr>
            <w:fldChar w:fldCharType="separate"/>
          </w:r>
          <w:r>
            <w:rPr>
              <w:rFonts w:hint="eastAsia" w:ascii="宋体" w:hAnsi="宋体" w:cs="宋体"/>
              <w:color w:val="auto"/>
              <w:sz w:val="32"/>
              <w:szCs w:val="32"/>
              <w:highlight w:val="none"/>
            </w:rPr>
            <w:t>第一章 磋商邀请</w:t>
          </w:r>
          <w:r>
            <w:rPr>
              <w:rFonts w:hint="eastAsia" w:ascii="宋体" w:hAnsi="宋体" w:cs="宋体"/>
              <w:color w:val="auto"/>
              <w:sz w:val="32"/>
              <w:szCs w:val="32"/>
              <w:highlight w:val="none"/>
            </w:rPr>
            <w:tab/>
          </w:r>
          <w:r>
            <w:rPr>
              <w:rFonts w:hint="eastAsia" w:ascii="宋体" w:hAnsi="宋体" w:cs="宋体"/>
              <w:color w:val="auto"/>
              <w:sz w:val="32"/>
              <w:szCs w:val="32"/>
              <w:highlight w:val="none"/>
            </w:rPr>
            <w:fldChar w:fldCharType="begin"/>
          </w:r>
          <w:r>
            <w:rPr>
              <w:rFonts w:hint="eastAsia" w:ascii="宋体" w:hAnsi="宋体" w:cs="宋体"/>
              <w:color w:val="auto"/>
              <w:sz w:val="32"/>
              <w:szCs w:val="32"/>
              <w:highlight w:val="none"/>
            </w:rPr>
            <w:instrText xml:space="preserve"> PAGEREF _Toc32401 </w:instrText>
          </w:r>
          <w:r>
            <w:rPr>
              <w:rFonts w:hint="eastAsia" w:ascii="宋体" w:hAnsi="宋体" w:cs="宋体"/>
              <w:color w:val="auto"/>
              <w:sz w:val="32"/>
              <w:szCs w:val="32"/>
              <w:highlight w:val="none"/>
            </w:rPr>
            <w:fldChar w:fldCharType="separate"/>
          </w:r>
          <w:r>
            <w:rPr>
              <w:rFonts w:hint="eastAsia" w:ascii="宋体" w:hAnsi="宋体" w:cs="宋体"/>
              <w:color w:val="auto"/>
              <w:sz w:val="32"/>
              <w:szCs w:val="32"/>
              <w:highlight w:val="none"/>
            </w:rPr>
            <w:t>3</w:t>
          </w:r>
          <w:r>
            <w:rPr>
              <w:rFonts w:hint="eastAsia" w:ascii="宋体" w:hAnsi="宋体" w:cs="宋体"/>
              <w:color w:val="auto"/>
              <w:sz w:val="32"/>
              <w:szCs w:val="32"/>
              <w:highlight w:val="none"/>
            </w:rPr>
            <w:fldChar w:fldCharType="end"/>
          </w:r>
          <w:r>
            <w:rPr>
              <w:rFonts w:hint="eastAsia" w:ascii="宋体" w:hAnsi="宋体" w:cs="宋体"/>
              <w:color w:val="auto"/>
              <w:sz w:val="32"/>
              <w:szCs w:val="32"/>
              <w:highlight w:val="none"/>
            </w:rPr>
            <w:fldChar w:fldCharType="end"/>
          </w:r>
        </w:p>
        <w:p w14:paraId="424283F5">
          <w:pPr>
            <w:pStyle w:val="56"/>
            <w:tabs>
              <w:tab w:val="right" w:leader="dot" w:pos="9070"/>
            </w:tabs>
            <w:spacing w:line="360" w:lineRule="auto"/>
            <w:rPr>
              <w:rFonts w:ascii="宋体" w:hAnsi="宋体" w:cs="宋体"/>
              <w:color w:val="auto"/>
              <w:sz w:val="32"/>
              <w:szCs w:val="32"/>
              <w:highlight w:val="none"/>
            </w:rPr>
          </w:pPr>
          <w:r>
            <w:rPr>
              <w:color w:val="auto"/>
              <w:highlight w:val="none"/>
            </w:rPr>
            <w:fldChar w:fldCharType="begin"/>
          </w:r>
          <w:r>
            <w:rPr>
              <w:color w:val="auto"/>
              <w:highlight w:val="none"/>
            </w:rPr>
            <w:instrText xml:space="preserve"> HYPERLINK \l "_Toc6994" </w:instrText>
          </w:r>
          <w:r>
            <w:rPr>
              <w:color w:val="auto"/>
              <w:highlight w:val="none"/>
            </w:rPr>
            <w:fldChar w:fldCharType="separate"/>
          </w:r>
          <w:r>
            <w:rPr>
              <w:rFonts w:hint="eastAsia" w:ascii="宋体" w:hAnsi="宋体" w:cs="宋体"/>
              <w:color w:val="auto"/>
              <w:sz w:val="32"/>
              <w:szCs w:val="32"/>
              <w:highlight w:val="none"/>
            </w:rPr>
            <w:t>第二章 供应商须知</w:t>
          </w:r>
          <w:r>
            <w:rPr>
              <w:rFonts w:hint="eastAsia" w:ascii="宋体" w:hAnsi="宋体" w:cs="宋体"/>
              <w:color w:val="auto"/>
              <w:sz w:val="32"/>
              <w:szCs w:val="32"/>
              <w:highlight w:val="none"/>
            </w:rPr>
            <w:tab/>
          </w:r>
          <w:r>
            <w:rPr>
              <w:rFonts w:hint="eastAsia" w:ascii="宋体" w:hAnsi="宋体" w:cs="宋体"/>
              <w:color w:val="auto"/>
              <w:sz w:val="32"/>
              <w:szCs w:val="32"/>
              <w:highlight w:val="none"/>
            </w:rPr>
            <w:t>5</w:t>
          </w:r>
          <w:r>
            <w:rPr>
              <w:rFonts w:hint="eastAsia" w:ascii="宋体" w:hAnsi="宋体" w:cs="宋体"/>
              <w:color w:val="auto"/>
              <w:sz w:val="32"/>
              <w:szCs w:val="32"/>
              <w:highlight w:val="none"/>
            </w:rPr>
            <w:fldChar w:fldCharType="end"/>
          </w:r>
        </w:p>
        <w:p w14:paraId="3960D134">
          <w:pPr>
            <w:pStyle w:val="56"/>
            <w:tabs>
              <w:tab w:val="right" w:leader="dot" w:pos="9070"/>
            </w:tabs>
            <w:spacing w:line="360" w:lineRule="auto"/>
            <w:rPr>
              <w:rFonts w:ascii="宋体" w:hAnsi="宋体" w:cs="宋体"/>
              <w:color w:val="auto"/>
              <w:sz w:val="32"/>
              <w:szCs w:val="32"/>
              <w:highlight w:val="none"/>
            </w:rPr>
          </w:pPr>
          <w:r>
            <w:rPr>
              <w:color w:val="auto"/>
              <w:highlight w:val="none"/>
            </w:rPr>
            <w:fldChar w:fldCharType="begin"/>
          </w:r>
          <w:r>
            <w:rPr>
              <w:color w:val="auto"/>
              <w:highlight w:val="none"/>
            </w:rPr>
            <w:instrText xml:space="preserve"> HYPERLINK \l "_Toc29935" </w:instrText>
          </w:r>
          <w:r>
            <w:rPr>
              <w:color w:val="auto"/>
              <w:highlight w:val="none"/>
            </w:rPr>
            <w:fldChar w:fldCharType="separate"/>
          </w:r>
          <w:r>
            <w:rPr>
              <w:rFonts w:hint="eastAsia" w:ascii="宋体" w:hAnsi="宋体" w:cs="宋体"/>
              <w:color w:val="auto"/>
              <w:sz w:val="32"/>
              <w:szCs w:val="32"/>
              <w:highlight w:val="none"/>
            </w:rPr>
            <w:t>第三章 项目需求</w:t>
          </w:r>
          <w:r>
            <w:rPr>
              <w:rFonts w:hint="eastAsia" w:ascii="宋体" w:hAnsi="宋体" w:cs="宋体"/>
              <w:color w:val="auto"/>
              <w:sz w:val="32"/>
              <w:szCs w:val="32"/>
              <w:highlight w:val="none"/>
            </w:rPr>
            <w:tab/>
          </w:r>
          <w:r>
            <w:rPr>
              <w:rFonts w:hint="eastAsia" w:ascii="宋体" w:hAnsi="宋体" w:cs="宋体"/>
              <w:color w:val="auto"/>
              <w:sz w:val="32"/>
              <w:szCs w:val="32"/>
              <w:highlight w:val="none"/>
            </w:rPr>
            <w:fldChar w:fldCharType="begin"/>
          </w:r>
          <w:r>
            <w:rPr>
              <w:rFonts w:hint="eastAsia" w:ascii="宋体" w:hAnsi="宋体" w:cs="宋体"/>
              <w:color w:val="auto"/>
              <w:sz w:val="32"/>
              <w:szCs w:val="32"/>
              <w:highlight w:val="none"/>
            </w:rPr>
            <w:instrText xml:space="preserve"> PAGEREF _Toc29935 </w:instrText>
          </w:r>
          <w:r>
            <w:rPr>
              <w:rFonts w:hint="eastAsia" w:ascii="宋体" w:hAnsi="宋体" w:cs="宋体"/>
              <w:color w:val="auto"/>
              <w:sz w:val="32"/>
              <w:szCs w:val="32"/>
              <w:highlight w:val="none"/>
            </w:rPr>
            <w:fldChar w:fldCharType="separate"/>
          </w:r>
          <w:r>
            <w:rPr>
              <w:rFonts w:hint="eastAsia" w:ascii="宋体" w:hAnsi="宋体" w:cs="宋体"/>
              <w:color w:val="auto"/>
              <w:sz w:val="32"/>
              <w:szCs w:val="32"/>
              <w:highlight w:val="none"/>
            </w:rPr>
            <w:t>17</w:t>
          </w:r>
          <w:r>
            <w:rPr>
              <w:rFonts w:hint="eastAsia" w:ascii="宋体" w:hAnsi="宋体" w:cs="宋体"/>
              <w:color w:val="auto"/>
              <w:sz w:val="32"/>
              <w:szCs w:val="32"/>
              <w:highlight w:val="none"/>
            </w:rPr>
            <w:fldChar w:fldCharType="end"/>
          </w:r>
          <w:r>
            <w:rPr>
              <w:rFonts w:hint="eastAsia" w:ascii="宋体" w:hAnsi="宋体" w:cs="宋体"/>
              <w:color w:val="auto"/>
              <w:sz w:val="32"/>
              <w:szCs w:val="32"/>
              <w:highlight w:val="none"/>
            </w:rPr>
            <w:fldChar w:fldCharType="end"/>
          </w:r>
        </w:p>
        <w:p w14:paraId="69F778D9">
          <w:pPr>
            <w:pStyle w:val="56"/>
            <w:tabs>
              <w:tab w:val="right" w:leader="dot" w:pos="9070"/>
            </w:tabs>
            <w:spacing w:line="360" w:lineRule="auto"/>
            <w:rPr>
              <w:rFonts w:ascii="宋体" w:hAnsi="宋体" w:cs="宋体"/>
              <w:color w:val="auto"/>
              <w:sz w:val="32"/>
              <w:szCs w:val="32"/>
              <w:highlight w:val="none"/>
            </w:rPr>
          </w:pPr>
          <w:r>
            <w:rPr>
              <w:color w:val="auto"/>
              <w:highlight w:val="none"/>
            </w:rPr>
            <w:fldChar w:fldCharType="begin"/>
          </w:r>
          <w:r>
            <w:rPr>
              <w:color w:val="auto"/>
              <w:highlight w:val="none"/>
            </w:rPr>
            <w:instrText xml:space="preserve"> HYPERLINK \l "_Toc19531" </w:instrText>
          </w:r>
          <w:r>
            <w:rPr>
              <w:color w:val="auto"/>
              <w:highlight w:val="none"/>
            </w:rPr>
            <w:fldChar w:fldCharType="separate"/>
          </w:r>
          <w:r>
            <w:rPr>
              <w:rFonts w:hint="eastAsia" w:ascii="宋体" w:hAnsi="宋体" w:cs="宋体"/>
              <w:color w:val="auto"/>
              <w:sz w:val="32"/>
              <w:szCs w:val="32"/>
              <w:highlight w:val="none"/>
            </w:rPr>
            <w:t>第四章 磋商</w:t>
          </w:r>
          <w:r>
            <w:rPr>
              <w:rFonts w:hint="eastAsia" w:ascii="宋体" w:hAnsi="宋体" w:cs="宋体"/>
              <w:color w:val="auto"/>
              <w:sz w:val="32"/>
              <w:szCs w:val="32"/>
              <w:highlight w:val="none"/>
            </w:rPr>
            <w:tab/>
          </w:r>
          <w:r>
            <w:rPr>
              <w:rFonts w:hint="eastAsia" w:ascii="宋体" w:hAnsi="宋体" w:cs="宋体"/>
              <w:color w:val="auto"/>
              <w:sz w:val="32"/>
              <w:szCs w:val="32"/>
              <w:highlight w:val="none"/>
            </w:rPr>
            <w:fldChar w:fldCharType="begin"/>
          </w:r>
          <w:r>
            <w:rPr>
              <w:rFonts w:hint="eastAsia" w:ascii="宋体" w:hAnsi="宋体" w:cs="宋体"/>
              <w:color w:val="auto"/>
              <w:sz w:val="32"/>
              <w:szCs w:val="32"/>
              <w:highlight w:val="none"/>
            </w:rPr>
            <w:instrText xml:space="preserve"> PAGEREF _Toc19531 </w:instrText>
          </w:r>
          <w:r>
            <w:rPr>
              <w:rFonts w:hint="eastAsia" w:ascii="宋体" w:hAnsi="宋体" w:cs="宋体"/>
              <w:color w:val="auto"/>
              <w:sz w:val="32"/>
              <w:szCs w:val="32"/>
              <w:highlight w:val="none"/>
            </w:rPr>
            <w:fldChar w:fldCharType="separate"/>
          </w:r>
          <w:r>
            <w:rPr>
              <w:rFonts w:hint="eastAsia" w:ascii="宋体" w:hAnsi="宋体" w:cs="宋体"/>
              <w:color w:val="auto"/>
              <w:sz w:val="32"/>
              <w:szCs w:val="32"/>
              <w:highlight w:val="none"/>
            </w:rPr>
            <w:t>27</w:t>
          </w:r>
          <w:r>
            <w:rPr>
              <w:rFonts w:hint="eastAsia" w:ascii="宋体" w:hAnsi="宋体" w:cs="宋体"/>
              <w:color w:val="auto"/>
              <w:sz w:val="32"/>
              <w:szCs w:val="32"/>
              <w:highlight w:val="none"/>
            </w:rPr>
            <w:fldChar w:fldCharType="end"/>
          </w:r>
          <w:r>
            <w:rPr>
              <w:rFonts w:hint="eastAsia" w:ascii="宋体" w:hAnsi="宋体" w:cs="宋体"/>
              <w:color w:val="auto"/>
              <w:sz w:val="32"/>
              <w:szCs w:val="32"/>
              <w:highlight w:val="none"/>
            </w:rPr>
            <w:fldChar w:fldCharType="end"/>
          </w:r>
        </w:p>
        <w:p w14:paraId="5ACE4AC8">
          <w:pPr>
            <w:pStyle w:val="56"/>
            <w:tabs>
              <w:tab w:val="right" w:leader="dot" w:pos="9070"/>
            </w:tabs>
            <w:spacing w:line="360" w:lineRule="auto"/>
            <w:rPr>
              <w:rFonts w:ascii="宋体" w:hAnsi="宋体" w:cs="宋体"/>
              <w:color w:val="auto"/>
              <w:sz w:val="32"/>
              <w:szCs w:val="32"/>
              <w:highlight w:val="none"/>
            </w:rPr>
          </w:pPr>
          <w:r>
            <w:rPr>
              <w:color w:val="auto"/>
              <w:highlight w:val="none"/>
            </w:rPr>
            <w:fldChar w:fldCharType="begin"/>
          </w:r>
          <w:r>
            <w:rPr>
              <w:color w:val="auto"/>
              <w:highlight w:val="none"/>
            </w:rPr>
            <w:instrText xml:space="preserve"> HYPERLINK \l "_Toc21781" </w:instrText>
          </w:r>
          <w:r>
            <w:rPr>
              <w:color w:val="auto"/>
              <w:highlight w:val="none"/>
            </w:rPr>
            <w:fldChar w:fldCharType="separate"/>
          </w:r>
          <w:r>
            <w:rPr>
              <w:rFonts w:hint="eastAsia" w:ascii="宋体" w:hAnsi="宋体" w:cs="宋体"/>
              <w:color w:val="auto"/>
              <w:sz w:val="32"/>
              <w:szCs w:val="32"/>
              <w:highlight w:val="none"/>
            </w:rPr>
            <w:t>第五章 拟签订的合同文本</w:t>
          </w:r>
          <w:r>
            <w:rPr>
              <w:rFonts w:hint="eastAsia" w:ascii="宋体" w:hAnsi="宋体" w:cs="宋体"/>
              <w:color w:val="auto"/>
              <w:sz w:val="32"/>
              <w:szCs w:val="32"/>
              <w:highlight w:val="none"/>
            </w:rPr>
            <w:tab/>
          </w:r>
          <w:r>
            <w:rPr>
              <w:rFonts w:hint="eastAsia" w:ascii="宋体" w:hAnsi="宋体" w:cs="宋体"/>
              <w:color w:val="auto"/>
              <w:sz w:val="32"/>
              <w:szCs w:val="32"/>
              <w:highlight w:val="none"/>
            </w:rPr>
            <w:fldChar w:fldCharType="begin"/>
          </w:r>
          <w:r>
            <w:rPr>
              <w:rFonts w:hint="eastAsia" w:ascii="宋体" w:hAnsi="宋体" w:cs="宋体"/>
              <w:color w:val="auto"/>
              <w:sz w:val="32"/>
              <w:szCs w:val="32"/>
              <w:highlight w:val="none"/>
            </w:rPr>
            <w:instrText xml:space="preserve"> PAGEREF _Toc21781 </w:instrText>
          </w:r>
          <w:r>
            <w:rPr>
              <w:rFonts w:hint="eastAsia" w:ascii="宋体" w:hAnsi="宋体" w:cs="宋体"/>
              <w:color w:val="auto"/>
              <w:sz w:val="32"/>
              <w:szCs w:val="32"/>
              <w:highlight w:val="none"/>
            </w:rPr>
            <w:fldChar w:fldCharType="separate"/>
          </w:r>
          <w:r>
            <w:rPr>
              <w:rFonts w:hint="eastAsia" w:ascii="宋体" w:hAnsi="宋体" w:cs="宋体"/>
              <w:color w:val="auto"/>
              <w:sz w:val="32"/>
              <w:szCs w:val="32"/>
              <w:highlight w:val="none"/>
            </w:rPr>
            <w:t>37</w:t>
          </w:r>
          <w:r>
            <w:rPr>
              <w:rFonts w:hint="eastAsia" w:ascii="宋体" w:hAnsi="宋体" w:cs="宋体"/>
              <w:color w:val="auto"/>
              <w:sz w:val="32"/>
              <w:szCs w:val="32"/>
              <w:highlight w:val="none"/>
            </w:rPr>
            <w:fldChar w:fldCharType="end"/>
          </w:r>
          <w:r>
            <w:rPr>
              <w:rFonts w:hint="eastAsia" w:ascii="宋体" w:hAnsi="宋体" w:cs="宋体"/>
              <w:color w:val="auto"/>
              <w:sz w:val="32"/>
              <w:szCs w:val="32"/>
              <w:highlight w:val="none"/>
            </w:rPr>
            <w:fldChar w:fldCharType="end"/>
          </w:r>
        </w:p>
        <w:p w14:paraId="0E38E367">
          <w:pPr>
            <w:pStyle w:val="56"/>
            <w:tabs>
              <w:tab w:val="right" w:leader="dot" w:pos="9070"/>
            </w:tabs>
            <w:spacing w:line="360" w:lineRule="auto"/>
            <w:rPr>
              <w:rFonts w:ascii="宋体" w:hAnsi="宋体" w:cs="宋体"/>
              <w:color w:val="auto"/>
              <w:sz w:val="32"/>
              <w:szCs w:val="32"/>
              <w:highlight w:val="none"/>
            </w:rPr>
          </w:pPr>
          <w:r>
            <w:rPr>
              <w:color w:val="auto"/>
              <w:highlight w:val="none"/>
            </w:rPr>
            <w:fldChar w:fldCharType="begin"/>
          </w:r>
          <w:r>
            <w:rPr>
              <w:color w:val="auto"/>
              <w:highlight w:val="none"/>
            </w:rPr>
            <w:instrText xml:space="preserve"> HYPERLINK \l "_Toc22166" </w:instrText>
          </w:r>
          <w:r>
            <w:rPr>
              <w:color w:val="auto"/>
              <w:highlight w:val="none"/>
            </w:rPr>
            <w:fldChar w:fldCharType="separate"/>
          </w:r>
          <w:r>
            <w:rPr>
              <w:rFonts w:hint="eastAsia" w:ascii="宋体" w:hAnsi="宋体" w:cs="宋体"/>
              <w:color w:val="auto"/>
              <w:sz w:val="32"/>
              <w:szCs w:val="32"/>
              <w:highlight w:val="none"/>
            </w:rPr>
            <w:t>第六章 响应文件格式</w:t>
          </w:r>
          <w:r>
            <w:rPr>
              <w:rFonts w:hint="eastAsia" w:ascii="宋体" w:hAnsi="宋体" w:cs="宋体"/>
              <w:color w:val="auto"/>
              <w:sz w:val="32"/>
              <w:szCs w:val="32"/>
              <w:highlight w:val="none"/>
            </w:rPr>
            <w:tab/>
          </w:r>
          <w:r>
            <w:rPr>
              <w:rFonts w:hint="eastAsia" w:ascii="宋体" w:hAnsi="宋体" w:cs="宋体"/>
              <w:color w:val="auto"/>
              <w:sz w:val="32"/>
              <w:szCs w:val="32"/>
              <w:highlight w:val="none"/>
            </w:rPr>
            <w:t>4</w:t>
          </w:r>
          <w:r>
            <w:rPr>
              <w:rFonts w:hint="eastAsia" w:ascii="宋体" w:hAnsi="宋体" w:cs="宋体"/>
              <w:color w:val="auto"/>
              <w:sz w:val="32"/>
              <w:szCs w:val="32"/>
              <w:highlight w:val="none"/>
            </w:rPr>
            <w:fldChar w:fldCharType="end"/>
          </w:r>
          <w:r>
            <w:rPr>
              <w:rFonts w:hint="eastAsia" w:ascii="宋体" w:hAnsi="宋体" w:cs="宋体"/>
              <w:color w:val="auto"/>
              <w:sz w:val="32"/>
              <w:szCs w:val="32"/>
              <w:highlight w:val="none"/>
            </w:rPr>
            <w:t>1</w:t>
          </w:r>
        </w:p>
        <w:p w14:paraId="117B61BD">
          <w:pPr>
            <w:spacing w:line="360" w:lineRule="auto"/>
            <w:rPr>
              <w:color w:val="auto"/>
              <w:sz w:val="28"/>
              <w:szCs w:val="28"/>
              <w:highlight w:val="none"/>
            </w:rPr>
          </w:pPr>
          <w:r>
            <w:rPr>
              <w:rFonts w:hint="eastAsia" w:ascii="宋体" w:hAnsi="宋体" w:cs="宋体"/>
              <w:color w:val="auto"/>
              <w:sz w:val="32"/>
              <w:szCs w:val="32"/>
              <w:highlight w:val="none"/>
            </w:rPr>
            <w:fldChar w:fldCharType="end"/>
          </w:r>
        </w:p>
      </w:sdtContent>
    </w:sdt>
    <w:p w14:paraId="407677AC">
      <w:pPr>
        <w:spacing w:line="360" w:lineRule="auto"/>
        <w:rPr>
          <w:color w:val="auto"/>
          <w:highlight w:val="none"/>
        </w:rPr>
      </w:pPr>
    </w:p>
    <w:p w14:paraId="340D6728">
      <w:pPr>
        <w:spacing w:line="360" w:lineRule="auto"/>
        <w:rPr>
          <w:color w:val="auto"/>
          <w:highlight w:val="none"/>
        </w:rPr>
      </w:pPr>
    </w:p>
    <w:p w14:paraId="064A32A6">
      <w:pPr>
        <w:spacing w:line="360" w:lineRule="auto"/>
        <w:rPr>
          <w:color w:val="auto"/>
          <w:highlight w:val="none"/>
        </w:rPr>
      </w:pPr>
    </w:p>
    <w:p w14:paraId="6311266B">
      <w:pPr>
        <w:spacing w:line="360" w:lineRule="auto"/>
        <w:rPr>
          <w:color w:val="auto"/>
          <w:highlight w:val="none"/>
        </w:rPr>
      </w:pPr>
    </w:p>
    <w:p w14:paraId="0D1F5596">
      <w:pPr>
        <w:spacing w:line="360" w:lineRule="auto"/>
        <w:rPr>
          <w:color w:val="auto"/>
          <w:highlight w:val="none"/>
        </w:rPr>
      </w:pPr>
    </w:p>
    <w:p w14:paraId="7D2551D3">
      <w:pPr>
        <w:spacing w:line="360" w:lineRule="auto"/>
        <w:rPr>
          <w:color w:val="auto"/>
          <w:highlight w:val="none"/>
        </w:rPr>
      </w:pPr>
    </w:p>
    <w:p w14:paraId="096F2F03">
      <w:pPr>
        <w:spacing w:line="360" w:lineRule="auto"/>
        <w:rPr>
          <w:color w:val="auto"/>
          <w:highlight w:val="none"/>
        </w:rPr>
      </w:pPr>
    </w:p>
    <w:p w14:paraId="2C5C7B1C">
      <w:pPr>
        <w:spacing w:line="360" w:lineRule="auto"/>
        <w:rPr>
          <w:color w:val="auto"/>
          <w:highlight w:val="none"/>
        </w:rPr>
      </w:pPr>
    </w:p>
    <w:p w14:paraId="0E95063F">
      <w:pPr>
        <w:spacing w:line="360" w:lineRule="auto"/>
        <w:rPr>
          <w:color w:val="auto"/>
          <w:highlight w:val="none"/>
        </w:rPr>
      </w:pPr>
    </w:p>
    <w:p w14:paraId="1FC92AC4">
      <w:pPr>
        <w:spacing w:line="360" w:lineRule="auto"/>
        <w:rPr>
          <w:color w:val="auto"/>
          <w:highlight w:val="none"/>
        </w:rPr>
      </w:pPr>
    </w:p>
    <w:p w14:paraId="130F7501">
      <w:pPr>
        <w:spacing w:line="360" w:lineRule="auto"/>
        <w:rPr>
          <w:color w:val="auto"/>
          <w:highlight w:val="none"/>
        </w:rPr>
      </w:pPr>
    </w:p>
    <w:p w14:paraId="5048FAE3">
      <w:pPr>
        <w:spacing w:line="360" w:lineRule="auto"/>
        <w:rPr>
          <w:color w:val="auto"/>
          <w:highlight w:val="none"/>
        </w:rPr>
      </w:pPr>
    </w:p>
    <w:p w14:paraId="0BE96FE7">
      <w:pPr>
        <w:spacing w:line="360" w:lineRule="auto"/>
        <w:rPr>
          <w:color w:val="auto"/>
          <w:highlight w:val="none"/>
        </w:rPr>
      </w:pPr>
    </w:p>
    <w:p w14:paraId="20C252E8">
      <w:pPr>
        <w:spacing w:line="360" w:lineRule="auto"/>
        <w:rPr>
          <w:color w:val="auto"/>
          <w:highlight w:val="none"/>
        </w:rPr>
      </w:pPr>
    </w:p>
    <w:p w14:paraId="7FA10A7C">
      <w:pPr>
        <w:spacing w:line="360" w:lineRule="auto"/>
        <w:rPr>
          <w:color w:val="auto"/>
          <w:highlight w:val="none"/>
        </w:rPr>
      </w:pPr>
    </w:p>
    <w:p w14:paraId="15EE218C">
      <w:pPr>
        <w:rPr>
          <w:rFonts w:asciiTheme="majorEastAsia" w:hAnsiTheme="majorEastAsia" w:eastAsiaTheme="majorEastAsia"/>
          <w:b/>
          <w:color w:val="auto"/>
          <w:sz w:val="36"/>
          <w:szCs w:val="36"/>
          <w:highlight w:val="none"/>
        </w:rPr>
      </w:pPr>
      <w:r>
        <w:rPr>
          <w:rFonts w:hint="eastAsia" w:asciiTheme="majorEastAsia" w:hAnsiTheme="majorEastAsia" w:eastAsiaTheme="majorEastAsia"/>
          <w:b/>
          <w:color w:val="auto"/>
          <w:kern w:val="0"/>
          <w:sz w:val="36"/>
          <w:szCs w:val="36"/>
          <w:highlight w:val="none"/>
        </w:rPr>
        <w:br w:type="page"/>
      </w:r>
    </w:p>
    <w:p w14:paraId="21D171F6">
      <w:pPr>
        <w:numPr>
          <w:ilvl w:val="0"/>
          <w:numId w:val="3"/>
        </w:numPr>
        <w:tabs>
          <w:tab w:val="left" w:pos="180"/>
          <w:tab w:val="left" w:pos="360"/>
          <w:tab w:val="left" w:pos="540"/>
          <w:tab w:val="left" w:pos="8280"/>
        </w:tabs>
        <w:autoSpaceDE w:val="0"/>
        <w:autoSpaceDN w:val="0"/>
        <w:adjustRightInd w:val="0"/>
        <w:spacing w:line="360" w:lineRule="auto"/>
        <w:ind w:right="23"/>
        <w:jc w:val="center"/>
        <w:outlineLvl w:val="0"/>
        <w:rPr>
          <w:rFonts w:asciiTheme="majorEastAsia" w:hAnsiTheme="majorEastAsia" w:eastAsiaTheme="majorEastAsia"/>
          <w:b/>
          <w:color w:val="auto"/>
          <w:sz w:val="36"/>
          <w:szCs w:val="36"/>
          <w:highlight w:val="none"/>
        </w:rPr>
      </w:pPr>
      <w:bookmarkStart w:id="0" w:name="_Toc32401"/>
      <w:r>
        <w:rPr>
          <w:rFonts w:hint="eastAsia" w:asciiTheme="majorEastAsia" w:hAnsiTheme="majorEastAsia" w:eastAsiaTheme="majorEastAsia"/>
          <w:b/>
          <w:color w:val="auto"/>
          <w:kern w:val="0"/>
          <w:sz w:val="36"/>
          <w:szCs w:val="36"/>
          <w:highlight w:val="none"/>
        </w:rPr>
        <w:t>磋商邀请</w:t>
      </w:r>
      <w:bookmarkEnd w:id="0"/>
    </w:p>
    <w:p w14:paraId="005C9E94">
      <w:pPr>
        <w:pStyle w:val="3"/>
        <w:spacing w:line="336" w:lineRule="auto"/>
        <w:ind w:right="0" w:firstLine="480" w:firstLineChars="200"/>
        <w:rPr>
          <w:rFonts w:asciiTheme="minorEastAsia" w:hAnsiTheme="minorEastAsia" w:eastAsiaTheme="minorEastAsia" w:cstheme="minorEastAsia"/>
          <w:b w:val="0"/>
          <w:color w:val="auto"/>
          <w:sz w:val="24"/>
          <w:szCs w:val="24"/>
          <w:highlight w:val="none"/>
        </w:rPr>
      </w:pPr>
      <w:bookmarkStart w:id="1" w:name="_Toc35393621"/>
      <w:bookmarkStart w:id="2" w:name="_Toc35393790"/>
      <w:bookmarkStart w:id="3" w:name="_Toc28359002"/>
      <w:bookmarkStart w:id="4" w:name="_Toc28359079"/>
      <w:bookmarkStart w:id="5" w:name="_Hlk24379207"/>
      <w:r>
        <w:rPr>
          <w:rFonts w:hint="eastAsia" w:asciiTheme="minorEastAsia" w:hAnsiTheme="minorEastAsia" w:eastAsiaTheme="minorEastAsia" w:cstheme="minorEastAsia"/>
          <w:b w:val="0"/>
          <w:color w:val="auto"/>
          <w:sz w:val="24"/>
          <w:szCs w:val="24"/>
          <w:highlight w:val="none"/>
          <w:u w:val="single"/>
        </w:rPr>
        <w:t>台州市建设咨询有限公司</w:t>
      </w:r>
      <w:r>
        <w:rPr>
          <w:rFonts w:hint="eastAsia" w:asciiTheme="minorEastAsia" w:hAnsiTheme="minorEastAsia" w:eastAsiaTheme="minorEastAsia" w:cstheme="minorEastAsia"/>
          <w:b w:val="0"/>
          <w:color w:val="auto"/>
          <w:sz w:val="24"/>
          <w:szCs w:val="24"/>
          <w:highlight w:val="none"/>
        </w:rPr>
        <w:t>受</w:t>
      </w:r>
      <w:r>
        <w:rPr>
          <w:rFonts w:hint="eastAsia" w:cs="宋体"/>
          <w:b w:val="0"/>
          <w:color w:val="000000" w:themeColor="text1"/>
          <w:sz w:val="24"/>
          <w:szCs w:val="24"/>
          <w:highlight w:val="none"/>
          <w:u w:val="single"/>
          <w:lang w:eastAsia="zh-CN"/>
          <w14:textFill>
            <w14:solidFill>
              <w14:schemeClr w14:val="tx1"/>
            </w14:solidFill>
          </w14:textFill>
        </w:rPr>
        <w:t>台州市椒江区人民政府前所街道办事处</w:t>
      </w:r>
      <w:r>
        <w:rPr>
          <w:rFonts w:hint="eastAsia" w:asciiTheme="minorEastAsia" w:hAnsiTheme="minorEastAsia" w:eastAsiaTheme="minorEastAsia" w:cstheme="minorEastAsia"/>
          <w:b w:val="0"/>
          <w:color w:val="auto"/>
          <w:sz w:val="24"/>
          <w:szCs w:val="24"/>
          <w:highlight w:val="none"/>
        </w:rPr>
        <w:t>委托，就</w:t>
      </w:r>
      <w:r>
        <w:rPr>
          <w:rFonts w:hint="eastAsia" w:cs="宋体"/>
          <w:b w:val="0"/>
          <w:color w:val="000000" w:themeColor="text1"/>
          <w:sz w:val="24"/>
          <w:szCs w:val="24"/>
          <w:highlight w:val="none"/>
          <w:u w:val="single"/>
          <w:lang w:eastAsia="zh-CN"/>
          <w14:textFill>
            <w14:solidFill>
              <w14:schemeClr w14:val="tx1"/>
            </w14:solidFill>
          </w14:textFill>
        </w:rPr>
        <w:t xml:space="preserve">台州市椒江区前所街道椒北南渠（大树岙村段）综合整治工程 </w:t>
      </w:r>
      <w:r>
        <w:rPr>
          <w:rFonts w:hint="eastAsia" w:cs="宋体"/>
          <w:b w:val="0"/>
          <w:color w:val="000000" w:themeColor="text1"/>
          <w:sz w:val="24"/>
          <w:szCs w:val="24"/>
          <w:highlight w:val="none"/>
          <w:u w:val="single"/>
          <w:lang w:val="en-US" w:eastAsia="zh-CN"/>
          <w14:textFill>
            <w14:solidFill>
              <w14:schemeClr w14:val="tx1"/>
            </w14:solidFill>
          </w14:textFill>
        </w:rPr>
        <w:t>项目</w:t>
      </w:r>
      <w:r>
        <w:rPr>
          <w:rFonts w:hint="eastAsia" w:asciiTheme="minorEastAsia" w:hAnsiTheme="minorEastAsia" w:eastAsiaTheme="minorEastAsia" w:cstheme="minorEastAsia"/>
          <w:b w:val="0"/>
          <w:color w:val="auto"/>
          <w:sz w:val="24"/>
          <w:szCs w:val="24"/>
          <w:highlight w:val="none"/>
        </w:rPr>
        <w:t>进行竞争性磋商，欢迎符合资格条件的国内供应商前来磋商。</w:t>
      </w:r>
    </w:p>
    <w:p w14:paraId="478E501E">
      <w:pPr>
        <w:pStyle w:val="3"/>
        <w:spacing w:line="336" w:lineRule="auto"/>
        <w:ind w:right="0" w:firstLine="482" w:firstLineChars="200"/>
        <w:rPr>
          <w:rFonts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一、项目基本情况</w:t>
      </w:r>
      <w:bookmarkEnd w:id="1"/>
      <w:bookmarkEnd w:id="2"/>
      <w:bookmarkEnd w:id="3"/>
      <w:bookmarkEnd w:id="4"/>
    </w:p>
    <w:p w14:paraId="56BCD089">
      <w:pPr>
        <w:keepNext w:val="0"/>
        <w:keepLines w:val="0"/>
        <w:widowControl/>
        <w:suppressLineNumbers w:val="0"/>
        <w:ind w:firstLine="480" w:firstLineChars="200"/>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项目编号：</w:t>
      </w:r>
      <w:r>
        <w:rPr>
          <w:rFonts w:hint="eastAsia" w:ascii="宋体" w:hAnsi="宋体" w:eastAsia="宋体" w:cs="宋体"/>
          <w:color w:val="000000"/>
          <w:kern w:val="0"/>
          <w:sz w:val="24"/>
          <w:szCs w:val="24"/>
          <w:highlight w:val="none"/>
          <w:lang w:val="en-US" w:eastAsia="zh-CN" w:bidi="ar"/>
        </w:rPr>
        <w:t>椒财采确临[2025]308号</w:t>
      </w:r>
      <w:bookmarkStart w:id="95" w:name="_GoBack"/>
      <w:bookmarkEnd w:id="95"/>
    </w:p>
    <w:bookmarkEnd w:id="5"/>
    <w:p w14:paraId="51465F34">
      <w:pPr>
        <w:spacing w:line="336" w:lineRule="auto"/>
        <w:ind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项目名称：</w:t>
      </w:r>
      <w:r>
        <w:rPr>
          <w:rFonts w:hint="eastAsia" w:asciiTheme="minorEastAsia" w:hAnsiTheme="minorEastAsia" w:eastAsiaTheme="minorEastAsia" w:cstheme="minorEastAsia"/>
          <w:color w:val="auto"/>
          <w:sz w:val="24"/>
          <w:highlight w:val="none"/>
          <w:lang w:eastAsia="zh-CN"/>
        </w:rPr>
        <w:t xml:space="preserve">台州市椒江区前所街道椒北南渠（大树岙村段）综合整治工程 </w:t>
      </w:r>
    </w:p>
    <w:tbl>
      <w:tblPr>
        <w:tblStyle w:val="24"/>
        <w:tblpPr w:leftFromText="181" w:rightFromText="181" w:bottomFromText="170" w:vertAnchor="text" w:tblpXSpec="center" w:tblpY="1"/>
        <w:tblOverlap w:val="never"/>
        <w:tblW w:w="1042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37"/>
        <w:gridCol w:w="2683"/>
        <w:gridCol w:w="2025"/>
        <w:gridCol w:w="2339"/>
        <w:gridCol w:w="2339"/>
      </w:tblGrid>
      <w:tr w14:paraId="1AFAD4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5" w:hRule="atLeast"/>
          <w:jc w:val="center"/>
        </w:trPr>
        <w:tc>
          <w:tcPr>
            <w:tcW w:w="1037" w:type="dxa"/>
            <w:noWrap w:val="0"/>
            <w:vAlign w:val="center"/>
          </w:tcPr>
          <w:p w14:paraId="21BAE1FE">
            <w:pPr>
              <w:widowControl/>
              <w:spacing w:line="400" w:lineRule="exact"/>
              <w:jc w:val="center"/>
              <w:rPr>
                <w:rFonts w:hint="eastAsia" w:ascii="宋体" w:hAnsi="宋体" w:cs="宋体"/>
                <w:b/>
                <w:color w:val="auto"/>
                <w:szCs w:val="21"/>
                <w:highlight w:val="none"/>
              </w:rPr>
            </w:pPr>
            <w:bookmarkStart w:id="6" w:name="_Toc28359080"/>
            <w:bookmarkStart w:id="7" w:name="_Toc35393791"/>
            <w:bookmarkStart w:id="8" w:name="_Toc28359003"/>
            <w:bookmarkStart w:id="9" w:name="_Toc35393622"/>
            <w:r>
              <w:rPr>
                <w:rFonts w:hint="eastAsia" w:ascii="微软雅黑" w:hAnsi="微软雅黑" w:eastAsia="微软雅黑" w:cs="微软雅黑"/>
                <w:b/>
                <w:color w:val="auto"/>
                <w:kern w:val="0"/>
                <w:sz w:val="24"/>
                <w:szCs w:val="24"/>
                <w:highlight w:val="none"/>
              </w:rPr>
              <w:t>编号</w:t>
            </w:r>
          </w:p>
        </w:tc>
        <w:tc>
          <w:tcPr>
            <w:tcW w:w="2683" w:type="dxa"/>
            <w:noWrap w:val="0"/>
            <w:vAlign w:val="center"/>
          </w:tcPr>
          <w:p w14:paraId="62D30649">
            <w:pPr>
              <w:widowControl/>
              <w:spacing w:line="400" w:lineRule="exact"/>
              <w:jc w:val="center"/>
              <w:rPr>
                <w:rFonts w:hint="eastAsia" w:ascii="宋体" w:hAnsi="宋体" w:cs="宋体"/>
                <w:b/>
                <w:color w:val="auto"/>
                <w:szCs w:val="21"/>
                <w:highlight w:val="none"/>
              </w:rPr>
            </w:pPr>
            <w:r>
              <w:rPr>
                <w:rFonts w:hint="eastAsia" w:ascii="微软雅黑" w:hAnsi="微软雅黑" w:eastAsia="微软雅黑" w:cs="微软雅黑"/>
                <w:b/>
                <w:color w:val="auto"/>
                <w:kern w:val="0"/>
                <w:sz w:val="24"/>
                <w:szCs w:val="24"/>
                <w:highlight w:val="none"/>
              </w:rPr>
              <w:t>采购内容</w:t>
            </w:r>
          </w:p>
        </w:tc>
        <w:tc>
          <w:tcPr>
            <w:tcW w:w="2025" w:type="dxa"/>
            <w:noWrap w:val="0"/>
            <w:vAlign w:val="center"/>
          </w:tcPr>
          <w:p w14:paraId="2846D976">
            <w:pPr>
              <w:tabs>
                <w:tab w:val="left" w:pos="8280"/>
              </w:tabs>
              <w:autoSpaceDE w:val="0"/>
              <w:autoSpaceDN w:val="0"/>
              <w:adjustRightInd w:val="0"/>
              <w:ind w:right="25" w:rightChars="0"/>
              <w:jc w:val="center"/>
              <w:rPr>
                <w:rFonts w:hint="eastAsia" w:ascii="微软雅黑" w:hAnsi="微软雅黑" w:eastAsia="微软雅黑" w:cs="微软雅黑"/>
                <w:b/>
                <w:color w:val="auto"/>
                <w:kern w:val="0"/>
                <w:sz w:val="24"/>
                <w:szCs w:val="24"/>
                <w:highlight w:val="none"/>
                <w:lang w:val="en-US" w:eastAsia="zh-CN"/>
              </w:rPr>
            </w:pPr>
            <w:r>
              <w:rPr>
                <w:rFonts w:hint="eastAsia" w:ascii="宋体" w:hAnsi="宋体"/>
                <w:b/>
                <w:sz w:val="24"/>
                <w:highlight w:val="none"/>
              </w:rPr>
              <w:t>预算（元）</w:t>
            </w:r>
          </w:p>
        </w:tc>
        <w:tc>
          <w:tcPr>
            <w:tcW w:w="2339" w:type="dxa"/>
            <w:noWrap w:val="0"/>
            <w:vAlign w:val="center"/>
          </w:tcPr>
          <w:p w14:paraId="490460EB">
            <w:pPr>
              <w:tabs>
                <w:tab w:val="left" w:pos="8280"/>
              </w:tabs>
              <w:autoSpaceDE w:val="0"/>
              <w:autoSpaceDN w:val="0"/>
              <w:adjustRightInd w:val="0"/>
              <w:ind w:right="25" w:rightChars="0" w:hanging="22" w:firstLineChars="0"/>
              <w:jc w:val="center"/>
              <w:rPr>
                <w:rFonts w:hint="eastAsia" w:ascii="微软雅黑" w:hAnsi="微软雅黑" w:eastAsia="微软雅黑" w:cs="微软雅黑"/>
                <w:b/>
                <w:color w:val="auto"/>
                <w:kern w:val="0"/>
                <w:sz w:val="24"/>
                <w:szCs w:val="24"/>
                <w:highlight w:val="none"/>
                <w:lang w:val="en-US" w:eastAsia="zh-CN"/>
              </w:rPr>
            </w:pPr>
            <w:r>
              <w:rPr>
                <w:rFonts w:hint="eastAsia" w:ascii="宋体" w:hAnsi="宋体"/>
                <w:b/>
                <w:sz w:val="24"/>
                <w:highlight w:val="none"/>
              </w:rPr>
              <w:t>最高限价</w:t>
            </w:r>
            <w:r>
              <w:rPr>
                <w:rFonts w:ascii="宋体" w:hAnsi="宋体"/>
                <w:b/>
                <w:sz w:val="24"/>
                <w:highlight w:val="none"/>
              </w:rPr>
              <w:t>（</w:t>
            </w:r>
            <w:r>
              <w:rPr>
                <w:rFonts w:hint="eastAsia" w:ascii="宋体" w:hAnsi="宋体"/>
                <w:b/>
                <w:sz w:val="24"/>
                <w:highlight w:val="none"/>
              </w:rPr>
              <w:t>元</w:t>
            </w:r>
            <w:r>
              <w:rPr>
                <w:rFonts w:ascii="宋体" w:hAnsi="宋体"/>
                <w:b/>
                <w:sz w:val="24"/>
                <w:highlight w:val="none"/>
              </w:rPr>
              <w:t>）</w:t>
            </w:r>
          </w:p>
        </w:tc>
        <w:tc>
          <w:tcPr>
            <w:tcW w:w="2339" w:type="dxa"/>
            <w:noWrap w:val="0"/>
            <w:vAlign w:val="center"/>
          </w:tcPr>
          <w:p w14:paraId="4D557063">
            <w:pPr>
              <w:keepNext w:val="0"/>
              <w:keepLines w:val="0"/>
              <w:pageBreakBefore w:val="0"/>
              <w:widowControl/>
              <w:kinsoku/>
              <w:wordWrap/>
              <w:overflowPunct/>
              <w:topLinePunct w:val="0"/>
              <w:autoSpaceDE/>
              <w:autoSpaceDN/>
              <w:bidi w:val="0"/>
              <w:adjustRightInd/>
              <w:spacing w:line="400" w:lineRule="exact"/>
              <w:ind w:firstLine="0" w:firstLineChars="0"/>
              <w:jc w:val="center"/>
              <w:textAlignment w:val="auto"/>
              <w:rPr>
                <w:rFonts w:hint="eastAsia" w:ascii="微软雅黑" w:hAnsi="微软雅黑" w:eastAsia="微软雅黑" w:cs="微软雅黑"/>
                <w:b/>
                <w:color w:val="auto"/>
                <w:kern w:val="0"/>
                <w:sz w:val="24"/>
                <w:szCs w:val="24"/>
                <w:highlight w:val="none"/>
                <w:lang w:val="en-US" w:eastAsia="zh-CN"/>
              </w:rPr>
            </w:pPr>
            <w:r>
              <w:rPr>
                <w:rFonts w:hint="eastAsia" w:ascii="微软雅黑" w:hAnsi="微软雅黑" w:eastAsia="微软雅黑" w:cs="微软雅黑"/>
                <w:b/>
                <w:color w:val="auto"/>
                <w:kern w:val="0"/>
                <w:sz w:val="24"/>
                <w:szCs w:val="24"/>
                <w:highlight w:val="none"/>
                <w:lang w:val="en-US" w:eastAsia="zh-CN"/>
              </w:rPr>
              <w:t>工期</w:t>
            </w:r>
          </w:p>
        </w:tc>
      </w:tr>
      <w:tr w14:paraId="05BC6D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3" w:hRule="atLeast"/>
          <w:jc w:val="center"/>
        </w:trPr>
        <w:tc>
          <w:tcPr>
            <w:tcW w:w="1037" w:type="dxa"/>
            <w:noWrap w:val="0"/>
            <w:vAlign w:val="center"/>
          </w:tcPr>
          <w:p w14:paraId="0EC7DF49">
            <w:pPr>
              <w:snapToGrid w:val="0"/>
              <w:spacing w:line="400" w:lineRule="exact"/>
              <w:jc w:val="center"/>
              <w:rPr>
                <w:rFonts w:ascii="宋体" w:hAnsi="宋体" w:cs="宋体"/>
                <w:color w:val="auto"/>
                <w:sz w:val="24"/>
                <w:highlight w:val="none"/>
              </w:rPr>
            </w:pPr>
            <w:r>
              <w:rPr>
                <w:rFonts w:hint="eastAsia" w:ascii="微软雅黑" w:hAnsi="微软雅黑" w:eastAsia="微软雅黑" w:cs="微软雅黑"/>
                <w:color w:val="auto"/>
                <w:sz w:val="24"/>
                <w:szCs w:val="24"/>
                <w:highlight w:val="none"/>
                <w:lang w:val="zh-CN"/>
              </w:rPr>
              <w:t>1</w:t>
            </w:r>
          </w:p>
        </w:tc>
        <w:tc>
          <w:tcPr>
            <w:tcW w:w="2683" w:type="dxa"/>
            <w:noWrap w:val="0"/>
            <w:vAlign w:val="center"/>
          </w:tcPr>
          <w:p w14:paraId="406C13AE">
            <w:pPr>
              <w:snapToGrid w:val="0"/>
              <w:spacing w:line="400" w:lineRule="exact"/>
              <w:jc w:val="center"/>
              <w:rPr>
                <w:rFonts w:hint="eastAsia" w:ascii="宋体" w:hAnsi="宋体"/>
                <w:color w:val="auto"/>
                <w:sz w:val="24"/>
                <w:highlight w:val="none"/>
                <w:lang w:eastAsia="zh-CN"/>
              </w:rPr>
            </w:pPr>
            <w:r>
              <w:rPr>
                <w:rFonts w:hint="eastAsia" w:ascii="宋体" w:hAnsi="宋体"/>
                <w:color w:val="auto"/>
                <w:sz w:val="24"/>
                <w:highlight w:val="none"/>
                <w:lang w:val="en-US" w:eastAsia="zh-CN"/>
              </w:rPr>
              <w:t xml:space="preserve">台州市椒江区前所街道椒北南渠（大树岙村段）综合整治工程 </w:t>
            </w:r>
          </w:p>
        </w:tc>
        <w:tc>
          <w:tcPr>
            <w:tcW w:w="2025" w:type="dxa"/>
            <w:noWrap w:val="0"/>
            <w:vAlign w:val="center"/>
          </w:tcPr>
          <w:p w14:paraId="36AB9DED">
            <w:pPr>
              <w:snapToGrid w:val="0"/>
              <w:spacing w:line="400" w:lineRule="exact"/>
              <w:jc w:val="center"/>
              <w:rPr>
                <w:rFonts w:hint="default" w:ascii="宋体" w:hAnsi="宋体" w:eastAsia="宋体"/>
                <w:color w:val="auto"/>
                <w:sz w:val="24"/>
                <w:highlight w:val="none"/>
                <w:lang w:val="en-US" w:eastAsia="zh-CN"/>
              </w:rPr>
            </w:pPr>
            <w:r>
              <w:rPr>
                <w:rFonts w:hint="eastAsia" w:ascii="宋体" w:hAnsi="宋体" w:eastAsia="宋体" w:cs="Times New Roman"/>
                <w:color w:val="000000"/>
                <w:sz w:val="24"/>
                <w:highlight w:val="none"/>
                <w:lang w:val="en-US" w:eastAsia="zh-CN"/>
              </w:rPr>
              <w:t>1968912</w:t>
            </w:r>
          </w:p>
        </w:tc>
        <w:tc>
          <w:tcPr>
            <w:tcW w:w="2339" w:type="dxa"/>
            <w:noWrap w:val="0"/>
            <w:vAlign w:val="center"/>
          </w:tcPr>
          <w:p w14:paraId="5F3DB599">
            <w:pPr>
              <w:snapToGrid w:val="0"/>
              <w:spacing w:line="400" w:lineRule="exact"/>
              <w:jc w:val="center"/>
              <w:rPr>
                <w:rFonts w:hint="eastAsia" w:ascii="宋体" w:hAnsi="宋体" w:eastAsia="宋体" w:cs="Times New Roman"/>
                <w:color w:val="000000"/>
                <w:sz w:val="24"/>
                <w:highlight w:val="none"/>
                <w:lang w:val="en-US" w:eastAsia="zh-CN"/>
              </w:rPr>
            </w:pPr>
            <w:r>
              <w:rPr>
                <w:rFonts w:hint="eastAsia" w:ascii="宋体" w:hAnsi="宋体" w:eastAsia="宋体" w:cs="Times New Roman"/>
                <w:color w:val="000000"/>
                <w:sz w:val="24"/>
                <w:highlight w:val="none"/>
                <w:lang w:val="en-US" w:eastAsia="zh-CN"/>
              </w:rPr>
              <w:t>1815204.56</w:t>
            </w:r>
          </w:p>
          <w:p w14:paraId="6EE59C3A">
            <w:pPr>
              <w:keepNext w:val="0"/>
              <w:keepLines w:val="0"/>
              <w:pageBreakBefore w:val="0"/>
              <w:kinsoku/>
              <w:wordWrap/>
              <w:overflowPunct/>
              <w:topLinePunct w:val="0"/>
              <w:bidi w:val="0"/>
              <w:spacing w:line="360" w:lineRule="auto"/>
              <w:jc w:val="center"/>
              <w:textAlignment w:val="auto"/>
              <w:rPr>
                <w:rFonts w:hint="eastAsia" w:ascii="宋体" w:hAnsi="宋体"/>
                <w:sz w:val="24"/>
                <w:highlight w:val="none"/>
              </w:rPr>
            </w:pPr>
            <w:r>
              <w:rPr>
                <w:rFonts w:hint="eastAsia"/>
                <w:sz w:val="24"/>
                <w:highlight w:val="none"/>
              </w:rPr>
              <w:t>【（预算金额-安全文明施工费）×9</w:t>
            </w:r>
            <w:r>
              <w:rPr>
                <w:sz w:val="24"/>
                <w:highlight w:val="none"/>
              </w:rPr>
              <w:t>2%+</w:t>
            </w:r>
            <w:r>
              <w:rPr>
                <w:rFonts w:hint="eastAsia"/>
                <w:sz w:val="24"/>
                <w:highlight w:val="none"/>
              </w:rPr>
              <w:t>安全文明施工费】安全文明施工费不作为竞争性费用，且实行标外管理。</w:t>
            </w:r>
          </w:p>
        </w:tc>
        <w:tc>
          <w:tcPr>
            <w:tcW w:w="2339" w:type="dxa"/>
            <w:noWrap w:val="0"/>
            <w:vAlign w:val="center"/>
          </w:tcPr>
          <w:p w14:paraId="78DFAC35">
            <w:pPr>
              <w:keepNext w:val="0"/>
              <w:keepLines w:val="0"/>
              <w:pageBreakBefore w:val="0"/>
              <w:kinsoku/>
              <w:wordWrap/>
              <w:overflowPunct/>
              <w:topLinePunct w:val="0"/>
              <w:bidi w:val="0"/>
              <w:spacing w:line="360" w:lineRule="auto"/>
              <w:jc w:val="center"/>
              <w:textAlignment w:val="auto"/>
              <w:rPr>
                <w:rFonts w:hint="eastAsia" w:ascii="微软雅黑" w:hAnsi="微软雅黑" w:eastAsia="微软雅黑" w:cs="微软雅黑"/>
                <w:color w:val="auto"/>
                <w:sz w:val="18"/>
                <w:szCs w:val="18"/>
                <w:highlight w:val="none"/>
                <w:lang w:val="zh-CN"/>
              </w:rPr>
            </w:pPr>
            <w:r>
              <w:rPr>
                <w:rFonts w:hint="eastAsia" w:ascii="宋体" w:hAnsi="宋体"/>
                <w:sz w:val="24"/>
                <w:highlight w:val="none"/>
              </w:rPr>
              <w:t>工期不超过</w:t>
            </w:r>
            <w:r>
              <w:rPr>
                <w:rFonts w:ascii="宋体" w:hAnsi="宋体"/>
                <w:sz w:val="24"/>
                <w:highlight w:val="none"/>
                <w:u w:val="single"/>
              </w:rPr>
              <w:t>120</w:t>
            </w:r>
            <w:r>
              <w:rPr>
                <w:rFonts w:hint="eastAsia" w:ascii="宋体" w:hAnsi="宋体"/>
                <w:sz w:val="24"/>
                <w:highlight w:val="none"/>
              </w:rPr>
              <w:t>日历天，实际开工日期以开工令为准。</w:t>
            </w:r>
          </w:p>
        </w:tc>
      </w:tr>
    </w:tbl>
    <w:p w14:paraId="2C29D0A1">
      <w:pPr>
        <w:pStyle w:val="3"/>
        <w:spacing w:line="336" w:lineRule="auto"/>
        <w:ind w:right="0" w:firstLine="482" w:firstLineChars="200"/>
        <w:rPr>
          <w:rFonts w:cs="宋体"/>
          <w:bCs/>
          <w:color w:val="auto"/>
          <w:sz w:val="24"/>
          <w:szCs w:val="24"/>
          <w:highlight w:val="none"/>
        </w:rPr>
      </w:pPr>
      <w:r>
        <w:rPr>
          <w:rFonts w:hint="eastAsia" w:cs="宋体"/>
          <w:bCs/>
          <w:color w:val="auto"/>
          <w:sz w:val="24"/>
          <w:szCs w:val="24"/>
          <w:highlight w:val="none"/>
        </w:rPr>
        <w:t>二、供应商的资格要求</w:t>
      </w:r>
      <w:bookmarkEnd w:id="6"/>
      <w:bookmarkEnd w:id="7"/>
      <w:bookmarkEnd w:id="8"/>
      <w:bookmarkEnd w:id="9"/>
    </w:p>
    <w:p w14:paraId="3C847443">
      <w:pPr>
        <w:keepNext w:val="0"/>
        <w:keepLines w:val="0"/>
        <w:pageBreakBefore w:val="0"/>
        <w:kinsoku/>
        <w:wordWrap/>
        <w:overflowPunct/>
        <w:topLinePunct w:val="0"/>
        <w:bidi w:val="0"/>
        <w:spacing w:line="360" w:lineRule="auto"/>
        <w:ind w:left="12" w:firstLine="480" w:firstLineChars="200"/>
        <w:jc w:val="left"/>
        <w:textAlignment w:val="auto"/>
        <w:rPr>
          <w:rFonts w:ascii="宋体" w:hAnsi="宋体" w:cs="宋体"/>
          <w:color w:val="auto"/>
          <w:sz w:val="24"/>
          <w:highlight w:val="none"/>
        </w:rPr>
      </w:pPr>
      <w:r>
        <w:rPr>
          <w:rFonts w:hint="eastAsia" w:ascii="宋体" w:hAnsi="宋体" w:cs="宋体"/>
          <w:color w:val="auto"/>
          <w:sz w:val="24"/>
          <w:highlight w:val="none"/>
        </w:rPr>
        <w:t>（一）满足《中华人民共和国政府采购法》第二十二条规定。</w:t>
      </w:r>
    </w:p>
    <w:p w14:paraId="38EF6484">
      <w:pPr>
        <w:keepNext w:val="0"/>
        <w:keepLines w:val="0"/>
        <w:pageBreakBefore w:val="0"/>
        <w:kinsoku/>
        <w:wordWrap/>
        <w:overflowPunct/>
        <w:topLinePunct w:val="0"/>
        <w:bidi w:val="0"/>
        <w:spacing w:line="360" w:lineRule="auto"/>
        <w:ind w:left="12" w:firstLine="480" w:firstLineChars="200"/>
        <w:jc w:val="left"/>
        <w:textAlignment w:val="auto"/>
        <w:rPr>
          <w:rFonts w:hint="default" w:ascii="宋体" w:hAnsi="宋体" w:cs="宋体"/>
          <w:color w:val="auto"/>
          <w:sz w:val="24"/>
          <w:highlight w:val="none"/>
          <w:lang w:val="en-US" w:eastAsia="zh-CN"/>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二</w:t>
      </w:r>
      <w:r>
        <w:rPr>
          <w:rFonts w:hint="eastAsia" w:ascii="宋体" w:hAnsi="宋体" w:cs="宋体"/>
          <w:color w:val="auto"/>
          <w:sz w:val="24"/>
          <w:highlight w:val="none"/>
        </w:rPr>
        <w:t>）本次</w:t>
      </w:r>
      <w:r>
        <w:rPr>
          <w:rFonts w:hint="eastAsia" w:ascii="宋体" w:hAnsi="宋体" w:cs="宋体"/>
          <w:color w:val="auto"/>
          <w:sz w:val="24"/>
          <w:highlight w:val="none"/>
          <w:lang w:eastAsia="zh-CN"/>
        </w:rPr>
        <w:t>不</w:t>
      </w:r>
      <w:r>
        <w:rPr>
          <w:rFonts w:hint="eastAsia" w:ascii="宋体" w:hAnsi="宋体" w:cs="宋体"/>
          <w:color w:val="auto"/>
          <w:sz w:val="24"/>
          <w:highlight w:val="none"/>
        </w:rPr>
        <w:t>接受联合体投标</w:t>
      </w:r>
      <w:r>
        <w:rPr>
          <w:rFonts w:hint="eastAsia" w:ascii="宋体" w:hAnsi="宋体" w:cs="宋体"/>
          <w:color w:val="auto"/>
          <w:sz w:val="24"/>
          <w:highlight w:val="none"/>
          <w:lang w:eastAsia="zh-CN"/>
        </w:rPr>
        <w:t>。</w:t>
      </w:r>
    </w:p>
    <w:p w14:paraId="16F56E12">
      <w:pPr>
        <w:pStyle w:val="23"/>
        <w:spacing w:line="360" w:lineRule="auto"/>
        <w:ind w:left="0" w:leftChars="0" w:firstLine="480" w:firstLineChars="200"/>
        <w:rPr>
          <w:rFonts w:hint="default"/>
          <w:color w:val="auto"/>
          <w:highlight w:val="none"/>
          <w:lang w:val="en-US"/>
        </w:rPr>
      </w:pP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三</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本项目专门面向中小企业采购。</w:t>
      </w:r>
    </w:p>
    <w:p w14:paraId="12012676">
      <w:pPr>
        <w:spacing w:line="360" w:lineRule="auto"/>
        <w:ind w:firstLine="540" w:firstLineChars="225"/>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四</w:t>
      </w:r>
      <w:r>
        <w:rPr>
          <w:rFonts w:hint="eastAsia" w:ascii="宋体" w:hAnsi="宋体" w:cs="宋体"/>
          <w:color w:val="auto"/>
          <w:sz w:val="24"/>
          <w:highlight w:val="none"/>
        </w:rPr>
        <w:t>）本项目的特定资格要求：</w:t>
      </w:r>
    </w:p>
    <w:p w14:paraId="51443037">
      <w:pPr>
        <w:spacing w:line="360" w:lineRule="auto"/>
        <w:ind w:firstLine="540" w:firstLineChars="225"/>
        <w:rPr>
          <w:rFonts w:ascii="宋体" w:hAnsi="宋体"/>
          <w:sz w:val="24"/>
          <w:highlight w:val="none"/>
        </w:rPr>
      </w:pPr>
      <w:r>
        <w:rPr>
          <w:rFonts w:ascii="宋体" w:hAnsi="宋体"/>
          <w:sz w:val="24"/>
          <w:highlight w:val="none"/>
        </w:rPr>
        <w:t>1、</w:t>
      </w:r>
      <w:r>
        <w:rPr>
          <w:rFonts w:hint="eastAsia" w:ascii="宋体" w:hAnsi="宋体"/>
          <w:sz w:val="24"/>
          <w:highlight w:val="none"/>
        </w:rPr>
        <w:t>投标人资质条件：具备</w:t>
      </w:r>
      <w:r>
        <w:rPr>
          <w:rFonts w:hint="eastAsia" w:ascii="宋体" w:hAnsi="宋体"/>
          <w:sz w:val="24"/>
          <w:highlight w:val="none"/>
          <w:lang w:val="en-US" w:eastAsia="zh-CN"/>
        </w:rPr>
        <w:t>水利水电</w:t>
      </w:r>
      <w:r>
        <w:rPr>
          <w:rFonts w:hint="eastAsia" w:ascii="宋体" w:hAnsi="宋体"/>
          <w:sz w:val="24"/>
          <w:highlight w:val="none"/>
        </w:rPr>
        <w:t>工程施工总承包二级及以上资质（包含仍在有效期范围内的</w:t>
      </w:r>
      <w:r>
        <w:rPr>
          <w:rFonts w:hint="eastAsia" w:ascii="宋体" w:hAnsi="宋体"/>
          <w:sz w:val="24"/>
          <w:highlight w:val="none"/>
          <w:lang w:val="en-US" w:eastAsia="zh-CN"/>
        </w:rPr>
        <w:t>水利水电</w:t>
      </w:r>
      <w:r>
        <w:rPr>
          <w:rFonts w:hint="eastAsia" w:ascii="宋体" w:hAnsi="宋体"/>
          <w:sz w:val="24"/>
          <w:highlight w:val="none"/>
        </w:rPr>
        <w:t>工程总承包三级资质）；</w:t>
      </w:r>
    </w:p>
    <w:p w14:paraId="76EBC44D">
      <w:pPr>
        <w:spacing w:line="360" w:lineRule="auto"/>
        <w:ind w:firstLine="566" w:firstLineChars="236"/>
        <w:rPr>
          <w:rFonts w:hint="eastAsia" w:ascii="宋体" w:hAnsi="宋体"/>
          <w:sz w:val="24"/>
          <w:highlight w:val="none"/>
        </w:rPr>
      </w:pPr>
      <w:r>
        <w:rPr>
          <w:rFonts w:ascii="宋体" w:hAnsi="宋体"/>
          <w:sz w:val="24"/>
          <w:highlight w:val="none"/>
        </w:rPr>
        <w:t>2、</w:t>
      </w:r>
      <w:r>
        <w:rPr>
          <w:rFonts w:hint="eastAsia" w:ascii="宋体" w:hAnsi="宋体"/>
          <w:sz w:val="24"/>
          <w:highlight w:val="none"/>
        </w:rPr>
        <w:t>项目负责人资质条件：项目负责人注册在投标单位的水利工程专业注册建造师二级及以上（建造师临时执业证书无效）、未有其他担任项目负责人的在建工程（豁免情形除外）；（其余配备条件详见采购需求）</w:t>
      </w:r>
    </w:p>
    <w:p w14:paraId="33D7764A">
      <w:pPr>
        <w:spacing w:line="360" w:lineRule="auto"/>
        <w:ind w:firstLine="540" w:firstLineChars="225"/>
        <w:rPr>
          <w:rFonts w:hint="eastAsia" w:ascii="宋体" w:hAnsi="宋体" w:eastAsia="宋体" w:cs="宋体"/>
          <w:color w:val="auto"/>
          <w:sz w:val="24"/>
          <w:highlight w:val="none"/>
          <w:lang w:val="en-US" w:eastAsia="zh-CN"/>
        </w:rPr>
      </w:pPr>
      <w:r>
        <w:rPr>
          <w:rFonts w:hint="eastAsia" w:ascii="宋体" w:hAnsi="宋体"/>
          <w:sz w:val="24"/>
          <w:highlight w:val="none"/>
        </w:rPr>
        <w:t>3、具备安全生产许可证；</w:t>
      </w:r>
    </w:p>
    <w:p w14:paraId="5DC9DC28">
      <w:pPr>
        <w:keepNext w:val="0"/>
        <w:keepLines w:val="0"/>
        <w:pageBreakBefore w:val="0"/>
        <w:kinsoku/>
        <w:wordWrap/>
        <w:overflowPunct/>
        <w:topLinePunct w:val="0"/>
        <w:bidi w:val="0"/>
        <w:spacing w:line="360" w:lineRule="auto"/>
        <w:ind w:firstLine="480" w:firstLineChars="200"/>
        <w:jc w:val="left"/>
        <w:textAlignment w:val="auto"/>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五</w:t>
      </w:r>
      <w:r>
        <w:rPr>
          <w:rFonts w:hint="eastAsia" w:ascii="宋体" w:hAnsi="宋体" w:cs="宋体"/>
          <w:color w:val="auto"/>
          <w:sz w:val="24"/>
          <w:highlight w:val="none"/>
        </w:rPr>
        <w:t>）信用记录：未被列入“信用中国”失信被执行人或重大税收违法案件当事人名单；未处于“中国政府采购网”</w:t>
      </w:r>
      <w:r>
        <w:rPr>
          <w:color w:val="auto"/>
          <w:highlight w:val="none"/>
        </w:rPr>
        <w:fldChar w:fldCharType="begin"/>
      </w:r>
      <w:r>
        <w:rPr>
          <w:color w:val="auto"/>
          <w:highlight w:val="none"/>
        </w:rPr>
        <w:instrText xml:space="preserve"> HYPERLINK "http://www.ccgp.gov.cn）政府采购严重违法失信行为信息记录中的禁止参加政府采购活动期间。" </w:instrText>
      </w:r>
      <w:r>
        <w:rPr>
          <w:color w:val="auto"/>
          <w:highlight w:val="none"/>
        </w:rPr>
        <w:fldChar w:fldCharType="separate"/>
      </w:r>
      <w:r>
        <w:rPr>
          <w:rFonts w:hint="eastAsia" w:ascii="宋体" w:hAnsi="宋体" w:cs="宋体"/>
          <w:color w:val="auto"/>
          <w:sz w:val="24"/>
          <w:highlight w:val="none"/>
        </w:rPr>
        <w:t>政府采购严重违法失信行为信息记录中的禁止参加政府采购活动期间。</w:t>
      </w:r>
      <w:r>
        <w:rPr>
          <w:rFonts w:hint="eastAsia" w:ascii="宋体" w:hAnsi="宋体" w:cs="宋体"/>
          <w:color w:val="auto"/>
          <w:sz w:val="24"/>
          <w:highlight w:val="none"/>
        </w:rPr>
        <w:fldChar w:fldCharType="end"/>
      </w:r>
    </w:p>
    <w:p w14:paraId="0C49DD1D">
      <w:pPr>
        <w:keepNext w:val="0"/>
        <w:keepLines w:val="0"/>
        <w:pageBreakBefore w:val="0"/>
        <w:kinsoku/>
        <w:wordWrap/>
        <w:overflowPunct/>
        <w:topLinePunct w:val="0"/>
        <w:bidi w:val="0"/>
        <w:spacing w:line="360" w:lineRule="auto"/>
        <w:ind w:firstLine="480" w:firstLineChars="200"/>
        <w:jc w:val="left"/>
        <w:textAlignment w:val="auto"/>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六</w:t>
      </w:r>
      <w:r>
        <w:rPr>
          <w:rFonts w:hint="eastAsia" w:ascii="宋体" w:hAnsi="宋体" w:cs="宋体"/>
          <w:color w:val="auto"/>
          <w:sz w:val="24"/>
          <w:highlight w:val="none"/>
        </w:rPr>
        <w:t>）法律、行政法规规定的其他条件：单位负责人为同一人或者存在直接控股、管理关系的不同供应商，不得同时参加同一项目投标；为本项目提供整体设计、规范编制或者项目管理、监理、检测等服务的供应商，不得再参与本项目投标。（联合体投标的，联合体各方均须满足该条款）。</w:t>
      </w:r>
    </w:p>
    <w:p w14:paraId="057BB5E3">
      <w:pPr>
        <w:keepNext w:val="0"/>
        <w:keepLines w:val="0"/>
        <w:pageBreakBefore w:val="0"/>
        <w:kinsoku/>
        <w:wordWrap/>
        <w:overflowPunct/>
        <w:topLinePunct w:val="0"/>
        <w:bidi w:val="0"/>
        <w:spacing w:line="360" w:lineRule="auto"/>
        <w:ind w:firstLine="480" w:firstLineChars="200"/>
        <w:jc w:val="left"/>
        <w:textAlignment w:val="auto"/>
        <w:rPr>
          <w:rFonts w:hint="eastAsia" w:ascii="宋体" w:hAnsi="宋体" w:cs="宋体"/>
          <w:color w:val="auto"/>
          <w:sz w:val="24"/>
          <w:highlight w:val="none"/>
        </w:rPr>
      </w:pP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七）</w:t>
      </w:r>
      <w:r>
        <w:rPr>
          <w:rFonts w:hint="eastAsia" w:ascii="宋体" w:hAnsi="宋体" w:cs="宋体"/>
          <w:color w:val="auto"/>
          <w:sz w:val="24"/>
          <w:highlight w:val="none"/>
        </w:rPr>
        <w:t>公益一类事业单位，既不属于政府购买服务的购买主体，也不属于承接主体，不得参与承接政府购买服务。</w:t>
      </w:r>
    </w:p>
    <w:p w14:paraId="7993F9E7">
      <w:pPr>
        <w:pStyle w:val="3"/>
        <w:spacing w:line="336" w:lineRule="auto"/>
        <w:ind w:right="0" w:firstLine="482" w:firstLineChars="200"/>
        <w:rPr>
          <w:rFonts w:cs="宋体"/>
          <w:bCs/>
          <w:color w:val="auto"/>
          <w:sz w:val="24"/>
          <w:szCs w:val="24"/>
          <w:highlight w:val="none"/>
        </w:rPr>
      </w:pPr>
      <w:r>
        <w:rPr>
          <w:rFonts w:hint="eastAsia" w:cs="宋体"/>
          <w:bCs/>
          <w:color w:val="auto"/>
          <w:sz w:val="24"/>
          <w:szCs w:val="24"/>
          <w:highlight w:val="none"/>
        </w:rPr>
        <w:t>三、获取磋商文件</w:t>
      </w:r>
    </w:p>
    <w:p w14:paraId="032A234E">
      <w:pPr>
        <w:pStyle w:val="3"/>
        <w:spacing w:line="336" w:lineRule="auto"/>
        <w:ind w:right="0" w:firstLine="482" w:firstLineChars="200"/>
        <w:rPr>
          <w:rFonts w:cs="宋体"/>
          <w:color w:val="auto"/>
          <w:sz w:val="24"/>
          <w:highlight w:val="none"/>
        </w:rPr>
      </w:pPr>
      <w:r>
        <w:rPr>
          <w:rFonts w:hint="eastAsia" w:cs="宋体"/>
          <w:color w:val="auto"/>
          <w:sz w:val="24"/>
          <w:szCs w:val="24"/>
          <w:highlight w:val="none"/>
        </w:rPr>
        <w:t>（一）时间：公告发布时间至响应截止时间</w:t>
      </w:r>
    </w:p>
    <w:p w14:paraId="146FD731">
      <w:pPr>
        <w:pStyle w:val="35"/>
        <w:spacing w:line="336" w:lineRule="auto"/>
        <w:ind w:firstLine="480" w:firstLineChars="200"/>
        <w:jc w:val="both"/>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（二）方式：浙江政府采购网</w:t>
      </w:r>
      <w:r>
        <w:rPr>
          <w:rFonts w:hint="eastAsia" w:ascii="宋体" w:hAnsi="宋体" w:eastAsia="宋体" w:cs="宋体"/>
          <w:color w:val="auto"/>
          <w:kern w:val="2"/>
          <w:sz w:val="24"/>
          <w:szCs w:val="24"/>
          <w:highlight w:val="none"/>
        </w:rPr>
        <w:t>（https://zfcg.czt.zj.gov.cn）</w:t>
      </w:r>
      <w:r>
        <w:rPr>
          <w:rFonts w:hint="eastAsia" w:ascii="宋体" w:hAnsi="宋体" w:eastAsia="宋体" w:cs="宋体"/>
          <w:color w:val="auto"/>
          <w:sz w:val="24"/>
          <w:szCs w:val="24"/>
          <w:highlight w:val="none"/>
        </w:rPr>
        <w:t>免费下载</w:t>
      </w:r>
    </w:p>
    <w:p w14:paraId="377844CF">
      <w:pPr>
        <w:pStyle w:val="3"/>
        <w:spacing w:line="336" w:lineRule="auto"/>
        <w:ind w:right="0" w:firstLine="482" w:firstLineChars="200"/>
        <w:rPr>
          <w:rFonts w:cs="宋体"/>
          <w:bCs/>
          <w:color w:val="auto"/>
          <w:sz w:val="24"/>
          <w:szCs w:val="24"/>
          <w:highlight w:val="none"/>
        </w:rPr>
      </w:pPr>
      <w:bookmarkStart w:id="10" w:name="_Toc28359005"/>
      <w:bookmarkStart w:id="11" w:name="_Toc28359082"/>
      <w:bookmarkStart w:id="12" w:name="_Toc35393624"/>
      <w:bookmarkStart w:id="13" w:name="_Toc35393793"/>
      <w:r>
        <w:rPr>
          <w:rFonts w:hint="eastAsia" w:cs="宋体"/>
          <w:bCs/>
          <w:color w:val="auto"/>
          <w:sz w:val="24"/>
          <w:szCs w:val="24"/>
          <w:highlight w:val="none"/>
        </w:rPr>
        <w:t>四、提交磋商响应文件</w:t>
      </w:r>
      <w:bookmarkEnd w:id="10"/>
      <w:bookmarkEnd w:id="11"/>
      <w:bookmarkEnd w:id="12"/>
      <w:bookmarkEnd w:id="13"/>
    </w:p>
    <w:p w14:paraId="3DE83CBA">
      <w:pPr>
        <w:spacing w:line="336" w:lineRule="auto"/>
        <w:ind w:firstLine="480" w:firstLineChars="200"/>
        <w:rPr>
          <w:rFonts w:ascii="宋体" w:hAnsi="宋体" w:cs="宋体"/>
          <w:iCs/>
          <w:color w:val="auto"/>
          <w:sz w:val="24"/>
          <w:highlight w:val="none"/>
          <w:u w:val="single"/>
        </w:rPr>
      </w:pPr>
      <w:bookmarkStart w:id="14" w:name="_Toc28359007"/>
      <w:bookmarkStart w:id="15" w:name="_Toc28359084"/>
      <w:bookmarkStart w:id="16" w:name="_Toc35393625"/>
      <w:bookmarkStart w:id="17" w:name="_Toc35393794"/>
      <w:r>
        <w:rPr>
          <w:rFonts w:hint="eastAsia" w:ascii="宋体" w:hAnsi="宋体" w:cs="宋体"/>
          <w:color w:val="auto"/>
          <w:sz w:val="24"/>
          <w:highlight w:val="none"/>
        </w:rPr>
        <w:t>（一）截止时间（磋商开始时间）：</w:t>
      </w:r>
      <w:r>
        <w:rPr>
          <w:rFonts w:hint="eastAsia" w:ascii="宋体" w:hAnsi="宋体" w:cs="宋体"/>
          <w:bCs/>
          <w:color w:val="auto"/>
          <w:sz w:val="24"/>
          <w:highlight w:val="none"/>
          <w:u w:val="single"/>
        </w:rPr>
        <w:t>202</w:t>
      </w:r>
      <w:r>
        <w:rPr>
          <w:rFonts w:hint="eastAsia" w:ascii="宋体" w:hAnsi="宋体" w:cs="宋体"/>
          <w:bCs/>
          <w:color w:val="auto"/>
          <w:sz w:val="24"/>
          <w:highlight w:val="none"/>
          <w:u w:val="single"/>
          <w:lang w:val="en-US" w:eastAsia="zh-CN"/>
        </w:rPr>
        <w:t>5</w:t>
      </w:r>
      <w:r>
        <w:rPr>
          <w:rFonts w:hint="eastAsia" w:ascii="宋体" w:hAnsi="宋体" w:cs="宋体"/>
          <w:bCs/>
          <w:color w:val="auto"/>
          <w:sz w:val="24"/>
          <w:highlight w:val="none"/>
          <w:u w:val="single"/>
        </w:rPr>
        <w:t>年</w:t>
      </w:r>
      <w:r>
        <w:rPr>
          <w:rFonts w:hint="eastAsia" w:ascii="宋体" w:hAnsi="宋体" w:cs="宋体"/>
          <w:color w:val="auto"/>
          <w:sz w:val="24"/>
          <w:highlight w:val="none"/>
          <w:u w:val="single"/>
          <w:lang w:val="en-US" w:eastAsia="zh-CN"/>
        </w:rPr>
        <w:t xml:space="preserve">  </w:t>
      </w:r>
      <w:r>
        <w:rPr>
          <w:rFonts w:hint="eastAsia" w:ascii="宋体" w:hAnsi="宋体" w:cs="宋体"/>
          <w:bCs/>
          <w:color w:val="auto"/>
          <w:sz w:val="24"/>
          <w:highlight w:val="none"/>
          <w:u w:val="single"/>
        </w:rPr>
        <w:t>月</w:t>
      </w:r>
      <w:r>
        <w:rPr>
          <w:rFonts w:hint="eastAsia" w:ascii="宋体" w:hAnsi="宋体" w:cs="宋体"/>
          <w:bCs/>
          <w:color w:val="auto"/>
          <w:sz w:val="24"/>
          <w:highlight w:val="none"/>
          <w:u w:val="single"/>
          <w:lang w:val="en-US" w:eastAsia="zh-CN"/>
        </w:rPr>
        <w:t xml:space="preserve">  </w:t>
      </w:r>
      <w:r>
        <w:rPr>
          <w:rFonts w:hint="eastAsia" w:ascii="宋体" w:hAnsi="宋体" w:cs="宋体"/>
          <w:bCs/>
          <w:color w:val="auto"/>
          <w:sz w:val="24"/>
          <w:highlight w:val="none"/>
          <w:u w:val="single"/>
        </w:rPr>
        <w:t>日09点00分</w:t>
      </w:r>
      <w:r>
        <w:rPr>
          <w:rFonts w:hint="eastAsia" w:ascii="宋体" w:hAnsi="宋体" w:cs="宋体"/>
          <w:bCs/>
          <w:color w:val="auto"/>
          <w:sz w:val="24"/>
          <w:highlight w:val="none"/>
        </w:rPr>
        <w:t>（北京时间）</w:t>
      </w:r>
    </w:p>
    <w:p w14:paraId="49D16B19">
      <w:pPr>
        <w:pStyle w:val="6"/>
        <w:spacing w:line="336"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（二）提交网址：浙江政府采购云平台（http://www.zcygov.cn）</w:t>
      </w:r>
    </w:p>
    <w:bookmarkEnd w:id="14"/>
    <w:bookmarkEnd w:id="15"/>
    <w:bookmarkEnd w:id="16"/>
    <w:bookmarkEnd w:id="17"/>
    <w:p w14:paraId="3AC8EE75">
      <w:pPr>
        <w:pStyle w:val="23"/>
        <w:spacing w:after="0" w:line="336" w:lineRule="auto"/>
        <w:ind w:left="0" w:leftChars="0" w:firstLine="482" w:firstLineChars="200"/>
        <w:rPr>
          <w:rFonts w:ascii="宋体" w:hAnsi="宋体" w:cs="宋体"/>
          <w:b/>
          <w:bCs/>
          <w:color w:val="auto"/>
          <w:kern w:val="0"/>
          <w:sz w:val="24"/>
          <w:highlight w:val="none"/>
        </w:rPr>
      </w:pPr>
      <w:r>
        <w:rPr>
          <w:rFonts w:hint="eastAsia" w:ascii="宋体" w:hAnsi="宋体" w:cs="宋体"/>
          <w:b/>
          <w:bCs/>
          <w:color w:val="auto"/>
          <w:kern w:val="0"/>
          <w:sz w:val="24"/>
          <w:highlight w:val="none"/>
        </w:rPr>
        <w:t>五、发布公告</w:t>
      </w:r>
    </w:p>
    <w:p w14:paraId="7CF33086">
      <w:pPr>
        <w:pStyle w:val="23"/>
        <w:spacing w:after="0" w:line="336" w:lineRule="auto"/>
        <w:ind w:left="0" w:leftChars="0" w:firstLine="480" w:firstLineChars="200"/>
        <w:rPr>
          <w:rFonts w:asciiTheme="minorEastAsia" w:hAnsiTheme="minorEastAsia" w:eastAsiaTheme="minorEastAsia" w:cstheme="minorEastAsia"/>
          <w:color w:val="auto"/>
          <w:kern w:val="0"/>
          <w:sz w:val="24"/>
          <w:highlight w:val="none"/>
        </w:rPr>
      </w:pPr>
      <w:bookmarkStart w:id="18" w:name="_Toc35393795"/>
      <w:bookmarkStart w:id="19" w:name="_Toc35393626"/>
      <w:r>
        <w:rPr>
          <w:rFonts w:hint="eastAsia" w:asciiTheme="minorEastAsia" w:hAnsiTheme="minorEastAsia" w:eastAsiaTheme="minorEastAsia" w:cstheme="minorEastAsia"/>
          <w:color w:val="auto"/>
          <w:kern w:val="0"/>
          <w:sz w:val="24"/>
          <w:highlight w:val="none"/>
        </w:rPr>
        <w:t>（一）公告网址：浙江政府采购网（</w:t>
      </w:r>
      <w:r>
        <w:rPr>
          <w:rFonts w:hint="eastAsia" w:asciiTheme="minorEastAsia" w:hAnsiTheme="minorEastAsia" w:eastAsiaTheme="minorEastAsia" w:cstheme="minorEastAsia"/>
          <w:color w:val="auto"/>
          <w:sz w:val="24"/>
          <w:highlight w:val="none"/>
        </w:rPr>
        <w:t>https://zfcg.czt.zj.gov.cn</w:t>
      </w:r>
      <w:r>
        <w:rPr>
          <w:rFonts w:hint="eastAsia" w:asciiTheme="minorEastAsia" w:hAnsiTheme="minorEastAsia" w:eastAsiaTheme="minorEastAsia" w:cstheme="minorEastAsia"/>
          <w:color w:val="auto"/>
          <w:kern w:val="0"/>
          <w:sz w:val="24"/>
          <w:highlight w:val="none"/>
        </w:rPr>
        <w:t>），台州市公共资源交易网（https://tzztb.zjtz.gov.cn）。</w:t>
      </w:r>
    </w:p>
    <w:p w14:paraId="00E9B774">
      <w:pPr>
        <w:pStyle w:val="23"/>
        <w:spacing w:after="0" w:line="336" w:lineRule="auto"/>
        <w:ind w:left="0" w:leftChars="0" w:firstLine="480" w:firstLineChars="200"/>
        <w:rPr>
          <w:rFonts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（二）公告期限：本公告期限自发布之日起</w:t>
      </w:r>
      <w:r>
        <w:rPr>
          <w:rFonts w:hint="eastAsia" w:asciiTheme="minorEastAsia" w:hAnsiTheme="minorEastAsia" w:eastAsiaTheme="minorEastAsia" w:cstheme="minorEastAsia"/>
          <w:color w:val="auto"/>
          <w:kern w:val="0"/>
          <w:sz w:val="24"/>
          <w:highlight w:val="none"/>
          <w:lang w:val="en-US" w:eastAsia="zh-CN"/>
        </w:rPr>
        <w:t>三</w:t>
      </w:r>
      <w:r>
        <w:rPr>
          <w:rFonts w:hint="eastAsia" w:asciiTheme="minorEastAsia" w:hAnsiTheme="minorEastAsia" w:eastAsiaTheme="minorEastAsia" w:cstheme="minorEastAsia"/>
          <w:color w:val="auto"/>
          <w:kern w:val="0"/>
          <w:sz w:val="24"/>
          <w:highlight w:val="none"/>
        </w:rPr>
        <w:t>个工作日</w:t>
      </w:r>
    </w:p>
    <w:bookmarkEnd w:id="18"/>
    <w:bookmarkEnd w:id="19"/>
    <w:p w14:paraId="549ADE46">
      <w:pPr>
        <w:pStyle w:val="3"/>
        <w:spacing w:line="336" w:lineRule="auto"/>
        <w:ind w:right="0" w:firstLine="482" w:firstLineChars="200"/>
        <w:rPr>
          <w:rFonts w:asciiTheme="minorEastAsia" w:hAnsiTheme="minorEastAsia" w:eastAsiaTheme="minorEastAsia" w:cstheme="minorEastAsia"/>
          <w:bCs/>
          <w:color w:val="auto"/>
          <w:sz w:val="24"/>
          <w:szCs w:val="24"/>
          <w:highlight w:val="none"/>
        </w:rPr>
      </w:pPr>
      <w:bookmarkStart w:id="20" w:name="_Toc28359087"/>
      <w:bookmarkStart w:id="21" w:name="_Toc28359010"/>
      <w:r>
        <w:rPr>
          <w:rFonts w:hint="eastAsia" w:asciiTheme="minorEastAsia" w:hAnsiTheme="minorEastAsia" w:eastAsiaTheme="minorEastAsia" w:cstheme="minorEastAsia"/>
          <w:bCs/>
          <w:color w:val="auto"/>
          <w:sz w:val="24"/>
          <w:szCs w:val="24"/>
          <w:highlight w:val="none"/>
        </w:rPr>
        <w:t>六、注册报名</w:t>
      </w:r>
    </w:p>
    <w:p w14:paraId="78358AF0">
      <w:pPr>
        <w:snapToGrid w:val="0"/>
        <w:spacing w:line="336" w:lineRule="auto"/>
        <w:ind w:firstLine="480" w:firstLineChars="2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参与政府采购项目的供应商，需登录浙江省政府采购网（https://zfcg.czt.zj.gov.cn/）进行注册后报名。</w:t>
      </w:r>
    </w:p>
    <w:p w14:paraId="7C359A32">
      <w:pPr>
        <w:pStyle w:val="3"/>
        <w:spacing w:line="336" w:lineRule="auto"/>
        <w:ind w:right="0" w:firstLine="482" w:firstLineChars="200"/>
        <w:rPr>
          <w:rFonts w:asciiTheme="minorEastAsia" w:hAnsiTheme="minorEastAsia" w:eastAsiaTheme="minorEastAsia" w:cstheme="minorEastAsia"/>
          <w:bCs/>
          <w:color w:val="auto"/>
          <w:sz w:val="24"/>
          <w:szCs w:val="24"/>
          <w:highlight w:val="none"/>
        </w:rPr>
      </w:pPr>
      <w:bookmarkStart w:id="22" w:name="_Toc28359008"/>
      <w:bookmarkStart w:id="23" w:name="_Toc35393796"/>
      <w:bookmarkStart w:id="24" w:name="_Toc35393627"/>
      <w:bookmarkStart w:id="25" w:name="_Toc28359085"/>
      <w:r>
        <w:rPr>
          <w:rFonts w:hint="eastAsia" w:asciiTheme="minorEastAsia" w:hAnsiTheme="minorEastAsia" w:eastAsiaTheme="minorEastAsia" w:cstheme="minorEastAsia"/>
          <w:bCs/>
          <w:color w:val="auto"/>
          <w:sz w:val="24"/>
          <w:szCs w:val="24"/>
          <w:highlight w:val="none"/>
        </w:rPr>
        <w:t>七、联系</w:t>
      </w:r>
      <w:bookmarkEnd w:id="22"/>
      <w:bookmarkEnd w:id="23"/>
      <w:bookmarkEnd w:id="24"/>
      <w:bookmarkEnd w:id="25"/>
      <w:r>
        <w:rPr>
          <w:rFonts w:hint="eastAsia" w:asciiTheme="minorEastAsia" w:hAnsiTheme="minorEastAsia" w:eastAsiaTheme="minorEastAsia" w:cstheme="minorEastAsia"/>
          <w:bCs/>
          <w:color w:val="auto"/>
          <w:sz w:val="24"/>
          <w:szCs w:val="24"/>
          <w:highlight w:val="none"/>
        </w:rPr>
        <w:t>方式</w:t>
      </w:r>
    </w:p>
    <w:p w14:paraId="4A2FCF3B">
      <w:pPr>
        <w:keepNext w:val="0"/>
        <w:keepLines w:val="0"/>
        <w:pageBreakBefore w:val="0"/>
        <w:kinsoku/>
        <w:wordWrap/>
        <w:overflowPunct/>
        <w:topLinePunct w:val="0"/>
        <w:bidi w:val="0"/>
        <w:snapToGrid w:val="0"/>
        <w:spacing w:line="360" w:lineRule="auto"/>
        <w:ind w:firstLine="482" w:firstLineChars="200"/>
        <w:textAlignment w:val="auto"/>
        <w:rPr>
          <w:rFonts w:ascii="宋体" w:hAnsi="宋体" w:cs="宋体"/>
          <w:b/>
          <w:bCs/>
          <w:color w:val="auto"/>
          <w:sz w:val="24"/>
          <w:highlight w:val="none"/>
        </w:rPr>
      </w:pPr>
      <w:r>
        <w:rPr>
          <w:rFonts w:hint="eastAsia" w:ascii="宋体" w:hAnsi="宋体" w:cs="宋体"/>
          <w:b/>
          <w:bCs/>
          <w:color w:val="auto"/>
          <w:sz w:val="24"/>
          <w:highlight w:val="none"/>
        </w:rPr>
        <w:t xml:space="preserve">（一）采购人 </w:t>
      </w:r>
    </w:p>
    <w:p w14:paraId="15022C9C">
      <w:pPr>
        <w:keepNext w:val="0"/>
        <w:keepLines w:val="0"/>
        <w:pageBreakBefore w:val="0"/>
        <w:kinsoku/>
        <w:wordWrap/>
        <w:overflowPunct/>
        <w:topLinePunct w:val="0"/>
        <w:bidi w:val="0"/>
        <w:spacing w:line="360" w:lineRule="auto"/>
        <w:ind w:firstLine="480" w:firstLineChars="200"/>
        <w:textAlignment w:val="auto"/>
        <w:rPr>
          <w:rFonts w:hint="eastAsia" w:eastAsia="宋体" w:cs="宋体"/>
          <w:b w:val="0"/>
          <w:color w:val="auto"/>
          <w:sz w:val="24"/>
          <w:szCs w:val="24"/>
          <w:highlight w:val="none"/>
          <w:u w:val="single"/>
          <w:lang w:eastAsia="zh-CN"/>
        </w:rPr>
      </w:pPr>
      <w:r>
        <w:rPr>
          <w:rFonts w:hint="eastAsia" w:ascii="宋体" w:hAnsi="宋体" w:cs="宋体"/>
          <w:color w:val="auto"/>
          <w:sz w:val="24"/>
          <w:highlight w:val="none"/>
        </w:rPr>
        <w:t>名 称：</w:t>
      </w:r>
      <w:r>
        <w:rPr>
          <w:rFonts w:hint="eastAsia" w:cs="宋体"/>
          <w:b w:val="0"/>
          <w:color w:val="auto"/>
          <w:sz w:val="24"/>
          <w:szCs w:val="24"/>
          <w:highlight w:val="none"/>
          <w:u w:val="single"/>
          <w:lang w:eastAsia="zh-CN"/>
        </w:rPr>
        <w:t>台州市椒江区人民政府前所街道办事处</w:t>
      </w:r>
    </w:p>
    <w:p w14:paraId="5D9425F9">
      <w:pPr>
        <w:keepNext w:val="0"/>
        <w:keepLines w:val="0"/>
        <w:pageBreakBefore w:val="0"/>
        <w:kinsoku/>
        <w:wordWrap/>
        <w:overflowPunct/>
        <w:topLinePunct w:val="0"/>
        <w:bidi w:val="0"/>
        <w:spacing w:line="360" w:lineRule="auto"/>
        <w:ind w:firstLine="480" w:firstLineChars="200"/>
        <w:textAlignment w:val="auto"/>
        <w:rPr>
          <w:rFonts w:hint="eastAsia"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single"/>
        </w:rPr>
        <w:t>台州市椒江区前所街道椒北大街10号</w:t>
      </w:r>
    </w:p>
    <w:p w14:paraId="544F1129">
      <w:pPr>
        <w:keepNext w:val="0"/>
        <w:keepLines w:val="0"/>
        <w:pageBreakBefore w:val="0"/>
        <w:kinsoku/>
        <w:wordWrap/>
        <w:overflowPunct/>
        <w:topLinePunct w:val="0"/>
        <w:bidi w:val="0"/>
        <w:spacing w:line="360" w:lineRule="auto"/>
        <w:ind w:firstLine="480" w:firstLineChars="200"/>
        <w:textAlignment w:val="auto"/>
        <w:rPr>
          <w:rFonts w:hint="default" w:ascii="宋体" w:hAnsi="宋体" w:eastAsia="宋体" w:cs="宋体"/>
          <w:color w:val="auto"/>
          <w:sz w:val="24"/>
          <w:highlight w:val="none"/>
          <w:u w:val="single"/>
          <w:lang w:val="en-US" w:eastAsia="zh-CN"/>
        </w:rPr>
      </w:pPr>
      <w:r>
        <w:rPr>
          <w:rFonts w:hint="eastAsia" w:ascii="宋体" w:hAnsi="宋体" w:cs="宋体"/>
          <w:color w:val="auto"/>
          <w:sz w:val="24"/>
          <w:highlight w:val="none"/>
        </w:rPr>
        <w:t>联系人：</w:t>
      </w:r>
      <w:bookmarkStart w:id="26" w:name="_Toc28359086"/>
      <w:bookmarkStart w:id="27" w:name="_Toc28359009"/>
      <w:r>
        <w:rPr>
          <w:rFonts w:hint="eastAsia" w:ascii="宋体" w:hAnsi="宋体" w:eastAsia="宋体" w:cs="宋体"/>
          <w:color w:val="auto"/>
          <w:sz w:val="24"/>
          <w:highlight w:val="none"/>
          <w:u w:val="single"/>
          <w:lang w:val="en-US" w:eastAsia="zh-CN"/>
        </w:rPr>
        <w:t>李</w:t>
      </w:r>
      <w:r>
        <w:rPr>
          <w:rFonts w:hint="eastAsia" w:ascii="宋体" w:hAnsi="宋体" w:cs="宋体"/>
          <w:color w:val="auto"/>
          <w:sz w:val="24"/>
          <w:highlight w:val="none"/>
          <w:u w:val="single"/>
          <w:lang w:val="en-US" w:eastAsia="zh-CN"/>
        </w:rPr>
        <w:t>女士</w:t>
      </w:r>
    </w:p>
    <w:p w14:paraId="5925A50A">
      <w:pPr>
        <w:keepNext w:val="0"/>
        <w:keepLines w:val="0"/>
        <w:pageBreakBefore w:val="0"/>
        <w:kinsoku/>
        <w:wordWrap/>
        <w:overflowPunct/>
        <w:topLinePunct w:val="0"/>
        <w:bidi w:val="0"/>
        <w:spacing w:line="360" w:lineRule="auto"/>
        <w:ind w:firstLine="480" w:firstLineChars="200"/>
        <w:textAlignment w:val="auto"/>
        <w:rPr>
          <w:rFonts w:hint="default" w:ascii="宋体" w:hAnsi="宋体" w:eastAsia="宋体" w:cs="宋体"/>
          <w:color w:val="auto"/>
          <w:sz w:val="24"/>
          <w:highlight w:val="none"/>
          <w:u w:val="single"/>
          <w:lang w:val="en-US" w:eastAsia="zh-CN"/>
        </w:rPr>
      </w:pPr>
      <w:r>
        <w:rPr>
          <w:rFonts w:hint="eastAsia" w:ascii="宋体" w:hAnsi="宋体" w:cs="宋体"/>
          <w:color w:val="auto"/>
          <w:sz w:val="24"/>
          <w:highlight w:val="none"/>
        </w:rPr>
        <w:t>联系电话：</w:t>
      </w:r>
      <w:bookmarkEnd w:id="26"/>
      <w:bookmarkEnd w:id="27"/>
      <w:r>
        <w:rPr>
          <w:rFonts w:hint="eastAsia" w:ascii="宋体" w:hAnsi="宋体" w:eastAsia="宋体" w:cs="宋体"/>
          <w:color w:val="auto"/>
          <w:sz w:val="24"/>
          <w:highlight w:val="none"/>
          <w:u w:val="single"/>
          <w:lang w:val="en-US" w:eastAsia="zh-CN"/>
        </w:rPr>
        <w:t>15868668262</w:t>
      </w:r>
    </w:p>
    <w:p w14:paraId="30B57052">
      <w:pPr>
        <w:keepNext w:val="0"/>
        <w:keepLines w:val="0"/>
        <w:pageBreakBefore w:val="0"/>
        <w:kinsoku/>
        <w:wordWrap/>
        <w:overflowPunct/>
        <w:topLinePunct w:val="0"/>
        <w:bidi w:val="0"/>
        <w:spacing w:line="360" w:lineRule="auto"/>
        <w:ind w:firstLine="480" w:firstLineChars="200"/>
        <w:textAlignment w:val="auto"/>
        <w:rPr>
          <w:rFonts w:hint="default" w:ascii="宋体" w:hAnsi="宋体" w:cs="宋体"/>
          <w:color w:val="auto"/>
          <w:sz w:val="24"/>
          <w:highlight w:val="none"/>
          <w:u w:val="single"/>
          <w:lang w:val="en-US" w:eastAsia="zh-CN"/>
        </w:rPr>
      </w:pPr>
      <w:r>
        <w:rPr>
          <w:rFonts w:hint="eastAsia" w:ascii="宋体" w:hAnsi="宋体" w:cs="宋体"/>
          <w:color w:val="auto"/>
          <w:sz w:val="24"/>
          <w:highlight w:val="none"/>
        </w:rPr>
        <w:t>受理</w:t>
      </w:r>
      <w:r>
        <w:rPr>
          <w:rFonts w:hint="eastAsia" w:ascii="宋体" w:hAnsi="宋体" w:cs="宋体"/>
          <w:color w:val="auto"/>
          <w:sz w:val="24"/>
          <w:highlight w:val="none"/>
          <w:lang w:val="en-US" w:eastAsia="zh-CN"/>
        </w:rPr>
        <w:t>质疑</w:t>
      </w:r>
      <w:r>
        <w:rPr>
          <w:rFonts w:hint="eastAsia" w:ascii="宋体" w:hAnsi="宋体" w:cs="宋体"/>
          <w:color w:val="auto"/>
          <w:sz w:val="24"/>
          <w:highlight w:val="none"/>
        </w:rPr>
        <w:t>联系人：</w:t>
      </w:r>
      <w:r>
        <w:rPr>
          <w:rFonts w:hint="eastAsia" w:ascii="宋体" w:hAnsi="宋体" w:eastAsia="宋体" w:cs="宋体"/>
          <w:color w:val="auto"/>
          <w:sz w:val="24"/>
          <w:highlight w:val="none"/>
          <w:u w:val="single"/>
          <w:lang w:val="en-US" w:eastAsia="zh-CN"/>
        </w:rPr>
        <w:t>陶</w:t>
      </w:r>
      <w:r>
        <w:rPr>
          <w:rFonts w:hint="eastAsia" w:ascii="宋体" w:hAnsi="宋体" w:cs="宋体"/>
          <w:color w:val="auto"/>
          <w:sz w:val="24"/>
          <w:highlight w:val="none"/>
          <w:u w:val="single"/>
          <w:lang w:val="en-US" w:eastAsia="zh-CN"/>
        </w:rPr>
        <w:t>女士</w:t>
      </w:r>
      <w:r>
        <w:rPr>
          <w:rFonts w:hint="eastAsia" w:ascii="宋体" w:hAnsi="宋体" w:eastAsia="宋体" w:cs="宋体"/>
          <w:color w:val="auto"/>
          <w:sz w:val="24"/>
          <w:highlight w:val="none"/>
          <w:u w:val="single"/>
          <w:lang w:val="en-US" w:eastAsia="zh-CN"/>
        </w:rPr>
        <w:t xml:space="preserve"> </w:t>
      </w:r>
    </w:p>
    <w:p w14:paraId="1122D942">
      <w:pPr>
        <w:keepNext w:val="0"/>
        <w:keepLines w:val="0"/>
        <w:pageBreakBefore w:val="0"/>
        <w:kinsoku/>
        <w:wordWrap/>
        <w:overflowPunct/>
        <w:topLinePunct w:val="0"/>
        <w:bidi w:val="0"/>
        <w:spacing w:line="360" w:lineRule="auto"/>
        <w:ind w:firstLine="480" w:firstLineChars="200"/>
        <w:textAlignment w:val="auto"/>
        <w:rPr>
          <w:rFonts w:hint="default" w:ascii="宋体" w:hAnsi="宋体" w:eastAsia="宋体" w:cs="宋体"/>
          <w:color w:val="auto"/>
          <w:sz w:val="24"/>
          <w:highlight w:val="none"/>
          <w:u w:val="single"/>
          <w:lang w:val="en-US" w:eastAsia="zh-CN"/>
        </w:rPr>
      </w:pPr>
      <w:r>
        <w:rPr>
          <w:rFonts w:hint="eastAsia" w:ascii="宋体" w:hAnsi="宋体" w:cs="宋体"/>
          <w:color w:val="auto"/>
          <w:sz w:val="24"/>
          <w:highlight w:val="none"/>
        </w:rPr>
        <w:t>联系电话：</w:t>
      </w:r>
      <w:r>
        <w:rPr>
          <w:rFonts w:hint="eastAsia" w:ascii="宋体" w:hAnsi="宋体" w:eastAsia="宋体" w:cs="宋体"/>
          <w:color w:val="auto"/>
          <w:sz w:val="24"/>
          <w:highlight w:val="none"/>
          <w:u w:val="single"/>
          <w:lang w:val="en-US" w:eastAsia="zh-CN"/>
        </w:rPr>
        <w:t>13757673120</w:t>
      </w:r>
    </w:p>
    <w:p w14:paraId="521C99F3">
      <w:pPr>
        <w:keepNext w:val="0"/>
        <w:keepLines w:val="0"/>
        <w:pageBreakBefore w:val="0"/>
        <w:kinsoku/>
        <w:wordWrap/>
        <w:overflowPunct/>
        <w:topLinePunct w:val="0"/>
        <w:bidi w:val="0"/>
        <w:spacing w:line="360" w:lineRule="auto"/>
        <w:ind w:firstLine="482" w:firstLineChars="200"/>
        <w:textAlignment w:val="auto"/>
        <w:rPr>
          <w:rFonts w:ascii="宋体" w:hAnsi="宋体" w:cs="宋体"/>
          <w:b/>
          <w:color w:val="auto"/>
          <w:sz w:val="24"/>
          <w:highlight w:val="none"/>
        </w:rPr>
      </w:pPr>
      <w:r>
        <w:rPr>
          <w:rFonts w:hint="eastAsia" w:ascii="宋体" w:hAnsi="宋体" w:cs="宋体"/>
          <w:b/>
          <w:bCs/>
          <w:color w:val="auto"/>
          <w:sz w:val="24"/>
          <w:highlight w:val="none"/>
        </w:rPr>
        <w:t>（二）采购组织机构</w:t>
      </w:r>
    </w:p>
    <w:p w14:paraId="756E4666">
      <w:pPr>
        <w:keepNext w:val="0"/>
        <w:keepLines w:val="0"/>
        <w:pageBreakBefore w:val="0"/>
        <w:kinsoku/>
        <w:wordWrap/>
        <w:overflowPunct/>
        <w:topLinePunct w:val="0"/>
        <w:bidi w:val="0"/>
        <w:spacing w:line="360" w:lineRule="auto"/>
        <w:ind w:firstLine="480" w:firstLineChars="200"/>
        <w:textAlignment w:val="auto"/>
        <w:rPr>
          <w:rFonts w:ascii="宋体" w:hAnsi="宋体" w:cs="宋体"/>
          <w:color w:val="auto"/>
          <w:sz w:val="24"/>
          <w:highlight w:val="none"/>
          <w:u w:val="single"/>
        </w:rPr>
      </w:pPr>
      <w:r>
        <w:rPr>
          <w:rFonts w:hint="eastAsia" w:ascii="宋体" w:hAnsi="宋体" w:cs="宋体"/>
          <w:color w:val="auto"/>
          <w:sz w:val="24"/>
          <w:highlight w:val="none"/>
        </w:rPr>
        <w:t>名 称：</w:t>
      </w:r>
      <w:r>
        <w:rPr>
          <w:rFonts w:hint="eastAsia" w:ascii="宋体" w:hAnsi="宋体" w:cs="宋体"/>
          <w:color w:val="auto"/>
          <w:sz w:val="24"/>
          <w:highlight w:val="none"/>
          <w:u w:val="single"/>
        </w:rPr>
        <w:t>台州市建设咨询有限公司</w:t>
      </w:r>
    </w:p>
    <w:p w14:paraId="208BB5DA">
      <w:pPr>
        <w:spacing w:line="360" w:lineRule="auto"/>
        <w:ind w:firstLine="480" w:firstLineChars="200"/>
        <w:rPr>
          <w:rFonts w:ascii="宋体" w:hAnsi="宋体" w:cs="宋体"/>
          <w:color w:val="auto"/>
          <w:sz w:val="24"/>
          <w:highlight w:val="none"/>
          <w:u w:val="none"/>
        </w:rPr>
      </w:pPr>
      <w:r>
        <w:rPr>
          <w:rFonts w:hint="eastAsia" w:ascii="宋体" w:hAnsi="宋体" w:cs="宋体"/>
          <w:color w:val="auto"/>
          <w:sz w:val="24"/>
          <w:highlight w:val="none"/>
        </w:rPr>
        <w:t>地 址：</w:t>
      </w:r>
      <w:r>
        <w:rPr>
          <w:rFonts w:hint="eastAsia" w:ascii="宋体" w:hAnsi="宋体" w:cs="宋体"/>
          <w:b w:val="0"/>
          <w:bCs/>
          <w:color w:val="auto"/>
          <w:sz w:val="24"/>
          <w:highlight w:val="none"/>
          <w:u w:val="single"/>
          <w:lang w:val="en-US" w:eastAsia="zh-CN"/>
        </w:rPr>
        <w:t>浙江省台州市椒江区葭沚街道工人西路427号</w:t>
      </w:r>
    </w:p>
    <w:p w14:paraId="1E3CAFFC">
      <w:pPr>
        <w:keepNext w:val="0"/>
        <w:keepLines w:val="0"/>
        <w:pageBreakBefore w:val="0"/>
        <w:kinsoku/>
        <w:wordWrap/>
        <w:overflowPunct/>
        <w:topLinePunct w:val="0"/>
        <w:bidi w:val="0"/>
        <w:spacing w:line="360" w:lineRule="auto"/>
        <w:ind w:firstLine="480" w:firstLineChars="200"/>
        <w:textAlignment w:val="auto"/>
        <w:rPr>
          <w:rFonts w:hint="eastAsia" w:ascii="宋体" w:hAnsi="宋体" w:eastAsia="宋体" w:cs="宋体"/>
          <w:color w:val="auto"/>
          <w:sz w:val="24"/>
          <w:highlight w:val="none"/>
          <w:u w:val="single"/>
          <w:lang w:eastAsia="zh-CN"/>
        </w:rPr>
      </w:pPr>
      <w:r>
        <w:rPr>
          <w:rFonts w:hint="eastAsia" w:ascii="宋体" w:hAnsi="宋体" w:cs="宋体"/>
          <w:color w:val="auto"/>
          <w:sz w:val="24"/>
          <w:highlight w:val="none"/>
        </w:rPr>
        <w:t>项目联系人：</w:t>
      </w:r>
      <w:r>
        <w:rPr>
          <w:rFonts w:hint="eastAsia" w:ascii="宋体" w:hAnsi="宋体" w:cs="宋体"/>
          <w:color w:val="auto"/>
          <w:sz w:val="24"/>
          <w:highlight w:val="none"/>
          <w:u w:val="single"/>
          <w:lang w:val="en-US" w:eastAsia="zh-CN"/>
        </w:rPr>
        <w:t>李工</w:t>
      </w:r>
    </w:p>
    <w:p w14:paraId="29118004">
      <w:pPr>
        <w:keepNext w:val="0"/>
        <w:keepLines w:val="0"/>
        <w:pageBreakBefore w:val="0"/>
        <w:kinsoku/>
        <w:wordWrap/>
        <w:overflowPunct/>
        <w:topLinePunct w:val="0"/>
        <w:bidi w:val="0"/>
        <w:spacing w:line="360" w:lineRule="auto"/>
        <w:ind w:firstLine="480" w:firstLineChars="200"/>
        <w:textAlignment w:val="auto"/>
        <w:rPr>
          <w:rFonts w:hint="eastAsia" w:ascii="宋体" w:hAnsi="宋体" w:eastAsia="宋体" w:cs="宋体"/>
          <w:color w:val="auto"/>
          <w:sz w:val="24"/>
          <w:highlight w:val="none"/>
          <w:u w:val="single"/>
          <w:lang w:eastAsia="zh-CN"/>
        </w:rPr>
      </w:pPr>
      <w:r>
        <w:rPr>
          <w:rFonts w:hint="eastAsia" w:ascii="宋体" w:hAnsi="宋体" w:cs="宋体"/>
          <w:color w:val="auto"/>
          <w:sz w:val="24"/>
          <w:highlight w:val="none"/>
        </w:rPr>
        <w:t>联系电话：</w:t>
      </w:r>
      <w:r>
        <w:rPr>
          <w:rFonts w:hint="eastAsia" w:ascii="宋体" w:hAnsi="宋体" w:cs="宋体"/>
          <w:color w:val="auto"/>
          <w:sz w:val="24"/>
          <w:highlight w:val="none"/>
          <w:u w:val="single"/>
          <w:lang w:eastAsia="zh-CN"/>
        </w:rPr>
        <w:t>0576-88519890</w:t>
      </w:r>
    </w:p>
    <w:p w14:paraId="506FE1BA">
      <w:pPr>
        <w:keepNext w:val="0"/>
        <w:keepLines w:val="0"/>
        <w:pageBreakBefore w:val="0"/>
        <w:kinsoku/>
        <w:wordWrap/>
        <w:overflowPunct/>
        <w:topLinePunct w:val="0"/>
        <w:bidi w:val="0"/>
        <w:spacing w:line="360" w:lineRule="auto"/>
        <w:ind w:firstLine="480" w:firstLineChars="200"/>
        <w:textAlignment w:val="auto"/>
        <w:rPr>
          <w:rFonts w:ascii="宋体" w:hAnsi="宋体" w:cs="宋体"/>
          <w:color w:val="auto"/>
          <w:sz w:val="24"/>
          <w:highlight w:val="none"/>
          <w:u w:val="single"/>
        </w:rPr>
      </w:pPr>
      <w:r>
        <w:rPr>
          <w:rFonts w:hint="eastAsia" w:ascii="宋体" w:hAnsi="宋体" w:cs="宋体"/>
          <w:color w:val="auto"/>
          <w:sz w:val="24"/>
          <w:highlight w:val="none"/>
        </w:rPr>
        <w:t>受理联系人：</w:t>
      </w:r>
      <w:r>
        <w:rPr>
          <w:rFonts w:hint="eastAsia" w:ascii="宋体" w:hAnsi="宋体" w:cs="宋体"/>
          <w:color w:val="auto"/>
          <w:sz w:val="24"/>
          <w:highlight w:val="none"/>
          <w:u w:val="single"/>
        </w:rPr>
        <w:t>徐瑜（受理相关质疑及答复）</w:t>
      </w:r>
    </w:p>
    <w:p w14:paraId="662D479E">
      <w:pPr>
        <w:keepNext w:val="0"/>
        <w:keepLines w:val="0"/>
        <w:pageBreakBefore w:val="0"/>
        <w:kinsoku/>
        <w:wordWrap/>
        <w:overflowPunct/>
        <w:topLinePunct w:val="0"/>
        <w:bidi w:val="0"/>
        <w:spacing w:line="360" w:lineRule="auto"/>
        <w:ind w:firstLine="480" w:firstLineChars="200"/>
        <w:textAlignment w:val="auto"/>
        <w:rPr>
          <w:rFonts w:ascii="宋体" w:hAnsi="宋体" w:cs="宋体"/>
          <w:color w:val="auto"/>
          <w:sz w:val="24"/>
          <w:highlight w:val="none"/>
          <w:u w:val="single"/>
        </w:rPr>
      </w:pPr>
      <w:r>
        <w:rPr>
          <w:rFonts w:hint="eastAsia" w:ascii="宋体" w:hAnsi="宋体" w:cs="宋体"/>
          <w:color w:val="auto"/>
          <w:sz w:val="24"/>
          <w:highlight w:val="none"/>
        </w:rPr>
        <w:t>联系电话：</w:t>
      </w:r>
      <w:r>
        <w:rPr>
          <w:rFonts w:hint="eastAsia" w:ascii="宋体" w:hAnsi="宋体" w:cs="宋体"/>
          <w:color w:val="auto"/>
          <w:sz w:val="24"/>
          <w:highlight w:val="none"/>
          <w:u w:val="single"/>
        </w:rPr>
        <w:t>0576-</w:t>
      </w:r>
      <w:r>
        <w:rPr>
          <w:rFonts w:hint="eastAsia" w:ascii="宋体" w:hAnsi="宋体" w:cs="宋体"/>
          <w:color w:val="auto"/>
          <w:sz w:val="24"/>
          <w:highlight w:val="none"/>
          <w:u w:val="single"/>
          <w:lang w:val="en-US" w:eastAsia="zh-CN"/>
        </w:rPr>
        <w:t>88519890</w:t>
      </w:r>
    </w:p>
    <w:p w14:paraId="5875A10D">
      <w:pPr>
        <w:keepNext w:val="0"/>
        <w:keepLines w:val="0"/>
        <w:pageBreakBefore w:val="0"/>
        <w:kinsoku/>
        <w:wordWrap/>
        <w:overflowPunct/>
        <w:topLinePunct w:val="0"/>
        <w:bidi w:val="0"/>
        <w:spacing w:line="360" w:lineRule="auto"/>
        <w:ind w:firstLine="482" w:firstLineChars="200"/>
        <w:textAlignment w:val="auto"/>
        <w:rPr>
          <w:rFonts w:ascii="宋体" w:hAnsi="宋体" w:cs="宋体"/>
          <w:b/>
          <w:color w:val="auto"/>
          <w:sz w:val="24"/>
          <w:highlight w:val="none"/>
        </w:rPr>
      </w:pPr>
      <w:r>
        <w:rPr>
          <w:rFonts w:hint="eastAsia" w:ascii="宋体" w:hAnsi="宋体" w:cs="宋体"/>
          <w:b/>
          <w:color w:val="auto"/>
          <w:sz w:val="24"/>
          <w:highlight w:val="none"/>
        </w:rPr>
        <w:t>（三）同级政府采购监管机构</w:t>
      </w:r>
    </w:p>
    <w:p w14:paraId="53CE12AE">
      <w:pPr>
        <w:keepNext w:val="0"/>
        <w:keepLines w:val="0"/>
        <w:pageBreakBefore w:val="0"/>
        <w:kinsoku/>
        <w:wordWrap/>
        <w:overflowPunct/>
        <w:topLinePunct w:val="0"/>
        <w:bidi w:val="0"/>
        <w:spacing w:line="360" w:lineRule="auto"/>
        <w:ind w:firstLine="480" w:firstLineChars="200"/>
        <w:textAlignment w:val="auto"/>
        <w:rPr>
          <w:rFonts w:hint="eastAsia" w:ascii="宋体" w:hAnsi="宋体" w:eastAsia="宋体" w:cs="宋体"/>
          <w:color w:val="auto"/>
          <w:sz w:val="24"/>
          <w:highlight w:val="none"/>
          <w:u w:val="single"/>
          <w:lang w:eastAsia="zh-CN"/>
        </w:rPr>
      </w:pPr>
      <w:r>
        <w:rPr>
          <w:rFonts w:hint="eastAsia" w:ascii="宋体" w:hAnsi="宋体" w:cs="宋体"/>
          <w:color w:val="auto"/>
          <w:sz w:val="24"/>
          <w:highlight w:val="none"/>
        </w:rPr>
        <w:t>名 称：</w:t>
      </w:r>
      <w:r>
        <w:rPr>
          <w:rFonts w:hint="eastAsia" w:ascii="宋体" w:hAnsi="宋体" w:cs="宋体"/>
          <w:color w:val="auto"/>
          <w:sz w:val="24"/>
          <w:highlight w:val="none"/>
          <w:u w:val="single"/>
          <w:lang w:eastAsia="zh-CN"/>
        </w:rPr>
        <w:t>台州市椒江区财政局政府采购监管科</w:t>
      </w:r>
    </w:p>
    <w:p w14:paraId="7D4E9A2B">
      <w:pPr>
        <w:keepNext w:val="0"/>
        <w:keepLines w:val="0"/>
        <w:pageBreakBefore w:val="0"/>
        <w:kinsoku/>
        <w:wordWrap/>
        <w:overflowPunct/>
        <w:topLinePunct w:val="0"/>
        <w:bidi w:val="0"/>
        <w:spacing w:line="360" w:lineRule="auto"/>
        <w:ind w:firstLine="480" w:firstLineChars="200"/>
        <w:textAlignment w:val="auto"/>
        <w:rPr>
          <w:rFonts w:hint="eastAsia" w:ascii="宋体" w:hAnsi="宋体" w:eastAsia="宋体" w:cs="宋体"/>
          <w:color w:val="auto"/>
          <w:sz w:val="24"/>
          <w:highlight w:val="none"/>
          <w:u w:val="single"/>
          <w:lang w:eastAsia="zh-CN"/>
        </w:rPr>
      </w:pPr>
      <w:r>
        <w:rPr>
          <w:rFonts w:hint="eastAsia" w:ascii="宋体" w:hAnsi="宋体" w:cs="宋体"/>
          <w:color w:val="auto"/>
          <w:sz w:val="24"/>
          <w:highlight w:val="none"/>
        </w:rPr>
        <w:t>地 址：</w:t>
      </w:r>
      <w:r>
        <w:rPr>
          <w:rFonts w:hint="eastAsia" w:ascii="宋体" w:hAnsi="宋体" w:cs="宋体"/>
          <w:color w:val="auto"/>
          <w:sz w:val="24"/>
          <w:highlight w:val="none"/>
          <w:u w:val="single"/>
          <w:lang w:eastAsia="zh-CN"/>
        </w:rPr>
        <w:t>台州市椒江区建设路6号</w:t>
      </w:r>
    </w:p>
    <w:p w14:paraId="5E7700AB">
      <w:pPr>
        <w:keepNext w:val="0"/>
        <w:keepLines w:val="0"/>
        <w:pageBreakBefore w:val="0"/>
        <w:kinsoku/>
        <w:wordWrap/>
        <w:overflowPunct/>
        <w:topLinePunct w:val="0"/>
        <w:bidi w:val="0"/>
        <w:spacing w:line="360" w:lineRule="auto"/>
        <w:ind w:firstLine="480" w:firstLineChars="200"/>
        <w:textAlignment w:val="auto"/>
        <w:rPr>
          <w:rFonts w:hint="eastAsia" w:ascii="宋体" w:hAnsi="宋体" w:eastAsia="宋体" w:cs="宋体"/>
          <w:color w:val="0000FF"/>
          <w:sz w:val="24"/>
          <w:highlight w:val="none"/>
          <w:u w:val="single"/>
          <w:lang w:eastAsia="zh-CN"/>
        </w:rPr>
      </w:pPr>
      <w:r>
        <w:rPr>
          <w:rFonts w:hint="eastAsia" w:ascii="宋体" w:hAnsi="宋体" w:cs="宋体"/>
          <w:color w:val="auto"/>
          <w:sz w:val="24"/>
          <w:highlight w:val="none"/>
        </w:rPr>
        <w:t>联系人：</w:t>
      </w:r>
      <w:r>
        <w:rPr>
          <w:rFonts w:hint="eastAsia" w:ascii="宋体" w:hAnsi="宋体" w:cs="宋体"/>
          <w:color w:val="auto"/>
          <w:sz w:val="24"/>
          <w:highlight w:val="none"/>
          <w:u w:val="single"/>
          <w:lang w:val="en-US" w:eastAsia="zh-CN"/>
        </w:rPr>
        <w:t>李先生</w:t>
      </w:r>
    </w:p>
    <w:p w14:paraId="3121C058">
      <w:pPr>
        <w:keepNext w:val="0"/>
        <w:keepLines w:val="0"/>
        <w:pageBreakBefore w:val="0"/>
        <w:kinsoku/>
        <w:wordWrap/>
        <w:overflowPunct/>
        <w:topLinePunct w:val="0"/>
        <w:bidi w:val="0"/>
        <w:spacing w:line="360" w:lineRule="auto"/>
        <w:ind w:firstLine="480" w:firstLineChars="200"/>
        <w:textAlignment w:val="auto"/>
        <w:rPr>
          <w:rFonts w:hint="default" w:ascii="宋体" w:hAnsi="宋体" w:eastAsia="宋体" w:cs="宋体"/>
          <w:color w:val="auto"/>
          <w:sz w:val="24"/>
          <w:highlight w:val="none"/>
          <w:u w:val="single"/>
          <w:lang w:val="en-US" w:eastAsia="zh-CN"/>
        </w:rPr>
      </w:pPr>
      <w:r>
        <w:rPr>
          <w:rFonts w:hint="eastAsia" w:ascii="宋体" w:hAnsi="宋体" w:cs="宋体"/>
          <w:color w:val="auto"/>
          <w:sz w:val="24"/>
          <w:highlight w:val="none"/>
        </w:rPr>
        <w:t>联系电话：</w:t>
      </w:r>
      <w:r>
        <w:rPr>
          <w:rFonts w:hint="eastAsia" w:ascii="宋体" w:hAnsi="宋体" w:cs="宋体"/>
          <w:color w:val="auto"/>
          <w:sz w:val="24"/>
          <w:highlight w:val="none"/>
          <w:u w:val="single"/>
          <w:lang w:eastAsia="zh-CN"/>
        </w:rPr>
        <w:t>0576-</w:t>
      </w:r>
      <w:r>
        <w:rPr>
          <w:rFonts w:hint="eastAsia" w:ascii="宋体" w:hAnsi="宋体" w:cs="宋体"/>
          <w:color w:val="auto"/>
          <w:sz w:val="24"/>
          <w:highlight w:val="none"/>
          <w:u w:val="single"/>
          <w:lang w:val="en-US" w:eastAsia="zh-CN"/>
        </w:rPr>
        <w:t>88225817</w:t>
      </w:r>
    </w:p>
    <w:p w14:paraId="2004E881">
      <w:pPr>
        <w:keepNext w:val="0"/>
        <w:keepLines w:val="0"/>
        <w:pageBreakBefore w:val="0"/>
        <w:kinsoku/>
        <w:wordWrap/>
        <w:overflowPunct/>
        <w:topLinePunct w:val="0"/>
        <w:bidi w:val="0"/>
        <w:spacing w:line="360" w:lineRule="auto"/>
        <w:ind w:firstLine="482" w:firstLineChars="200"/>
        <w:textAlignment w:val="auto"/>
        <w:rPr>
          <w:rFonts w:ascii="宋体" w:hAnsi="宋体" w:cs="宋体"/>
          <w:b/>
          <w:color w:val="auto"/>
          <w:sz w:val="24"/>
          <w:highlight w:val="none"/>
        </w:rPr>
      </w:pPr>
      <w:r>
        <w:rPr>
          <w:rFonts w:hint="eastAsia" w:ascii="宋体" w:hAnsi="宋体" w:cs="宋体"/>
          <w:b/>
          <w:color w:val="auto"/>
          <w:sz w:val="24"/>
          <w:highlight w:val="none"/>
        </w:rPr>
        <w:t>（四）政采云平台</w:t>
      </w:r>
    </w:p>
    <w:p w14:paraId="28EB44AF">
      <w:pPr>
        <w:keepNext w:val="0"/>
        <w:keepLines w:val="0"/>
        <w:pageBreakBefore w:val="0"/>
        <w:kinsoku/>
        <w:wordWrap/>
        <w:overflowPunct/>
        <w:topLinePunct w:val="0"/>
        <w:bidi w:val="0"/>
        <w:spacing w:line="360" w:lineRule="auto"/>
        <w:ind w:firstLine="480" w:firstLineChars="200"/>
        <w:textAlignment w:val="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联系电话：</w:t>
      </w:r>
      <w:r>
        <w:rPr>
          <w:rFonts w:hint="eastAsia" w:ascii="宋体" w:hAnsi="宋体" w:cs="宋体"/>
          <w:color w:val="auto"/>
          <w:sz w:val="24"/>
          <w:highlight w:val="none"/>
          <w:u w:val="single"/>
          <w:lang w:val="en-US" w:eastAsia="zh-CN"/>
        </w:rPr>
        <w:t>95763</w:t>
      </w:r>
    </w:p>
    <w:p w14:paraId="13F7C67D">
      <w:pPr>
        <w:keepNext w:val="0"/>
        <w:keepLines w:val="0"/>
        <w:pageBreakBefore w:val="0"/>
        <w:tabs>
          <w:tab w:val="left" w:pos="720"/>
          <w:tab w:val="left" w:pos="1260"/>
          <w:tab w:val="left" w:pos="2160"/>
          <w:tab w:val="left" w:pos="2880"/>
          <w:tab w:val="left" w:pos="3600"/>
          <w:tab w:val="left" w:pos="4320"/>
          <w:tab w:val="left" w:pos="5040"/>
          <w:tab w:val="left" w:pos="5760"/>
          <w:tab w:val="left" w:pos="8280"/>
        </w:tabs>
        <w:kinsoku/>
        <w:wordWrap/>
        <w:overflowPunct/>
        <w:topLinePunct w:val="0"/>
        <w:autoSpaceDE w:val="0"/>
        <w:autoSpaceDN w:val="0"/>
        <w:bidi w:val="0"/>
        <w:adjustRightInd w:val="0"/>
        <w:spacing w:line="360" w:lineRule="auto"/>
        <w:ind w:firstLine="200"/>
        <w:jc w:val="right"/>
        <w:textAlignment w:val="auto"/>
        <w:rPr>
          <w:rFonts w:ascii="宋体" w:hAnsi="宋体" w:cs="宋体"/>
          <w:color w:val="auto"/>
          <w:sz w:val="24"/>
          <w:highlight w:val="none"/>
        </w:rPr>
      </w:pPr>
      <w:r>
        <w:rPr>
          <w:rFonts w:hint="eastAsia" w:ascii="宋体" w:hAnsi="宋体" w:cs="宋体"/>
          <w:color w:val="auto"/>
          <w:sz w:val="24"/>
          <w:highlight w:val="none"/>
          <w:shd w:val="clear" w:color="auto" w:fill="FFFFFF"/>
        </w:rPr>
        <w:t>台州市建设咨询有限公司</w:t>
      </w:r>
      <w:r>
        <w:rPr>
          <w:rFonts w:hint="eastAsia" w:ascii="宋体" w:hAnsi="宋体" w:cs="宋体"/>
          <w:color w:val="auto"/>
          <w:kern w:val="0"/>
          <w:sz w:val="24"/>
          <w:highlight w:val="none"/>
        </w:rPr>
        <w:t xml:space="preserve">  </w:t>
      </w:r>
    </w:p>
    <w:p w14:paraId="44AFEC89">
      <w:pPr>
        <w:keepNext w:val="0"/>
        <w:keepLines w:val="0"/>
        <w:pageBreakBefore w:val="0"/>
        <w:widowControl/>
        <w:kinsoku/>
        <w:wordWrap/>
        <w:overflowPunct/>
        <w:topLinePunct w:val="0"/>
        <w:bidi w:val="0"/>
        <w:spacing w:line="360" w:lineRule="auto"/>
        <w:ind w:firstLine="200"/>
        <w:jc w:val="right"/>
        <w:textAlignment w:val="auto"/>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                                                   20</w:t>
      </w:r>
      <w:r>
        <w:rPr>
          <w:rFonts w:hint="eastAsia" w:ascii="宋体" w:hAnsi="宋体" w:cs="宋体"/>
          <w:color w:val="auto"/>
          <w:kern w:val="0"/>
          <w:sz w:val="24"/>
          <w:highlight w:val="none"/>
          <w:lang w:val="en-US" w:eastAsia="zh-CN"/>
        </w:rPr>
        <w:t>25</w:t>
      </w:r>
      <w:r>
        <w:rPr>
          <w:rFonts w:hint="eastAsia" w:ascii="宋体" w:hAnsi="宋体" w:cs="宋体"/>
          <w:color w:val="auto"/>
          <w:kern w:val="0"/>
          <w:sz w:val="24"/>
          <w:highlight w:val="none"/>
        </w:rPr>
        <w:t>年</w:t>
      </w:r>
      <w:r>
        <w:rPr>
          <w:rFonts w:hint="eastAsia" w:ascii="宋体" w:hAnsi="宋体" w:cs="宋体"/>
          <w:color w:val="auto"/>
          <w:kern w:val="0"/>
          <w:sz w:val="24"/>
          <w:highlight w:val="none"/>
          <w:lang w:val="en-US" w:eastAsia="zh-CN"/>
        </w:rPr>
        <w:t>4</w:t>
      </w:r>
      <w:r>
        <w:rPr>
          <w:rFonts w:hint="eastAsia" w:ascii="宋体" w:hAnsi="宋体" w:cs="宋体"/>
          <w:color w:val="auto"/>
          <w:kern w:val="0"/>
          <w:sz w:val="24"/>
          <w:highlight w:val="none"/>
        </w:rPr>
        <w:t>月</w:t>
      </w:r>
    </w:p>
    <w:p w14:paraId="5FFB7B9A">
      <w:pPr>
        <w:pStyle w:val="9"/>
        <w:rPr>
          <w:rFonts w:hint="eastAsia"/>
          <w:color w:val="auto"/>
          <w:highlight w:val="none"/>
          <w:lang w:val="en-US" w:eastAsia="zh-CN"/>
        </w:rPr>
      </w:pPr>
    </w:p>
    <w:p w14:paraId="511A08CA">
      <w:pPr>
        <w:rPr>
          <w:color w:val="auto"/>
          <w:highlight w:val="none"/>
        </w:rPr>
      </w:pPr>
      <w:r>
        <w:rPr>
          <w:color w:val="auto"/>
          <w:highlight w:val="none"/>
        </w:rPr>
        <w:br w:type="page"/>
      </w:r>
    </w:p>
    <w:p w14:paraId="4EDE56D8">
      <w:pPr>
        <w:pStyle w:val="34"/>
        <w:spacing w:before="120"/>
        <w:ind w:firstLine="0"/>
        <w:rPr>
          <w:color w:val="auto"/>
          <w:highlight w:val="none"/>
        </w:rPr>
      </w:pPr>
    </w:p>
    <w:bookmarkEnd w:id="20"/>
    <w:bookmarkEnd w:id="21"/>
    <w:p w14:paraId="25D66EE3">
      <w:pPr>
        <w:numPr>
          <w:ilvl w:val="0"/>
          <w:numId w:val="4"/>
        </w:numPr>
        <w:spacing w:line="360" w:lineRule="auto"/>
        <w:jc w:val="center"/>
        <w:outlineLvl w:val="0"/>
        <w:rPr>
          <w:rFonts w:asciiTheme="minorEastAsia" w:hAnsiTheme="minorEastAsia" w:eastAsiaTheme="minorEastAsia"/>
          <w:b/>
          <w:color w:val="auto"/>
          <w:sz w:val="36"/>
          <w:szCs w:val="36"/>
          <w:highlight w:val="none"/>
        </w:rPr>
      </w:pPr>
      <w:bookmarkStart w:id="28" w:name="_Toc6994"/>
      <w:r>
        <w:rPr>
          <w:rFonts w:hint="eastAsia" w:asciiTheme="minorEastAsia" w:hAnsiTheme="minorEastAsia" w:eastAsiaTheme="minorEastAsia"/>
          <w:b/>
          <w:color w:val="auto"/>
          <w:sz w:val="36"/>
          <w:szCs w:val="36"/>
          <w:highlight w:val="none"/>
        </w:rPr>
        <w:t>供应商须知</w:t>
      </w:r>
      <w:bookmarkEnd w:id="28"/>
    </w:p>
    <w:p w14:paraId="3951E5A3">
      <w:pPr>
        <w:numPr>
          <w:ilvl w:val="0"/>
          <w:numId w:val="5"/>
        </w:num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前附表</w:t>
      </w:r>
    </w:p>
    <w:tbl>
      <w:tblPr>
        <w:tblStyle w:val="24"/>
        <w:tblW w:w="92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7"/>
        <w:gridCol w:w="1760"/>
        <w:gridCol w:w="6501"/>
      </w:tblGrid>
      <w:tr w14:paraId="216A51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7" w:type="dxa"/>
            <w:tcBorders>
              <w:top w:val="single" w:color="auto" w:sz="4" w:space="0"/>
              <w:left w:val="single" w:color="auto" w:sz="4" w:space="0"/>
              <w:bottom w:val="single" w:color="auto" w:sz="4" w:space="0"/>
              <w:right w:val="single" w:color="auto" w:sz="4" w:space="0"/>
            </w:tcBorders>
            <w:vAlign w:val="center"/>
          </w:tcPr>
          <w:p w14:paraId="5D130AD9">
            <w:pPr>
              <w:adjustRightInd w:val="0"/>
              <w:snapToGrid w:val="0"/>
              <w:spacing w:line="360" w:lineRule="auto"/>
              <w:jc w:val="center"/>
              <w:rPr>
                <w:rFonts w:ascii="宋体" w:hAnsi="宋体" w:cs="宋体"/>
                <w:color w:val="auto"/>
                <w:szCs w:val="21"/>
                <w:highlight w:val="none"/>
              </w:rPr>
            </w:pPr>
            <w:r>
              <w:rPr>
                <w:rFonts w:hint="eastAsia" w:ascii="仿宋_GB2312" w:hAnsi="仿宋" w:eastAsia="仿宋_GB2312" w:cs="仿宋_GB2312"/>
                <w:b/>
                <w:color w:val="auto"/>
                <w:sz w:val="24"/>
                <w:highlight w:val="none"/>
              </w:rPr>
              <w:t>序号</w:t>
            </w:r>
          </w:p>
        </w:tc>
        <w:tc>
          <w:tcPr>
            <w:tcW w:w="1760" w:type="dxa"/>
            <w:tcBorders>
              <w:top w:val="single" w:color="auto" w:sz="4" w:space="0"/>
              <w:left w:val="single" w:color="auto" w:sz="4" w:space="0"/>
              <w:bottom w:val="single" w:color="auto" w:sz="4" w:space="0"/>
              <w:right w:val="single" w:color="auto" w:sz="4" w:space="0"/>
            </w:tcBorders>
            <w:vAlign w:val="center"/>
          </w:tcPr>
          <w:p w14:paraId="5B3B154D">
            <w:pPr>
              <w:adjustRightInd w:val="0"/>
              <w:snapToGrid w:val="0"/>
              <w:spacing w:line="360" w:lineRule="auto"/>
              <w:jc w:val="center"/>
              <w:rPr>
                <w:rFonts w:ascii="宋体" w:hAnsi="宋体" w:cs="宋体"/>
                <w:color w:val="auto"/>
                <w:szCs w:val="21"/>
                <w:highlight w:val="none"/>
              </w:rPr>
            </w:pPr>
            <w:r>
              <w:rPr>
                <w:rFonts w:hint="eastAsia" w:ascii="仿宋_GB2312" w:hAnsi="仿宋" w:eastAsia="仿宋_GB2312" w:cs="仿宋_GB2312"/>
                <w:b/>
                <w:color w:val="auto"/>
                <w:sz w:val="24"/>
                <w:highlight w:val="none"/>
              </w:rPr>
              <w:t>事项</w:t>
            </w:r>
          </w:p>
        </w:tc>
        <w:tc>
          <w:tcPr>
            <w:tcW w:w="6501" w:type="dxa"/>
            <w:tcBorders>
              <w:top w:val="single" w:color="auto" w:sz="4" w:space="0"/>
              <w:left w:val="single" w:color="auto" w:sz="4" w:space="0"/>
              <w:bottom w:val="single" w:color="auto" w:sz="4" w:space="0"/>
              <w:right w:val="single" w:color="auto" w:sz="4" w:space="0"/>
            </w:tcBorders>
            <w:vAlign w:val="center"/>
          </w:tcPr>
          <w:p w14:paraId="067E589F">
            <w:pPr>
              <w:adjustRightInd w:val="0"/>
              <w:snapToGrid w:val="0"/>
              <w:spacing w:line="360" w:lineRule="auto"/>
              <w:jc w:val="center"/>
              <w:rPr>
                <w:rFonts w:ascii="宋体" w:hAnsi="宋体" w:cs="宋体"/>
                <w:color w:val="auto"/>
                <w:szCs w:val="21"/>
                <w:highlight w:val="none"/>
              </w:rPr>
            </w:pPr>
            <w:r>
              <w:rPr>
                <w:rFonts w:hint="eastAsia" w:ascii="仿宋_GB2312" w:hAnsi="仿宋" w:eastAsia="仿宋_GB2312" w:cs="仿宋_GB2312"/>
                <w:b/>
                <w:color w:val="auto"/>
                <w:sz w:val="24"/>
                <w:highlight w:val="none"/>
              </w:rPr>
              <w:t>本项目的特别规定</w:t>
            </w:r>
          </w:p>
        </w:tc>
      </w:tr>
      <w:tr w14:paraId="00E6F2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7" w:type="dxa"/>
            <w:tcBorders>
              <w:top w:val="single" w:color="auto" w:sz="4" w:space="0"/>
              <w:left w:val="single" w:color="auto" w:sz="4" w:space="0"/>
              <w:bottom w:val="single" w:color="auto" w:sz="4" w:space="0"/>
              <w:right w:val="single" w:color="auto" w:sz="4" w:space="0"/>
            </w:tcBorders>
            <w:vAlign w:val="center"/>
          </w:tcPr>
          <w:p w14:paraId="48E72E83">
            <w:pPr>
              <w:spacing w:line="360" w:lineRule="auto"/>
              <w:jc w:val="center"/>
              <w:rPr>
                <w:rFonts w:ascii="宋体" w:hAnsi="宋体" w:cs="宋体"/>
                <w:color w:val="auto"/>
                <w:szCs w:val="21"/>
                <w:highlight w:val="none"/>
              </w:rPr>
            </w:pPr>
            <w:r>
              <w:rPr>
                <w:rFonts w:hint="eastAsia" w:ascii="宋体" w:hAnsi="宋体" w:cs="宋体"/>
                <w:color w:val="auto"/>
                <w:szCs w:val="21"/>
                <w:highlight w:val="none"/>
              </w:rPr>
              <w:t>1</w:t>
            </w:r>
          </w:p>
        </w:tc>
        <w:tc>
          <w:tcPr>
            <w:tcW w:w="1760" w:type="dxa"/>
            <w:tcBorders>
              <w:top w:val="single" w:color="auto" w:sz="4" w:space="0"/>
              <w:left w:val="single" w:color="auto" w:sz="4" w:space="0"/>
              <w:bottom w:val="single" w:color="auto" w:sz="4" w:space="0"/>
              <w:right w:val="single" w:color="auto" w:sz="4" w:space="0"/>
            </w:tcBorders>
            <w:vAlign w:val="center"/>
          </w:tcPr>
          <w:p w14:paraId="2CE94DDA">
            <w:pPr>
              <w:autoSpaceDE w:val="0"/>
              <w:autoSpaceDN w:val="0"/>
              <w:adjustRightInd w:val="0"/>
              <w:spacing w:line="360" w:lineRule="auto"/>
              <w:jc w:val="center"/>
              <w:rPr>
                <w:rFonts w:ascii="宋体" w:hAnsi="宋体" w:cs="宋体"/>
                <w:color w:val="auto"/>
                <w:szCs w:val="21"/>
                <w:highlight w:val="none"/>
              </w:rPr>
            </w:pPr>
            <w:r>
              <w:rPr>
                <w:rFonts w:hint="eastAsia" w:ascii="宋体" w:hAnsi="宋体" w:cs="宋体"/>
                <w:color w:val="auto"/>
                <w:szCs w:val="21"/>
                <w:highlight w:val="none"/>
              </w:rPr>
              <w:t>是否允许联合体</w:t>
            </w:r>
          </w:p>
        </w:tc>
        <w:tc>
          <w:tcPr>
            <w:tcW w:w="6501" w:type="dxa"/>
            <w:tcBorders>
              <w:top w:val="single" w:color="auto" w:sz="4" w:space="0"/>
              <w:left w:val="single" w:color="auto" w:sz="4" w:space="0"/>
              <w:bottom w:val="single" w:color="auto" w:sz="4" w:space="0"/>
              <w:right w:val="single" w:color="auto" w:sz="4" w:space="0"/>
            </w:tcBorders>
            <w:vAlign w:val="center"/>
          </w:tcPr>
          <w:p w14:paraId="1791EA95">
            <w:pPr>
              <w:spacing w:line="360" w:lineRule="auto"/>
              <w:rPr>
                <w:rFonts w:ascii="宋体" w:hAnsi="宋体" w:cs="宋体"/>
                <w:color w:val="auto"/>
                <w:szCs w:val="21"/>
                <w:highlight w:val="none"/>
              </w:rPr>
            </w:pPr>
            <w:r>
              <w:rPr>
                <w:rFonts w:hint="eastAsia" w:ascii="宋体" w:hAnsi="宋体" w:cs="宋体"/>
                <w:color w:val="auto"/>
                <w:highlight w:val="none"/>
              </w:rPr>
              <w:t>□是/☑ 否</w:t>
            </w:r>
          </w:p>
        </w:tc>
      </w:tr>
      <w:tr w14:paraId="60AC38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7" w:type="dxa"/>
            <w:tcBorders>
              <w:top w:val="single" w:color="auto" w:sz="4" w:space="0"/>
              <w:left w:val="single" w:color="auto" w:sz="4" w:space="0"/>
              <w:bottom w:val="single" w:color="auto" w:sz="4" w:space="0"/>
              <w:right w:val="single" w:color="auto" w:sz="4" w:space="0"/>
            </w:tcBorders>
            <w:vAlign w:val="center"/>
          </w:tcPr>
          <w:p w14:paraId="0D1F5133">
            <w:pPr>
              <w:spacing w:line="360" w:lineRule="auto"/>
              <w:jc w:val="center"/>
              <w:rPr>
                <w:rFonts w:ascii="宋体" w:hAnsi="宋体" w:cs="宋体"/>
                <w:color w:val="auto"/>
                <w:szCs w:val="21"/>
                <w:highlight w:val="none"/>
              </w:rPr>
            </w:pPr>
            <w:r>
              <w:rPr>
                <w:rFonts w:hint="eastAsia" w:ascii="宋体" w:hAnsi="宋体" w:cs="宋体"/>
                <w:color w:val="auto"/>
                <w:szCs w:val="21"/>
                <w:highlight w:val="none"/>
              </w:rPr>
              <w:t>2</w:t>
            </w:r>
          </w:p>
        </w:tc>
        <w:tc>
          <w:tcPr>
            <w:tcW w:w="1760" w:type="dxa"/>
            <w:tcBorders>
              <w:top w:val="single" w:color="auto" w:sz="4" w:space="0"/>
              <w:left w:val="single" w:color="auto" w:sz="4" w:space="0"/>
              <w:bottom w:val="single" w:color="auto" w:sz="4" w:space="0"/>
              <w:right w:val="single" w:color="auto" w:sz="4" w:space="0"/>
            </w:tcBorders>
            <w:vAlign w:val="center"/>
          </w:tcPr>
          <w:p w14:paraId="5A47B6B9">
            <w:pPr>
              <w:autoSpaceDE w:val="0"/>
              <w:autoSpaceDN w:val="0"/>
              <w:adjustRightInd w:val="0"/>
              <w:spacing w:line="360" w:lineRule="auto"/>
              <w:jc w:val="center"/>
              <w:rPr>
                <w:rFonts w:ascii="宋体" w:hAnsi="宋体" w:cs="宋体"/>
                <w:color w:val="auto"/>
                <w:szCs w:val="21"/>
                <w:highlight w:val="none"/>
              </w:rPr>
            </w:pPr>
            <w:r>
              <w:rPr>
                <w:rFonts w:hint="eastAsia" w:ascii="宋体" w:hAnsi="宋体" w:cs="宋体"/>
                <w:color w:val="auto"/>
                <w:szCs w:val="21"/>
                <w:highlight w:val="none"/>
              </w:rPr>
              <w:t>是否允许分包</w:t>
            </w:r>
          </w:p>
        </w:tc>
        <w:tc>
          <w:tcPr>
            <w:tcW w:w="6501" w:type="dxa"/>
            <w:tcBorders>
              <w:top w:val="single" w:color="auto" w:sz="4" w:space="0"/>
              <w:left w:val="single" w:color="auto" w:sz="4" w:space="0"/>
              <w:bottom w:val="single" w:color="auto" w:sz="4" w:space="0"/>
              <w:right w:val="single" w:color="auto" w:sz="4" w:space="0"/>
            </w:tcBorders>
            <w:vAlign w:val="center"/>
          </w:tcPr>
          <w:p w14:paraId="72DAA1FD">
            <w:pPr>
              <w:spacing w:line="360" w:lineRule="auto"/>
              <w:rPr>
                <w:rFonts w:ascii="宋体" w:hAnsi="宋体" w:cs="宋体"/>
                <w:color w:val="auto"/>
                <w:szCs w:val="21"/>
                <w:highlight w:val="none"/>
              </w:rPr>
            </w:pPr>
            <w:r>
              <w:rPr>
                <w:rFonts w:hint="eastAsia" w:ascii="宋体" w:hAnsi="宋体" w:cs="宋体"/>
                <w:color w:val="auto"/>
                <w:highlight w:val="none"/>
              </w:rPr>
              <w:t>□ 是（但主体部分不得分包，详见招标需求内容）/☑否</w:t>
            </w:r>
          </w:p>
        </w:tc>
      </w:tr>
      <w:tr w14:paraId="72194D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7" w:type="dxa"/>
            <w:tcBorders>
              <w:top w:val="single" w:color="auto" w:sz="4" w:space="0"/>
              <w:left w:val="single" w:color="auto" w:sz="4" w:space="0"/>
              <w:bottom w:val="single" w:color="auto" w:sz="4" w:space="0"/>
              <w:right w:val="single" w:color="auto" w:sz="4" w:space="0"/>
            </w:tcBorders>
            <w:vAlign w:val="center"/>
          </w:tcPr>
          <w:p w14:paraId="2CDEC06F">
            <w:pPr>
              <w:spacing w:line="360" w:lineRule="auto"/>
              <w:jc w:val="center"/>
              <w:rPr>
                <w:rFonts w:ascii="宋体" w:hAnsi="宋体" w:cs="宋体"/>
                <w:color w:val="auto"/>
                <w:szCs w:val="21"/>
                <w:highlight w:val="none"/>
              </w:rPr>
            </w:pPr>
            <w:r>
              <w:rPr>
                <w:rFonts w:hint="eastAsia" w:ascii="宋体" w:hAnsi="宋体" w:cs="宋体"/>
                <w:color w:val="auto"/>
                <w:szCs w:val="21"/>
                <w:highlight w:val="none"/>
              </w:rPr>
              <w:t>3</w:t>
            </w:r>
          </w:p>
        </w:tc>
        <w:tc>
          <w:tcPr>
            <w:tcW w:w="1760" w:type="dxa"/>
            <w:tcBorders>
              <w:top w:val="single" w:color="auto" w:sz="4" w:space="0"/>
              <w:left w:val="single" w:color="auto" w:sz="4" w:space="0"/>
              <w:bottom w:val="single" w:color="auto" w:sz="4" w:space="0"/>
              <w:right w:val="single" w:color="auto" w:sz="4" w:space="0"/>
            </w:tcBorders>
            <w:vAlign w:val="center"/>
          </w:tcPr>
          <w:p w14:paraId="2BD85B33">
            <w:pPr>
              <w:spacing w:line="360" w:lineRule="auto"/>
              <w:jc w:val="center"/>
              <w:rPr>
                <w:rFonts w:ascii="宋体" w:hAnsi="宋体" w:cs="宋体"/>
                <w:color w:val="auto"/>
                <w:kern w:val="0"/>
                <w:szCs w:val="21"/>
                <w:highlight w:val="none"/>
              </w:rPr>
            </w:pPr>
            <w:r>
              <w:rPr>
                <w:rFonts w:hint="eastAsia" w:ascii="宋体" w:hAnsi="宋体" w:cs="宋体"/>
                <w:color w:val="auto"/>
                <w:kern w:val="0"/>
                <w:szCs w:val="21"/>
                <w:highlight w:val="none"/>
              </w:rPr>
              <w:t>答疑会或</w:t>
            </w:r>
          </w:p>
          <w:p w14:paraId="1E844F1A">
            <w:pPr>
              <w:spacing w:line="360" w:lineRule="auto"/>
              <w:jc w:val="center"/>
              <w:rPr>
                <w:rFonts w:ascii="宋体" w:hAnsi="宋体" w:cs="宋体"/>
                <w:color w:val="auto"/>
                <w:kern w:val="0"/>
                <w:szCs w:val="21"/>
                <w:highlight w:val="none"/>
              </w:rPr>
            </w:pPr>
            <w:r>
              <w:rPr>
                <w:rFonts w:hint="eastAsia" w:ascii="宋体" w:hAnsi="宋体" w:cs="宋体"/>
                <w:color w:val="auto"/>
                <w:szCs w:val="21"/>
                <w:highlight w:val="none"/>
              </w:rPr>
              <w:t>现场踏勘</w:t>
            </w:r>
          </w:p>
        </w:tc>
        <w:tc>
          <w:tcPr>
            <w:tcW w:w="6501" w:type="dxa"/>
            <w:tcBorders>
              <w:top w:val="single" w:color="auto" w:sz="4" w:space="0"/>
              <w:left w:val="single" w:color="auto" w:sz="4" w:space="0"/>
              <w:bottom w:val="single" w:color="auto" w:sz="4" w:space="0"/>
              <w:right w:val="single" w:color="auto" w:sz="4" w:space="0"/>
            </w:tcBorders>
            <w:vAlign w:val="center"/>
          </w:tcPr>
          <w:p w14:paraId="4E9935B7">
            <w:pPr>
              <w:spacing w:line="360" w:lineRule="auto"/>
              <w:rPr>
                <w:rFonts w:ascii="宋体" w:hAnsi="宋体" w:cs="宋体"/>
                <w:color w:val="auto"/>
                <w:kern w:val="0"/>
                <w:szCs w:val="21"/>
                <w:highlight w:val="none"/>
              </w:rPr>
            </w:pPr>
            <w:r>
              <w:rPr>
                <w:rFonts w:hint="eastAsia" w:ascii="宋体" w:hAnsi="宋体" w:cs="宋体"/>
                <w:color w:val="auto"/>
                <w:szCs w:val="21"/>
                <w:highlight w:val="none"/>
              </w:rPr>
              <w:t>无</w:t>
            </w:r>
          </w:p>
        </w:tc>
      </w:tr>
      <w:tr w14:paraId="61B8CF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7" w:type="dxa"/>
            <w:tcBorders>
              <w:top w:val="single" w:color="auto" w:sz="4" w:space="0"/>
              <w:left w:val="single" w:color="auto" w:sz="4" w:space="0"/>
              <w:bottom w:val="single" w:color="auto" w:sz="4" w:space="0"/>
              <w:right w:val="single" w:color="auto" w:sz="4" w:space="0"/>
            </w:tcBorders>
            <w:vAlign w:val="center"/>
          </w:tcPr>
          <w:p w14:paraId="27D71545">
            <w:pPr>
              <w:spacing w:line="360" w:lineRule="auto"/>
              <w:jc w:val="center"/>
              <w:rPr>
                <w:rFonts w:ascii="宋体" w:hAnsi="宋体" w:cs="宋体"/>
                <w:color w:val="auto"/>
                <w:szCs w:val="21"/>
                <w:highlight w:val="none"/>
              </w:rPr>
            </w:pPr>
            <w:r>
              <w:rPr>
                <w:rFonts w:hint="eastAsia" w:ascii="宋体" w:hAnsi="宋体" w:cs="宋体"/>
                <w:color w:val="auto"/>
                <w:szCs w:val="21"/>
                <w:highlight w:val="none"/>
              </w:rPr>
              <w:t>4</w:t>
            </w:r>
          </w:p>
        </w:tc>
        <w:tc>
          <w:tcPr>
            <w:tcW w:w="1760" w:type="dxa"/>
            <w:tcBorders>
              <w:top w:val="single" w:color="auto" w:sz="4" w:space="0"/>
              <w:left w:val="single" w:color="auto" w:sz="4" w:space="0"/>
              <w:bottom w:val="single" w:color="auto" w:sz="4" w:space="0"/>
              <w:right w:val="single" w:color="auto" w:sz="4" w:space="0"/>
            </w:tcBorders>
            <w:vAlign w:val="center"/>
          </w:tcPr>
          <w:p w14:paraId="367927BC">
            <w:pPr>
              <w:spacing w:line="360" w:lineRule="auto"/>
              <w:jc w:val="center"/>
              <w:rPr>
                <w:rFonts w:ascii="宋体" w:hAnsi="宋体" w:cs="宋体"/>
                <w:color w:val="auto"/>
                <w:kern w:val="0"/>
                <w:szCs w:val="21"/>
                <w:highlight w:val="none"/>
              </w:rPr>
            </w:pPr>
            <w:r>
              <w:rPr>
                <w:rFonts w:hint="eastAsia" w:ascii="宋体" w:hAnsi="宋体" w:cs="宋体"/>
                <w:color w:val="auto"/>
                <w:szCs w:val="21"/>
                <w:highlight w:val="none"/>
              </w:rPr>
              <w:t>响应文件的制作和递交</w:t>
            </w:r>
          </w:p>
        </w:tc>
        <w:tc>
          <w:tcPr>
            <w:tcW w:w="6501" w:type="dxa"/>
            <w:tcBorders>
              <w:top w:val="single" w:color="auto" w:sz="4" w:space="0"/>
              <w:left w:val="single" w:color="auto" w:sz="4" w:space="0"/>
              <w:bottom w:val="single" w:color="auto" w:sz="4" w:space="0"/>
              <w:right w:val="single" w:color="auto" w:sz="4" w:space="0"/>
            </w:tcBorders>
            <w:vAlign w:val="center"/>
          </w:tcPr>
          <w:p w14:paraId="081769EF">
            <w:pPr>
              <w:spacing w:line="360" w:lineRule="auto"/>
              <w:ind w:firstLine="420" w:firstLineChars="200"/>
              <w:rPr>
                <w:color w:val="auto"/>
                <w:highlight w:val="none"/>
              </w:rPr>
            </w:pPr>
            <w:r>
              <w:rPr>
                <w:rFonts w:hint="eastAsia"/>
                <w:color w:val="auto"/>
                <w:highlight w:val="none"/>
              </w:rPr>
              <w:t>请供应商仔细阅读“政府采购项目电子交易操作指南”。</w:t>
            </w:r>
          </w:p>
          <w:p w14:paraId="473A54D9">
            <w:pPr>
              <w:spacing w:line="360" w:lineRule="auto"/>
              <w:ind w:firstLine="420" w:firstLineChars="200"/>
              <w:rPr>
                <w:color w:val="auto"/>
                <w:highlight w:val="none"/>
              </w:rPr>
            </w:pPr>
            <w:r>
              <w:rPr>
                <w:rFonts w:hint="eastAsia"/>
                <w:color w:val="auto"/>
                <w:highlight w:val="none"/>
              </w:rPr>
              <w:t>1.响应文件的制作：供应商按照本项目磋商文件和政采云平台的要求,通过政采云电子交易客户端编制、加密并递交响应文件（下载网址：</w:t>
            </w:r>
            <w:r>
              <w:rPr>
                <w:color w:val="auto"/>
                <w:highlight w:val="none"/>
              </w:rPr>
              <w:fldChar w:fldCharType="begin"/>
            </w:r>
            <w:r>
              <w:rPr>
                <w:color w:val="auto"/>
                <w:highlight w:val="none"/>
              </w:rPr>
              <w:instrText xml:space="preserve"> HYPERLINK "http://www.zjzfcg.gov.cn/bidClientTemplate/2019-09-24/12975.html）。" </w:instrText>
            </w:r>
            <w:r>
              <w:rPr>
                <w:color w:val="auto"/>
                <w:highlight w:val="none"/>
              </w:rPr>
              <w:fldChar w:fldCharType="separate"/>
            </w:r>
            <w:r>
              <w:rPr>
                <w:rFonts w:hint="eastAsia"/>
                <w:color w:val="auto"/>
                <w:highlight w:val="none"/>
              </w:rPr>
              <w:t>https://zfcg.czt.zj.gov.cn/download/index.html）。</w:t>
            </w:r>
            <w:r>
              <w:rPr>
                <w:rFonts w:hint="eastAsia"/>
                <w:color w:val="auto"/>
                <w:highlight w:val="none"/>
              </w:rPr>
              <w:fldChar w:fldCharType="end"/>
            </w:r>
          </w:p>
          <w:p w14:paraId="0038223C">
            <w:pPr>
              <w:spacing w:line="360" w:lineRule="auto"/>
              <w:ind w:firstLine="420" w:firstLineChars="200"/>
              <w:rPr>
                <w:color w:val="auto"/>
                <w:highlight w:val="none"/>
              </w:rPr>
            </w:pPr>
            <w:r>
              <w:rPr>
                <w:rFonts w:hint="eastAsia"/>
                <w:color w:val="auto"/>
                <w:highlight w:val="none"/>
              </w:rPr>
              <w:t>2.递交响应文件：供应商应当在响应截止时间前（磋商当天北京时间09:00）完成响应文件的递交，逾期递交的响应文件恕不接受。补充或者修改响应文件的，应当先行撤回原文件，补充、修改后重新递交。</w:t>
            </w:r>
            <w:r>
              <w:rPr>
                <w:rFonts w:hint="eastAsia" w:ascii="宋体" w:hAnsi="宋体" w:cs="宋体"/>
                <w:color w:val="000000" w:themeColor="text1"/>
                <w:highlight w:val="none"/>
                <w:lang w:val="en-US" w:eastAsia="zh-CN"/>
                <w14:textFill>
                  <w14:solidFill>
                    <w14:schemeClr w14:val="tx1"/>
                  </w14:solidFill>
                </w14:textFill>
              </w:rPr>
              <w:t>▲</w:t>
            </w:r>
            <w:r>
              <w:rPr>
                <w:rFonts w:hint="eastAsia"/>
                <w:color w:val="auto"/>
                <w:highlight w:val="none"/>
              </w:rPr>
              <w:t>响应截止时间前未完成</w:t>
            </w:r>
            <w:r>
              <w:rPr>
                <w:rFonts w:hint="eastAsia" w:ascii="宋体" w:hAnsi="宋体" w:cs="宋体"/>
                <w:color w:val="auto"/>
                <w:szCs w:val="21"/>
                <w:highlight w:val="none"/>
              </w:rPr>
              <w:t>递交</w:t>
            </w:r>
            <w:r>
              <w:rPr>
                <w:rFonts w:hint="eastAsia"/>
                <w:color w:val="auto"/>
                <w:highlight w:val="none"/>
              </w:rPr>
              <w:t>的，视为撤回响应文件。</w:t>
            </w:r>
          </w:p>
          <w:p w14:paraId="220F090C">
            <w:pPr>
              <w:spacing w:line="360" w:lineRule="auto"/>
              <w:ind w:firstLine="420" w:firstLineChars="200"/>
              <w:rPr>
                <w:rFonts w:ascii="宋体" w:hAnsi="宋体" w:cs="宋体"/>
                <w:color w:val="auto"/>
                <w:kern w:val="0"/>
                <w:szCs w:val="21"/>
                <w:highlight w:val="none"/>
              </w:rPr>
            </w:pPr>
            <w:r>
              <w:rPr>
                <w:rFonts w:hint="eastAsia"/>
                <w:color w:val="auto"/>
                <w:highlight w:val="none"/>
              </w:rPr>
              <w:t>3.响应文件解密：供应商应在响应文件开启解密后30分钟内完成解密。</w:t>
            </w:r>
          </w:p>
        </w:tc>
      </w:tr>
      <w:tr w14:paraId="7AE3D1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7" w:type="dxa"/>
            <w:tcBorders>
              <w:top w:val="single" w:color="auto" w:sz="4" w:space="0"/>
              <w:left w:val="single" w:color="auto" w:sz="4" w:space="0"/>
              <w:bottom w:val="single" w:color="auto" w:sz="4" w:space="0"/>
              <w:right w:val="single" w:color="auto" w:sz="4" w:space="0"/>
            </w:tcBorders>
            <w:vAlign w:val="center"/>
          </w:tcPr>
          <w:p w14:paraId="576FD83A">
            <w:pPr>
              <w:spacing w:line="360" w:lineRule="auto"/>
              <w:jc w:val="center"/>
              <w:rPr>
                <w:rFonts w:ascii="宋体" w:hAnsi="宋体" w:cs="宋体"/>
                <w:color w:val="auto"/>
                <w:szCs w:val="21"/>
                <w:highlight w:val="none"/>
              </w:rPr>
            </w:pPr>
            <w:r>
              <w:rPr>
                <w:rFonts w:hint="eastAsia" w:ascii="宋体" w:hAnsi="宋体" w:cs="宋体"/>
                <w:color w:val="auto"/>
                <w:szCs w:val="21"/>
                <w:highlight w:val="none"/>
              </w:rPr>
              <w:t>5</w:t>
            </w:r>
          </w:p>
        </w:tc>
        <w:tc>
          <w:tcPr>
            <w:tcW w:w="1760" w:type="dxa"/>
            <w:tcBorders>
              <w:top w:val="single" w:color="auto" w:sz="4" w:space="0"/>
              <w:left w:val="single" w:color="auto" w:sz="4" w:space="0"/>
              <w:bottom w:val="single" w:color="auto" w:sz="4" w:space="0"/>
              <w:right w:val="single" w:color="auto" w:sz="4" w:space="0"/>
            </w:tcBorders>
            <w:vAlign w:val="center"/>
          </w:tcPr>
          <w:p w14:paraId="432947BF">
            <w:pPr>
              <w:pStyle w:val="23"/>
              <w:spacing w:after="0" w:line="360" w:lineRule="auto"/>
              <w:ind w:left="0" w:leftChars="0" w:firstLine="0"/>
              <w:jc w:val="center"/>
              <w:rPr>
                <w:rFonts w:ascii="宋体" w:hAnsi="宋体" w:cs="宋体"/>
                <w:color w:val="auto"/>
                <w:kern w:val="0"/>
                <w:szCs w:val="21"/>
                <w:highlight w:val="none"/>
              </w:rPr>
            </w:pPr>
            <w:r>
              <w:rPr>
                <w:rFonts w:hint="eastAsia" w:ascii="宋体" w:hAnsi="宋体" w:cs="宋体"/>
                <w:color w:val="auto"/>
                <w:szCs w:val="21"/>
                <w:highlight w:val="none"/>
              </w:rPr>
              <w:t>备份响应文件的递交</w:t>
            </w:r>
          </w:p>
        </w:tc>
        <w:tc>
          <w:tcPr>
            <w:tcW w:w="6501" w:type="dxa"/>
            <w:tcBorders>
              <w:top w:val="single" w:color="auto" w:sz="4" w:space="0"/>
              <w:left w:val="single" w:color="auto" w:sz="4" w:space="0"/>
              <w:bottom w:val="single" w:color="auto" w:sz="4" w:space="0"/>
              <w:right w:val="single" w:color="auto" w:sz="4" w:space="0"/>
            </w:tcBorders>
            <w:vAlign w:val="center"/>
          </w:tcPr>
          <w:p w14:paraId="716CB601">
            <w:pPr>
              <w:spacing w:line="30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备份投标文件是通过政采云电子交易客户端制作投标文件产生的备份文件，请供应商自行妥善保管。</w:t>
            </w:r>
          </w:p>
          <w:p w14:paraId="3BBD1BC8">
            <w:pPr>
              <w:spacing w:line="30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1.使用前提：在解密截止时间前，供应商自行在线解密操作失败，又未能及时联系技术人员帮助解密，或者供应商寻求技术人员帮助仍无法完成解密。</w:t>
            </w:r>
          </w:p>
          <w:p w14:paraId="3C998696">
            <w:pPr>
              <w:spacing w:line="30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2.递交截止时间：开标当天</w:t>
            </w:r>
            <w:r>
              <w:rPr>
                <w:rFonts w:hint="eastAsia" w:ascii="宋体" w:hAnsi="宋体" w:cs="宋体"/>
                <w:color w:val="000000" w:themeColor="text1"/>
                <w:highlight w:val="none"/>
                <w:lang w:val="en-US" w:eastAsia="zh-CN"/>
                <w14:textFill>
                  <w14:solidFill>
                    <w14:schemeClr w14:val="tx1"/>
                  </w14:solidFill>
                </w14:textFill>
              </w:rPr>
              <w:t>9</w:t>
            </w:r>
            <w:r>
              <w:rPr>
                <w:rFonts w:hint="eastAsia" w:ascii="宋体" w:hAnsi="宋体" w:cs="宋体"/>
                <w:color w:val="000000" w:themeColor="text1"/>
                <w:highlight w:val="none"/>
                <w:u w:val="single"/>
                <w14:textFill>
                  <w14:solidFill>
                    <w14:schemeClr w14:val="tx1"/>
                  </w14:solidFill>
                </w14:textFill>
              </w:rPr>
              <w:t>:</w:t>
            </w:r>
            <w:r>
              <w:rPr>
                <w:rFonts w:hint="eastAsia" w:ascii="宋体" w:hAnsi="宋体" w:cs="宋体"/>
                <w:color w:val="000000" w:themeColor="text1"/>
                <w:highlight w:val="none"/>
                <w:u w:val="single"/>
                <w:lang w:val="en-US" w:eastAsia="zh-CN"/>
                <w14:textFill>
                  <w14:solidFill>
                    <w14:schemeClr w14:val="tx1"/>
                  </w14:solidFill>
                </w14:textFill>
              </w:rPr>
              <w:t>00</w:t>
            </w:r>
            <w:r>
              <w:rPr>
                <w:rFonts w:hint="eastAsia" w:ascii="宋体" w:hAnsi="宋体" w:cs="宋体"/>
                <w:color w:val="000000" w:themeColor="text1"/>
                <w:highlight w:val="none"/>
                <w14:textFill>
                  <w14:solidFill>
                    <w14:schemeClr w14:val="tx1"/>
                  </w14:solidFill>
                </w14:textFill>
              </w:rPr>
              <w:t>（北京时间）。</w:t>
            </w:r>
          </w:p>
          <w:p w14:paraId="5424604C">
            <w:pPr>
              <w:spacing w:line="300" w:lineRule="auto"/>
              <w:ind w:firstLine="420" w:firstLineChars="200"/>
              <w:rPr>
                <w:rFonts w:ascii="宋体" w:hAnsi="宋体" w:cs="宋体"/>
                <w:color w:val="000000" w:themeColor="text1"/>
                <w:highlight w:val="none"/>
                <w:u w:val="singl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3.投递邮箱：</w:t>
            </w:r>
            <w:r>
              <w:rPr>
                <w:rFonts w:hint="eastAsia" w:ascii="宋体" w:hAnsi="宋体" w:cs="宋体"/>
                <w:color w:val="000000" w:themeColor="text1"/>
                <w:highlight w:val="none"/>
                <w:u w:val="single"/>
                <w:lang w:val="en-US" w:eastAsia="zh-CN"/>
                <w14:textFill>
                  <w14:solidFill>
                    <w14:schemeClr w14:val="tx1"/>
                  </w14:solidFill>
                </w14:textFill>
              </w:rPr>
              <w:t>2436967116</w:t>
            </w:r>
            <w:r>
              <w:rPr>
                <w:rFonts w:hint="eastAsia" w:ascii="宋体" w:hAnsi="宋体" w:cs="宋体"/>
                <w:color w:val="000000" w:themeColor="text1"/>
                <w:highlight w:val="none"/>
                <w:u w:val="single"/>
                <w14:textFill>
                  <w14:solidFill>
                    <w14:schemeClr w14:val="tx1"/>
                  </w14:solidFill>
                </w14:textFill>
              </w:rPr>
              <w:t>@qq.com。</w:t>
            </w:r>
          </w:p>
          <w:p w14:paraId="695118C5">
            <w:pPr>
              <w:spacing w:line="30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4.未按上述要求递交备份投标文件或所提供的备份投标文件不符合要求的视同放弃投标，</w:t>
            </w:r>
            <w:r>
              <w:rPr>
                <w:rFonts w:hint="eastAsia" w:ascii="宋体" w:hAnsi="宋体" w:cs="宋体"/>
                <w:color w:val="000000" w:themeColor="text1"/>
                <w:highlight w:val="none"/>
                <w:lang w:val="en-US" w:eastAsia="zh-CN"/>
                <w14:textFill>
                  <w14:solidFill>
                    <w14:schemeClr w14:val="tx1"/>
                  </w14:solidFill>
                </w14:textFill>
              </w:rPr>
              <w:t>▲当投标文件无法正常解密，且备份投标文件不符合要求时或</w:t>
            </w:r>
            <w:r>
              <w:rPr>
                <w:rFonts w:hint="eastAsia" w:ascii="宋体" w:hAnsi="宋体" w:cs="宋体"/>
                <w:color w:val="000000" w:themeColor="text1"/>
                <w:highlight w:val="none"/>
                <w14:textFill>
                  <w14:solidFill>
                    <w14:schemeClr w14:val="tx1"/>
                  </w14:solidFill>
                </w14:textFill>
              </w:rPr>
              <w:t>仅提交备份投标文件的，投标无效。</w:t>
            </w:r>
          </w:p>
          <w:p w14:paraId="4D5F2217">
            <w:pPr>
              <w:tabs>
                <w:tab w:val="left" w:pos="5040"/>
              </w:tabs>
              <w:spacing w:line="300" w:lineRule="auto"/>
              <w:ind w:firstLine="420" w:firstLineChars="200"/>
              <w:rPr>
                <w:highlight w:val="none"/>
              </w:rPr>
            </w:pPr>
            <w:r>
              <w:rPr>
                <w:rFonts w:hint="eastAsia" w:ascii="宋体" w:hAnsi="宋体" w:cs="宋体"/>
                <w:color w:val="000000" w:themeColor="text1"/>
                <w:highlight w:val="none"/>
                <w14:textFill>
                  <w14:solidFill>
                    <w14:schemeClr w14:val="tx1"/>
                  </w14:solidFill>
                </w14:textFill>
              </w:rPr>
              <w:t>5.供应商未按时完成解密的，并符合备份投标文件使用前提的，供应商应提供备份投标文件，否则视为放弃投标。</w:t>
            </w:r>
          </w:p>
          <w:p w14:paraId="5EDC99A7">
            <w:pPr>
              <w:pStyle w:val="23"/>
              <w:spacing w:after="0" w:line="360" w:lineRule="auto"/>
              <w:ind w:left="0" w:leftChars="0" w:firstLineChars="200"/>
              <w:rPr>
                <w:rFonts w:ascii="宋体" w:hAnsi="宋体" w:cs="宋体"/>
                <w:color w:val="auto"/>
                <w:kern w:val="0"/>
                <w:szCs w:val="21"/>
                <w:highlight w:val="none"/>
              </w:rPr>
            </w:pPr>
            <w:r>
              <w:rPr>
                <w:rFonts w:hint="eastAsia" w:ascii="宋体" w:hAnsi="宋体" w:eastAsia="宋体" w:cs="宋体"/>
                <w:color w:val="000000" w:themeColor="text1"/>
                <w:sz w:val="21"/>
                <w:highlight w:val="none"/>
                <w:lang w:val="en-US" w:eastAsia="zh-CN"/>
                <w14:textFill>
                  <w14:solidFill>
                    <w14:schemeClr w14:val="tx1"/>
                  </w14:solidFill>
                </w14:textFill>
              </w:rPr>
              <w:t>6.</w:t>
            </w:r>
            <w:r>
              <w:rPr>
                <w:rFonts w:hint="eastAsia" w:ascii="宋体" w:hAnsi="宋体" w:eastAsia="宋体" w:cs="宋体"/>
                <w:color w:val="000000" w:themeColor="text1"/>
                <w:sz w:val="21"/>
                <w:highlight w:val="none"/>
                <w14:textFill>
                  <w14:solidFill>
                    <w14:schemeClr w14:val="tx1"/>
                  </w14:solidFill>
                </w14:textFill>
              </w:rPr>
              <w:t>“备份投标文件”自愿提供，非实质性要求，因无法读取的后果由投标人自行承担。</w:t>
            </w:r>
          </w:p>
        </w:tc>
      </w:tr>
      <w:tr w14:paraId="0A8057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7" w:type="dxa"/>
            <w:tcBorders>
              <w:top w:val="single" w:color="auto" w:sz="4" w:space="0"/>
              <w:left w:val="single" w:color="auto" w:sz="4" w:space="0"/>
              <w:bottom w:val="single" w:color="auto" w:sz="4" w:space="0"/>
              <w:right w:val="single" w:color="auto" w:sz="4" w:space="0"/>
            </w:tcBorders>
            <w:vAlign w:val="center"/>
          </w:tcPr>
          <w:p w14:paraId="49A76ADE">
            <w:pPr>
              <w:spacing w:line="360" w:lineRule="auto"/>
              <w:jc w:val="center"/>
              <w:rPr>
                <w:rFonts w:ascii="宋体" w:hAnsi="宋体" w:cs="宋体"/>
                <w:color w:val="auto"/>
                <w:szCs w:val="21"/>
                <w:highlight w:val="none"/>
              </w:rPr>
            </w:pPr>
            <w:r>
              <w:rPr>
                <w:rFonts w:hint="eastAsia" w:ascii="宋体" w:hAnsi="宋体" w:cs="宋体"/>
                <w:color w:val="auto"/>
                <w:szCs w:val="21"/>
                <w:highlight w:val="none"/>
              </w:rPr>
              <w:t>6</w:t>
            </w:r>
          </w:p>
        </w:tc>
        <w:tc>
          <w:tcPr>
            <w:tcW w:w="1760" w:type="dxa"/>
            <w:tcBorders>
              <w:top w:val="single" w:color="auto" w:sz="4" w:space="0"/>
              <w:left w:val="single" w:color="auto" w:sz="4" w:space="0"/>
              <w:bottom w:val="single" w:color="auto" w:sz="4" w:space="0"/>
              <w:right w:val="single" w:color="auto" w:sz="4" w:space="0"/>
            </w:tcBorders>
            <w:vAlign w:val="center"/>
          </w:tcPr>
          <w:p w14:paraId="199A0D3A">
            <w:pPr>
              <w:autoSpaceDE w:val="0"/>
              <w:autoSpaceDN w:val="0"/>
              <w:adjustRightInd w:val="0"/>
              <w:spacing w:line="360" w:lineRule="auto"/>
              <w:jc w:val="center"/>
              <w:rPr>
                <w:rFonts w:ascii="宋体" w:hAnsi="宋体" w:cs="宋体"/>
                <w:color w:val="auto"/>
                <w:szCs w:val="21"/>
                <w:highlight w:val="none"/>
              </w:rPr>
            </w:pPr>
            <w:r>
              <w:rPr>
                <w:rFonts w:hint="eastAsia" w:ascii="宋体" w:hAnsi="宋体" w:cs="宋体"/>
                <w:color w:val="auto"/>
                <w:szCs w:val="21"/>
                <w:highlight w:val="none"/>
              </w:rPr>
              <w:t>磋商注意事项</w:t>
            </w:r>
          </w:p>
        </w:tc>
        <w:tc>
          <w:tcPr>
            <w:tcW w:w="6501" w:type="dxa"/>
            <w:tcBorders>
              <w:top w:val="single" w:color="auto" w:sz="4" w:space="0"/>
              <w:left w:val="single" w:color="auto" w:sz="4" w:space="0"/>
              <w:bottom w:val="single" w:color="auto" w:sz="4" w:space="0"/>
              <w:right w:val="single" w:color="auto" w:sz="4" w:space="0"/>
            </w:tcBorders>
            <w:vAlign w:val="center"/>
          </w:tcPr>
          <w:p w14:paraId="4F04D42C">
            <w:pPr>
              <w:pStyle w:val="11"/>
              <w:adjustRightInd w:val="0"/>
              <w:snapToGrid w:val="0"/>
              <w:spacing w:line="360" w:lineRule="auto"/>
              <w:ind w:firstLine="420" w:firstLineChars="200"/>
              <w:rPr>
                <w:rFonts w:hAnsi="宋体" w:cs="宋体"/>
                <w:bCs/>
                <w:color w:val="auto"/>
                <w:szCs w:val="21"/>
                <w:highlight w:val="none"/>
              </w:rPr>
            </w:pPr>
            <w:r>
              <w:rPr>
                <w:rFonts w:hint="eastAsia" w:hAnsi="宋体" w:cs="宋体"/>
                <w:bCs/>
                <w:color w:val="auto"/>
                <w:szCs w:val="21"/>
                <w:highlight w:val="none"/>
              </w:rPr>
              <w:t>1.本项目实行电子采购，采用电子响应文件。若供应商参与本项目，自行承担磋商活动一切费用。</w:t>
            </w:r>
          </w:p>
          <w:p w14:paraId="16A2BCEB">
            <w:pPr>
              <w:pStyle w:val="11"/>
              <w:adjustRightInd w:val="0"/>
              <w:snapToGrid w:val="0"/>
              <w:spacing w:line="360" w:lineRule="auto"/>
              <w:ind w:firstLine="420" w:firstLineChars="200"/>
              <w:rPr>
                <w:rFonts w:hAnsi="宋体" w:cs="宋体"/>
                <w:color w:val="auto"/>
                <w:szCs w:val="21"/>
                <w:highlight w:val="none"/>
              </w:rPr>
            </w:pPr>
            <w:r>
              <w:rPr>
                <w:rFonts w:hint="eastAsia" w:hAnsi="宋体" w:cs="宋体"/>
                <w:bCs/>
                <w:color w:val="auto"/>
                <w:szCs w:val="21"/>
                <w:highlight w:val="none"/>
              </w:rPr>
              <w:t>2.磋商前准备：各供应商在磋商前确保成为浙江省政府采购网正式注册供应商，并完成CA数字证书办理。（办理流程详见本磋商邀请附件：“政采云CA签章申领操作流程”）。因未注册入库、未办理CA数字证书等原因造成无法递交响应文件或递交失败等后果由供应商自行承担。</w:t>
            </w:r>
          </w:p>
        </w:tc>
      </w:tr>
      <w:tr w14:paraId="1DC1F0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7" w:type="dxa"/>
            <w:tcBorders>
              <w:top w:val="single" w:color="auto" w:sz="4" w:space="0"/>
              <w:left w:val="single" w:color="auto" w:sz="4" w:space="0"/>
              <w:bottom w:val="single" w:color="auto" w:sz="4" w:space="0"/>
              <w:right w:val="single" w:color="auto" w:sz="4" w:space="0"/>
            </w:tcBorders>
            <w:vAlign w:val="center"/>
          </w:tcPr>
          <w:p w14:paraId="7646E4CA">
            <w:pPr>
              <w:spacing w:line="360" w:lineRule="auto"/>
              <w:jc w:val="center"/>
              <w:rPr>
                <w:rFonts w:ascii="宋体" w:hAnsi="宋体" w:cs="宋体"/>
                <w:color w:val="auto"/>
                <w:szCs w:val="21"/>
                <w:highlight w:val="none"/>
              </w:rPr>
            </w:pPr>
            <w:r>
              <w:rPr>
                <w:rFonts w:hint="eastAsia" w:ascii="宋体" w:hAnsi="宋体" w:cs="宋体"/>
                <w:color w:val="auto"/>
                <w:szCs w:val="21"/>
                <w:highlight w:val="none"/>
              </w:rPr>
              <w:t>7</w:t>
            </w:r>
          </w:p>
        </w:tc>
        <w:tc>
          <w:tcPr>
            <w:tcW w:w="1760" w:type="dxa"/>
            <w:tcBorders>
              <w:top w:val="single" w:color="auto" w:sz="4" w:space="0"/>
              <w:left w:val="single" w:color="auto" w:sz="4" w:space="0"/>
              <w:bottom w:val="single" w:color="auto" w:sz="4" w:space="0"/>
              <w:right w:val="single" w:color="auto" w:sz="4" w:space="0"/>
            </w:tcBorders>
            <w:vAlign w:val="center"/>
          </w:tcPr>
          <w:p w14:paraId="0DF542A5">
            <w:pPr>
              <w:autoSpaceDE w:val="0"/>
              <w:autoSpaceDN w:val="0"/>
              <w:adjustRightInd w:val="0"/>
              <w:spacing w:line="360" w:lineRule="auto"/>
              <w:jc w:val="center"/>
              <w:rPr>
                <w:rFonts w:ascii="宋体" w:hAnsi="宋体" w:cs="宋体"/>
                <w:color w:val="auto"/>
                <w:szCs w:val="21"/>
                <w:highlight w:val="none"/>
              </w:rPr>
            </w:pPr>
            <w:r>
              <w:rPr>
                <w:rFonts w:hint="eastAsia" w:ascii="宋体" w:hAnsi="宋体" w:cs="宋体"/>
                <w:color w:val="auto"/>
                <w:szCs w:val="21"/>
                <w:highlight w:val="none"/>
              </w:rPr>
              <w:t>信用信息查询渠道</w:t>
            </w:r>
          </w:p>
        </w:tc>
        <w:tc>
          <w:tcPr>
            <w:tcW w:w="6501" w:type="dxa"/>
            <w:tcBorders>
              <w:top w:val="single" w:color="auto" w:sz="4" w:space="0"/>
              <w:left w:val="single" w:color="auto" w:sz="4" w:space="0"/>
              <w:bottom w:val="single" w:color="auto" w:sz="4" w:space="0"/>
              <w:right w:val="single" w:color="auto" w:sz="4" w:space="0"/>
            </w:tcBorders>
            <w:vAlign w:val="center"/>
          </w:tcPr>
          <w:p w14:paraId="551FDB7D">
            <w:pPr>
              <w:snapToGrid w:val="0"/>
              <w:spacing w:line="360" w:lineRule="auto"/>
              <w:rPr>
                <w:rFonts w:cs="Arial" w:asciiTheme="minorEastAsia" w:hAnsiTheme="minorEastAsia" w:eastAsiaTheme="minorEastAsia"/>
                <w:color w:val="auto"/>
                <w:szCs w:val="21"/>
                <w:highlight w:val="none"/>
              </w:rPr>
            </w:pPr>
            <w:r>
              <w:rPr>
                <w:rFonts w:hint="eastAsia" w:cs="Arial" w:asciiTheme="minorEastAsia" w:hAnsiTheme="minorEastAsia" w:eastAsiaTheme="minorEastAsia"/>
                <w:color w:val="auto"/>
                <w:szCs w:val="21"/>
                <w:highlight w:val="none"/>
              </w:rPr>
              <w:t>信用中国（网址：</w:t>
            </w:r>
            <w:r>
              <w:rPr>
                <w:color w:val="auto"/>
                <w:highlight w:val="none"/>
              </w:rPr>
              <w:fldChar w:fldCharType="begin"/>
            </w:r>
            <w:r>
              <w:rPr>
                <w:color w:val="auto"/>
                <w:highlight w:val="none"/>
              </w:rPr>
              <w:instrText xml:space="preserve"> HYPERLINK "http://www.creditchina.gov.cn" </w:instrText>
            </w:r>
            <w:r>
              <w:rPr>
                <w:color w:val="auto"/>
                <w:highlight w:val="none"/>
              </w:rPr>
              <w:fldChar w:fldCharType="separate"/>
            </w:r>
            <w:r>
              <w:rPr>
                <w:rFonts w:cs="Arial" w:asciiTheme="minorEastAsia" w:hAnsiTheme="minorEastAsia" w:eastAsiaTheme="minorEastAsia"/>
                <w:color w:val="auto"/>
                <w:szCs w:val="21"/>
                <w:highlight w:val="none"/>
              </w:rPr>
              <w:t>http://www.creditchina.gov.cn</w:t>
            </w:r>
            <w:r>
              <w:rPr>
                <w:rFonts w:cs="Arial" w:asciiTheme="minorEastAsia" w:hAnsiTheme="minorEastAsia" w:eastAsiaTheme="minorEastAsia"/>
                <w:color w:val="auto"/>
                <w:szCs w:val="21"/>
                <w:highlight w:val="none"/>
              </w:rPr>
              <w:fldChar w:fldCharType="end"/>
            </w:r>
            <w:r>
              <w:rPr>
                <w:rFonts w:hint="eastAsia" w:cs="Arial" w:asciiTheme="minorEastAsia" w:hAnsiTheme="minorEastAsia" w:eastAsiaTheme="minorEastAsia"/>
                <w:color w:val="auto"/>
                <w:szCs w:val="21"/>
                <w:highlight w:val="none"/>
              </w:rPr>
              <w:t>)</w:t>
            </w:r>
          </w:p>
          <w:p w14:paraId="7DFC50BA">
            <w:pPr>
              <w:snapToGrid w:val="0"/>
              <w:spacing w:line="360" w:lineRule="auto"/>
              <w:rPr>
                <w:rFonts w:ascii="宋体" w:hAnsi="宋体" w:cs="宋体"/>
                <w:color w:val="auto"/>
                <w:szCs w:val="21"/>
                <w:highlight w:val="none"/>
              </w:rPr>
            </w:pPr>
            <w:r>
              <w:rPr>
                <w:rFonts w:hint="eastAsia" w:cs="Arial" w:asciiTheme="minorEastAsia" w:hAnsiTheme="minorEastAsia" w:eastAsiaTheme="minorEastAsia"/>
                <w:color w:val="auto"/>
                <w:szCs w:val="21"/>
                <w:highlight w:val="none"/>
              </w:rPr>
              <w:t>中国政府采购网（网址：</w:t>
            </w:r>
            <w:r>
              <w:rPr>
                <w:rFonts w:cs="Arial" w:asciiTheme="minorEastAsia" w:hAnsiTheme="minorEastAsia" w:eastAsiaTheme="minorEastAsia"/>
                <w:color w:val="auto"/>
                <w:szCs w:val="21"/>
                <w:highlight w:val="none"/>
              </w:rPr>
              <w:t>http://www.ccgp.gov.cn</w:t>
            </w:r>
            <w:r>
              <w:rPr>
                <w:rFonts w:hint="eastAsia" w:cs="Arial" w:asciiTheme="minorEastAsia" w:hAnsiTheme="minorEastAsia" w:eastAsiaTheme="minorEastAsia"/>
                <w:color w:val="auto"/>
                <w:szCs w:val="21"/>
                <w:highlight w:val="none"/>
              </w:rPr>
              <w:t>)</w:t>
            </w:r>
          </w:p>
        </w:tc>
      </w:tr>
      <w:tr w14:paraId="34929C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7" w:type="dxa"/>
            <w:tcBorders>
              <w:top w:val="single" w:color="auto" w:sz="4" w:space="0"/>
              <w:left w:val="single" w:color="auto" w:sz="4" w:space="0"/>
              <w:bottom w:val="single" w:color="auto" w:sz="4" w:space="0"/>
              <w:right w:val="single" w:color="auto" w:sz="4" w:space="0"/>
            </w:tcBorders>
            <w:vAlign w:val="center"/>
          </w:tcPr>
          <w:p w14:paraId="31BA9708">
            <w:pPr>
              <w:spacing w:line="360" w:lineRule="auto"/>
              <w:jc w:val="center"/>
              <w:rPr>
                <w:rFonts w:ascii="宋体" w:hAnsi="宋体" w:cs="宋体"/>
                <w:color w:val="auto"/>
                <w:szCs w:val="21"/>
                <w:highlight w:val="none"/>
              </w:rPr>
            </w:pPr>
            <w:r>
              <w:rPr>
                <w:rFonts w:hint="eastAsia" w:ascii="宋体" w:hAnsi="宋体" w:cs="宋体"/>
                <w:color w:val="auto"/>
                <w:szCs w:val="21"/>
                <w:highlight w:val="none"/>
              </w:rPr>
              <w:t>8</w:t>
            </w:r>
          </w:p>
        </w:tc>
        <w:tc>
          <w:tcPr>
            <w:tcW w:w="1760" w:type="dxa"/>
            <w:tcBorders>
              <w:top w:val="single" w:color="auto" w:sz="4" w:space="0"/>
              <w:left w:val="single" w:color="auto" w:sz="4" w:space="0"/>
              <w:bottom w:val="single" w:color="auto" w:sz="4" w:space="0"/>
              <w:right w:val="single" w:color="auto" w:sz="4" w:space="0"/>
            </w:tcBorders>
            <w:vAlign w:val="center"/>
          </w:tcPr>
          <w:p w14:paraId="3D21AB86">
            <w:pPr>
              <w:spacing w:line="300" w:lineRule="auto"/>
              <w:jc w:val="center"/>
              <w:rPr>
                <w:rFonts w:ascii="宋体" w:hAnsi="宋体" w:cs="宋体"/>
                <w:color w:val="auto"/>
                <w:highlight w:val="none"/>
              </w:rPr>
            </w:pPr>
            <w:r>
              <w:rPr>
                <w:rFonts w:hint="eastAsia" w:ascii="宋体" w:hAnsi="宋体" w:cs="宋体"/>
                <w:color w:val="auto"/>
                <w:highlight w:val="none"/>
              </w:rPr>
              <w:t>中小企业预留</w:t>
            </w:r>
          </w:p>
          <w:p w14:paraId="7E9FDC3C">
            <w:pPr>
              <w:spacing w:line="300" w:lineRule="auto"/>
              <w:jc w:val="center"/>
              <w:rPr>
                <w:rFonts w:ascii="宋体" w:hAnsi="宋体" w:cs="宋体"/>
                <w:color w:val="auto"/>
                <w:szCs w:val="21"/>
                <w:highlight w:val="none"/>
              </w:rPr>
            </w:pPr>
            <w:r>
              <w:rPr>
                <w:rFonts w:hint="eastAsia" w:ascii="宋体" w:hAnsi="宋体" w:cs="宋体"/>
                <w:color w:val="auto"/>
                <w:highlight w:val="none"/>
              </w:rPr>
              <w:t>份额情况</w:t>
            </w:r>
          </w:p>
        </w:tc>
        <w:tc>
          <w:tcPr>
            <w:tcW w:w="6501" w:type="dxa"/>
            <w:tcBorders>
              <w:top w:val="single" w:color="auto" w:sz="4" w:space="0"/>
              <w:left w:val="single" w:color="auto" w:sz="4" w:space="0"/>
              <w:bottom w:val="single" w:color="auto" w:sz="4" w:space="0"/>
              <w:right w:val="single" w:color="auto" w:sz="4" w:space="0"/>
            </w:tcBorders>
            <w:vAlign w:val="center"/>
          </w:tcPr>
          <w:p w14:paraId="1274C02C">
            <w:pPr>
              <w:spacing w:line="300" w:lineRule="auto"/>
              <w:ind w:firstLine="420" w:firstLineChars="200"/>
              <w:rPr>
                <w:rFonts w:ascii="黑体" w:hAnsi="黑体" w:eastAsia="黑体" w:cs="黑体"/>
                <w:color w:val="auto"/>
                <w:szCs w:val="21"/>
                <w:highlight w:val="none"/>
                <w:shd w:val="clear" w:color="auto" w:fill="FFFFFF"/>
              </w:rPr>
            </w:pPr>
            <w:r>
              <w:rPr>
                <w:rFonts w:hint="eastAsia" w:ascii="宋体" w:hAnsi="宋体" w:cs="宋体"/>
                <w:color w:val="auto"/>
                <w:highlight w:val="none"/>
              </w:rPr>
              <w:t>根据《政府采购促进中小企业发展管理办法》（财库〔2020〕46号）文件的规定，本项目(</w:t>
            </w:r>
            <w:r>
              <w:rPr>
                <w:rFonts w:hint="eastAsia" w:ascii="宋体" w:hAnsi="宋体" w:cs="宋体"/>
                <w:color w:val="auto"/>
                <w:highlight w:val="none"/>
                <w:lang w:eastAsia="zh-CN"/>
              </w:rPr>
              <w:t>☑</w:t>
            </w:r>
            <w:r>
              <w:rPr>
                <w:rFonts w:hint="eastAsia" w:ascii="宋体" w:hAnsi="宋体" w:cs="宋体"/>
                <w:color w:val="auto"/>
                <w:highlight w:val="none"/>
              </w:rPr>
              <w:t>是/</w:t>
            </w:r>
            <w:r>
              <w:rPr>
                <w:rFonts w:hint="eastAsia" w:ascii="宋体" w:hAnsi="宋体" w:cs="宋体"/>
                <w:color w:val="auto"/>
                <w:highlight w:val="none"/>
                <w:lang w:eastAsia="zh-CN"/>
              </w:rPr>
              <w:t>□</w:t>
            </w:r>
            <w:r>
              <w:rPr>
                <w:rFonts w:hint="eastAsia" w:ascii="宋体" w:hAnsi="宋体" w:cs="宋体"/>
                <w:color w:val="auto"/>
                <w:highlight w:val="none"/>
              </w:rPr>
              <w:t>否)属于专门面向中小企业采购的项目。</w:t>
            </w:r>
          </w:p>
        </w:tc>
      </w:tr>
      <w:tr w14:paraId="79D937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9" w:hRule="atLeast"/>
          <w:jc w:val="center"/>
        </w:trPr>
        <w:tc>
          <w:tcPr>
            <w:tcW w:w="957" w:type="dxa"/>
            <w:tcBorders>
              <w:top w:val="single" w:color="auto" w:sz="4" w:space="0"/>
              <w:left w:val="single" w:color="auto" w:sz="4" w:space="0"/>
              <w:bottom w:val="single" w:color="auto" w:sz="4" w:space="0"/>
              <w:right w:val="single" w:color="auto" w:sz="4" w:space="0"/>
            </w:tcBorders>
            <w:vAlign w:val="center"/>
          </w:tcPr>
          <w:p w14:paraId="0A473B58">
            <w:pPr>
              <w:spacing w:line="360" w:lineRule="auto"/>
              <w:jc w:val="center"/>
              <w:rPr>
                <w:rFonts w:ascii="宋体" w:hAnsi="宋体" w:cs="宋体"/>
                <w:color w:val="auto"/>
                <w:szCs w:val="21"/>
                <w:highlight w:val="none"/>
              </w:rPr>
            </w:pPr>
            <w:r>
              <w:rPr>
                <w:rFonts w:hint="eastAsia" w:ascii="宋体" w:hAnsi="宋体" w:cs="宋体"/>
                <w:color w:val="auto"/>
                <w:szCs w:val="21"/>
                <w:highlight w:val="none"/>
              </w:rPr>
              <w:t>9</w:t>
            </w:r>
          </w:p>
        </w:tc>
        <w:tc>
          <w:tcPr>
            <w:tcW w:w="1760" w:type="dxa"/>
            <w:tcBorders>
              <w:top w:val="single" w:color="auto" w:sz="4" w:space="0"/>
              <w:left w:val="single" w:color="auto" w:sz="4" w:space="0"/>
              <w:bottom w:val="single" w:color="auto" w:sz="4" w:space="0"/>
              <w:right w:val="single" w:color="auto" w:sz="4" w:space="0"/>
            </w:tcBorders>
            <w:vAlign w:val="center"/>
          </w:tcPr>
          <w:p w14:paraId="7C3DD509">
            <w:pPr>
              <w:spacing w:line="300" w:lineRule="auto"/>
              <w:jc w:val="center"/>
              <w:rPr>
                <w:rFonts w:ascii="宋体" w:hAnsi="宋体" w:cs="宋体"/>
                <w:color w:val="auto"/>
                <w:highlight w:val="none"/>
              </w:rPr>
            </w:pPr>
            <w:r>
              <w:rPr>
                <w:rFonts w:hint="eastAsia" w:ascii="宋体" w:hAnsi="宋体" w:cs="宋体"/>
                <w:color w:val="auto"/>
                <w:highlight w:val="none"/>
              </w:rPr>
              <w:t>中小企业</w:t>
            </w:r>
          </w:p>
          <w:p w14:paraId="4D1318EB">
            <w:pPr>
              <w:spacing w:line="300" w:lineRule="auto"/>
              <w:jc w:val="center"/>
              <w:rPr>
                <w:rFonts w:ascii="宋体" w:hAnsi="宋体" w:cs="宋体"/>
                <w:color w:val="auto"/>
                <w:szCs w:val="21"/>
                <w:highlight w:val="none"/>
              </w:rPr>
            </w:pPr>
            <w:r>
              <w:rPr>
                <w:rFonts w:hint="eastAsia" w:ascii="宋体" w:hAnsi="宋体" w:cs="宋体"/>
                <w:color w:val="auto"/>
                <w:highlight w:val="none"/>
              </w:rPr>
              <w:t>优惠措施</w:t>
            </w:r>
          </w:p>
        </w:tc>
        <w:tc>
          <w:tcPr>
            <w:tcW w:w="6501" w:type="dxa"/>
            <w:tcBorders>
              <w:top w:val="single" w:color="auto" w:sz="4" w:space="0"/>
              <w:left w:val="single" w:color="auto" w:sz="4" w:space="0"/>
              <w:bottom w:val="single" w:color="auto" w:sz="4" w:space="0"/>
              <w:right w:val="single" w:color="auto" w:sz="4" w:space="0"/>
            </w:tcBorders>
            <w:vAlign w:val="center"/>
          </w:tcPr>
          <w:p w14:paraId="5E98D0C2">
            <w:pPr>
              <w:spacing w:line="300" w:lineRule="auto"/>
              <w:ind w:firstLine="420" w:firstLineChars="200"/>
              <w:rPr>
                <w:rFonts w:ascii="宋体" w:hAnsi="宋体" w:cs="宋体"/>
                <w:color w:val="auto"/>
                <w:highlight w:val="none"/>
              </w:rPr>
            </w:pPr>
            <w:r>
              <w:rPr>
                <w:rFonts w:hint="eastAsia" w:ascii="宋体" w:hAnsi="宋体" w:cs="宋体"/>
                <w:color w:val="auto"/>
                <w:highlight w:val="none"/>
              </w:rPr>
              <w:t>1.项目属性：</w:t>
            </w:r>
            <w:r>
              <w:rPr>
                <w:rFonts w:hint="eastAsia" w:ascii="宋体" w:hAnsi="宋体" w:cs="宋体"/>
                <w:color w:val="auto"/>
                <w:highlight w:val="none"/>
                <w:u w:val="single"/>
              </w:rPr>
              <w:t xml:space="preserve"> </w:t>
            </w:r>
            <w:r>
              <w:rPr>
                <w:rFonts w:hint="eastAsia" w:ascii="宋体" w:hAnsi="宋体" w:cs="宋体"/>
                <w:color w:val="auto"/>
                <w:highlight w:val="none"/>
                <w:u w:val="single"/>
                <w:lang w:val="en-US" w:eastAsia="zh-CN"/>
              </w:rPr>
              <w:t>工程</w:t>
            </w:r>
            <w:r>
              <w:rPr>
                <w:rFonts w:hint="eastAsia" w:ascii="宋体" w:hAnsi="宋体" w:cs="宋体"/>
                <w:color w:val="auto"/>
                <w:highlight w:val="none"/>
                <w:u w:val="single"/>
              </w:rPr>
              <w:t xml:space="preserve">类 </w:t>
            </w:r>
            <w:r>
              <w:rPr>
                <w:rFonts w:hint="eastAsia" w:ascii="宋体" w:hAnsi="宋体" w:cs="宋体"/>
                <w:color w:val="auto"/>
                <w:highlight w:val="none"/>
              </w:rPr>
              <w:t>。</w:t>
            </w:r>
          </w:p>
          <w:p w14:paraId="3A6A457A">
            <w:pPr>
              <w:spacing w:line="300" w:lineRule="auto"/>
              <w:ind w:firstLine="420" w:firstLineChars="200"/>
              <w:rPr>
                <w:rFonts w:ascii="宋体" w:hAnsi="宋体" w:cs="宋体"/>
                <w:color w:val="auto"/>
                <w:highlight w:val="none"/>
              </w:rPr>
            </w:pPr>
            <w:r>
              <w:rPr>
                <w:rFonts w:hint="eastAsia" w:ascii="宋体" w:hAnsi="宋体" w:cs="宋体"/>
                <w:color w:val="auto"/>
                <w:highlight w:val="none"/>
              </w:rPr>
              <w:t>2.中小企业划分标准所属行业（具体根据《中小企业划型标准规定》执行）：</w:t>
            </w:r>
          </w:p>
          <w:p w14:paraId="02BA2521">
            <w:pPr>
              <w:spacing w:line="30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采购标的：</w:t>
            </w:r>
            <w:r>
              <w:rPr>
                <w:rFonts w:hint="eastAsia" w:ascii="宋体" w:hAnsi="宋体" w:cs="宋体"/>
                <w:color w:val="auto"/>
                <w:szCs w:val="21"/>
                <w:highlight w:val="none"/>
                <w:u w:val="single"/>
                <w:lang w:eastAsia="zh-CN"/>
              </w:rPr>
              <w:t xml:space="preserve">台州市椒江区前所街道椒北南渠（大树岙村段）综合整治工程 </w:t>
            </w:r>
            <w:r>
              <w:rPr>
                <w:rFonts w:hint="eastAsia" w:ascii="宋体" w:hAnsi="宋体" w:cs="宋体"/>
                <w:color w:val="auto"/>
                <w:szCs w:val="21"/>
                <w:highlight w:val="none"/>
              </w:rPr>
              <w:t>，所属行业：</w:t>
            </w:r>
            <w:r>
              <w:rPr>
                <w:rFonts w:hint="eastAsia" w:ascii="宋体" w:hAnsi="宋体" w:cs="宋体"/>
                <w:color w:val="auto"/>
                <w:szCs w:val="21"/>
                <w:highlight w:val="none"/>
                <w:u w:val="single"/>
              </w:rPr>
              <w:t>建筑业</w:t>
            </w:r>
            <w:r>
              <w:rPr>
                <w:rFonts w:hint="eastAsia" w:ascii="宋体" w:hAnsi="宋体" w:cs="宋体"/>
                <w:color w:val="auto"/>
                <w:szCs w:val="21"/>
                <w:highlight w:val="none"/>
              </w:rPr>
              <w:t>。</w:t>
            </w:r>
          </w:p>
          <w:p w14:paraId="41D4A1B4">
            <w:pPr>
              <w:spacing w:line="30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3.属于享受政府采购支持政策的残疾人福利性单位，应符合财库〔2017〕141号文件规定，视同小型、微型企业，在投标文件中提供《残疾人福利性单位声明函》（见附件）。</w:t>
            </w:r>
          </w:p>
          <w:p w14:paraId="69BAC639">
            <w:pPr>
              <w:spacing w:line="30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4.根据财库〔2014〕68号的相关规定，在政府采购活动中，监狱企业的视同小型、微型企业，并在投标文件中提供由省级以上监狱管理局、戒毒管理局（含新疆生产建设兵团）出具的属于监狱企业的证明文件（格式自拟）。</w:t>
            </w:r>
          </w:p>
          <w:p w14:paraId="49E752FA">
            <w:pPr>
              <w:spacing w:line="300" w:lineRule="auto"/>
              <w:rPr>
                <w:rFonts w:hint="eastAsia" w:ascii="宋体" w:hAnsi="宋体" w:cs="宋体"/>
                <w:color w:val="auto"/>
                <w:szCs w:val="21"/>
                <w:highlight w:val="none"/>
              </w:rPr>
            </w:pPr>
            <w:r>
              <w:rPr>
                <w:rFonts w:hint="eastAsia" w:ascii="宋体" w:hAnsi="宋体" w:eastAsia="宋体" w:cs="宋体"/>
                <w:color w:val="auto"/>
                <w:szCs w:val="21"/>
                <w:highlight w:val="none"/>
              </w:rPr>
              <w:t>(注：本项目属于专门面向中小企业采购的项目均不给予价格扣除）</w:t>
            </w:r>
          </w:p>
        </w:tc>
      </w:tr>
      <w:tr w14:paraId="06B6E4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957" w:type="dxa"/>
            <w:tcBorders>
              <w:top w:val="single" w:color="auto" w:sz="4" w:space="0"/>
              <w:left w:val="single" w:color="auto" w:sz="4" w:space="0"/>
              <w:bottom w:val="single" w:color="auto" w:sz="4" w:space="0"/>
              <w:right w:val="single" w:color="auto" w:sz="4" w:space="0"/>
            </w:tcBorders>
            <w:vAlign w:val="center"/>
          </w:tcPr>
          <w:p w14:paraId="616873D5">
            <w:pPr>
              <w:spacing w:line="360" w:lineRule="auto"/>
              <w:jc w:val="center"/>
              <w:rPr>
                <w:rFonts w:ascii="宋体" w:hAnsi="宋体" w:cs="宋体"/>
                <w:color w:val="auto"/>
                <w:highlight w:val="none"/>
              </w:rPr>
            </w:pPr>
            <w:r>
              <w:rPr>
                <w:rFonts w:hint="eastAsia" w:ascii="宋体" w:hAnsi="宋体" w:cs="宋体"/>
                <w:color w:val="auto"/>
                <w:highlight w:val="none"/>
              </w:rPr>
              <w:t>10</w:t>
            </w:r>
          </w:p>
        </w:tc>
        <w:tc>
          <w:tcPr>
            <w:tcW w:w="1760" w:type="dxa"/>
            <w:tcBorders>
              <w:top w:val="single" w:color="auto" w:sz="4" w:space="0"/>
              <w:left w:val="single" w:color="auto" w:sz="4" w:space="0"/>
              <w:bottom w:val="single" w:color="auto" w:sz="4" w:space="0"/>
              <w:right w:val="single" w:color="auto" w:sz="4" w:space="0"/>
            </w:tcBorders>
            <w:vAlign w:val="center"/>
          </w:tcPr>
          <w:p w14:paraId="356FC152">
            <w:pPr>
              <w:spacing w:line="360" w:lineRule="auto"/>
              <w:jc w:val="center"/>
              <w:rPr>
                <w:rFonts w:ascii="宋体" w:hAnsi="宋体" w:cs="宋体"/>
                <w:color w:val="auto"/>
                <w:highlight w:val="none"/>
              </w:rPr>
            </w:pPr>
            <w:r>
              <w:rPr>
                <w:rFonts w:hint="eastAsia" w:ascii="宋体" w:hAnsi="宋体" w:cs="宋体"/>
                <w:color w:val="auto"/>
                <w:highlight w:val="none"/>
              </w:rPr>
              <w:t>质疑渠道</w:t>
            </w:r>
          </w:p>
        </w:tc>
        <w:tc>
          <w:tcPr>
            <w:tcW w:w="6501" w:type="dxa"/>
            <w:tcBorders>
              <w:top w:val="single" w:color="auto" w:sz="4" w:space="0"/>
              <w:left w:val="single" w:color="auto" w:sz="4" w:space="0"/>
              <w:bottom w:val="single" w:color="auto" w:sz="4" w:space="0"/>
              <w:right w:val="single" w:color="auto" w:sz="4" w:space="0"/>
            </w:tcBorders>
            <w:vAlign w:val="center"/>
          </w:tcPr>
          <w:p w14:paraId="7D4A7D34">
            <w:pPr>
              <w:spacing w:line="360" w:lineRule="auto"/>
              <w:rPr>
                <w:rFonts w:ascii="宋体" w:hAnsi="宋体" w:cs="宋体"/>
                <w:color w:val="auto"/>
                <w:highlight w:val="none"/>
              </w:rPr>
            </w:pPr>
            <w:r>
              <w:rPr>
                <w:rFonts w:hint="eastAsia" w:ascii="宋体" w:hAnsi="宋体" w:cs="宋体"/>
                <w:color w:val="auto"/>
                <w:highlight w:val="none"/>
              </w:rPr>
              <w:t>政采云平台网上质疑系统。</w:t>
            </w:r>
          </w:p>
        </w:tc>
      </w:tr>
      <w:tr w14:paraId="4B8DF5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957" w:type="dxa"/>
            <w:tcBorders>
              <w:top w:val="single" w:color="auto" w:sz="4" w:space="0"/>
              <w:left w:val="single" w:color="auto" w:sz="4" w:space="0"/>
              <w:bottom w:val="single" w:color="auto" w:sz="4" w:space="0"/>
              <w:right w:val="single" w:color="auto" w:sz="4" w:space="0"/>
            </w:tcBorders>
            <w:vAlign w:val="center"/>
          </w:tcPr>
          <w:p w14:paraId="2A97335F">
            <w:pPr>
              <w:spacing w:line="360" w:lineRule="auto"/>
              <w:jc w:val="center"/>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11</w:t>
            </w:r>
          </w:p>
        </w:tc>
        <w:tc>
          <w:tcPr>
            <w:tcW w:w="1760" w:type="dxa"/>
            <w:tcBorders>
              <w:top w:val="single" w:color="auto" w:sz="4" w:space="0"/>
              <w:left w:val="single" w:color="auto" w:sz="4" w:space="0"/>
              <w:bottom w:val="single" w:color="auto" w:sz="4" w:space="0"/>
              <w:right w:val="single" w:color="auto" w:sz="4" w:space="0"/>
            </w:tcBorders>
            <w:vAlign w:val="center"/>
          </w:tcPr>
          <w:p w14:paraId="4A1C7CC0">
            <w:pPr>
              <w:autoSpaceDE w:val="0"/>
              <w:autoSpaceDN w:val="0"/>
              <w:adjustRightInd w:val="0"/>
              <w:spacing w:line="360" w:lineRule="auto"/>
              <w:jc w:val="center"/>
              <w:rPr>
                <w:rFonts w:ascii="宋体" w:hAnsi="宋体" w:cs="宋体"/>
                <w:color w:val="auto"/>
                <w:szCs w:val="21"/>
                <w:highlight w:val="none"/>
              </w:rPr>
            </w:pPr>
            <w:r>
              <w:rPr>
                <w:rFonts w:hint="eastAsia" w:ascii="宋体" w:hAnsi="宋体" w:cs="宋体"/>
                <w:color w:val="auto"/>
                <w:szCs w:val="21"/>
                <w:highlight w:val="none"/>
                <w:lang w:val="zh-CN"/>
              </w:rPr>
              <w:t>实质性条款</w:t>
            </w:r>
          </w:p>
        </w:tc>
        <w:tc>
          <w:tcPr>
            <w:tcW w:w="6501" w:type="dxa"/>
            <w:tcBorders>
              <w:top w:val="single" w:color="auto" w:sz="4" w:space="0"/>
              <w:left w:val="single" w:color="auto" w:sz="4" w:space="0"/>
              <w:bottom w:val="single" w:color="auto" w:sz="4" w:space="0"/>
              <w:right w:val="single" w:color="auto" w:sz="4" w:space="0"/>
            </w:tcBorders>
            <w:vAlign w:val="center"/>
          </w:tcPr>
          <w:p w14:paraId="1465966A">
            <w:pPr>
              <w:autoSpaceDE w:val="0"/>
              <w:autoSpaceDN w:val="0"/>
              <w:adjustRightInd w:val="0"/>
              <w:spacing w:line="360" w:lineRule="auto"/>
              <w:rPr>
                <w:rFonts w:ascii="宋体" w:hAnsi="宋体" w:cs="宋体"/>
                <w:color w:val="auto"/>
                <w:szCs w:val="21"/>
                <w:highlight w:val="none"/>
              </w:rPr>
            </w:pPr>
            <w:r>
              <w:rPr>
                <w:rFonts w:hint="eastAsia" w:ascii="宋体" w:hAnsi="宋体" w:cs="宋体"/>
                <w:color w:val="auto"/>
                <w:kern w:val="0"/>
                <w:szCs w:val="21"/>
                <w:highlight w:val="none"/>
                <w:lang w:val="zh-CN"/>
              </w:rPr>
              <w:t>带“</w:t>
            </w:r>
            <w:r>
              <w:rPr>
                <w:rFonts w:hint="eastAsia" w:ascii="宋体" w:hAnsi="宋体" w:cs="宋体"/>
                <w:bCs/>
                <w:color w:val="auto"/>
                <w:szCs w:val="21"/>
                <w:highlight w:val="none"/>
              </w:rPr>
              <w:t>▲”的条款是实质性条款，投标文件须作出实质性响应，否则作无效投标处理。</w:t>
            </w:r>
          </w:p>
        </w:tc>
      </w:tr>
      <w:tr w14:paraId="333EE1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957" w:type="dxa"/>
            <w:tcBorders>
              <w:top w:val="single" w:color="auto" w:sz="4" w:space="0"/>
              <w:left w:val="single" w:color="auto" w:sz="4" w:space="0"/>
              <w:bottom w:val="single" w:color="auto" w:sz="4" w:space="0"/>
              <w:right w:val="single" w:color="auto" w:sz="4" w:space="0"/>
            </w:tcBorders>
            <w:vAlign w:val="center"/>
          </w:tcPr>
          <w:p w14:paraId="4E1AA104">
            <w:pPr>
              <w:spacing w:line="360" w:lineRule="auto"/>
              <w:jc w:val="center"/>
              <w:rPr>
                <w:rFonts w:hint="eastAsia" w:ascii="宋体" w:hAnsi="宋体" w:eastAsia="宋体" w:cs="宋体"/>
                <w:color w:val="auto"/>
                <w:szCs w:val="21"/>
                <w:highlight w:val="none"/>
                <w:lang w:val="en-US" w:eastAsia="zh-CN"/>
              </w:rPr>
            </w:pPr>
            <w:r>
              <w:rPr>
                <w:rFonts w:hint="eastAsia" w:ascii="宋体" w:hAnsi="宋体" w:cs="宋体"/>
                <w:color w:val="auto"/>
                <w:szCs w:val="21"/>
                <w:highlight w:val="none"/>
              </w:rPr>
              <w:t>1</w:t>
            </w:r>
            <w:r>
              <w:rPr>
                <w:rFonts w:hint="eastAsia" w:ascii="宋体" w:hAnsi="宋体" w:cs="宋体"/>
                <w:color w:val="auto"/>
                <w:szCs w:val="21"/>
                <w:highlight w:val="none"/>
                <w:lang w:val="en-US" w:eastAsia="zh-CN"/>
              </w:rPr>
              <w:t>2</w:t>
            </w:r>
          </w:p>
        </w:tc>
        <w:tc>
          <w:tcPr>
            <w:tcW w:w="1760" w:type="dxa"/>
            <w:tcBorders>
              <w:top w:val="single" w:color="auto" w:sz="4" w:space="0"/>
              <w:left w:val="single" w:color="auto" w:sz="4" w:space="0"/>
              <w:bottom w:val="single" w:color="auto" w:sz="4" w:space="0"/>
              <w:right w:val="single" w:color="auto" w:sz="4" w:space="0"/>
            </w:tcBorders>
            <w:vAlign w:val="center"/>
          </w:tcPr>
          <w:p w14:paraId="2EDA9EFB">
            <w:pPr>
              <w:autoSpaceDE w:val="0"/>
              <w:autoSpaceDN w:val="0"/>
              <w:adjustRightInd w:val="0"/>
              <w:spacing w:line="360" w:lineRule="auto"/>
              <w:jc w:val="center"/>
              <w:rPr>
                <w:rFonts w:ascii="宋体" w:hAnsi="宋体" w:cs="宋体"/>
                <w:color w:val="auto"/>
                <w:szCs w:val="21"/>
                <w:highlight w:val="none"/>
              </w:rPr>
            </w:pPr>
            <w:r>
              <w:rPr>
                <w:rFonts w:hint="eastAsia" w:ascii="宋体" w:hAnsi="宋体" w:cs="宋体"/>
                <w:color w:val="auto"/>
                <w:szCs w:val="21"/>
                <w:highlight w:val="none"/>
                <w:lang w:eastAsia="zh-CN"/>
              </w:rPr>
              <w:t>履约保证金</w:t>
            </w:r>
          </w:p>
        </w:tc>
        <w:tc>
          <w:tcPr>
            <w:tcW w:w="6501" w:type="dxa"/>
            <w:tcBorders>
              <w:top w:val="single" w:color="auto" w:sz="4" w:space="0"/>
              <w:left w:val="single" w:color="auto" w:sz="4" w:space="0"/>
              <w:bottom w:val="single" w:color="auto" w:sz="4" w:space="0"/>
              <w:right w:val="single" w:color="auto" w:sz="4" w:space="0"/>
            </w:tcBorders>
            <w:vAlign w:val="center"/>
          </w:tcPr>
          <w:p w14:paraId="2D071E25">
            <w:pPr>
              <w:autoSpaceDE w:val="0"/>
              <w:autoSpaceDN w:val="0"/>
              <w:adjustRightInd w:val="0"/>
              <w:spacing w:line="360" w:lineRule="auto"/>
              <w:rPr>
                <w:rFonts w:cs="宋体"/>
                <w:color w:val="auto"/>
                <w:szCs w:val="21"/>
                <w:highlight w:val="none"/>
              </w:rPr>
            </w:pPr>
            <w:r>
              <w:rPr>
                <w:rFonts w:hint="eastAsia" w:cs="宋体"/>
                <w:color w:val="auto"/>
                <w:szCs w:val="21"/>
                <w:highlight w:val="none"/>
              </w:rPr>
              <w:t>履约保证金为合同总价</w:t>
            </w:r>
            <w:r>
              <w:rPr>
                <w:rFonts w:hint="eastAsia" w:cs="宋体"/>
                <w:color w:val="auto"/>
                <w:szCs w:val="21"/>
                <w:highlight w:val="none"/>
                <w:lang w:val="en-US" w:eastAsia="zh-CN"/>
              </w:rPr>
              <w:t>1%</w:t>
            </w:r>
            <w:r>
              <w:rPr>
                <w:rFonts w:hint="eastAsia" w:cs="宋体"/>
                <w:color w:val="auto"/>
                <w:szCs w:val="21"/>
                <w:highlight w:val="none"/>
              </w:rPr>
              <w:t>，签订合同后 3 个工作日内向采购人提交（履约保证金可采用支票、汇票、保函、担保等形式），履约保证金在本项目验收合格且无违约扣除情况后30个工作日内无息退还。</w:t>
            </w:r>
          </w:p>
        </w:tc>
      </w:tr>
      <w:tr w14:paraId="42D07E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957" w:type="dxa"/>
            <w:tcBorders>
              <w:top w:val="single" w:color="auto" w:sz="4" w:space="0"/>
              <w:left w:val="single" w:color="auto" w:sz="4" w:space="0"/>
              <w:bottom w:val="single" w:color="auto" w:sz="4" w:space="0"/>
              <w:right w:val="single" w:color="auto" w:sz="4" w:space="0"/>
            </w:tcBorders>
            <w:vAlign w:val="center"/>
          </w:tcPr>
          <w:p w14:paraId="436FCFF6">
            <w:pPr>
              <w:spacing w:line="360" w:lineRule="auto"/>
              <w:jc w:val="center"/>
              <w:rPr>
                <w:rFonts w:hint="eastAsia" w:ascii="宋体" w:hAnsi="宋体" w:eastAsia="宋体" w:cs="宋体"/>
                <w:color w:val="auto"/>
                <w:szCs w:val="21"/>
                <w:highlight w:val="none"/>
                <w:lang w:val="en-US" w:eastAsia="zh-CN"/>
              </w:rPr>
            </w:pPr>
            <w:r>
              <w:rPr>
                <w:rFonts w:hint="eastAsia" w:ascii="宋体" w:hAnsi="宋体" w:cs="宋体"/>
                <w:color w:val="auto"/>
                <w:szCs w:val="21"/>
                <w:highlight w:val="none"/>
              </w:rPr>
              <w:t>1</w:t>
            </w:r>
            <w:r>
              <w:rPr>
                <w:rFonts w:hint="eastAsia" w:ascii="宋体" w:hAnsi="宋体" w:cs="宋体"/>
                <w:color w:val="auto"/>
                <w:szCs w:val="21"/>
                <w:highlight w:val="none"/>
                <w:lang w:val="en-US" w:eastAsia="zh-CN"/>
              </w:rPr>
              <w:t>3</w:t>
            </w:r>
          </w:p>
        </w:tc>
        <w:tc>
          <w:tcPr>
            <w:tcW w:w="1760" w:type="dxa"/>
            <w:tcBorders>
              <w:top w:val="single" w:color="auto" w:sz="4" w:space="0"/>
              <w:left w:val="single" w:color="auto" w:sz="4" w:space="0"/>
              <w:bottom w:val="single" w:color="auto" w:sz="4" w:space="0"/>
              <w:right w:val="single" w:color="auto" w:sz="4" w:space="0"/>
            </w:tcBorders>
            <w:vAlign w:val="center"/>
          </w:tcPr>
          <w:p w14:paraId="202FE389">
            <w:pPr>
              <w:autoSpaceDE w:val="0"/>
              <w:autoSpaceDN w:val="0"/>
              <w:adjustRightInd w:val="0"/>
              <w:spacing w:line="360" w:lineRule="auto"/>
              <w:jc w:val="center"/>
              <w:rPr>
                <w:rFonts w:ascii="宋体" w:hAnsi="宋体" w:cs="宋体"/>
                <w:color w:val="auto"/>
                <w:szCs w:val="21"/>
                <w:highlight w:val="none"/>
              </w:rPr>
            </w:pPr>
            <w:r>
              <w:rPr>
                <w:rFonts w:hint="eastAsia" w:ascii="宋体" w:hAnsi="宋体" w:cs="宋体"/>
                <w:color w:val="auto"/>
                <w:szCs w:val="21"/>
                <w:highlight w:val="none"/>
              </w:rPr>
              <w:t>书面形式</w:t>
            </w:r>
          </w:p>
        </w:tc>
        <w:tc>
          <w:tcPr>
            <w:tcW w:w="6501" w:type="dxa"/>
            <w:tcBorders>
              <w:top w:val="single" w:color="auto" w:sz="4" w:space="0"/>
              <w:left w:val="single" w:color="auto" w:sz="4" w:space="0"/>
              <w:bottom w:val="single" w:color="auto" w:sz="4" w:space="0"/>
              <w:right w:val="single" w:color="auto" w:sz="4" w:space="0"/>
            </w:tcBorders>
            <w:vAlign w:val="center"/>
          </w:tcPr>
          <w:p w14:paraId="0553E1E4">
            <w:pPr>
              <w:autoSpaceDE w:val="0"/>
              <w:autoSpaceDN w:val="0"/>
              <w:adjustRightInd w:val="0"/>
              <w:spacing w:line="360" w:lineRule="auto"/>
              <w:rPr>
                <w:rFonts w:ascii="宋体" w:hAnsi="宋体" w:cs="宋体"/>
                <w:color w:val="auto"/>
                <w:szCs w:val="21"/>
                <w:highlight w:val="none"/>
              </w:rPr>
            </w:pPr>
            <w:r>
              <w:rPr>
                <w:rFonts w:hint="eastAsia" w:ascii="宋体" w:hAnsi="宋体" w:cs="宋体"/>
                <w:color w:val="auto"/>
                <w:szCs w:val="21"/>
                <w:highlight w:val="none"/>
              </w:rPr>
              <w:t>包括电子邮件、信函、传真。</w:t>
            </w:r>
          </w:p>
        </w:tc>
      </w:tr>
      <w:tr w14:paraId="6E0E94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957" w:type="dxa"/>
            <w:tcBorders>
              <w:top w:val="single" w:color="auto" w:sz="4" w:space="0"/>
              <w:left w:val="single" w:color="auto" w:sz="4" w:space="0"/>
              <w:bottom w:val="single" w:color="auto" w:sz="4" w:space="0"/>
              <w:right w:val="single" w:color="auto" w:sz="4" w:space="0"/>
            </w:tcBorders>
            <w:vAlign w:val="center"/>
          </w:tcPr>
          <w:p w14:paraId="1B13B5A8">
            <w:pPr>
              <w:spacing w:line="360" w:lineRule="auto"/>
              <w:jc w:val="center"/>
              <w:rPr>
                <w:rFonts w:hint="eastAsia" w:ascii="宋体" w:hAnsi="宋体" w:eastAsia="宋体" w:cs="宋体"/>
                <w:color w:val="auto"/>
                <w:szCs w:val="21"/>
                <w:highlight w:val="none"/>
                <w:lang w:val="en-US" w:eastAsia="zh-CN"/>
              </w:rPr>
            </w:pPr>
            <w:r>
              <w:rPr>
                <w:rFonts w:hint="eastAsia" w:ascii="宋体" w:hAnsi="宋体" w:cs="宋体"/>
                <w:color w:val="auto"/>
                <w:szCs w:val="21"/>
                <w:highlight w:val="none"/>
              </w:rPr>
              <w:t>1</w:t>
            </w:r>
            <w:r>
              <w:rPr>
                <w:rFonts w:hint="eastAsia" w:ascii="宋体" w:hAnsi="宋体" w:cs="宋体"/>
                <w:color w:val="auto"/>
                <w:szCs w:val="21"/>
                <w:highlight w:val="none"/>
                <w:lang w:val="en-US" w:eastAsia="zh-CN"/>
              </w:rPr>
              <w:t>4</w:t>
            </w:r>
          </w:p>
        </w:tc>
        <w:tc>
          <w:tcPr>
            <w:tcW w:w="1760" w:type="dxa"/>
            <w:tcBorders>
              <w:top w:val="single" w:color="auto" w:sz="4" w:space="0"/>
              <w:left w:val="single" w:color="auto" w:sz="4" w:space="0"/>
              <w:bottom w:val="single" w:color="auto" w:sz="4" w:space="0"/>
              <w:right w:val="single" w:color="auto" w:sz="4" w:space="0"/>
            </w:tcBorders>
            <w:vAlign w:val="center"/>
          </w:tcPr>
          <w:p w14:paraId="5E189CAE">
            <w:pPr>
              <w:autoSpaceDE w:val="0"/>
              <w:autoSpaceDN w:val="0"/>
              <w:adjustRightInd w:val="0"/>
              <w:spacing w:line="360" w:lineRule="auto"/>
              <w:jc w:val="center"/>
              <w:rPr>
                <w:rFonts w:ascii="宋体" w:hAnsi="宋体" w:cs="宋体"/>
                <w:color w:val="auto"/>
                <w:szCs w:val="21"/>
                <w:highlight w:val="none"/>
              </w:rPr>
            </w:pPr>
            <w:r>
              <w:rPr>
                <w:rFonts w:hint="eastAsia" w:ascii="宋体" w:hAnsi="宋体" w:cs="宋体"/>
                <w:color w:val="auto"/>
                <w:szCs w:val="21"/>
                <w:highlight w:val="none"/>
              </w:rPr>
              <w:t>解释权</w:t>
            </w:r>
          </w:p>
        </w:tc>
        <w:tc>
          <w:tcPr>
            <w:tcW w:w="6501" w:type="dxa"/>
            <w:tcBorders>
              <w:top w:val="single" w:color="auto" w:sz="4" w:space="0"/>
              <w:left w:val="single" w:color="auto" w:sz="4" w:space="0"/>
              <w:bottom w:val="single" w:color="auto" w:sz="4" w:space="0"/>
              <w:right w:val="single" w:color="auto" w:sz="4" w:space="0"/>
            </w:tcBorders>
            <w:vAlign w:val="center"/>
          </w:tcPr>
          <w:p w14:paraId="513A188C">
            <w:pPr>
              <w:autoSpaceDE w:val="0"/>
              <w:autoSpaceDN w:val="0"/>
              <w:adjustRightInd w:val="0"/>
              <w:spacing w:line="360" w:lineRule="auto"/>
              <w:rPr>
                <w:rFonts w:ascii="宋体" w:hAnsi="宋体" w:cs="宋体"/>
                <w:color w:val="auto"/>
                <w:szCs w:val="21"/>
                <w:highlight w:val="none"/>
              </w:rPr>
            </w:pPr>
            <w:r>
              <w:rPr>
                <w:rFonts w:hint="eastAsia" w:ascii="宋体" w:hAnsi="宋体" w:cs="宋体"/>
                <w:color w:val="auto"/>
                <w:szCs w:val="21"/>
                <w:highlight w:val="none"/>
              </w:rPr>
              <w:t>本采购文件解释权属于采购人和采购组织机构</w:t>
            </w:r>
          </w:p>
        </w:tc>
      </w:tr>
    </w:tbl>
    <w:p w14:paraId="2F9E749E">
      <w:pPr>
        <w:pStyle w:val="11"/>
        <w:snapToGrid w:val="0"/>
        <w:spacing w:line="360" w:lineRule="auto"/>
        <w:ind w:firstLine="420" w:firstLineChars="200"/>
        <w:rPr>
          <w:rFonts w:asciiTheme="minorEastAsia" w:hAnsiTheme="minorEastAsia" w:eastAsiaTheme="minorEastAsia"/>
          <w:bCs/>
          <w:color w:val="auto"/>
          <w:szCs w:val="21"/>
          <w:highlight w:val="none"/>
        </w:rPr>
      </w:pPr>
      <w:r>
        <w:rPr>
          <w:rFonts w:hint="eastAsia" w:asciiTheme="minorEastAsia" w:hAnsiTheme="minorEastAsia" w:eastAsiaTheme="minorEastAsia"/>
          <w:bCs/>
          <w:color w:val="auto"/>
          <w:szCs w:val="21"/>
          <w:highlight w:val="none"/>
        </w:rPr>
        <w:t>其他：政采贷服务、合同履约保函服务、预付款保函服务</w:t>
      </w:r>
    </w:p>
    <w:p w14:paraId="602AA1E4">
      <w:pPr>
        <w:pStyle w:val="11"/>
        <w:snapToGrid w:val="0"/>
        <w:spacing w:line="360" w:lineRule="auto"/>
        <w:ind w:firstLine="420" w:firstLineChars="200"/>
        <w:rPr>
          <w:rFonts w:asciiTheme="minorEastAsia" w:hAnsiTheme="minorEastAsia" w:eastAsiaTheme="minorEastAsia"/>
          <w:bCs/>
          <w:color w:val="auto"/>
          <w:szCs w:val="21"/>
          <w:highlight w:val="none"/>
        </w:rPr>
      </w:pPr>
      <w:r>
        <w:rPr>
          <w:rFonts w:hint="eastAsia" w:asciiTheme="minorEastAsia" w:hAnsiTheme="minorEastAsia" w:eastAsiaTheme="minorEastAsia"/>
          <w:bCs/>
          <w:color w:val="auto"/>
          <w:szCs w:val="21"/>
          <w:highlight w:val="none"/>
        </w:rPr>
        <w:t>根据监管部门通知，中标人可根据项目情况及自身需求向以下银行申请政采贷服务:</w:t>
      </w:r>
    </w:p>
    <w:tbl>
      <w:tblPr>
        <w:tblStyle w:val="24"/>
        <w:tblW w:w="851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11"/>
        <w:gridCol w:w="1579"/>
        <w:gridCol w:w="1821"/>
        <w:gridCol w:w="2303"/>
      </w:tblGrid>
      <w:tr w14:paraId="721735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2811" w:type="dxa"/>
            <w:noWrap w:val="0"/>
            <w:vAlign w:val="center"/>
          </w:tcPr>
          <w:p w14:paraId="2A4980E0">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银行</w:t>
            </w:r>
          </w:p>
        </w:tc>
        <w:tc>
          <w:tcPr>
            <w:tcW w:w="1579" w:type="dxa"/>
            <w:noWrap w:val="0"/>
            <w:vAlign w:val="center"/>
          </w:tcPr>
          <w:p w14:paraId="119101EB">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贷款年利率</w:t>
            </w:r>
          </w:p>
        </w:tc>
        <w:tc>
          <w:tcPr>
            <w:tcW w:w="1821" w:type="dxa"/>
            <w:noWrap w:val="0"/>
            <w:vAlign w:val="center"/>
          </w:tcPr>
          <w:p w14:paraId="747FB64B">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联系人</w:t>
            </w:r>
          </w:p>
        </w:tc>
        <w:tc>
          <w:tcPr>
            <w:tcW w:w="2303" w:type="dxa"/>
            <w:noWrap w:val="0"/>
            <w:vAlign w:val="center"/>
          </w:tcPr>
          <w:p w14:paraId="5FDADDF9">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联系电话</w:t>
            </w:r>
          </w:p>
        </w:tc>
      </w:tr>
      <w:tr w14:paraId="007D9B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3" w:hRule="atLeast"/>
          <w:jc w:val="center"/>
        </w:trPr>
        <w:tc>
          <w:tcPr>
            <w:tcW w:w="2811" w:type="dxa"/>
            <w:noWrap w:val="0"/>
            <w:vAlign w:val="center"/>
          </w:tcPr>
          <w:p w14:paraId="2ADA30F3">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中国工商银行</w:t>
            </w:r>
          </w:p>
        </w:tc>
        <w:tc>
          <w:tcPr>
            <w:tcW w:w="1579" w:type="dxa"/>
            <w:noWrap w:val="0"/>
            <w:vAlign w:val="center"/>
          </w:tcPr>
          <w:p w14:paraId="25FA11F4">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3.8%起</w:t>
            </w:r>
          </w:p>
        </w:tc>
        <w:tc>
          <w:tcPr>
            <w:tcW w:w="1821" w:type="dxa"/>
            <w:noWrap w:val="0"/>
            <w:vAlign w:val="center"/>
          </w:tcPr>
          <w:p w14:paraId="6F8B007B">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卢嘉诚</w:t>
            </w:r>
          </w:p>
        </w:tc>
        <w:tc>
          <w:tcPr>
            <w:tcW w:w="2303" w:type="dxa"/>
            <w:noWrap w:val="0"/>
            <w:vAlign w:val="center"/>
          </w:tcPr>
          <w:p w14:paraId="2378A076">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13867658508</w:t>
            </w:r>
          </w:p>
        </w:tc>
      </w:tr>
      <w:tr w14:paraId="4C5088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2811" w:type="dxa"/>
            <w:noWrap w:val="0"/>
            <w:vAlign w:val="center"/>
          </w:tcPr>
          <w:p w14:paraId="48B17797">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中国农业银行</w:t>
            </w:r>
          </w:p>
        </w:tc>
        <w:tc>
          <w:tcPr>
            <w:tcW w:w="1579" w:type="dxa"/>
            <w:noWrap w:val="0"/>
            <w:vAlign w:val="center"/>
          </w:tcPr>
          <w:p w14:paraId="6E830B88">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3.8%起</w:t>
            </w:r>
          </w:p>
        </w:tc>
        <w:tc>
          <w:tcPr>
            <w:tcW w:w="1821" w:type="dxa"/>
            <w:noWrap w:val="0"/>
            <w:vAlign w:val="center"/>
          </w:tcPr>
          <w:p w14:paraId="2326C0A0">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龚盛</w:t>
            </w:r>
          </w:p>
        </w:tc>
        <w:tc>
          <w:tcPr>
            <w:tcW w:w="2303" w:type="dxa"/>
            <w:noWrap w:val="0"/>
            <w:vAlign w:val="center"/>
          </w:tcPr>
          <w:p w14:paraId="4B915675">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15858682216</w:t>
            </w:r>
          </w:p>
        </w:tc>
      </w:tr>
      <w:tr w14:paraId="3008D7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3" w:hRule="atLeast"/>
          <w:jc w:val="center"/>
        </w:trPr>
        <w:tc>
          <w:tcPr>
            <w:tcW w:w="2811" w:type="dxa"/>
            <w:noWrap w:val="0"/>
            <w:vAlign w:val="center"/>
          </w:tcPr>
          <w:p w14:paraId="5F1C5B5B">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中国建设银行</w:t>
            </w:r>
          </w:p>
        </w:tc>
        <w:tc>
          <w:tcPr>
            <w:tcW w:w="1579" w:type="dxa"/>
            <w:noWrap w:val="0"/>
            <w:vAlign w:val="center"/>
          </w:tcPr>
          <w:p w14:paraId="5E8C794F">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3.8%起</w:t>
            </w:r>
          </w:p>
        </w:tc>
        <w:tc>
          <w:tcPr>
            <w:tcW w:w="1821" w:type="dxa"/>
            <w:noWrap w:val="0"/>
            <w:vAlign w:val="center"/>
          </w:tcPr>
          <w:p w14:paraId="59E682D5">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梅晶晶</w:t>
            </w:r>
          </w:p>
        </w:tc>
        <w:tc>
          <w:tcPr>
            <w:tcW w:w="2303" w:type="dxa"/>
            <w:noWrap w:val="0"/>
            <w:vAlign w:val="center"/>
          </w:tcPr>
          <w:p w14:paraId="295A8D04">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88525339</w:t>
            </w:r>
          </w:p>
          <w:p w14:paraId="47E12EEE">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13736585303</w:t>
            </w:r>
          </w:p>
        </w:tc>
      </w:tr>
      <w:tr w14:paraId="4BAE9A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2811" w:type="dxa"/>
            <w:noWrap w:val="0"/>
            <w:vAlign w:val="center"/>
          </w:tcPr>
          <w:p w14:paraId="41A3A097">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中国银行</w:t>
            </w:r>
          </w:p>
        </w:tc>
        <w:tc>
          <w:tcPr>
            <w:tcW w:w="1579" w:type="dxa"/>
            <w:noWrap w:val="0"/>
            <w:vAlign w:val="center"/>
          </w:tcPr>
          <w:p w14:paraId="653E6863">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3.75%起</w:t>
            </w:r>
          </w:p>
        </w:tc>
        <w:tc>
          <w:tcPr>
            <w:tcW w:w="1821" w:type="dxa"/>
            <w:noWrap w:val="0"/>
            <w:vAlign w:val="center"/>
          </w:tcPr>
          <w:p w14:paraId="1E9616A6">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任茜</w:t>
            </w:r>
          </w:p>
        </w:tc>
        <w:tc>
          <w:tcPr>
            <w:tcW w:w="2303" w:type="dxa"/>
            <w:noWrap w:val="0"/>
            <w:vAlign w:val="center"/>
          </w:tcPr>
          <w:p w14:paraId="7833BB13">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13857695378</w:t>
            </w:r>
          </w:p>
        </w:tc>
      </w:tr>
      <w:tr w14:paraId="40A16A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2811" w:type="dxa"/>
            <w:noWrap w:val="0"/>
            <w:vAlign w:val="center"/>
          </w:tcPr>
          <w:p w14:paraId="283BEBD4">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浦发银行台州分行</w:t>
            </w:r>
          </w:p>
        </w:tc>
        <w:tc>
          <w:tcPr>
            <w:tcW w:w="1579" w:type="dxa"/>
            <w:noWrap w:val="0"/>
            <w:vAlign w:val="center"/>
          </w:tcPr>
          <w:p w14:paraId="4E13BFCF">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4.05%起</w:t>
            </w:r>
          </w:p>
        </w:tc>
        <w:tc>
          <w:tcPr>
            <w:tcW w:w="1821" w:type="dxa"/>
            <w:noWrap w:val="0"/>
            <w:vAlign w:val="center"/>
          </w:tcPr>
          <w:p w14:paraId="219AE457">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王渊</w:t>
            </w:r>
          </w:p>
        </w:tc>
        <w:tc>
          <w:tcPr>
            <w:tcW w:w="2303" w:type="dxa"/>
            <w:noWrap w:val="0"/>
            <w:vAlign w:val="center"/>
          </w:tcPr>
          <w:p w14:paraId="26839E5D">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13616676319</w:t>
            </w:r>
          </w:p>
        </w:tc>
      </w:tr>
      <w:tr w14:paraId="71C8B3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2811" w:type="dxa"/>
            <w:noWrap w:val="0"/>
            <w:vAlign w:val="center"/>
          </w:tcPr>
          <w:p w14:paraId="33EA3FB7">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浦发银行椒江分行</w:t>
            </w:r>
          </w:p>
        </w:tc>
        <w:tc>
          <w:tcPr>
            <w:tcW w:w="1579" w:type="dxa"/>
            <w:noWrap w:val="0"/>
            <w:vAlign w:val="center"/>
          </w:tcPr>
          <w:p w14:paraId="42EDD8F7">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4.05%起</w:t>
            </w:r>
          </w:p>
        </w:tc>
        <w:tc>
          <w:tcPr>
            <w:tcW w:w="1821" w:type="dxa"/>
            <w:noWrap w:val="0"/>
            <w:vAlign w:val="center"/>
          </w:tcPr>
          <w:p w14:paraId="2E14571B">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孙瑞华</w:t>
            </w:r>
          </w:p>
        </w:tc>
        <w:tc>
          <w:tcPr>
            <w:tcW w:w="2303" w:type="dxa"/>
            <w:noWrap w:val="0"/>
            <w:vAlign w:val="center"/>
          </w:tcPr>
          <w:p w14:paraId="0FD381B2">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13857688081</w:t>
            </w:r>
          </w:p>
        </w:tc>
      </w:tr>
      <w:tr w14:paraId="1B6F64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2811" w:type="dxa"/>
            <w:noWrap w:val="0"/>
            <w:vAlign w:val="center"/>
          </w:tcPr>
          <w:p w14:paraId="27201329">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交通银行台州分行</w:t>
            </w:r>
          </w:p>
        </w:tc>
        <w:tc>
          <w:tcPr>
            <w:tcW w:w="1579" w:type="dxa"/>
            <w:noWrap w:val="0"/>
            <w:vAlign w:val="center"/>
          </w:tcPr>
          <w:p w14:paraId="5EAB09EA">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3.75%起</w:t>
            </w:r>
          </w:p>
        </w:tc>
        <w:tc>
          <w:tcPr>
            <w:tcW w:w="1821" w:type="dxa"/>
            <w:noWrap w:val="0"/>
            <w:vAlign w:val="center"/>
          </w:tcPr>
          <w:p w14:paraId="03013F66">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周翔宇</w:t>
            </w:r>
          </w:p>
        </w:tc>
        <w:tc>
          <w:tcPr>
            <w:tcW w:w="2303" w:type="dxa"/>
            <w:noWrap w:val="0"/>
            <w:vAlign w:val="center"/>
          </w:tcPr>
          <w:p w14:paraId="4CAF0F5C">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13867697018</w:t>
            </w:r>
          </w:p>
        </w:tc>
      </w:tr>
      <w:tr w14:paraId="6DFD08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2811" w:type="dxa"/>
            <w:noWrap w:val="0"/>
            <w:vAlign w:val="center"/>
          </w:tcPr>
          <w:p w14:paraId="2A27CB5A">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招商银行台州分行</w:t>
            </w:r>
          </w:p>
        </w:tc>
        <w:tc>
          <w:tcPr>
            <w:tcW w:w="1579" w:type="dxa"/>
            <w:noWrap w:val="0"/>
            <w:vAlign w:val="center"/>
          </w:tcPr>
          <w:p w14:paraId="096CFDFB">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4.32%起</w:t>
            </w:r>
          </w:p>
        </w:tc>
        <w:tc>
          <w:tcPr>
            <w:tcW w:w="1821" w:type="dxa"/>
            <w:noWrap w:val="0"/>
            <w:vAlign w:val="center"/>
          </w:tcPr>
          <w:p w14:paraId="45239067">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王海玲</w:t>
            </w:r>
          </w:p>
        </w:tc>
        <w:tc>
          <w:tcPr>
            <w:tcW w:w="2303" w:type="dxa"/>
            <w:noWrap w:val="0"/>
            <w:vAlign w:val="center"/>
          </w:tcPr>
          <w:p w14:paraId="107C3C59">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13566413827</w:t>
            </w:r>
          </w:p>
        </w:tc>
      </w:tr>
      <w:tr w14:paraId="44DC73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2811" w:type="dxa"/>
            <w:noWrap w:val="0"/>
            <w:vAlign w:val="center"/>
          </w:tcPr>
          <w:p w14:paraId="1874052D">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浙商银行台州分行</w:t>
            </w:r>
          </w:p>
        </w:tc>
        <w:tc>
          <w:tcPr>
            <w:tcW w:w="1579" w:type="dxa"/>
            <w:noWrap w:val="0"/>
            <w:vAlign w:val="center"/>
          </w:tcPr>
          <w:p w14:paraId="3EFE9449">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5.01%起</w:t>
            </w:r>
          </w:p>
        </w:tc>
        <w:tc>
          <w:tcPr>
            <w:tcW w:w="1821" w:type="dxa"/>
            <w:noWrap w:val="0"/>
            <w:vAlign w:val="center"/>
          </w:tcPr>
          <w:p w14:paraId="663C073E">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章涉漪</w:t>
            </w:r>
          </w:p>
        </w:tc>
        <w:tc>
          <w:tcPr>
            <w:tcW w:w="2303" w:type="dxa"/>
            <w:noWrap w:val="0"/>
            <w:vAlign w:val="center"/>
          </w:tcPr>
          <w:p w14:paraId="30F76F3D">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81880185</w:t>
            </w:r>
          </w:p>
          <w:p w14:paraId="54B6A814">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13606681262</w:t>
            </w:r>
          </w:p>
        </w:tc>
      </w:tr>
      <w:tr w14:paraId="7FA88B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2811" w:type="dxa"/>
            <w:noWrap w:val="0"/>
            <w:vAlign w:val="center"/>
          </w:tcPr>
          <w:p w14:paraId="53E4035C">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中信银行台州分行</w:t>
            </w:r>
          </w:p>
        </w:tc>
        <w:tc>
          <w:tcPr>
            <w:tcW w:w="1579" w:type="dxa"/>
            <w:noWrap w:val="0"/>
            <w:vAlign w:val="center"/>
          </w:tcPr>
          <w:p w14:paraId="2C01714A">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4.15%起</w:t>
            </w:r>
          </w:p>
        </w:tc>
        <w:tc>
          <w:tcPr>
            <w:tcW w:w="1821" w:type="dxa"/>
            <w:noWrap w:val="0"/>
            <w:vAlign w:val="center"/>
          </w:tcPr>
          <w:p w14:paraId="65275052">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陈金园</w:t>
            </w:r>
          </w:p>
        </w:tc>
        <w:tc>
          <w:tcPr>
            <w:tcW w:w="2303" w:type="dxa"/>
            <w:noWrap w:val="0"/>
            <w:vAlign w:val="center"/>
          </w:tcPr>
          <w:p w14:paraId="5D703F01">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13586052161</w:t>
            </w:r>
          </w:p>
        </w:tc>
      </w:tr>
      <w:tr w14:paraId="715E36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3" w:hRule="atLeast"/>
          <w:jc w:val="center"/>
        </w:trPr>
        <w:tc>
          <w:tcPr>
            <w:tcW w:w="2811" w:type="dxa"/>
            <w:noWrap w:val="0"/>
            <w:vAlign w:val="center"/>
          </w:tcPr>
          <w:p w14:paraId="62D31A0D">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华夏银行台州分行</w:t>
            </w:r>
          </w:p>
        </w:tc>
        <w:tc>
          <w:tcPr>
            <w:tcW w:w="1579" w:type="dxa"/>
            <w:noWrap w:val="0"/>
            <w:vAlign w:val="center"/>
          </w:tcPr>
          <w:p w14:paraId="050C7E1C">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4.5%起</w:t>
            </w:r>
          </w:p>
        </w:tc>
        <w:tc>
          <w:tcPr>
            <w:tcW w:w="1821" w:type="dxa"/>
            <w:noWrap w:val="0"/>
            <w:vAlign w:val="center"/>
          </w:tcPr>
          <w:p w14:paraId="76818605">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邱明达</w:t>
            </w:r>
          </w:p>
        </w:tc>
        <w:tc>
          <w:tcPr>
            <w:tcW w:w="2303" w:type="dxa"/>
            <w:noWrap w:val="0"/>
            <w:vAlign w:val="center"/>
          </w:tcPr>
          <w:p w14:paraId="3BFEC3C3">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81871518</w:t>
            </w:r>
          </w:p>
          <w:p w14:paraId="27FB032F">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13736252233</w:t>
            </w:r>
          </w:p>
        </w:tc>
      </w:tr>
      <w:tr w14:paraId="3A01C0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2811" w:type="dxa"/>
            <w:noWrap w:val="0"/>
            <w:vAlign w:val="center"/>
          </w:tcPr>
          <w:p w14:paraId="67A6BBDA">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泰隆银行开发区支行</w:t>
            </w:r>
          </w:p>
        </w:tc>
        <w:tc>
          <w:tcPr>
            <w:tcW w:w="1579" w:type="dxa"/>
            <w:noWrap w:val="0"/>
            <w:vAlign w:val="center"/>
          </w:tcPr>
          <w:p w14:paraId="30668658">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5.6%起</w:t>
            </w:r>
          </w:p>
        </w:tc>
        <w:tc>
          <w:tcPr>
            <w:tcW w:w="1821" w:type="dxa"/>
            <w:noWrap w:val="0"/>
            <w:vAlign w:val="center"/>
          </w:tcPr>
          <w:p w14:paraId="21DC141F">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梁宛莉</w:t>
            </w:r>
          </w:p>
        </w:tc>
        <w:tc>
          <w:tcPr>
            <w:tcW w:w="2303" w:type="dxa"/>
            <w:noWrap w:val="0"/>
            <w:vAlign w:val="center"/>
          </w:tcPr>
          <w:p w14:paraId="592E4A1B">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13306869100</w:t>
            </w:r>
          </w:p>
        </w:tc>
      </w:tr>
      <w:tr w14:paraId="048946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2811" w:type="dxa"/>
            <w:noWrap w:val="0"/>
            <w:vAlign w:val="center"/>
          </w:tcPr>
          <w:p w14:paraId="5DC438A7">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民泰银行椒江支行</w:t>
            </w:r>
          </w:p>
        </w:tc>
        <w:tc>
          <w:tcPr>
            <w:tcW w:w="1579" w:type="dxa"/>
            <w:noWrap w:val="0"/>
            <w:vAlign w:val="center"/>
          </w:tcPr>
          <w:p w14:paraId="1A723B2F">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5.8%起</w:t>
            </w:r>
          </w:p>
        </w:tc>
        <w:tc>
          <w:tcPr>
            <w:tcW w:w="1821" w:type="dxa"/>
            <w:noWrap w:val="0"/>
            <w:vAlign w:val="center"/>
          </w:tcPr>
          <w:p w14:paraId="729D8EFA">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陈慧珠</w:t>
            </w:r>
          </w:p>
        </w:tc>
        <w:tc>
          <w:tcPr>
            <w:tcW w:w="2303" w:type="dxa"/>
            <w:noWrap w:val="0"/>
            <w:vAlign w:val="center"/>
          </w:tcPr>
          <w:p w14:paraId="3CFD2F9F">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13857699669</w:t>
            </w:r>
          </w:p>
        </w:tc>
      </w:tr>
      <w:tr w14:paraId="3C60C6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2811" w:type="dxa"/>
            <w:noWrap w:val="0"/>
            <w:vAlign w:val="center"/>
          </w:tcPr>
          <w:p w14:paraId="75831AB2">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绍兴银行台州分行</w:t>
            </w:r>
          </w:p>
        </w:tc>
        <w:tc>
          <w:tcPr>
            <w:tcW w:w="1579" w:type="dxa"/>
            <w:noWrap w:val="0"/>
            <w:vAlign w:val="center"/>
          </w:tcPr>
          <w:p w14:paraId="3CFFB03C">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5.1%起</w:t>
            </w:r>
          </w:p>
        </w:tc>
        <w:tc>
          <w:tcPr>
            <w:tcW w:w="1821" w:type="dxa"/>
            <w:noWrap w:val="0"/>
            <w:vAlign w:val="center"/>
          </w:tcPr>
          <w:p w14:paraId="2708771E">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郭庭斌</w:t>
            </w:r>
          </w:p>
        </w:tc>
        <w:tc>
          <w:tcPr>
            <w:tcW w:w="2303" w:type="dxa"/>
            <w:noWrap w:val="0"/>
            <w:vAlign w:val="center"/>
          </w:tcPr>
          <w:p w14:paraId="54157DD2">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15958633119</w:t>
            </w:r>
          </w:p>
        </w:tc>
      </w:tr>
      <w:tr w14:paraId="4AAF7A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2811" w:type="dxa"/>
            <w:noWrap w:val="0"/>
            <w:vAlign w:val="center"/>
          </w:tcPr>
          <w:p w14:paraId="69F2EFF7">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温州银行台州分行</w:t>
            </w:r>
          </w:p>
        </w:tc>
        <w:tc>
          <w:tcPr>
            <w:tcW w:w="1579" w:type="dxa"/>
            <w:noWrap w:val="0"/>
            <w:vAlign w:val="center"/>
          </w:tcPr>
          <w:p w14:paraId="4CA62CC9">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4.55%起</w:t>
            </w:r>
          </w:p>
        </w:tc>
        <w:tc>
          <w:tcPr>
            <w:tcW w:w="1821" w:type="dxa"/>
            <w:noWrap w:val="0"/>
            <w:vAlign w:val="center"/>
          </w:tcPr>
          <w:p w14:paraId="70592700">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王晓波</w:t>
            </w:r>
          </w:p>
        </w:tc>
        <w:tc>
          <w:tcPr>
            <w:tcW w:w="2303" w:type="dxa"/>
            <w:noWrap w:val="0"/>
            <w:vAlign w:val="center"/>
          </w:tcPr>
          <w:p w14:paraId="5752EA20">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15824005475</w:t>
            </w:r>
          </w:p>
        </w:tc>
      </w:tr>
      <w:tr w14:paraId="3CBF65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2811" w:type="dxa"/>
            <w:noWrap w:val="0"/>
            <w:vAlign w:val="center"/>
          </w:tcPr>
          <w:p w14:paraId="0B598354">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平安银行台州分行</w:t>
            </w:r>
          </w:p>
        </w:tc>
        <w:tc>
          <w:tcPr>
            <w:tcW w:w="1579" w:type="dxa"/>
            <w:noWrap w:val="0"/>
            <w:vAlign w:val="center"/>
          </w:tcPr>
          <w:p w14:paraId="39E14A95">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6.53%起</w:t>
            </w:r>
          </w:p>
        </w:tc>
        <w:tc>
          <w:tcPr>
            <w:tcW w:w="1821" w:type="dxa"/>
            <w:noWrap w:val="0"/>
            <w:vAlign w:val="center"/>
          </w:tcPr>
          <w:p w14:paraId="4C7862AF">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李俊丽</w:t>
            </w:r>
          </w:p>
        </w:tc>
        <w:tc>
          <w:tcPr>
            <w:tcW w:w="2303" w:type="dxa"/>
            <w:noWrap w:val="0"/>
            <w:vAlign w:val="center"/>
          </w:tcPr>
          <w:p w14:paraId="5922071E">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15906861025</w:t>
            </w:r>
          </w:p>
        </w:tc>
      </w:tr>
      <w:tr w14:paraId="54CE4E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2811" w:type="dxa"/>
            <w:noWrap w:val="0"/>
            <w:vAlign w:val="center"/>
          </w:tcPr>
          <w:p w14:paraId="5F40E2D1">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宁波银行台州分行</w:t>
            </w:r>
          </w:p>
        </w:tc>
        <w:tc>
          <w:tcPr>
            <w:tcW w:w="1579" w:type="dxa"/>
            <w:noWrap w:val="0"/>
            <w:vAlign w:val="center"/>
          </w:tcPr>
          <w:p w14:paraId="76057F94">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4.35%起</w:t>
            </w:r>
          </w:p>
        </w:tc>
        <w:tc>
          <w:tcPr>
            <w:tcW w:w="1821" w:type="dxa"/>
            <w:noWrap w:val="0"/>
            <w:vAlign w:val="center"/>
          </w:tcPr>
          <w:p w14:paraId="5E72D1D4">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戴莉丽</w:t>
            </w:r>
          </w:p>
        </w:tc>
        <w:tc>
          <w:tcPr>
            <w:tcW w:w="2303" w:type="dxa"/>
            <w:noWrap w:val="0"/>
            <w:vAlign w:val="center"/>
          </w:tcPr>
          <w:p w14:paraId="446229AD">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13566627207</w:t>
            </w:r>
          </w:p>
        </w:tc>
      </w:tr>
      <w:tr w14:paraId="7D5B87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3" w:hRule="atLeast"/>
          <w:jc w:val="center"/>
        </w:trPr>
        <w:tc>
          <w:tcPr>
            <w:tcW w:w="2811" w:type="dxa"/>
            <w:noWrap w:val="0"/>
            <w:vAlign w:val="center"/>
          </w:tcPr>
          <w:p w14:paraId="19270D39">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金华银行台州分行</w:t>
            </w:r>
          </w:p>
        </w:tc>
        <w:tc>
          <w:tcPr>
            <w:tcW w:w="1579" w:type="dxa"/>
            <w:noWrap w:val="0"/>
            <w:vAlign w:val="center"/>
          </w:tcPr>
          <w:p w14:paraId="5D21EA91">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4.05%起</w:t>
            </w:r>
          </w:p>
        </w:tc>
        <w:tc>
          <w:tcPr>
            <w:tcW w:w="1821" w:type="dxa"/>
            <w:noWrap w:val="0"/>
            <w:vAlign w:val="center"/>
          </w:tcPr>
          <w:p w14:paraId="1CCBCC9A">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金雪婷</w:t>
            </w:r>
          </w:p>
        </w:tc>
        <w:tc>
          <w:tcPr>
            <w:tcW w:w="2303" w:type="dxa"/>
            <w:noWrap w:val="0"/>
            <w:vAlign w:val="center"/>
          </w:tcPr>
          <w:p w14:paraId="5AD132CB">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81886670</w:t>
            </w:r>
          </w:p>
          <w:p w14:paraId="05483EC9">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15968661569</w:t>
            </w:r>
          </w:p>
        </w:tc>
      </w:tr>
      <w:tr w14:paraId="60B388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2811" w:type="dxa"/>
            <w:noWrap w:val="0"/>
            <w:vAlign w:val="center"/>
          </w:tcPr>
          <w:p w14:paraId="11CC1254">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台州银行</w:t>
            </w:r>
          </w:p>
        </w:tc>
        <w:tc>
          <w:tcPr>
            <w:tcW w:w="1579" w:type="dxa"/>
            <w:noWrap w:val="0"/>
            <w:vAlign w:val="center"/>
          </w:tcPr>
          <w:p w14:paraId="188CFEF7">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5.6%起</w:t>
            </w:r>
          </w:p>
        </w:tc>
        <w:tc>
          <w:tcPr>
            <w:tcW w:w="1821" w:type="dxa"/>
            <w:noWrap w:val="0"/>
            <w:vAlign w:val="center"/>
          </w:tcPr>
          <w:p w14:paraId="4AA845D5">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洪婷</w:t>
            </w:r>
          </w:p>
        </w:tc>
        <w:tc>
          <w:tcPr>
            <w:tcW w:w="2303" w:type="dxa"/>
            <w:noWrap w:val="0"/>
            <w:vAlign w:val="center"/>
          </w:tcPr>
          <w:p w14:paraId="5E42BB90">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15858624999</w:t>
            </w:r>
          </w:p>
        </w:tc>
      </w:tr>
      <w:tr w14:paraId="61E565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3" w:hRule="atLeast"/>
          <w:jc w:val="center"/>
        </w:trPr>
        <w:tc>
          <w:tcPr>
            <w:tcW w:w="2811" w:type="dxa"/>
            <w:noWrap w:val="0"/>
            <w:vAlign w:val="center"/>
          </w:tcPr>
          <w:p w14:paraId="04FC232C">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邮储银行台州分行</w:t>
            </w:r>
          </w:p>
        </w:tc>
        <w:tc>
          <w:tcPr>
            <w:tcW w:w="1579" w:type="dxa"/>
            <w:noWrap w:val="0"/>
            <w:vAlign w:val="center"/>
          </w:tcPr>
          <w:p w14:paraId="661F42E0">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3.85%起</w:t>
            </w:r>
          </w:p>
        </w:tc>
        <w:tc>
          <w:tcPr>
            <w:tcW w:w="1821" w:type="dxa"/>
            <w:noWrap w:val="0"/>
            <w:vAlign w:val="center"/>
          </w:tcPr>
          <w:p w14:paraId="140D702B">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董庆</w:t>
            </w:r>
          </w:p>
        </w:tc>
        <w:tc>
          <w:tcPr>
            <w:tcW w:w="2303" w:type="dxa"/>
            <w:noWrap w:val="0"/>
            <w:vAlign w:val="center"/>
          </w:tcPr>
          <w:p w14:paraId="02B7C320">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81888982</w:t>
            </w:r>
          </w:p>
          <w:p w14:paraId="6B05C170">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18957683735</w:t>
            </w:r>
          </w:p>
        </w:tc>
      </w:tr>
    </w:tbl>
    <w:p w14:paraId="42E58618">
      <w:pPr>
        <w:shd w:val="clear" w:color="auto" w:fill="auto"/>
        <w:ind w:firstLine="420" w:firstLineChars="200"/>
        <w:jc w:val="both"/>
        <w:outlineLvl w:val="1"/>
        <w:rPr>
          <w:rFonts w:hint="eastAsia" w:ascii="宋体" w:hAnsi="宋体" w:eastAsia="宋体" w:cs="宋体"/>
          <w:color w:val="auto"/>
          <w:sz w:val="21"/>
          <w:szCs w:val="21"/>
          <w:highlight w:val="none"/>
        </w:rPr>
      </w:pPr>
      <w:bookmarkStart w:id="29" w:name="_Toc521434602"/>
      <w:r>
        <w:rPr>
          <w:rFonts w:hint="eastAsia" w:ascii="宋体" w:hAnsi="宋体" w:eastAsia="宋体" w:cs="宋体"/>
          <w:color w:val="auto"/>
          <w:sz w:val="21"/>
          <w:szCs w:val="21"/>
          <w:highlight w:val="none"/>
        </w:rPr>
        <w:t>合同履约保函联系方式</w:t>
      </w:r>
      <w:bookmarkEnd w:id="29"/>
    </w:p>
    <w:tbl>
      <w:tblPr>
        <w:tblStyle w:val="25"/>
        <w:tblW w:w="8513"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3365"/>
        <w:gridCol w:w="2629"/>
        <w:gridCol w:w="983"/>
        <w:gridCol w:w="1536"/>
      </w:tblGrid>
      <w:tr w14:paraId="26A432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27" w:hRule="atLeast"/>
          <w:jc w:val="center"/>
        </w:trPr>
        <w:tc>
          <w:tcPr>
            <w:tcW w:w="3365" w:type="dxa"/>
            <w:noWrap w:val="0"/>
            <w:vAlign w:val="center"/>
          </w:tcPr>
          <w:p w14:paraId="1790012F">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保险公司名称</w:t>
            </w:r>
          </w:p>
        </w:tc>
        <w:tc>
          <w:tcPr>
            <w:tcW w:w="2629" w:type="dxa"/>
            <w:noWrap w:val="0"/>
            <w:vAlign w:val="center"/>
          </w:tcPr>
          <w:p w14:paraId="0A15CE14">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保费率</w:t>
            </w:r>
          </w:p>
        </w:tc>
        <w:tc>
          <w:tcPr>
            <w:tcW w:w="983" w:type="dxa"/>
            <w:noWrap w:val="0"/>
            <w:vAlign w:val="center"/>
          </w:tcPr>
          <w:p w14:paraId="1BD1737B">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联系人</w:t>
            </w:r>
          </w:p>
        </w:tc>
        <w:tc>
          <w:tcPr>
            <w:tcW w:w="1536" w:type="dxa"/>
            <w:noWrap w:val="0"/>
            <w:vAlign w:val="center"/>
          </w:tcPr>
          <w:p w14:paraId="66111B3C">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联系电话</w:t>
            </w:r>
          </w:p>
        </w:tc>
      </w:tr>
      <w:tr w14:paraId="1E1971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44" w:hRule="atLeast"/>
          <w:jc w:val="center"/>
        </w:trPr>
        <w:tc>
          <w:tcPr>
            <w:tcW w:w="3365" w:type="dxa"/>
            <w:noWrap w:val="0"/>
            <w:vAlign w:val="center"/>
          </w:tcPr>
          <w:p w14:paraId="031C753B">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中国人寿财产保险股份有限公司台州中心支公司</w:t>
            </w:r>
          </w:p>
        </w:tc>
        <w:tc>
          <w:tcPr>
            <w:tcW w:w="2629" w:type="dxa"/>
            <w:noWrap w:val="0"/>
            <w:vAlign w:val="center"/>
          </w:tcPr>
          <w:p w14:paraId="669410BB">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年费率1%，最低保费500元</w:t>
            </w:r>
          </w:p>
        </w:tc>
        <w:tc>
          <w:tcPr>
            <w:tcW w:w="983" w:type="dxa"/>
            <w:noWrap w:val="0"/>
            <w:vAlign w:val="center"/>
          </w:tcPr>
          <w:p w14:paraId="41C1E6E8">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徐凌</w:t>
            </w:r>
          </w:p>
        </w:tc>
        <w:tc>
          <w:tcPr>
            <w:tcW w:w="1536" w:type="dxa"/>
            <w:noWrap w:val="0"/>
            <w:vAlign w:val="center"/>
          </w:tcPr>
          <w:p w14:paraId="72DB6AEA">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13905168070</w:t>
            </w:r>
          </w:p>
        </w:tc>
      </w:tr>
      <w:tr w14:paraId="1A5E20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44" w:hRule="atLeast"/>
          <w:jc w:val="center"/>
        </w:trPr>
        <w:tc>
          <w:tcPr>
            <w:tcW w:w="3365" w:type="dxa"/>
            <w:noWrap w:val="0"/>
            <w:vAlign w:val="center"/>
          </w:tcPr>
          <w:p w14:paraId="178231E9">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永诚财产保险股份有限公司台州分公司</w:t>
            </w:r>
          </w:p>
        </w:tc>
        <w:tc>
          <w:tcPr>
            <w:tcW w:w="2629" w:type="dxa"/>
            <w:noWrap w:val="0"/>
            <w:vAlign w:val="center"/>
          </w:tcPr>
          <w:p w14:paraId="019C8035">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年费率1%，最低保费1000元</w:t>
            </w:r>
          </w:p>
        </w:tc>
        <w:tc>
          <w:tcPr>
            <w:tcW w:w="983" w:type="dxa"/>
            <w:noWrap w:val="0"/>
            <w:vAlign w:val="center"/>
          </w:tcPr>
          <w:p w14:paraId="21317FD8">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尹刚强</w:t>
            </w:r>
          </w:p>
        </w:tc>
        <w:tc>
          <w:tcPr>
            <w:tcW w:w="1536" w:type="dxa"/>
            <w:noWrap w:val="0"/>
            <w:vAlign w:val="center"/>
          </w:tcPr>
          <w:p w14:paraId="3C146513">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13750668184</w:t>
            </w:r>
          </w:p>
        </w:tc>
      </w:tr>
      <w:tr w14:paraId="3585E4C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44" w:hRule="atLeast"/>
          <w:jc w:val="center"/>
        </w:trPr>
        <w:tc>
          <w:tcPr>
            <w:tcW w:w="3365" w:type="dxa"/>
            <w:noWrap w:val="0"/>
            <w:vAlign w:val="center"/>
          </w:tcPr>
          <w:p w14:paraId="0E0D3D81">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华泰财产保险有限公司台州中心支公司</w:t>
            </w:r>
          </w:p>
        </w:tc>
        <w:tc>
          <w:tcPr>
            <w:tcW w:w="2629" w:type="dxa"/>
            <w:noWrap w:val="0"/>
            <w:vAlign w:val="center"/>
          </w:tcPr>
          <w:p w14:paraId="375A1CD6">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年费率0.5%，最低保费1000元</w:t>
            </w:r>
          </w:p>
        </w:tc>
        <w:tc>
          <w:tcPr>
            <w:tcW w:w="983" w:type="dxa"/>
            <w:noWrap w:val="0"/>
            <w:vAlign w:val="center"/>
          </w:tcPr>
          <w:p w14:paraId="5AE9342B">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王灵芳</w:t>
            </w:r>
          </w:p>
        </w:tc>
        <w:tc>
          <w:tcPr>
            <w:tcW w:w="1536" w:type="dxa"/>
            <w:noWrap w:val="0"/>
            <w:vAlign w:val="center"/>
          </w:tcPr>
          <w:p w14:paraId="433E5C9F">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88869818 13586123199</w:t>
            </w:r>
          </w:p>
        </w:tc>
      </w:tr>
      <w:tr w14:paraId="555D1D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44" w:hRule="atLeast"/>
          <w:jc w:val="center"/>
        </w:trPr>
        <w:tc>
          <w:tcPr>
            <w:tcW w:w="3365" w:type="dxa"/>
            <w:noWrap w:val="0"/>
            <w:vAlign w:val="center"/>
          </w:tcPr>
          <w:p w14:paraId="40682B46">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中国大地财产保险股份有限公司台州中心支公司</w:t>
            </w:r>
          </w:p>
        </w:tc>
        <w:tc>
          <w:tcPr>
            <w:tcW w:w="2629" w:type="dxa"/>
            <w:noWrap w:val="0"/>
            <w:vAlign w:val="center"/>
          </w:tcPr>
          <w:p w14:paraId="0F13B1F1">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年费率1.5%，最低保费1000元</w:t>
            </w:r>
          </w:p>
        </w:tc>
        <w:tc>
          <w:tcPr>
            <w:tcW w:w="983" w:type="dxa"/>
            <w:noWrap w:val="0"/>
            <w:vAlign w:val="center"/>
          </w:tcPr>
          <w:p w14:paraId="0023CBC9">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徐小明</w:t>
            </w:r>
          </w:p>
        </w:tc>
        <w:tc>
          <w:tcPr>
            <w:tcW w:w="1536" w:type="dxa"/>
            <w:noWrap w:val="0"/>
            <w:vAlign w:val="center"/>
          </w:tcPr>
          <w:p w14:paraId="5951CB53">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88552788      13968603112</w:t>
            </w:r>
          </w:p>
        </w:tc>
      </w:tr>
      <w:tr w14:paraId="47AB92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44" w:hRule="atLeast"/>
          <w:jc w:val="center"/>
        </w:trPr>
        <w:tc>
          <w:tcPr>
            <w:tcW w:w="3365" w:type="dxa"/>
            <w:noWrap w:val="0"/>
            <w:vAlign w:val="center"/>
          </w:tcPr>
          <w:p w14:paraId="3C275A97">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阳光保险台州中心支公司</w:t>
            </w:r>
          </w:p>
        </w:tc>
        <w:tc>
          <w:tcPr>
            <w:tcW w:w="2629" w:type="dxa"/>
            <w:noWrap w:val="0"/>
            <w:vAlign w:val="center"/>
          </w:tcPr>
          <w:p w14:paraId="77F75339">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年费率1%，最低保费500元</w:t>
            </w:r>
          </w:p>
        </w:tc>
        <w:tc>
          <w:tcPr>
            <w:tcW w:w="983" w:type="dxa"/>
            <w:noWrap w:val="0"/>
            <w:vAlign w:val="center"/>
          </w:tcPr>
          <w:p w14:paraId="4FA4F8E8">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林高明</w:t>
            </w:r>
          </w:p>
        </w:tc>
        <w:tc>
          <w:tcPr>
            <w:tcW w:w="1536" w:type="dxa"/>
            <w:noWrap w:val="0"/>
            <w:vAlign w:val="center"/>
          </w:tcPr>
          <w:p w14:paraId="023F0DD9">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15888682693</w:t>
            </w:r>
          </w:p>
        </w:tc>
      </w:tr>
      <w:tr w14:paraId="0D6CE1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44" w:hRule="atLeast"/>
          <w:jc w:val="center"/>
        </w:trPr>
        <w:tc>
          <w:tcPr>
            <w:tcW w:w="3365" w:type="dxa"/>
            <w:noWrap w:val="0"/>
            <w:vAlign w:val="center"/>
          </w:tcPr>
          <w:p w14:paraId="02BB6EB1">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中华联合财产保险股份有限公司台州中心支公司</w:t>
            </w:r>
          </w:p>
        </w:tc>
        <w:tc>
          <w:tcPr>
            <w:tcW w:w="2629" w:type="dxa"/>
            <w:noWrap w:val="0"/>
            <w:vAlign w:val="center"/>
          </w:tcPr>
          <w:p w14:paraId="37A8B1A4">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年费率2%，最低保费500元</w:t>
            </w:r>
          </w:p>
        </w:tc>
        <w:tc>
          <w:tcPr>
            <w:tcW w:w="983" w:type="dxa"/>
            <w:noWrap w:val="0"/>
            <w:vAlign w:val="center"/>
          </w:tcPr>
          <w:p w14:paraId="0C185E32">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王仙高</w:t>
            </w:r>
          </w:p>
        </w:tc>
        <w:tc>
          <w:tcPr>
            <w:tcW w:w="1536" w:type="dxa"/>
            <w:noWrap w:val="0"/>
            <w:vAlign w:val="center"/>
          </w:tcPr>
          <w:p w14:paraId="33E03534">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13858600221</w:t>
            </w:r>
          </w:p>
        </w:tc>
      </w:tr>
      <w:tr w14:paraId="7F8137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44" w:hRule="atLeast"/>
          <w:jc w:val="center"/>
        </w:trPr>
        <w:tc>
          <w:tcPr>
            <w:tcW w:w="3365" w:type="dxa"/>
            <w:noWrap w:val="0"/>
            <w:vAlign w:val="center"/>
          </w:tcPr>
          <w:p w14:paraId="40492A31">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中国人民财产保险股份有限公司台州中心支公司</w:t>
            </w:r>
          </w:p>
        </w:tc>
        <w:tc>
          <w:tcPr>
            <w:tcW w:w="2629" w:type="dxa"/>
            <w:noWrap w:val="0"/>
            <w:vAlign w:val="center"/>
          </w:tcPr>
          <w:p w14:paraId="594E0EF3">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年费率0.3%，最低保费1000元</w:t>
            </w:r>
          </w:p>
        </w:tc>
        <w:tc>
          <w:tcPr>
            <w:tcW w:w="983" w:type="dxa"/>
            <w:noWrap w:val="0"/>
            <w:vAlign w:val="center"/>
          </w:tcPr>
          <w:p w14:paraId="7BFAED94">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王仙春</w:t>
            </w:r>
          </w:p>
        </w:tc>
        <w:tc>
          <w:tcPr>
            <w:tcW w:w="1536" w:type="dxa"/>
            <w:noWrap w:val="0"/>
            <w:vAlign w:val="center"/>
          </w:tcPr>
          <w:p w14:paraId="105AFF20">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13515769179</w:t>
            </w:r>
          </w:p>
        </w:tc>
      </w:tr>
      <w:tr w14:paraId="0CF3B1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54" w:hRule="atLeast"/>
          <w:jc w:val="center"/>
        </w:trPr>
        <w:tc>
          <w:tcPr>
            <w:tcW w:w="3365" w:type="dxa"/>
            <w:noWrap w:val="0"/>
            <w:vAlign w:val="center"/>
          </w:tcPr>
          <w:p w14:paraId="6C1D3B45">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永安财产保险股份有限公司台州中心支公司</w:t>
            </w:r>
          </w:p>
        </w:tc>
        <w:tc>
          <w:tcPr>
            <w:tcW w:w="2629" w:type="dxa"/>
            <w:noWrap w:val="0"/>
            <w:vAlign w:val="center"/>
          </w:tcPr>
          <w:p w14:paraId="022F5553">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年费率0.3%，最低保费1000</w:t>
            </w:r>
          </w:p>
        </w:tc>
        <w:tc>
          <w:tcPr>
            <w:tcW w:w="983" w:type="dxa"/>
            <w:noWrap w:val="0"/>
            <w:vAlign w:val="center"/>
          </w:tcPr>
          <w:p w14:paraId="26F6584E">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王春宇</w:t>
            </w:r>
          </w:p>
        </w:tc>
        <w:tc>
          <w:tcPr>
            <w:tcW w:w="1536" w:type="dxa"/>
            <w:noWrap w:val="0"/>
            <w:vAlign w:val="center"/>
          </w:tcPr>
          <w:p w14:paraId="786BC23F">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13676675331</w:t>
            </w:r>
          </w:p>
        </w:tc>
      </w:tr>
    </w:tbl>
    <w:p w14:paraId="7FADBC36">
      <w:pPr>
        <w:shd w:val="clear" w:color="auto" w:fill="auto"/>
        <w:ind w:firstLine="420" w:firstLineChars="200"/>
        <w:outlineLvl w:val="1"/>
        <w:rPr>
          <w:rFonts w:hint="eastAsia" w:ascii="宋体" w:hAnsi="宋体" w:eastAsia="宋体" w:cs="宋体"/>
          <w:color w:val="auto"/>
          <w:sz w:val="21"/>
          <w:szCs w:val="21"/>
          <w:highlight w:val="none"/>
        </w:rPr>
      </w:pPr>
      <w:bookmarkStart w:id="30" w:name="_Toc2018076054"/>
      <w:r>
        <w:rPr>
          <w:rFonts w:hint="eastAsia" w:ascii="宋体" w:hAnsi="宋体" w:eastAsia="宋体" w:cs="宋体"/>
          <w:color w:val="auto"/>
          <w:sz w:val="21"/>
          <w:szCs w:val="21"/>
          <w:highlight w:val="none"/>
        </w:rPr>
        <w:t>预付款保函联系方式</w:t>
      </w:r>
      <w:bookmarkEnd w:id="30"/>
    </w:p>
    <w:tbl>
      <w:tblPr>
        <w:tblStyle w:val="25"/>
        <w:tblW w:w="851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3607"/>
        <w:gridCol w:w="2109"/>
        <w:gridCol w:w="1264"/>
        <w:gridCol w:w="1536"/>
      </w:tblGrid>
      <w:tr w14:paraId="40DF63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jc w:val="center"/>
        </w:trPr>
        <w:tc>
          <w:tcPr>
            <w:tcW w:w="3607" w:type="dxa"/>
            <w:noWrap w:val="0"/>
            <w:vAlign w:val="center"/>
          </w:tcPr>
          <w:p w14:paraId="437E74F6">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保险公司名称</w:t>
            </w:r>
          </w:p>
        </w:tc>
        <w:tc>
          <w:tcPr>
            <w:tcW w:w="2109" w:type="dxa"/>
            <w:noWrap w:val="0"/>
            <w:vAlign w:val="center"/>
          </w:tcPr>
          <w:p w14:paraId="3AA55984">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保费率</w:t>
            </w:r>
          </w:p>
        </w:tc>
        <w:tc>
          <w:tcPr>
            <w:tcW w:w="1264" w:type="dxa"/>
            <w:noWrap w:val="0"/>
            <w:vAlign w:val="center"/>
          </w:tcPr>
          <w:p w14:paraId="5C39672A">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联系人</w:t>
            </w:r>
          </w:p>
        </w:tc>
        <w:tc>
          <w:tcPr>
            <w:tcW w:w="1536" w:type="dxa"/>
            <w:noWrap w:val="0"/>
            <w:vAlign w:val="center"/>
          </w:tcPr>
          <w:p w14:paraId="3FDEAD43">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联系电话</w:t>
            </w:r>
          </w:p>
        </w:tc>
      </w:tr>
      <w:tr w14:paraId="79DBB2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8" w:hRule="atLeast"/>
          <w:jc w:val="center"/>
        </w:trPr>
        <w:tc>
          <w:tcPr>
            <w:tcW w:w="3607" w:type="dxa"/>
            <w:noWrap w:val="0"/>
            <w:vAlign w:val="center"/>
          </w:tcPr>
          <w:p w14:paraId="6AEC6C7A">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中国人寿财产保险股份有限公司台州中心支公司</w:t>
            </w:r>
          </w:p>
        </w:tc>
        <w:tc>
          <w:tcPr>
            <w:tcW w:w="2109" w:type="dxa"/>
            <w:noWrap w:val="0"/>
            <w:vAlign w:val="center"/>
          </w:tcPr>
          <w:p w14:paraId="133DBC61">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年费率3%，最低保费500元</w:t>
            </w:r>
          </w:p>
        </w:tc>
        <w:tc>
          <w:tcPr>
            <w:tcW w:w="1264" w:type="dxa"/>
            <w:noWrap w:val="0"/>
            <w:vAlign w:val="center"/>
          </w:tcPr>
          <w:p w14:paraId="5C013435">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徐凌</w:t>
            </w:r>
          </w:p>
        </w:tc>
        <w:tc>
          <w:tcPr>
            <w:tcW w:w="1536" w:type="dxa"/>
            <w:noWrap w:val="0"/>
            <w:vAlign w:val="center"/>
          </w:tcPr>
          <w:p w14:paraId="0ACE10B8">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13905168070</w:t>
            </w:r>
          </w:p>
        </w:tc>
      </w:tr>
      <w:tr w14:paraId="0FF531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1" w:hRule="atLeast"/>
          <w:jc w:val="center"/>
        </w:trPr>
        <w:tc>
          <w:tcPr>
            <w:tcW w:w="3607" w:type="dxa"/>
            <w:noWrap w:val="0"/>
            <w:vAlign w:val="center"/>
          </w:tcPr>
          <w:p w14:paraId="12FB5313">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阳光保险台州中心支公司</w:t>
            </w:r>
          </w:p>
        </w:tc>
        <w:tc>
          <w:tcPr>
            <w:tcW w:w="2109" w:type="dxa"/>
            <w:noWrap w:val="0"/>
            <w:vAlign w:val="center"/>
          </w:tcPr>
          <w:p w14:paraId="6B36A1CE">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年费率1%，最低保费500元</w:t>
            </w:r>
          </w:p>
        </w:tc>
        <w:tc>
          <w:tcPr>
            <w:tcW w:w="1264" w:type="dxa"/>
            <w:noWrap w:val="0"/>
            <w:vAlign w:val="center"/>
          </w:tcPr>
          <w:p w14:paraId="056212C8">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林高明</w:t>
            </w:r>
          </w:p>
        </w:tc>
        <w:tc>
          <w:tcPr>
            <w:tcW w:w="1536" w:type="dxa"/>
            <w:noWrap w:val="0"/>
            <w:vAlign w:val="center"/>
          </w:tcPr>
          <w:p w14:paraId="41BD5F50">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15888682693</w:t>
            </w:r>
          </w:p>
        </w:tc>
      </w:tr>
      <w:tr w14:paraId="2630BF5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 w:hRule="atLeast"/>
          <w:jc w:val="center"/>
        </w:trPr>
        <w:tc>
          <w:tcPr>
            <w:tcW w:w="3607" w:type="dxa"/>
            <w:noWrap w:val="0"/>
            <w:vAlign w:val="center"/>
          </w:tcPr>
          <w:p w14:paraId="46BFC501">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天安财产保险股份有限公司台州中心支公司</w:t>
            </w:r>
          </w:p>
        </w:tc>
        <w:tc>
          <w:tcPr>
            <w:tcW w:w="2109" w:type="dxa"/>
            <w:noWrap w:val="0"/>
            <w:vAlign w:val="center"/>
          </w:tcPr>
          <w:p w14:paraId="3C4C6DA2">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年费率1%-2%，最低保费500元</w:t>
            </w:r>
          </w:p>
        </w:tc>
        <w:tc>
          <w:tcPr>
            <w:tcW w:w="1264" w:type="dxa"/>
            <w:noWrap w:val="0"/>
            <w:vAlign w:val="center"/>
          </w:tcPr>
          <w:p w14:paraId="4D3F468C">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罗赛</w:t>
            </w:r>
          </w:p>
        </w:tc>
        <w:tc>
          <w:tcPr>
            <w:tcW w:w="1536" w:type="dxa"/>
            <w:noWrap w:val="0"/>
            <w:vAlign w:val="center"/>
          </w:tcPr>
          <w:p w14:paraId="79117715">
            <w:pPr>
              <w:shd w:val="clear" w:color="auto" w:fill="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13736605643</w:t>
            </w:r>
          </w:p>
        </w:tc>
      </w:tr>
    </w:tbl>
    <w:p w14:paraId="2289C138">
      <w:pPr>
        <w:pStyle w:val="11"/>
        <w:snapToGrid w:val="0"/>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二、说 明</w:t>
      </w:r>
    </w:p>
    <w:p w14:paraId="4FC6922B">
      <w:pPr>
        <w:pStyle w:val="12"/>
        <w:numPr>
          <w:ilvl w:val="0"/>
          <w:numId w:val="6"/>
        </w:numPr>
        <w:spacing w:line="360" w:lineRule="auto"/>
        <w:ind w:left="0" w:leftChars="0"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总则</w:t>
      </w:r>
    </w:p>
    <w:p w14:paraId="4F857E60">
      <w:pPr>
        <w:snapToGrid w:val="0"/>
        <w:spacing w:line="360" w:lineRule="auto"/>
        <w:ind w:firstLine="480" w:firstLineChars="200"/>
        <w:rPr>
          <w:rFonts w:asciiTheme="minorEastAsia" w:hAnsiTheme="minorEastAsia" w:eastAsiaTheme="minorEastAsia"/>
          <w:color w:val="auto"/>
          <w:sz w:val="24"/>
          <w:highlight w:val="none"/>
        </w:rPr>
      </w:pPr>
      <w:r>
        <w:rPr>
          <w:rFonts w:asciiTheme="minorEastAsia" w:hAnsiTheme="minorEastAsia" w:eastAsiaTheme="minorEastAsia"/>
          <w:color w:val="auto"/>
          <w:sz w:val="24"/>
          <w:highlight w:val="none"/>
        </w:rPr>
        <w:t>本</w:t>
      </w:r>
      <w:r>
        <w:rPr>
          <w:rFonts w:hint="eastAsia" w:asciiTheme="minorEastAsia" w:hAnsiTheme="minorEastAsia" w:eastAsiaTheme="minorEastAsia"/>
          <w:color w:val="auto"/>
          <w:sz w:val="24"/>
          <w:highlight w:val="none"/>
        </w:rPr>
        <w:t>磋商</w:t>
      </w:r>
      <w:r>
        <w:rPr>
          <w:rFonts w:asciiTheme="minorEastAsia" w:hAnsiTheme="minorEastAsia" w:eastAsiaTheme="minorEastAsia"/>
          <w:color w:val="auto"/>
          <w:sz w:val="24"/>
          <w:highlight w:val="none"/>
        </w:rPr>
        <w:t>文件依据《中华人民共和国政府采购法》、《中华人民共和国政府采购法实施条例》（国务院令第658号）和</w:t>
      </w:r>
      <w:r>
        <w:rPr>
          <w:rFonts w:hAnsi="宋体"/>
          <w:color w:val="auto"/>
          <w:sz w:val="24"/>
          <w:highlight w:val="none"/>
        </w:rPr>
        <w:t>《政府采购竞争性磋商采购方式管理暂行办法》</w:t>
      </w:r>
      <w:r>
        <w:rPr>
          <w:rFonts w:asciiTheme="minorEastAsia" w:hAnsiTheme="minorEastAsia" w:eastAsiaTheme="minorEastAsia"/>
          <w:color w:val="auto"/>
          <w:sz w:val="24"/>
          <w:highlight w:val="none"/>
        </w:rPr>
        <w:t>（</w:t>
      </w:r>
      <w:r>
        <w:rPr>
          <w:rFonts w:hAnsi="宋体"/>
          <w:color w:val="auto"/>
          <w:sz w:val="24"/>
          <w:highlight w:val="none"/>
        </w:rPr>
        <w:t>财库〔</w:t>
      </w:r>
      <w:r>
        <w:rPr>
          <w:color w:val="auto"/>
          <w:sz w:val="24"/>
          <w:highlight w:val="none"/>
        </w:rPr>
        <w:t>2014</w:t>
      </w:r>
      <w:r>
        <w:rPr>
          <w:rFonts w:hAnsi="宋体"/>
          <w:color w:val="auto"/>
          <w:sz w:val="24"/>
          <w:highlight w:val="none"/>
        </w:rPr>
        <w:t>〕</w:t>
      </w:r>
      <w:r>
        <w:rPr>
          <w:color w:val="auto"/>
          <w:sz w:val="24"/>
          <w:highlight w:val="none"/>
        </w:rPr>
        <w:t>214</w:t>
      </w:r>
      <w:r>
        <w:rPr>
          <w:rFonts w:hAnsi="宋体"/>
          <w:color w:val="auto"/>
          <w:sz w:val="24"/>
          <w:highlight w:val="none"/>
        </w:rPr>
        <w:t>号</w:t>
      </w:r>
      <w:r>
        <w:rPr>
          <w:rFonts w:asciiTheme="minorEastAsia" w:hAnsiTheme="minorEastAsia" w:eastAsiaTheme="minorEastAsia"/>
          <w:color w:val="auto"/>
          <w:sz w:val="24"/>
          <w:highlight w:val="none"/>
        </w:rPr>
        <w:t>）及国家和</w:t>
      </w:r>
      <w:r>
        <w:rPr>
          <w:rFonts w:hint="eastAsia" w:asciiTheme="minorEastAsia" w:hAnsiTheme="minorEastAsia" w:eastAsiaTheme="minorEastAsia"/>
          <w:color w:val="auto"/>
          <w:sz w:val="24"/>
          <w:highlight w:val="none"/>
        </w:rPr>
        <w:t>浙江省</w:t>
      </w:r>
      <w:r>
        <w:rPr>
          <w:rFonts w:asciiTheme="minorEastAsia" w:hAnsiTheme="minorEastAsia" w:eastAsiaTheme="minorEastAsia"/>
          <w:color w:val="auto"/>
          <w:sz w:val="24"/>
          <w:highlight w:val="none"/>
        </w:rPr>
        <w:t>有关法律、法规、规章编制。</w:t>
      </w:r>
    </w:p>
    <w:p w14:paraId="7AD0A126">
      <w:pPr>
        <w:snapToGrid w:val="0"/>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磋商</w:t>
      </w:r>
      <w:r>
        <w:rPr>
          <w:rFonts w:asciiTheme="minorEastAsia" w:hAnsiTheme="minorEastAsia" w:eastAsiaTheme="minorEastAsia"/>
          <w:color w:val="auto"/>
          <w:sz w:val="24"/>
          <w:highlight w:val="none"/>
        </w:rPr>
        <w:t>供应商应仔细阅读本项目</w:t>
      </w:r>
      <w:r>
        <w:rPr>
          <w:rFonts w:hint="eastAsia" w:asciiTheme="minorEastAsia" w:hAnsiTheme="minorEastAsia" w:eastAsiaTheme="minorEastAsia"/>
          <w:color w:val="auto"/>
          <w:sz w:val="24"/>
          <w:highlight w:val="none"/>
        </w:rPr>
        <w:t>采购</w:t>
      </w:r>
      <w:r>
        <w:rPr>
          <w:rFonts w:asciiTheme="minorEastAsia" w:hAnsiTheme="minorEastAsia" w:eastAsiaTheme="minorEastAsia"/>
          <w:color w:val="auto"/>
          <w:sz w:val="24"/>
          <w:highlight w:val="none"/>
        </w:rPr>
        <w:t>公告及</w:t>
      </w:r>
      <w:r>
        <w:rPr>
          <w:rFonts w:hint="eastAsia" w:asciiTheme="minorEastAsia" w:hAnsiTheme="minorEastAsia" w:eastAsiaTheme="minorEastAsia"/>
          <w:color w:val="auto"/>
          <w:sz w:val="24"/>
          <w:highlight w:val="none"/>
        </w:rPr>
        <w:t>磋商</w:t>
      </w:r>
      <w:r>
        <w:rPr>
          <w:rFonts w:asciiTheme="minorEastAsia" w:hAnsiTheme="minorEastAsia" w:eastAsiaTheme="minorEastAsia"/>
          <w:color w:val="auto"/>
          <w:sz w:val="24"/>
          <w:highlight w:val="none"/>
        </w:rPr>
        <w:t>文件的所有内容（包括变更、补充、澄清以及修改等，均为</w:t>
      </w:r>
      <w:r>
        <w:rPr>
          <w:rFonts w:hint="eastAsia" w:asciiTheme="minorEastAsia" w:hAnsiTheme="minorEastAsia" w:eastAsiaTheme="minorEastAsia"/>
          <w:color w:val="auto"/>
          <w:sz w:val="24"/>
          <w:highlight w:val="none"/>
        </w:rPr>
        <w:t>磋商</w:t>
      </w:r>
      <w:r>
        <w:rPr>
          <w:rFonts w:asciiTheme="minorEastAsia" w:hAnsiTheme="minorEastAsia" w:eastAsiaTheme="minorEastAsia"/>
          <w:color w:val="auto"/>
          <w:sz w:val="24"/>
          <w:highlight w:val="none"/>
        </w:rPr>
        <w:t>文件的组成部分），按照</w:t>
      </w:r>
      <w:r>
        <w:rPr>
          <w:rFonts w:hint="eastAsia" w:asciiTheme="minorEastAsia" w:hAnsiTheme="minorEastAsia" w:eastAsiaTheme="minorEastAsia"/>
          <w:color w:val="auto"/>
          <w:sz w:val="24"/>
          <w:highlight w:val="none"/>
        </w:rPr>
        <w:t>磋商</w:t>
      </w:r>
      <w:r>
        <w:rPr>
          <w:rFonts w:asciiTheme="minorEastAsia" w:hAnsiTheme="minorEastAsia" w:eastAsiaTheme="minorEastAsia"/>
          <w:color w:val="auto"/>
          <w:sz w:val="24"/>
          <w:highlight w:val="none"/>
        </w:rPr>
        <w:t>文件要求以及格式编制</w:t>
      </w:r>
      <w:r>
        <w:rPr>
          <w:rFonts w:hint="eastAsia" w:asciiTheme="minorEastAsia" w:hAnsiTheme="minorEastAsia" w:eastAsiaTheme="minorEastAsia"/>
          <w:color w:val="auto"/>
          <w:sz w:val="24"/>
          <w:highlight w:val="none"/>
        </w:rPr>
        <w:t>磋商响应</w:t>
      </w:r>
      <w:r>
        <w:rPr>
          <w:rFonts w:asciiTheme="minorEastAsia" w:hAnsiTheme="minorEastAsia" w:eastAsiaTheme="minorEastAsia"/>
          <w:color w:val="auto"/>
          <w:sz w:val="24"/>
          <w:highlight w:val="none"/>
        </w:rPr>
        <w:t>文件，并保证其真实性，否则</w:t>
      </w:r>
      <w:r>
        <w:rPr>
          <w:rFonts w:hint="eastAsia"/>
          <w:color w:val="auto"/>
          <w:sz w:val="24"/>
          <w:highlight w:val="none"/>
        </w:rPr>
        <w:t>由此引起的一切后果应由</w:t>
      </w:r>
      <w:r>
        <w:rPr>
          <w:rFonts w:asciiTheme="minorEastAsia" w:hAnsiTheme="minorEastAsia" w:eastAsiaTheme="minorEastAsia"/>
          <w:color w:val="auto"/>
          <w:sz w:val="24"/>
          <w:highlight w:val="none"/>
        </w:rPr>
        <w:t>投标供应商</w:t>
      </w:r>
      <w:r>
        <w:rPr>
          <w:rFonts w:hint="eastAsia"/>
          <w:color w:val="auto"/>
          <w:sz w:val="24"/>
          <w:highlight w:val="none"/>
        </w:rPr>
        <w:t>承担</w:t>
      </w:r>
      <w:r>
        <w:rPr>
          <w:rFonts w:asciiTheme="minorEastAsia" w:hAnsiTheme="minorEastAsia" w:eastAsiaTheme="minorEastAsia"/>
          <w:color w:val="auto"/>
          <w:sz w:val="24"/>
          <w:highlight w:val="none"/>
        </w:rPr>
        <w:t>。</w:t>
      </w:r>
    </w:p>
    <w:p w14:paraId="000C5EAF">
      <w:pPr>
        <w:numPr>
          <w:ilvl w:val="0"/>
          <w:numId w:val="6"/>
        </w:numPr>
        <w:snapToGrid w:val="0"/>
        <w:spacing w:line="360" w:lineRule="auto"/>
        <w:ind w:firstLine="482" w:firstLineChars="200"/>
        <w:outlineLvl w:val="1"/>
        <w:rPr>
          <w:rFonts w:asciiTheme="minorEastAsia" w:hAnsiTheme="minorEastAsia" w:eastAsiaTheme="minorEastAsia"/>
          <w:b/>
          <w:color w:val="auto"/>
          <w:sz w:val="24"/>
          <w:highlight w:val="none"/>
        </w:rPr>
      </w:pPr>
      <w:r>
        <w:rPr>
          <w:rFonts w:asciiTheme="minorEastAsia" w:hAnsiTheme="minorEastAsia" w:eastAsiaTheme="minorEastAsia"/>
          <w:b/>
          <w:color w:val="auto"/>
          <w:sz w:val="24"/>
          <w:highlight w:val="none"/>
        </w:rPr>
        <w:t>适用范围</w:t>
      </w:r>
    </w:p>
    <w:p w14:paraId="3AE2F6DB">
      <w:pPr>
        <w:snapToGrid w:val="0"/>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本磋商文件适用于</w:t>
      </w:r>
      <w:r>
        <w:rPr>
          <w:rFonts w:hint="eastAsia" w:asciiTheme="minorEastAsia" w:hAnsiTheme="minorEastAsia" w:eastAsiaTheme="minorEastAsia"/>
          <w:bCs/>
          <w:color w:val="auto"/>
          <w:sz w:val="24"/>
          <w:highlight w:val="none"/>
        </w:rPr>
        <w:t>本次</w:t>
      </w:r>
      <w:r>
        <w:rPr>
          <w:rFonts w:hint="eastAsia" w:asciiTheme="minorEastAsia" w:hAnsiTheme="minorEastAsia" w:eastAsiaTheme="minorEastAsia"/>
          <w:color w:val="auto"/>
          <w:sz w:val="24"/>
          <w:highlight w:val="none"/>
        </w:rPr>
        <w:t>项目的</w:t>
      </w:r>
      <w:r>
        <w:rPr>
          <w:rFonts w:hint="eastAsia" w:ascii="宋体" w:hAnsi="宋体"/>
          <w:color w:val="auto"/>
          <w:sz w:val="24"/>
          <w:highlight w:val="none"/>
        </w:rPr>
        <w:t>磋商、</w:t>
      </w:r>
      <w:r>
        <w:rPr>
          <w:rFonts w:hint="eastAsia" w:ascii="宋体" w:hAnsi="宋体"/>
          <w:bCs/>
          <w:color w:val="auto"/>
          <w:sz w:val="24"/>
          <w:highlight w:val="none"/>
        </w:rPr>
        <w:t>评审、确定成交供应商</w:t>
      </w:r>
      <w:r>
        <w:rPr>
          <w:rFonts w:hint="eastAsia" w:asciiTheme="minorEastAsia" w:hAnsiTheme="minorEastAsia" w:eastAsiaTheme="minorEastAsia"/>
          <w:color w:val="auto"/>
          <w:sz w:val="24"/>
          <w:highlight w:val="none"/>
        </w:rPr>
        <w:t>、验收、合同履约、付款等行为（法律、法规另有规定的，从其规定）。</w:t>
      </w:r>
    </w:p>
    <w:p w14:paraId="12B571F6">
      <w:pPr>
        <w:pStyle w:val="9"/>
        <w:spacing w:line="360" w:lineRule="auto"/>
        <w:ind w:firstLine="480" w:firstLineChars="200"/>
        <w:rPr>
          <w:color w:val="auto"/>
          <w:highlight w:val="none"/>
        </w:rPr>
      </w:pPr>
      <w:r>
        <w:rPr>
          <w:color w:val="auto"/>
          <w:highlight w:val="none"/>
        </w:rPr>
        <w:t>本</w:t>
      </w:r>
      <w:r>
        <w:rPr>
          <w:rFonts w:hint="eastAsia"/>
          <w:color w:val="auto"/>
          <w:highlight w:val="none"/>
        </w:rPr>
        <w:t>磋商</w:t>
      </w:r>
      <w:r>
        <w:rPr>
          <w:color w:val="auto"/>
          <w:highlight w:val="none"/>
        </w:rPr>
        <w:t>文件仅适用于本次</w:t>
      </w:r>
      <w:r>
        <w:rPr>
          <w:rFonts w:hint="eastAsia"/>
          <w:color w:val="auto"/>
          <w:highlight w:val="none"/>
        </w:rPr>
        <w:t>采购</w:t>
      </w:r>
      <w:r>
        <w:rPr>
          <w:color w:val="auto"/>
          <w:highlight w:val="none"/>
        </w:rPr>
        <w:t>公告中所涉及的项目和内容。</w:t>
      </w:r>
    </w:p>
    <w:p w14:paraId="087F8CE0">
      <w:pPr>
        <w:snapToGrid w:val="0"/>
        <w:spacing w:line="360" w:lineRule="auto"/>
        <w:ind w:firstLine="482" w:firstLineChars="200"/>
        <w:outlineLvl w:val="1"/>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（三）当事人</w:t>
      </w:r>
    </w:p>
    <w:p w14:paraId="5DA1FFA5">
      <w:pPr>
        <w:pStyle w:val="4"/>
        <w:keepNext w:val="0"/>
        <w:keepLines w:val="0"/>
        <w:tabs>
          <w:tab w:val="left" w:pos="0"/>
          <w:tab w:val="left" w:pos="851"/>
        </w:tabs>
        <w:snapToGrid w:val="0"/>
        <w:spacing w:before="0" w:after="0" w:line="360" w:lineRule="auto"/>
        <w:ind w:firstLine="480" w:firstLineChars="200"/>
        <w:rPr>
          <w:rFonts w:asciiTheme="minorEastAsia" w:hAnsiTheme="minorEastAsia" w:eastAsiaTheme="minorEastAsia"/>
          <w:bCs w:val="0"/>
          <w:color w:val="auto"/>
          <w:sz w:val="24"/>
          <w:szCs w:val="24"/>
          <w:highlight w:val="none"/>
        </w:rPr>
      </w:pPr>
      <w:r>
        <w:rPr>
          <w:rFonts w:hint="eastAsia" w:asciiTheme="minorEastAsia" w:hAnsiTheme="minorEastAsia" w:eastAsiaTheme="minorEastAsia"/>
          <w:color w:val="auto"/>
          <w:sz w:val="24"/>
          <w:szCs w:val="24"/>
          <w:highlight w:val="none"/>
        </w:rPr>
        <w:t>1.</w:t>
      </w:r>
      <w:r>
        <w:rPr>
          <w:rFonts w:hint="eastAsia" w:asciiTheme="minorEastAsia" w:hAnsiTheme="minorEastAsia" w:eastAsiaTheme="minorEastAsia"/>
          <w:color w:val="auto"/>
          <w:sz w:val="24"/>
          <w:highlight w:val="none"/>
        </w:rPr>
        <w:t>采购人：是指依法进行政府采购的国家机关、事业单位和团体组织。</w:t>
      </w:r>
    </w:p>
    <w:p w14:paraId="2B499698">
      <w:pPr>
        <w:pStyle w:val="4"/>
        <w:keepNext w:val="0"/>
        <w:keepLines w:val="0"/>
        <w:tabs>
          <w:tab w:val="left" w:pos="0"/>
          <w:tab w:val="left" w:pos="851"/>
        </w:tabs>
        <w:snapToGrid w:val="0"/>
        <w:spacing w:before="0" w:after="0"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w:t>
      </w:r>
      <w:r>
        <w:rPr>
          <w:rFonts w:hint="eastAsia"/>
          <w:bCs w:val="0"/>
          <w:color w:val="auto"/>
          <w:sz w:val="24"/>
          <w:szCs w:val="24"/>
          <w:highlight w:val="none"/>
          <w:lang w:val="zh-CN"/>
        </w:rPr>
        <w:t>采购组织机构：</w:t>
      </w:r>
      <w:r>
        <w:rPr>
          <w:rFonts w:hint="eastAsia"/>
          <w:bCs w:val="0"/>
          <w:color w:val="auto"/>
          <w:sz w:val="24"/>
          <w:szCs w:val="24"/>
          <w:highlight w:val="none"/>
        </w:rPr>
        <w:t>是</w:t>
      </w:r>
      <w:r>
        <w:rPr>
          <w:rFonts w:hint="eastAsia"/>
          <w:bCs w:val="0"/>
          <w:color w:val="auto"/>
          <w:sz w:val="24"/>
          <w:szCs w:val="24"/>
          <w:highlight w:val="none"/>
          <w:lang w:val="zh-CN"/>
        </w:rPr>
        <w:t>指采购人委托组织</w:t>
      </w:r>
      <w:r>
        <w:rPr>
          <w:rFonts w:hint="eastAsia"/>
          <w:bCs w:val="0"/>
          <w:color w:val="auto"/>
          <w:sz w:val="24"/>
          <w:szCs w:val="24"/>
          <w:highlight w:val="none"/>
        </w:rPr>
        <w:t>磋商</w:t>
      </w:r>
      <w:r>
        <w:rPr>
          <w:rFonts w:hint="eastAsia"/>
          <w:bCs w:val="0"/>
          <w:color w:val="auto"/>
          <w:sz w:val="24"/>
          <w:szCs w:val="24"/>
          <w:highlight w:val="none"/>
          <w:lang w:val="zh-CN"/>
        </w:rPr>
        <w:t>的集中采购机构</w:t>
      </w:r>
      <w:r>
        <w:rPr>
          <w:rFonts w:hint="eastAsia" w:cs="Arial"/>
          <w:bCs w:val="0"/>
          <w:color w:val="auto"/>
          <w:sz w:val="24"/>
          <w:szCs w:val="24"/>
          <w:highlight w:val="none"/>
        </w:rPr>
        <w:t>/</w:t>
      </w:r>
      <w:r>
        <w:rPr>
          <w:rFonts w:hint="eastAsia"/>
          <w:bCs w:val="0"/>
          <w:color w:val="auto"/>
          <w:sz w:val="24"/>
          <w:szCs w:val="24"/>
          <w:highlight w:val="none"/>
          <w:lang w:val="zh-CN"/>
        </w:rPr>
        <w:t>采购代理机构。</w:t>
      </w:r>
    </w:p>
    <w:p w14:paraId="630CC6CE">
      <w:pPr>
        <w:snapToGrid w:val="0"/>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3.供应商：是指向采购人提供货物、工程或者服务的法人、其他组织或者自然人</w:t>
      </w:r>
      <w:r>
        <w:rPr>
          <w:rFonts w:asciiTheme="minorEastAsia" w:hAnsiTheme="minorEastAsia" w:eastAsiaTheme="minorEastAsia"/>
          <w:color w:val="auto"/>
          <w:sz w:val="24"/>
          <w:highlight w:val="none"/>
        </w:rPr>
        <w:t>。</w:t>
      </w:r>
    </w:p>
    <w:p w14:paraId="22A2A227">
      <w:pPr>
        <w:snapToGrid w:val="0"/>
        <w:spacing w:line="360" w:lineRule="auto"/>
        <w:ind w:firstLine="480" w:firstLineChars="200"/>
        <w:rPr>
          <w:rFonts w:ascii="宋体" w:hAnsi="宋体"/>
          <w:color w:val="auto"/>
          <w:sz w:val="24"/>
          <w:highlight w:val="none"/>
          <w:lang w:val="zh-CN"/>
        </w:rPr>
      </w:pPr>
      <w:r>
        <w:rPr>
          <w:rFonts w:hint="eastAsia" w:ascii="宋体" w:hAnsi="宋体"/>
          <w:color w:val="auto"/>
          <w:sz w:val="24"/>
          <w:highlight w:val="none"/>
        </w:rPr>
        <w:t>4.成交</w:t>
      </w:r>
      <w:r>
        <w:rPr>
          <w:rFonts w:hint="eastAsia" w:ascii="宋体" w:hAnsi="宋体"/>
          <w:color w:val="auto"/>
          <w:sz w:val="24"/>
          <w:highlight w:val="none"/>
          <w:lang w:val="zh-CN"/>
        </w:rPr>
        <w:t>供应商：是指经</w:t>
      </w:r>
      <w:r>
        <w:rPr>
          <w:rFonts w:hint="eastAsia" w:asciiTheme="minorEastAsia" w:hAnsiTheme="minorEastAsia" w:eastAsiaTheme="minorEastAsia" w:cstheme="minorBidi"/>
          <w:color w:val="auto"/>
          <w:sz w:val="24"/>
          <w:highlight w:val="none"/>
        </w:rPr>
        <w:t>磋商小组</w:t>
      </w:r>
      <w:r>
        <w:rPr>
          <w:rFonts w:hint="eastAsia" w:ascii="宋体" w:hAnsi="宋体"/>
          <w:color w:val="auto"/>
          <w:sz w:val="24"/>
          <w:highlight w:val="none"/>
          <w:lang w:val="zh-CN"/>
        </w:rPr>
        <w:t>评审确定的对</w:t>
      </w:r>
      <w:r>
        <w:rPr>
          <w:rFonts w:hint="eastAsia" w:ascii="宋体" w:hAnsi="宋体"/>
          <w:color w:val="auto"/>
          <w:sz w:val="24"/>
          <w:highlight w:val="none"/>
        </w:rPr>
        <w:t>磋商</w:t>
      </w:r>
      <w:r>
        <w:rPr>
          <w:rFonts w:hint="eastAsia" w:ascii="宋体" w:hAnsi="宋体"/>
          <w:color w:val="auto"/>
          <w:sz w:val="24"/>
          <w:highlight w:val="none"/>
          <w:lang w:val="zh-CN"/>
        </w:rPr>
        <w:t>文件作出实质性响应，经采购人按照规定在</w:t>
      </w:r>
      <w:r>
        <w:rPr>
          <w:rFonts w:hint="eastAsia" w:asciiTheme="minorEastAsia" w:hAnsiTheme="minorEastAsia" w:eastAsiaTheme="minorEastAsia" w:cstheme="minorBidi"/>
          <w:color w:val="auto"/>
          <w:sz w:val="24"/>
          <w:highlight w:val="none"/>
        </w:rPr>
        <w:t>磋商小组</w:t>
      </w:r>
      <w:r>
        <w:rPr>
          <w:rFonts w:hint="eastAsia" w:ascii="宋体" w:hAnsi="宋体"/>
          <w:color w:val="auto"/>
          <w:sz w:val="24"/>
          <w:highlight w:val="none"/>
          <w:lang w:val="zh-CN"/>
        </w:rPr>
        <w:t>推荐的</w:t>
      </w:r>
      <w:r>
        <w:rPr>
          <w:rFonts w:hint="eastAsia" w:ascii="宋体" w:hAnsi="宋体"/>
          <w:color w:val="auto"/>
          <w:sz w:val="24"/>
          <w:highlight w:val="none"/>
        </w:rPr>
        <w:t>成交</w:t>
      </w:r>
      <w:r>
        <w:rPr>
          <w:rFonts w:hint="eastAsia" w:ascii="宋体" w:hAnsi="宋体"/>
          <w:color w:val="auto"/>
          <w:sz w:val="24"/>
          <w:highlight w:val="none"/>
          <w:lang w:val="zh-CN"/>
        </w:rPr>
        <w:t>候选人中确定的或受采购人委托直接确认的，与采购人签订合同资格的供应商。</w:t>
      </w:r>
    </w:p>
    <w:p w14:paraId="0DD70418">
      <w:pPr>
        <w:pStyle w:val="23"/>
        <w:spacing w:after="0" w:line="360" w:lineRule="auto"/>
        <w:ind w:left="0" w:leftChars="0" w:firstLine="480" w:firstLineChars="200"/>
        <w:rPr>
          <w:color w:val="auto"/>
          <w:sz w:val="24"/>
          <w:highlight w:val="none"/>
        </w:rPr>
      </w:pPr>
      <w:r>
        <w:rPr>
          <w:rFonts w:hint="eastAsia" w:ascii="宋体" w:hAnsi="宋体"/>
          <w:color w:val="auto"/>
          <w:sz w:val="24"/>
          <w:highlight w:val="none"/>
        </w:rPr>
        <w:t>5.联合体：</w:t>
      </w:r>
      <w:r>
        <w:rPr>
          <w:rFonts w:hint="eastAsia"/>
          <w:color w:val="auto"/>
          <w:sz w:val="24"/>
          <w:highlight w:val="none"/>
        </w:rPr>
        <w:t>两个或两个以上法人或者其他组织可以组成一个联合体，以一个供应商的身份共同参与磋商。</w:t>
      </w:r>
    </w:p>
    <w:p w14:paraId="29B1595B">
      <w:pPr>
        <w:snapToGrid w:val="0"/>
        <w:spacing w:line="360" w:lineRule="auto"/>
        <w:ind w:firstLine="480" w:firstLineChars="200"/>
        <w:rPr>
          <w:b/>
          <w:bCs/>
          <w:color w:val="auto"/>
          <w:sz w:val="24"/>
          <w:highlight w:val="none"/>
        </w:rPr>
      </w:pPr>
      <w:r>
        <w:rPr>
          <w:rFonts w:hint="eastAsia" w:asciiTheme="minorEastAsia" w:hAnsiTheme="minorEastAsia" w:eastAsiaTheme="minorEastAsia"/>
          <w:bCs/>
          <w:color w:val="auto"/>
          <w:kern w:val="0"/>
          <w:sz w:val="24"/>
          <w:highlight w:val="none"/>
          <w:lang w:val="en-US" w:eastAsia="zh-CN"/>
        </w:rPr>
        <w:t>▲</w:t>
      </w:r>
      <w:r>
        <w:rPr>
          <w:rFonts w:hint="eastAsia"/>
          <w:b/>
          <w:bCs/>
          <w:color w:val="auto"/>
          <w:sz w:val="24"/>
          <w:highlight w:val="none"/>
        </w:rPr>
        <w:t>（</w:t>
      </w:r>
      <w:r>
        <w:rPr>
          <w:rFonts w:hint="eastAsia"/>
          <w:b/>
          <w:bCs/>
          <w:color w:val="auto"/>
          <w:sz w:val="24"/>
          <w:highlight w:val="none"/>
          <w:lang w:val="en-US" w:eastAsia="zh-CN"/>
        </w:rPr>
        <w:t>四</w:t>
      </w:r>
      <w:r>
        <w:rPr>
          <w:rFonts w:hint="eastAsia"/>
          <w:b/>
          <w:bCs/>
          <w:color w:val="auto"/>
          <w:sz w:val="24"/>
          <w:highlight w:val="none"/>
        </w:rPr>
        <w:t>）</w:t>
      </w:r>
      <w:r>
        <w:rPr>
          <w:b/>
          <w:bCs/>
          <w:color w:val="auto"/>
          <w:sz w:val="24"/>
          <w:highlight w:val="none"/>
        </w:rPr>
        <w:t>语言文字以及度量衡单位</w:t>
      </w:r>
    </w:p>
    <w:p w14:paraId="27C52DC2">
      <w:pPr>
        <w:snapToGrid w:val="0"/>
        <w:spacing w:line="360" w:lineRule="auto"/>
        <w:ind w:firstLine="480" w:firstLineChars="200"/>
        <w:rPr>
          <w:color w:val="auto"/>
          <w:sz w:val="24"/>
          <w:highlight w:val="none"/>
        </w:rPr>
      </w:pPr>
      <w:r>
        <w:rPr>
          <w:rFonts w:hint="eastAsia" w:asciiTheme="minorEastAsia" w:hAnsiTheme="minorEastAsia" w:eastAsiaTheme="minorEastAsia"/>
          <w:color w:val="auto"/>
          <w:sz w:val="24"/>
          <w:highlight w:val="none"/>
        </w:rPr>
        <w:t>1</w:t>
      </w:r>
      <w:r>
        <w:rPr>
          <w:rFonts w:hint="eastAsia"/>
          <w:color w:val="auto"/>
          <w:sz w:val="24"/>
          <w:highlight w:val="none"/>
        </w:rPr>
        <w:t>.磋商响应文件以及供应商与采购代理机构就有磋商事宜的所有来往函电，均应以中文汉语书写，除签字、盖章、专用名称等特殊情形外。磋商响应资料提供外文证书或者外国语视听资料的，应当附有中文译本，由翻译机构盖章或者翻译人员签名。</w:t>
      </w:r>
    </w:p>
    <w:p w14:paraId="1C570F9B">
      <w:pPr>
        <w:snapToGrid w:val="0"/>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2.所有计量均采用中国法定的计量单位。</w:t>
      </w:r>
    </w:p>
    <w:p w14:paraId="35108885">
      <w:pPr>
        <w:snapToGrid w:val="0"/>
        <w:spacing w:line="360" w:lineRule="auto"/>
        <w:ind w:firstLine="480" w:firstLineChars="200"/>
        <w:rPr>
          <w:color w:val="auto"/>
          <w:sz w:val="24"/>
          <w:highlight w:val="none"/>
        </w:rPr>
      </w:pPr>
      <w:r>
        <w:rPr>
          <w:rFonts w:hint="eastAsia" w:asciiTheme="minorEastAsia" w:hAnsiTheme="minorEastAsia" w:eastAsiaTheme="minorEastAsia"/>
          <w:color w:val="auto"/>
          <w:sz w:val="24"/>
          <w:highlight w:val="none"/>
        </w:rPr>
        <w:t>3.所有</w:t>
      </w:r>
      <w:r>
        <w:rPr>
          <w:color w:val="auto"/>
          <w:sz w:val="24"/>
          <w:highlight w:val="none"/>
        </w:rPr>
        <w:t>报价一律使用人民币，货币单位：元。</w:t>
      </w:r>
    </w:p>
    <w:p w14:paraId="76419E3C">
      <w:pPr>
        <w:pStyle w:val="36"/>
        <w:tabs>
          <w:tab w:val="left" w:pos="437"/>
        </w:tabs>
        <w:spacing w:line="360" w:lineRule="auto"/>
        <w:ind w:firstLine="482"/>
        <w:rPr>
          <w:b/>
          <w:bCs/>
          <w:color w:val="auto"/>
          <w:sz w:val="24"/>
          <w:szCs w:val="24"/>
          <w:highlight w:val="none"/>
        </w:rPr>
      </w:pPr>
      <w:r>
        <w:rPr>
          <w:rFonts w:hint="eastAsia"/>
          <w:b/>
          <w:bCs/>
          <w:color w:val="auto"/>
          <w:sz w:val="24"/>
          <w:szCs w:val="24"/>
          <w:highlight w:val="none"/>
        </w:rPr>
        <w:t>（</w:t>
      </w:r>
      <w:r>
        <w:rPr>
          <w:rFonts w:hint="eastAsia"/>
          <w:b/>
          <w:bCs/>
          <w:color w:val="auto"/>
          <w:sz w:val="24"/>
          <w:szCs w:val="24"/>
          <w:highlight w:val="none"/>
          <w:lang w:val="en-US" w:eastAsia="zh-CN"/>
        </w:rPr>
        <w:t>五</w:t>
      </w:r>
      <w:r>
        <w:rPr>
          <w:rFonts w:hint="eastAsia"/>
          <w:b/>
          <w:bCs/>
          <w:color w:val="auto"/>
          <w:sz w:val="24"/>
          <w:szCs w:val="24"/>
          <w:highlight w:val="none"/>
        </w:rPr>
        <w:t>）</w:t>
      </w:r>
      <w:r>
        <w:rPr>
          <w:b/>
          <w:bCs/>
          <w:color w:val="auto"/>
          <w:sz w:val="24"/>
          <w:szCs w:val="24"/>
          <w:highlight w:val="none"/>
        </w:rPr>
        <w:t>现场踏勘</w:t>
      </w:r>
    </w:p>
    <w:p w14:paraId="4EE6A980">
      <w:pPr>
        <w:snapToGrid w:val="0"/>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1.磋商文件规定组织踏勘现场的，采购人按磋商文件规定的时间、地点组织供应商踏勘项目现场。</w:t>
      </w:r>
    </w:p>
    <w:p w14:paraId="0D6B2420">
      <w:pPr>
        <w:snapToGrid w:val="0"/>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2.供应商自行承担踏勘现场发生的责任、风险和自身费用。</w:t>
      </w:r>
    </w:p>
    <w:p w14:paraId="4B05EBB1">
      <w:pPr>
        <w:snapToGrid w:val="0"/>
        <w:spacing w:line="360" w:lineRule="auto"/>
        <w:ind w:firstLine="480" w:firstLineChars="200"/>
        <w:rPr>
          <w:color w:val="auto"/>
          <w:sz w:val="24"/>
          <w:highlight w:val="none"/>
        </w:rPr>
      </w:pPr>
      <w:r>
        <w:rPr>
          <w:rFonts w:hint="eastAsia" w:asciiTheme="minorEastAsia" w:hAnsiTheme="minorEastAsia" w:eastAsiaTheme="minorEastAsia"/>
          <w:color w:val="auto"/>
          <w:sz w:val="24"/>
          <w:highlight w:val="none"/>
        </w:rPr>
        <w:t>3.采购人</w:t>
      </w:r>
      <w:r>
        <w:rPr>
          <w:color w:val="auto"/>
          <w:sz w:val="24"/>
          <w:highlight w:val="none"/>
        </w:rPr>
        <w:t>在踏勘现场中介绍的资料和数据等，不构成对</w:t>
      </w:r>
      <w:r>
        <w:rPr>
          <w:rFonts w:hint="eastAsia"/>
          <w:color w:val="auto"/>
          <w:sz w:val="24"/>
          <w:highlight w:val="none"/>
        </w:rPr>
        <w:t>磋商</w:t>
      </w:r>
      <w:r>
        <w:rPr>
          <w:color w:val="auto"/>
          <w:sz w:val="24"/>
          <w:highlight w:val="none"/>
        </w:rPr>
        <w:t>文件的修改或不作为</w:t>
      </w:r>
      <w:r>
        <w:rPr>
          <w:rFonts w:hint="eastAsia"/>
          <w:color w:val="auto"/>
          <w:sz w:val="24"/>
          <w:highlight w:val="none"/>
        </w:rPr>
        <w:t>供应商</w:t>
      </w:r>
      <w:r>
        <w:rPr>
          <w:color w:val="auto"/>
          <w:sz w:val="24"/>
          <w:highlight w:val="none"/>
        </w:rPr>
        <w:t>编制</w:t>
      </w:r>
      <w:r>
        <w:rPr>
          <w:rFonts w:hint="eastAsia"/>
          <w:color w:val="auto"/>
          <w:sz w:val="24"/>
          <w:highlight w:val="none"/>
        </w:rPr>
        <w:t>磋商响应</w:t>
      </w:r>
      <w:r>
        <w:rPr>
          <w:color w:val="auto"/>
          <w:sz w:val="24"/>
          <w:highlight w:val="none"/>
        </w:rPr>
        <w:t>文件的依据。</w:t>
      </w:r>
    </w:p>
    <w:p w14:paraId="614AD358">
      <w:pPr>
        <w:pStyle w:val="11"/>
        <w:snapToGrid w:val="0"/>
        <w:spacing w:line="360" w:lineRule="auto"/>
        <w:ind w:firstLine="482" w:firstLineChars="200"/>
        <w:rPr>
          <w:rFonts w:hAnsi="宋体"/>
          <w:b/>
          <w:color w:val="auto"/>
          <w:sz w:val="24"/>
          <w:highlight w:val="none"/>
        </w:rPr>
      </w:pPr>
      <w:r>
        <w:rPr>
          <w:rFonts w:hint="eastAsia" w:hAnsi="宋体"/>
          <w:b/>
          <w:color w:val="auto"/>
          <w:sz w:val="24"/>
          <w:highlight w:val="none"/>
        </w:rPr>
        <w:t>（</w:t>
      </w:r>
      <w:r>
        <w:rPr>
          <w:rFonts w:hint="eastAsia" w:hAnsi="宋体"/>
          <w:b/>
          <w:color w:val="auto"/>
          <w:sz w:val="24"/>
          <w:highlight w:val="none"/>
          <w:lang w:val="en-US" w:eastAsia="zh-CN"/>
        </w:rPr>
        <w:t>六</w:t>
      </w:r>
      <w:r>
        <w:rPr>
          <w:rFonts w:hint="eastAsia" w:hAnsi="宋体"/>
          <w:b/>
          <w:color w:val="auto"/>
          <w:sz w:val="24"/>
          <w:highlight w:val="none"/>
        </w:rPr>
        <w:t>）特别说明</w:t>
      </w:r>
    </w:p>
    <w:p w14:paraId="0DDDB515">
      <w:pPr>
        <w:pStyle w:val="11"/>
        <w:snapToGrid w:val="0"/>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1.供应商磋商</w:t>
      </w:r>
      <w:r>
        <w:rPr>
          <w:rFonts w:asciiTheme="minorEastAsia" w:hAnsiTheme="minorEastAsia" w:eastAsiaTheme="minorEastAsia"/>
          <w:color w:val="auto"/>
          <w:sz w:val="24"/>
          <w:highlight w:val="none"/>
        </w:rPr>
        <w:t>所使用的资格、信誉、荣誉、业绩与企业认证必须为本法人所拥有</w:t>
      </w:r>
      <w:r>
        <w:rPr>
          <w:rFonts w:hint="eastAsia" w:asciiTheme="minorEastAsia" w:hAnsiTheme="minorEastAsia" w:eastAsiaTheme="minorEastAsia"/>
          <w:color w:val="auto"/>
          <w:sz w:val="24"/>
          <w:highlight w:val="none"/>
        </w:rPr>
        <w:t>且所提供的资料都是真实有效的</w:t>
      </w:r>
      <w:r>
        <w:rPr>
          <w:rFonts w:asciiTheme="minorEastAsia" w:hAnsiTheme="minorEastAsia" w:eastAsiaTheme="minorEastAsia"/>
          <w:color w:val="auto"/>
          <w:sz w:val="24"/>
          <w:highlight w:val="none"/>
        </w:rPr>
        <w:t>。</w:t>
      </w:r>
      <w:r>
        <w:rPr>
          <w:rFonts w:hint="eastAsia" w:asciiTheme="minorEastAsia" w:hAnsiTheme="minorEastAsia" w:eastAsiaTheme="minorEastAsia"/>
          <w:color w:val="auto"/>
          <w:sz w:val="24"/>
          <w:highlight w:val="none"/>
        </w:rPr>
        <w:t>供应商磋商</w:t>
      </w:r>
      <w:r>
        <w:rPr>
          <w:rFonts w:asciiTheme="minorEastAsia" w:hAnsiTheme="minorEastAsia" w:eastAsiaTheme="minorEastAsia"/>
          <w:color w:val="auto"/>
          <w:sz w:val="24"/>
          <w:highlight w:val="none"/>
        </w:rPr>
        <w:t>所使用的采购项目实施人员必须为本法人员工。</w:t>
      </w:r>
      <w:r>
        <w:rPr>
          <w:rFonts w:hint="eastAsia" w:asciiTheme="minorEastAsia" w:hAnsiTheme="minorEastAsia" w:eastAsiaTheme="minorEastAsia"/>
          <w:color w:val="000000" w:themeColor="text1"/>
          <w:sz w:val="24"/>
          <w:highlight w:val="none"/>
          <w14:textFill>
            <w14:solidFill>
              <w14:schemeClr w14:val="tx1"/>
            </w14:solidFill>
          </w14:textFill>
        </w:rPr>
        <w:t>▲其中涉及资格条件的如非本法人所拥有，则投标无效。</w:t>
      </w:r>
    </w:p>
    <w:p w14:paraId="15DF53B8">
      <w:pPr>
        <w:pStyle w:val="36"/>
        <w:snapToGrid w:val="0"/>
        <w:spacing w:line="360" w:lineRule="auto"/>
        <w:ind w:firstLine="480"/>
        <w:rPr>
          <w:rFonts w:hint="eastAsia" w:ascii="宋体" w:hAnsi="宋体" w:cs="宋体"/>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Bidi"/>
          <w:color w:val="auto"/>
          <w:sz w:val="24"/>
          <w:highlight w:val="none"/>
        </w:rPr>
        <w:t>2.供应商所投产品除磋商文件中明确规定要求“提供官网截图或相应检测报告的证明材料”以外，所有技术参数描述均以响应文件为准。供应商对所投产品技术参数的真实性承担法律责任。项目磋商结束后、质疑期限内，如有质疑供应商认为成交供应商所投产品、响应文件技术参数与采购需求存在重大偏离、错误、甚至造假的情况，如采购文件中未明确规定要求“提供官网截图或相应检测报告的证明材料”的，应提供其他具体有效的证明材料。</w:t>
      </w:r>
      <w:r>
        <w:rPr>
          <w:rFonts w:hint="eastAsia" w:ascii="宋体" w:hAnsi="宋体" w:cs="宋体"/>
          <w:color w:val="000000" w:themeColor="text1"/>
          <w:sz w:val="24"/>
          <w:szCs w:val="24"/>
          <w:highlight w:val="none"/>
          <w14:textFill>
            <w14:solidFill>
              <w14:schemeClr w14:val="tx1"/>
            </w14:solidFill>
          </w14:textFill>
        </w:rPr>
        <w:tab/>
      </w:r>
    </w:p>
    <w:p w14:paraId="65172C76">
      <w:pPr>
        <w:pStyle w:val="36"/>
        <w:snapToGrid w:val="0"/>
        <w:spacing w:line="360" w:lineRule="auto"/>
        <w:ind w:firstLine="480"/>
        <w:rPr>
          <w:rFonts w:hint="eastAsia"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w:t>
      </w:r>
      <w:r>
        <w:rPr>
          <w:rFonts w:hint="eastAsia" w:ascii="宋体" w:hAnsi="宋体" w:cs="宋体"/>
          <w:color w:val="000000" w:themeColor="text1"/>
          <w:sz w:val="24"/>
          <w:szCs w:val="24"/>
          <w:highlight w:val="none"/>
          <w:lang w:val="en-US" w:eastAsia="zh-CN"/>
          <w14:textFill>
            <w14:solidFill>
              <w14:schemeClr w14:val="tx1"/>
            </w14:solidFill>
          </w14:textFill>
        </w:rPr>
        <w:t>3.</w:t>
      </w:r>
      <w:r>
        <w:rPr>
          <w:rFonts w:hint="eastAsia" w:ascii="宋体" w:hAnsi="宋体" w:cs="宋体"/>
          <w:color w:val="000000" w:themeColor="text1"/>
          <w:sz w:val="24"/>
          <w:szCs w:val="24"/>
          <w:highlight w:val="none"/>
          <w14:textFill>
            <w14:solidFill>
              <w14:schemeClr w14:val="tx1"/>
            </w14:solidFill>
          </w14:textFill>
        </w:rPr>
        <w:t>投标人在投标活动中提供任何虚假材料,其投标无效，并报监管部门查处；中标后发现的,根据《中华人民共和国政府采购法》第七十七条第一款第一项之规定，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14:paraId="338F3C15">
      <w:pPr>
        <w:pStyle w:val="36"/>
        <w:snapToGrid w:val="0"/>
        <w:spacing w:line="360" w:lineRule="auto"/>
        <w:ind w:firstLine="480"/>
        <w:rPr>
          <w:rFonts w:hint="eastAsia"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w:t>
      </w:r>
      <w:r>
        <w:rPr>
          <w:rFonts w:hint="eastAsia" w:ascii="宋体" w:hAnsi="宋体" w:cs="宋体"/>
          <w:color w:val="000000" w:themeColor="text1"/>
          <w:sz w:val="24"/>
          <w:szCs w:val="24"/>
          <w:highlight w:val="none"/>
          <w:lang w:val="en-US" w:eastAsia="zh-CN"/>
          <w14:textFill>
            <w14:solidFill>
              <w14:schemeClr w14:val="tx1"/>
            </w14:solidFill>
          </w14:textFill>
        </w:rPr>
        <w:t>4.</w:t>
      </w:r>
      <w:r>
        <w:rPr>
          <w:rFonts w:hint="eastAsia" w:ascii="宋体" w:hAnsi="宋体" w:cs="宋体"/>
          <w:color w:val="000000" w:themeColor="text1"/>
          <w:sz w:val="24"/>
          <w:szCs w:val="24"/>
          <w:highlight w:val="none"/>
          <w14:textFill>
            <w14:solidFill>
              <w14:schemeClr w14:val="tx1"/>
            </w14:solidFill>
          </w14:textFill>
        </w:rPr>
        <w:t>投标人不得相互串通投标报价，不得妨碍其他投标人的公平竞争，不得损害采购人或其他投标人的合法权益，投标人不得以向采购人、评标委员会成员行贿或者采取其他不正当手段谋取中标。</w:t>
      </w:r>
    </w:p>
    <w:p w14:paraId="747BCE62">
      <w:pPr>
        <w:pStyle w:val="36"/>
        <w:snapToGrid w:val="0"/>
        <w:spacing w:line="360" w:lineRule="auto"/>
        <w:ind w:firstLine="480"/>
        <w:rPr>
          <w:rFonts w:hint="eastAsia"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w:t>
      </w:r>
      <w:r>
        <w:rPr>
          <w:rFonts w:hint="eastAsia" w:ascii="宋体" w:hAnsi="宋体" w:cs="宋体"/>
          <w:color w:val="000000" w:themeColor="text1"/>
          <w:sz w:val="24"/>
          <w:szCs w:val="24"/>
          <w:highlight w:val="none"/>
          <w:lang w:val="en-US" w:eastAsia="zh-CN"/>
          <w14:textFill>
            <w14:solidFill>
              <w14:schemeClr w14:val="tx1"/>
            </w14:solidFill>
          </w14:textFill>
        </w:rPr>
        <w:t>5.</w:t>
      </w:r>
      <w:r>
        <w:rPr>
          <w:rFonts w:hint="eastAsia" w:ascii="宋体" w:hAnsi="宋体" w:cs="宋体"/>
          <w:color w:val="000000" w:themeColor="text1"/>
          <w:sz w:val="24"/>
          <w:szCs w:val="24"/>
          <w:highlight w:val="none"/>
          <w14:textFill>
            <w14:solidFill>
              <w14:schemeClr w14:val="tx1"/>
            </w14:solidFill>
          </w14:textFill>
        </w:rPr>
        <w:t>为采购项目提供整体设计、规范编制或者项目管理、监理、检测等服务的供应商，不得再参加该采购项目的其他采购活动。</w:t>
      </w:r>
    </w:p>
    <w:p w14:paraId="70AF5FDB">
      <w:pPr>
        <w:pStyle w:val="36"/>
        <w:snapToGrid w:val="0"/>
        <w:spacing w:line="360" w:lineRule="auto"/>
        <w:ind w:firstLine="480"/>
        <w:rPr>
          <w:rFonts w:hint="eastAsia"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6.</w:t>
      </w:r>
      <w:r>
        <w:rPr>
          <w:rFonts w:hint="eastAsia" w:ascii="宋体" w:hAnsi="宋体" w:cs="宋体"/>
          <w:color w:val="000000" w:themeColor="text1"/>
          <w:sz w:val="24"/>
          <w:szCs w:val="24"/>
          <w:highlight w:val="none"/>
          <w14:textFill>
            <w14:solidFill>
              <w14:schemeClr w14:val="tx1"/>
            </w14:solidFill>
          </w14:textFill>
        </w:rPr>
        <w:t>投标文件格式中的表格式样可以根据项目差别做适当调整,但应当保持表格样式基本形态不变。</w:t>
      </w:r>
    </w:p>
    <w:p w14:paraId="2071426E">
      <w:pPr>
        <w:pStyle w:val="36"/>
        <w:snapToGrid w:val="0"/>
        <w:spacing w:line="360" w:lineRule="auto"/>
        <w:ind w:firstLine="480"/>
        <w:rPr>
          <w:rFonts w:hint="eastAsia"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w:t>
      </w:r>
      <w:r>
        <w:rPr>
          <w:rFonts w:hint="eastAsia" w:ascii="宋体" w:hAnsi="宋体" w:cs="宋体"/>
          <w:color w:val="000000" w:themeColor="text1"/>
          <w:sz w:val="24"/>
          <w:szCs w:val="24"/>
          <w:highlight w:val="none"/>
          <w:lang w:val="en-US" w:eastAsia="zh-CN"/>
          <w14:textFill>
            <w14:solidFill>
              <w14:schemeClr w14:val="tx1"/>
            </w14:solidFill>
          </w14:textFill>
        </w:rPr>
        <w:t>7.</w:t>
      </w:r>
      <w:r>
        <w:rPr>
          <w:rFonts w:hint="eastAsia" w:ascii="宋体" w:hAnsi="宋体" w:cs="宋体"/>
          <w:color w:val="000000" w:themeColor="text1"/>
          <w:sz w:val="24"/>
          <w:szCs w:val="24"/>
          <w:highlight w:val="none"/>
          <w14:textFill>
            <w14:solidFill>
              <w14:schemeClr w14:val="tx1"/>
            </w14:solidFill>
          </w14:textFill>
        </w:rPr>
        <w:t>单位负责人为同一人或者存在直接控股、管理关系的不同供应商，不得参加同一合同项下的政府采购活动。电子交易平台运营机构，以及与该机构有直接控股或者管理关系可能影响采购公正性的任何单位和个人，不得在该平台进行的政府采购项目电子交易中投标、响应和代理政府采购项目</w:t>
      </w:r>
    </w:p>
    <w:p w14:paraId="153A6F45">
      <w:pPr>
        <w:pStyle w:val="36"/>
        <w:snapToGrid w:val="0"/>
        <w:spacing w:line="360" w:lineRule="auto"/>
        <w:ind w:firstLine="480"/>
        <w:rPr>
          <w:rFonts w:hint="eastAsia"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w:t>
      </w:r>
      <w:r>
        <w:rPr>
          <w:rFonts w:hint="eastAsia" w:ascii="宋体" w:hAnsi="宋体" w:cs="宋体"/>
          <w:color w:val="000000" w:themeColor="text1"/>
          <w:sz w:val="24"/>
          <w:szCs w:val="24"/>
          <w:highlight w:val="none"/>
          <w:lang w:val="en-US" w:eastAsia="zh-CN"/>
          <w14:textFill>
            <w14:solidFill>
              <w14:schemeClr w14:val="tx1"/>
            </w14:solidFill>
          </w14:textFill>
        </w:rPr>
        <w:t>8.</w:t>
      </w:r>
      <w:r>
        <w:rPr>
          <w:rFonts w:hint="eastAsia" w:ascii="宋体" w:hAnsi="宋体" w:cs="宋体"/>
          <w:color w:val="000000" w:themeColor="text1"/>
          <w:sz w:val="24"/>
          <w:szCs w:val="24"/>
          <w:highlight w:val="none"/>
          <w14:textFill>
            <w14:solidFill>
              <w14:schemeClr w14:val="tx1"/>
            </w14:solidFill>
          </w14:textFill>
        </w:rPr>
        <w:t>本项目不允许分包、转让。</w:t>
      </w:r>
    </w:p>
    <w:p w14:paraId="71AC08A1">
      <w:pPr>
        <w:pStyle w:val="36"/>
        <w:snapToGrid w:val="0"/>
        <w:spacing w:line="360" w:lineRule="auto"/>
        <w:ind w:firstLine="480"/>
        <w:rPr>
          <w:rFonts w:hint="eastAsia"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w:t>
      </w:r>
      <w:r>
        <w:rPr>
          <w:rFonts w:hint="eastAsia" w:ascii="宋体" w:hAnsi="宋体" w:cs="宋体"/>
          <w:color w:val="000000" w:themeColor="text1"/>
          <w:sz w:val="24"/>
          <w:szCs w:val="24"/>
          <w:highlight w:val="none"/>
          <w:lang w:val="en-US" w:eastAsia="zh-CN"/>
          <w14:textFill>
            <w14:solidFill>
              <w14:schemeClr w14:val="tx1"/>
            </w14:solidFill>
          </w14:textFill>
        </w:rPr>
        <w:t>9.</w:t>
      </w:r>
      <w:r>
        <w:rPr>
          <w:rFonts w:hint="eastAsia" w:ascii="宋体" w:hAnsi="宋体" w:cs="宋体"/>
          <w:color w:val="000000" w:themeColor="text1"/>
          <w:sz w:val="24"/>
          <w:szCs w:val="24"/>
          <w:highlight w:val="none"/>
          <w14:textFill>
            <w14:solidFill>
              <w14:schemeClr w14:val="tx1"/>
            </w14:solidFill>
          </w14:textFill>
        </w:rPr>
        <w:t>供应商在参与政府采购活动中所签署的一切文件，包括但不限于签到表、《政府采购活动现场确认声明书》等文件，特别是有关利害关系应如实填写、如实披露，供应商授权参与政府采购的人员视为应当知道与采购人、代理机构、其他供应商之间的利害关系。如未如实披露，则视为提供虚假材料，由供应商承担不利后果。</w:t>
      </w:r>
    </w:p>
    <w:p w14:paraId="2224E9EE">
      <w:pPr>
        <w:pStyle w:val="36"/>
        <w:snapToGrid w:val="0"/>
        <w:spacing w:line="360" w:lineRule="auto"/>
        <w:ind w:firstLine="480"/>
        <w:rPr>
          <w:rFonts w:asciiTheme="minorEastAsia" w:hAnsiTheme="minorEastAsia" w:eastAsiaTheme="minorEastAsia" w:cstheme="minorBidi"/>
          <w:color w:val="auto"/>
          <w:sz w:val="24"/>
          <w:highlight w:val="none"/>
        </w:rPr>
      </w:pPr>
    </w:p>
    <w:p w14:paraId="723C0686">
      <w:pPr>
        <w:tabs>
          <w:tab w:val="left" w:pos="720"/>
          <w:tab w:val="left" w:pos="1260"/>
          <w:tab w:val="left" w:pos="2160"/>
          <w:tab w:val="left" w:pos="2880"/>
          <w:tab w:val="left" w:pos="3600"/>
          <w:tab w:val="left" w:pos="4320"/>
          <w:tab w:val="left" w:pos="5040"/>
          <w:tab w:val="left" w:pos="5760"/>
        </w:tabs>
        <w:autoSpaceDE w:val="0"/>
        <w:autoSpaceDN w:val="0"/>
        <w:adjustRightInd w:val="0"/>
        <w:spacing w:line="360" w:lineRule="auto"/>
        <w:ind w:firstLine="482" w:firstLineChars="200"/>
        <w:rPr>
          <w:rFonts w:asciiTheme="minorEastAsia" w:hAnsiTheme="minorEastAsia" w:eastAsiaTheme="minorEastAsia"/>
          <w:b/>
          <w:color w:val="auto"/>
          <w:kern w:val="0"/>
          <w:sz w:val="24"/>
          <w:highlight w:val="none"/>
        </w:rPr>
      </w:pPr>
      <w:r>
        <w:rPr>
          <w:rFonts w:hint="eastAsia" w:asciiTheme="minorEastAsia" w:hAnsiTheme="minorEastAsia" w:eastAsiaTheme="minorEastAsia"/>
          <w:b/>
          <w:color w:val="auto"/>
          <w:kern w:val="0"/>
          <w:sz w:val="24"/>
          <w:highlight w:val="none"/>
        </w:rPr>
        <w:t>二、磋商文件</w:t>
      </w:r>
    </w:p>
    <w:p w14:paraId="56147A30">
      <w:pPr>
        <w:pStyle w:val="36"/>
        <w:snapToGrid w:val="0"/>
        <w:spacing w:line="360" w:lineRule="auto"/>
        <w:ind w:firstLine="48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（一）磋商文件由磋商文件总目录所列内容组成。</w:t>
      </w:r>
    </w:p>
    <w:p w14:paraId="4695B27F">
      <w:pPr>
        <w:pStyle w:val="36"/>
        <w:snapToGrid w:val="0"/>
        <w:spacing w:line="360" w:lineRule="auto"/>
        <w:ind w:firstLine="48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（二）供应商在规定的时间内未对磋商文件提出疑问、质疑或要求澄清的，将视其为无异议。</w:t>
      </w:r>
    </w:p>
    <w:p w14:paraId="543A27AB">
      <w:pPr>
        <w:pStyle w:val="36"/>
        <w:snapToGrid w:val="0"/>
        <w:spacing w:line="360" w:lineRule="auto"/>
        <w:ind w:firstLine="48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（三）对磋商文件中描述有歧义或前后不一致的地方，磋商小组有权进行评判，但对同一条款的评判应适用于每个供应商。</w:t>
      </w:r>
    </w:p>
    <w:p w14:paraId="5DD2408A">
      <w:pPr>
        <w:pStyle w:val="36"/>
        <w:snapToGrid w:val="0"/>
        <w:spacing w:line="360" w:lineRule="auto"/>
        <w:ind w:firstLine="480"/>
        <w:rPr>
          <w:rFonts w:asciiTheme="minorEastAsia" w:hAnsiTheme="minorEastAsia" w:eastAsiaTheme="minorEastAsia"/>
          <w:color w:val="auto"/>
          <w:kern w:val="0"/>
          <w:sz w:val="24"/>
          <w:highlight w:val="none"/>
        </w:rPr>
      </w:pPr>
      <w:r>
        <w:rPr>
          <w:rFonts w:hint="eastAsia" w:asciiTheme="minorEastAsia" w:hAnsiTheme="minorEastAsia" w:eastAsiaTheme="minorEastAsia" w:cstheme="minorBidi"/>
          <w:color w:val="auto"/>
          <w:sz w:val="24"/>
          <w:highlight w:val="none"/>
        </w:rPr>
        <w:t>（四）采购组织机构对磋商文件进行必要的澄清更正的，澄清或者修改的内容可能影响磋商文件编制的，于磋商截止时间的5日前在浙江省政府采购网上以更正公告的形式通知各潜在的供应商。不足5日的，采购人或者采购组织机构应当顺延提交响应文件的截止时间。</w:t>
      </w:r>
    </w:p>
    <w:p w14:paraId="47FF69E5">
      <w:pPr>
        <w:tabs>
          <w:tab w:val="left" w:pos="1418"/>
        </w:tabs>
        <w:autoSpaceDE w:val="0"/>
        <w:autoSpaceDN w:val="0"/>
        <w:adjustRightInd w:val="0"/>
        <w:spacing w:line="360" w:lineRule="auto"/>
        <w:ind w:firstLine="482" w:firstLineChars="200"/>
        <w:rPr>
          <w:rFonts w:asciiTheme="minorEastAsia" w:hAnsiTheme="minorEastAsia" w:eastAsiaTheme="minorEastAsia"/>
          <w:b/>
          <w:color w:val="auto"/>
          <w:kern w:val="0"/>
          <w:sz w:val="24"/>
          <w:highlight w:val="none"/>
        </w:rPr>
      </w:pPr>
      <w:r>
        <w:rPr>
          <w:rFonts w:hint="eastAsia" w:asciiTheme="minorEastAsia" w:hAnsiTheme="minorEastAsia" w:eastAsiaTheme="minorEastAsia"/>
          <w:b/>
          <w:color w:val="auto"/>
          <w:kern w:val="0"/>
          <w:sz w:val="24"/>
          <w:highlight w:val="none"/>
        </w:rPr>
        <w:t>三、响应文件</w:t>
      </w:r>
    </w:p>
    <w:p w14:paraId="4F3141CE">
      <w:pPr>
        <w:pStyle w:val="6"/>
        <w:spacing w:line="360" w:lineRule="auto"/>
        <w:ind w:firstLine="482" w:firstLineChars="200"/>
        <w:rPr>
          <w:rFonts w:asciiTheme="minorEastAsia" w:hAnsiTheme="minorEastAsia" w:eastAsiaTheme="minorEastAsia"/>
          <w:b/>
          <w:color w:val="auto"/>
          <w:kern w:val="0"/>
          <w:sz w:val="24"/>
          <w:highlight w:val="none"/>
        </w:rPr>
      </w:pPr>
      <w:r>
        <w:rPr>
          <w:rFonts w:hint="eastAsia" w:asciiTheme="minorEastAsia" w:hAnsiTheme="minorEastAsia" w:eastAsiaTheme="minorEastAsia"/>
          <w:b/>
          <w:color w:val="auto"/>
          <w:kern w:val="0"/>
          <w:sz w:val="24"/>
          <w:highlight w:val="none"/>
        </w:rPr>
        <w:t>（一）响应文件的编制</w:t>
      </w:r>
    </w:p>
    <w:p w14:paraId="71144C9D">
      <w:pPr>
        <w:pStyle w:val="6"/>
        <w:spacing w:line="360" w:lineRule="auto"/>
        <w:ind w:firstLine="480" w:firstLineChars="200"/>
        <w:rPr>
          <w:rFonts w:asciiTheme="minorEastAsia" w:hAnsiTheme="minorEastAsia" w:eastAsiaTheme="minorEastAsia"/>
          <w:bCs/>
          <w:color w:val="auto"/>
          <w:kern w:val="0"/>
          <w:sz w:val="24"/>
          <w:highlight w:val="none"/>
        </w:rPr>
      </w:pPr>
      <w:r>
        <w:rPr>
          <w:rFonts w:hint="eastAsia" w:asciiTheme="minorEastAsia" w:hAnsiTheme="minorEastAsia" w:eastAsiaTheme="minorEastAsia"/>
          <w:color w:val="auto"/>
          <w:kern w:val="0"/>
          <w:sz w:val="24"/>
          <w:highlight w:val="none"/>
        </w:rPr>
        <w:t>供应商接到磋商文件后，按照采购组织机构的要求提供：磋商响应文件</w:t>
      </w:r>
      <w:r>
        <w:rPr>
          <w:rFonts w:hint="eastAsia" w:asciiTheme="minorEastAsia" w:hAnsiTheme="minorEastAsia" w:eastAsiaTheme="minorEastAsia"/>
          <w:color w:val="auto"/>
          <w:kern w:val="0"/>
          <w:sz w:val="24"/>
          <w:highlight w:val="none"/>
          <w:lang w:val="zh-CN"/>
        </w:rPr>
        <w:t>。【特别提示：如在磋商响应时有要求提供资料原件的，将原件扫描放入投标文件。】</w:t>
      </w:r>
      <w:r>
        <w:rPr>
          <w:rFonts w:hint="eastAsia" w:asciiTheme="minorEastAsia" w:hAnsiTheme="minorEastAsia" w:eastAsiaTheme="minorEastAsia"/>
          <w:bCs/>
          <w:color w:val="auto"/>
          <w:kern w:val="0"/>
          <w:sz w:val="24"/>
          <w:highlight w:val="none"/>
        </w:rPr>
        <w:t>本磋商文件中若有多标项的，若参与多标项投标的，则按每个标项分别独立编制磋商响应文件。</w:t>
      </w:r>
    </w:p>
    <w:p w14:paraId="5DF2F628">
      <w:pPr>
        <w:keepNext w:val="0"/>
        <w:keepLines w:val="0"/>
        <w:pageBreakBefore w:val="0"/>
        <w:kinsoku/>
        <w:wordWrap/>
        <w:overflowPunct/>
        <w:topLinePunct w:val="0"/>
        <w:bidi w:val="0"/>
        <w:snapToGrid w:val="0"/>
        <w:spacing w:line="360" w:lineRule="auto"/>
        <w:ind w:firstLine="482" w:firstLineChars="200"/>
        <w:textAlignment w:val="auto"/>
        <w:rPr>
          <w:rFonts w:ascii="宋体" w:hAnsi="宋体"/>
          <w:color w:val="auto"/>
          <w:kern w:val="0"/>
          <w:sz w:val="24"/>
          <w:highlight w:val="none"/>
        </w:rPr>
      </w:pPr>
      <w:r>
        <w:rPr>
          <w:rFonts w:hint="eastAsia" w:ascii="宋体" w:hAnsi="宋体" w:cs="宋体"/>
          <w:b/>
          <w:color w:val="auto"/>
          <w:sz w:val="24"/>
          <w:highlight w:val="none"/>
        </w:rPr>
        <w:t>▲</w:t>
      </w:r>
      <w:r>
        <w:rPr>
          <w:rFonts w:hint="eastAsia" w:ascii="宋体" w:hAnsi="宋体"/>
          <w:b/>
          <w:color w:val="auto"/>
          <w:sz w:val="24"/>
          <w:highlight w:val="none"/>
        </w:rPr>
        <w:t>1、资格证明内容的组成：</w:t>
      </w:r>
    </w:p>
    <w:p w14:paraId="5B0FCA2D">
      <w:pPr>
        <w:pStyle w:val="19"/>
        <w:ind w:left="0" w:leftChars="0" w:firstLine="470"/>
        <w:rPr>
          <w:rStyle w:val="29"/>
          <w:b w:val="0"/>
          <w:color w:val="auto"/>
          <w:highlight w:val="none"/>
          <w:u w:val="none"/>
        </w:rPr>
      </w:pPr>
      <w:r>
        <w:rPr>
          <w:rStyle w:val="29"/>
          <w:rFonts w:hint="eastAsia"/>
          <w:b w:val="0"/>
          <w:color w:val="auto"/>
          <w:highlight w:val="none"/>
          <w:u w:val="none"/>
        </w:rPr>
        <w:t>（1）磋商声明书（附件1）；</w:t>
      </w:r>
    </w:p>
    <w:p w14:paraId="6531C7E2">
      <w:pPr>
        <w:snapToGrid w:val="0"/>
        <w:spacing w:line="360" w:lineRule="auto"/>
        <w:ind w:firstLine="480" w:firstLineChars="200"/>
        <w:rPr>
          <w:rFonts w:hint="eastAsia" w:ascii="宋体" w:hAnsi="宋体"/>
          <w:bCs/>
          <w:color w:val="auto"/>
          <w:sz w:val="24"/>
          <w:highlight w:val="none"/>
          <w:lang w:val="en-US" w:eastAsia="zh-CN"/>
        </w:rPr>
      </w:pPr>
      <w:r>
        <w:rPr>
          <w:rFonts w:hint="eastAsia" w:ascii="宋体" w:hAnsi="宋体"/>
          <w:bCs/>
          <w:color w:val="auto"/>
          <w:sz w:val="24"/>
          <w:highlight w:val="none"/>
          <w:lang w:val="en-US" w:eastAsia="zh-CN"/>
        </w:rPr>
        <w:t>（2）授权委托书（法定代表人亲自办理投标事宜的，则无需提交；附件2）；</w:t>
      </w:r>
    </w:p>
    <w:p w14:paraId="18BC7E1D">
      <w:pPr>
        <w:snapToGrid w:val="0"/>
        <w:spacing w:line="360" w:lineRule="auto"/>
        <w:ind w:firstLine="480" w:firstLineChars="200"/>
        <w:rPr>
          <w:rFonts w:hint="eastAsia" w:ascii="宋体" w:hAnsi="宋体"/>
          <w:bCs/>
          <w:color w:val="auto"/>
          <w:sz w:val="24"/>
          <w:highlight w:val="none"/>
          <w:lang w:val="en-US" w:eastAsia="zh-CN"/>
        </w:rPr>
      </w:pPr>
      <w:r>
        <w:rPr>
          <w:rFonts w:hint="eastAsia" w:ascii="宋体" w:hAnsi="宋体"/>
          <w:bCs/>
          <w:color w:val="auto"/>
          <w:sz w:val="24"/>
          <w:highlight w:val="none"/>
          <w:lang w:val="en-US" w:eastAsia="zh-CN"/>
        </w:rPr>
        <w:t>（3）法人或者其他组织的营业执照等证明文件，自然人的身份证明；</w:t>
      </w:r>
    </w:p>
    <w:p w14:paraId="3CE86AB0">
      <w:pPr>
        <w:snapToGrid w:val="0"/>
        <w:spacing w:line="360" w:lineRule="auto"/>
        <w:ind w:firstLine="480" w:firstLineChars="200"/>
        <w:rPr>
          <w:rFonts w:hint="eastAsia" w:ascii="宋体" w:hAnsi="宋体"/>
          <w:bCs/>
          <w:color w:val="auto"/>
          <w:sz w:val="24"/>
          <w:highlight w:val="none"/>
          <w:lang w:val="en-US" w:eastAsia="zh-CN"/>
        </w:rPr>
      </w:pPr>
      <w:r>
        <w:rPr>
          <w:rFonts w:hint="eastAsia" w:ascii="宋体" w:hAnsi="宋体"/>
          <w:bCs/>
          <w:color w:val="auto"/>
          <w:sz w:val="24"/>
          <w:highlight w:val="none"/>
          <w:lang w:val="en-US" w:eastAsia="zh-CN"/>
        </w:rPr>
        <w:t>（4）具有依法缴纳税收和社会保障资金证明的承诺函（附件3）；</w:t>
      </w:r>
    </w:p>
    <w:p w14:paraId="2E92FEE3">
      <w:pPr>
        <w:snapToGrid w:val="0"/>
        <w:spacing w:line="360" w:lineRule="auto"/>
        <w:ind w:firstLine="480" w:firstLineChars="200"/>
        <w:rPr>
          <w:rFonts w:hint="eastAsia" w:ascii="宋体" w:hAnsi="宋体"/>
          <w:bCs/>
          <w:color w:val="auto"/>
          <w:sz w:val="24"/>
          <w:highlight w:val="none"/>
          <w:lang w:val="en-US" w:eastAsia="zh-CN"/>
        </w:rPr>
      </w:pPr>
      <w:r>
        <w:rPr>
          <w:rFonts w:hint="eastAsia" w:ascii="宋体" w:hAnsi="宋体"/>
          <w:bCs/>
          <w:color w:val="auto"/>
          <w:sz w:val="24"/>
          <w:highlight w:val="none"/>
          <w:lang w:val="en-US" w:eastAsia="zh-CN"/>
        </w:rPr>
        <w:t>（5）具有良好的商业信誉和健全的财务会计制度的承诺函（附件4）；</w:t>
      </w:r>
    </w:p>
    <w:p w14:paraId="3F91ADB0">
      <w:pPr>
        <w:snapToGrid w:val="0"/>
        <w:spacing w:line="360" w:lineRule="auto"/>
        <w:ind w:firstLine="480" w:firstLineChars="200"/>
        <w:rPr>
          <w:rFonts w:hint="eastAsia" w:ascii="宋体" w:hAnsi="宋体"/>
          <w:bCs/>
          <w:color w:val="auto"/>
          <w:sz w:val="24"/>
          <w:highlight w:val="none"/>
          <w:lang w:val="en-US" w:eastAsia="zh-CN"/>
        </w:rPr>
      </w:pPr>
      <w:r>
        <w:rPr>
          <w:rFonts w:hint="eastAsia" w:ascii="宋体" w:hAnsi="宋体"/>
          <w:bCs/>
          <w:color w:val="auto"/>
          <w:sz w:val="24"/>
          <w:highlight w:val="none"/>
          <w:lang w:val="en-US" w:eastAsia="zh-CN"/>
        </w:rPr>
        <w:t>（6）</w:t>
      </w:r>
      <w:r>
        <w:rPr>
          <w:rFonts w:hint="eastAsia" w:ascii="宋体" w:hAnsi="宋体"/>
          <w:kern w:val="0"/>
          <w:sz w:val="24"/>
          <w:highlight w:val="none"/>
        </w:rPr>
        <w:t>投标人没有失信记录承诺函</w:t>
      </w:r>
      <w:r>
        <w:rPr>
          <w:rFonts w:hint="eastAsia" w:ascii="宋体" w:hAnsi="宋体"/>
          <w:bCs/>
          <w:color w:val="auto"/>
          <w:sz w:val="24"/>
          <w:highlight w:val="none"/>
          <w:lang w:val="en-US" w:eastAsia="zh-CN"/>
        </w:rPr>
        <w:t>（附件5）；</w:t>
      </w:r>
    </w:p>
    <w:p w14:paraId="287771AF">
      <w:pPr>
        <w:snapToGrid w:val="0"/>
        <w:spacing w:line="360" w:lineRule="auto"/>
        <w:ind w:firstLine="480" w:firstLineChars="200"/>
        <w:rPr>
          <w:rFonts w:hint="eastAsia" w:ascii="宋体" w:hAnsi="宋体"/>
          <w:bCs/>
          <w:color w:val="auto"/>
          <w:sz w:val="24"/>
          <w:highlight w:val="none"/>
          <w:lang w:val="en-US" w:eastAsia="zh-CN"/>
        </w:rPr>
      </w:pPr>
      <w:r>
        <w:rPr>
          <w:rFonts w:hint="eastAsia" w:ascii="宋体" w:hAnsi="宋体"/>
          <w:bCs/>
          <w:color w:val="auto"/>
          <w:sz w:val="24"/>
          <w:highlight w:val="none"/>
          <w:lang w:val="en-US" w:eastAsia="zh-CN"/>
        </w:rPr>
        <w:t>（7）</w:t>
      </w:r>
      <w:r>
        <w:rPr>
          <w:rFonts w:hint="eastAsia" w:ascii="宋体" w:hAnsi="宋体"/>
          <w:kern w:val="0"/>
          <w:sz w:val="24"/>
          <w:highlight w:val="none"/>
        </w:rPr>
        <w:t>提供采购公告中符合供应商特定资格条件的有效资质证书（供应商特定条件中有要求的必须提供）</w:t>
      </w:r>
    </w:p>
    <w:p w14:paraId="3565BEFF">
      <w:pPr>
        <w:snapToGrid w:val="0"/>
        <w:spacing w:line="360" w:lineRule="auto"/>
        <w:ind w:firstLine="480" w:firstLineChars="200"/>
        <w:rPr>
          <w:rFonts w:hint="eastAsia" w:ascii="宋体" w:hAnsi="宋体"/>
          <w:bCs/>
          <w:color w:val="auto"/>
          <w:sz w:val="24"/>
          <w:highlight w:val="none"/>
          <w:lang w:val="en-US" w:eastAsia="zh-CN"/>
        </w:rPr>
      </w:pPr>
      <w:r>
        <w:rPr>
          <w:rFonts w:hint="eastAsia" w:ascii="宋体" w:hAnsi="宋体"/>
          <w:bCs/>
          <w:color w:val="auto"/>
          <w:sz w:val="24"/>
          <w:highlight w:val="none"/>
          <w:lang w:val="en-US" w:eastAsia="zh-CN"/>
        </w:rPr>
        <w:t>（8）</w:t>
      </w:r>
      <w:r>
        <w:rPr>
          <w:rFonts w:hint="eastAsia" w:ascii="宋体" w:hAnsi="宋体" w:cs="宋体"/>
          <w:color w:val="auto"/>
          <w:kern w:val="0"/>
          <w:sz w:val="24"/>
          <w:highlight w:val="none"/>
        </w:rPr>
        <w:t>中小企业等声明函或</w:t>
      </w:r>
      <w:r>
        <w:rPr>
          <w:rFonts w:hint="eastAsia" w:ascii="宋体" w:hAnsi="宋体" w:cs="宋体"/>
          <w:color w:val="auto"/>
          <w:kern w:val="0"/>
          <w:sz w:val="24"/>
          <w:highlight w:val="none"/>
          <w:lang w:val="en-GB"/>
        </w:rPr>
        <w:t>残疾人福利性单位声明函</w:t>
      </w:r>
      <w:r>
        <w:rPr>
          <w:rFonts w:hint="eastAsia" w:ascii="宋体" w:hAnsi="宋体" w:cs="宋体"/>
          <w:color w:val="auto"/>
          <w:kern w:val="0"/>
          <w:sz w:val="24"/>
          <w:highlight w:val="none"/>
        </w:rPr>
        <w:t>（</w:t>
      </w:r>
      <w:r>
        <w:rPr>
          <w:rFonts w:hint="eastAsia" w:ascii="宋体" w:hAnsi="宋体"/>
          <w:color w:val="auto"/>
          <w:kern w:val="0"/>
          <w:sz w:val="24"/>
          <w:highlight w:val="none"/>
        </w:rPr>
        <w:t>附件</w:t>
      </w:r>
      <w:r>
        <w:rPr>
          <w:rFonts w:hint="eastAsia" w:ascii="宋体" w:hAnsi="宋体"/>
          <w:color w:val="auto"/>
          <w:kern w:val="0"/>
          <w:sz w:val="24"/>
          <w:highlight w:val="none"/>
          <w:lang w:val="en-US" w:eastAsia="zh-CN"/>
        </w:rPr>
        <w:t>11</w:t>
      </w:r>
      <w:r>
        <w:rPr>
          <w:rFonts w:hint="eastAsia" w:ascii="宋体" w:hAnsi="宋体" w:eastAsia="宋体" w:cs="宋体"/>
          <w:color w:val="auto"/>
          <w:kern w:val="0"/>
          <w:sz w:val="24"/>
          <w:highlight w:val="none"/>
        </w:rPr>
        <w:t>）</w:t>
      </w:r>
    </w:p>
    <w:p w14:paraId="4C3F8E8E">
      <w:pPr>
        <w:snapToGrid w:val="0"/>
        <w:spacing w:line="360" w:lineRule="auto"/>
        <w:ind w:firstLine="480" w:firstLineChars="200"/>
        <w:rPr>
          <w:rFonts w:hint="default" w:eastAsia="宋体"/>
          <w:color w:val="auto"/>
          <w:highlight w:val="none"/>
          <w:lang w:val="en-US" w:eastAsia="zh-CN"/>
        </w:rPr>
      </w:pPr>
      <w:r>
        <w:rPr>
          <w:rFonts w:hint="eastAsia" w:ascii="宋体" w:hAnsi="宋体"/>
          <w:bCs/>
          <w:color w:val="auto"/>
          <w:sz w:val="24"/>
          <w:highlight w:val="none"/>
          <w:lang w:val="en-US" w:eastAsia="zh-CN"/>
        </w:rPr>
        <w:t>（9）需要说明的其他资料（如有）。</w:t>
      </w:r>
    </w:p>
    <w:p w14:paraId="4B3F7BB3">
      <w:pPr>
        <w:snapToGrid w:val="0"/>
        <w:spacing w:line="360" w:lineRule="auto"/>
        <w:ind w:firstLine="482" w:firstLineChars="200"/>
        <w:rPr>
          <w:rFonts w:ascii="宋体" w:hAnsi="宋体" w:cs="宋体"/>
          <w:color w:val="auto"/>
          <w:sz w:val="24"/>
          <w:highlight w:val="none"/>
          <w:u w:val="single"/>
        </w:rPr>
      </w:pPr>
      <w:r>
        <w:rPr>
          <w:rFonts w:hint="eastAsia" w:ascii="宋体" w:hAnsi="宋体"/>
          <w:b/>
          <w:color w:val="auto"/>
          <w:sz w:val="24"/>
          <w:highlight w:val="none"/>
        </w:rPr>
        <w:t>2、商务与技术内容的组成：</w:t>
      </w:r>
    </w:p>
    <w:p w14:paraId="5B55B6DC">
      <w:pPr>
        <w:snapToGrid w:val="0"/>
        <w:spacing w:line="360" w:lineRule="auto"/>
        <w:ind w:firstLine="480" w:firstLineChars="200"/>
        <w:rPr>
          <w:rFonts w:hint="eastAsia" w:ascii="宋体" w:hAnsi="宋体" w:eastAsia="宋体" w:cs="Times New Roman"/>
          <w:bCs/>
          <w:color w:val="auto"/>
          <w:sz w:val="24"/>
          <w:highlight w:val="none"/>
        </w:rPr>
      </w:pPr>
      <w:r>
        <w:rPr>
          <w:rFonts w:hint="eastAsia" w:ascii="宋体" w:hAnsi="宋体" w:eastAsia="宋体" w:cs="Times New Roman"/>
          <w:bCs/>
          <w:color w:val="auto"/>
          <w:sz w:val="24"/>
          <w:highlight w:val="none"/>
        </w:rPr>
        <w:t>（1）项目组人员一览表（人员配备及提供的证书材料须满足第四章项目需求“人员配备要求”，附件</w:t>
      </w:r>
      <w:r>
        <w:rPr>
          <w:rFonts w:hint="eastAsia" w:ascii="宋体" w:hAnsi="宋体" w:eastAsia="宋体" w:cs="Times New Roman"/>
          <w:bCs/>
          <w:color w:val="auto"/>
          <w:sz w:val="24"/>
          <w:highlight w:val="none"/>
          <w:lang w:val="en-US" w:eastAsia="zh-CN"/>
        </w:rPr>
        <w:t>6</w:t>
      </w:r>
      <w:r>
        <w:rPr>
          <w:rFonts w:hint="eastAsia" w:ascii="宋体" w:hAnsi="宋体" w:eastAsia="宋体" w:cs="Times New Roman"/>
          <w:bCs/>
          <w:color w:val="auto"/>
          <w:sz w:val="24"/>
          <w:highlight w:val="none"/>
        </w:rPr>
        <w:t>）；</w:t>
      </w:r>
    </w:p>
    <w:p w14:paraId="5700BC27">
      <w:pPr>
        <w:snapToGrid w:val="0"/>
        <w:spacing w:line="360" w:lineRule="auto"/>
        <w:ind w:firstLine="480" w:firstLineChars="200"/>
        <w:rPr>
          <w:rFonts w:hint="eastAsia" w:ascii="宋体" w:hAnsi="宋体" w:eastAsia="宋体" w:cs="Times New Roman"/>
          <w:bCs/>
          <w:color w:val="auto"/>
          <w:sz w:val="24"/>
          <w:highlight w:val="none"/>
        </w:rPr>
      </w:pPr>
      <w:r>
        <w:rPr>
          <w:rFonts w:hint="eastAsia" w:ascii="宋体" w:hAnsi="宋体" w:eastAsia="宋体" w:cs="Times New Roman"/>
          <w:bCs/>
          <w:color w:val="auto"/>
          <w:sz w:val="24"/>
          <w:highlight w:val="none"/>
        </w:rPr>
        <w:t>（2）项目负责人简历表（附件</w:t>
      </w:r>
      <w:r>
        <w:rPr>
          <w:rFonts w:hint="eastAsia" w:ascii="宋体" w:hAnsi="宋体" w:eastAsia="宋体" w:cs="Times New Roman"/>
          <w:bCs/>
          <w:color w:val="auto"/>
          <w:sz w:val="24"/>
          <w:highlight w:val="none"/>
          <w:lang w:val="en-US" w:eastAsia="zh-CN"/>
        </w:rPr>
        <w:t>7</w:t>
      </w:r>
      <w:r>
        <w:rPr>
          <w:rFonts w:hint="eastAsia" w:ascii="宋体" w:hAnsi="宋体" w:eastAsia="宋体" w:cs="Times New Roman"/>
          <w:bCs/>
          <w:color w:val="auto"/>
          <w:sz w:val="24"/>
          <w:highlight w:val="none"/>
        </w:rPr>
        <w:t>）</w:t>
      </w:r>
    </w:p>
    <w:p w14:paraId="77C74127">
      <w:pPr>
        <w:snapToGrid w:val="0"/>
        <w:spacing w:line="360" w:lineRule="auto"/>
        <w:ind w:firstLine="480" w:firstLineChars="200"/>
        <w:rPr>
          <w:rFonts w:hint="eastAsia" w:ascii="宋体" w:hAnsi="宋体" w:eastAsia="宋体" w:cs="Times New Roman"/>
          <w:bCs/>
          <w:color w:val="auto"/>
          <w:sz w:val="24"/>
          <w:highlight w:val="none"/>
        </w:rPr>
      </w:pPr>
      <w:r>
        <w:rPr>
          <w:rFonts w:hint="eastAsia" w:ascii="宋体" w:hAnsi="宋体" w:eastAsia="宋体" w:cs="Times New Roman"/>
          <w:bCs/>
          <w:color w:val="auto"/>
          <w:sz w:val="24"/>
          <w:highlight w:val="none"/>
        </w:rPr>
        <w:t>（</w:t>
      </w:r>
      <w:r>
        <w:rPr>
          <w:rFonts w:hint="eastAsia" w:ascii="宋体" w:hAnsi="宋体" w:eastAsia="宋体" w:cs="Times New Roman"/>
          <w:bCs/>
          <w:color w:val="auto"/>
          <w:sz w:val="24"/>
          <w:highlight w:val="none"/>
          <w:lang w:val="en-US" w:eastAsia="zh-CN"/>
        </w:rPr>
        <w:t>3</w:t>
      </w:r>
      <w:r>
        <w:rPr>
          <w:rFonts w:hint="eastAsia" w:ascii="宋体" w:hAnsi="宋体" w:eastAsia="宋体" w:cs="Times New Roman"/>
          <w:bCs/>
          <w:color w:val="auto"/>
          <w:sz w:val="24"/>
          <w:highlight w:val="none"/>
        </w:rPr>
        <w:t>）作业机械、设备一览表（附件</w:t>
      </w:r>
      <w:r>
        <w:rPr>
          <w:rFonts w:hint="eastAsia" w:ascii="宋体" w:hAnsi="宋体" w:eastAsia="宋体" w:cs="Times New Roman"/>
          <w:bCs/>
          <w:color w:val="auto"/>
          <w:sz w:val="24"/>
          <w:highlight w:val="none"/>
          <w:lang w:val="en-US" w:eastAsia="zh-CN"/>
        </w:rPr>
        <w:t>8</w:t>
      </w:r>
      <w:r>
        <w:rPr>
          <w:rFonts w:hint="eastAsia" w:ascii="宋体" w:hAnsi="宋体" w:eastAsia="宋体" w:cs="Times New Roman"/>
          <w:bCs/>
          <w:color w:val="auto"/>
          <w:sz w:val="24"/>
          <w:highlight w:val="none"/>
        </w:rPr>
        <w:t>）；</w:t>
      </w:r>
    </w:p>
    <w:p w14:paraId="5CC1F03D">
      <w:pPr>
        <w:snapToGrid w:val="0"/>
        <w:spacing w:line="360" w:lineRule="auto"/>
        <w:ind w:firstLine="480" w:firstLineChars="200"/>
        <w:rPr>
          <w:rFonts w:hint="eastAsia" w:ascii="宋体" w:hAnsi="宋体" w:eastAsia="宋体" w:cs="Times New Roman"/>
          <w:bCs/>
          <w:color w:val="auto"/>
          <w:sz w:val="24"/>
          <w:highlight w:val="none"/>
        </w:rPr>
      </w:pPr>
      <w:r>
        <w:rPr>
          <w:rFonts w:hint="eastAsia" w:ascii="宋体" w:hAnsi="宋体" w:eastAsia="宋体" w:cs="Times New Roman"/>
          <w:bCs/>
          <w:color w:val="auto"/>
          <w:sz w:val="24"/>
          <w:highlight w:val="none"/>
        </w:rPr>
        <w:t>（</w:t>
      </w:r>
      <w:r>
        <w:rPr>
          <w:rFonts w:hint="eastAsia" w:ascii="宋体" w:hAnsi="宋体" w:eastAsia="宋体" w:cs="Times New Roman"/>
          <w:bCs/>
          <w:color w:val="auto"/>
          <w:sz w:val="24"/>
          <w:highlight w:val="none"/>
          <w:lang w:val="en-US" w:eastAsia="zh-CN"/>
        </w:rPr>
        <w:t>4</w:t>
      </w:r>
      <w:r>
        <w:rPr>
          <w:rFonts w:hint="eastAsia" w:ascii="宋体" w:hAnsi="宋体" w:eastAsia="宋体" w:cs="Times New Roman"/>
          <w:bCs/>
          <w:color w:val="auto"/>
          <w:sz w:val="24"/>
          <w:highlight w:val="none"/>
        </w:rPr>
        <w:t>）类似项目实施情况一览表（如有，需提供合同</w:t>
      </w:r>
      <w:r>
        <w:rPr>
          <w:rFonts w:hint="eastAsia" w:ascii="宋体" w:hAnsi="宋体" w:eastAsia="宋体" w:cs="Times New Roman"/>
          <w:bCs/>
          <w:color w:val="auto"/>
          <w:sz w:val="24"/>
          <w:highlight w:val="none"/>
          <w:lang w:val="en-US" w:eastAsia="zh-CN"/>
        </w:rPr>
        <w:t>扫描</w:t>
      </w:r>
      <w:r>
        <w:rPr>
          <w:rFonts w:hint="eastAsia" w:ascii="宋体" w:hAnsi="宋体" w:eastAsia="宋体" w:cs="Times New Roman"/>
          <w:bCs/>
          <w:color w:val="auto"/>
          <w:sz w:val="24"/>
          <w:highlight w:val="none"/>
        </w:rPr>
        <w:t>件；附件</w:t>
      </w:r>
      <w:r>
        <w:rPr>
          <w:rFonts w:hint="eastAsia" w:ascii="宋体" w:hAnsi="宋体" w:eastAsia="宋体" w:cs="Times New Roman"/>
          <w:bCs/>
          <w:color w:val="auto"/>
          <w:sz w:val="24"/>
          <w:highlight w:val="none"/>
          <w:lang w:val="en-US" w:eastAsia="zh-CN"/>
        </w:rPr>
        <w:t>9</w:t>
      </w:r>
      <w:r>
        <w:rPr>
          <w:rFonts w:hint="eastAsia" w:ascii="宋体" w:hAnsi="宋体" w:eastAsia="宋体" w:cs="Times New Roman"/>
          <w:bCs/>
          <w:color w:val="auto"/>
          <w:sz w:val="24"/>
          <w:highlight w:val="none"/>
        </w:rPr>
        <w:t>）；</w:t>
      </w:r>
    </w:p>
    <w:p w14:paraId="3C92E1DA">
      <w:pPr>
        <w:snapToGrid w:val="0"/>
        <w:spacing w:line="360" w:lineRule="auto"/>
        <w:ind w:firstLine="480" w:firstLineChars="200"/>
        <w:rPr>
          <w:rFonts w:hint="eastAsia" w:ascii="宋体" w:hAnsi="宋体" w:eastAsia="宋体" w:cs="Times New Roman"/>
          <w:bCs/>
          <w:color w:val="auto"/>
          <w:sz w:val="24"/>
          <w:highlight w:val="none"/>
        </w:rPr>
      </w:pPr>
      <w:r>
        <w:rPr>
          <w:rFonts w:hint="eastAsia" w:ascii="宋体" w:hAnsi="宋体" w:eastAsia="宋体" w:cs="Times New Roman"/>
          <w:bCs/>
          <w:color w:val="auto"/>
          <w:sz w:val="24"/>
          <w:highlight w:val="none"/>
          <w:lang w:eastAsia="zh-CN"/>
        </w:rPr>
        <w:t>（</w:t>
      </w:r>
      <w:r>
        <w:rPr>
          <w:rFonts w:hint="eastAsia" w:ascii="宋体" w:hAnsi="宋体" w:eastAsia="宋体" w:cs="Times New Roman"/>
          <w:bCs/>
          <w:color w:val="auto"/>
          <w:sz w:val="24"/>
          <w:highlight w:val="none"/>
          <w:lang w:val="en-US" w:eastAsia="zh-CN"/>
        </w:rPr>
        <w:t>5</w:t>
      </w:r>
      <w:r>
        <w:rPr>
          <w:rFonts w:hint="eastAsia" w:ascii="宋体" w:hAnsi="宋体" w:eastAsia="宋体" w:cs="Times New Roman"/>
          <w:bCs/>
          <w:color w:val="auto"/>
          <w:sz w:val="24"/>
          <w:highlight w:val="none"/>
          <w:lang w:eastAsia="zh-CN"/>
        </w:rPr>
        <w:t>）</w:t>
      </w:r>
      <w:r>
        <w:rPr>
          <w:rFonts w:hint="eastAsia" w:ascii="宋体" w:hAnsi="宋体" w:eastAsia="宋体" w:cs="Times New Roman"/>
          <w:bCs/>
          <w:color w:val="auto"/>
          <w:sz w:val="24"/>
          <w:highlight w:val="none"/>
        </w:rPr>
        <w:t>符合招标文件规定的其他证明文件及评分标准中涉及的其他材料。</w:t>
      </w:r>
    </w:p>
    <w:p w14:paraId="2DC47B38">
      <w:pPr>
        <w:autoSpaceDE w:val="0"/>
        <w:autoSpaceDN w:val="0"/>
        <w:adjustRightInd w:val="0"/>
        <w:spacing w:line="360" w:lineRule="auto"/>
        <w:ind w:left="426" w:firstLine="65" w:firstLineChars="27"/>
        <w:rPr>
          <w:rFonts w:asciiTheme="minorEastAsia" w:hAnsiTheme="minorEastAsia" w:eastAsiaTheme="minorEastAsia"/>
          <w:b/>
          <w:color w:val="auto"/>
          <w:kern w:val="0"/>
          <w:sz w:val="24"/>
          <w:highlight w:val="none"/>
        </w:rPr>
      </w:pPr>
      <w:r>
        <w:rPr>
          <w:rFonts w:hint="eastAsia" w:asciiTheme="minorEastAsia" w:hAnsiTheme="minorEastAsia" w:eastAsiaTheme="minorEastAsia"/>
          <w:b/>
          <w:color w:val="auto"/>
          <w:kern w:val="0"/>
          <w:sz w:val="24"/>
          <w:highlight w:val="none"/>
        </w:rPr>
        <w:t>3、报价内容的组成</w:t>
      </w:r>
    </w:p>
    <w:p w14:paraId="2D73611B">
      <w:pPr>
        <w:autoSpaceDE w:val="0"/>
        <w:autoSpaceDN w:val="0"/>
        <w:adjustRightInd w:val="0"/>
        <w:spacing w:line="360" w:lineRule="auto"/>
        <w:ind w:firstLine="480" w:firstLineChars="200"/>
        <w:rPr>
          <w:rFonts w:asciiTheme="minorEastAsia" w:hAnsiTheme="minorEastAsia" w:eastAsiaTheme="minorEastAsia"/>
          <w:color w:val="auto"/>
          <w:kern w:val="0"/>
          <w:sz w:val="24"/>
          <w:highlight w:val="none"/>
        </w:rPr>
      </w:pPr>
      <w:r>
        <w:rPr>
          <w:rFonts w:hint="eastAsia" w:asciiTheme="minorEastAsia" w:hAnsiTheme="minorEastAsia" w:eastAsiaTheme="minorEastAsia"/>
          <w:color w:val="auto"/>
          <w:kern w:val="0"/>
          <w:sz w:val="24"/>
          <w:highlight w:val="none"/>
        </w:rPr>
        <w:t>（1）首次磋商一览表（附件1</w:t>
      </w:r>
      <w:r>
        <w:rPr>
          <w:rFonts w:hint="eastAsia" w:asciiTheme="minorEastAsia" w:hAnsiTheme="minorEastAsia" w:eastAsiaTheme="minorEastAsia"/>
          <w:color w:val="auto"/>
          <w:kern w:val="0"/>
          <w:sz w:val="24"/>
          <w:highlight w:val="none"/>
          <w:lang w:val="en-US" w:eastAsia="zh-CN"/>
        </w:rPr>
        <w:t>0</w:t>
      </w:r>
      <w:r>
        <w:rPr>
          <w:rFonts w:hint="eastAsia" w:asciiTheme="minorEastAsia" w:hAnsiTheme="minorEastAsia" w:eastAsiaTheme="minorEastAsia"/>
          <w:color w:val="auto"/>
          <w:kern w:val="0"/>
          <w:sz w:val="24"/>
          <w:highlight w:val="none"/>
        </w:rPr>
        <w:t>）；</w:t>
      </w:r>
    </w:p>
    <w:p w14:paraId="6FB8A3DC">
      <w:pPr>
        <w:snapToGrid w:val="0"/>
        <w:spacing w:line="360" w:lineRule="auto"/>
        <w:ind w:firstLine="480" w:firstLineChars="200"/>
        <w:rPr>
          <w:rFonts w:ascii="宋体" w:hAnsi="宋体"/>
          <w:color w:val="auto"/>
          <w:kern w:val="0"/>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w:t>
      </w:r>
      <w:r>
        <w:rPr>
          <w:rFonts w:hint="eastAsia" w:ascii="宋体" w:hAnsi="宋体"/>
          <w:color w:val="auto"/>
          <w:kern w:val="0"/>
          <w:sz w:val="24"/>
          <w:highlight w:val="none"/>
        </w:rPr>
        <w:t>针对报价供应商认为其他需要说明的</w:t>
      </w: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lang w:val="en-US" w:eastAsia="zh-CN"/>
        </w:rPr>
        <w:t>如有</w:t>
      </w:r>
      <w:r>
        <w:rPr>
          <w:rFonts w:hint="eastAsia" w:ascii="宋体" w:hAnsi="宋体" w:eastAsia="宋体" w:cs="宋体"/>
          <w:color w:val="auto"/>
          <w:kern w:val="0"/>
          <w:sz w:val="24"/>
          <w:highlight w:val="none"/>
          <w:lang w:eastAsia="zh-CN"/>
        </w:rPr>
        <w:t>）</w:t>
      </w:r>
      <w:r>
        <w:rPr>
          <w:rFonts w:hint="eastAsia" w:ascii="宋体" w:hAnsi="宋体"/>
          <w:color w:val="auto"/>
          <w:kern w:val="0"/>
          <w:sz w:val="24"/>
          <w:highlight w:val="none"/>
        </w:rPr>
        <w:t>。</w:t>
      </w:r>
    </w:p>
    <w:p w14:paraId="07B61C8E">
      <w:pPr>
        <w:pStyle w:val="6"/>
        <w:spacing w:line="360" w:lineRule="auto"/>
        <w:ind w:firstLine="482" w:firstLineChars="200"/>
        <w:rPr>
          <w:rFonts w:asciiTheme="minorEastAsia" w:hAnsiTheme="minorEastAsia" w:eastAsiaTheme="minorEastAsia"/>
          <w:b/>
          <w:color w:val="auto"/>
          <w:kern w:val="0"/>
          <w:sz w:val="24"/>
          <w:highlight w:val="none"/>
        </w:rPr>
      </w:pPr>
      <w:r>
        <w:rPr>
          <w:rFonts w:hint="eastAsia" w:asciiTheme="minorEastAsia" w:hAnsiTheme="minorEastAsia" w:eastAsiaTheme="minorEastAsia"/>
          <w:b/>
          <w:color w:val="auto"/>
          <w:kern w:val="0"/>
          <w:sz w:val="24"/>
          <w:highlight w:val="none"/>
        </w:rPr>
        <w:t>（二）报价</w:t>
      </w:r>
    </w:p>
    <w:p w14:paraId="4D2B1743">
      <w:pPr>
        <w:pStyle w:val="6"/>
        <w:spacing w:line="360" w:lineRule="auto"/>
        <w:ind w:firstLine="480" w:firstLineChars="200"/>
        <w:rPr>
          <w:rFonts w:asciiTheme="minorEastAsia" w:hAnsiTheme="minorEastAsia" w:eastAsiaTheme="minorEastAsia"/>
          <w:bCs/>
          <w:color w:val="auto"/>
          <w:kern w:val="0"/>
          <w:sz w:val="24"/>
          <w:highlight w:val="none"/>
        </w:rPr>
      </w:pPr>
      <w:r>
        <w:rPr>
          <w:rFonts w:hint="eastAsia" w:asciiTheme="minorEastAsia" w:hAnsiTheme="minorEastAsia" w:eastAsiaTheme="minorEastAsia"/>
          <w:bCs/>
          <w:color w:val="auto"/>
          <w:kern w:val="0"/>
          <w:sz w:val="24"/>
          <w:highlight w:val="none"/>
        </w:rPr>
        <w:t>1.供应商应按照采购需求内容、责任范围以及合同条款进行报价。并按“首次磋商一览表”规定的格式报出总价和分项价格。总价中不得包含磋商文件要求以外的内容，否则，在评审时不予核减。</w:t>
      </w:r>
    </w:p>
    <w:p w14:paraId="47F835D8">
      <w:pPr>
        <w:pStyle w:val="6"/>
        <w:spacing w:line="360" w:lineRule="auto"/>
        <w:ind w:firstLine="480" w:firstLineChars="200"/>
        <w:rPr>
          <w:rFonts w:ascii="宋体" w:hAnsi="宋体"/>
          <w:bCs/>
          <w:color w:val="auto"/>
          <w:kern w:val="0"/>
          <w:sz w:val="24"/>
          <w:highlight w:val="none"/>
        </w:rPr>
      </w:pPr>
      <w:r>
        <w:rPr>
          <w:rFonts w:hint="eastAsia" w:asciiTheme="minorEastAsia" w:hAnsiTheme="minorEastAsia" w:eastAsiaTheme="minorEastAsia"/>
          <w:bCs/>
          <w:color w:val="auto"/>
          <w:kern w:val="0"/>
          <w:sz w:val="24"/>
          <w:highlight w:val="none"/>
        </w:rPr>
        <w:t>2.磋商报价</w:t>
      </w:r>
      <w:r>
        <w:rPr>
          <w:rFonts w:hint="eastAsia" w:ascii="宋体" w:hAnsi="宋体"/>
          <w:bCs/>
          <w:color w:val="auto"/>
          <w:kern w:val="0"/>
          <w:sz w:val="24"/>
          <w:highlight w:val="none"/>
          <w:lang w:val="zh-CN"/>
        </w:rPr>
        <w:t>应是</w:t>
      </w:r>
      <w:r>
        <w:rPr>
          <w:rFonts w:hint="eastAsia" w:ascii="宋体" w:hAnsi="宋体"/>
          <w:bCs/>
          <w:color w:val="auto"/>
          <w:kern w:val="0"/>
          <w:sz w:val="24"/>
          <w:highlight w:val="none"/>
          <w:lang w:val="en-US" w:eastAsia="zh-CN"/>
        </w:rPr>
        <w:t>竞争性磋商文件</w:t>
      </w:r>
      <w:r>
        <w:rPr>
          <w:rFonts w:hint="eastAsia" w:ascii="宋体" w:hAnsi="宋体"/>
          <w:bCs/>
          <w:color w:val="auto"/>
          <w:kern w:val="0"/>
          <w:sz w:val="24"/>
          <w:highlight w:val="none"/>
          <w:lang w:val="zh-CN"/>
        </w:rPr>
        <w:t>所确定的招标范围内全部工作内容的价格表现。包括但不限于完成项目内容所需的一切人工费、材料费、机械费、措施费、管理费、规费、利润、税金、施工安全生产责任保险等政策性文件规定及合同明示或暗示的所有风险、责任、义务等各项应有的费用，具体内容详见具体详见招标人提供的工程量清单及编制说明。各投标人应根据招标人提供的全套施工图纸、工程量清单，以及本工程实际情况和自身的综合实力，竞报投标报价。</w:t>
      </w:r>
      <w:r>
        <w:rPr>
          <w:rFonts w:hint="eastAsia" w:ascii="宋体" w:hAnsi="宋体"/>
          <w:bCs/>
          <w:color w:val="auto"/>
          <w:kern w:val="0"/>
          <w:sz w:val="24"/>
          <w:highlight w:val="none"/>
          <w:lang w:val="en-US" w:eastAsia="zh-CN"/>
        </w:rPr>
        <w:t>投标总报价超过最高限价的做无效投标处理。</w:t>
      </w:r>
      <w:r>
        <w:rPr>
          <w:rFonts w:hint="eastAsia" w:ascii="宋体" w:hAnsi="宋体"/>
          <w:bCs/>
          <w:color w:val="auto"/>
          <w:kern w:val="0"/>
          <w:sz w:val="24"/>
          <w:highlight w:val="none"/>
        </w:rPr>
        <w:t>各供应商应根据招标人提供的招标需求和技术资料等内容，以及本工程实际情况和自身的综合实力，竞报投标报价。总报价以人民币元计。知识产权等由供应商在投标报价时综合考虑，以后不作任何调整。</w:t>
      </w:r>
    </w:p>
    <w:p w14:paraId="437B1CC2">
      <w:pPr>
        <w:pStyle w:val="6"/>
        <w:spacing w:line="360" w:lineRule="auto"/>
        <w:ind w:firstLine="480" w:firstLineChars="200"/>
        <w:rPr>
          <w:rFonts w:asciiTheme="minorEastAsia" w:hAnsiTheme="minorEastAsia" w:eastAsiaTheme="minorEastAsia"/>
          <w:bCs/>
          <w:color w:val="auto"/>
          <w:kern w:val="0"/>
          <w:sz w:val="24"/>
          <w:highlight w:val="none"/>
        </w:rPr>
      </w:pPr>
      <w:r>
        <w:rPr>
          <w:rFonts w:hint="eastAsia" w:asciiTheme="minorEastAsia" w:hAnsiTheme="minorEastAsia" w:eastAsiaTheme="minorEastAsia"/>
          <w:bCs/>
          <w:color w:val="auto"/>
          <w:kern w:val="0"/>
          <w:sz w:val="24"/>
          <w:highlight w:val="none"/>
          <w:lang w:val="en-US" w:eastAsia="zh-CN"/>
        </w:rPr>
        <w:t>▲</w:t>
      </w:r>
      <w:r>
        <w:rPr>
          <w:rFonts w:hint="eastAsia" w:asciiTheme="minorEastAsia" w:hAnsiTheme="minorEastAsia" w:eastAsiaTheme="minorEastAsia"/>
          <w:bCs/>
          <w:color w:val="auto"/>
          <w:kern w:val="0"/>
          <w:sz w:val="24"/>
          <w:highlight w:val="none"/>
        </w:rPr>
        <w:t>3.投标报价不得为选择性报价和附有条件的报价。</w:t>
      </w:r>
    </w:p>
    <w:p w14:paraId="3FE6166A">
      <w:pPr>
        <w:pStyle w:val="6"/>
        <w:spacing w:line="360" w:lineRule="auto"/>
        <w:ind w:firstLine="480" w:firstLineChars="200"/>
        <w:rPr>
          <w:rFonts w:hint="eastAsia" w:eastAsia="宋体" w:asciiTheme="minorEastAsia" w:hAnsiTheme="minorEastAsia"/>
          <w:bCs/>
          <w:color w:val="000000" w:themeColor="text1"/>
          <w:kern w:val="0"/>
          <w:sz w:val="24"/>
          <w:highlight w:val="none"/>
          <w:lang w:eastAsia="zh-CN"/>
          <w14:textFill>
            <w14:solidFill>
              <w14:schemeClr w14:val="tx1"/>
            </w14:solidFill>
          </w14:textFill>
        </w:rPr>
      </w:pPr>
      <w:r>
        <w:rPr>
          <w:rFonts w:hint="eastAsia" w:asciiTheme="minorEastAsia" w:hAnsiTheme="minorEastAsia" w:eastAsiaTheme="minorEastAsia"/>
          <w:bCs/>
          <w:color w:val="auto"/>
          <w:kern w:val="0"/>
          <w:sz w:val="24"/>
          <w:highlight w:val="none"/>
          <w:lang w:val="en-US" w:eastAsia="zh-CN"/>
        </w:rPr>
        <w:t>▲</w:t>
      </w:r>
      <w:r>
        <w:rPr>
          <w:rFonts w:hint="eastAsia" w:asciiTheme="minorEastAsia" w:hAnsiTheme="minorEastAsia" w:eastAsiaTheme="minorEastAsia"/>
          <w:bCs/>
          <w:color w:val="auto"/>
          <w:kern w:val="0"/>
          <w:sz w:val="24"/>
          <w:highlight w:val="none"/>
        </w:rPr>
        <w:t>4.</w:t>
      </w:r>
      <w:r>
        <w:rPr>
          <w:rFonts w:hint="eastAsia" w:ascii="宋体" w:hAnsi="宋体" w:cs="宋体"/>
          <w:color w:val="auto"/>
          <w:sz w:val="24"/>
          <w:highlight w:val="none"/>
        </w:rPr>
        <w:t>投标文件只允许有一个报价，有选择的或有条件的报价将不予接受</w:t>
      </w:r>
      <w:r>
        <w:rPr>
          <w:rFonts w:hint="eastAsia" w:ascii="宋体" w:hAnsi="宋体" w:cs="宋体"/>
          <w:color w:val="auto"/>
          <w:sz w:val="24"/>
          <w:highlight w:val="none"/>
          <w:lang w:eastAsia="zh-CN"/>
        </w:rPr>
        <w:t>。</w:t>
      </w:r>
    </w:p>
    <w:p w14:paraId="7E9622DF">
      <w:pPr>
        <w:pStyle w:val="6"/>
        <w:spacing w:line="360" w:lineRule="auto"/>
        <w:ind w:firstLine="482" w:firstLineChars="200"/>
        <w:rPr>
          <w:rFonts w:asciiTheme="minorEastAsia" w:hAnsiTheme="minorEastAsia" w:eastAsiaTheme="minorEastAsia"/>
          <w:b/>
          <w:color w:val="auto"/>
          <w:kern w:val="0"/>
          <w:sz w:val="24"/>
          <w:highlight w:val="none"/>
        </w:rPr>
      </w:pPr>
      <w:r>
        <w:rPr>
          <w:rFonts w:hint="eastAsia" w:asciiTheme="minorEastAsia" w:hAnsiTheme="minorEastAsia" w:eastAsiaTheme="minorEastAsia"/>
          <w:b/>
          <w:color w:val="auto"/>
          <w:kern w:val="0"/>
          <w:sz w:val="24"/>
          <w:highlight w:val="none"/>
        </w:rPr>
        <w:t>（三）响应文件的有效期</w:t>
      </w:r>
    </w:p>
    <w:p w14:paraId="465E109D">
      <w:pPr>
        <w:pStyle w:val="6"/>
        <w:spacing w:line="360" w:lineRule="auto"/>
        <w:ind w:firstLine="480" w:firstLineChars="200"/>
        <w:rPr>
          <w:rFonts w:ascii="宋体" w:hAnsi="宋体"/>
          <w:color w:val="auto"/>
          <w:sz w:val="24"/>
          <w:highlight w:val="none"/>
          <w:lang w:val="en-GB"/>
        </w:rPr>
      </w:pPr>
      <w:r>
        <w:rPr>
          <w:rFonts w:hint="eastAsia" w:asciiTheme="minorEastAsia" w:hAnsiTheme="minorEastAsia" w:eastAsiaTheme="minorEastAsia"/>
          <w:bCs/>
          <w:color w:val="auto"/>
          <w:kern w:val="0"/>
          <w:sz w:val="24"/>
          <w:highlight w:val="none"/>
          <w:lang w:val="en-US" w:eastAsia="zh-CN"/>
        </w:rPr>
        <w:t>▲</w:t>
      </w:r>
      <w:r>
        <w:rPr>
          <w:rFonts w:hint="eastAsia" w:ascii="宋体" w:hAnsi="宋体"/>
          <w:color w:val="auto"/>
          <w:sz w:val="24"/>
          <w:highlight w:val="none"/>
        </w:rPr>
        <w:t>1.响应文件有效期为磋商</w:t>
      </w:r>
      <w:r>
        <w:rPr>
          <w:rFonts w:hint="eastAsia" w:ascii="宋体" w:hAnsi="宋体"/>
          <w:color w:val="auto"/>
          <w:sz w:val="24"/>
          <w:highlight w:val="none"/>
          <w:lang w:val="en-GB"/>
        </w:rPr>
        <w:t>截止日起90天。</w:t>
      </w:r>
    </w:p>
    <w:p w14:paraId="69B40B06">
      <w:pPr>
        <w:pStyle w:val="6"/>
        <w:spacing w:line="360" w:lineRule="auto"/>
        <w:ind w:firstLine="480" w:firstLineChars="200"/>
        <w:rPr>
          <w:rFonts w:ascii="宋体" w:hAnsi="宋体"/>
          <w:color w:val="auto"/>
          <w:sz w:val="24"/>
          <w:highlight w:val="none"/>
          <w:lang w:val="en-GB"/>
        </w:rPr>
      </w:pPr>
      <w:r>
        <w:rPr>
          <w:rFonts w:hint="eastAsia" w:ascii="宋体" w:hAnsi="宋体"/>
          <w:color w:val="auto"/>
          <w:sz w:val="24"/>
          <w:highlight w:val="none"/>
        </w:rPr>
        <w:t>2.</w:t>
      </w:r>
      <w:r>
        <w:rPr>
          <w:rFonts w:hint="eastAsia" w:ascii="宋体" w:hAnsi="宋体"/>
          <w:color w:val="auto"/>
          <w:sz w:val="24"/>
          <w:highlight w:val="none"/>
          <w:lang w:val="en-GB"/>
        </w:rPr>
        <w:t>在特殊情况下，采购人可与</w:t>
      </w:r>
      <w:r>
        <w:rPr>
          <w:rFonts w:hint="eastAsia" w:ascii="宋体" w:hAnsi="宋体"/>
          <w:color w:val="auto"/>
          <w:sz w:val="24"/>
          <w:highlight w:val="none"/>
        </w:rPr>
        <w:t>供应商</w:t>
      </w:r>
      <w:r>
        <w:rPr>
          <w:rFonts w:hint="eastAsia" w:ascii="宋体" w:hAnsi="宋体"/>
          <w:color w:val="auto"/>
          <w:sz w:val="24"/>
          <w:highlight w:val="none"/>
          <w:lang w:val="en-GB"/>
        </w:rPr>
        <w:t>协商延长</w:t>
      </w:r>
      <w:r>
        <w:rPr>
          <w:rFonts w:hint="eastAsia" w:ascii="宋体" w:hAnsi="宋体"/>
          <w:color w:val="auto"/>
          <w:sz w:val="24"/>
          <w:highlight w:val="none"/>
        </w:rPr>
        <w:t>响应</w:t>
      </w:r>
      <w:r>
        <w:rPr>
          <w:rFonts w:hint="eastAsia" w:ascii="宋体" w:hAnsi="宋体"/>
          <w:color w:val="auto"/>
          <w:sz w:val="24"/>
          <w:highlight w:val="none"/>
          <w:lang w:val="en-GB"/>
        </w:rPr>
        <w:t>文件的有效期，这种要求和答复均以书面形式进行。</w:t>
      </w:r>
    </w:p>
    <w:p w14:paraId="16802AAE">
      <w:pPr>
        <w:snapToGrid w:val="0"/>
        <w:spacing w:line="360" w:lineRule="auto"/>
        <w:ind w:firstLine="480" w:firstLineChars="200"/>
        <w:outlineLvl w:val="0"/>
        <w:rPr>
          <w:rFonts w:asciiTheme="minorEastAsia" w:hAnsiTheme="minorEastAsia" w:eastAsiaTheme="minorEastAsia"/>
          <w:color w:val="auto"/>
          <w:sz w:val="24"/>
          <w:highlight w:val="none"/>
        </w:rPr>
      </w:pPr>
      <w:bookmarkStart w:id="31" w:name="_Toc8754"/>
      <w:r>
        <w:rPr>
          <w:rFonts w:hint="eastAsia" w:asciiTheme="minorEastAsia" w:hAnsiTheme="minorEastAsia" w:eastAsiaTheme="minorEastAsia"/>
          <w:bCs/>
          <w:color w:val="auto"/>
          <w:kern w:val="0"/>
          <w:sz w:val="24"/>
          <w:highlight w:val="none"/>
          <w:lang w:val="en-US" w:eastAsia="zh-CN"/>
        </w:rPr>
        <w:t>▲</w:t>
      </w:r>
      <w:r>
        <w:rPr>
          <w:rFonts w:hint="eastAsia" w:ascii="宋体" w:hAnsi="宋体"/>
          <w:color w:val="auto"/>
          <w:sz w:val="24"/>
          <w:highlight w:val="none"/>
        </w:rPr>
        <w:t>3.成交供应商</w:t>
      </w:r>
      <w:r>
        <w:rPr>
          <w:rFonts w:asciiTheme="minorEastAsia" w:hAnsiTheme="minorEastAsia" w:eastAsiaTheme="minorEastAsia"/>
          <w:color w:val="auto"/>
          <w:sz w:val="24"/>
          <w:highlight w:val="none"/>
        </w:rPr>
        <w:t>的</w:t>
      </w:r>
      <w:r>
        <w:rPr>
          <w:rFonts w:hint="eastAsia" w:asciiTheme="minorEastAsia" w:hAnsiTheme="minorEastAsia" w:eastAsiaTheme="minorEastAsia"/>
          <w:color w:val="auto"/>
          <w:sz w:val="24"/>
          <w:highlight w:val="none"/>
        </w:rPr>
        <w:t>磋商响应文件</w:t>
      </w:r>
      <w:r>
        <w:rPr>
          <w:rFonts w:asciiTheme="minorEastAsia" w:hAnsiTheme="minorEastAsia" w:eastAsiaTheme="minorEastAsia"/>
          <w:color w:val="auto"/>
          <w:sz w:val="24"/>
          <w:highlight w:val="none"/>
        </w:rPr>
        <w:t>自开标之日起至合同履行完毕均应保持有效。</w:t>
      </w:r>
      <w:bookmarkEnd w:id="31"/>
    </w:p>
    <w:p w14:paraId="4935F9C6">
      <w:pPr>
        <w:snapToGrid w:val="0"/>
        <w:spacing w:line="360" w:lineRule="auto"/>
        <w:ind w:firstLine="482" w:firstLineChars="200"/>
        <w:outlineLvl w:val="0"/>
        <w:rPr>
          <w:rFonts w:asciiTheme="minorEastAsia" w:hAnsiTheme="minorEastAsia" w:eastAsiaTheme="minorEastAsia"/>
          <w:b/>
          <w:color w:val="auto"/>
          <w:kern w:val="0"/>
          <w:sz w:val="24"/>
          <w:highlight w:val="none"/>
        </w:rPr>
      </w:pPr>
      <w:bookmarkStart w:id="32" w:name="_Toc14235"/>
      <w:r>
        <w:rPr>
          <w:rFonts w:hint="eastAsia" w:asciiTheme="minorEastAsia" w:hAnsiTheme="minorEastAsia" w:eastAsiaTheme="minorEastAsia"/>
          <w:b/>
          <w:color w:val="auto"/>
          <w:kern w:val="0"/>
          <w:sz w:val="24"/>
          <w:highlight w:val="none"/>
        </w:rPr>
        <w:t>（四）响应文件的签署</w:t>
      </w:r>
      <w:bookmarkEnd w:id="32"/>
    </w:p>
    <w:p w14:paraId="3B483091">
      <w:pPr>
        <w:pStyle w:val="6"/>
        <w:spacing w:line="360" w:lineRule="auto"/>
        <w:ind w:firstLine="480" w:firstLineChars="200"/>
        <w:rPr>
          <w:rFonts w:asciiTheme="minorEastAsia" w:hAnsiTheme="minorEastAsia" w:eastAsiaTheme="minorEastAsia"/>
          <w:bCs/>
          <w:color w:val="auto"/>
          <w:kern w:val="0"/>
          <w:sz w:val="24"/>
          <w:highlight w:val="none"/>
        </w:rPr>
      </w:pPr>
      <w:r>
        <w:rPr>
          <w:rFonts w:hint="eastAsia" w:asciiTheme="minorEastAsia" w:hAnsiTheme="minorEastAsia" w:eastAsiaTheme="minorEastAsia"/>
          <w:bCs/>
          <w:color w:val="auto"/>
          <w:kern w:val="0"/>
          <w:sz w:val="24"/>
          <w:highlight w:val="none"/>
        </w:rPr>
        <w:t>1.响应文件需由法定代表人或经其正式授权的代表签字或盖章（本项目如允许联合体且供应商是联合体的，联合体牵头单位应盖章，并签署联合体牵头单位法定代表人或经其正式授权的代表的全名）。授权代表须出具书面授权证明，其《法定代表人授权书》应附在磋商响应文件中。</w:t>
      </w:r>
    </w:p>
    <w:p w14:paraId="22F1B96D">
      <w:pPr>
        <w:pStyle w:val="6"/>
        <w:spacing w:line="360" w:lineRule="auto"/>
        <w:ind w:firstLine="480" w:firstLineChars="200"/>
        <w:rPr>
          <w:rFonts w:hint="eastAsia" w:asciiTheme="minorEastAsia" w:hAnsiTheme="minorEastAsia" w:eastAsiaTheme="minorEastAsia"/>
          <w:bCs/>
          <w:color w:val="auto"/>
          <w:kern w:val="0"/>
          <w:sz w:val="24"/>
          <w:highlight w:val="none"/>
        </w:rPr>
      </w:pPr>
      <w:r>
        <w:rPr>
          <w:rFonts w:hint="eastAsia" w:asciiTheme="minorEastAsia" w:hAnsiTheme="minorEastAsia" w:eastAsiaTheme="minorEastAsia"/>
          <w:bCs/>
          <w:color w:val="auto"/>
          <w:kern w:val="0"/>
          <w:sz w:val="24"/>
          <w:highlight w:val="none"/>
        </w:rPr>
        <w:t>2.响应文件中所有的插字、涂改和增删，必须由法定代表人或经其正式授权的代表在旁边签字或盖章才有效。</w:t>
      </w:r>
    </w:p>
    <w:p w14:paraId="3FD0F679">
      <w:pPr>
        <w:pStyle w:val="6"/>
        <w:spacing w:line="360" w:lineRule="auto"/>
        <w:ind w:firstLine="480" w:firstLineChars="200"/>
        <w:rPr>
          <w:rFonts w:asciiTheme="minorEastAsia" w:hAnsiTheme="minorEastAsia" w:eastAsiaTheme="minorEastAsia"/>
          <w:bCs/>
          <w:color w:val="auto"/>
          <w:kern w:val="0"/>
          <w:sz w:val="24"/>
          <w:highlight w:val="none"/>
        </w:rPr>
      </w:pPr>
      <w:r>
        <w:rPr>
          <w:rFonts w:hint="eastAsia" w:asciiTheme="minorEastAsia" w:hAnsiTheme="minorEastAsia" w:eastAsiaTheme="minorEastAsia"/>
          <w:bCs/>
          <w:color w:val="000000" w:themeColor="text1"/>
          <w:kern w:val="0"/>
          <w:sz w:val="24"/>
          <w:highlight w:val="none"/>
          <w14:textFill>
            <w14:solidFill>
              <w14:schemeClr w14:val="tx1"/>
            </w14:solidFill>
          </w14:textFill>
        </w:rPr>
        <w:t>3.投标文件中要求加盖公章处，可使用有效安全的电子签章替代。</w:t>
      </w:r>
    </w:p>
    <w:p w14:paraId="310ADA77">
      <w:pPr>
        <w:autoSpaceDE w:val="0"/>
        <w:autoSpaceDN w:val="0"/>
        <w:adjustRightInd w:val="0"/>
        <w:spacing w:line="360" w:lineRule="auto"/>
        <w:ind w:firstLine="482" w:firstLineChars="200"/>
        <w:rPr>
          <w:rFonts w:asciiTheme="minorEastAsia" w:hAnsiTheme="minorEastAsia"/>
          <w:b/>
          <w:bCs/>
          <w:color w:val="auto"/>
          <w:sz w:val="24"/>
          <w:highlight w:val="none"/>
        </w:rPr>
      </w:pPr>
      <w:r>
        <w:rPr>
          <w:rFonts w:hint="eastAsia" w:asciiTheme="minorEastAsia" w:hAnsiTheme="minorEastAsia"/>
          <w:b/>
          <w:bCs/>
          <w:color w:val="auto"/>
          <w:sz w:val="24"/>
          <w:highlight w:val="none"/>
        </w:rPr>
        <w:t>（五）</w:t>
      </w:r>
      <w:r>
        <w:rPr>
          <w:rFonts w:hint="eastAsia" w:asciiTheme="minorEastAsia" w:hAnsiTheme="minorEastAsia" w:eastAsiaTheme="minorEastAsia"/>
          <w:b/>
          <w:color w:val="auto"/>
          <w:kern w:val="0"/>
          <w:sz w:val="24"/>
          <w:highlight w:val="none"/>
        </w:rPr>
        <w:t>响应</w:t>
      </w:r>
      <w:r>
        <w:rPr>
          <w:rFonts w:hint="eastAsia" w:asciiTheme="minorEastAsia" w:hAnsiTheme="minorEastAsia" w:eastAsiaTheme="minorEastAsia"/>
          <w:b/>
          <w:bCs/>
          <w:color w:val="auto"/>
          <w:sz w:val="24"/>
          <w:highlight w:val="none"/>
        </w:rPr>
        <w:t>文件</w:t>
      </w:r>
      <w:r>
        <w:rPr>
          <w:rFonts w:hint="eastAsia" w:asciiTheme="minorEastAsia" w:hAnsiTheme="minorEastAsia"/>
          <w:b/>
          <w:bCs/>
          <w:color w:val="auto"/>
          <w:sz w:val="24"/>
          <w:highlight w:val="none"/>
        </w:rPr>
        <w:t>的递交要求</w:t>
      </w:r>
    </w:p>
    <w:p w14:paraId="7521733C">
      <w:pPr>
        <w:tabs>
          <w:tab w:val="left" w:pos="1418"/>
        </w:tabs>
        <w:autoSpaceDE w:val="0"/>
        <w:autoSpaceDN w:val="0"/>
        <w:adjustRightInd w:val="0"/>
        <w:spacing w:line="360" w:lineRule="auto"/>
        <w:ind w:firstLine="480" w:firstLineChars="200"/>
        <w:rPr>
          <w:rFonts w:asciiTheme="minorEastAsia" w:hAnsiTheme="minorEastAsia" w:eastAsiaTheme="minorEastAsia"/>
          <w:color w:val="auto"/>
          <w:kern w:val="0"/>
          <w:sz w:val="24"/>
          <w:highlight w:val="none"/>
        </w:rPr>
      </w:pPr>
      <w:r>
        <w:rPr>
          <w:rFonts w:hint="eastAsia" w:asciiTheme="majorEastAsia" w:hAnsiTheme="majorEastAsia" w:eastAsiaTheme="majorEastAsia" w:cstheme="majorEastAsia"/>
          <w:color w:val="auto"/>
          <w:sz w:val="24"/>
          <w:highlight w:val="none"/>
        </w:rPr>
        <w:t>按照前附表要求提交，</w:t>
      </w:r>
      <w:r>
        <w:rPr>
          <w:rFonts w:hint="eastAsia" w:asciiTheme="minorEastAsia" w:hAnsiTheme="minorEastAsia" w:eastAsiaTheme="minorEastAsia"/>
          <w:color w:val="auto"/>
          <w:kern w:val="0"/>
          <w:sz w:val="24"/>
          <w:highlight w:val="none"/>
        </w:rPr>
        <w:t>如采购组织机构延长截止时间和开标时间，采购组织机构和供应商的权利和义务将受到新的截止时间和开标时间的约束。</w:t>
      </w:r>
    </w:p>
    <w:p w14:paraId="0798BEAC">
      <w:pPr>
        <w:snapToGrid w:val="0"/>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kern w:val="0"/>
          <w:sz w:val="24"/>
          <w:highlight w:val="none"/>
        </w:rPr>
        <w:t>四、</w:t>
      </w:r>
      <w:r>
        <w:rPr>
          <w:rFonts w:hint="eastAsia" w:asciiTheme="minorEastAsia" w:hAnsiTheme="minorEastAsia" w:eastAsiaTheme="minorEastAsia"/>
          <w:b/>
          <w:color w:val="auto"/>
          <w:sz w:val="24"/>
          <w:highlight w:val="none"/>
        </w:rPr>
        <w:t>磋商</w:t>
      </w:r>
      <w:r>
        <w:rPr>
          <w:rFonts w:asciiTheme="minorEastAsia" w:hAnsiTheme="minorEastAsia" w:eastAsiaTheme="minorEastAsia"/>
          <w:b/>
          <w:color w:val="auto"/>
          <w:sz w:val="24"/>
          <w:highlight w:val="none"/>
        </w:rPr>
        <w:t>程序</w:t>
      </w:r>
    </w:p>
    <w:p w14:paraId="47AC6615">
      <w:pPr>
        <w:pStyle w:val="6"/>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（一）磋商开始时间到后，主持人准时组织磋商；</w:t>
      </w:r>
    </w:p>
    <w:p w14:paraId="55F27281">
      <w:pPr>
        <w:pStyle w:val="6"/>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（二）宣布磋商纪律；</w:t>
      </w:r>
    </w:p>
    <w:p w14:paraId="3436575B">
      <w:pPr>
        <w:pStyle w:val="6"/>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（三）宣布采购组织机构工作人员；</w:t>
      </w:r>
    </w:p>
    <w:p w14:paraId="2010A42D">
      <w:pPr>
        <w:pStyle w:val="6"/>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（四）供应商登录政采云平台，用“项目采购-开标评标”功能对响应文件进行在线解密。在线解密</w:t>
      </w:r>
      <w:r>
        <w:rPr>
          <w:rFonts w:hint="eastAsia" w:ascii="宋体" w:hAnsi="宋体" w:cs="宋体"/>
          <w:bCs/>
          <w:color w:val="auto"/>
          <w:kern w:val="0"/>
          <w:sz w:val="24"/>
          <w:szCs w:val="24"/>
          <w:highlight w:val="none"/>
        </w:rPr>
        <w:t>响应文件</w:t>
      </w:r>
      <w:r>
        <w:rPr>
          <w:rFonts w:hint="eastAsia" w:ascii="宋体" w:hAnsi="宋体" w:cs="宋体"/>
          <w:color w:val="auto"/>
          <w:sz w:val="24"/>
          <w:szCs w:val="24"/>
          <w:highlight w:val="none"/>
        </w:rPr>
        <w:t>时间为磋商时间起半个小时内；</w:t>
      </w:r>
    </w:p>
    <w:p w14:paraId="749C778D">
      <w:pPr>
        <w:pStyle w:val="6"/>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（五）采购组织机构工作人员当众宣布磋商响应供应商名称和磋商文件规定的需要宣布的其他内容；</w:t>
      </w:r>
    </w:p>
    <w:p w14:paraId="12C13F84">
      <w:pPr>
        <w:pStyle w:val="11"/>
        <w:snapToGrid w:val="0"/>
        <w:spacing w:line="360" w:lineRule="auto"/>
        <w:ind w:firstLine="480" w:firstLineChars="200"/>
        <w:outlineLvl w:val="1"/>
        <w:rPr>
          <w:rFonts w:hAnsi="宋体" w:cs="宋体"/>
          <w:bCs/>
          <w:color w:val="auto"/>
          <w:sz w:val="24"/>
          <w:highlight w:val="none"/>
        </w:rPr>
      </w:pPr>
      <w:r>
        <w:rPr>
          <w:rFonts w:hint="eastAsia" w:hAnsi="宋体" w:cs="宋体"/>
          <w:bCs/>
          <w:color w:val="auto"/>
          <w:sz w:val="24"/>
          <w:highlight w:val="none"/>
        </w:rPr>
        <w:t>（六）磋商(详见第四章)；</w:t>
      </w:r>
    </w:p>
    <w:p w14:paraId="634948A5">
      <w:pPr>
        <w:pStyle w:val="11"/>
        <w:snapToGrid w:val="0"/>
        <w:spacing w:line="360" w:lineRule="auto"/>
        <w:ind w:firstLine="480" w:firstLineChars="200"/>
        <w:rPr>
          <w:rFonts w:hAnsi="宋体" w:cs="宋体"/>
          <w:color w:val="auto"/>
          <w:sz w:val="24"/>
          <w:highlight w:val="none"/>
        </w:rPr>
      </w:pPr>
      <w:r>
        <w:rPr>
          <w:rFonts w:hint="eastAsia" w:hAnsi="宋体" w:cs="宋体"/>
          <w:bCs/>
          <w:color w:val="auto"/>
          <w:sz w:val="24"/>
          <w:highlight w:val="none"/>
        </w:rPr>
        <w:t>（七）磋商结果公告。</w:t>
      </w:r>
    </w:p>
    <w:p w14:paraId="58DADB0D">
      <w:pPr>
        <w:pStyle w:val="6"/>
        <w:spacing w:line="360" w:lineRule="auto"/>
        <w:ind w:firstLine="482" w:firstLineChars="200"/>
        <w:rPr>
          <w:b/>
          <w:bCs/>
          <w:color w:val="auto"/>
          <w:sz w:val="24"/>
          <w:szCs w:val="24"/>
          <w:highlight w:val="none"/>
        </w:rPr>
      </w:pPr>
      <w:r>
        <w:rPr>
          <w:rFonts w:hint="eastAsia"/>
          <w:b/>
          <w:bCs/>
          <w:color w:val="auto"/>
          <w:sz w:val="24"/>
          <w:szCs w:val="24"/>
          <w:highlight w:val="none"/>
        </w:rPr>
        <w:t>五、磋商异议</w:t>
      </w:r>
    </w:p>
    <w:p w14:paraId="73ECC59E">
      <w:pPr>
        <w:pStyle w:val="6"/>
        <w:spacing w:line="360" w:lineRule="auto"/>
        <w:ind w:firstLine="480" w:firstLineChars="200"/>
        <w:rPr>
          <w:color w:val="auto"/>
          <w:sz w:val="24"/>
          <w:szCs w:val="24"/>
          <w:highlight w:val="none"/>
        </w:rPr>
      </w:pPr>
      <w:r>
        <w:rPr>
          <w:rFonts w:hint="eastAsia"/>
          <w:color w:val="auto"/>
          <w:sz w:val="24"/>
          <w:szCs w:val="24"/>
          <w:highlight w:val="none"/>
        </w:rPr>
        <w:t>供应商代表对磋商过程和磋商记录有疑义，以及认为采购人、采购</w:t>
      </w:r>
      <w:r>
        <w:rPr>
          <w:rFonts w:hint="eastAsia" w:asciiTheme="minorEastAsia" w:hAnsiTheme="minorEastAsia" w:eastAsiaTheme="minorEastAsia" w:cstheme="minorBidi"/>
          <w:color w:val="auto"/>
          <w:sz w:val="24"/>
          <w:szCs w:val="24"/>
          <w:highlight w:val="none"/>
        </w:rPr>
        <w:t>组织</w:t>
      </w:r>
      <w:r>
        <w:rPr>
          <w:rFonts w:hint="eastAsia"/>
          <w:color w:val="auto"/>
          <w:sz w:val="24"/>
          <w:szCs w:val="24"/>
          <w:highlight w:val="none"/>
        </w:rPr>
        <w:t>机构相关工作人员有需要回避的情形的，应当场提出询问或者回避申请，磋商会议结束后不再接受相关询问、质疑或者回避申请。</w:t>
      </w:r>
    </w:p>
    <w:p w14:paraId="40FD766C">
      <w:pPr>
        <w:pStyle w:val="20"/>
        <w:spacing w:before="0" w:beforeAutospacing="0" w:after="0" w:afterAutospacing="0" w:line="360" w:lineRule="auto"/>
        <w:ind w:firstLine="482" w:firstLineChars="200"/>
        <w:jc w:val="both"/>
        <w:rPr>
          <w:rFonts w:hint="default" w:asciiTheme="minorEastAsia" w:hAnsiTheme="minorEastAsia"/>
          <w:b/>
          <w:color w:val="auto"/>
          <w:highlight w:val="none"/>
        </w:rPr>
      </w:pPr>
      <w:r>
        <w:rPr>
          <w:rFonts w:asciiTheme="minorEastAsia" w:hAnsiTheme="minorEastAsia" w:eastAsiaTheme="minorEastAsia"/>
          <w:b/>
          <w:color w:val="auto"/>
          <w:highlight w:val="none"/>
        </w:rPr>
        <w:t>六、</w:t>
      </w:r>
      <w:r>
        <w:rPr>
          <w:b/>
          <w:color w:val="auto"/>
          <w:highlight w:val="none"/>
        </w:rPr>
        <w:t>磋商结果确定</w:t>
      </w:r>
    </w:p>
    <w:p w14:paraId="3112B10F">
      <w:pPr>
        <w:pStyle w:val="20"/>
        <w:spacing w:before="0" w:beforeAutospacing="0" w:after="0" w:afterAutospacing="0" w:line="360" w:lineRule="auto"/>
        <w:ind w:firstLine="480" w:firstLineChars="200"/>
        <w:jc w:val="both"/>
        <w:rPr>
          <w:rFonts w:hint="default" w:asciiTheme="minorEastAsia" w:hAnsiTheme="minorEastAsia" w:eastAsiaTheme="minorEastAsia"/>
          <w:color w:val="auto"/>
          <w:highlight w:val="none"/>
        </w:rPr>
      </w:pPr>
      <w:r>
        <w:rPr>
          <w:rFonts w:asciiTheme="minorEastAsia" w:hAnsiTheme="minorEastAsia" w:eastAsiaTheme="minorEastAsia"/>
          <w:color w:val="auto"/>
          <w:highlight w:val="none"/>
        </w:rPr>
        <w:t>（一）</w:t>
      </w:r>
      <w:r>
        <w:rPr>
          <w:color w:val="auto"/>
          <w:highlight w:val="none"/>
        </w:rPr>
        <w:t>确定成交供应商。</w:t>
      </w:r>
      <w:r>
        <w:rPr>
          <w:rFonts w:asciiTheme="minorEastAsia" w:hAnsiTheme="minorEastAsia" w:eastAsiaTheme="minorEastAsia"/>
          <w:color w:val="auto"/>
          <w:highlight w:val="none"/>
        </w:rPr>
        <w:t>磋商小组根据采购单位的</w:t>
      </w:r>
      <w:r>
        <w:rPr>
          <w:color w:val="auto"/>
          <w:highlight w:val="none"/>
        </w:rPr>
        <w:t>《授权意见确认书》</w:t>
      </w:r>
      <w:r>
        <w:rPr>
          <w:rFonts w:asciiTheme="minorEastAsia" w:hAnsiTheme="minorEastAsia" w:eastAsiaTheme="minorEastAsia"/>
          <w:color w:val="auto"/>
          <w:highlight w:val="none"/>
        </w:rPr>
        <w:t>，推荐成交候选人或确定成交供应商。其中推荐成交候选人的，采购组织机构在评审结束后2个工作日内将评审报告送采购人，采购人自收到评审报告之日起5个工作日内在评审报告推荐的成交候选人中确定成交供应商。</w:t>
      </w:r>
    </w:p>
    <w:p w14:paraId="59245F33">
      <w:pPr>
        <w:spacing w:line="360" w:lineRule="auto"/>
        <w:ind w:firstLine="480" w:firstLineChars="200"/>
        <w:rPr>
          <w:rFonts w:ascii="宋体" w:hAnsi="宋体"/>
          <w:color w:val="auto"/>
          <w:kern w:val="0"/>
          <w:sz w:val="24"/>
          <w:highlight w:val="none"/>
        </w:rPr>
      </w:pPr>
      <w:r>
        <w:rPr>
          <w:rFonts w:hint="eastAsia" w:asciiTheme="minorEastAsia" w:hAnsiTheme="minorEastAsia" w:eastAsiaTheme="minorEastAsia"/>
          <w:color w:val="auto"/>
          <w:sz w:val="24"/>
          <w:highlight w:val="none"/>
        </w:rPr>
        <w:t>（二）</w:t>
      </w:r>
      <w:r>
        <w:rPr>
          <w:rFonts w:hint="eastAsia" w:ascii="宋体" w:hAnsi="宋体"/>
          <w:color w:val="auto"/>
          <w:kern w:val="0"/>
          <w:sz w:val="24"/>
          <w:highlight w:val="none"/>
        </w:rPr>
        <w:t>发布成交结果公告。采购组织机构自成交供应商</w:t>
      </w:r>
      <w:r>
        <w:rPr>
          <w:rFonts w:ascii="宋体" w:hAnsi="宋体"/>
          <w:color w:val="auto"/>
          <w:kern w:val="0"/>
          <w:sz w:val="24"/>
          <w:highlight w:val="none"/>
        </w:rPr>
        <w:t>确定</w:t>
      </w:r>
      <w:r>
        <w:rPr>
          <w:rFonts w:hint="eastAsia" w:ascii="宋体" w:hAnsi="宋体"/>
          <w:color w:val="auto"/>
          <w:kern w:val="0"/>
          <w:sz w:val="24"/>
          <w:highlight w:val="none"/>
        </w:rPr>
        <w:t>之日起</w:t>
      </w:r>
      <w:r>
        <w:rPr>
          <w:rFonts w:ascii="宋体" w:hAnsi="宋体"/>
          <w:color w:val="auto"/>
          <w:kern w:val="0"/>
          <w:sz w:val="24"/>
          <w:highlight w:val="none"/>
        </w:rPr>
        <w:t>2个工作日内</w:t>
      </w:r>
      <w:r>
        <w:rPr>
          <w:rFonts w:hint="eastAsia" w:ascii="宋体" w:hAnsi="宋体"/>
          <w:color w:val="auto"/>
          <w:kern w:val="0"/>
          <w:sz w:val="24"/>
          <w:highlight w:val="none"/>
        </w:rPr>
        <w:t>，</w:t>
      </w:r>
      <w:r>
        <w:rPr>
          <w:rFonts w:ascii="宋体" w:hAnsi="宋体"/>
          <w:color w:val="auto"/>
          <w:kern w:val="0"/>
          <w:sz w:val="24"/>
          <w:highlight w:val="none"/>
        </w:rPr>
        <w:t>在</w:t>
      </w:r>
      <w:r>
        <w:rPr>
          <w:rFonts w:hint="eastAsia" w:ascii="宋体" w:hAnsi="宋体"/>
          <w:color w:val="auto"/>
          <w:kern w:val="0"/>
          <w:sz w:val="24"/>
          <w:highlight w:val="none"/>
        </w:rPr>
        <w:t>浙江</w:t>
      </w:r>
      <w:r>
        <w:rPr>
          <w:rFonts w:ascii="宋体" w:hAnsi="宋体"/>
          <w:color w:val="auto"/>
          <w:kern w:val="0"/>
          <w:sz w:val="24"/>
          <w:highlight w:val="none"/>
        </w:rPr>
        <w:t>省</w:t>
      </w:r>
      <w:r>
        <w:rPr>
          <w:rFonts w:hint="eastAsia" w:ascii="宋体" w:hAnsi="宋体"/>
          <w:color w:val="auto"/>
          <w:kern w:val="0"/>
          <w:sz w:val="24"/>
          <w:highlight w:val="none"/>
        </w:rPr>
        <w:t>政府采购</w:t>
      </w:r>
      <w:r>
        <w:rPr>
          <w:rFonts w:ascii="宋体" w:hAnsi="宋体"/>
          <w:color w:val="auto"/>
          <w:kern w:val="0"/>
          <w:sz w:val="24"/>
          <w:highlight w:val="none"/>
        </w:rPr>
        <w:t>网</w:t>
      </w:r>
      <w:r>
        <w:rPr>
          <w:rFonts w:hint="eastAsia" w:ascii="宋体" w:hAnsi="宋体"/>
          <w:color w:val="auto"/>
          <w:kern w:val="0"/>
          <w:sz w:val="24"/>
          <w:highlight w:val="none"/>
        </w:rPr>
        <w:t>和台州市公共资源交易网上</w:t>
      </w:r>
      <w:r>
        <w:rPr>
          <w:rFonts w:ascii="宋体" w:hAnsi="宋体"/>
          <w:color w:val="auto"/>
          <w:kern w:val="0"/>
          <w:sz w:val="24"/>
          <w:highlight w:val="none"/>
        </w:rPr>
        <w:t>公告</w:t>
      </w:r>
      <w:r>
        <w:rPr>
          <w:rFonts w:hint="eastAsia" w:ascii="宋体" w:hAnsi="宋体"/>
          <w:color w:val="auto"/>
          <w:kern w:val="0"/>
          <w:sz w:val="24"/>
          <w:highlight w:val="none"/>
        </w:rPr>
        <w:t>成交结果，成交</w:t>
      </w:r>
      <w:r>
        <w:rPr>
          <w:color w:val="auto"/>
          <w:sz w:val="24"/>
          <w:highlight w:val="none"/>
        </w:rPr>
        <w:t>结果公告期为 1 个工作日</w:t>
      </w:r>
      <w:r>
        <w:rPr>
          <w:rFonts w:hint="eastAsia" w:ascii="宋体" w:hAnsi="宋体"/>
          <w:color w:val="auto"/>
          <w:kern w:val="0"/>
          <w:sz w:val="24"/>
          <w:highlight w:val="none"/>
        </w:rPr>
        <w:t>。</w:t>
      </w:r>
    </w:p>
    <w:p w14:paraId="4FA860EF">
      <w:pPr>
        <w:pStyle w:val="7"/>
        <w:spacing w:line="360" w:lineRule="auto"/>
        <w:ind w:firstLine="480" w:firstLineChars="200"/>
        <w:jc w:val="both"/>
        <w:rPr>
          <w:color w:val="auto"/>
          <w:highlight w:val="none"/>
        </w:rPr>
      </w:pPr>
      <w:r>
        <w:rPr>
          <w:rFonts w:hint="eastAsia" w:ascii="宋体" w:hAnsi="宋体"/>
          <w:color w:val="auto"/>
          <w:kern w:val="0"/>
          <w:sz w:val="24"/>
          <w:highlight w:val="none"/>
        </w:rPr>
        <w:t>（三）发放成交通知书。采购组织机构在发布成交结果公告的同时，</w:t>
      </w:r>
      <w:r>
        <w:rPr>
          <w:rFonts w:hint="eastAsia"/>
          <w:color w:val="auto"/>
          <w:sz w:val="24"/>
          <w:highlight w:val="none"/>
        </w:rPr>
        <w:t>通过政采云平台向成交供应商发放成交通知书</w:t>
      </w:r>
      <w:r>
        <w:rPr>
          <w:rFonts w:hint="eastAsia" w:ascii="宋体" w:hAnsi="宋体"/>
          <w:color w:val="auto"/>
          <w:kern w:val="0"/>
          <w:sz w:val="24"/>
          <w:highlight w:val="none"/>
        </w:rPr>
        <w:t>。</w:t>
      </w:r>
    </w:p>
    <w:p w14:paraId="0174541A">
      <w:pPr>
        <w:spacing w:line="360" w:lineRule="auto"/>
        <w:ind w:firstLine="482" w:firstLineChars="200"/>
        <w:rPr>
          <w:rFonts w:ascii="宋体" w:hAnsi="宋体"/>
          <w:color w:val="auto"/>
          <w:kern w:val="0"/>
          <w:sz w:val="24"/>
          <w:highlight w:val="none"/>
        </w:rPr>
      </w:pPr>
      <w:r>
        <w:rPr>
          <w:rFonts w:hint="eastAsia" w:asciiTheme="minorEastAsia" w:hAnsiTheme="minorEastAsia" w:eastAsiaTheme="minorEastAsia"/>
          <w:b/>
          <w:color w:val="auto"/>
          <w:sz w:val="24"/>
          <w:highlight w:val="none"/>
        </w:rPr>
        <w:t>七</w:t>
      </w:r>
      <w:r>
        <w:rPr>
          <w:rFonts w:asciiTheme="minorEastAsia" w:hAnsiTheme="minorEastAsia" w:eastAsiaTheme="minorEastAsia"/>
          <w:b/>
          <w:color w:val="auto"/>
          <w:sz w:val="24"/>
          <w:highlight w:val="none"/>
        </w:rPr>
        <w:t>、</w:t>
      </w:r>
      <w:r>
        <w:rPr>
          <w:rFonts w:hint="eastAsia" w:ascii="宋体" w:hAnsi="宋体"/>
          <w:b/>
          <w:color w:val="auto"/>
          <w:kern w:val="0"/>
          <w:sz w:val="24"/>
          <w:highlight w:val="none"/>
        </w:rPr>
        <w:t>合同签订及公告</w:t>
      </w:r>
    </w:p>
    <w:p w14:paraId="5CF5439B">
      <w:pPr>
        <w:spacing w:line="360" w:lineRule="auto"/>
        <w:ind w:firstLine="482" w:firstLineChars="200"/>
        <w:rPr>
          <w:rFonts w:ascii="宋体" w:hAnsi="宋体"/>
          <w:b/>
          <w:color w:val="auto"/>
          <w:kern w:val="0"/>
          <w:sz w:val="24"/>
          <w:highlight w:val="none"/>
        </w:rPr>
      </w:pPr>
      <w:r>
        <w:rPr>
          <w:rFonts w:hint="eastAsia" w:ascii="宋体" w:hAnsi="宋体"/>
          <w:b/>
          <w:color w:val="auto"/>
          <w:sz w:val="24"/>
          <w:highlight w:val="none"/>
        </w:rPr>
        <w:t>（一）签订合同</w:t>
      </w:r>
    </w:p>
    <w:p w14:paraId="6D35F53B">
      <w:pPr>
        <w:pStyle w:val="20"/>
        <w:spacing w:before="0" w:beforeAutospacing="0" w:after="0" w:afterAutospacing="0" w:line="360" w:lineRule="auto"/>
        <w:ind w:firstLine="480" w:firstLineChars="200"/>
        <w:jc w:val="both"/>
        <w:rPr>
          <w:rFonts w:hint="default"/>
          <w:color w:val="auto"/>
          <w:highlight w:val="none"/>
        </w:rPr>
      </w:pPr>
      <w:r>
        <w:rPr>
          <w:color w:val="auto"/>
          <w:highlight w:val="none"/>
        </w:rPr>
        <w:t>1.采购人应当自成交通知书发出之日起30日内，按照磋商文件和成交供应商响应文件内容要求，与成交供应商签订书面合同或者电子合同。所签订的合同不得对磋商文件确定的事项和成交供应商响应文件作实质性修改。</w:t>
      </w:r>
    </w:p>
    <w:p w14:paraId="37E718A8">
      <w:pPr>
        <w:pStyle w:val="20"/>
        <w:spacing w:before="0" w:beforeAutospacing="0" w:after="0" w:afterAutospacing="0" w:line="360" w:lineRule="auto"/>
        <w:ind w:firstLine="480" w:firstLineChars="200"/>
        <w:jc w:val="both"/>
        <w:rPr>
          <w:rFonts w:hint="default"/>
          <w:color w:val="auto"/>
          <w:highlight w:val="none"/>
        </w:rPr>
      </w:pPr>
      <w:r>
        <w:rPr>
          <w:color w:val="auto"/>
          <w:highlight w:val="none"/>
        </w:rPr>
        <w:t>2.采购人不得向成交供应商提出任何不合理的要求作为签订合同的条件。</w:t>
      </w:r>
    </w:p>
    <w:p w14:paraId="770281AF">
      <w:pPr>
        <w:pStyle w:val="20"/>
        <w:spacing w:before="0" w:beforeAutospacing="0" w:after="0" w:afterAutospacing="0" w:line="360" w:lineRule="auto"/>
        <w:ind w:firstLine="480" w:firstLineChars="200"/>
        <w:jc w:val="both"/>
        <w:rPr>
          <w:rFonts w:hint="default"/>
          <w:color w:val="auto"/>
          <w:highlight w:val="none"/>
        </w:rPr>
      </w:pPr>
      <w:r>
        <w:rPr>
          <w:color w:val="auto"/>
          <w:highlight w:val="none"/>
        </w:rPr>
        <w:t>3.成交供应商无故拖延、拒签合同的,将取消成交资格。</w:t>
      </w:r>
    </w:p>
    <w:p w14:paraId="763C50AD">
      <w:pPr>
        <w:pStyle w:val="20"/>
        <w:spacing w:before="0" w:beforeAutospacing="0" w:after="0" w:afterAutospacing="0" w:line="360" w:lineRule="auto"/>
        <w:ind w:firstLine="480" w:firstLineChars="200"/>
        <w:jc w:val="both"/>
        <w:rPr>
          <w:rFonts w:hint="default"/>
          <w:color w:val="auto"/>
          <w:highlight w:val="none"/>
        </w:rPr>
      </w:pPr>
      <w:r>
        <w:rPr>
          <w:color w:val="auto"/>
          <w:highlight w:val="none"/>
        </w:rPr>
        <w:t>4.成交供应商拒绝与采购人签订合同的，采购人可以按照评审报告推荐的成交候选人名单排序，确定下一候选人为成交供应商，也可以重新开展政府采购活动。同时，拒绝与采购人签订合同的供应商，由同级财政部门依法作出处理。</w:t>
      </w:r>
    </w:p>
    <w:p w14:paraId="790D4F0F">
      <w:pPr>
        <w:pStyle w:val="20"/>
        <w:spacing w:before="0" w:beforeAutospacing="0" w:after="0" w:afterAutospacing="0" w:line="360" w:lineRule="auto"/>
        <w:ind w:firstLine="480" w:firstLineChars="200"/>
        <w:jc w:val="both"/>
        <w:rPr>
          <w:rFonts w:hint="default"/>
          <w:color w:val="auto"/>
          <w:highlight w:val="none"/>
        </w:rPr>
      </w:pPr>
      <w:r>
        <w:rPr>
          <w:color w:val="auto"/>
          <w:highlight w:val="none"/>
        </w:rPr>
        <w:t>5.询问或者质疑事项可能影响成交结果的，采购人应当暂停签订合同，已经签订合同的，应当中止履行合同。</w:t>
      </w:r>
    </w:p>
    <w:p w14:paraId="75679858">
      <w:pPr>
        <w:pStyle w:val="20"/>
        <w:spacing w:before="0" w:beforeAutospacing="0" w:after="0" w:afterAutospacing="0" w:line="360" w:lineRule="auto"/>
        <w:ind w:firstLine="482" w:firstLineChars="200"/>
        <w:jc w:val="both"/>
        <w:rPr>
          <w:rFonts w:hint="default" w:cs="仿宋_GB2312"/>
          <w:b/>
          <w:color w:val="auto"/>
          <w:highlight w:val="none"/>
        </w:rPr>
      </w:pPr>
      <w:r>
        <w:rPr>
          <w:b/>
          <w:color w:val="auto"/>
          <w:highlight w:val="none"/>
        </w:rPr>
        <w:t>（二）合同公告及备案</w:t>
      </w:r>
    </w:p>
    <w:p w14:paraId="7560E750">
      <w:pPr>
        <w:pStyle w:val="10"/>
        <w:spacing w:after="0" w:line="360" w:lineRule="auto"/>
        <w:ind w:left="0" w:leftChars="0" w:firstLine="480" w:firstLineChars="200"/>
        <w:rPr>
          <w:rFonts w:ascii="宋体" w:hAnsi="宋体"/>
          <w:color w:val="auto"/>
          <w:sz w:val="24"/>
          <w:highlight w:val="none"/>
        </w:rPr>
      </w:pPr>
      <w:r>
        <w:rPr>
          <w:rFonts w:hint="eastAsia" w:ascii="宋体" w:hAnsi="宋体"/>
          <w:color w:val="auto"/>
          <w:sz w:val="24"/>
          <w:highlight w:val="none"/>
        </w:rPr>
        <w:t>1.采购人应当自政府采购合同签订之日起2个工作日内，</w:t>
      </w:r>
      <w:r>
        <w:rPr>
          <w:rFonts w:ascii="宋体" w:hAnsi="宋体"/>
          <w:color w:val="auto"/>
          <w:kern w:val="0"/>
          <w:sz w:val="24"/>
          <w:highlight w:val="none"/>
        </w:rPr>
        <w:t>在省级以上财政部门指定的</w:t>
      </w:r>
      <w:r>
        <w:rPr>
          <w:rFonts w:hint="eastAsia" w:ascii="宋体" w:hAnsi="宋体"/>
          <w:color w:val="auto"/>
          <w:kern w:val="0"/>
          <w:sz w:val="24"/>
          <w:highlight w:val="none"/>
        </w:rPr>
        <w:t>政府采购信息发布</w:t>
      </w:r>
      <w:r>
        <w:rPr>
          <w:rFonts w:ascii="宋体" w:hAnsi="宋体"/>
          <w:color w:val="auto"/>
          <w:kern w:val="0"/>
          <w:sz w:val="24"/>
          <w:highlight w:val="none"/>
        </w:rPr>
        <w:t>媒体及相关网站</w:t>
      </w:r>
      <w:r>
        <w:rPr>
          <w:rFonts w:hint="eastAsia" w:ascii="宋体" w:hAnsi="宋体"/>
          <w:color w:val="auto"/>
          <w:kern w:val="0"/>
          <w:sz w:val="24"/>
          <w:highlight w:val="none"/>
        </w:rPr>
        <w:t>上</w:t>
      </w:r>
      <w:r>
        <w:rPr>
          <w:rFonts w:ascii="宋体" w:hAnsi="宋体"/>
          <w:color w:val="auto"/>
          <w:kern w:val="0"/>
          <w:sz w:val="24"/>
          <w:highlight w:val="none"/>
        </w:rPr>
        <w:t>公告</w:t>
      </w:r>
      <w:r>
        <w:rPr>
          <w:rFonts w:hint="eastAsia" w:ascii="宋体" w:hAnsi="宋体"/>
          <w:color w:val="auto"/>
          <w:sz w:val="24"/>
          <w:highlight w:val="none"/>
        </w:rPr>
        <w:t>。</w:t>
      </w:r>
    </w:p>
    <w:p w14:paraId="665668A0">
      <w:pPr>
        <w:pStyle w:val="7"/>
        <w:spacing w:line="360" w:lineRule="auto"/>
        <w:ind w:firstLine="480" w:firstLineChars="200"/>
        <w:jc w:val="both"/>
        <w:rPr>
          <w:rFonts w:ascii="宋体" w:hAnsi="宋体"/>
          <w:color w:val="auto"/>
          <w:sz w:val="24"/>
          <w:highlight w:val="none"/>
        </w:rPr>
      </w:pPr>
      <w:r>
        <w:rPr>
          <w:rFonts w:hint="eastAsia" w:ascii="宋体" w:hAnsi="宋体"/>
          <w:color w:val="auto"/>
          <w:sz w:val="24"/>
          <w:highlight w:val="none"/>
        </w:rPr>
        <w:t>2.采购人应当自政府采购合同签订之日起7个工作日内，</w:t>
      </w:r>
      <w:r>
        <w:rPr>
          <w:rFonts w:hint="eastAsia"/>
          <w:color w:val="auto"/>
          <w:sz w:val="24"/>
          <w:highlight w:val="none"/>
        </w:rPr>
        <w:t>将政府采购合同通过政采云平台提交至</w:t>
      </w:r>
      <w:r>
        <w:rPr>
          <w:rFonts w:hint="eastAsia" w:ascii="宋体" w:hAnsi="宋体"/>
          <w:color w:val="auto"/>
          <w:sz w:val="24"/>
          <w:highlight w:val="none"/>
        </w:rPr>
        <w:t>同级人民政府财政部门备案存档。</w:t>
      </w:r>
    </w:p>
    <w:p w14:paraId="4476F6A1">
      <w:pPr>
        <w:pStyle w:val="7"/>
        <w:spacing w:line="360" w:lineRule="auto"/>
        <w:ind w:firstLine="482" w:firstLineChars="200"/>
        <w:jc w:val="both"/>
        <w:rPr>
          <w:rFonts w:ascii="宋体" w:hAnsi="宋体"/>
          <w:b/>
          <w:bCs/>
          <w:color w:val="auto"/>
          <w:sz w:val="24"/>
          <w:highlight w:val="none"/>
        </w:rPr>
      </w:pPr>
      <w:r>
        <w:rPr>
          <w:rFonts w:hint="eastAsia" w:ascii="宋体" w:hAnsi="宋体"/>
          <w:b/>
          <w:bCs/>
          <w:color w:val="auto"/>
          <w:sz w:val="24"/>
          <w:highlight w:val="none"/>
        </w:rPr>
        <w:t>八、询问、质疑与投诉</w:t>
      </w:r>
    </w:p>
    <w:p w14:paraId="39C01A3F">
      <w:pPr>
        <w:pStyle w:val="7"/>
        <w:spacing w:line="360" w:lineRule="auto"/>
        <w:ind w:firstLine="482" w:firstLineChars="200"/>
        <w:jc w:val="both"/>
        <w:rPr>
          <w:rFonts w:ascii="宋体" w:hAnsi="宋体"/>
          <w:b/>
          <w:bCs/>
          <w:color w:val="auto"/>
          <w:sz w:val="24"/>
          <w:highlight w:val="none"/>
        </w:rPr>
      </w:pPr>
      <w:r>
        <w:rPr>
          <w:rFonts w:hint="eastAsia" w:ascii="宋体" w:hAnsi="宋体"/>
          <w:b/>
          <w:bCs/>
          <w:color w:val="auto"/>
          <w:sz w:val="24"/>
          <w:highlight w:val="none"/>
        </w:rPr>
        <w:t>（一）询问</w:t>
      </w:r>
    </w:p>
    <w:p w14:paraId="4BE22308">
      <w:pPr>
        <w:pStyle w:val="7"/>
        <w:spacing w:line="360" w:lineRule="auto"/>
        <w:ind w:firstLine="480" w:firstLineChars="200"/>
        <w:jc w:val="both"/>
        <w:rPr>
          <w:rFonts w:ascii="宋体" w:hAnsi="宋体"/>
          <w:color w:val="auto"/>
          <w:sz w:val="24"/>
          <w:highlight w:val="none"/>
        </w:rPr>
      </w:pPr>
      <w:r>
        <w:rPr>
          <w:rFonts w:hint="eastAsia" w:ascii="宋体" w:hAnsi="宋体"/>
          <w:color w:val="auto"/>
          <w:sz w:val="24"/>
          <w:highlight w:val="none"/>
        </w:rPr>
        <w:t>磋商供应商对政府采购活动事项（磋商文件、采购过程和成交结果）有疑问的，可以向采购人或采购</w:t>
      </w:r>
      <w:r>
        <w:rPr>
          <w:rFonts w:hint="eastAsia" w:asciiTheme="minorEastAsia" w:hAnsiTheme="minorEastAsia" w:eastAsiaTheme="minorEastAsia" w:cstheme="minorBidi"/>
          <w:color w:val="auto"/>
          <w:sz w:val="24"/>
          <w:highlight w:val="none"/>
        </w:rPr>
        <w:t>组织</w:t>
      </w:r>
      <w:r>
        <w:rPr>
          <w:rFonts w:hint="eastAsia" w:ascii="宋体" w:hAnsi="宋体"/>
          <w:color w:val="auto"/>
          <w:sz w:val="24"/>
          <w:highlight w:val="none"/>
        </w:rPr>
        <w:t>机构提出询问，采购人或采购</w:t>
      </w:r>
      <w:r>
        <w:rPr>
          <w:rFonts w:hint="eastAsia" w:asciiTheme="minorEastAsia" w:hAnsiTheme="minorEastAsia" w:eastAsiaTheme="minorEastAsia" w:cstheme="minorBidi"/>
          <w:color w:val="auto"/>
          <w:sz w:val="24"/>
          <w:highlight w:val="none"/>
        </w:rPr>
        <w:t>组织</w:t>
      </w:r>
      <w:r>
        <w:rPr>
          <w:rFonts w:hint="eastAsia" w:ascii="宋体" w:hAnsi="宋体"/>
          <w:color w:val="auto"/>
          <w:sz w:val="24"/>
          <w:highlight w:val="none"/>
        </w:rPr>
        <w:t>机构将及时作出答复，但答复的内容不涉及商业秘密。询问可以口头方式提出，也可以书面方式提出。联系方式见第一章“磋商邀请”中“采购人、采购</w:t>
      </w:r>
      <w:r>
        <w:rPr>
          <w:rFonts w:hint="eastAsia" w:asciiTheme="minorEastAsia" w:hAnsiTheme="minorEastAsia" w:eastAsiaTheme="minorEastAsia" w:cstheme="minorBidi"/>
          <w:color w:val="auto"/>
          <w:sz w:val="24"/>
          <w:highlight w:val="none"/>
        </w:rPr>
        <w:t>组织</w:t>
      </w:r>
      <w:r>
        <w:rPr>
          <w:rFonts w:hint="eastAsia" w:ascii="宋体" w:hAnsi="宋体"/>
          <w:color w:val="auto"/>
          <w:sz w:val="24"/>
          <w:highlight w:val="none"/>
        </w:rPr>
        <w:t>机构的名称、地址和联系方式”。</w:t>
      </w:r>
    </w:p>
    <w:p w14:paraId="4BB32453">
      <w:pPr>
        <w:pStyle w:val="7"/>
        <w:spacing w:line="360" w:lineRule="auto"/>
        <w:ind w:firstLine="482" w:firstLineChars="200"/>
        <w:jc w:val="both"/>
        <w:rPr>
          <w:rFonts w:ascii="宋体" w:hAnsi="宋体"/>
          <w:b/>
          <w:bCs/>
          <w:color w:val="auto"/>
          <w:sz w:val="24"/>
          <w:highlight w:val="none"/>
        </w:rPr>
      </w:pPr>
      <w:r>
        <w:rPr>
          <w:rFonts w:hint="eastAsia" w:ascii="宋体" w:hAnsi="宋体"/>
          <w:b/>
          <w:bCs/>
          <w:color w:val="auto"/>
          <w:sz w:val="24"/>
          <w:highlight w:val="none"/>
        </w:rPr>
        <w:t>（二）质疑</w:t>
      </w:r>
    </w:p>
    <w:p w14:paraId="68F7393B">
      <w:pPr>
        <w:pStyle w:val="7"/>
        <w:spacing w:line="360" w:lineRule="auto"/>
        <w:ind w:firstLine="480" w:firstLineChars="200"/>
        <w:jc w:val="both"/>
        <w:rPr>
          <w:rFonts w:ascii="宋体" w:hAnsi="宋体"/>
          <w:color w:val="auto"/>
          <w:sz w:val="24"/>
          <w:highlight w:val="none"/>
        </w:rPr>
      </w:pPr>
      <w:r>
        <w:rPr>
          <w:rFonts w:hint="eastAsia" w:ascii="宋体" w:hAnsi="宋体"/>
          <w:color w:val="auto"/>
          <w:sz w:val="24"/>
          <w:highlight w:val="none"/>
        </w:rPr>
        <w:t>1.报名本项目的供应商认为磋商文件、采购过程和成交结果使自己的权益受到损害的，以书面形式或政采云平台的质疑系统一次性向采购人或采购</w:t>
      </w:r>
      <w:r>
        <w:rPr>
          <w:rFonts w:hint="eastAsia" w:asciiTheme="minorEastAsia" w:hAnsiTheme="minorEastAsia" w:eastAsiaTheme="minorEastAsia" w:cstheme="minorBidi"/>
          <w:color w:val="auto"/>
          <w:sz w:val="24"/>
          <w:highlight w:val="none"/>
        </w:rPr>
        <w:t>组织</w:t>
      </w:r>
      <w:r>
        <w:rPr>
          <w:rFonts w:hint="eastAsia" w:ascii="宋体" w:hAnsi="宋体"/>
          <w:color w:val="auto"/>
          <w:sz w:val="24"/>
          <w:highlight w:val="none"/>
        </w:rPr>
        <w:t>机构书面提出质疑：</w:t>
      </w:r>
    </w:p>
    <w:p w14:paraId="05782D01">
      <w:pPr>
        <w:pStyle w:val="7"/>
        <w:spacing w:line="360" w:lineRule="auto"/>
        <w:ind w:firstLine="480" w:firstLineChars="200"/>
        <w:jc w:val="both"/>
        <w:rPr>
          <w:rFonts w:ascii="宋体" w:hAnsi="宋体"/>
          <w:color w:val="auto"/>
          <w:sz w:val="24"/>
          <w:highlight w:val="none"/>
        </w:rPr>
      </w:pPr>
      <w:r>
        <w:rPr>
          <w:rFonts w:hint="eastAsia" w:ascii="宋体" w:hAnsi="宋体"/>
          <w:color w:val="auto"/>
          <w:sz w:val="24"/>
          <w:highlight w:val="none"/>
        </w:rPr>
        <w:t>（1）供应商认为磋商文件的内容损害其权益的，应当自获取之日起7个工作日内提出质疑；</w:t>
      </w:r>
    </w:p>
    <w:p w14:paraId="6A660367">
      <w:pPr>
        <w:pStyle w:val="7"/>
        <w:spacing w:line="360" w:lineRule="auto"/>
        <w:ind w:firstLine="480" w:firstLineChars="200"/>
        <w:jc w:val="both"/>
        <w:rPr>
          <w:rFonts w:ascii="宋体" w:hAnsi="宋体"/>
          <w:color w:val="auto"/>
          <w:sz w:val="24"/>
          <w:highlight w:val="none"/>
        </w:rPr>
      </w:pPr>
      <w:r>
        <w:rPr>
          <w:rFonts w:hint="eastAsia" w:ascii="宋体" w:hAnsi="宋体"/>
          <w:color w:val="auto"/>
          <w:sz w:val="24"/>
          <w:highlight w:val="none"/>
        </w:rPr>
        <w:t>（2）供应商对采购过程提出质疑的，应当在各采购程序环节结束之日起7个工作日内提出质疑；</w:t>
      </w:r>
    </w:p>
    <w:p w14:paraId="19F89912">
      <w:pPr>
        <w:pStyle w:val="7"/>
        <w:spacing w:line="360" w:lineRule="auto"/>
        <w:ind w:firstLine="480" w:firstLineChars="200"/>
        <w:jc w:val="both"/>
        <w:rPr>
          <w:rFonts w:ascii="宋体" w:hAnsi="宋体"/>
          <w:color w:val="auto"/>
          <w:sz w:val="24"/>
          <w:highlight w:val="none"/>
        </w:rPr>
      </w:pPr>
      <w:r>
        <w:rPr>
          <w:rFonts w:hint="eastAsia" w:ascii="宋体" w:hAnsi="宋体"/>
          <w:color w:val="auto"/>
          <w:sz w:val="24"/>
          <w:highlight w:val="none"/>
        </w:rPr>
        <w:t>（3）供应商对成交结果提出质疑的，应当在成交结果公告期限届满之日起7个工作日内提出质疑；</w:t>
      </w:r>
    </w:p>
    <w:p w14:paraId="6219154F">
      <w:pPr>
        <w:pStyle w:val="7"/>
        <w:spacing w:line="360" w:lineRule="auto"/>
        <w:ind w:firstLine="480" w:firstLineChars="200"/>
        <w:jc w:val="both"/>
        <w:rPr>
          <w:rFonts w:ascii="宋体" w:hAnsi="宋体"/>
          <w:color w:val="auto"/>
          <w:sz w:val="24"/>
          <w:highlight w:val="none"/>
        </w:rPr>
      </w:pPr>
      <w:r>
        <w:rPr>
          <w:rFonts w:hint="eastAsia" w:ascii="宋体" w:hAnsi="宋体"/>
          <w:color w:val="auto"/>
          <w:sz w:val="24"/>
          <w:highlight w:val="none"/>
        </w:rPr>
        <w:t>2.采购人或采购</w:t>
      </w:r>
      <w:r>
        <w:rPr>
          <w:rFonts w:hint="eastAsia" w:asciiTheme="minorEastAsia" w:hAnsiTheme="minorEastAsia" w:eastAsiaTheme="minorEastAsia" w:cstheme="minorBidi"/>
          <w:color w:val="auto"/>
          <w:sz w:val="24"/>
          <w:highlight w:val="none"/>
        </w:rPr>
        <w:t>组织</w:t>
      </w:r>
      <w:r>
        <w:rPr>
          <w:rFonts w:hint="eastAsia" w:ascii="宋体" w:hAnsi="宋体"/>
          <w:color w:val="auto"/>
          <w:sz w:val="24"/>
          <w:highlight w:val="none"/>
        </w:rPr>
        <w:t>机构在收到磋商供应商的书面质疑后7个工作日内作出答复，并以书面形式通知质疑磋商供应商和其他有关磋商供应商，但答复内容不涉及商业秘密。</w:t>
      </w:r>
    </w:p>
    <w:p w14:paraId="4BEDF50B">
      <w:pPr>
        <w:pStyle w:val="7"/>
        <w:spacing w:line="360" w:lineRule="auto"/>
        <w:ind w:firstLine="480" w:firstLineChars="200"/>
        <w:jc w:val="both"/>
        <w:rPr>
          <w:rFonts w:ascii="宋体" w:hAnsi="宋体"/>
          <w:color w:val="auto"/>
          <w:sz w:val="24"/>
          <w:highlight w:val="none"/>
        </w:rPr>
      </w:pPr>
      <w:r>
        <w:rPr>
          <w:rFonts w:hint="eastAsia" w:ascii="宋体" w:hAnsi="宋体"/>
          <w:color w:val="auto"/>
          <w:sz w:val="24"/>
          <w:highlight w:val="none"/>
        </w:rPr>
        <w:t>3.供应商质疑应当有明确的请求和必要的证明材料，包括但不限于权益受损害的情况说明及受损害的原因、证据内容等，并对质疑内容的真实性承担责任。(依据《中华人民共和国政府采购法实施条例》第五十七条，捏造事实、提供虚假材料或者以非法手段取得证明材料不能作为质疑、投诉的证明材料）。</w:t>
      </w:r>
    </w:p>
    <w:p w14:paraId="55E9FBFB">
      <w:pPr>
        <w:pStyle w:val="7"/>
        <w:spacing w:line="360" w:lineRule="auto"/>
        <w:ind w:firstLine="482" w:firstLineChars="200"/>
        <w:jc w:val="both"/>
        <w:rPr>
          <w:rFonts w:ascii="宋体" w:hAnsi="宋体"/>
          <w:b/>
          <w:bCs/>
          <w:color w:val="auto"/>
          <w:sz w:val="24"/>
          <w:highlight w:val="none"/>
        </w:rPr>
      </w:pPr>
      <w:r>
        <w:rPr>
          <w:rFonts w:hint="eastAsia" w:ascii="宋体" w:hAnsi="宋体"/>
          <w:b/>
          <w:bCs/>
          <w:color w:val="auto"/>
          <w:sz w:val="24"/>
          <w:highlight w:val="none"/>
        </w:rPr>
        <w:t>（三）投诉</w:t>
      </w:r>
    </w:p>
    <w:p w14:paraId="09D41A07">
      <w:pPr>
        <w:pStyle w:val="7"/>
        <w:spacing w:line="360" w:lineRule="auto"/>
        <w:ind w:firstLine="480" w:firstLineChars="200"/>
        <w:jc w:val="both"/>
        <w:rPr>
          <w:rFonts w:ascii="宋体" w:hAnsi="宋体"/>
          <w:color w:val="auto"/>
          <w:sz w:val="24"/>
          <w:highlight w:val="none"/>
        </w:rPr>
      </w:pPr>
      <w:r>
        <w:rPr>
          <w:rFonts w:hint="eastAsia" w:ascii="宋体" w:hAnsi="宋体"/>
          <w:color w:val="auto"/>
          <w:sz w:val="24"/>
          <w:highlight w:val="none"/>
        </w:rPr>
        <w:t>磋商供应商对采购人或采购</w:t>
      </w:r>
      <w:r>
        <w:rPr>
          <w:rFonts w:hint="eastAsia" w:asciiTheme="minorEastAsia" w:hAnsiTheme="minorEastAsia" w:eastAsiaTheme="minorEastAsia" w:cstheme="minorBidi"/>
          <w:color w:val="auto"/>
          <w:sz w:val="24"/>
          <w:highlight w:val="none"/>
        </w:rPr>
        <w:t>组织</w:t>
      </w:r>
      <w:r>
        <w:rPr>
          <w:rFonts w:hint="eastAsia" w:ascii="宋体" w:hAnsi="宋体"/>
          <w:color w:val="auto"/>
          <w:sz w:val="24"/>
          <w:highlight w:val="none"/>
        </w:rPr>
        <w:t>机构的质疑答复不满意或在规定时间内未得到答复的，可以在答复期满后15个工作日内，向同级政府采购监督管理机构投诉。</w:t>
      </w:r>
    </w:p>
    <w:p w14:paraId="43CEFFD0">
      <w:pPr>
        <w:pStyle w:val="7"/>
        <w:spacing w:line="360" w:lineRule="auto"/>
        <w:ind w:firstLine="480" w:firstLineChars="200"/>
        <w:jc w:val="both"/>
        <w:rPr>
          <w:rFonts w:ascii="宋体" w:hAnsi="宋体"/>
          <w:color w:val="auto"/>
          <w:sz w:val="24"/>
          <w:highlight w:val="none"/>
        </w:rPr>
      </w:pPr>
    </w:p>
    <w:p w14:paraId="642C0DC9">
      <w:pPr>
        <w:pStyle w:val="7"/>
        <w:spacing w:line="360" w:lineRule="auto"/>
        <w:ind w:firstLine="480" w:firstLineChars="200"/>
        <w:jc w:val="both"/>
        <w:rPr>
          <w:rFonts w:ascii="宋体" w:hAnsi="宋体"/>
          <w:color w:val="auto"/>
          <w:sz w:val="24"/>
          <w:highlight w:val="none"/>
        </w:rPr>
        <w:sectPr>
          <w:footerReference r:id="rId3" w:type="default"/>
          <w:pgSz w:w="11906" w:h="16838"/>
          <w:pgMar w:top="1440" w:right="1418" w:bottom="1440" w:left="1418" w:header="851" w:footer="851" w:gutter="0"/>
          <w:cols w:space="720" w:num="1"/>
          <w:docGrid w:linePitch="312" w:charSpace="0"/>
        </w:sectPr>
      </w:pPr>
    </w:p>
    <w:p w14:paraId="3B3E45CE">
      <w:pPr>
        <w:pStyle w:val="7"/>
        <w:spacing w:line="360" w:lineRule="auto"/>
        <w:ind w:firstLine="480" w:firstLineChars="200"/>
        <w:jc w:val="both"/>
        <w:rPr>
          <w:rFonts w:ascii="宋体" w:hAnsi="宋体"/>
          <w:color w:val="auto"/>
          <w:sz w:val="24"/>
          <w:highlight w:val="none"/>
        </w:rPr>
      </w:pPr>
    </w:p>
    <w:p w14:paraId="4499B261">
      <w:pPr>
        <w:numPr>
          <w:ilvl w:val="0"/>
          <w:numId w:val="4"/>
        </w:numPr>
        <w:spacing w:line="360" w:lineRule="auto"/>
        <w:jc w:val="center"/>
        <w:outlineLvl w:val="0"/>
        <w:rPr>
          <w:rFonts w:asciiTheme="minorEastAsia" w:hAnsiTheme="minorEastAsia" w:eastAsiaTheme="minorEastAsia"/>
          <w:b/>
          <w:color w:val="auto"/>
          <w:sz w:val="36"/>
          <w:szCs w:val="36"/>
          <w:highlight w:val="none"/>
        </w:rPr>
      </w:pPr>
      <w:bookmarkStart w:id="33" w:name="_Toc29935"/>
      <w:r>
        <w:rPr>
          <w:rFonts w:hint="eastAsia" w:asciiTheme="minorEastAsia" w:hAnsiTheme="minorEastAsia" w:eastAsiaTheme="minorEastAsia"/>
          <w:b/>
          <w:color w:val="auto"/>
          <w:sz w:val="36"/>
          <w:szCs w:val="36"/>
          <w:highlight w:val="none"/>
        </w:rPr>
        <w:t>项目需求</w:t>
      </w:r>
      <w:bookmarkEnd w:id="33"/>
    </w:p>
    <w:p w14:paraId="1FBA3404">
      <w:pPr>
        <w:tabs>
          <w:tab w:val="left" w:pos="8280"/>
        </w:tabs>
        <w:autoSpaceDE w:val="0"/>
        <w:autoSpaceDN w:val="0"/>
        <w:adjustRightInd w:val="0"/>
        <w:spacing w:line="360" w:lineRule="auto"/>
        <w:ind w:right="25"/>
        <w:jc w:val="left"/>
        <w:rPr>
          <w:rFonts w:ascii="宋体" w:hAnsi="宋体" w:cs="楷体_GB2312"/>
          <w:sz w:val="24"/>
          <w:highlight w:val="none"/>
        </w:rPr>
      </w:pPr>
      <w:r>
        <w:rPr>
          <w:rFonts w:hint="eastAsia" w:ascii="宋体" w:hAnsi="宋体" w:cs="楷体_GB2312"/>
          <w:b/>
          <w:sz w:val="24"/>
          <w:highlight w:val="none"/>
        </w:rPr>
        <w:t>一、项目一览表</w:t>
      </w:r>
    </w:p>
    <w:p w14:paraId="672C6B8A">
      <w:pPr>
        <w:spacing w:line="360" w:lineRule="auto"/>
        <w:rPr>
          <w:rFonts w:ascii="宋体" w:hAnsi="宋体" w:cs="宋体"/>
          <w:b/>
          <w:szCs w:val="21"/>
          <w:highlight w:val="none"/>
        </w:rPr>
      </w:pPr>
      <w:r>
        <w:rPr>
          <w:rFonts w:hint="eastAsia" w:ascii="宋体" w:hAnsi="宋体"/>
          <w:sz w:val="24"/>
          <w:highlight w:val="none"/>
        </w:rPr>
        <w:t xml:space="preserve"> 共</w:t>
      </w:r>
      <w:r>
        <w:rPr>
          <w:rFonts w:hint="eastAsia" w:ascii="宋体" w:hAnsi="宋体"/>
          <w:sz w:val="24"/>
          <w:highlight w:val="none"/>
          <w:u w:val="single"/>
        </w:rPr>
        <w:t>1</w:t>
      </w:r>
      <w:r>
        <w:rPr>
          <w:rFonts w:hint="eastAsia" w:ascii="宋体" w:hAnsi="宋体"/>
          <w:sz w:val="24"/>
          <w:highlight w:val="none"/>
        </w:rPr>
        <w:t>个标段，具体内容如下表：</w:t>
      </w:r>
    </w:p>
    <w:tbl>
      <w:tblPr>
        <w:tblStyle w:val="24"/>
        <w:tblpPr w:leftFromText="180" w:rightFromText="180" w:vertAnchor="text" w:horzAnchor="margin" w:tblpXSpec="center" w:tblpY="45"/>
        <w:tblOverlap w:val="never"/>
        <w:tblW w:w="929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8"/>
        <w:gridCol w:w="2297"/>
        <w:gridCol w:w="1191"/>
        <w:gridCol w:w="555"/>
        <w:gridCol w:w="555"/>
        <w:gridCol w:w="1305"/>
        <w:gridCol w:w="1440"/>
        <w:gridCol w:w="1235"/>
      </w:tblGrid>
      <w:tr w14:paraId="38FCB6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9" w:hRule="atLeast"/>
        </w:trPr>
        <w:tc>
          <w:tcPr>
            <w:tcW w:w="718" w:type="dxa"/>
            <w:noWrap w:val="0"/>
            <w:vAlign w:val="center"/>
          </w:tcPr>
          <w:p w14:paraId="36E4A034">
            <w:pPr>
              <w:tabs>
                <w:tab w:val="left" w:pos="8280"/>
              </w:tabs>
              <w:autoSpaceDE w:val="0"/>
              <w:autoSpaceDN w:val="0"/>
              <w:adjustRightInd w:val="0"/>
              <w:ind w:right="25"/>
              <w:jc w:val="center"/>
              <w:rPr>
                <w:rFonts w:ascii="宋体" w:hAnsi="宋体"/>
                <w:b/>
                <w:sz w:val="24"/>
                <w:highlight w:val="none"/>
              </w:rPr>
            </w:pPr>
            <w:r>
              <w:rPr>
                <w:rFonts w:hint="eastAsia" w:ascii="宋体" w:hAnsi="宋体"/>
                <w:b/>
                <w:sz w:val="24"/>
                <w:highlight w:val="none"/>
              </w:rPr>
              <w:t>标段号</w:t>
            </w:r>
          </w:p>
        </w:tc>
        <w:tc>
          <w:tcPr>
            <w:tcW w:w="2297" w:type="dxa"/>
            <w:noWrap w:val="0"/>
            <w:vAlign w:val="center"/>
          </w:tcPr>
          <w:p w14:paraId="43C4282E">
            <w:pPr>
              <w:tabs>
                <w:tab w:val="left" w:pos="8280"/>
              </w:tabs>
              <w:autoSpaceDE w:val="0"/>
              <w:autoSpaceDN w:val="0"/>
              <w:adjustRightInd w:val="0"/>
              <w:ind w:right="25"/>
              <w:jc w:val="center"/>
              <w:rPr>
                <w:rFonts w:hint="eastAsia" w:ascii="宋体" w:hAnsi="宋体"/>
                <w:b/>
                <w:sz w:val="24"/>
                <w:highlight w:val="none"/>
              </w:rPr>
            </w:pPr>
            <w:r>
              <w:rPr>
                <w:rFonts w:hint="eastAsia" w:ascii="宋体" w:hAnsi="宋体"/>
                <w:b/>
                <w:sz w:val="24"/>
                <w:highlight w:val="none"/>
              </w:rPr>
              <w:t>标项划分</w:t>
            </w:r>
          </w:p>
        </w:tc>
        <w:tc>
          <w:tcPr>
            <w:tcW w:w="1191" w:type="dxa"/>
            <w:noWrap w:val="0"/>
            <w:vAlign w:val="center"/>
          </w:tcPr>
          <w:p w14:paraId="657BAD3B">
            <w:pPr>
              <w:tabs>
                <w:tab w:val="left" w:pos="8280"/>
              </w:tabs>
              <w:autoSpaceDE w:val="0"/>
              <w:autoSpaceDN w:val="0"/>
              <w:adjustRightInd w:val="0"/>
              <w:ind w:right="25"/>
              <w:jc w:val="center"/>
              <w:rPr>
                <w:rFonts w:ascii="宋体" w:hAnsi="宋体"/>
                <w:b/>
                <w:sz w:val="24"/>
                <w:highlight w:val="none"/>
              </w:rPr>
            </w:pPr>
            <w:r>
              <w:rPr>
                <w:rFonts w:hint="eastAsia" w:ascii="宋体" w:hAnsi="宋体" w:cs="Calibri Light"/>
                <w:b/>
                <w:kern w:val="0"/>
                <w:sz w:val="24"/>
                <w:highlight w:val="none"/>
              </w:rPr>
              <w:t>简要技术要求</w:t>
            </w:r>
          </w:p>
        </w:tc>
        <w:tc>
          <w:tcPr>
            <w:tcW w:w="555" w:type="dxa"/>
            <w:noWrap w:val="0"/>
            <w:vAlign w:val="center"/>
          </w:tcPr>
          <w:p w14:paraId="5B4F2F29">
            <w:pPr>
              <w:tabs>
                <w:tab w:val="left" w:pos="8280"/>
              </w:tabs>
              <w:autoSpaceDE w:val="0"/>
              <w:autoSpaceDN w:val="0"/>
              <w:adjustRightInd w:val="0"/>
              <w:ind w:right="25"/>
              <w:jc w:val="center"/>
              <w:rPr>
                <w:rFonts w:ascii="宋体" w:hAnsi="宋体"/>
                <w:b/>
                <w:sz w:val="24"/>
                <w:highlight w:val="none"/>
              </w:rPr>
            </w:pPr>
            <w:r>
              <w:rPr>
                <w:rFonts w:hint="eastAsia" w:ascii="宋体" w:hAnsi="宋体"/>
                <w:b/>
                <w:sz w:val="24"/>
                <w:highlight w:val="none"/>
              </w:rPr>
              <w:t>数量</w:t>
            </w:r>
          </w:p>
        </w:tc>
        <w:tc>
          <w:tcPr>
            <w:tcW w:w="555" w:type="dxa"/>
            <w:noWrap w:val="0"/>
            <w:vAlign w:val="center"/>
          </w:tcPr>
          <w:p w14:paraId="43E485FA">
            <w:pPr>
              <w:tabs>
                <w:tab w:val="left" w:pos="8280"/>
              </w:tabs>
              <w:autoSpaceDE w:val="0"/>
              <w:autoSpaceDN w:val="0"/>
              <w:adjustRightInd w:val="0"/>
              <w:ind w:right="25"/>
              <w:jc w:val="center"/>
              <w:rPr>
                <w:rFonts w:ascii="宋体" w:hAnsi="宋体"/>
                <w:b/>
                <w:sz w:val="24"/>
                <w:highlight w:val="none"/>
              </w:rPr>
            </w:pPr>
            <w:r>
              <w:rPr>
                <w:rFonts w:hint="eastAsia" w:ascii="宋体" w:hAnsi="宋体"/>
                <w:b/>
                <w:sz w:val="24"/>
                <w:highlight w:val="none"/>
              </w:rPr>
              <w:t>单位</w:t>
            </w:r>
          </w:p>
        </w:tc>
        <w:tc>
          <w:tcPr>
            <w:tcW w:w="1305" w:type="dxa"/>
            <w:noWrap w:val="0"/>
            <w:vAlign w:val="center"/>
          </w:tcPr>
          <w:p w14:paraId="4DF393D3">
            <w:pPr>
              <w:tabs>
                <w:tab w:val="left" w:pos="8280"/>
              </w:tabs>
              <w:autoSpaceDE w:val="0"/>
              <w:autoSpaceDN w:val="0"/>
              <w:adjustRightInd w:val="0"/>
              <w:ind w:right="25"/>
              <w:jc w:val="center"/>
              <w:rPr>
                <w:rFonts w:ascii="宋体" w:hAnsi="宋体"/>
                <w:b/>
                <w:sz w:val="24"/>
                <w:highlight w:val="none"/>
              </w:rPr>
            </w:pPr>
            <w:r>
              <w:rPr>
                <w:rFonts w:hint="eastAsia" w:ascii="宋体" w:hAnsi="宋体"/>
                <w:b/>
                <w:sz w:val="24"/>
                <w:highlight w:val="none"/>
              </w:rPr>
              <w:t>预算（元）</w:t>
            </w:r>
          </w:p>
        </w:tc>
        <w:tc>
          <w:tcPr>
            <w:tcW w:w="1440" w:type="dxa"/>
            <w:noWrap w:val="0"/>
            <w:vAlign w:val="center"/>
          </w:tcPr>
          <w:p w14:paraId="422EB86D">
            <w:pPr>
              <w:tabs>
                <w:tab w:val="left" w:pos="8280"/>
              </w:tabs>
              <w:autoSpaceDE w:val="0"/>
              <w:autoSpaceDN w:val="0"/>
              <w:adjustRightInd w:val="0"/>
              <w:ind w:right="25" w:hanging="22"/>
              <w:jc w:val="center"/>
              <w:rPr>
                <w:rFonts w:hint="eastAsia" w:ascii="宋体" w:hAnsi="宋体"/>
                <w:b/>
                <w:sz w:val="24"/>
                <w:highlight w:val="none"/>
              </w:rPr>
            </w:pPr>
            <w:r>
              <w:rPr>
                <w:rFonts w:hint="eastAsia" w:ascii="宋体" w:hAnsi="宋体"/>
                <w:b/>
                <w:sz w:val="24"/>
                <w:highlight w:val="none"/>
              </w:rPr>
              <w:t>最高限价</w:t>
            </w:r>
            <w:r>
              <w:rPr>
                <w:rFonts w:ascii="宋体" w:hAnsi="宋体"/>
                <w:b/>
                <w:sz w:val="24"/>
                <w:highlight w:val="none"/>
              </w:rPr>
              <w:t>（</w:t>
            </w:r>
            <w:r>
              <w:rPr>
                <w:rFonts w:hint="eastAsia" w:ascii="宋体" w:hAnsi="宋体"/>
                <w:b/>
                <w:sz w:val="24"/>
                <w:highlight w:val="none"/>
              </w:rPr>
              <w:t>元</w:t>
            </w:r>
            <w:r>
              <w:rPr>
                <w:rFonts w:ascii="宋体" w:hAnsi="宋体"/>
                <w:b/>
                <w:sz w:val="24"/>
                <w:highlight w:val="none"/>
              </w:rPr>
              <w:t>）</w:t>
            </w:r>
          </w:p>
        </w:tc>
        <w:tc>
          <w:tcPr>
            <w:tcW w:w="1235" w:type="dxa"/>
            <w:noWrap w:val="0"/>
            <w:vAlign w:val="center"/>
          </w:tcPr>
          <w:p w14:paraId="6F5D0EB8">
            <w:pPr>
              <w:tabs>
                <w:tab w:val="left" w:pos="8280"/>
              </w:tabs>
              <w:autoSpaceDE w:val="0"/>
              <w:autoSpaceDN w:val="0"/>
              <w:adjustRightInd w:val="0"/>
              <w:ind w:right="25" w:hanging="22"/>
              <w:jc w:val="center"/>
              <w:rPr>
                <w:rFonts w:hint="eastAsia" w:ascii="宋体" w:hAnsi="宋体"/>
                <w:b/>
                <w:sz w:val="24"/>
                <w:highlight w:val="none"/>
              </w:rPr>
            </w:pPr>
            <w:r>
              <w:rPr>
                <w:rFonts w:hint="eastAsia" w:ascii="宋体" w:hAnsi="宋体"/>
                <w:b/>
                <w:sz w:val="24"/>
                <w:highlight w:val="none"/>
              </w:rPr>
              <w:t>工期</w:t>
            </w:r>
          </w:p>
        </w:tc>
      </w:tr>
      <w:tr w14:paraId="2017FE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42" w:hRule="atLeast"/>
        </w:trPr>
        <w:tc>
          <w:tcPr>
            <w:tcW w:w="718" w:type="dxa"/>
            <w:noWrap w:val="0"/>
            <w:vAlign w:val="center"/>
          </w:tcPr>
          <w:p w14:paraId="232B4CB1">
            <w:pPr>
              <w:tabs>
                <w:tab w:val="left" w:pos="8280"/>
              </w:tabs>
              <w:autoSpaceDE w:val="0"/>
              <w:autoSpaceDN w:val="0"/>
              <w:adjustRightInd w:val="0"/>
              <w:ind w:right="25"/>
              <w:jc w:val="center"/>
              <w:rPr>
                <w:rFonts w:ascii="宋体" w:hAnsi="宋体"/>
                <w:sz w:val="24"/>
                <w:highlight w:val="none"/>
              </w:rPr>
            </w:pPr>
            <w:r>
              <w:rPr>
                <w:rFonts w:hint="eastAsia" w:ascii="宋体" w:hAnsi="宋体"/>
                <w:sz w:val="24"/>
                <w:highlight w:val="none"/>
              </w:rPr>
              <w:t>1</w:t>
            </w:r>
          </w:p>
        </w:tc>
        <w:tc>
          <w:tcPr>
            <w:tcW w:w="2297" w:type="dxa"/>
            <w:noWrap w:val="0"/>
            <w:vAlign w:val="center"/>
          </w:tcPr>
          <w:p w14:paraId="5C80D8B4">
            <w:pPr>
              <w:tabs>
                <w:tab w:val="left" w:pos="8280"/>
              </w:tabs>
              <w:autoSpaceDE w:val="0"/>
              <w:autoSpaceDN w:val="0"/>
              <w:adjustRightInd w:val="0"/>
              <w:ind w:right="25"/>
              <w:jc w:val="center"/>
              <w:rPr>
                <w:rFonts w:hint="eastAsia" w:ascii="宋体" w:hAnsi="宋体" w:eastAsia="宋体"/>
                <w:sz w:val="24"/>
                <w:highlight w:val="none"/>
                <w:lang w:eastAsia="zh-CN"/>
              </w:rPr>
            </w:pPr>
            <w:r>
              <w:rPr>
                <w:rFonts w:hint="eastAsia" w:ascii="宋体" w:hAnsi="宋体"/>
                <w:sz w:val="24"/>
                <w:highlight w:val="none"/>
                <w:lang w:eastAsia="zh-CN"/>
              </w:rPr>
              <w:t xml:space="preserve">台州市椒江区前所街道椒北南渠（大树岙村段）综合整治工程 </w:t>
            </w:r>
          </w:p>
        </w:tc>
        <w:tc>
          <w:tcPr>
            <w:tcW w:w="1191" w:type="dxa"/>
            <w:noWrap w:val="0"/>
            <w:vAlign w:val="center"/>
          </w:tcPr>
          <w:p w14:paraId="57D567A5">
            <w:pPr>
              <w:tabs>
                <w:tab w:val="left" w:pos="8280"/>
              </w:tabs>
              <w:autoSpaceDE w:val="0"/>
              <w:autoSpaceDN w:val="0"/>
              <w:adjustRightInd w:val="0"/>
              <w:ind w:right="25"/>
              <w:jc w:val="center"/>
              <w:rPr>
                <w:rFonts w:ascii="宋体" w:hAnsi="宋体"/>
                <w:sz w:val="24"/>
                <w:highlight w:val="none"/>
              </w:rPr>
            </w:pPr>
            <w:r>
              <w:rPr>
                <w:rFonts w:hint="eastAsia" w:ascii="宋体" w:hAnsi="宋体"/>
                <w:sz w:val="24"/>
                <w:highlight w:val="none"/>
              </w:rPr>
              <w:t>具体详见招标需求</w:t>
            </w:r>
          </w:p>
        </w:tc>
        <w:tc>
          <w:tcPr>
            <w:tcW w:w="555" w:type="dxa"/>
            <w:noWrap w:val="0"/>
            <w:vAlign w:val="center"/>
          </w:tcPr>
          <w:p w14:paraId="460CCACE">
            <w:pPr>
              <w:tabs>
                <w:tab w:val="left" w:pos="8280"/>
              </w:tabs>
              <w:autoSpaceDE w:val="0"/>
              <w:autoSpaceDN w:val="0"/>
              <w:adjustRightInd w:val="0"/>
              <w:ind w:right="25"/>
              <w:jc w:val="center"/>
              <w:rPr>
                <w:rFonts w:ascii="宋体" w:hAnsi="宋体"/>
                <w:sz w:val="24"/>
                <w:highlight w:val="none"/>
              </w:rPr>
            </w:pPr>
            <w:r>
              <w:rPr>
                <w:rFonts w:ascii="宋体" w:hAnsi="宋体"/>
                <w:sz w:val="24"/>
                <w:highlight w:val="none"/>
              </w:rPr>
              <w:t>1</w:t>
            </w:r>
          </w:p>
        </w:tc>
        <w:tc>
          <w:tcPr>
            <w:tcW w:w="555" w:type="dxa"/>
            <w:noWrap w:val="0"/>
            <w:vAlign w:val="center"/>
          </w:tcPr>
          <w:p w14:paraId="24E4B40A">
            <w:pPr>
              <w:tabs>
                <w:tab w:val="left" w:pos="8280"/>
              </w:tabs>
              <w:autoSpaceDE w:val="0"/>
              <w:autoSpaceDN w:val="0"/>
              <w:adjustRightInd w:val="0"/>
              <w:ind w:right="25"/>
              <w:jc w:val="center"/>
              <w:rPr>
                <w:rFonts w:ascii="宋体" w:hAnsi="宋体"/>
                <w:sz w:val="24"/>
                <w:highlight w:val="none"/>
              </w:rPr>
            </w:pPr>
            <w:r>
              <w:rPr>
                <w:rFonts w:hint="eastAsia" w:ascii="宋体" w:hAnsi="宋体"/>
                <w:sz w:val="24"/>
                <w:highlight w:val="none"/>
              </w:rPr>
              <w:t>项</w:t>
            </w:r>
          </w:p>
        </w:tc>
        <w:tc>
          <w:tcPr>
            <w:tcW w:w="1305" w:type="dxa"/>
            <w:noWrap w:val="0"/>
            <w:vAlign w:val="center"/>
          </w:tcPr>
          <w:p w14:paraId="7C6509B0">
            <w:pPr>
              <w:tabs>
                <w:tab w:val="left" w:pos="8280"/>
              </w:tabs>
              <w:autoSpaceDE w:val="0"/>
              <w:autoSpaceDN w:val="0"/>
              <w:adjustRightInd w:val="0"/>
              <w:ind w:right="25"/>
              <w:jc w:val="center"/>
              <w:rPr>
                <w:rFonts w:ascii="宋体" w:hAnsi="宋体"/>
                <w:sz w:val="24"/>
                <w:highlight w:val="none"/>
              </w:rPr>
            </w:pPr>
            <w:r>
              <w:rPr>
                <w:rFonts w:hint="eastAsia" w:ascii="宋体" w:hAnsi="宋体" w:eastAsia="宋体" w:cs="Times New Roman"/>
                <w:color w:val="000000"/>
                <w:sz w:val="24"/>
                <w:highlight w:val="none"/>
                <w:lang w:val="en-US" w:eastAsia="zh-CN"/>
              </w:rPr>
              <w:t>1968912</w:t>
            </w:r>
          </w:p>
        </w:tc>
        <w:tc>
          <w:tcPr>
            <w:tcW w:w="1440" w:type="dxa"/>
            <w:noWrap w:val="0"/>
            <w:vAlign w:val="center"/>
          </w:tcPr>
          <w:p w14:paraId="0CD9BD46">
            <w:pPr>
              <w:snapToGrid w:val="0"/>
              <w:spacing w:line="400" w:lineRule="exact"/>
              <w:jc w:val="center"/>
              <w:rPr>
                <w:rFonts w:hint="eastAsia" w:ascii="宋体" w:hAnsi="宋体" w:eastAsia="宋体" w:cs="Times New Roman"/>
                <w:color w:val="000000"/>
                <w:sz w:val="24"/>
                <w:highlight w:val="none"/>
                <w:lang w:val="en-US" w:eastAsia="zh-CN"/>
              </w:rPr>
            </w:pPr>
            <w:r>
              <w:rPr>
                <w:rFonts w:hint="eastAsia" w:ascii="宋体" w:hAnsi="宋体" w:eastAsia="宋体" w:cs="Times New Roman"/>
                <w:color w:val="000000"/>
                <w:sz w:val="24"/>
                <w:highlight w:val="none"/>
                <w:lang w:val="en-US" w:eastAsia="zh-CN"/>
              </w:rPr>
              <w:t>1815204.56</w:t>
            </w:r>
          </w:p>
          <w:p w14:paraId="5BFD0D43">
            <w:pPr>
              <w:widowControl/>
              <w:jc w:val="center"/>
              <w:rPr>
                <w:rFonts w:ascii="宋体" w:hAnsi="宋体"/>
                <w:sz w:val="24"/>
                <w:highlight w:val="none"/>
              </w:rPr>
            </w:pPr>
            <w:r>
              <w:rPr>
                <w:rFonts w:hint="eastAsia"/>
                <w:sz w:val="24"/>
                <w:highlight w:val="none"/>
              </w:rPr>
              <w:t>【（预算金额-安全文明施工费）×9</w:t>
            </w:r>
            <w:r>
              <w:rPr>
                <w:sz w:val="24"/>
                <w:highlight w:val="none"/>
              </w:rPr>
              <w:t>2%+</w:t>
            </w:r>
            <w:r>
              <w:rPr>
                <w:rFonts w:hint="eastAsia"/>
                <w:sz w:val="24"/>
                <w:highlight w:val="none"/>
              </w:rPr>
              <w:t>安全文明施工费】安全文明施工费不作为竞争性费用，且实行标外管理。</w:t>
            </w:r>
          </w:p>
        </w:tc>
        <w:tc>
          <w:tcPr>
            <w:tcW w:w="1235" w:type="dxa"/>
            <w:noWrap w:val="0"/>
            <w:vAlign w:val="center"/>
          </w:tcPr>
          <w:p w14:paraId="557C763E">
            <w:pPr>
              <w:widowControl/>
              <w:jc w:val="center"/>
              <w:rPr>
                <w:rFonts w:ascii="宋体" w:hAnsi="宋体"/>
                <w:sz w:val="24"/>
                <w:highlight w:val="none"/>
              </w:rPr>
            </w:pPr>
            <w:r>
              <w:rPr>
                <w:rFonts w:hint="eastAsia" w:ascii="宋体" w:hAnsi="宋体"/>
                <w:sz w:val="24"/>
                <w:highlight w:val="none"/>
              </w:rPr>
              <w:t>不超过</w:t>
            </w:r>
            <w:r>
              <w:rPr>
                <w:rFonts w:hint="eastAsia" w:ascii="宋体" w:hAnsi="宋体"/>
                <w:sz w:val="24"/>
                <w:highlight w:val="none"/>
                <w:u w:val="single"/>
                <w:lang w:val="en-US" w:eastAsia="zh-CN"/>
              </w:rPr>
              <w:t>90</w:t>
            </w:r>
            <w:r>
              <w:rPr>
                <w:rFonts w:hint="eastAsia" w:ascii="宋体" w:hAnsi="宋体"/>
                <w:sz w:val="24"/>
                <w:highlight w:val="none"/>
                <w:u w:val="single"/>
              </w:rPr>
              <w:t xml:space="preserve"> </w:t>
            </w:r>
            <w:r>
              <w:rPr>
                <w:rFonts w:hint="eastAsia" w:ascii="宋体" w:hAnsi="宋体"/>
                <w:sz w:val="24"/>
                <w:highlight w:val="none"/>
              </w:rPr>
              <w:t xml:space="preserve">    日历天，实际开工日期以开工令为准。</w:t>
            </w:r>
          </w:p>
        </w:tc>
      </w:tr>
    </w:tbl>
    <w:p w14:paraId="45951E6B">
      <w:pPr>
        <w:tabs>
          <w:tab w:val="left" w:pos="8280"/>
        </w:tabs>
        <w:autoSpaceDE w:val="0"/>
        <w:autoSpaceDN w:val="0"/>
        <w:adjustRightInd w:val="0"/>
        <w:spacing w:line="360" w:lineRule="auto"/>
        <w:ind w:right="23" w:firstLine="241" w:firstLineChars="100"/>
        <w:rPr>
          <w:rFonts w:hint="eastAsia" w:ascii="宋体" w:hAnsi="宋体" w:cs="宋体"/>
          <w:b/>
          <w:sz w:val="24"/>
          <w:highlight w:val="none"/>
        </w:rPr>
      </w:pPr>
      <w:r>
        <w:rPr>
          <w:rFonts w:hint="eastAsia" w:ascii="宋体" w:hAnsi="宋体" w:cs="宋体"/>
          <w:b/>
          <w:sz w:val="24"/>
          <w:highlight w:val="none"/>
        </w:rPr>
        <w:t>二、工程概况</w:t>
      </w:r>
    </w:p>
    <w:p w14:paraId="0FC62955">
      <w:pPr>
        <w:pStyle w:val="71"/>
        <w:spacing w:line="360" w:lineRule="auto"/>
        <w:rPr>
          <w:rFonts w:hint="eastAsia" w:ascii="Times New Roman" w:hAnsi="Times New Roman"/>
          <w:highlight w:val="none"/>
        </w:rPr>
      </w:pPr>
      <w:r>
        <w:rPr>
          <w:rFonts w:hint="eastAsia" w:ascii="Times New Roman" w:hAnsi="Times New Roman"/>
          <w:highlight w:val="none"/>
        </w:rPr>
        <w:t>1.招标概况：本项目位于椒江区前所街道大树岙村内，本次整治河道长度1417.3m，游步道1431.0m，栏杆1417.3m，绿化带1400m2。</w:t>
      </w:r>
    </w:p>
    <w:p w14:paraId="25716DDB">
      <w:pPr>
        <w:pStyle w:val="71"/>
        <w:spacing w:line="360" w:lineRule="auto"/>
        <w:rPr>
          <w:rFonts w:hint="eastAsia" w:ascii="Times New Roman" w:hAnsi="Times New Roman"/>
          <w:highlight w:val="none"/>
        </w:rPr>
      </w:pPr>
      <w:r>
        <w:rPr>
          <w:rFonts w:hint="eastAsia" w:ascii="Times New Roman" w:hAnsi="Times New Roman"/>
          <w:highlight w:val="none"/>
        </w:rPr>
        <w:t>2.建设地点：椒江区前所街道大树岙村。</w:t>
      </w:r>
    </w:p>
    <w:p w14:paraId="692B61F5">
      <w:pPr>
        <w:tabs>
          <w:tab w:val="left" w:pos="8280"/>
        </w:tabs>
        <w:autoSpaceDE w:val="0"/>
        <w:autoSpaceDN w:val="0"/>
        <w:adjustRightInd w:val="0"/>
        <w:spacing w:line="360" w:lineRule="auto"/>
        <w:ind w:right="25" w:firstLine="420" w:firstLineChars="200"/>
        <w:jc w:val="left"/>
        <w:rPr>
          <w:rFonts w:hint="eastAsia"/>
          <w:highlight w:val="none"/>
        </w:rPr>
      </w:pPr>
      <w:r>
        <w:rPr>
          <w:rFonts w:hint="eastAsia"/>
          <w:highlight w:val="none"/>
        </w:rPr>
        <w:t>3.建设内容：本工程施工图范围内的内容，具体详见工程量清单及工程施工图纸。</w:t>
      </w:r>
    </w:p>
    <w:p w14:paraId="01ACC993">
      <w:pPr>
        <w:tabs>
          <w:tab w:val="left" w:pos="8280"/>
        </w:tabs>
        <w:autoSpaceDE w:val="0"/>
        <w:autoSpaceDN w:val="0"/>
        <w:adjustRightInd w:val="0"/>
        <w:spacing w:line="360" w:lineRule="auto"/>
        <w:ind w:right="25" w:firstLine="241" w:firstLineChars="100"/>
        <w:rPr>
          <w:rFonts w:hint="eastAsia" w:ascii="宋体" w:hAnsi="宋体" w:cs="宋体"/>
          <w:b/>
          <w:sz w:val="24"/>
          <w:highlight w:val="none"/>
        </w:rPr>
      </w:pPr>
      <w:bookmarkStart w:id="34" w:name="_Toc531162038"/>
      <w:bookmarkStart w:id="35" w:name="_Toc13646"/>
      <w:r>
        <w:rPr>
          <w:rFonts w:hint="eastAsia" w:ascii="宋体" w:hAnsi="宋体" w:cs="宋体"/>
          <w:b/>
          <w:sz w:val="24"/>
          <w:highlight w:val="none"/>
        </w:rPr>
        <w:t>三、技术规范及标准</w:t>
      </w:r>
      <w:bookmarkEnd w:id="34"/>
      <w:bookmarkEnd w:id="35"/>
    </w:p>
    <w:p w14:paraId="265B6631">
      <w:pPr>
        <w:pStyle w:val="71"/>
        <w:rPr>
          <w:rFonts w:hint="eastAsia" w:ascii="Times New Roman" w:hAnsi="Times New Roman" w:cs="Times New Roman"/>
          <w:szCs w:val="24"/>
          <w:highlight w:val="none"/>
        </w:rPr>
      </w:pPr>
      <w:r>
        <w:rPr>
          <w:rFonts w:hint="eastAsia" w:ascii="Times New Roman" w:hAnsi="Times New Roman" w:cs="Times New Roman"/>
          <w:szCs w:val="24"/>
          <w:highlight w:val="none"/>
        </w:rPr>
        <w:t>本技术文件引用《浙江省水利水电工程施工招标文件示范文本(</w:t>
      </w:r>
      <w:r>
        <w:rPr>
          <w:rFonts w:ascii="Times New Roman" w:hAnsi="Times New Roman" w:cs="Times New Roman"/>
          <w:szCs w:val="24"/>
          <w:highlight w:val="none"/>
        </w:rPr>
        <w:t>2023年</w:t>
      </w:r>
      <w:r>
        <w:rPr>
          <w:rFonts w:hint="eastAsia" w:ascii="Times New Roman" w:hAnsi="Times New Roman" w:cs="Times New Roman"/>
          <w:szCs w:val="24"/>
          <w:highlight w:val="none"/>
        </w:rPr>
        <w:t>)》的技术标准和要求（合同技术条款）。</w:t>
      </w:r>
    </w:p>
    <w:p w14:paraId="76CAF601">
      <w:pPr>
        <w:pStyle w:val="71"/>
        <w:rPr>
          <w:rFonts w:hint="eastAsia" w:ascii="Times New Roman" w:hAnsi="Times New Roman"/>
          <w:highlight w:val="none"/>
        </w:rPr>
      </w:pPr>
      <w:r>
        <w:rPr>
          <w:rFonts w:hint="eastAsia" w:ascii="Times New Roman" w:hAnsi="Times New Roman" w:cs="Times New Roman"/>
          <w:szCs w:val="24"/>
          <w:highlight w:val="none"/>
        </w:rPr>
        <w:t>技术标准和要求中的内容若有与本工程图纸不一致者，以图纸为准。</w:t>
      </w:r>
    </w:p>
    <w:p w14:paraId="73494259">
      <w:pPr>
        <w:tabs>
          <w:tab w:val="left" w:pos="8280"/>
        </w:tabs>
        <w:autoSpaceDE w:val="0"/>
        <w:autoSpaceDN w:val="0"/>
        <w:adjustRightInd w:val="0"/>
        <w:spacing w:line="360" w:lineRule="auto"/>
        <w:ind w:right="25" w:firstLine="241" w:firstLineChars="100"/>
        <w:rPr>
          <w:rFonts w:ascii="宋体" w:hAnsi="宋体" w:cs="宋体"/>
          <w:b/>
          <w:sz w:val="24"/>
          <w:highlight w:val="none"/>
        </w:rPr>
      </w:pPr>
      <w:bookmarkStart w:id="36" w:name="_Toc16521985"/>
      <w:bookmarkStart w:id="37" w:name="_Toc8305389"/>
      <w:bookmarkStart w:id="38" w:name="_Toc26660"/>
      <w:r>
        <w:rPr>
          <w:rFonts w:hint="eastAsia" w:ascii="宋体" w:hAnsi="宋体" w:cs="宋体"/>
          <w:b/>
          <w:sz w:val="24"/>
          <w:highlight w:val="none"/>
        </w:rPr>
        <w:t>▲四、人员配备</w:t>
      </w:r>
      <w:r>
        <w:rPr>
          <w:rFonts w:ascii="宋体" w:hAnsi="宋体" w:cs="宋体"/>
          <w:b/>
          <w:sz w:val="24"/>
          <w:highlight w:val="none"/>
        </w:rPr>
        <w:t>要求</w:t>
      </w:r>
      <w:bookmarkEnd w:id="36"/>
      <w:bookmarkEnd w:id="37"/>
      <w:bookmarkEnd w:id="38"/>
    </w:p>
    <w:tbl>
      <w:tblPr>
        <w:tblStyle w:val="24"/>
        <w:tblW w:w="9214" w:type="dxa"/>
        <w:tblInd w:w="11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0"/>
        <w:gridCol w:w="1390"/>
        <w:gridCol w:w="1010"/>
        <w:gridCol w:w="3758"/>
        <w:gridCol w:w="2556"/>
      </w:tblGrid>
      <w:tr w14:paraId="4891A4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2" w:hRule="atLeast"/>
        </w:trPr>
        <w:tc>
          <w:tcPr>
            <w:tcW w:w="500" w:type="dxa"/>
            <w:noWrap w:val="0"/>
            <w:vAlign w:val="center"/>
          </w:tcPr>
          <w:p w14:paraId="011FF52B">
            <w:pPr>
              <w:adjustRightInd w:val="0"/>
              <w:snapToGrid w:val="0"/>
              <w:jc w:val="center"/>
              <w:outlineLvl w:val="0"/>
              <w:rPr>
                <w:rFonts w:ascii="宋体" w:hAnsi="宋体" w:cs="宋体"/>
                <w:kern w:val="0"/>
                <w:sz w:val="24"/>
                <w:szCs w:val="21"/>
                <w:highlight w:val="none"/>
              </w:rPr>
            </w:pPr>
            <w:r>
              <w:rPr>
                <w:rFonts w:hint="eastAsia" w:ascii="宋体" w:hAnsi="宋体" w:cs="宋体"/>
                <w:kern w:val="0"/>
                <w:sz w:val="24"/>
                <w:szCs w:val="21"/>
                <w:highlight w:val="none"/>
              </w:rPr>
              <w:t>序号</w:t>
            </w:r>
          </w:p>
        </w:tc>
        <w:tc>
          <w:tcPr>
            <w:tcW w:w="1390" w:type="dxa"/>
            <w:noWrap w:val="0"/>
            <w:vAlign w:val="center"/>
          </w:tcPr>
          <w:p w14:paraId="5F083D17">
            <w:pPr>
              <w:adjustRightInd w:val="0"/>
              <w:snapToGrid w:val="0"/>
              <w:jc w:val="center"/>
              <w:outlineLvl w:val="0"/>
              <w:rPr>
                <w:rFonts w:ascii="宋体" w:hAnsi="宋体" w:cs="宋体"/>
                <w:kern w:val="0"/>
                <w:sz w:val="24"/>
                <w:szCs w:val="21"/>
                <w:highlight w:val="none"/>
              </w:rPr>
            </w:pPr>
            <w:r>
              <w:rPr>
                <w:rFonts w:hint="eastAsia" w:ascii="宋体" w:hAnsi="宋体" w:cs="宋体"/>
                <w:kern w:val="0"/>
                <w:sz w:val="24"/>
                <w:szCs w:val="21"/>
                <w:highlight w:val="none"/>
              </w:rPr>
              <w:t>职务</w:t>
            </w:r>
          </w:p>
        </w:tc>
        <w:tc>
          <w:tcPr>
            <w:tcW w:w="1010" w:type="dxa"/>
            <w:noWrap w:val="0"/>
            <w:vAlign w:val="center"/>
          </w:tcPr>
          <w:p w14:paraId="0E342D99">
            <w:pPr>
              <w:adjustRightInd w:val="0"/>
              <w:snapToGrid w:val="0"/>
              <w:jc w:val="center"/>
              <w:outlineLvl w:val="0"/>
              <w:rPr>
                <w:rFonts w:ascii="宋体" w:hAnsi="宋体" w:cs="宋体"/>
                <w:kern w:val="0"/>
                <w:sz w:val="24"/>
                <w:szCs w:val="21"/>
                <w:highlight w:val="none"/>
              </w:rPr>
            </w:pPr>
            <w:r>
              <w:rPr>
                <w:rFonts w:hint="eastAsia" w:ascii="宋体" w:hAnsi="宋体" w:cs="宋体"/>
                <w:kern w:val="0"/>
                <w:sz w:val="24"/>
                <w:szCs w:val="21"/>
                <w:highlight w:val="none"/>
              </w:rPr>
              <w:t>人数（不少于）</w:t>
            </w:r>
          </w:p>
        </w:tc>
        <w:tc>
          <w:tcPr>
            <w:tcW w:w="3758" w:type="dxa"/>
            <w:noWrap w:val="0"/>
            <w:vAlign w:val="center"/>
          </w:tcPr>
          <w:p w14:paraId="302E905D">
            <w:pPr>
              <w:adjustRightInd w:val="0"/>
              <w:snapToGrid w:val="0"/>
              <w:jc w:val="center"/>
              <w:outlineLvl w:val="0"/>
              <w:rPr>
                <w:rFonts w:ascii="宋体" w:hAnsi="宋体" w:cs="宋体"/>
                <w:kern w:val="0"/>
                <w:sz w:val="24"/>
                <w:szCs w:val="21"/>
                <w:highlight w:val="none"/>
              </w:rPr>
            </w:pPr>
            <w:r>
              <w:rPr>
                <w:rFonts w:hint="eastAsia" w:ascii="宋体" w:hAnsi="宋体" w:cs="宋体"/>
                <w:kern w:val="0"/>
                <w:sz w:val="24"/>
                <w:szCs w:val="21"/>
                <w:highlight w:val="none"/>
              </w:rPr>
              <w:t>资历要求</w:t>
            </w:r>
          </w:p>
        </w:tc>
        <w:tc>
          <w:tcPr>
            <w:tcW w:w="2556" w:type="dxa"/>
            <w:noWrap w:val="0"/>
            <w:vAlign w:val="center"/>
          </w:tcPr>
          <w:p w14:paraId="1A81F0F3">
            <w:pPr>
              <w:adjustRightInd w:val="0"/>
              <w:snapToGrid w:val="0"/>
              <w:jc w:val="center"/>
              <w:outlineLvl w:val="0"/>
              <w:rPr>
                <w:rFonts w:hint="eastAsia" w:ascii="宋体" w:hAnsi="宋体" w:cs="宋体"/>
                <w:kern w:val="0"/>
                <w:sz w:val="24"/>
                <w:szCs w:val="21"/>
                <w:highlight w:val="none"/>
              </w:rPr>
            </w:pPr>
            <w:r>
              <w:rPr>
                <w:rFonts w:hint="eastAsia" w:ascii="宋体" w:hAnsi="宋体" w:cs="宋体"/>
                <w:kern w:val="0"/>
                <w:sz w:val="24"/>
                <w:szCs w:val="21"/>
                <w:highlight w:val="none"/>
              </w:rPr>
              <w:t>其他要求</w:t>
            </w:r>
          </w:p>
        </w:tc>
      </w:tr>
      <w:tr w14:paraId="2FD985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trPr>
        <w:tc>
          <w:tcPr>
            <w:tcW w:w="500" w:type="dxa"/>
            <w:noWrap w:val="0"/>
            <w:vAlign w:val="center"/>
          </w:tcPr>
          <w:p w14:paraId="2B6E80AF">
            <w:pPr>
              <w:adjustRightInd w:val="0"/>
              <w:snapToGrid w:val="0"/>
              <w:jc w:val="center"/>
              <w:outlineLvl w:val="0"/>
              <w:rPr>
                <w:rFonts w:ascii="宋体" w:hAnsi="宋体" w:cs="宋体"/>
                <w:kern w:val="0"/>
                <w:sz w:val="24"/>
                <w:szCs w:val="21"/>
                <w:highlight w:val="none"/>
              </w:rPr>
            </w:pPr>
            <w:r>
              <w:rPr>
                <w:rFonts w:hint="eastAsia" w:ascii="宋体" w:hAnsi="宋体" w:cs="宋体"/>
                <w:kern w:val="0"/>
                <w:sz w:val="24"/>
                <w:szCs w:val="21"/>
                <w:highlight w:val="none"/>
              </w:rPr>
              <w:t>1</w:t>
            </w:r>
          </w:p>
        </w:tc>
        <w:tc>
          <w:tcPr>
            <w:tcW w:w="1390" w:type="dxa"/>
            <w:noWrap w:val="0"/>
            <w:vAlign w:val="center"/>
          </w:tcPr>
          <w:p w14:paraId="35C157DA">
            <w:pPr>
              <w:adjustRightInd w:val="0"/>
              <w:snapToGrid w:val="0"/>
              <w:jc w:val="center"/>
              <w:outlineLvl w:val="0"/>
              <w:rPr>
                <w:rFonts w:ascii="宋体" w:hAnsi="宋体" w:cs="宋体"/>
                <w:b/>
                <w:kern w:val="0"/>
                <w:sz w:val="24"/>
                <w:szCs w:val="21"/>
                <w:highlight w:val="none"/>
              </w:rPr>
            </w:pPr>
            <w:r>
              <w:rPr>
                <w:rFonts w:hint="eastAsia" w:ascii="宋体" w:hAnsi="宋体" w:cs="宋体"/>
                <w:b/>
                <w:kern w:val="0"/>
                <w:sz w:val="24"/>
                <w:szCs w:val="21"/>
                <w:highlight w:val="none"/>
              </w:rPr>
              <w:t>项目负责人</w:t>
            </w:r>
          </w:p>
        </w:tc>
        <w:tc>
          <w:tcPr>
            <w:tcW w:w="1010" w:type="dxa"/>
            <w:noWrap w:val="0"/>
            <w:vAlign w:val="center"/>
          </w:tcPr>
          <w:p w14:paraId="48E09407">
            <w:pPr>
              <w:adjustRightInd w:val="0"/>
              <w:snapToGrid w:val="0"/>
              <w:jc w:val="center"/>
              <w:outlineLvl w:val="0"/>
              <w:rPr>
                <w:rFonts w:ascii="宋体" w:hAnsi="宋体" w:cs="宋体"/>
                <w:kern w:val="0"/>
                <w:sz w:val="24"/>
                <w:szCs w:val="21"/>
                <w:highlight w:val="none"/>
              </w:rPr>
            </w:pPr>
            <w:r>
              <w:rPr>
                <w:rFonts w:hint="eastAsia" w:ascii="宋体" w:hAnsi="宋体" w:cs="宋体"/>
                <w:kern w:val="0"/>
                <w:sz w:val="24"/>
                <w:szCs w:val="21"/>
                <w:highlight w:val="none"/>
              </w:rPr>
              <w:t>1</w:t>
            </w:r>
          </w:p>
        </w:tc>
        <w:tc>
          <w:tcPr>
            <w:tcW w:w="3758" w:type="dxa"/>
            <w:noWrap w:val="0"/>
            <w:vAlign w:val="center"/>
          </w:tcPr>
          <w:p w14:paraId="3AACE3E2">
            <w:pPr>
              <w:adjustRightInd w:val="0"/>
              <w:snapToGrid w:val="0"/>
              <w:outlineLvl w:val="0"/>
              <w:rPr>
                <w:rFonts w:ascii="宋体" w:hAnsi="宋体" w:cs="宋体"/>
                <w:kern w:val="0"/>
                <w:sz w:val="24"/>
                <w:szCs w:val="21"/>
                <w:highlight w:val="none"/>
              </w:rPr>
            </w:pPr>
            <w:r>
              <w:rPr>
                <w:rFonts w:hint="eastAsia" w:ascii="宋体" w:hAnsi="宋体" w:cs="宋体"/>
                <w:kern w:val="0"/>
                <w:sz w:val="24"/>
                <w:szCs w:val="21"/>
                <w:highlight w:val="none"/>
              </w:rPr>
              <w:t>水利水电工程专业二级及以上注册建造师；</w:t>
            </w:r>
            <w:r>
              <w:rPr>
                <w:rFonts w:hint="eastAsia" w:ascii="宋体" w:hAnsi="宋体" w:cs="宋体"/>
                <w:b/>
                <w:kern w:val="0"/>
                <w:sz w:val="24"/>
                <w:szCs w:val="21"/>
                <w:highlight w:val="none"/>
              </w:rPr>
              <w:t>（提供证书）</w:t>
            </w:r>
            <w:r>
              <w:rPr>
                <w:rFonts w:ascii="宋体" w:hAnsi="宋体" w:cs="宋体"/>
                <w:kern w:val="0"/>
                <w:sz w:val="24"/>
                <w:szCs w:val="21"/>
                <w:highlight w:val="none"/>
              </w:rPr>
              <w:t xml:space="preserve"> </w:t>
            </w:r>
          </w:p>
          <w:p w14:paraId="3EDB8A49">
            <w:pPr>
              <w:adjustRightInd w:val="0"/>
              <w:snapToGrid w:val="0"/>
              <w:outlineLvl w:val="0"/>
              <w:rPr>
                <w:rFonts w:ascii="宋体" w:hAnsi="宋体" w:cs="宋体"/>
                <w:kern w:val="0"/>
                <w:sz w:val="24"/>
                <w:szCs w:val="21"/>
                <w:highlight w:val="none"/>
              </w:rPr>
            </w:pPr>
            <w:r>
              <w:rPr>
                <w:rFonts w:hint="eastAsia" w:ascii="宋体" w:hAnsi="宋体" w:cs="宋体"/>
                <w:kern w:val="0"/>
                <w:sz w:val="24"/>
                <w:szCs w:val="21"/>
                <w:highlight w:val="none"/>
              </w:rPr>
              <w:t>无在建项目；</w:t>
            </w:r>
          </w:p>
          <w:p w14:paraId="42C3246F">
            <w:pPr>
              <w:adjustRightInd w:val="0"/>
              <w:snapToGrid w:val="0"/>
              <w:outlineLvl w:val="0"/>
              <w:rPr>
                <w:rFonts w:ascii="宋体" w:hAnsi="宋体" w:cs="宋体"/>
                <w:kern w:val="0"/>
                <w:sz w:val="24"/>
                <w:szCs w:val="21"/>
                <w:highlight w:val="none"/>
              </w:rPr>
            </w:pPr>
            <w:r>
              <w:rPr>
                <w:rFonts w:hint="eastAsia" w:ascii="宋体" w:hAnsi="宋体" w:cs="宋体"/>
                <w:kern w:val="0"/>
                <w:sz w:val="24"/>
                <w:szCs w:val="21"/>
                <w:highlight w:val="none"/>
              </w:rPr>
              <w:t>持有省级及以上水行政主管部门颁发的安全生产考核合格证书（B证）。</w:t>
            </w:r>
            <w:r>
              <w:rPr>
                <w:rFonts w:hint="eastAsia" w:ascii="宋体" w:hAnsi="宋体" w:cs="宋体"/>
                <w:b/>
                <w:kern w:val="0"/>
                <w:sz w:val="24"/>
                <w:szCs w:val="21"/>
                <w:highlight w:val="none"/>
              </w:rPr>
              <w:t>（提供证书）</w:t>
            </w:r>
          </w:p>
        </w:tc>
        <w:tc>
          <w:tcPr>
            <w:tcW w:w="2556" w:type="dxa"/>
            <w:vMerge w:val="restart"/>
            <w:noWrap w:val="0"/>
            <w:vAlign w:val="center"/>
          </w:tcPr>
          <w:p w14:paraId="70A63D13">
            <w:pPr>
              <w:adjustRightInd w:val="0"/>
              <w:snapToGrid w:val="0"/>
              <w:outlineLvl w:val="0"/>
              <w:rPr>
                <w:rFonts w:ascii="宋体" w:hAnsi="宋体" w:cs="宋体"/>
                <w:kern w:val="0"/>
                <w:sz w:val="24"/>
                <w:szCs w:val="21"/>
                <w:highlight w:val="none"/>
              </w:rPr>
            </w:pPr>
            <w:r>
              <w:rPr>
                <w:rFonts w:hint="eastAsia" w:ascii="宋体" w:hAnsi="宋体" w:cs="宋体"/>
                <w:kern w:val="0"/>
                <w:sz w:val="24"/>
                <w:szCs w:val="21"/>
                <w:highlight w:val="none"/>
              </w:rPr>
              <w:t>1、已在浙江省水利厅“浙江省水利建设市场信息”上公示，</w:t>
            </w:r>
            <w:r>
              <w:rPr>
                <w:rFonts w:hint="eastAsia" w:ascii="宋体" w:hAnsi="宋体" w:cs="宋体"/>
                <w:b/>
                <w:kern w:val="0"/>
                <w:sz w:val="24"/>
                <w:szCs w:val="21"/>
                <w:highlight w:val="none"/>
              </w:rPr>
              <w:t>提供含有“浙江水利透明工程”水印的人员信息打印件。</w:t>
            </w:r>
          </w:p>
          <w:p w14:paraId="7C451DAB">
            <w:pPr>
              <w:adjustRightInd w:val="0"/>
              <w:snapToGrid w:val="0"/>
              <w:outlineLvl w:val="0"/>
              <w:rPr>
                <w:rFonts w:hint="eastAsia" w:ascii="宋体" w:hAnsi="宋体" w:cs="宋体"/>
                <w:kern w:val="0"/>
                <w:sz w:val="24"/>
                <w:szCs w:val="21"/>
                <w:highlight w:val="none"/>
              </w:rPr>
            </w:pPr>
            <w:r>
              <w:rPr>
                <w:rFonts w:hint="eastAsia" w:ascii="宋体" w:hAnsi="宋体" w:cs="宋体"/>
                <w:kern w:val="0"/>
                <w:sz w:val="24"/>
                <w:szCs w:val="21"/>
                <w:highlight w:val="none"/>
              </w:rPr>
              <w:t>2、如拟派项目组主要人员资格条件证书中不能显示其投标人单位的，</w:t>
            </w:r>
            <w:r>
              <w:rPr>
                <w:rFonts w:hint="eastAsia" w:ascii="宋体" w:hAnsi="宋体" w:cs="宋体"/>
                <w:b/>
                <w:kern w:val="0"/>
                <w:sz w:val="24"/>
                <w:szCs w:val="21"/>
                <w:highlight w:val="none"/>
              </w:rPr>
              <w:t>应提供202</w:t>
            </w:r>
            <w:r>
              <w:rPr>
                <w:rFonts w:hint="eastAsia" w:ascii="宋体" w:hAnsi="宋体" w:cs="宋体"/>
                <w:b/>
                <w:kern w:val="0"/>
                <w:sz w:val="24"/>
                <w:szCs w:val="21"/>
                <w:highlight w:val="none"/>
                <w:lang w:val="en-US" w:eastAsia="zh-CN"/>
              </w:rPr>
              <w:t>5</w:t>
            </w:r>
            <w:r>
              <w:rPr>
                <w:rFonts w:hint="eastAsia" w:ascii="宋体" w:hAnsi="宋体" w:cs="宋体"/>
                <w:b/>
                <w:kern w:val="0"/>
                <w:sz w:val="24"/>
                <w:szCs w:val="21"/>
                <w:highlight w:val="none"/>
              </w:rPr>
              <w:t>年</w:t>
            </w:r>
            <w:r>
              <w:rPr>
                <w:rFonts w:ascii="宋体" w:hAnsi="宋体" w:cs="宋体"/>
                <w:b/>
                <w:kern w:val="0"/>
                <w:sz w:val="24"/>
                <w:szCs w:val="21"/>
                <w:highlight w:val="none"/>
              </w:rPr>
              <w:t>1</w:t>
            </w:r>
            <w:r>
              <w:rPr>
                <w:rFonts w:hint="eastAsia" w:ascii="宋体" w:hAnsi="宋体" w:cs="宋体"/>
                <w:b/>
                <w:kern w:val="0"/>
                <w:sz w:val="24"/>
                <w:szCs w:val="21"/>
                <w:highlight w:val="none"/>
              </w:rPr>
              <w:t>月以来投标人为其缴纳的任意一个月的社保证明</w:t>
            </w:r>
            <w:r>
              <w:rPr>
                <w:rFonts w:hint="eastAsia" w:ascii="宋体" w:hAnsi="宋体" w:cs="宋体"/>
                <w:kern w:val="0"/>
                <w:sz w:val="24"/>
                <w:szCs w:val="21"/>
                <w:highlight w:val="none"/>
              </w:rPr>
              <w:t>，否则视同不是本单位人员。</w:t>
            </w:r>
          </w:p>
          <w:p w14:paraId="5C5279AD">
            <w:pPr>
              <w:adjustRightInd w:val="0"/>
              <w:snapToGrid w:val="0"/>
              <w:outlineLvl w:val="0"/>
              <w:rPr>
                <w:rFonts w:hint="default" w:ascii="宋体" w:hAnsi="宋体" w:eastAsia="宋体" w:cs="宋体"/>
                <w:kern w:val="0"/>
                <w:sz w:val="24"/>
                <w:szCs w:val="21"/>
                <w:highlight w:val="none"/>
                <w:lang w:val="en-US" w:eastAsia="zh-CN"/>
              </w:rPr>
            </w:pPr>
          </w:p>
        </w:tc>
      </w:tr>
      <w:tr w14:paraId="300975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7" w:hRule="atLeast"/>
        </w:trPr>
        <w:tc>
          <w:tcPr>
            <w:tcW w:w="500" w:type="dxa"/>
            <w:noWrap w:val="0"/>
            <w:vAlign w:val="center"/>
          </w:tcPr>
          <w:p w14:paraId="221713DB">
            <w:pPr>
              <w:adjustRightInd w:val="0"/>
              <w:snapToGrid w:val="0"/>
              <w:jc w:val="center"/>
              <w:outlineLvl w:val="0"/>
              <w:rPr>
                <w:rFonts w:ascii="宋体" w:hAnsi="宋体" w:cs="宋体"/>
                <w:kern w:val="0"/>
                <w:sz w:val="24"/>
                <w:szCs w:val="21"/>
                <w:highlight w:val="none"/>
              </w:rPr>
            </w:pPr>
            <w:r>
              <w:rPr>
                <w:rFonts w:hint="eastAsia" w:ascii="宋体" w:hAnsi="宋体" w:cs="宋体"/>
                <w:kern w:val="0"/>
                <w:sz w:val="24"/>
                <w:szCs w:val="21"/>
                <w:highlight w:val="none"/>
              </w:rPr>
              <w:t>2</w:t>
            </w:r>
          </w:p>
        </w:tc>
        <w:tc>
          <w:tcPr>
            <w:tcW w:w="1390" w:type="dxa"/>
            <w:noWrap w:val="0"/>
            <w:vAlign w:val="center"/>
          </w:tcPr>
          <w:p w14:paraId="0FDC45D7">
            <w:pPr>
              <w:adjustRightInd w:val="0"/>
              <w:snapToGrid w:val="0"/>
              <w:jc w:val="center"/>
              <w:outlineLvl w:val="0"/>
              <w:rPr>
                <w:rFonts w:ascii="宋体" w:hAnsi="宋体" w:cs="宋体"/>
                <w:b/>
                <w:kern w:val="0"/>
                <w:sz w:val="24"/>
                <w:szCs w:val="21"/>
                <w:highlight w:val="none"/>
              </w:rPr>
            </w:pPr>
            <w:r>
              <w:rPr>
                <w:rFonts w:hint="eastAsia" w:ascii="宋体" w:hAnsi="宋体" w:cs="宋体"/>
                <w:b/>
                <w:kern w:val="0"/>
                <w:sz w:val="24"/>
                <w:szCs w:val="21"/>
                <w:highlight w:val="none"/>
              </w:rPr>
              <w:t xml:space="preserve">项目技术负责人 </w:t>
            </w:r>
          </w:p>
        </w:tc>
        <w:tc>
          <w:tcPr>
            <w:tcW w:w="1010" w:type="dxa"/>
            <w:noWrap w:val="0"/>
            <w:vAlign w:val="center"/>
          </w:tcPr>
          <w:p w14:paraId="2BCD3880">
            <w:pPr>
              <w:adjustRightInd w:val="0"/>
              <w:snapToGrid w:val="0"/>
              <w:jc w:val="center"/>
              <w:outlineLvl w:val="0"/>
              <w:rPr>
                <w:rFonts w:ascii="宋体" w:hAnsi="宋体" w:cs="宋体"/>
                <w:kern w:val="0"/>
                <w:sz w:val="24"/>
                <w:szCs w:val="21"/>
                <w:highlight w:val="none"/>
              </w:rPr>
            </w:pPr>
            <w:r>
              <w:rPr>
                <w:rFonts w:ascii="宋体" w:hAnsi="宋体" w:cs="宋体"/>
                <w:kern w:val="0"/>
                <w:sz w:val="24"/>
                <w:szCs w:val="21"/>
                <w:highlight w:val="none"/>
              </w:rPr>
              <w:t>1</w:t>
            </w:r>
          </w:p>
        </w:tc>
        <w:tc>
          <w:tcPr>
            <w:tcW w:w="3758" w:type="dxa"/>
            <w:noWrap w:val="0"/>
            <w:vAlign w:val="center"/>
          </w:tcPr>
          <w:p w14:paraId="2E4DA8DC">
            <w:pPr>
              <w:adjustRightInd w:val="0"/>
              <w:snapToGrid w:val="0"/>
              <w:outlineLvl w:val="0"/>
              <w:rPr>
                <w:rFonts w:ascii="宋体" w:hAnsi="宋体" w:cs="宋体"/>
                <w:kern w:val="0"/>
                <w:sz w:val="24"/>
                <w:szCs w:val="21"/>
                <w:highlight w:val="none"/>
              </w:rPr>
            </w:pPr>
            <w:r>
              <w:rPr>
                <w:rFonts w:hint="eastAsia" w:ascii="宋体" w:hAnsi="宋体" w:cs="宋体"/>
                <w:kern w:val="0"/>
                <w:sz w:val="24"/>
                <w:szCs w:val="21"/>
                <w:highlight w:val="none"/>
              </w:rPr>
              <w:t>水利水电工程专业二级及以上注册建造师证书或水利水电工程相关专业中级及以上职称；</w:t>
            </w:r>
            <w:r>
              <w:rPr>
                <w:rFonts w:hint="eastAsia" w:ascii="宋体" w:hAnsi="宋体" w:cs="宋体"/>
                <w:b/>
                <w:kern w:val="0"/>
                <w:sz w:val="24"/>
                <w:szCs w:val="21"/>
                <w:highlight w:val="none"/>
              </w:rPr>
              <w:t>（提供证书）</w:t>
            </w:r>
          </w:p>
          <w:p w14:paraId="264DF52E">
            <w:pPr>
              <w:adjustRightInd w:val="0"/>
              <w:snapToGrid w:val="0"/>
              <w:outlineLvl w:val="0"/>
              <w:rPr>
                <w:rFonts w:ascii="宋体" w:hAnsi="宋体" w:cs="宋体"/>
                <w:kern w:val="0"/>
                <w:sz w:val="24"/>
                <w:szCs w:val="21"/>
                <w:highlight w:val="none"/>
              </w:rPr>
            </w:pPr>
            <w:r>
              <w:rPr>
                <w:rFonts w:hint="eastAsia" w:ascii="宋体" w:hAnsi="宋体" w:cs="宋体"/>
                <w:kern w:val="0"/>
                <w:sz w:val="24"/>
                <w:szCs w:val="21"/>
                <w:highlight w:val="none"/>
              </w:rPr>
              <w:t>不得与拟派项目组其他主要人员相互兼任。</w:t>
            </w:r>
          </w:p>
        </w:tc>
        <w:tc>
          <w:tcPr>
            <w:tcW w:w="2556" w:type="dxa"/>
            <w:vMerge w:val="continue"/>
            <w:noWrap w:val="0"/>
            <w:vAlign w:val="center"/>
          </w:tcPr>
          <w:p w14:paraId="628B5FB3">
            <w:pPr>
              <w:adjustRightInd w:val="0"/>
              <w:snapToGrid w:val="0"/>
              <w:outlineLvl w:val="0"/>
              <w:rPr>
                <w:rFonts w:hint="eastAsia" w:ascii="宋体" w:hAnsi="宋体" w:cs="宋体"/>
                <w:kern w:val="0"/>
                <w:sz w:val="24"/>
                <w:szCs w:val="21"/>
                <w:highlight w:val="none"/>
              </w:rPr>
            </w:pPr>
          </w:p>
        </w:tc>
      </w:tr>
      <w:tr w14:paraId="406703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0" w:hRule="atLeast"/>
        </w:trPr>
        <w:tc>
          <w:tcPr>
            <w:tcW w:w="500" w:type="dxa"/>
            <w:noWrap w:val="0"/>
            <w:vAlign w:val="center"/>
          </w:tcPr>
          <w:p w14:paraId="2A4ACDC8">
            <w:pPr>
              <w:adjustRightInd w:val="0"/>
              <w:snapToGrid w:val="0"/>
              <w:jc w:val="center"/>
              <w:outlineLvl w:val="0"/>
              <w:rPr>
                <w:rFonts w:ascii="宋体" w:hAnsi="宋体" w:cs="宋体"/>
                <w:kern w:val="0"/>
                <w:sz w:val="24"/>
                <w:szCs w:val="21"/>
                <w:highlight w:val="none"/>
              </w:rPr>
            </w:pPr>
            <w:r>
              <w:rPr>
                <w:rFonts w:ascii="宋体" w:hAnsi="宋体" w:cs="宋体"/>
                <w:kern w:val="0"/>
                <w:sz w:val="24"/>
                <w:szCs w:val="21"/>
                <w:highlight w:val="none"/>
              </w:rPr>
              <w:t>3</w:t>
            </w:r>
          </w:p>
        </w:tc>
        <w:tc>
          <w:tcPr>
            <w:tcW w:w="1390" w:type="dxa"/>
            <w:noWrap w:val="0"/>
            <w:vAlign w:val="center"/>
          </w:tcPr>
          <w:p w14:paraId="229F858D">
            <w:pPr>
              <w:adjustRightInd w:val="0"/>
              <w:snapToGrid w:val="0"/>
              <w:jc w:val="center"/>
              <w:outlineLvl w:val="0"/>
              <w:rPr>
                <w:rFonts w:ascii="宋体" w:hAnsi="宋体" w:cs="宋体"/>
                <w:kern w:val="0"/>
                <w:sz w:val="24"/>
                <w:szCs w:val="21"/>
                <w:highlight w:val="none"/>
              </w:rPr>
            </w:pPr>
            <w:r>
              <w:rPr>
                <w:rFonts w:hint="eastAsia" w:ascii="宋体" w:hAnsi="宋体" w:cs="宋体"/>
                <w:b/>
                <w:kern w:val="0"/>
                <w:sz w:val="24"/>
                <w:highlight w:val="none"/>
              </w:rPr>
              <w:t>安全员、质检员和施工员</w:t>
            </w:r>
          </w:p>
        </w:tc>
        <w:tc>
          <w:tcPr>
            <w:tcW w:w="1010" w:type="dxa"/>
            <w:noWrap w:val="0"/>
            <w:vAlign w:val="center"/>
          </w:tcPr>
          <w:p w14:paraId="31438E61">
            <w:pPr>
              <w:adjustRightInd w:val="0"/>
              <w:snapToGrid w:val="0"/>
              <w:jc w:val="center"/>
              <w:outlineLvl w:val="0"/>
              <w:rPr>
                <w:rFonts w:ascii="宋体" w:hAnsi="宋体" w:cs="宋体"/>
                <w:kern w:val="0"/>
                <w:sz w:val="24"/>
                <w:szCs w:val="21"/>
                <w:highlight w:val="none"/>
              </w:rPr>
            </w:pPr>
            <w:r>
              <w:rPr>
                <w:rFonts w:hint="eastAsia" w:ascii="宋体" w:hAnsi="宋体" w:cs="宋体"/>
                <w:kern w:val="0"/>
                <w:sz w:val="24"/>
                <w:szCs w:val="21"/>
                <w:highlight w:val="none"/>
              </w:rPr>
              <w:t>各1人</w:t>
            </w:r>
          </w:p>
        </w:tc>
        <w:tc>
          <w:tcPr>
            <w:tcW w:w="3758" w:type="dxa"/>
            <w:noWrap w:val="0"/>
            <w:vAlign w:val="center"/>
          </w:tcPr>
          <w:p w14:paraId="708B1FA0">
            <w:pPr>
              <w:adjustRightInd w:val="0"/>
              <w:snapToGrid w:val="0"/>
              <w:outlineLvl w:val="0"/>
              <w:rPr>
                <w:rFonts w:ascii="宋体" w:hAnsi="宋体" w:cs="宋体"/>
                <w:kern w:val="0"/>
                <w:sz w:val="24"/>
                <w:szCs w:val="21"/>
                <w:highlight w:val="none"/>
              </w:rPr>
            </w:pPr>
            <w:r>
              <w:rPr>
                <w:rFonts w:hint="eastAsia" w:ascii="宋体" w:hAnsi="宋体" w:cs="宋体"/>
                <w:kern w:val="0"/>
                <w:sz w:val="24"/>
                <w:szCs w:val="21"/>
                <w:highlight w:val="none"/>
              </w:rPr>
              <w:t>持有中国水利工程协会或中国水利企业协会颁发的全国水利水电工程施工现场管理人员培训合格证书</w:t>
            </w:r>
            <w:r>
              <w:rPr>
                <w:rFonts w:hint="eastAsia" w:ascii="宋体" w:hAnsi="宋体" w:cs="宋体"/>
                <w:b/>
                <w:kern w:val="0"/>
                <w:sz w:val="24"/>
                <w:szCs w:val="21"/>
                <w:highlight w:val="none"/>
              </w:rPr>
              <w:t>（提供证书）</w:t>
            </w:r>
          </w:p>
        </w:tc>
        <w:tc>
          <w:tcPr>
            <w:tcW w:w="2556" w:type="dxa"/>
            <w:vMerge w:val="continue"/>
            <w:noWrap w:val="0"/>
            <w:vAlign w:val="center"/>
          </w:tcPr>
          <w:p w14:paraId="4414A8F9">
            <w:pPr>
              <w:adjustRightInd w:val="0"/>
              <w:snapToGrid w:val="0"/>
              <w:outlineLvl w:val="0"/>
              <w:rPr>
                <w:rFonts w:hint="eastAsia" w:ascii="宋体" w:hAnsi="宋体" w:cs="宋体"/>
                <w:kern w:val="0"/>
                <w:sz w:val="24"/>
                <w:szCs w:val="21"/>
                <w:highlight w:val="none"/>
              </w:rPr>
            </w:pPr>
          </w:p>
        </w:tc>
      </w:tr>
      <w:tr w14:paraId="5B37A5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7" w:hRule="atLeast"/>
        </w:trPr>
        <w:tc>
          <w:tcPr>
            <w:tcW w:w="500" w:type="dxa"/>
            <w:noWrap w:val="0"/>
            <w:vAlign w:val="center"/>
          </w:tcPr>
          <w:p w14:paraId="579E050E">
            <w:pPr>
              <w:adjustRightInd w:val="0"/>
              <w:snapToGrid w:val="0"/>
              <w:jc w:val="center"/>
              <w:outlineLvl w:val="0"/>
              <w:rPr>
                <w:rFonts w:ascii="宋体" w:hAnsi="宋体" w:cs="宋体"/>
                <w:kern w:val="0"/>
                <w:sz w:val="24"/>
                <w:szCs w:val="21"/>
                <w:highlight w:val="none"/>
              </w:rPr>
            </w:pPr>
            <w:r>
              <w:rPr>
                <w:rFonts w:ascii="宋体" w:hAnsi="宋体" w:cs="宋体"/>
                <w:kern w:val="0"/>
                <w:sz w:val="24"/>
                <w:szCs w:val="21"/>
                <w:highlight w:val="none"/>
              </w:rPr>
              <w:t>4</w:t>
            </w:r>
          </w:p>
        </w:tc>
        <w:tc>
          <w:tcPr>
            <w:tcW w:w="1390" w:type="dxa"/>
            <w:noWrap w:val="0"/>
            <w:vAlign w:val="center"/>
          </w:tcPr>
          <w:p w14:paraId="2B24A0BC">
            <w:pPr>
              <w:adjustRightInd w:val="0"/>
              <w:snapToGrid w:val="0"/>
              <w:jc w:val="center"/>
              <w:outlineLvl w:val="0"/>
              <w:rPr>
                <w:rFonts w:ascii="宋体" w:hAnsi="宋体" w:cs="宋体"/>
                <w:kern w:val="0"/>
                <w:sz w:val="24"/>
                <w:szCs w:val="21"/>
                <w:highlight w:val="none"/>
              </w:rPr>
            </w:pPr>
            <w:r>
              <w:rPr>
                <w:rFonts w:hint="eastAsia" w:ascii="宋体" w:hAnsi="宋体" w:cs="宋体"/>
                <w:b/>
                <w:kern w:val="0"/>
                <w:sz w:val="24"/>
                <w:highlight w:val="none"/>
              </w:rPr>
              <w:t>专职安全生产管理人员</w:t>
            </w:r>
          </w:p>
        </w:tc>
        <w:tc>
          <w:tcPr>
            <w:tcW w:w="1010" w:type="dxa"/>
            <w:noWrap w:val="0"/>
            <w:vAlign w:val="center"/>
          </w:tcPr>
          <w:p w14:paraId="273B021E">
            <w:pPr>
              <w:adjustRightInd w:val="0"/>
              <w:snapToGrid w:val="0"/>
              <w:jc w:val="center"/>
              <w:outlineLvl w:val="0"/>
              <w:rPr>
                <w:rFonts w:ascii="宋体" w:hAnsi="宋体" w:cs="宋体"/>
                <w:kern w:val="0"/>
                <w:sz w:val="24"/>
                <w:szCs w:val="21"/>
                <w:highlight w:val="none"/>
              </w:rPr>
            </w:pPr>
            <w:r>
              <w:rPr>
                <w:rFonts w:ascii="宋体" w:hAnsi="宋体" w:cs="宋体"/>
                <w:kern w:val="0"/>
                <w:sz w:val="24"/>
                <w:szCs w:val="21"/>
                <w:highlight w:val="none"/>
              </w:rPr>
              <w:t>1</w:t>
            </w:r>
          </w:p>
        </w:tc>
        <w:tc>
          <w:tcPr>
            <w:tcW w:w="3758" w:type="dxa"/>
            <w:noWrap w:val="0"/>
            <w:vAlign w:val="center"/>
          </w:tcPr>
          <w:p w14:paraId="0D693E26">
            <w:pPr>
              <w:adjustRightInd w:val="0"/>
              <w:snapToGrid w:val="0"/>
              <w:outlineLvl w:val="0"/>
              <w:rPr>
                <w:rFonts w:ascii="宋体" w:hAnsi="宋体" w:cs="宋体"/>
                <w:kern w:val="0"/>
                <w:sz w:val="24"/>
                <w:szCs w:val="21"/>
                <w:highlight w:val="none"/>
              </w:rPr>
            </w:pPr>
            <w:r>
              <w:rPr>
                <w:rFonts w:hint="eastAsia" w:ascii="宋体" w:hAnsi="宋体" w:cs="宋体"/>
                <w:kern w:val="0"/>
                <w:sz w:val="24"/>
                <w:szCs w:val="21"/>
                <w:highlight w:val="none"/>
              </w:rPr>
              <w:t>持有省级及以上水行政主管部门颁发的安全生产考核合格证书（C证）；</w:t>
            </w:r>
            <w:r>
              <w:rPr>
                <w:rFonts w:hint="eastAsia" w:ascii="宋体" w:hAnsi="宋体" w:cs="宋体"/>
                <w:b/>
                <w:kern w:val="0"/>
                <w:sz w:val="24"/>
                <w:szCs w:val="21"/>
                <w:highlight w:val="none"/>
              </w:rPr>
              <w:t>（提供证书）</w:t>
            </w:r>
          </w:p>
          <w:p w14:paraId="7A561081">
            <w:pPr>
              <w:adjustRightInd w:val="0"/>
              <w:snapToGrid w:val="0"/>
              <w:outlineLvl w:val="0"/>
              <w:rPr>
                <w:rFonts w:ascii="宋体" w:hAnsi="宋体" w:cs="宋体"/>
                <w:kern w:val="0"/>
                <w:sz w:val="24"/>
                <w:szCs w:val="21"/>
                <w:highlight w:val="none"/>
              </w:rPr>
            </w:pPr>
            <w:r>
              <w:rPr>
                <w:rFonts w:hint="eastAsia" w:ascii="新宋体" w:hAnsi="新宋体" w:eastAsia="新宋体" w:cs="宋体"/>
                <w:kern w:val="0"/>
                <w:sz w:val="24"/>
                <w:szCs w:val="21"/>
                <w:highlight w:val="none"/>
              </w:rPr>
              <w:t>不得与拟派项目组其他主要人员相互兼任</w:t>
            </w:r>
            <w:r>
              <w:rPr>
                <w:rFonts w:hint="eastAsia" w:ascii="宋体" w:hAnsi="宋体" w:cs="宋体"/>
                <w:kern w:val="0"/>
                <w:sz w:val="24"/>
                <w:szCs w:val="21"/>
                <w:highlight w:val="none"/>
              </w:rPr>
              <w:t>。</w:t>
            </w:r>
          </w:p>
        </w:tc>
        <w:tc>
          <w:tcPr>
            <w:tcW w:w="2556" w:type="dxa"/>
            <w:vMerge w:val="continue"/>
            <w:noWrap w:val="0"/>
            <w:vAlign w:val="center"/>
          </w:tcPr>
          <w:p w14:paraId="30D8D374">
            <w:pPr>
              <w:adjustRightInd w:val="0"/>
              <w:snapToGrid w:val="0"/>
              <w:outlineLvl w:val="0"/>
              <w:rPr>
                <w:rFonts w:hint="eastAsia" w:ascii="宋体" w:hAnsi="宋体" w:cs="宋体"/>
                <w:kern w:val="0"/>
                <w:sz w:val="24"/>
                <w:szCs w:val="21"/>
                <w:highlight w:val="none"/>
              </w:rPr>
            </w:pPr>
          </w:p>
        </w:tc>
      </w:tr>
    </w:tbl>
    <w:p w14:paraId="04082A10">
      <w:pPr>
        <w:rPr>
          <w:rFonts w:hint="eastAsia" w:cs="宋体"/>
          <w:szCs w:val="20"/>
          <w:highlight w:val="none"/>
        </w:rPr>
      </w:pPr>
      <w:r>
        <w:rPr>
          <w:rFonts w:hint="eastAsia" w:cs="宋体"/>
          <w:szCs w:val="20"/>
          <w:highlight w:val="none"/>
        </w:rPr>
        <w:t>以上人员证书材料应在投标文件中提供，本项为</w:t>
      </w:r>
      <w:r>
        <w:rPr>
          <w:rFonts w:hint="eastAsia" w:ascii="宋体" w:hAnsi="宋体" w:cs="宋体"/>
          <w:b/>
          <w:sz w:val="24"/>
          <w:highlight w:val="none"/>
        </w:rPr>
        <w:t>▲</w:t>
      </w:r>
      <w:r>
        <w:rPr>
          <w:rFonts w:hint="eastAsia" w:cs="宋体"/>
          <w:szCs w:val="20"/>
          <w:highlight w:val="none"/>
        </w:rPr>
        <w:t>实质性响应内容，未提供或提供不齐全的作无效标处理。</w:t>
      </w:r>
    </w:p>
    <w:p w14:paraId="4CC036FD">
      <w:pPr>
        <w:pStyle w:val="9"/>
        <w:rPr>
          <w:rFonts w:hint="eastAsia" w:cs="宋体"/>
          <w:szCs w:val="20"/>
          <w:highlight w:val="none"/>
        </w:rPr>
      </w:pPr>
    </w:p>
    <w:p w14:paraId="0A0AB09F">
      <w:pPr>
        <w:tabs>
          <w:tab w:val="left" w:pos="8280"/>
        </w:tabs>
        <w:autoSpaceDE w:val="0"/>
        <w:autoSpaceDN w:val="0"/>
        <w:adjustRightInd w:val="0"/>
        <w:spacing w:line="360" w:lineRule="auto"/>
        <w:ind w:right="25" w:firstLine="241" w:firstLineChars="100"/>
        <w:rPr>
          <w:rFonts w:hint="eastAsia" w:ascii="宋体" w:hAnsi="宋体" w:eastAsia="宋体" w:cs="宋体"/>
          <w:b/>
          <w:sz w:val="24"/>
          <w:highlight w:val="none"/>
        </w:rPr>
      </w:pPr>
      <w:r>
        <w:rPr>
          <w:rFonts w:hint="eastAsia" w:ascii="宋体" w:hAnsi="宋体" w:eastAsia="宋体" w:cs="宋体"/>
          <w:b/>
          <w:sz w:val="24"/>
          <w:highlight w:val="none"/>
        </w:rPr>
        <w:t>▲</w:t>
      </w:r>
      <w:r>
        <w:rPr>
          <w:rFonts w:hint="eastAsia" w:ascii="宋体" w:hAnsi="宋体" w:eastAsia="宋体" w:cs="宋体"/>
          <w:b/>
          <w:sz w:val="24"/>
          <w:highlight w:val="none"/>
          <w:lang w:val="en-US" w:eastAsia="zh-CN"/>
        </w:rPr>
        <w:t>五</w:t>
      </w:r>
      <w:r>
        <w:rPr>
          <w:rFonts w:hint="eastAsia" w:ascii="宋体" w:hAnsi="宋体" w:eastAsia="宋体" w:cs="宋体"/>
          <w:b/>
          <w:sz w:val="24"/>
          <w:highlight w:val="none"/>
        </w:rPr>
        <w:t>、商务条款</w:t>
      </w:r>
    </w:p>
    <w:p w14:paraId="3C1D9E0F">
      <w:pPr>
        <w:pStyle w:val="22"/>
        <w:keepNext w:val="0"/>
        <w:keepLines w:val="0"/>
        <w:pageBreakBefore w:val="0"/>
        <w:kinsoku/>
        <w:wordWrap/>
        <w:overflowPunct/>
        <w:topLinePunct w:val="0"/>
        <w:autoSpaceDE/>
        <w:autoSpaceDN/>
        <w:bidi w:val="0"/>
        <w:snapToGrid/>
        <w:spacing w:line="360" w:lineRule="auto"/>
        <w:ind w:firstLineChars="200"/>
        <w:textAlignment w:val="auto"/>
        <w:outlineLvl w:val="9"/>
        <w:rPr>
          <w:rFonts w:hint="eastAsia" w:ascii="宋体" w:hAnsi="宋体" w:eastAsia="宋体" w:cs="宋体"/>
          <w:szCs w:val="21"/>
          <w:highlight w:val="none"/>
        </w:rPr>
      </w:pPr>
      <w:r>
        <w:rPr>
          <w:rFonts w:hint="eastAsia" w:ascii="宋体" w:hAnsi="宋体" w:eastAsia="宋体" w:cs="宋体"/>
          <w:szCs w:val="21"/>
          <w:highlight w:val="none"/>
        </w:rPr>
        <w:t>1、履约保证金</w:t>
      </w:r>
    </w:p>
    <w:p w14:paraId="48A48D46">
      <w:pPr>
        <w:pStyle w:val="22"/>
        <w:snapToGrid w:val="0"/>
        <w:spacing w:line="360" w:lineRule="auto"/>
        <w:ind w:firstLineChars="200"/>
        <w:rPr>
          <w:rFonts w:hint="eastAsia" w:ascii="宋体" w:hAnsi="宋体" w:eastAsia="宋体" w:cs="宋体"/>
          <w:color w:val="auto"/>
          <w:highlight w:val="none"/>
        </w:rPr>
      </w:pPr>
      <w:r>
        <w:rPr>
          <w:rFonts w:hint="eastAsia" w:ascii="宋体" w:hAnsi="宋体" w:eastAsia="宋体" w:cs="宋体"/>
          <w:color w:val="auto"/>
          <w:highlight w:val="none"/>
        </w:rPr>
        <w:t>履约保证金为合同总价</w:t>
      </w:r>
      <w:r>
        <w:rPr>
          <w:rFonts w:hint="eastAsia" w:ascii="宋体" w:hAnsi="宋体" w:eastAsia="宋体" w:cs="宋体"/>
          <w:color w:val="auto"/>
          <w:highlight w:val="none"/>
          <w:lang w:val="en-US" w:eastAsia="zh-CN"/>
        </w:rPr>
        <w:t>1%</w:t>
      </w:r>
      <w:r>
        <w:rPr>
          <w:rFonts w:hint="eastAsia" w:ascii="宋体" w:hAnsi="宋体" w:eastAsia="宋体" w:cs="宋体"/>
          <w:color w:val="auto"/>
          <w:highlight w:val="none"/>
        </w:rPr>
        <w:t>，签订合同后 3 个工作日内向采购人提交（履约保证金可采用支票、汇票、保函、担保等形式），履约保证金在本项目验收合格且无违约扣除情况后30个工作日内无息退还。</w:t>
      </w:r>
    </w:p>
    <w:p w14:paraId="2580DDA4">
      <w:pPr>
        <w:pStyle w:val="22"/>
        <w:snapToGrid w:val="0"/>
        <w:spacing w:line="360" w:lineRule="auto"/>
        <w:ind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2、工程款支付</w:t>
      </w:r>
    </w:p>
    <w:p w14:paraId="57E807A6">
      <w:pPr>
        <w:keepNext w:val="0"/>
        <w:keepLines w:val="0"/>
        <w:pageBreakBefore w:val="0"/>
        <w:kinsoku/>
        <w:wordWrap/>
        <w:overflowPunct/>
        <w:topLinePunct w:val="0"/>
        <w:autoSpaceDE/>
        <w:autoSpaceDN/>
        <w:bidi w:val="0"/>
        <w:snapToGrid/>
        <w:spacing w:line="360" w:lineRule="auto"/>
        <w:ind w:firstLine="480" w:firstLineChars="200"/>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本工程预付款的总金额为签约合同价的10%，</w:t>
      </w:r>
      <w:r>
        <w:rPr>
          <w:rFonts w:hint="eastAsia" w:ascii="宋体" w:hAnsi="宋体"/>
          <w:snapToGrid w:val="0"/>
          <w:kern w:val="0"/>
          <w:sz w:val="24"/>
          <w:szCs w:val="24"/>
          <w:highlight w:val="none"/>
          <w:u w:val="single"/>
        </w:rPr>
        <w:t>工程进度款为完工后支付至签约合同价的85%（含预付款），待工程完工验收合格且完成结算后，扣留完工结算价款总额1.5%的质量保证金外，付清余款</w:t>
      </w:r>
      <w:r>
        <w:rPr>
          <w:rFonts w:hint="eastAsia" w:ascii="宋体" w:hAnsi="宋体"/>
          <w:snapToGrid w:val="0"/>
          <w:kern w:val="0"/>
          <w:sz w:val="24"/>
          <w:szCs w:val="24"/>
          <w:highlight w:val="none"/>
          <w:u w:val="single"/>
          <w:lang w:eastAsia="zh-CN"/>
        </w:rPr>
        <w:t>。</w:t>
      </w:r>
    </w:p>
    <w:p w14:paraId="5419F811">
      <w:pPr>
        <w:keepNext w:val="0"/>
        <w:keepLines w:val="0"/>
        <w:pageBreakBefore w:val="0"/>
        <w:numPr>
          <w:ilvl w:val="0"/>
          <w:numId w:val="7"/>
        </w:numPr>
        <w:kinsoku/>
        <w:wordWrap/>
        <w:overflowPunct/>
        <w:topLinePunct w:val="0"/>
        <w:autoSpaceDE/>
        <w:autoSpaceDN/>
        <w:bidi w:val="0"/>
        <w:snapToGrid/>
        <w:spacing w:line="360" w:lineRule="auto"/>
        <w:ind w:firstLine="480" w:firstLineChars="200"/>
        <w:textAlignment w:val="auto"/>
        <w:outlineLvl w:val="9"/>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工期</w:t>
      </w:r>
    </w:p>
    <w:p w14:paraId="7A6D11EF">
      <w:pPr>
        <w:keepNext w:val="0"/>
        <w:keepLines w:val="0"/>
        <w:pageBreakBefore w:val="0"/>
        <w:numPr>
          <w:ilvl w:val="0"/>
          <w:numId w:val="0"/>
        </w:numPr>
        <w:kinsoku/>
        <w:wordWrap/>
        <w:overflowPunct/>
        <w:topLinePunct w:val="0"/>
        <w:autoSpaceDE/>
        <w:autoSpaceDN/>
        <w:bidi w:val="0"/>
        <w:snapToGrid/>
        <w:spacing w:line="360" w:lineRule="auto"/>
        <w:ind w:firstLine="480" w:firstLineChars="200"/>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工期不超过120日历天，实际开工日期以开工令为准。</w:t>
      </w:r>
    </w:p>
    <w:p w14:paraId="36EA2BA8">
      <w:pPr>
        <w:rPr>
          <w:color w:val="auto"/>
          <w:highlight w:val="none"/>
        </w:rPr>
      </w:pPr>
      <w:r>
        <w:rPr>
          <w:color w:val="auto"/>
          <w:highlight w:val="none"/>
        </w:rPr>
        <w:br w:type="page"/>
      </w:r>
    </w:p>
    <w:p w14:paraId="63A9B100">
      <w:pPr>
        <w:pStyle w:val="30"/>
        <w:rPr>
          <w:color w:val="auto"/>
          <w:highlight w:val="none"/>
        </w:rPr>
      </w:pPr>
    </w:p>
    <w:p w14:paraId="552A88DB">
      <w:pPr>
        <w:numPr>
          <w:ilvl w:val="0"/>
          <w:numId w:val="4"/>
        </w:numPr>
        <w:spacing w:line="360" w:lineRule="auto"/>
        <w:jc w:val="center"/>
        <w:outlineLvl w:val="0"/>
        <w:rPr>
          <w:rFonts w:asciiTheme="minorEastAsia" w:hAnsiTheme="minorEastAsia" w:eastAsiaTheme="minorEastAsia"/>
          <w:b/>
          <w:color w:val="auto"/>
          <w:sz w:val="36"/>
          <w:szCs w:val="36"/>
          <w:highlight w:val="none"/>
        </w:rPr>
      </w:pPr>
      <w:bookmarkStart w:id="39" w:name="_Toc19531"/>
      <w:r>
        <w:rPr>
          <w:rFonts w:hint="eastAsia" w:asciiTheme="minorEastAsia" w:hAnsiTheme="minorEastAsia" w:eastAsiaTheme="minorEastAsia"/>
          <w:b/>
          <w:color w:val="auto"/>
          <w:sz w:val="36"/>
          <w:szCs w:val="36"/>
          <w:highlight w:val="none"/>
        </w:rPr>
        <w:t>磋商</w:t>
      </w:r>
      <w:bookmarkEnd w:id="39"/>
    </w:p>
    <w:p w14:paraId="6DBC9313">
      <w:pPr>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一、磋商原则</w:t>
      </w:r>
    </w:p>
    <w:p w14:paraId="40C45288">
      <w:pPr>
        <w:spacing w:line="360" w:lineRule="auto"/>
        <w:ind w:firstLine="480" w:firstLineChars="200"/>
        <w:rPr>
          <w:rFonts w:ascii="宋体" w:hAnsi="宋体" w:cs="宋体"/>
          <w:b/>
          <w:bCs/>
          <w:color w:val="auto"/>
          <w:sz w:val="24"/>
          <w:highlight w:val="none"/>
        </w:rPr>
      </w:pPr>
      <w:r>
        <w:rPr>
          <w:rFonts w:hint="eastAsia" w:ascii="宋体" w:hAnsi="宋体" w:cs="宋体"/>
          <w:color w:val="auto"/>
          <w:sz w:val="24"/>
          <w:highlight w:val="none"/>
        </w:rPr>
        <w:t>磋商小组必须按照客观、公正、审慎的原则，根据磋商文件规定的评审程序、评审方法和评审标准进行独立评审。未实质性响应磋商文件的响应文件按无效响应处理，磋商小组应当告知提交响应文件的供应商。</w:t>
      </w:r>
    </w:p>
    <w:p w14:paraId="68A54CFC">
      <w:pPr>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二、评审方法</w:t>
      </w:r>
    </w:p>
    <w:p w14:paraId="75C5A21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综合评分法,是指响应文件满足磋商文件全部实质性要求且按照评审因素的量化指标评审得分最高的供应商为成交候选人的评标方法。</w:t>
      </w:r>
    </w:p>
    <w:p w14:paraId="4ED578A2">
      <w:pPr>
        <w:pStyle w:val="11"/>
        <w:snapToGrid w:val="0"/>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bCs/>
          <w:color w:val="auto"/>
          <w:sz w:val="24"/>
          <w:highlight w:val="none"/>
        </w:rPr>
        <w:t>三、磋商小组</w:t>
      </w:r>
    </w:p>
    <w:p w14:paraId="1EDFF78F">
      <w:pPr>
        <w:pStyle w:val="6"/>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（一）</w:t>
      </w:r>
      <w:r>
        <w:rPr>
          <w:rFonts w:hint="eastAsia" w:asciiTheme="minorEastAsia" w:hAnsiTheme="minorEastAsia" w:eastAsiaTheme="minorEastAsia" w:cstheme="minorBidi"/>
          <w:color w:val="auto"/>
          <w:sz w:val="24"/>
          <w:highlight w:val="none"/>
        </w:rPr>
        <w:t>磋商小组</w:t>
      </w:r>
      <w:r>
        <w:rPr>
          <w:rFonts w:asciiTheme="minorEastAsia" w:hAnsiTheme="minorEastAsia" w:eastAsiaTheme="minorEastAsia"/>
          <w:color w:val="auto"/>
          <w:sz w:val="24"/>
          <w:highlight w:val="none"/>
        </w:rPr>
        <w:t>由</w:t>
      </w:r>
      <w:r>
        <w:rPr>
          <w:rFonts w:hint="eastAsia" w:asciiTheme="minorEastAsia" w:hAnsiTheme="minorEastAsia" w:eastAsiaTheme="minorEastAsia"/>
          <w:color w:val="auto"/>
          <w:sz w:val="24"/>
          <w:highlight w:val="none"/>
        </w:rPr>
        <w:t>采购人代表和评审专家共3人以上单数</w:t>
      </w:r>
      <w:r>
        <w:rPr>
          <w:rFonts w:asciiTheme="minorEastAsia" w:hAnsiTheme="minorEastAsia" w:eastAsiaTheme="minorEastAsia"/>
          <w:color w:val="auto"/>
          <w:sz w:val="24"/>
          <w:highlight w:val="none"/>
        </w:rPr>
        <w:t>组成</w:t>
      </w:r>
      <w:r>
        <w:rPr>
          <w:rFonts w:hint="eastAsia" w:asciiTheme="minorEastAsia" w:hAnsiTheme="minorEastAsia" w:eastAsiaTheme="minorEastAsia"/>
          <w:color w:val="auto"/>
          <w:sz w:val="24"/>
          <w:highlight w:val="none"/>
        </w:rPr>
        <w:t>。</w:t>
      </w:r>
    </w:p>
    <w:p w14:paraId="68C5F4CA">
      <w:pPr>
        <w:pStyle w:val="6"/>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（二）</w:t>
      </w:r>
      <w:r>
        <w:rPr>
          <w:rFonts w:hint="eastAsia" w:asciiTheme="minorEastAsia" w:hAnsiTheme="minorEastAsia" w:eastAsiaTheme="minorEastAsia" w:cstheme="minorBidi"/>
          <w:color w:val="auto"/>
          <w:sz w:val="24"/>
          <w:highlight w:val="none"/>
        </w:rPr>
        <w:t>磋商小组</w:t>
      </w:r>
      <w:r>
        <w:rPr>
          <w:rFonts w:hint="eastAsia" w:asciiTheme="minorEastAsia" w:hAnsiTheme="minorEastAsia" w:eastAsiaTheme="minorEastAsia"/>
          <w:color w:val="auto"/>
          <w:sz w:val="24"/>
          <w:highlight w:val="none"/>
        </w:rPr>
        <w:t>成员</w:t>
      </w:r>
      <w:r>
        <w:rPr>
          <w:rFonts w:hint="eastAsia" w:ascii="宋体" w:hAnsi="宋体" w:cs="宋体"/>
          <w:color w:val="auto"/>
          <w:sz w:val="24"/>
          <w:szCs w:val="24"/>
          <w:highlight w:val="none"/>
        </w:rPr>
        <w:t>与参与磋商的供应商</w:t>
      </w:r>
      <w:r>
        <w:rPr>
          <w:rFonts w:hint="eastAsia" w:asciiTheme="minorEastAsia" w:hAnsiTheme="minorEastAsia" w:eastAsiaTheme="minorEastAsia"/>
          <w:color w:val="auto"/>
          <w:sz w:val="24"/>
          <w:highlight w:val="none"/>
        </w:rPr>
        <w:t>有下列情形之一的，应当回避：</w:t>
      </w:r>
    </w:p>
    <w:p w14:paraId="5835C925">
      <w:pPr>
        <w:pStyle w:val="6"/>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1.参加采购活动前3年内与供应商存在劳动关系；</w:t>
      </w:r>
    </w:p>
    <w:p w14:paraId="18FD9E94">
      <w:pPr>
        <w:pStyle w:val="6"/>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2.参加采购活动前3年内担任供应商的董事、监事；</w:t>
      </w:r>
    </w:p>
    <w:p w14:paraId="0AEBA91D">
      <w:pPr>
        <w:pStyle w:val="6"/>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3.参加采购活动前3年内是供应商的控股股东或者实际控制人；</w:t>
      </w:r>
    </w:p>
    <w:p w14:paraId="318C89BC">
      <w:pPr>
        <w:pStyle w:val="6"/>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4.与供应商的法定代表人或者负责人有夫妻、直系血亲、三代以内旁系血亲或者近姻亲关系；</w:t>
      </w:r>
    </w:p>
    <w:p w14:paraId="12273950">
      <w:pPr>
        <w:pStyle w:val="6"/>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5.与供应商有其他可能影响政府采购活动公平、公正进行的关系。</w:t>
      </w:r>
    </w:p>
    <w:p w14:paraId="1D1FD382">
      <w:pPr>
        <w:pStyle w:val="6"/>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（三）</w:t>
      </w:r>
      <w:r>
        <w:rPr>
          <w:rFonts w:hint="eastAsia" w:asciiTheme="minorEastAsia" w:hAnsiTheme="minorEastAsia" w:eastAsiaTheme="minorEastAsia" w:cstheme="minorBidi"/>
          <w:color w:val="auto"/>
          <w:sz w:val="24"/>
          <w:highlight w:val="none"/>
        </w:rPr>
        <w:t>磋商小组</w:t>
      </w:r>
      <w:r>
        <w:rPr>
          <w:rFonts w:hint="eastAsia" w:asciiTheme="minorEastAsia" w:hAnsiTheme="minorEastAsia" w:eastAsiaTheme="minorEastAsia"/>
          <w:color w:val="auto"/>
          <w:sz w:val="24"/>
          <w:highlight w:val="none"/>
        </w:rPr>
        <w:t>负责具体评审事务，并独立履行下列职责：</w:t>
      </w:r>
    </w:p>
    <w:p w14:paraId="19095EB4">
      <w:pPr>
        <w:pStyle w:val="6"/>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1.审查、评价响应文件是否符合磋商文件的商务、技术等实质性要求；</w:t>
      </w:r>
    </w:p>
    <w:p w14:paraId="73435334">
      <w:pPr>
        <w:pStyle w:val="6"/>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2.要求供应商对响应文件有关事项作出澄清或者说明；</w:t>
      </w:r>
    </w:p>
    <w:p w14:paraId="1167FBF6">
      <w:pPr>
        <w:pStyle w:val="6"/>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3.对响应文件进行比较和评价；</w:t>
      </w:r>
    </w:p>
    <w:p w14:paraId="1AA35DD9">
      <w:pPr>
        <w:pStyle w:val="6"/>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4.确定成交候选人名单，以及根据采购人委托直接确定成交供应商；</w:t>
      </w:r>
    </w:p>
    <w:p w14:paraId="0EF22AC0">
      <w:pPr>
        <w:pStyle w:val="6"/>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5.向采购人、采购</w:t>
      </w:r>
      <w:r>
        <w:rPr>
          <w:rFonts w:hint="eastAsia" w:asciiTheme="minorEastAsia" w:hAnsiTheme="minorEastAsia" w:eastAsiaTheme="minorEastAsia" w:cstheme="minorBidi"/>
          <w:color w:val="auto"/>
          <w:sz w:val="24"/>
          <w:highlight w:val="none"/>
        </w:rPr>
        <w:t>组织</w:t>
      </w:r>
      <w:r>
        <w:rPr>
          <w:rFonts w:hint="eastAsia" w:asciiTheme="minorEastAsia" w:hAnsiTheme="minorEastAsia" w:eastAsiaTheme="minorEastAsia"/>
          <w:color w:val="auto"/>
          <w:sz w:val="24"/>
          <w:highlight w:val="none"/>
        </w:rPr>
        <w:t>机构或者有关部门报告评审中发现的违法行为；</w:t>
      </w:r>
    </w:p>
    <w:p w14:paraId="3BB5D534">
      <w:pPr>
        <w:pStyle w:val="6"/>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6.法律法规规定的其他职责。</w:t>
      </w:r>
    </w:p>
    <w:p w14:paraId="719D81CC">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四、磋商要求</w:t>
      </w:r>
    </w:p>
    <w:p w14:paraId="2D29419F">
      <w:pPr>
        <w:spacing w:line="360" w:lineRule="auto"/>
        <w:ind w:firstLine="480" w:firstLineChars="200"/>
        <w:rPr>
          <w:rFonts w:ascii="宋体" w:hAnsi="宋体" w:cs="宋体"/>
          <w:b/>
          <w:color w:val="auto"/>
          <w:sz w:val="24"/>
          <w:highlight w:val="none"/>
        </w:rPr>
      </w:pPr>
      <w:r>
        <w:rPr>
          <w:rFonts w:hint="eastAsia" w:ascii="宋体" w:hAnsi="宋体" w:cs="宋体"/>
          <w:color w:val="auto"/>
          <w:sz w:val="24"/>
          <w:highlight w:val="none"/>
        </w:rPr>
        <w:t>（一）采购人、采购代理机构不得对磋商小组中的评审专家作倾向性、误导性的解释或者说明。</w:t>
      </w:r>
    </w:p>
    <w:p w14:paraId="75530DC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（二）磋商小组所有成员应当集中与单一供应商分别进行磋商，并给予所有参加磋商的供应商平等的磋商机会。</w:t>
      </w:r>
    </w:p>
    <w:p w14:paraId="74E3A3B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（三）在磋商过程中，磋商小组可以根据磋商文件和磋商情况实质性变动采购需求中的技术、服务要求以及合同草案条款，但不得变动磋商文件中的其他内容。实质性变动的内容，须经采购人代表确认。</w:t>
      </w:r>
    </w:p>
    <w:p w14:paraId="794D135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（四）对磋商文件作出的实质性变动是磋商文件的有效组成部分，磋商小组应当及时以书面形式同时通知所有参加磋商的供应商。</w:t>
      </w:r>
    </w:p>
    <w:p w14:paraId="12CC558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（五）供应商应当按照磋商文件的变动情况和磋商小组的要求重新提交响应文件，并由其法定代表人或授权代表签字或者加盖公章。</w:t>
      </w:r>
    </w:p>
    <w:p w14:paraId="1A5A2828">
      <w:pPr>
        <w:spacing w:line="360" w:lineRule="auto"/>
        <w:ind w:firstLine="480" w:firstLineChars="200"/>
        <w:rPr>
          <w:rFonts w:asciiTheme="minorEastAsia" w:hAnsiTheme="minorEastAsia" w:eastAsiaTheme="minorEastAsia"/>
          <w:color w:val="auto"/>
          <w:sz w:val="24"/>
          <w:highlight w:val="none"/>
        </w:rPr>
      </w:pPr>
      <w:r>
        <w:rPr>
          <w:rFonts w:hint="eastAsia" w:ascii="宋体" w:hAnsi="宋体" w:cs="宋体"/>
          <w:color w:val="auto"/>
          <w:sz w:val="24"/>
          <w:highlight w:val="none"/>
        </w:rPr>
        <w:t>（六）已提交响应文件的供应商，在提交最后报价之前，可以根据磋商情况退出磋商。</w:t>
      </w:r>
    </w:p>
    <w:p w14:paraId="7977E751">
      <w:pPr>
        <w:pStyle w:val="20"/>
        <w:spacing w:before="0" w:beforeAutospacing="0" w:after="0" w:afterAutospacing="0" w:line="360" w:lineRule="auto"/>
        <w:ind w:firstLine="480" w:firstLineChars="200"/>
        <w:jc w:val="both"/>
        <w:rPr>
          <w:rFonts w:hint="default" w:asciiTheme="minorEastAsia" w:hAnsiTheme="minorEastAsia" w:eastAsiaTheme="minorEastAsia"/>
          <w:b/>
          <w:color w:val="auto"/>
          <w:highlight w:val="none"/>
        </w:rPr>
      </w:pPr>
      <w:r>
        <w:rPr>
          <w:rFonts w:cs="宋体"/>
          <w:color w:val="auto"/>
          <w:highlight w:val="none"/>
        </w:rPr>
        <w:t>▲</w:t>
      </w:r>
      <w:r>
        <w:rPr>
          <w:rFonts w:asciiTheme="minorEastAsia" w:hAnsiTheme="minorEastAsia" w:eastAsiaTheme="minorEastAsia"/>
          <w:b/>
          <w:color w:val="auto"/>
          <w:highlight w:val="none"/>
        </w:rPr>
        <w:t>五、无效响应情形</w:t>
      </w:r>
    </w:p>
    <w:p w14:paraId="0FABD130">
      <w:pPr>
        <w:adjustRightInd w:val="0"/>
        <w:snapToGrid w:val="0"/>
        <w:spacing w:line="360" w:lineRule="auto"/>
        <w:ind w:firstLine="480" w:firstLineChars="200"/>
        <w:rPr>
          <w:rFonts w:asciiTheme="minorEastAsia" w:hAnsiTheme="minorEastAsia" w:eastAsiaTheme="minorEastAsia"/>
          <w:b/>
          <w:bCs/>
          <w:color w:val="auto"/>
          <w:sz w:val="24"/>
          <w:highlight w:val="none"/>
        </w:rPr>
      </w:pPr>
      <w:r>
        <w:rPr>
          <w:rFonts w:hint="eastAsia" w:asciiTheme="minorEastAsia" w:hAnsiTheme="minorEastAsia" w:eastAsiaTheme="minorEastAsia"/>
          <w:color w:val="auto"/>
          <w:sz w:val="24"/>
          <w:szCs w:val="32"/>
          <w:highlight w:val="none"/>
        </w:rPr>
        <w:t>（一）</w:t>
      </w:r>
      <w:r>
        <w:rPr>
          <w:rFonts w:hint="eastAsia" w:asciiTheme="minorEastAsia" w:hAnsiTheme="minorEastAsia" w:eastAsiaTheme="minorEastAsia"/>
          <w:color w:val="auto"/>
          <w:kern w:val="0"/>
          <w:sz w:val="24"/>
          <w:highlight w:val="none"/>
        </w:rPr>
        <w:t>在资格证明文件或商务与技术文件中出现响应报价的，或者</w:t>
      </w:r>
      <w:r>
        <w:rPr>
          <w:rFonts w:hint="eastAsia" w:asciiTheme="minorEastAsia" w:hAnsiTheme="minorEastAsia" w:eastAsiaTheme="minorEastAsia"/>
          <w:color w:val="auto"/>
          <w:kern w:val="0"/>
          <w:sz w:val="24"/>
          <w:highlight w:val="none"/>
          <w:lang w:val="en-US" w:eastAsia="zh-CN"/>
        </w:rPr>
        <w:t>磋商</w:t>
      </w:r>
      <w:r>
        <w:rPr>
          <w:rFonts w:hint="eastAsia" w:asciiTheme="minorEastAsia" w:hAnsiTheme="minorEastAsia" w:eastAsiaTheme="minorEastAsia"/>
          <w:color w:val="auto"/>
          <w:kern w:val="0"/>
          <w:sz w:val="24"/>
          <w:highlight w:val="none"/>
        </w:rPr>
        <w:t>报价文件中报价的货物跟商务与技术文件中的供应货物出现重大偏差的；</w:t>
      </w:r>
    </w:p>
    <w:p w14:paraId="1C34089A">
      <w:pPr>
        <w:pStyle w:val="20"/>
        <w:tabs>
          <w:tab w:val="left" w:pos="7380"/>
        </w:tabs>
        <w:adjustRightInd w:val="0"/>
        <w:snapToGrid w:val="0"/>
        <w:spacing w:before="0" w:beforeAutospacing="0" w:after="0" w:afterAutospacing="0" w:line="360" w:lineRule="auto"/>
        <w:ind w:firstLine="480" w:firstLineChars="200"/>
        <w:jc w:val="both"/>
        <w:rPr>
          <w:rFonts w:hint="default" w:asciiTheme="minorEastAsia" w:hAnsiTheme="minorEastAsia" w:eastAsiaTheme="minorEastAsia"/>
          <w:color w:val="auto"/>
          <w:highlight w:val="none"/>
        </w:rPr>
      </w:pPr>
      <w:r>
        <w:rPr>
          <w:rFonts w:asciiTheme="minorEastAsia" w:hAnsiTheme="minorEastAsia" w:eastAsiaTheme="minorEastAsia"/>
          <w:color w:val="auto"/>
          <w:szCs w:val="32"/>
          <w:highlight w:val="none"/>
        </w:rPr>
        <w:t>（二）</w:t>
      </w:r>
      <w:r>
        <w:rPr>
          <w:rFonts w:asciiTheme="minorEastAsia" w:hAnsiTheme="minorEastAsia" w:eastAsiaTheme="minorEastAsia"/>
          <w:color w:val="auto"/>
          <w:highlight w:val="none"/>
        </w:rPr>
        <w:t>不具备磋商文件中规定的资格要求的；</w:t>
      </w:r>
      <w:r>
        <w:rPr>
          <w:rFonts w:hint="default" w:asciiTheme="minorEastAsia" w:hAnsiTheme="minorEastAsia" w:eastAsiaTheme="minorEastAsia"/>
          <w:color w:val="auto"/>
          <w:highlight w:val="none"/>
        </w:rPr>
        <w:tab/>
      </w:r>
    </w:p>
    <w:p w14:paraId="4DBFBB9F">
      <w:pPr>
        <w:pStyle w:val="20"/>
        <w:adjustRightInd w:val="0"/>
        <w:snapToGrid w:val="0"/>
        <w:spacing w:before="0" w:beforeAutospacing="0" w:after="0" w:afterAutospacing="0" w:line="360" w:lineRule="auto"/>
        <w:ind w:firstLine="480" w:firstLineChars="200"/>
        <w:jc w:val="both"/>
        <w:rPr>
          <w:rFonts w:hint="default" w:asciiTheme="minorEastAsia" w:hAnsiTheme="minorEastAsia" w:eastAsiaTheme="minorEastAsia"/>
          <w:color w:val="auto"/>
          <w:highlight w:val="none"/>
        </w:rPr>
      </w:pPr>
      <w:r>
        <w:rPr>
          <w:rFonts w:asciiTheme="minorEastAsia" w:hAnsiTheme="minorEastAsia" w:eastAsiaTheme="minorEastAsia"/>
          <w:color w:val="auto"/>
          <w:szCs w:val="32"/>
          <w:highlight w:val="none"/>
        </w:rPr>
        <w:t>（三）</w:t>
      </w:r>
      <w:r>
        <w:rPr>
          <w:rFonts w:asciiTheme="minorEastAsia" w:hAnsiTheme="minorEastAsia" w:eastAsiaTheme="minorEastAsia"/>
          <w:color w:val="auto"/>
          <w:highlight w:val="none"/>
        </w:rPr>
        <w:t>响应文件含有采购人不能接受的附加条件的；</w:t>
      </w:r>
    </w:p>
    <w:p w14:paraId="4D66771D">
      <w:pPr>
        <w:pStyle w:val="7"/>
        <w:spacing w:line="360" w:lineRule="auto"/>
        <w:ind w:firstLine="480" w:firstLineChars="200"/>
        <w:jc w:val="both"/>
        <w:rPr>
          <w:rFonts w:asciiTheme="minorEastAsia" w:hAnsiTheme="minorEastAsia" w:eastAsiaTheme="minorEastAsia"/>
          <w:color w:val="auto"/>
          <w:kern w:val="0"/>
          <w:sz w:val="24"/>
          <w:highlight w:val="none"/>
        </w:rPr>
      </w:pPr>
      <w:r>
        <w:rPr>
          <w:rFonts w:hint="eastAsia" w:asciiTheme="minorEastAsia" w:hAnsiTheme="minorEastAsia" w:eastAsiaTheme="minorEastAsia"/>
          <w:color w:val="auto"/>
          <w:sz w:val="24"/>
          <w:szCs w:val="32"/>
          <w:highlight w:val="none"/>
        </w:rPr>
        <w:t>（四）</w:t>
      </w:r>
      <w:r>
        <w:rPr>
          <w:rFonts w:hint="eastAsia" w:asciiTheme="minorEastAsia" w:hAnsiTheme="minorEastAsia" w:eastAsiaTheme="minorEastAsia"/>
          <w:color w:val="auto"/>
          <w:kern w:val="0"/>
          <w:sz w:val="24"/>
          <w:highlight w:val="none"/>
        </w:rPr>
        <w:t>磋商小组认为供应商的报价明显低于其他通过符合性审查供应商的报价，有可能影响产品质量或者不能诚信履约的，供应商在限定的时间内不能证明其报价合理性的，磋商小组应当将其作为无效投标处理；</w:t>
      </w:r>
    </w:p>
    <w:p w14:paraId="2774E14D">
      <w:pPr>
        <w:pStyle w:val="20"/>
        <w:adjustRightInd w:val="0"/>
        <w:snapToGrid w:val="0"/>
        <w:spacing w:before="0" w:beforeAutospacing="0" w:after="0" w:afterAutospacing="0" w:line="360" w:lineRule="auto"/>
        <w:ind w:firstLine="480" w:firstLineChars="200"/>
        <w:jc w:val="both"/>
        <w:rPr>
          <w:rFonts w:hint="default" w:asciiTheme="minorEastAsia" w:hAnsiTheme="minorEastAsia" w:eastAsiaTheme="minorEastAsia"/>
          <w:color w:val="auto"/>
          <w:highlight w:val="none"/>
        </w:rPr>
      </w:pPr>
      <w:r>
        <w:rPr>
          <w:rFonts w:asciiTheme="minorEastAsia" w:hAnsiTheme="minorEastAsia" w:eastAsiaTheme="minorEastAsia"/>
          <w:color w:val="auto"/>
          <w:szCs w:val="32"/>
          <w:highlight w:val="none"/>
        </w:rPr>
        <w:t>（五）</w:t>
      </w:r>
      <w:r>
        <w:rPr>
          <w:rFonts w:asciiTheme="minorEastAsia" w:hAnsiTheme="minorEastAsia" w:eastAsiaTheme="minorEastAsia"/>
          <w:color w:val="auto"/>
          <w:highlight w:val="none"/>
        </w:rPr>
        <w:t xml:space="preserve">报价超过磋商文件中规定的预算金额/最高限价； </w:t>
      </w:r>
    </w:p>
    <w:p w14:paraId="0982FB12">
      <w:pPr>
        <w:tabs>
          <w:tab w:val="left" w:pos="1898"/>
        </w:tabs>
        <w:autoSpaceDE w:val="0"/>
        <w:autoSpaceDN w:val="0"/>
        <w:adjustRightInd w:val="0"/>
        <w:snapToGrid w:val="0"/>
        <w:spacing w:line="360" w:lineRule="auto"/>
        <w:ind w:firstLine="480" w:firstLineChars="200"/>
        <w:rPr>
          <w:rFonts w:asciiTheme="minorEastAsia" w:hAnsiTheme="minorEastAsia" w:eastAsiaTheme="minorEastAsia"/>
          <w:color w:val="auto"/>
          <w:kern w:val="0"/>
          <w:sz w:val="24"/>
          <w:highlight w:val="none"/>
        </w:rPr>
      </w:pPr>
      <w:r>
        <w:rPr>
          <w:rFonts w:hint="eastAsia" w:asciiTheme="minorEastAsia" w:hAnsiTheme="minorEastAsia" w:eastAsiaTheme="minorEastAsia"/>
          <w:color w:val="auto"/>
          <w:sz w:val="24"/>
          <w:szCs w:val="32"/>
          <w:highlight w:val="none"/>
        </w:rPr>
        <w:t>（六）</w:t>
      </w:r>
      <w:r>
        <w:rPr>
          <w:rFonts w:hint="eastAsia" w:asciiTheme="minorEastAsia" w:hAnsiTheme="minorEastAsia" w:eastAsiaTheme="minorEastAsia"/>
          <w:color w:val="auto"/>
          <w:kern w:val="0"/>
          <w:sz w:val="24"/>
          <w:highlight w:val="none"/>
        </w:rPr>
        <w:t>响应参数未如实填写；</w:t>
      </w:r>
    </w:p>
    <w:p w14:paraId="130006B6">
      <w:pPr>
        <w:tabs>
          <w:tab w:val="left" w:pos="1898"/>
        </w:tabs>
        <w:autoSpaceDE w:val="0"/>
        <w:autoSpaceDN w:val="0"/>
        <w:adjustRightInd w:val="0"/>
        <w:snapToGrid w:val="0"/>
        <w:spacing w:line="360" w:lineRule="auto"/>
        <w:ind w:firstLine="480" w:firstLineChars="200"/>
        <w:rPr>
          <w:rFonts w:asciiTheme="minorEastAsia" w:hAnsiTheme="minorEastAsia" w:eastAsiaTheme="minorEastAsia"/>
          <w:color w:val="auto"/>
          <w:kern w:val="0"/>
          <w:sz w:val="24"/>
          <w:highlight w:val="none"/>
        </w:rPr>
      </w:pPr>
      <w:r>
        <w:rPr>
          <w:rFonts w:hint="eastAsia" w:asciiTheme="minorEastAsia" w:hAnsiTheme="minorEastAsia" w:eastAsiaTheme="minorEastAsia"/>
          <w:color w:val="auto"/>
          <w:sz w:val="24"/>
          <w:szCs w:val="32"/>
          <w:highlight w:val="none"/>
        </w:rPr>
        <w:t>（七）</w:t>
      </w:r>
      <w:r>
        <w:rPr>
          <w:rFonts w:hint="eastAsia" w:asciiTheme="minorEastAsia" w:hAnsiTheme="minorEastAsia" w:eastAsiaTheme="minorEastAsia"/>
          <w:color w:val="auto"/>
          <w:sz w:val="24"/>
          <w:highlight w:val="none"/>
        </w:rPr>
        <w:t>响应文件</w:t>
      </w:r>
      <w:r>
        <w:rPr>
          <w:rFonts w:hint="eastAsia" w:asciiTheme="minorEastAsia" w:hAnsiTheme="minorEastAsia" w:eastAsiaTheme="minorEastAsia"/>
          <w:color w:val="auto"/>
          <w:kern w:val="0"/>
          <w:sz w:val="24"/>
          <w:highlight w:val="none"/>
        </w:rPr>
        <w:t xml:space="preserve">存在虚假材料的； </w:t>
      </w:r>
    </w:p>
    <w:p w14:paraId="3275EC2F">
      <w:pPr>
        <w:tabs>
          <w:tab w:val="left" w:pos="1898"/>
        </w:tabs>
        <w:autoSpaceDE w:val="0"/>
        <w:autoSpaceDN w:val="0"/>
        <w:adjustRightInd w:val="0"/>
        <w:snapToGrid w:val="0"/>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szCs w:val="32"/>
          <w:highlight w:val="none"/>
        </w:rPr>
        <w:t>（八）</w:t>
      </w:r>
      <w:r>
        <w:rPr>
          <w:rFonts w:asciiTheme="minorEastAsia" w:hAnsiTheme="minorEastAsia" w:eastAsiaTheme="minorEastAsia"/>
          <w:color w:val="auto"/>
          <w:sz w:val="24"/>
          <w:highlight w:val="none"/>
        </w:rPr>
        <w:t>不同</w:t>
      </w:r>
      <w:r>
        <w:rPr>
          <w:rFonts w:hint="eastAsia" w:asciiTheme="minorEastAsia" w:hAnsiTheme="minorEastAsia" w:eastAsiaTheme="minorEastAsia"/>
          <w:color w:val="auto"/>
          <w:sz w:val="24"/>
          <w:highlight w:val="none"/>
        </w:rPr>
        <w:t>供应商</w:t>
      </w:r>
      <w:r>
        <w:rPr>
          <w:rFonts w:asciiTheme="minorEastAsia" w:hAnsiTheme="minorEastAsia" w:eastAsiaTheme="minorEastAsia"/>
          <w:color w:val="auto"/>
          <w:sz w:val="24"/>
          <w:highlight w:val="none"/>
        </w:rPr>
        <w:t>的</w:t>
      </w:r>
      <w:r>
        <w:rPr>
          <w:rFonts w:hint="eastAsia" w:asciiTheme="minorEastAsia" w:hAnsiTheme="minorEastAsia" w:eastAsiaTheme="minorEastAsia"/>
          <w:color w:val="auto"/>
          <w:sz w:val="24"/>
          <w:highlight w:val="none"/>
        </w:rPr>
        <w:t>响应文件</w:t>
      </w:r>
      <w:r>
        <w:rPr>
          <w:rFonts w:asciiTheme="minorEastAsia" w:hAnsiTheme="minorEastAsia" w:eastAsiaTheme="minorEastAsia"/>
          <w:color w:val="auto"/>
          <w:sz w:val="24"/>
          <w:highlight w:val="none"/>
        </w:rPr>
        <w:t>由同一单位或者个人编制</w:t>
      </w:r>
      <w:r>
        <w:rPr>
          <w:rFonts w:hint="eastAsia" w:asciiTheme="minorEastAsia" w:hAnsiTheme="minorEastAsia" w:eastAsiaTheme="minorEastAsia"/>
          <w:color w:val="auto"/>
          <w:sz w:val="24"/>
          <w:highlight w:val="none"/>
        </w:rPr>
        <w:t>；</w:t>
      </w:r>
    </w:p>
    <w:p w14:paraId="72BF9D60">
      <w:pPr>
        <w:tabs>
          <w:tab w:val="left" w:pos="1898"/>
        </w:tabs>
        <w:autoSpaceDE w:val="0"/>
        <w:autoSpaceDN w:val="0"/>
        <w:adjustRightInd w:val="0"/>
        <w:snapToGrid w:val="0"/>
        <w:spacing w:line="360" w:lineRule="auto"/>
        <w:ind w:firstLine="480" w:firstLineChars="200"/>
        <w:rPr>
          <w:rFonts w:asciiTheme="minorEastAsia" w:hAnsiTheme="minorEastAsia" w:eastAsiaTheme="minorEastAsia"/>
          <w:color w:val="auto"/>
          <w:sz w:val="24"/>
          <w:highlight w:val="none"/>
        </w:rPr>
      </w:pPr>
      <w:r>
        <w:rPr>
          <w:rFonts w:asciiTheme="minorEastAsia" w:hAnsiTheme="minorEastAsia" w:eastAsiaTheme="minorEastAsia"/>
          <w:color w:val="auto"/>
          <w:sz w:val="24"/>
          <w:highlight w:val="none"/>
        </w:rPr>
        <w:t>（</w:t>
      </w:r>
      <w:r>
        <w:rPr>
          <w:rFonts w:hint="eastAsia" w:asciiTheme="minorEastAsia" w:hAnsiTheme="minorEastAsia" w:eastAsiaTheme="minorEastAsia"/>
          <w:color w:val="auto"/>
          <w:sz w:val="24"/>
          <w:highlight w:val="none"/>
        </w:rPr>
        <w:t>九</w:t>
      </w:r>
      <w:r>
        <w:rPr>
          <w:rFonts w:asciiTheme="minorEastAsia" w:hAnsiTheme="minorEastAsia" w:eastAsiaTheme="minorEastAsia"/>
          <w:color w:val="auto"/>
          <w:sz w:val="24"/>
          <w:highlight w:val="none"/>
        </w:rPr>
        <w:t>）不同供应商委托同一单位或者个人办理磋商事宜；</w:t>
      </w:r>
    </w:p>
    <w:p w14:paraId="5518447F">
      <w:pPr>
        <w:pStyle w:val="20"/>
        <w:spacing w:before="0" w:beforeAutospacing="0" w:after="0" w:afterAutospacing="0" w:line="360" w:lineRule="auto"/>
        <w:ind w:firstLine="480" w:firstLineChars="200"/>
        <w:jc w:val="both"/>
        <w:rPr>
          <w:rFonts w:hint="default" w:asciiTheme="minorEastAsia" w:hAnsiTheme="minorEastAsia" w:eastAsiaTheme="minorEastAsia"/>
          <w:color w:val="auto"/>
          <w:highlight w:val="none"/>
        </w:rPr>
      </w:pPr>
      <w:r>
        <w:rPr>
          <w:rFonts w:asciiTheme="minorEastAsia" w:hAnsiTheme="minorEastAsia" w:eastAsiaTheme="minorEastAsia"/>
          <w:color w:val="auto"/>
          <w:szCs w:val="32"/>
          <w:highlight w:val="none"/>
        </w:rPr>
        <w:t>（十）</w:t>
      </w:r>
      <w:r>
        <w:rPr>
          <w:rFonts w:asciiTheme="minorEastAsia" w:hAnsiTheme="minorEastAsia" w:eastAsiaTheme="minorEastAsia"/>
          <w:color w:val="auto"/>
          <w:highlight w:val="none"/>
        </w:rPr>
        <w:t>不同供应商的响应文件载明的项目管理成员或者联系人员为同一人；</w:t>
      </w:r>
    </w:p>
    <w:p w14:paraId="74A949DD">
      <w:pPr>
        <w:pStyle w:val="20"/>
        <w:spacing w:before="0" w:beforeAutospacing="0" w:after="0" w:afterAutospacing="0" w:line="360" w:lineRule="auto"/>
        <w:ind w:firstLine="480" w:firstLineChars="200"/>
        <w:jc w:val="both"/>
        <w:rPr>
          <w:rFonts w:hint="default" w:asciiTheme="minorEastAsia" w:hAnsiTheme="minorEastAsia" w:eastAsiaTheme="minorEastAsia"/>
          <w:color w:val="auto"/>
          <w:highlight w:val="none"/>
        </w:rPr>
      </w:pPr>
      <w:r>
        <w:rPr>
          <w:rFonts w:asciiTheme="minorEastAsia" w:hAnsiTheme="minorEastAsia" w:eastAsiaTheme="minorEastAsia"/>
          <w:color w:val="auto"/>
          <w:szCs w:val="32"/>
          <w:highlight w:val="none"/>
        </w:rPr>
        <w:t>（十一）</w:t>
      </w:r>
      <w:r>
        <w:rPr>
          <w:rFonts w:asciiTheme="minorEastAsia" w:hAnsiTheme="minorEastAsia" w:eastAsiaTheme="minorEastAsia"/>
          <w:color w:val="auto"/>
          <w:highlight w:val="none"/>
        </w:rPr>
        <w:t>不同供应商的响应文件异常一致或者磋商报价呈规律性差异；</w:t>
      </w:r>
    </w:p>
    <w:p w14:paraId="0BB0F25F">
      <w:pPr>
        <w:pStyle w:val="20"/>
        <w:spacing w:before="0" w:beforeAutospacing="0" w:after="0" w:afterAutospacing="0" w:line="360" w:lineRule="auto"/>
        <w:ind w:firstLine="480" w:firstLineChars="200"/>
        <w:jc w:val="both"/>
        <w:rPr>
          <w:rFonts w:hint="default" w:asciiTheme="minorEastAsia" w:hAnsiTheme="minorEastAsia" w:eastAsiaTheme="minorEastAsia"/>
          <w:color w:val="auto"/>
          <w:highlight w:val="none"/>
        </w:rPr>
      </w:pPr>
      <w:r>
        <w:rPr>
          <w:rFonts w:asciiTheme="minorEastAsia" w:hAnsiTheme="minorEastAsia" w:eastAsiaTheme="minorEastAsia"/>
          <w:color w:val="auto"/>
          <w:highlight w:val="none"/>
        </w:rPr>
        <w:t>（十二）不同供应商的响应文件相互混装；</w:t>
      </w:r>
    </w:p>
    <w:p w14:paraId="31D38AD0">
      <w:pPr>
        <w:pStyle w:val="20"/>
        <w:spacing w:before="0" w:beforeAutospacing="0" w:after="0" w:afterAutospacing="0" w:line="360" w:lineRule="auto"/>
        <w:ind w:firstLine="480" w:firstLineChars="200"/>
        <w:jc w:val="both"/>
        <w:rPr>
          <w:rFonts w:hint="default" w:asciiTheme="minorEastAsia" w:hAnsiTheme="minorEastAsia" w:eastAsiaTheme="minorEastAsia"/>
          <w:color w:val="auto"/>
          <w:highlight w:val="none"/>
        </w:rPr>
      </w:pPr>
      <w:r>
        <w:rPr>
          <w:rFonts w:asciiTheme="minorEastAsia" w:hAnsiTheme="minorEastAsia" w:eastAsiaTheme="minorEastAsia"/>
          <w:color w:val="auto"/>
          <w:szCs w:val="32"/>
          <w:highlight w:val="none"/>
        </w:rPr>
        <w:t>（十三）</w:t>
      </w:r>
      <w:r>
        <w:rPr>
          <w:rFonts w:cs="宋体"/>
          <w:color w:val="auto"/>
          <w:highlight w:val="none"/>
        </w:rPr>
        <w:t>实质性要求（磋商文件中打“▲”内容）不响应的；</w:t>
      </w:r>
    </w:p>
    <w:p w14:paraId="62E9FA93">
      <w:pPr>
        <w:pStyle w:val="6"/>
        <w:spacing w:line="360" w:lineRule="auto"/>
        <w:ind w:firstLine="480" w:firstLineChars="200"/>
        <w:rPr>
          <w:rFonts w:asciiTheme="minorEastAsia" w:hAnsiTheme="minorEastAsia" w:eastAsiaTheme="minorEastAsia"/>
          <w:color w:val="auto"/>
          <w:kern w:val="0"/>
          <w:sz w:val="24"/>
          <w:szCs w:val="24"/>
          <w:highlight w:val="none"/>
        </w:rPr>
      </w:pPr>
      <w:r>
        <w:rPr>
          <w:rFonts w:hint="eastAsia" w:asciiTheme="minorEastAsia" w:hAnsiTheme="minorEastAsia" w:eastAsiaTheme="minorEastAsia"/>
          <w:color w:val="auto"/>
          <w:sz w:val="24"/>
          <w:szCs w:val="32"/>
          <w:highlight w:val="none"/>
        </w:rPr>
        <w:t>（十四）</w:t>
      </w:r>
      <w:r>
        <w:rPr>
          <w:rFonts w:hint="eastAsia" w:asciiTheme="minorEastAsia" w:hAnsiTheme="minorEastAsia" w:eastAsiaTheme="minorEastAsia"/>
          <w:color w:val="auto"/>
          <w:kern w:val="0"/>
          <w:sz w:val="24"/>
          <w:szCs w:val="24"/>
          <w:highlight w:val="none"/>
        </w:rPr>
        <w:t>商务条款不响应；</w:t>
      </w:r>
    </w:p>
    <w:p w14:paraId="524F420E">
      <w:pPr>
        <w:pStyle w:val="6"/>
        <w:spacing w:line="360" w:lineRule="auto"/>
        <w:ind w:firstLine="480" w:firstLineChars="200"/>
        <w:rPr>
          <w:rFonts w:asciiTheme="minorEastAsia" w:hAnsiTheme="minorEastAsia" w:eastAsiaTheme="minorEastAsia"/>
          <w:color w:val="auto"/>
          <w:kern w:val="0"/>
          <w:sz w:val="24"/>
          <w:szCs w:val="24"/>
          <w:highlight w:val="none"/>
        </w:rPr>
      </w:pPr>
      <w:r>
        <w:rPr>
          <w:rFonts w:hint="eastAsia" w:asciiTheme="minorEastAsia" w:hAnsiTheme="minorEastAsia" w:eastAsiaTheme="minorEastAsia"/>
          <w:color w:val="auto"/>
          <w:sz w:val="24"/>
          <w:szCs w:val="32"/>
          <w:highlight w:val="none"/>
        </w:rPr>
        <w:t>（十五）</w:t>
      </w:r>
      <w:r>
        <w:rPr>
          <w:rFonts w:hint="eastAsia" w:cs="宋体"/>
          <w:color w:val="auto"/>
          <w:sz w:val="24"/>
          <w:szCs w:val="24"/>
          <w:highlight w:val="none"/>
        </w:rPr>
        <w:t>响应</w:t>
      </w:r>
      <w:r>
        <w:rPr>
          <w:rFonts w:hint="eastAsia" w:asciiTheme="minorEastAsia" w:hAnsiTheme="minorEastAsia" w:eastAsiaTheme="minorEastAsia"/>
          <w:color w:val="auto"/>
          <w:kern w:val="0"/>
          <w:sz w:val="24"/>
          <w:szCs w:val="24"/>
          <w:highlight w:val="none"/>
        </w:rPr>
        <w:t>文件有效期不足的；</w:t>
      </w:r>
    </w:p>
    <w:p w14:paraId="150A9876">
      <w:pPr>
        <w:pStyle w:val="6"/>
        <w:spacing w:line="360" w:lineRule="auto"/>
        <w:ind w:firstLine="480" w:firstLineChars="200"/>
        <w:rPr>
          <w:rFonts w:asciiTheme="minorEastAsia" w:hAnsiTheme="minorEastAsia" w:eastAsiaTheme="minorEastAsia"/>
          <w:color w:val="auto"/>
          <w:kern w:val="0"/>
          <w:sz w:val="24"/>
          <w:szCs w:val="24"/>
          <w:highlight w:val="none"/>
        </w:rPr>
      </w:pPr>
      <w:r>
        <w:rPr>
          <w:rFonts w:hint="eastAsia" w:asciiTheme="minorEastAsia" w:hAnsiTheme="minorEastAsia" w:eastAsiaTheme="minorEastAsia"/>
          <w:color w:val="auto"/>
          <w:sz w:val="24"/>
          <w:szCs w:val="32"/>
          <w:highlight w:val="none"/>
        </w:rPr>
        <w:t>（十六）</w:t>
      </w:r>
      <w:r>
        <w:rPr>
          <w:rFonts w:hint="eastAsia" w:asciiTheme="minorEastAsia" w:hAnsiTheme="minorEastAsia" w:eastAsiaTheme="minorEastAsia"/>
          <w:color w:val="auto"/>
          <w:kern w:val="0"/>
          <w:sz w:val="24"/>
          <w:szCs w:val="24"/>
          <w:highlight w:val="none"/>
        </w:rPr>
        <w:t>逾期或未按要求提交</w:t>
      </w:r>
      <w:r>
        <w:rPr>
          <w:rFonts w:hint="eastAsia" w:cs="宋体"/>
          <w:color w:val="auto"/>
          <w:sz w:val="24"/>
          <w:szCs w:val="24"/>
          <w:highlight w:val="none"/>
        </w:rPr>
        <w:t>响应</w:t>
      </w:r>
      <w:r>
        <w:rPr>
          <w:rFonts w:hint="eastAsia" w:asciiTheme="minorEastAsia" w:hAnsiTheme="minorEastAsia" w:eastAsiaTheme="minorEastAsia"/>
          <w:color w:val="auto"/>
          <w:kern w:val="0"/>
          <w:sz w:val="24"/>
          <w:szCs w:val="24"/>
          <w:highlight w:val="none"/>
        </w:rPr>
        <w:t>文件的。</w:t>
      </w:r>
    </w:p>
    <w:p w14:paraId="61D3D535">
      <w:pPr>
        <w:pStyle w:val="6"/>
        <w:spacing w:line="360" w:lineRule="auto"/>
        <w:ind w:firstLine="480" w:firstLineChars="200"/>
        <w:rPr>
          <w:rFonts w:asciiTheme="minorEastAsia" w:hAnsiTheme="minorEastAsia"/>
          <w:color w:val="auto"/>
          <w:kern w:val="0"/>
          <w:sz w:val="24"/>
          <w:szCs w:val="24"/>
          <w:highlight w:val="none"/>
        </w:rPr>
      </w:pPr>
      <w:r>
        <w:rPr>
          <w:rFonts w:hint="eastAsia" w:asciiTheme="minorEastAsia" w:hAnsiTheme="minorEastAsia" w:eastAsiaTheme="minorEastAsia"/>
          <w:color w:val="auto"/>
          <w:sz w:val="24"/>
          <w:szCs w:val="32"/>
          <w:highlight w:val="none"/>
        </w:rPr>
        <w:t>（十七）</w:t>
      </w:r>
      <w:r>
        <w:rPr>
          <w:rFonts w:hint="eastAsia" w:asciiTheme="minorEastAsia" w:hAnsiTheme="minorEastAsia" w:eastAsiaTheme="minorEastAsia"/>
          <w:color w:val="auto"/>
          <w:kern w:val="0"/>
          <w:sz w:val="24"/>
          <w:szCs w:val="24"/>
          <w:highlight w:val="none"/>
        </w:rPr>
        <w:t>其他</w:t>
      </w:r>
      <w:r>
        <w:rPr>
          <w:rFonts w:ascii="宋体" w:hAnsi="宋体" w:cs="宋体"/>
          <w:color w:val="auto"/>
          <w:sz w:val="24"/>
          <w:szCs w:val="24"/>
          <w:highlight w:val="none"/>
        </w:rPr>
        <w:t>不符合法律、法规相关规定的</w:t>
      </w:r>
      <w:r>
        <w:rPr>
          <w:rFonts w:hint="eastAsia" w:ascii="宋体" w:hAnsi="宋体" w:cs="宋体"/>
          <w:color w:val="auto"/>
          <w:sz w:val="24"/>
          <w:szCs w:val="24"/>
          <w:highlight w:val="none"/>
        </w:rPr>
        <w:t>。</w:t>
      </w:r>
    </w:p>
    <w:p w14:paraId="126C68D7">
      <w:pPr>
        <w:autoSpaceDE w:val="0"/>
        <w:autoSpaceDN w:val="0"/>
        <w:adjustRightInd w:val="0"/>
        <w:spacing w:line="360" w:lineRule="auto"/>
        <w:ind w:firstLine="420" w:firstLineChars="200"/>
        <w:rPr>
          <w:rFonts w:asciiTheme="minorEastAsia" w:hAnsiTheme="minorEastAsia" w:eastAsiaTheme="minorEastAsia"/>
          <w:color w:val="auto"/>
          <w:kern w:val="0"/>
          <w:sz w:val="24"/>
          <w:highlight w:val="none"/>
        </w:rPr>
      </w:pPr>
      <w:r>
        <w:rPr>
          <w:rFonts w:cs="宋体"/>
          <w:color w:val="auto"/>
          <w:highlight w:val="none"/>
        </w:rPr>
        <w:t>▲</w:t>
      </w:r>
      <w:r>
        <w:rPr>
          <w:rFonts w:hint="eastAsia" w:asciiTheme="minorEastAsia" w:hAnsiTheme="minorEastAsia" w:eastAsiaTheme="minorEastAsia"/>
          <w:b/>
          <w:color w:val="auto"/>
          <w:kern w:val="0"/>
          <w:sz w:val="24"/>
          <w:highlight w:val="none"/>
        </w:rPr>
        <w:t>六、终止磋商情形</w:t>
      </w:r>
    </w:p>
    <w:p w14:paraId="04C740E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（一）出现影响采购公正的违法、违规行为的；</w:t>
      </w:r>
    </w:p>
    <w:p w14:paraId="5419903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（二）磋商小组发现磋商文件存在歧义、重大缺陷导致评审工作无法进行，或者磋商文件内容违反国家有关强制性规定的；</w:t>
      </w:r>
    </w:p>
    <w:p w14:paraId="388A40F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（三）因重大变故，采购任务取消的；</w:t>
      </w:r>
    </w:p>
    <w:p w14:paraId="5B6D3021">
      <w:pPr>
        <w:spacing w:line="360" w:lineRule="auto"/>
        <w:ind w:firstLine="480" w:firstLineChars="200"/>
        <w:rPr>
          <w:rFonts w:ascii="宋体" w:hAnsi="宋体" w:cs="宋体"/>
          <w:b/>
          <w:bCs/>
          <w:color w:val="auto"/>
          <w:sz w:val="24"/>
          <w:highlight w:val="none"/>
        </w:rPr>
      </w:pPr>
      <w:r>
        <w:rPr>
          <w:rFonts w:hint="eastAsia" w:ascii="宋体" w:hAnsi="宋体" w:cs="宋体"/>
          <w:color w:val="auto"/>
          <w:sz w:val="24"/>
          <w:highlight w:val="none"/>
        </w:rPr>
        <w:t>（四）在采购过程中符合磋商要求的供应商或者提交最后报价的供应商不足3家的（市场竞争不充分的科研项目，以及需要扶持的科技成果转化项目，提交最后报价的供应商可以为2家）；</w:t>
      </w:r>
    </w:p>
    <w:p w14:paraId="5F95810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（五）法律、法规和磋商文件规定的其他导致评审结果无效的。</w:t>
      </w:r>
    </w:p>
    <w:p w14:paraId="7321D840">
      <w:pPr>
        <w:pStyle w:val="11"/>
        <w:snapToGrid w:val="0"/>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七、磋商</w:t>
      </w:r>
      <w:r>
        <w:rPr>
          <w:rFonts w:asciiTheme="minorEastAsia" w:hAnsiTheme="minorEastAsia" w:eastAsiaTheme="minorEastAsia"/>
          <w:b/>
          <w:color w:val="auto"/>
          <w:sz w:val="24"/>
          <w:highlight w:val="none"/>
        </w:rPr>
        <w:t>过程的监控</w:t>
      </w:r>
    </w:p>
    <w:p w14:paraId="2A1A0C75">
      <w:pPr>
        <w:pStyle w:val="20"/>
        <w:spacing w:before="0" w:beforeAutospacing="0" w:after="0" w:afterAutospacing="0" w:line="360" w:lineRule="auto"/>
        <w:ind w:firstLine="480" w:firstLineChars="200"/>
        <w:jc w:val="both"/>
        <w:rPr>
          <w:rFonts w:hint="default" w:asciiTheme="minorEastAsia" w:hAnsiTheme="minorEastAsia" w:eastAsiaTheme="minorEastAsia"/>
          <w:color w:val="auto"/>
          <w:highlight w:val="none"/>
        </w:rPr>
      </w:pPr>
      <w:r>
        <w:rPr>
          <w:rFonts w:asciiTheme="minorEastAsia" w:hAnsiTheme="minorEastAsia" w:eastAsiaTheme="minorEastAsia"/>
          <w:color w:val="auto"/>
          <w:highlight w:val="none"/>
        </w:rPr>
        <w:t>本项目磋商过程实行全程录音、录像监控，政府采购监管部门视情进行现场监督，供应商在磋商过程中所进行的试图影响磋商结果的不公正活动，可能导致其磋商响应被拒绝。</w:t>
      </w:r>
    </w:p>
    <w:p w14:paraId="1AD2EE8A">
      <w:pPr>
        <w:pStyle w:val="20"/>
        <w:spacing w:before="0" w:beforeAutospacing="0" w:after="0" w:afterAutospacing="0" w:line="360" w:lineRule="auto"/>
        <w:ind w:firstLine="482" w:firstLineChars="200"/>
        <w:jc w:val="both"/>
        <w:rPr>
          <w:rFonts w:hint="default"/>
          <w:b/>
          <w:bCs/>
          <w:color w:val="auto"/>
          <w:highlight w:val="none"/>
        </w:rPr>
      </w:pPr>
      <w:r>
        <w:rPr>
          <w:rFonts w:asciiTheme="minorEastAsia" w:hAnsiTheme="minorEastAsia" w:eastAsiaTheme="minorEastAsia"/>
          <w:b/>
          <w:bCs/>
          <w:color w:val="auto"/>
          <w:highlight w:val="none"/>
        </w:rPr>
        <w:t>八、</w:t>
      </w:r>
      <w:r>
        <w:rPr>
          <w:b/>
          <w:bCs/>
          <w:color w:val="auto"/>
          <w:highlight w:val="none"/>
        </w:rPr>
        <w:t>政府采购政策落实</w:t>
      </w:r>
    </w:p>
    <w:p w14:paraId="4EFFE5AE">
      <w:pPr>
        <w:autoSpaceDE w:val="0"/>
        <w:autoSpaceDN w:val="0"/>
        <w:adjustRightInd w:val="0"/>
        <w:spacing w:line="360" w:lineRule="auto"/>
        <w:ind w:firstLine="480" w:firstLineChars="200"/>
        <w:rPr>
          <w:rFonts w:hint="eastAsia" w:ascii="宋体" w:hAnsi="Times New Roman" w:eastAsia="宋体" w:cs="Times New Roman"/>
          <w:color w:val="auto"/>
          <w:sz w:val="24"/>
          <w:highlight w:val="none"/>
        </w:rPr>
      </w:pPr>
      <w:r>
        <w:rPr>
          <w:rFonts w:hint="eastAsia" w:ascii="宋体" w:hAnsi="宋体"/>
          <w:color w:val="auto"/>
          <w:kern w:val="0"/>
          <w:sz w:val="24"/>
          <w:highlight w:val="none"/>
        </w:rPr>
        <w:t>（一）</w:t>
      </w:r>
      <w:r>
        <w:rPr>
          <w:rFonts w:hint="eastAsia" w:ascii="宋体" w:hAnsi="Times New Roman" w:eastAsia="宋体" w:cs="Times New Roman"/>
          <w:color w:val="auto"/>
          <w:sz w:val="24"/>
          <w:highlight w:val="none"/>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优先采购向我国企业转让技术、与我国企业签订消化吸收再创新方案的供应商的进口产品。</w:t>
      </w:r>
    </w:p>
    <w:p w14:paraId="75D72BE6">
      <w:pPr>
        <w:autoSpaceDE w:val="0"/>
        <w:autoSpaceDN w:val="0"/>
        <w:adjustRightInd w:val="0"/>
        <w:spacing w:line="360" w:lineRule="auto"/>
        <w:ind w:firstLine="480" w:firstLineChars="200"/>
        <w:rPr>
          <w:rFonts w:hint="eastAsia" w:ascii="宋体" w:hAnsi="Times New Roman" w:eastAsia="宋体" w:cs="Times New Roman"/>
          <w:color w:val="auto"/>
          <w:sz w:val="24"/>
          <w:highlight w:val="none"/>
        </w:rPr>
      </w:pPr>
      <w:r>
        <w:rPr>
          <w:rFonts w:hint="eastAsia" w:ascii="宋体" w:hAnsi="宋体"/>
          <w:color w:val="auto"/>
          <w:kern w:val="0"/>
          <w:sz w:val="24"/>
          <w:highlight w:val="none"/>
        </w:rPr>
        <w:t>（</w:t>
      </w:r>
      <w:r>
        <w:rPr>
          <w:rFonts w:hint="eastAsia" w:ascii="宋体" w:hAnsi="宋体"/>
          <w:color w:val="auto"/>
          <w:kern w:val="0"/>
          <w:sz w:val="24"/>
          <w:highlight w:val="none"/>
          <w:lang w:val="en-US" w:eastAsia="zh-CN"/>
        </w:rPr>
        <w:t>二</w:t>
      </w:r>
      <w:r>
        <w:rPr>
          <w:rFonts w:hint="eastAsia" w:ascii="宋体" w:hAnsi="宋体"/>
          <w:color w:val="auto"/>
          <w:kern w:val="0"/>
          <w:sz w:val="24"/>
          <w:highlight w:val="none"/>
        </w:rPr>
        <w:t>）</w:t>
      </w:r>
      <w:r>
        <w:rPr>
          <w:rFonts w:hint="eastAsia" w:ascii="宋体" w:hAnsi="Times New Roman" w:eastAsia="宋体" w:cs="Times New Roman"/>
          <w:color w:val="auto"/>
          <w:sz w:val="24"/>
          <w:highlight w:val="none"/>
        </w:rPr>
        <w:t>支持绿色发展</w:t>
      </w:r>
    </w:p>
    <w:p w14:paraId="210CAA6F">
      <w:pPr>
        <w:autoSpaceDE w:val="0"/>
        <w:autoSpaceDN w:val="0"/>
        <w:adjustRightInd w:val="0"/>
        <w:spacing w:line="360" w:lineRule="auto"/>
        <w:ind w:firstLine="480" w:firstLineChars="200"/>
        <w:rPr>
          <w:rFonts w:hint="eastAsia" w:ascii="宋体" w:hAnsi="Times New Roman" w:eastAsia="宋体" w:cs="Times New Roman"/>
          <w:color w:val="auto"/>
          <w:sz w:val="24"/>
          <w:highlight w:val="none"/>
        </w:rPr>
      </w:pPr>
      <w:r>
        <w:rPr>
          <w:rFonts w:hint="eastAsia" w:ascii="宋体" w:hAnsi="Times New Roman" w:eastAsia="宋体" w:cs="Times New Roman"/>
          <w:color w:val="auto"/>
          <w:sz w:val="24"/>
          <w:highlight w:val="none"/>
        </w:rPr>
        <w:t>1</w:t>
      </w:r>
      <w:r>
        <w:rPr>
          <w:rFonts w:hint="eastAsia" w:ascii="宋体" w:hAnsi="Times New Roman" w:eastAsia="宋体" w:cs="Times New Roman"/>
          <w:color w:val="auto"/>
          <w:sz w:val="24"/>
          <w:highlight w:val="none"/>
          <w:lang w:val="en-US" w:eastAsia="zh-CN"/>
        </w:rPr>
        <w:t>.</w:t>
      </w:r>
      <w:r>
        <w:rPr>
          <w:rFonts w:hint="eastAsia" w:ascii="宋体" w:hAnsi="Times New Roman" w:eastAsia="宋体" w:cs="Times New Roman"/>
          <w:color w:val="auto"/>
          <w:sz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采购人拟采购的产品属于政府强制采购的节能产品品目清单范围的，投标人相应的投标产品未获得国家确定的认证机构出具的、处于有效期之内的节能产品认证证书的，投标无效。</w:t>
      </w:r>
    </w:p>
    <w:p w14:paraId="2BFF21E3">
      <w:pPr>
        <w:autoSpaceDE w:val="0"/>
        <w:autoSpaceDN w:val="0"/>
        <w:adjustRightInd w:val="0"/>
        <w:spacing w:line="360" w:lineRule="auto"/>
        <w:ind w:firstLine="480" w:firstLineChars="200"/>
        <w:rPr>
          <w:rFonts w:hint="eastAsia" w:ascii="宋体" w:hAnsi="Times New Roman" w:eastAsia="宋体" w:cs="Times New Roman"/>
          <w:color w:val="auto"/>
          <w:sz w:val="24"/>
          <w:highlight w:val="none"/>
        </w:rPr>
      </w:pPr>
      <w:r>
        <w:rPr>
          <w:rFonts w:hint="eastAsia" w:ascii="宋体" w:hAnsi="Times New Roman" w:eastAsia="宋体" w:cs="Times New Roman"/>
          <w:color w:val="auto"/>
          <w:sz w:val="24"/>
          <w:highlight w:val="none"/>
        </w:rPr>
        <w:t>2. 纳入政府采购管理的修缮、装修类项目采购建材的，鼓励采购单位将绿色建材性能、指标等作为实质性条件纳入采购文件和合同，具体性能指标要求参考相关绿色建材政府采购需求标准。</w:t>
      </w:r>
    </w:p>
    <w:p w14:paraId="01CFAD88">
      <w:pPr>
        <w:autoSpaceDE w:val="0"/>
        <w:autoSpaceDN w:val="0"/>
        <w:adjustRightInd w:val="0"/>
        <w:spacing w:line="360" w:lineRule="auto"/>
        <w:ind w:firstLine="480" w:firstLineChars="200"/>
        <w:rPr>
          <w:rFonts w:hint="eastAsia" w:ascii="宋体" w:hAnsi="Times New Roman" w:eastAsia="宋体" w:cs="Times New Roman"/>
          <w:color w:val="auto"/>
          <w:sz w:val="24"/>
          <w:highlight w:val="none"/>
        </w:rPr>
      </w:pPr>
      <w:r>
        <w:rPr>
          <w:rFonts w:hint="eastAsia" w:ascii="宋体" w:hAnsi="Times New Roman" w:eastAsia="宋体" w:cs="Times New Roman"/>
          <w:color w:val="auto"/>
          <w:sz w:val="24"/>
          <w:highlight w:val="none"/>
        </w:rPr>
        <w:t>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bookmarkStart w:id="40" w:name="_Hlk107568539"/>
      <w:r>
        <w:rPr>
          <w:rFonts w:hint="eastAsia" w:ascii="宋体" w:hAnsi="Times New Roman" w:eastAsia="宋体" w:cs="Times New Roman"/>
          <w:color w:val="auto"/>
          <w:sz w:val="24"/>
          <w:highlight w:val="none"/>
        </w:rPr>
        <w:t>鼓励采购单位优先采购秸秆环保板材等资源综合利用产品。鼓励采购单位优先采购绿色物流配送服务、提供新能源交通工具的租赁服务。</w:t>
      </w:r>
    </w:p>
    <w:p w14:paraId="1A0074ED">
      <w:pPr>
        <w:autoSpaceDE w:val="0"/>
        <w:autoSpaceDN w:val="0"/>
        <w:adjustRightInd w:val="0"/>
        <w:spacing w:line="360" w:lineRule="auto"/>
        <w:ind w:firstLine="480" w:firstLineChars="200"/>
        <w:rPr>
          <w:rFonts w:hint="eastAsia" w:ascii="宋体" w:hAnsi="Times New Roman" w:eastAsia="宋体" w:cs="Times New Roman"/>
          <w:color w:val="auto"/>
          <w:sz w:val="24"/>
          <w:highlight w:val="none"/>
        </w:rPr>
      </w:pPr>
      <w:r>
        <w:rPr>
          <w:rFonts w:hint="eastAsia" w:ascii="宋体" w:hAnsi="Times New Roman" w:eastAsia="宋体" w:cs="Times New Roman"/>
          <w:color w:val="auto"/>
          <w:sz w:val="24"/>
          <w:highlight w:val="none"/>
        </w:rPr>
        <w:t>4</w:t>
      </w:r>
      <w:r>
        <w:rPr>
          <w:rFonts w:hint="eastAsia" w:ascii="宋体" w:hAnsi="Times New Roman" w:eastAsia="宋体" w:cs="Times New Roman"/>
          <w:color w:val="auto"/>
          <w:sz w:val="24"/>
          <w:highlight w:val="none"/>
          <w:lang w:val="en-US" w:eastAsia="zh-CN"/>
        </w:rPr>
        <w:t>.</w:t>
      </w:r>
      <w:r>
        <w:rPr>
          <w:rFonts w:hint="eastAsia" w:ascii="宋体" w:hAnsi="Times New Roman" w:eastAsia="宋体" w:cs="Times New Roman"/>
          <w:color w:val="auto"/>
          <w:sz w:val="24"/>
          <w:highlight w:val="none"/>
        </w:rPr>
        <w:t>鼓励供应商在参加政府采购过程中开展绿色设计、选择绿色材料、打造绿色制造工艺、开展绿色运输、做好废弃产品回收处理，实现产品全周期的绿色环保。鼓励采购单位对其提高预付款比例、免收履约保证金。</w:t>
      </w:r>
      <w:bookmarkEnd w:id="40"/>
    </w:p>
    <w:p w14:paraId="34BC5AB5">
      <w:pPr>
        <w:autoSpaceDE w:val="0"/>
        <w:autoSpaceDN w:val="0"/>
        <w:adjustRightInd w:val="0"/>
        <w:spacing w:line="360" w:lineRule="auto"/>
        <w:ind w:firstLine="480" w:firstLineChars="200"/>
        <w:rPr>
          <w:rFonts w:hint="eastAsia" w:ascii="宋体" w:hAnsi="Times New Roman" w:eastAsia="宋体" w:cs="Times New Roman"/>
          <w:color w:val="auto"/>
          <w:sz w:val="24"/>
          <w:highlight w:val="none"/>
        </w:rPr>
      </w:pPr>
      <w:r>
        <w:rPr>
          <w:rFonts w:hint="eastAsia" w:ascii="宋体" w:hAnsi="Times New Roman" w:eastAsia="宋体" w:cs="Times New Roman"/>
          <w:color w:val="auto"/>
          <w:sz w:val="24"/>
          <w:highlight w:val="none"/>
        </w:rPr>
        <w:t>（</w:t>
      </w:r>
      <w:r>
        <w:rPr>
          <w:rFonts w:hint="eastAsia" w:ascii="宋体" w:cs="Times New Roman"/>
          <w:color w:val="auto"/>
          <w:sz w:val="24"/>
          <w:highlight w:val="none"/>
          <w:lang w:val="en-US" w:eastAsia="zh-CN"/>
        </w:rPr>
        <w:t>三</w:t>
      </w:r>
      <w:r>
        <w:rPr>
          <w:rFonts w:hint="eastAsia" w:ascii="宋体" w:hAnsi="Times New Roman" w:eastAsia="宋体" w:cs="Times New Roman"/>
          <w:color w:val="auto"/>
          <w:sz w:val="24"/>
          <w:highlight w:val="none"/>
        </w:rPr>
        <w:t>）支持创新发展</w:t>
      </w:r>
    </w:p>
    <w:p w14:paraId="4AF589AB">
      <w:pPr>
        <w:autoSpaceDE w:val="0"/>
        <w:autoSpaceDN w:val="0"/>
        <w:adjustRightInd w:val="0"/>
        <w:spacing w:line="360" w:lineRule="auto"/>
        <w:ind w:firstLine="480" w:firstLineChars="200"/>
        <w:rPr>
          <w:rFonts w:hint="eastAsia" w:ascii="宋体" w:hAnsi="Times New Roman" w:eastAsia="宋体" w:cs="Times New Roman"/>
          <w:color w:val="auto"/>
          <w:sz w:val="24"/>
          <w:highlight w:val="none"/>
        </w:rPr>
      </w:pPr>
      <w:r>
        <w:rPr>
          <w:rFonts w:hint="eastAsia" w:ascii="宋体" w:hAnsi="Times New Roman" w:eastAsia="宋体" w:cs="Times New Roman"/>
          <w:color w:val="auto"/>
          <w:sz w:val="24"/>
          <w:highlight w:val="none"/>
          <w:lang w:val="en-US" w:eastAsia="zh-CN"/>
        </w:rPr>
        <w:t>1.</w:t>
      </w:r>
      <w:r>
        <w:rPr>
          <w:rFonts w:hint="eastAsia" w:ascii="宋体" w:hAnsi="Times New Roman" w:eastAsia="宋体" w:cs="Times New Roman"/>
          <w:color w:val="auto"/>
          <w:sz w:val="24"/>
          <w:highlight w:val="none"/>
        </w:rPr>
        <w:t>采购人优先采购被认定为首台套产品和“制造精品”的自主创新产品。</w:t>
      </w:r>
    </w:p>
    <w:p w14:paraId="308E6D1C">
      <w:pPr>
        <w:autoSpaceDE w:val="0"/>
        <w:autoSpaceDN w:val="0"/>
        <w:adjustRightInd w:val="0"/>
        <w:spacing w:line="360" w:lineRule="auto"/>
        <w:ind w:firstLine="480" w:firstLineChars="200"/>
        <w:rPr>
          <w:rFonts w:hint="eastAsia" w:ascii="宋体" w:hAnsi="Times New Roman" w:eastAsia="宋体" w:cs="Times New Roman"/>
          <w:color w:val="auto"/>
          <w:sz w:val="24"/>
          <w:highlight w:val="none"/>
        </w:rPr>
      </w:pPr>
      <w:r>
        <w:rPr>
          <w:rFonts w:hint="eastAsia" w:ascii="宋体" w:hAnsi="Times New Roman" w:eastAsia="宋体" w:cs="Times New Roman"/>
          <w:color w:val="auto"/>
          <w:sz w:val="24"/>
          <w:highlight w:val="none"/>
          <w:lang w:val="en-US" w:eastAsia="zh-CN"/>
        </w:rPr>
        <w:t>2.</w:t>
      </w:r>
      <w:r>
        <w:rPr>
          <w:rFonts w:hint="eastAsia" w:ascii="宋体" w:hAnsi="Times New Roman" w:eastAsia="宋体" w:cs="Times New Roman"/>
          <w:color w:val="auto"/>
          <w:sz w:val="24"/>
          <w:highlight w:val="none"/>
        </w:rPr>
        <w:t>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14:paraId="47058201">
      <w:pPr>
        <w:autoSpaceDE w:val="0"/>
        <w:autoSpaceDN w:val="0"/>
        <w:adjustRightInd w:val="0"/>
        <w:spacing w:line="360" w:lineRule="auto"/>
        <w:ind w:firstLine="480" w:firstLineChars="200"/>
        <w:rPr>
          <w:rFonts w:hint="eastAsia" w:ascii="宋体" w:hAnsi="Times New Roman" w:eastAsia="宋体" w:cs="Times New Roman"/>
          <w:color w:val="auto"/>
          <w:sz w:val="24"/>
          <w:highlight w:val="none"/>
          <w:lang w:eastAsia="zh-CN"/>
        </w:rPr>
      </w:pPr>
      <w:r>
        <w:rPr>
          <w:rFonts w:hint="eastAsia" w:ascii="宋体" w:hAnsi="Times New Roman" w:eastAsia="宋体" w:cs="Times New Roman"/>
          <w:color w:val="auto"/>
          <w:sz w:val="24"/>
          <w:highlight w:val="none"/>
          <w:lang w:val="en-US" w:eastAsia="zh-CN"/>
        </w:rPr>
        <w:t>3.</w:t>
      </w:r>
      <w:r>
        <w:rPr>
          <w:rFonts w:hint="eastAsia" w:ascii="宋体" w:hAnsi="Times New Roman" w:eastAsia="宋体" w:cs="Times New Roman"/>
          <w:color w:val="auto"/>
          <w:sz w:val="24"/>
          <w:highlight w:val="none"/>
        </w:rPr>
        <w:t>平等对待内外资企业和符合条件的破产重整企业</w:t>
      </w:r>
      <w:r>
        <w:rPr>
          <w:rFonts w:hint="eastAsia" w:ascii="宋体" w:cs="Times New Roman"/>
          <w:color w:val="auto"/>
          <w:sz w:val="24"/>
          <w:highlight w:val="none"/>
          <w:lang w:eastAsia="zh-CN"/>
        </w:rPr>
        <w:t>。</w:t>
      </w:r>
    </w:p>
    <w:p w14:paraId="64DA996D">
      <w:pPr>
        <w:autoSpaceDE w:val="0"/>
        <w:autoSpaceDN w:val="0"/>
        <w:adjustRightInd w:val="0"/>
        <w:spacing w:line="360" w:lineRule="auto"/>
        <w:ind w:firstLine="480" w:firstLineChars="200"/>
        <w:rPr>
          <w:rFonts w:hint="eastAsia" w:ascii="宋体" w:hAnsi="Times New Roman" w:eastAsia="宋体" w:cs="Times New Roman"/>
          <w:color w:val="auto"/>
          <w:sz w:val="24"/>
          <w:highlight w:val="none"/>
        </w:rPr>
      </w:pPr>
      <w:r>
        <w:rPr>
          <w:rFonts w:hint="eastAsia" w:ascii="宋体" w:hAnsi="Times New Roman" w:eastAsia="宋体" w:cs="Times New Roman"/>
          <w:color w:val="auto"/>
          <w:sz w:val="24"/>
          <w:highlight w:val="none"/>
          <w:lang w:val="en-US" w:eastAsia="zh-CN"/>
        </w:rPr>
        <w:t>4.</w:t>
      </w:r>
      <w:r>
        <w:rPr>
          <w:rFonts w:hint="eastAsia" w:ascii="宋体" w:hAnsi="Times New Roman" w:eastAsia="宋体" w:cs="Times New Roman"/>
          <w:color w:val="auto"/>
          <w:sz w:val="24"/>
          <w:highlight w:val="none"/>
        </w:rPr>
        <w:t>平等对待内外资企业和符合条件的破产重整企业，切实保障企业公平竞争，平等维护企业的合法利益。</w:t>
      </w:r>
    </w:p>
    <w:p w14:paraId="5474E854">
      <w:pPr>
        <w:pStyle w:val="11"/>
        <w:snapToGrid w:val="0"/>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bCs/>
          <w:color w:val="auto"/>
          <w:sz w:val="24"/>
          <w:highlight w:val="none"/>
        </w:rPr>
        <w:t>九、评审</w:t>
      </w:r>
      <w:r>
        <w:rPr>
          <w:rFonts w:asciiTheme="minorEastAsia" w:hAnsiTheme="minorEastAsia" w:eastAsiaTheme="minorEastAsia"/>
          <w:b/>
          <w:bCs/>
          <w:color w:val="auto"/>
          <w:sz w:val="24"/>
          <w:highlight w:val="none"/>
        </w:rPr>
        <w:t>程序</w:t>
      </w:r>
    </w:p>
    <w:p w14:paraId="2AB9EA23">
      <w:pPr>
        <w:snapToGrid w:val="0"/>
        <w:spacing w:line="360" w:lineRule="auto"/>
        <w:ind w:firstLine="482" w:firstLineChars="200"/>
        <w:rPr>
          <w:rFonts w:asciiTheme="minorEastAsia" w:hAnsiTheme="minorEastAsia" w:eastAsiaTheme="minorEastAsia"/>
          <w:b/>
          <w:bCs/>
          <w:color w:val="auto"/>
          <w:sz w:val="24"/>
          <w:highlight w:val="none"/>
        </w:rPr>
      </w:pPr>
      <w:r>
        <w:rPr>
          <w:rFonts w:hint="eastAsia" w:asciiTheme="minorEastAsia" w:hAnsiTheme="minorEastAsia" w:eastAsiaTheme="minorEastAsia"/>
          <w:b/>
          <w:bCs/>
          <w:color w:val="auto"/>
          <w:sz w:val="24"/>
          <w:highlight w:val="none"/>
        </w:rPr>
        <w:t>（一）资格</w:t>
      </w:r>
      <w:r>
        <w:rPr>
          <w:rFonts w:asciiTheme="minorEastAsia" w:hAnsiTheme="minorEastAsia" w:eastAsiaTheme="minorEastAsia"/>
          <w:b/>
          <w:bCs/>
          <w:color w:val="auto"/>
          <w:sz w:val="24"/>
          <w:highlight w:val="none"/>
        </w:rPr>
        <w:t>审查</w:t>
      </w:r>
    </w:p>
    <w:p w14:paraId="7EA7B4A5">
      <w:pPr>
        <w:pStyle w:val="7"/>
        <w:spacing w:line="360" w:lineRule="auto"/>
        <w:ind w:firstLine="480" w:firstLineChars="200"/>
        <w:jc w:val="both"/>
        <w:rPr>
          <w:rFonts w:asciiTheme="minorEastAsia" w:hAnsiTheme="minorEastAsia" w:eastAsiaTheme="minorEastAsia"/>
          <w:color w:val="auto"/>
          <w:sz w:val="24"/>
          <w:highlight w:val="none"/>
        </w:rPr>
      </w:pPr>
      <w:r>
        <w:rPr>
          <w:rFonts w:hint="eastAsia" w:ascii="宋体" w:hAnsi="宋体" w:cs="宋体"/>
          <w:color w:val="auto"/>
          <w:sz w:val="24"/>
          <w:highlight w:val="none"/>
        </w:rPr>
        <w:t>响应文件解密后</w:t>
      </w:r>
      <w:r>
        <w:rPr>
          <w:rFonts w:asciiTheme="minorEastAsia" w:hAnsiTheme="minorEastAsia" w:eastAsiaTheme="minorEastAsia"/>
          <w:color w:val="auto"/>
          <w:sz w:val="24"/>
          <w:highlight w:val="none"/>
        </w:rPr>
        <w:t>，采购人</w:t>
      </w:r>
      <w:r>
        <w:rPr>
          <w:rFonts w:hint="eastAsia" w:asciiTheme="minorEastAsia" w:hAnsiTheme="minorEastAsia" w:eastAsiaTheme="minorEastAsia"/>
          <w:color w:val="auto"/>
          <w:sz w:val="24"/>
          <w:highlight w:val="none"/>
        </w:rPr>
        <w:t>或</w:t>
      </w:r>
      <w:r>
        <w:rPr>
          <w:rFonts w:asciiTheme="minorEastAsia" w:hAnsiTheme="minorEastAsia" w:eastAsiaTheme="minorEastAsia"/>
          <w:color w:val="auto"/>
          <w:sz w:val="24"/>
          <w:highlight w:val="none"/>
        </w:rPr>
        <w:t>采购组织机构依法对</w:t>
      </w:r>
      <w:r>
        <w:rPr>
          <w:rFonts w:hint="eastAsia" w:asciiTheme="minorEastAsia" w:hAnsiTheme="minorEastAsia" w:eastAsiaTheme="minorEastAsia"/>
          <w:color w:val="auto"/>
          <w:sz w:val="24"/>
          <w:highlight w:val="none"/>
        </w:rPr>
        <w:t>供应商</w:t>
      </w:r>
      <w:r>
        <w:rPr>
          <w:rFonts w:asciiTheme="minorEastAsia" w:hAnsiTheme="minorEastAsia" w:eastAsiaTheme="minorEastAsia"/>
          <w:color w:val="auto"/>
          <w:sz w:val="24"/>
          <w:highlight w:val="none"/>
        </w:rPr>
        <w:t>的资格进行审查，对审查发现无效的进行必要的询标，</w:t>
      </w:r>
      <w:r>
        <w:rPr>
          <w:rFonts w:hint="eastAsia"/>
          <w:color w:val="auto"/>
          <w:sz w:val="24"/>
          <w:highlight w:val="none"/>
        </w:rPr>
        <w:t>在政采云平台公布</w:t>
      </w:r>
      <w:r>
        <w:rPr>
          <w:rFonts w:asciiTheme="minorEastAsia" w:hAnsiTheme="minorEastAsia" w:eastAsiaTheme="minorEastAsia"/>
          <w:color w:val="auto"/>
          <w:sz w:val="24"/>
          <w:highlight w:val="none"/>
        </w:rPr>
        <w:t>无效</w:t>
      </w:r>
      <w:r>
        <w:rPr>
          <w:rFonts w:hint="eastAsia" w:asciiTheme="minorEastAsia" w:hAnsiTheme="minorEastAsia" w:eastAsiaTheme="minorEastAsia"/>
          <w:color w:val="auto"/>
          <w:sz w:val="24"/>
          <w:highlight w:val="none"/>
        </w:rPr>
        <w:t>响应</w:t>
      </w:r>
      <w:r>
        <w:rPr>
          <w:rFonts w:asciiTheme="minorEastAsia" w:hAnsiTheme="minorEastAsia" w:eastAsiaTheme="minorEastAsia"/>
          <w:color w:val="auto"/>
          <w:sz w:val="24"/>
          <w:highlight w:val="none"/>
        </w:rPr>
        <w:t>的</w:t>
      </w:r>
      <w:r>
        <w:rPr>
          <w:rFonts w:hint="eastAsia" w:asciiTheme="minorEastAsia" w:hAnsiTheme="minorEastAsia" w:eastAsiaTheme="minorEastAsia"/>
          <w:color w:val="auto"/>
          <w:sz w:val="24"/>
          <w:highlight w:val="none"/>
        </w:rPr>
        <w:t>供应商</w:t>
      </w:r>
      <w:r>
        <w:rPr>
          <w:rFonts w:asciiTheme="minorEastAsia" w:hAnsiTheme="minorEastAsia" w:eastAsiaTheme="minorEastAsia"/>
          <w:color w:val="auto"/>
          <w:sz w:val="24"/>
          <w:highlight w:val="none"/>
        </w:rPr>
        <w:t>名单、</w:t>
      </w:r>
      <w:r>
        <w:rPr>
          <w:rFonts w:hint="eastAsia" w:asciiTheme="minorEastAsia" w:hAnsiTheme="minorEastAsia" w:eastAsiaTheme="minorEastAsia"/>
          <w:color w:val="auto"/>
          <w:sz w:val="24"/>
          <w:highlight w:val="none"/>
        </w:rPr>
        <w:t>响应</w:t>
      </w:r>
      <w:r>
        <w:rPr>
          <w:rFonts w:asciiTheme="minorEastAsia" w:hAnsiTheme="minorEastAsia" w:eastAsiaTheme="minorEastAsia"/>
          <w:color w:val="auto"/>
          <w:sz w:val="24"/>
          <w:highlight w:val="none"/>
        </w:rPr>
        <w:t>无效的原因。</w:t>
      </w:r>
    </w:p>
    <w:tbl>
      <w:tblPr>
        <w:tblStyle w:val="24"/>
        <w:tblpPr w:bottomFromText="170" w:vertAnchor="text" w:tblpXSpec="center" w:tblpY="1"/>
        <w:tblOverlap w:val="never"/>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913"/>
        <w:gridCol w:w="7092"/>
      </w:tblGrid>
      <w:tr w14:paraId="26A880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913" w:type="dxa"/>
            <w:noWrap w:val="0"/>
            <w:tcMar>
              <w:top w:w="57" w:type="dxa"/>
              <w:left w:w="108" w:type="dxa"/>
              <w:bottom w:w="0" w:type="dxa"/>
              <w:right w:w="108" w:type="dxa"/>
            </w:tcMar>
            <w:vAlign w:val="center"/>
          </w:tcPr>
          <w:p w14:paraId="59C02FAA">
            <w:pPr>
              <w:pStyle w:val="55"/>
              <w:spacing w:before="1" w:line="300" w:lineRule="auto"/>
              <w:ind w:right="3" w:hanging="10"/>
              <w:jc w:val="center"/>
              <w:rPr>
                <w:color w:val="auto"/>
                <w:szCs w:val="21"/>
                <w:highlight w:val="none"/>
              </w:rPr>
            </w:pPr>
            <w:r>
              <w:rPr>
                <w:rFonts w:hint="eastAsia"/>
                <w:color w:val="auto"/>
                <w:szCs w:val="21"/>
                <w:highlight w:val="none"/>
              </w:rPr>
              <w:t>具有独立承担民事责任的能力</w:t>
            </w:r>
          </w:p>
        </w:tc>
        <w:tc>
          <w:tcPr>
            <w:tcW w:w="7092" w:type="dxa"/>
            <w:noWrap w:val="0"/>
            <w:tcMar>
              <w:top w:w="57" w:type="dxa"/>
              <w:left w:w="108" w:type="dxa"/>
              <w:bottom w:w="0" w:type="dxa"/>
              <w:right w:w="108" w:type="dxa"/>
            </w:tcMar>
            <w:vAlign w:val="center"/>
          </w:tcPr>
          <w:p w14:paraId="4AD7C094">
            <w:pPr>
              <w:pStyle w:val="55"/>
              <w:spacing w:line="300" w:lineRule="auto"/>
              <w:ind w:left="15" w:leftChars="7" w:right="-17" w:rightChars="-8" w:firstLine="403" w:firstLineChars="192"/>
              <w:rPr>
                <w:color w:val="auto"/>
                <w:szCs w:val="21"/>
                <w:highlight w:val="none"/>
              </w:rPr>
            </w:pPr>
            <w:r>
              <w:rPr>
                <w:rFonts w:hint="eastAsia"/>
                <w:color w:val="auto"/>
                <w:szCs w:val="21"/>
                <w:highlight w:val="none"/>
              </w:rPr>
              <w:t>在中华人民共和国境内注册的法人或其他组织或自然人，投标时提交有效的营业执照（或事业法人登记证或身份证等相关证明）扫描件（以联合体形式投标时，联合体各方均须满足该条款）。</w:t>
            </w:r>
          </w:p>
        </w:tc>
      </w:tr>
      <w:tr w14:paraId="279990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913" w:type="dxa"/>
            <w:shd w:val="clear" w:color="auto" w:fill="F6F6F6"/>
            <w:noWrap w:val="0"/>
            <w:tcMar>
              <w:top w:w="57" w:type="dxa"/>
              <w:left w:w="108" w:type="dxa"/>
              <w:bottom w:w="0" w:type="dxa"/>
              <w:right w:w="108" w:type="dxa"/>
            </w:tcMar>
            <w:vAlign w:val="center"/>
          </w:tcPr>
          <w:p w14:paraId="6486355B">
            <w:pPr>
              <w:pStyle w:val="55"/>
              <w:spacing w:before="1" w:line="300" w:lineRule="auto"/>
              <w:ind w:right="3" w:hanging="10"/>
              <w:jc w:val="center"/>
              <w:rPr>
                <w:color w:val="auto"/>
                <w:szCs w:val="21"/>
                <w:highlight w:val="none"/>
              </w:rPr>
            </w:pPr>
            <w:r>
              <w:rPr>
                <w:rFonts w:hint="eastAsia"/>
                <w:color w:val="auto"/>
                <w:szCs w:val="21"/>
                <w:highlight w:val="none"/>
              </w:rPr>
              <w:t>有依法缴纳税收和社会保障资金的良好记录</w:t>
            </w:r>
          </w:p>
        </w:tc>
        <w:tc>
          <w:tcPr>
            <w:tcW w:w="7092" w:type="dxa"/>
            <w:shd w:val="clear" w:color="auto" w:fill="F6F6F6"/>
            <w:noWrap w:val="0"/>
            <w:tcMar>
              <w:top w:w="57" w:type="dxa"/>
              <w:left w:w="108" w:type="dxa"/>
              <w:bottom w:w="0" w:type="dxa"/>
              <w:right w:w="108" w:type="dxa"/>
            </w:tcMar>
            <w:vAlign w:val="center"/>
          </w:tcPr>
          <w:p w14:paraId="27F1BAB9">
            <w:pPr>
              <w:pStyle w:val="55"/>
              <w:spacing w:line="300" w:lineRule="auto"/>
              <w:ind w:left="15" w:leftChars="7" w:right="-17" w:rightChars="-8" w:firstLine="403" w:firstLineChars="192"/>
              <w:rPr>
                <w:color w:val="auto"/>
                <w:szCs w:val="21"/>
                <w:highlight w:val="none"/>
              </w:rPr>
            </w:pPr>
            <w:r>
              <w:rPr>
                <w:rFonts w:hint="eastAsia"/>
                <w:color w:val="auto"/>
                <w:szCs w:val="21"/>
                <w:highlight w:val="none"/>
              </w:rPr>
              <w:t>提供具有依法缴纳税收和社会保障资金证明的承诺函。</w:t>
            </w:r>
          </w:p>
        </w:tc>
      </w:tr>
      <w:tr w14:paraId="726C27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913" w:type="dxa"/>
            <w:noWrap w:val="0"/>
            <w:tcMar>
              <w:top w:w="57" w:type="dxa"/>
              <w:left w:w="108" w:type="dxa"/>
              <w:bottom w:w="0" w:type="dxa"/>
              <w:right w:w="108" w:type="dxa"/>
            </w:tcMar>
            <w:vAlign w:val="center"/>
          </w:tcPr>
          <w:p w14:paraId="081CFF0E">
            <w:pPr>
              <w:pStyle w:val="55"/>
              <w:spacing w:before="1" w:line="300" w:lineRule="auto"/>
              <w:ind w:right="3" w:hanging="10"/>
              <w:jc w:val="center"/>
              <w:rPr>
                <w:color w:val="auto"/>
                <w:szCs w:val="21"/>
                <w:highlight w:val="none"/>
              </w:rPr>
            </w:pPr>
            <w:r>
              <w:rPr>
                <w:rFonts w:hint="eastAsia"/>
                <w:color w:val="auto"/>
                <w:szCs w:val="21"/>
                <w:highlight w:val="none"/>
              </w:rPr>
              <w:t>具有良好的商业信誉和健全的财务会计制度</w:t>
            </w:r>
          </w:p>
        </w:tc>
        <w:tc>
          <w:tcPr>
            <w:tcW w:w="7092" w:type="dxa"/>
            <w:noWrap w:val="0"/>
            <w:tcMar>
              <w:top w:w="57" w:type="dxa"/>
              <w:left w:w="108" w:type="dxa"/>
              <w:bottom w:w="0" w:type="dxa"/>
              <w:right w:w="108" w:type="dxa"/>
            </w:tcMar>
            <w:vAlign w:val="center"/>
          </w:tcPr>
          <w:p w14:paraId="158BBF74">
            <w:pPr>
              <w:pStyle w:val="55"/>
              <w:spacing w:before="117" w:line="300" w:lineRule="auto"/>
              <w:ind w:left="15" w:leftChars="7" w:right="-17" w:rightChars="-8" w:firstLine="403" w:firstLineChars="192"/>
              <w:rPr>
                <w:color w:val="auto"/>
                <w:szCs w:val="21"/>
                <w:highlight w:val="none"/>
              </w:rPr>
            </w:pPr>
            <w:r>
              <w:rPr>
                <w:rFonts w:hint="eastAsia"/>
                <w:color w:val="auto"/>
                <w:szCs w:val="21"/>
                <w:highlight w:val="none"/>
              </w:rPr>
              <w:t>提供具有良好的商业信誉和健全的财务会计制度的承诺函。</w:t>
            </w:r>
          </w:p>
        </w:tc>
      </w:tr>
      <w:tr w14:paraId="78A8B4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913" w:type="dxa"/>
            <w:shd w:val="clear" w:color="auto" w:fill="F6F6F6"/>
            <w:noWrap w:val="0"/>
            <w:tcMar>
              <w:top w:w="57" w:type="dxa"/>
              <w:left w:w="108" w:type="dxa"/>
              <w:bottom w:w="0" w:type="dxa"/>
              <w:right w:w="108" w:type="dxa"/>
            </w:tcMar>
            <w:vAlign w:val="center"/>
          </w:tcPr>
          <w:p w14:paraId="2CA0AFFE">
            <w:pPr>
              <w:pStyle w:val="55"/>
              <w:spacing w:before="1" w:line="300" w:lineRule="auto"/>
              <w:ind w:right="3" w:hanging="10"/>
              <w:jc w:val="center"/>
              <w:rPr>
                <w:rFonts w:hint="default" w:eastAsia="宋体"/>
                <w:color w:val="auto"/>
                <w:szCs w:val="21"/>
                <w:highlight w:val="none"/>
                <w:lang w:val="en-US" w:eastAsia="zh-CN"/>
              </w:rPr>
            </w:pPr>
            <w:r>
              <w:rPr>
                <w:rFonts w:hint="eastAsia"/>
                <w:color w:val="auto"/>
                <w:szCs w:val="21"/>
                <w:highlight w:val="none"/>
                <w:lang w:val="en-US" w:eastAsia="zh-CN"/>
              </w:rPr>
              <w:t>信用承诺</w:t>
            </w:r>
          </w:p>
        </w:tc>
        <w:tc>
          <w:tcPr>
            <w:tcW w:w="7092" w:type="dxa"/>
            <w:shd w:val="clear" w:color="auto" w:fill="F6F6F6"/>
            <w:noWrap w:val="0"/>
            <w:tcMar>
              <w:top w:w="57" w:type="dxa"/>
              <w:left w:w="108" w:type="dxa"/>
              <w:bottom w:w="0" w:type="dxa"/>
              <w:right w:w="108" w:type="dxa"/>
            </w:tcMar>
            <w:vAlign w:val="center"/>
          </w:tcPr>
          <w:p w14:paraId="6BD2B0B9">
            <w:pPr>
              <w:pStyle w:val="55"/>
              <w:spacing w:before="1" w:line="300" w:lineRule="auto"/>
              <w:ind w:left="15" w:leftChars="7" w:right="-17" w:rightChars="-8" w:firstLine="403" w:firstLineChars="192"/>
              <w:rPr>
                <w:color w:val="auto"/>
                <w:szCs w:val="21"/>
                <w:highlight w:val="none"/>
              </w:rPr>
            </w:pPr>
            <w:r>
              <w:rPr>
                <w:rFonts w:hint="eastAsia"/>
                <w:color w:val="auto"/>
                <w:szCs w:val="21"/>
                <w:highlight w:val="none"/>
              </w:rPr>
              <w:t>提供投标人没有失信记录承诺函。</w:t>
            </w:r>
          </w:p>
        </w:tc>
      </w:tr>
      <w:tr w14:paraId="17CE20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913" w:type="dxa"/>
            <w:noWrap w:val="0"/>
            <w:tcMar>
              <w:top w:w="57" w:type="dxa"/>
              <w:left w:w="108" w:type="dxa"/>
              <w:bottom w:w="0" w:type="dxa"/>
              <w:right w:w="108" w:type="dxa"/>
            </w:tcMar>
            <w:vAlign w:val="center"/>
          </w:tcPr>
          <w:p w14:paraId="711307B5">
            <w:pPr>
              <w:pStyle w:val="55"/>
              <w:spacing w:line="300" w:lineRule="auto"/>
              <w:ind w:right="3" w:hanging="10"/>
              <w:jc w:val="center"/>
              <w:rPr>
                <w:color w:val="auto"/>
                <w:szCs w:val="21"/>
                <w:highlight w:val="none"/>
              </w:rPr>
            </w:pPr>
            <w:r>
              <w:rPr>
                <w:rFonts w:hint="eastAsia"/>
                <w:color w:val="auto"/>
                <w:szCs w:val="21"/>
                <w:highlight w:val="none"/>
              </w:rPr>
              <w:t>参加采购活动前3年内，在经营活动中没有重大违法记录</w:t>
            </w:r>
          </w:p>
        </w:tc>
        <w:tc>
          <w:tcPr>
            <w:tcW w:w="7092" w:type="dxa"/>
            <w:noWrap w:val="0"/>
            <w:tcMar>
              <w:top w:w="57" w:type="dxa"/>
              <w:left w:w="108" w:type="dxa"/>
              <w:bottom w:w="0" w:type="dxa"/>
              <w:right w:w="108" w:type="dxa"/>
            </w:tcMar>
            <w:vAlign w:val="center"/>
          </w:tcPr>
          <w:p w14:paraId="726BE017">
            <w:pPr>
              <w:pStyle w:val="55"/>
              <w:spacing w:before="48" w:line="300" w:lineRule="auto"/>
              <w:ind w:left="15" w:leftChars="7" w:right="-17" w:rightChars="-8" w:firstLine="403" w:firstLineChars="192"/>
              <w:rPr>
                <w:color w:val="auto"/>
                <w:szCs w:val="21"/>
                <w:highlight w:val="none"/>
              </w:rPr>
            </w:pPr>
            <w:r>
              <w:rPr>
                <w:rFonts w:hint="eastAsia"/>
                <w:color w:val="auto"/>
                <w:szCs w:val="21"/>
                <w:highlight w:val="none"/>
              </w:rPr>
              <w:t>参照投标声明书相关承诺内容。重大违法记录，是指供应商因违法经营受到刑事处罚或者责令停产停业、吊销许可证或者执照、较大数额罚款等行政处罚（较大数额罚款按照发出行政处罚决定书部门所在省级政府，或实行垂直领导的国务院有关行政主管部门制定的较大数额罚款标准，或罚款决定之前需要举行听证会的金额标准来认定）。以联合体形式投标时，联合体各方均须满足该条款。</w:t>
            </w:r>
          </w:p>
        </w:tc>
      </w:tr>
      <w:tr w14:paraId="553968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913" w:type="dxa"/>
            <w:shd w:val="clear" w:color="auto" w:fill="F6F6F6"/>
            <w:noWrap w:val="0"/>
            <w:tcMar>
              <w:top w:w="57" w:type="dxa"/>
              <w:left w:w="108" w:type="dxa"/>
              <w:bottom w:w="0" w:type="dxa"/>
              <w:right w:w="108" w:type="dxa"/>
            </w:tcMar>
            <w:vAlign w:val="center"/>
          </w:tcPr>
          <w:p w14:paraId="07A6A5B0">
            <w:pPr>
              <w:pStyle w:val="55"/>
              <w:spacing w:line="300" w:lineRule="auto"/>
              <w:ind w:right="3" w:hanging="10"/>
              <w:jc w:val="center"/>
              <w:rPr>
                <w:color w:val="auto"/>
                <w:szCs w:val="21"/>
                <w:highlight w:val="none"/>
              </w:rPr>
            </w:pPr>
            <w:r>
              <w:rPr>
                <w:rFonts w:hint="eastAsia"/>
                <w:color w:val="auto"/>
                <w:szCs w:val="21"/>
                <w:highlight w:val="none"/>
              </w:rPr>
              <w:t>信用记录</w:t>
            </w:r>
          </w:p>
        </w:tc>
        <w:tc>
          <w:tcPr>
            <w:tcW w:w="7092" w:type="dxa"/>
            <w:shd w:val="clear" w:color="auto" w:fill="F6F6F6"/>
            <w:noWrap w:val="0"/>
            <w:tcMar>
              <w:top w:w="57" w:type="dxa"/>
              <w:left w:w="108" w:type="dxa"/>
              <w:bottom w:w="0" w:type="dxa"/>
              <w:right w:w="108" w:type="dxa"/>
            </w:tcMar>
            <w:vAlign w:val="center"/>
          </w:tcPr>
          <w:p w14:paraId="0F0E38B1">
            <w:pPr>
              <w:spacing w:line="300" w:lineRule="auto"/>
              <w:ind w:left="15" w:leftChars="7" w:right="-17" w:rightChars="-8" w:firstLine="403" w:firstLineChars="192"/>
              <w:rPr>
                <w:rFonts w:ascii="宋体" w:hAnsi="宋体" w:cs="宋体"/>
                <w:color w:val="auto"/>
                <w:szCs w:val="21"/>
                <w:highlight w:val="none"/>
              </w:rPr>
            </w:pPr>
            <w:r>
              <w:rPr>
                <w:rFonts w:hint="eastAsia" w:ascii="宋体" w:hAnsi="宋体" w:cs="宋体"/>
                <w:color w:val="auto"/>
                <w:highlight w:val="none"/>
              </w:rPr>
              <w:t>1.截止时点：开标后评标前。</w:t>
            </w:r>
          </w:p>
          <w:p w14:paraId="07B6A8BB">
            <w:pPr>
              <w:spacing w:line="300" w:lineRule="auto"/>
              <w:ind w:left="15" w:leftChars="7" w:right="-17" w:rightChars="-8" w:firstLine="403" w:firstLineChars="192"/>
              <w:rPr>
                <w:rFonts w:hint="eastAsia" w:ascii="宋体" w:hAnsi="宋体" w:eastAsia="宋体" w:cs="宋体"/>
                <w:color w:val="auto"/>
                <w:highlight w:val="none"/>
                <w:lang w:eastAsia="zh-CN"/>
              </w:rPr>
            </w:pPr>
            <w:r>
              <w:rPr>
                <w:rFonts w:hint="eastAsia" w:ascii="宋体" w:hAnsi="宋体" w:cs="宋体"/>
                <w:color w:val="auto"/>
                <w:highlight w:val="none"/>
              </w:rPr>
              <w:t>2.信用信息查询记录和证据留存的具体方式：由采购组织机构在规定查询时间内打印信用信息查询记录并归入项目档案。</w:t>
            </w:r>
          </w:p>
          <w:p w14:paraId="0A426908">
            <w:pPr>
              <w:spacing w:line="300" w:lineRule="auto"/>
              <w:ind w:right="-17" w:rightChars="-8" w:firstLine="420" w:firstLineChars="200"/>
              <w:rPr>
                <w:rFonts w:ascii="宋体" w:hAnsi="宋体" w:cs="宋体"/>
                <w:color w:val="auto"/>
                <w:szCs w:val="21"/>
                <w:highlight w:val="none"/>
              </w:rPr>
            </w:pPr>
            <w:r>
              <w:rPr>
                <w:rFonts w:hint="eastAsia" w:ascii="宋体" w:hAnsi="宋体" w:cs="宋体"/>
                <w:color w:val="auto"/>
                <w:highlight w:val="none"/>
              </w:rPr>
              <w:t>3.使用规则：供应商未被列入“信用中国”失信被执行人或重大税收违法案件当事人名单；未处于“中国政府采购网”政府采购严重违法失信行为信息记录中的禁止参加政府采购活动期间（以联合体形式投标时，联合体各方均须满足该条款）。</w:t>
            </w:r>
          </w:p>
        </w:tc>
      </w:tr>
      <w:tr w14:paraId="3718F7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913" w:type="dxa"/>
            <w:noWrap w:val="0"/>
            <w:tcMar>
              <w:top w:w="57" w:type="dxa"/>
              <w:left w:w="108" w:type="dxa"/>
              <w:bottom w:w="0" w:type="dxa"/>
              <w:right w:w="108" w:type="dxa"/>
            </w:tcMar>
            <w:vAlign w:val="center"/>
          </w:tcPr>
          <w:p w14:paraId="5482D43B">
            <w:pPr>
              <w:pStyle w:val="55"/>
              <w:spacing w:line="300" w:lineRule="auto"/>
              <w:ind w:right="3" w:hanging="10"/>
              <w:jc w:val="center"/>
              <w:rPr>
                <w:color w:val="auto"/>
                <w:szCs w:val="21"/>
                <w:highlight w:val="none"/>
              </w:rPr>
            </w:pPr>
            <w:r>
              <w:rPr>
                <w:rFonts w:hint="eastAsia"/>
                <w:color w:val="auto"/>
                <w:szCs w:val="21"/>
                <w:highlight w:val="none"/>
              </w:rPr>
              <w:t>必须符合法律、行政法规规定的其他条件</w:t>
            </w:r>
          </w:p>
        </w:tc>
        <w:tc>
          <w:tcPr>
            <w:tcW w:w="7092" w:type="dxa"/>
            <w:noWrap w:val="0"/>
            <w:tcMar>
              <w:top w:w="57" w:type="dxa"/>
              <w:left w:w="108" w:type="dxa"/>
              <w:bottom w:w="0" w:type="dxa"/>
              <w:right w:w="108" w:type="dxa"/>
            </w:tcMar>
            <w:vAlign w:val="center"/>
          </w:tcPr>
          <w:p w14:paraId="6227F842">
            <w:pPr>
              <w:pStyle w:val="55"/>
              <w:spacing w:before="48" w:line="300" w:lineRule="auto"/>
              <w:ind w:left="15" w:leftChars="7" w:right="-17" w:rightChars="-8" w:firstLine="403" w:firstLineChars="192"/>
              <w:rPr>
                <w:color w:val="auto"/>
                <w:szCs w:val="21"/>
                <w:highlight w:val="none"/>
              </w:rPr>
            </w:pPr>
            <w:r>
              <w:rPr>
                <w:rFonts w:hint="eastAsia"/>
                <w:color w:val="auto"/>
                <w:szCs w:val="21"/>
                <w:highlight w:val="none"/>
              </w:rPr>
              <w:t>1.单位负责人为同一人或者存在直接控股、管理关系的不同供应商，不得同时参加本项目投标。</w:t>
            </w:r>
          </w:p>
          <w:p w14:paraId="52326CCF">
            <w:pPr>
              <w:pStyle w:val="55"/>
              <w:spacing w:before="48" w:line="300" w:lineRule="auto"/>
              <w:ind w:left="15" w:leftChars="7" w:right="-17" w:rightChars="-8" w:firstLine="403" w:firstLineChars="192"/>
              <w:rPr>
                <w:color w:val="auto"/>
                <w:szCs w:val="21"/>
                <w:highlight w:val="none"/>
              </w:rPr>
            </w:pPr>
            <w:r>
              <w:rPr>
                <w:rFonts w:hint="eastAsia"/>
                <w:color w:val="auto"/>
                <w:szCs w:val="21"/>
                <w:highlight w:val="none"/>
              </w:rPr>
              <w:t>2.为本项目提供整体设计、规范编制或者项目管理、监理、检测等服务的供应商，不得再参与本项目投标。</w:t>
            </w:r>
          </w:p>
          <w:p w14:paraId="0D5E4987">
            <w:pPr>
              <w:pStyle w:val="55"/>
              <w:spacing w:before="48" w:line="300" w:lineRule="auto"/>
              <w:ind w:left="15" w:leftChars="7" w:right="-17" w:rightChars="-8" w:firstLine="403" w:firstLineChars="192"/>
              <w:rPr>
                <w:color w:val="auto"/>
                <w:szCs w:val="21"/>
                <w:highlight w:val="none"/>
              </w:rPr>
            </w:pPr>
            <w:r>
              <w:rPr>
                <w:rFonts w:hint="eastAsia"/>
                <w:color w:val="auto"/>
                <w:szCs w:val="21"/>
                <w:highlight w:val="none"/>
              </w:rPr>
              <w:t>3.投标（报价）文件相关承诺要求内容（以联合体形式投标时，联合体各方均须满足该条款）。</w:t>
            </w:r>
          </w:p>
        </w:tc>
      </w:tr>
      <w:tr w14:paraId="1EB5C9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913" w:type="dxa"/>
            <w:shd w:val="clear" w:color="auto" w:fill="F6F6F6"/>
            <w:noWrap w:val="0"/>
            <w:tcMar>
              <w:top w:w="57" w:type="dxa"/>
              <w:left w:w="108" w:type="dxa"/>
              <w:bottom w:w="0" w:type="dxa"/>
              <w:right w:w="108" w:type="dxa"/>
            </w:tcMar>
            <w:vAlign w:val="center"/>
          </w:tcPr>
          <w:p w14:paraId="79821761">
            <w:pPr>
              <w:pStyle w:val="55"/>
              <w:spacing w:before="48" w:line="300" w:lineRule="auto"/>
              <w:ind w:right="3" w:hanging="10"/>
              <w:jc w:val="center"/>
              <w:rPr>
                <w:color w:val="auto"/>
                <w:szCs w:val="21"/>
                <w:highlight w:val="none"/>
              </w:rPr>
            </w:pPr>
            <w:r>
              <w:rPr>
                <w:rFonts w:hint="eastAsia"/>
                <w:color w:val="auto"/>
                <w:szCs w:val="21"/>
                <w:highlight w:val="none"/>
              </w:rPr>
              <w:t>联合体投标</w:t>
            </w:r>
          </w:p>
        </w:tc>
        <w:tc>
          <w:tcPr>
            <w:tcW w:w="7092" w:type="dxa"/>
            <w:shd w:val="clear" w:color="auto" w:fill="F6F6F6"/>
            <w:noWrap w:val="0"/>
            <w:tcMar>
              <w:top w:w="57" w:type="dxa"/>
              <w:left w:w="108" w:type="dxa"/>
              <w:bottom w:w="0" w:type="dxa"/>
              <w:right w:w="108" w:type="dxa"/>
            </w:tcMar>
            <w:vAlign w:val="center"/>
          </w:tcPr>
          <w:p w14:paraId="1D196787">
            <w:pPr>
              <w:pStyle w:val="55"/>
              <w:spacing w:before="48" w:line="300" w:lineRule="auto"/>
              <w:ind w:left="15" w:leftChars="7" w:right="-17" w:rightChars="-8" w:firstLine="403" w:firstLineChars="192"/>
              <w:rPr>
                <w:rFonts w:hint="eastAsia"/>
                <w:color w:val="auto"/>
                <w:szCs w:val="21"/>
                <w:highlight w:val="none"/>
              </w:rPr>
            </w:pPr>
            <w:r>
              <w:rPr>
                <w:rFonts w:hint="eastAsia"/>
                <w:color w:val="auto"/>
                <w:szCs w:val="21"/>
                <w:highlight w:val="none"/>
              </w:rPr>
              <w:t>本次</w:t>
            </w:r>
            <w:r>
              <w:rPr>
                <w:rFonts w:hint="eastAsia"/>
                <w:color w:val="auto"/>
                <w:szCs w:val="21"/>
                <w:highlight w:val="none"/>
                <w:lang w:eastAsia="zh-CN"/>
              </w:rPr>
              <w:t>不</w:t>
            </w:r>
            <w:r>
              <w:rPr>
                <w:rFonts w:hint="eastAsia"/>
                <w:color w:val="auto"/>
                <w:szCs w:val="21"/>
                <w:highlight w:val="none"/>
              </w:rPr>
              <w:t>接受联合体投标</w:t>
            </w:r>
            <w:r>
              <w:rPr>
                <w:rFonts w:hint="eastAsia"/>
                <w:color w:val="auto"/>
                <w:szCs w:val="21"/>
                <w:highlight w:val="none"/>
                <w:lang w:eastAsia="zh-CN"/>
              </w:rPr>
              <w:t>。</w:t>
            </w:r>
          </w:p>
        </w:tc>
      </w:tr>
      <w:tr w14:paraId="0786CA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9" w:hRule="atLeast"/>
          <w:jc w:val="center"/>
        </w:trPr>
        <w:tc>
          <w:tcPr>
            <w:tcW w:w="1913" w:type="dxa"/>
            <w:noWrap w:val="0"/>
            <w:tcMar>
              <w:top w:w="57" w:type="dxa"/>
              <w:left w:w="108" w:type="dxa"/>
              <w:bottom w:w="0" w:type="dxa"/>
              <w:right w:w="108" w:type="dxa"/>
            </w:tcMar>
            <w:vAlign w:val="center"/>
          </w:tcPr>
          <w:p w14:paraId="58C7BCB8">
            <w:pPr>
              <w:pStyle w:val="55"/>
              <w:spacing w:before="48" w:line="300" w:lineRule="auto"/>
              <w:ind w:left="15" w:leftChars="7" w:right="-17" w:rightChars="-8" w:firstLine="403" w:firstLineChars="192"/>
              <w:rPr>
                <w:rFonts w:hint="eastAsia" w:ascii="宋体" w:hAnsi="宋体" w:eastAsia="宋体" w:cs="宋体"/>
                <w:color w:val="auto"/>
                <w:szCs w:val="21"/>
                <w:highlight w:val="none"/>
              </w:rPr>
            </w:pPr>
            <w:r>
              <w:rPr>
                <w:rFonts w:hint="eastAsia" w:ascii="宋体" w:hAnsi="宋体" w:eastAsia="宋体" w:cs="宋体"/>
                <w:color w:val="auto"/>
                <w:szCs w:val="21"/>
                <w:highlight w:val="none"/>
              </w:rPr>
              <w:t>资质</w:t>
            </w:r>
          </w:p>
        </w:tc>
        <w:tc>
          <w:tcPr>
            <w:tcW w:w="7092" w:type="dxa"/>
            <w:noWrap w:val="0"/>
            <w:tcMar>
              <w:top w:w="57" w:type="dxa"/>
              <w:left w:w="108" w:type="dxa"/>
              <w:bottom w:w="0" w:type="dxa"/>
              <w:right w:w="108" w:type="dxa"/>
            </w:tcMar>
            <w:vAlign w:val="center"/>
          </w:tcPr>
          <w:p w14:paraId="6D640A91">
            <w:pPr>
              <w:pStyle w:val="55"/>
              <w:spacing w:before="48" w:line="300" w:lineRule="auto"/>
              <w:ind w:left="15" w:leftChars="7" w:right="-17" w:rightChars="-8" w:firstLine="403" w:firstLineChars="192"/>
              <w:rPr>
                <w:rFonts w:hint="eastAsia" w:ascii="宋体" w:hAnsi="宋体" w:eastAsia="宋体" w:cs="宋体"/>
                <w:color w:val="auto"/>
                <w:szCs w:val="21"/>
                <w:highlight w:val="none"/>
              </w:rPr>
            </w:pPr>
            <w:r>
              <w:rPr>
                <w:rFonts w:hint="eastAsia" w:ascii="宋体" w:hAnsi="宋体" w:eastAsia="宋体" w:cs="宋体"/>
                <w:color w:val="auto"/>
                <w:szCs w:val="21"/>
                <w:highlight w:val="none"/>
              </w:rPr>
              <w:t>1、投标人资质条件：具备</w:t>
            </w:r>
            <w:r>
              <w:rPr>
                <w:rFonts w:hint="eastAsia" w:ascii="宋体" w:hAnsi="宋体" w:eastAsia="宋体" w:cs="宋体"/>
                <w:color w:val="auto"/>
                <w:szCs w:val="21"/>
                <w:highlight w:val="none"/>
                <w:lang w:val="en-US" w:eastAsia="zh-CN"/>
              </w:rPr>
              <w:t>水利水电</w:t>
            </w:r>
            <w:r>
              <w:rPr>
                <w:rFonts w:hint="eastAsia" w:ascii="宋体" w:hAnsi="宋体" w:eastAsia="宋体" w:cs="宋体"/>
                <w:color w:val="auto"/>
                <w:szCs w:val="21"/>
                <w:highlight w:val="none"/>
              </w:rPr>
              <w:t>工程施工总承包二级及以上资质（包含仍在有效期范围内的</w:t>
            </w:r>
            <w:r>
              <w:rPr>
                <w:rFonts w:hint="eastAsia" w:ascii="宋体" w:hAnsi="宋体" w:eastAsia="宋体" w:cs="宋体"/>
                <w:color w:val="auto"/>
                <w:szCs w:val="21"/>
                <w:highlight w:val="none"/>
                <w:lang w:val="en-US" w:eastAsia="zh-CN"/>
              </w:rPr>
              <w:t>水利水电</w:t>
            </w:r>
            <w:r>
              <w:rPr>
                <w:rFonts w:hint="eastAsia" w:ascii="宋体" w:hAnsi="宋体" w:eastAsia="宋体" w:cs="宋体"/>
                <w:color w:val="auto"/>
                <w:szCs w:val="21"/>
                <w:highlight w:val="none"/>
              </w:rPr>
              <w:t>工程总承包三级资质）；</w:t>
            </w:r>
          </w:p>
          <w:p w14:paraId="754F8BC7">
            <w:pPr>
              <w:pStyle w:val="55"/>
              <w:spacing w:before="48" w:line="300" w:lineRule="auto"/>
              <w:ind w:left="15" w:leftChars="7" w:right="-17" w:rightChars="-8" w:firstLine="403" w:firstLineChars="192"/>
              <w:rPr>
                <w:rFonts w:hint="eastAsia" w:ascii="宋体" w:hAnsi="宋体" w:eastAsia="宋体" w:cs="宋体"/>
                <w:color w:val="auto"/>
                <w:szCs w:val="21"/>
                <w:highlight w:val="none"/>
              </w:rPr>
            </w:pPr>
            <w:r>
              <w:rPr>
                <w:rFonts w:hint="eastAsia" w:ascii="宋体" w:hAnsi="宋体" w:eastAsia="宋体" w:cs="宋体"/>
                <w:color w:val="auto"/>
                <w:szCs w:val="21"/>
                <w:highlight w:val="none"/>
              </w:rPr>
              <w:t>2、项目负责人资质条件：项目负责人注册在投标单位的水利工程专业注册建造师二级及以上（建造师临时执业证书无效）、未有其他担任项目负责人的在建工程（豁免情形除外）；（其余配备条件详见采购需求）</w:t>
            </w:r>
          </w:p>
          <w:p w14:paraId="5013F7F7">
            <w:pPr>
              <w:pStyle w:val="55"/>
              <w:spacing w:before="48" w:line="300" w:lineRule="auto"/>
              <w:ind w:left="15" w:leftChars="7" w:right="-17" w:rightChars="-8" w:firstLine="403" w:firstLineChars="192"/>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rPr>
              <w:t>3、具备安全生产许可证；</w:t>
            </w:r>
          </w:p>
        </w:tc>
      </w:tr>
      <w:tr w14:paraId="0C3FEB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913" w:type="dxa"/>
            <w:shd w:val="clear" w:color="auto" w:fill="F6F6F6"/>
            <w:noWrap w:val="0"/>
            <w:tcMar>
              <w:top w:w="57" w:type="dxa"/>
              <w:left w:w="108" w:type="dxa"/>
              <w:bottom w:w="0" w:type="dxa"/>
              <w:right w:w="108" w:type="dxa"/>
            </w:tcMar>
            <w:vAlign w:val="center"/>
          </w:tcPr>
          <w:p w14:paraId="5E9AC52E">
            <w:pPr>
              <w:pStyle w:val="55"/>
              <w:spacing w:line="300" w:lineRule="auto"/>
              <w:ind w:right="3" w:hanging="10"/>
              <w:jc w:val="center"/>
              <w:rPr>
                <w:color w:val="auto"/>
                <w:szCs w:val="21"/>
                <w:highlight w:val="none"/>
              </w:rPr>
            </w:pPr>
            <w:r>
              <w:rPr>
                <w:rFonts w:hint="eastAsia"/>
                <w:color w:val="auto"/>
                <w:szCs w:val="21"/>
                <w:highlight w:val="none"/>
              </w:rPr>
              <w:t>落实政府采购政策需满足的资格要求</w:t>
            </w:r>
          </w:p>
        </w:tc>
        <w:tc>
          <w:tcPr>
            <w:tcW w:w="7092" w:type="dxa"/>
            <w:shd w:val="clear" w:color="auto" w:fill="F6F6F6"/>
            <w:noWrap w:val="0"/>
            <w:tcMar>
              <w:top w:w="57" w:type="dxa"/>
              <w:left w:w="108" w:type="dxa"/>
              <w:bottom w:w="0" w:type="dxa"/>
              <w:right w:w="108" w:type="dxa"/>
            </w:tcMar>
            <w:vAlign w:val="center"/>
          </w:tcPr>
          <w:p w14:paraId="10F31439">
            <w:pPr>
              <w:pStyle w:val="7"/>
              <w:spacing w:line="300" w:lineRule="auto"/>
              <w:ind w:left="15" w:leftChars="7" w:right="-17" w:rightChars="-8" w:firstLine="403" w:firstLineChars="192"/>
              <w:jc w:val="both"/>
              <w:rPr>
                <w:rFonts w:hint="default" w:ascii="宋体" w:hAnsi="宋体" w:eastAsia="宋体" w:cs="宋体"/>
                <w:color w:val="auto"/>
                <w:szCs w:val="21"/>
                <w:highlight w:val="none"/>
                <w:lang w:val="en-US" w:eastAsia="zh-CN"/>
              </w:rPr>
            </w:pPr>
            <w:r>
              <w:rPr>
                <w:rFonts w:hint="default" w:ascii="宋体" w:hAnsi="宋体" w:eastAsia="宋体" w:cs="宋体"/>
                <w:color w:val="auto"/>
                <w:szCs w:val="21"/>
                <w:highlight w:val="none"/>
                <w:lang w:val="en-US" w:eastAsia="zh-CN"/>
              </w:rPr>
              <w:t>本项目专门面向中小企业采购</w:t>
            </w:r>
          </w:p>
        </w:tc>
      </w:tr>
    </w:tbl>
    <w:p w14:paraId="30EBB351">
      <w:pPr>
        <w:pStyle w:val="7"/>
        <w:spacing w:line="360" w:lineRule="auto"/>
        <w:ind w:firstLine="422" w:firstLineChars="200"/>
        <w:jc w:val="both"/>
        <w:rPr>
          <w:rFonts w:asciiTheme="minorEastAsia" w:hAnsiTheme="minorEastAsia" w:eastAsiaTheme="minorEastAsia"/>
          <w:b/>
          <w:bCs/>
          <w:color w:val="auto"/>
          <w:highlight w:val="none"/>
        </w:rPr>
      </w:pPr>
      <w:r>
        <w:rPr>
          <w:rFonts w:hint="eastAsia" w:asciiTheme="minorEastAsia" w:hAnsiTheme="minorEastAsia" w:eastAsiaTheme="minorEastAsia"/>
          <w:b/>
          <w:bCs/>
          <w:color w:val="auto"/>
          <w:highlight w:val="none"/>
        </w:rPr>
        <w:t>（二）</w:t>
      </w:r>
      <w:r>
        <w:rPr>
          <w:rFonts w:asciiTheme="minorEastAsia" w:hAnsiTheme="minorEastAsia" w:eastAsiaTheme="minorEastAsia"/>
          <w:b/>
          <w:bCs/>
          <w:color w:val="auto"/>
          <w:highlight w:val="none"/>
        </w:rPr>
        <w:t>符合性审查</w:t>
      </w:r>
    </w:p>
    <w:p w14:paraId="26E0721D">
      <w:pPr>
        <w:pStyle w:val="7"/>
        <w:spacing w:line="360" w:lineRule="auto"/>
        <w:ind w:firstLine="480" w:firstLineChars="200"/>
        <w:jc w:val="both"/>
        <w:rPr>
          <w:rFonts w:asciiTheme="minorEastAsia" w:hAnsiTheme="minorEastAsia" w:eastAsiaTheme="minorEastAsia"/>
          <w:color w:val="auto"/>
          <w:sz w:val="24"/>
          <w:highlight w:val="none"/>
        </w:rPr>
      </w:pPr>
      <w:r>
        <w:rPr>
          <w:rFonts w:hint="eastAsia" w:asciiTheme="minorEastAsia" w:hAnsiTheme="minorEastAsia" w:eastAsiaTheme="minorEastAsia" w:cstheme="minorBidi"/>
          <w:color w:val="auto"/>
          <w:sz w:val="24"/>
          <w:highlight w:val="none"/>
        </w:rPr>
        <w:t>磋商小组</w:t>
      </w:r>
      <w:r>
        <w:rPr>
          <w:rFonts w:asciiTheme="minorEastAsia" w:hAnsiTheme="minorEastAsia" w:eastAsiaTheme="minorEastAsia"/>
          <w:color w:val="auto"/>
          <w:sz w:val="24"/>
          <w:highlight w:val="none"/>
        </w:rPr>
        <w:t>应当对符合资格的</w:t>
      </w:r>
      <w:r>
        <w:rPr>
          <w:rFonts w:hint="eastAsia" w:asciiTheme="minorEastAsia" w:hAnsiTheme="minorEastAsia" w:eastAsiaTheme="minorEastAsia"/>
          <w:color w:val="auto"/>
          <w:sz w:val="24"/>
          <w:highlight w:val="none"/>
        </w:rPr>
        <w:t>供应商</w:t>
      </w:r>
      <w:r>
        <w:rPr>
          <w:rFonts w:asciiTheme="minorEastAsia" w:hAnsiTheme="minorEastAsia" w:eastAsiaTheme="minorEastAsia"/>
          <w:color w:val="auto"/>
          <w:sz w:val="24"/>
          <w:highlight w:val="none"/>
        </w:rPr>
        <w:t>的</w:t>
      </w:r>
      <w:r>
        <w:rPr>
          <w:rFonts w:hint="eastAsia" w:asciiTheme="minorEastAsia" w:hAnsiTheme="minorEastAsia" w:eastAsiaTheme="minorEastAsia"/>
          <w:color w:val="auto"/>
          <w:sz w:val="24"/>
          <w:highlight w:val="none"/>
        </w:rPr>
        <w:t>磋商响应</w:t>
      </w:r>
      <w:r>
        <w:rPr>
          <w:rFonts w:asciiTheme="minorEastAsia" w:hAnsiTheme="minorEastAsia" w:eastAsiaTheme="minorEastAsia"/>
          <w:color w:val="auto"/>
          <w:sz w:val="24"/>
          <w:highlight w:val="none"/>
        </w:rPr>
        <w:t>文件进行符合性审查，以确定其是否满足</w:t>
      </w:r>
      <w:r>
        <w:rPr>
          <w:rFonts w:hint="eastAsia" w:asciiTheme="minorEastAsia" w:hAnsiTheme="minorEastAsia" w:eastAsiaTheme="minorEastAsia"/>
          <w:color w:val="auto"/>
          <w:sz w:val="24"/>
          <w:highlight w:val="none"/>
        </w:rPr>
        <w:t>磋商</w:t>
      </w:r>
      <w:r>
        <w:rPr>
          <w:rFonts w:asciiTheme="minorEastAsia" w:hAnsiTheme="minorEastAsia" w:eastAsiaTheme="minorEastAsia"/>
          <w:color w:val="auto"/>
          <w:sz w:val="24"/>
          <w:highlight w:val="none"/>
        </w:rPr>
        <w:t>文件的实质性要求，对审查发现无效的进行必要的询标，</w:t>
      </w:r>
      <w:r>
        <w:rPr>
          <w:rFonts w:hint="eastAsia"/>
          <w:color w:val="auto"/>
          <w:sz w:val="24"/>
          <w:highlight w:val="none"/>
        </w:rPr>
        <w:t>对</w:t>
      </w:r>
      <w:r>
        <w:rPr>
          <w:rFonts w:asciiTheme="minorEastAsia" w:hAnsiTheme="minorEastAsia" w:eastAsiaTheme="minorEastAsia"/>
          <w:color w:val="auto"/>
          <w:sz w:val="24"/>
          <w:highlight w:val="none"/>
        </w:rPr>
        <w:t>无效</w:t>
      </w:r>
      <w:r>
        <w:rPr>
          <w:rFonts w:hint="eastAsia" w:asciiTheme="minorEastAsia" w:hAnsiTheme="minorEastAsia" w:eastAsiaTheme="minorEastAsia"/>
          <w:color w:val="auto"/>
          <w:sz w:val="24"/>
          <w:highlight w:val="none"/>
        </w:rPr>
        <w:t>响应</w:t>
      </w:r>
      <w:r>
        <w:rPr>
          <w:rFonts w:asciiTheme="minorEastAsia" w:hAnsiTheme="minorEastAsia" w:eastAsiaTheme="minorEastAsia"/>
          <w:color w:val="auto"/>
          <w:sz w:val="24"/>
          <w:highlight w:val="none"/>
        </w:rPr>
        <w:t>的</w:t>
      </w:r>
      <w:r>
        <w:rPr>
          <w:rFonts w:hint="eastAsia" w:asciiTheme="minorEastAsia" w:hAnsiTheme="minorEastAsia" w:eastAsiaTheme="minorEastAsia"/>
          <w:color w:val="auto"/>
          <w:sz w:val="24"/>
          <w:highlight w:val="none"/>
        </w:rPr>
        <w:t>供应商</w:t>
      </w:r>
      <w:r>
        <w:rPr>
          <w:rFonts w:asciiTheme="minorEastAsia" w:hAnsiTheme="minorEastAsia" w:eastAsiaTheme="minorEastAsia"/>
          <w:color w:val="auto"/>
          <w:sz w:val="24"/>
          <w:highlight w:val="none"/>
        </w:rPr>
        <w:t>名单</w:t>
      </w:r>
      <w:r>
        <w:rPr>
          <w:rFonts w:hint="eastAsia" w:asciiTheme="minorEastAsia" w:hAnsiTheme="minorEastAsia" w:eastAsiaTheme="minorEastAsia"/>
          <w:color w:val="auto"/>
          <w:sz w:val="24"/>
          <w:highlight w:val="none"/>
        </w:rPr>
        <w:t>及响应</w:t>
      </w:r>
      <w:r>
        <w:rPr>
          <w:rFonts w:asciiTheme="minorEastAsia" w:hAnsiTheme="minorEastAsia" w:eastAsiaTheme="minorEastAsia"/>
          <w:color w:val="auto"/>
          <w:sz w:val="24"/>
          <w:highlight w:val="none"/>
        </w:rPr>
        <w:t>无效原因</w:t>
      </w:r>
      <w:r>
        <w:rPr>
          <w:rFonts w:hint="eastAsia" w:asciiTheme="minorEastAsia" w:hAnsiTheme="minorEastAsia" w:eastAsiaTheme="minorEastAsia"/>
          <w:color w:val="auto"/>
          <w:sz w:val="24"/>
          <w:highlight w:val="none"/>
        </w:rPr>
        <w:t>的公布方式同上。</w:t>
      </w:r>
    </w:p>
    <w:tbl>
      <w:tblPr>
        <w:tblStyle w:val="24"/>
        <w:tblW w:w="91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702"/>
        <w:gridCol w:w="7476"/>
      </w:tblGrid>
      <w:tr w14:paraId="0B0E70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17" w:hRule="atLeast"/>
          <w:jc w:val="center"/>
        </w:trPr>
        <w:tc>
          <w:tcPr>
            <w:tcW w:w="1702" w:type="dxa"/>
            <w:vAlign w:val="center"/>
          </w:tcPr>
          <w:p w14:paraId="1F747207">
            <w:pPr>
              <w:pStyle w:val="55"/>
              <w:spacing w:line="360" w:lineRule="auto"/>
              <w:ind w:right="146"/>
              <w:rPr>
                <w:color w:val="auto"/>
                <w:szCs w:val="21"/>
                <w:highlight w:val="none"/>
              </w:rPr>
            </w:pPr>
            <w:r>
              <w:rPr>
                <w:rFonts w:hint="eastAsia"/>
                <w:color w:val="auto"/>
                <w:szCs w:val="21"/>
                <w:highlight w:val="none"/>
              </w:rPr>
              <w:t>磋商响应文件</w:t>
            </w:r>
          </w:p>
        </w:tc>
        <w:tc>
          <w:tcPr>
            <w:tcW w:w="7476" w:type="dxa"/>
            <w:vAlign w:val="center"/>
          </w:tcPr>
          <w:p w14:paraId="698B8F65">
            <w:pPr>
              <w:pStyle w:val="55"/>
              <w:spacing w:before="48" w:line="360" w:lineRule="auto"/>
              <w:rPr>
                <w:color w:val="auto"/>
                <w:szCs w:val="21"/>
                <w:highlight w:val="none"/>
              </w:rPr>
            </w:pPr>
            <w:r>
              <w:rPr>
                <w:rFonts w:hint="eastAsia"/>
                <w:color w:val="auto"/>
                <w:szCs w:val="21"/>
                <w:highlight w:val="none"/>
              </w:rPr>
              <w:t>磋商响应文件完整且编排有序，磋商内容基本完整，无重大错漏，并按要求签署、盖章。</w:t>
            </w:r>
          </w:p>
        </w:tc>
      </w:tr>
      <w:tr w14:paraId="208935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17" w:hRule="atLeast"/>
          <w:jc w:val="center"/>
        </w:trPr>
        <w:tc>
          <w:tcPr>
            <w:tcW w:w="1702" w:type="dxa"/>
            <w:shd w:val="clear" w:color="auto" w:fill="F6F6F6"/>
            <w:vAlign w:val="center"/>
          </w:tcPr>
          <w:p w14:paraId="764B367B">
            <w:pPr>
              <w:pStyle w:val="55"/>
              <w:spacing w:line="360" w:lineRule="auto"/>
              <w:ind w:right="146"/>
              <w:rPr>
                <w:color w:val="auto"/>
                <w:szCs w:val="21"/>
                <w:highlight w:val="none"/>
              </w:rPr>
            </w:pPr>
            <w:r>
              <w:rPr>
                <w:rFonts w:hint="eastAsia"/>
                <w:color w:val="auto"/>
                <w:szCs w:val="21"/>
                <w:highlight w:val="none"/>
              </w:rPr>
              <w:t>法定代表人/负责人资格证明书及授权委托书</w:t>
            </w:r>
          </w:p>
        </w:tc>
        <w:tc>
          <w:tcPr>
            <w:tcW w:w="7476" w:type="dxa"/>
            <w:shd w:val="clear" w:color="auto" w:fill="F6F6F6"/>
            <w:vAlign w:val="center"/>
          </w:tcPr>
          <w:p w14:paraId="032A444E">
            <w:pPr>
              <w:pStyle w:val="55"/>
              <w:spacing w:before="48" w:line="360" w:lineRule="auto"/>
              <w:rPr>
                <w:color w:val="auto"/>
                <w:szCs w:val="21"/>
                <w:highlight w:val="none"/>
              </w:rPr>
            </w:pPr>
            <w:r>
              <w:rPr>
                <w:rFonts w:hint="eastAsia"/>
                <w:color w:val="auto"/>
                <w:szCs w:val="21"/>
                <w:highlight w:val="none"/>
              </w:rPr>
              <w:t>法定代表人/负责人资格证明书及授权委托书，按对应格式文件签署、盖章。</w:t>
            </w:r>
          </w:p>
        </w:tc>
      </w:tr>
      <w:tr w14:paraId="0BD9DB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57" w:hRule="atLeast"/>
          <w:jc w:val="center"/>
        </w:trPr>
        <w:tc>
          <w:tcPr>
            <w:tcW w:w="1702" w:type="dxa"/>
            <w:vAlign w:val="center"/>
          </w:tcPr>
          <w:p w14:paraId="68BDC891">
            <w:pPr>
              <w:pStyle w:val="55"/>
              <w:spacing w:line="360" w:lineRule="auto"/>
              <w:ind w:right="146"/>
              <w:rPr>
                <w:color w:val="auto"/>
                <w:szCs w:val="21"/>
                <w:highlight w:val="none"/>
              </w:rPr>
            </w:pPr>
            <w:r>
              <w:rPr>
                <w:rFonts w:hint="eastAsia"/>
                <w:color w:val="auto"/>
                <w:szCs w:val="21"/>
                <w:highlight w:val="none"/>
              </w:rPr>
              <w:t>“▲”实质性条款</w:t>
            </w:r>
          </w:p>
        </w:tc>
        <w:tc>
          <w:tcPr>
            <w:tcW w:w="7476" w:type="dxa"/>
            <w:vAlign w:val="center"/>
          </w:tcPr>
          <w:p w14:paraId="424AE5FC">
            <w:pPr>
              <w:pStyle w:val="55"/>
              <w:spacing w:before="48" w:line="360" w:lineRule="auto"/>
              <w:rPr>
                <w:color w:val="auto"/>
                <w:szCs w:val="21"/>
                <w:highlight w:val="none"/>
              </w:rPr>
            </w:pPr>
            <w:r>
              <w:rPr>
                <w:rFonts w:hint="eastAsia"/>
                <w:color w:val="auto"/>
                <w:szCs w:val="21"/>
                <w:highlight w:val="none"/>
              </w:rPr>
              <w:t>“▲”实质性条款满足磋商文件要求。</w:t>
            </w:r>
          </w:p>
        </w:tc>
      </w:tr>
      <w:tr w14:paraId="1F8993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57" w:hRule="atLeast"/>
          <w:jc w:val="center"/>
        </w:trPr>
        <w:tc>
          <w:tcPr>
            <w:tcW w:w="1702" w:type="dxa"/>
            <w:shd w:val="clear" w:color="auto" w:fill="F6F6F6"/>
            <w:vAlign w:val="center"/>
          </w:tcPr>
          <w:p w14:paraId="49D608B2">
            <w:pPr>
              <w:pStyle w:val="55"/>
              <w:spacing w:line="360" w:lineRule="auto"/>
              <w:ind w:right="146"/>
              <w:rPr>
                <w:color w:val="auto"/>
                <w:szCs w:val="21"/>
                <w:highlight w:val="none"/>
              </w:rPr>
            </w:pPr>
            <w:r>
              <w:rPr>
                <w:rFonts w:hint="eastAsia"/>
                <w:color w:val="auto"/>
                <w:szCs w:val="21"/>
                <w:highlight w:val="none"/>
              </w:rPr>
              <w:t>磋商响应有效期</w:t>
            </w:r>
          </w:p>
        </w:tc>
        <w:tc>
          <w:tcPr>
            <w:tcW w:w="7476" w:type="dxa"/>
            <w:shd w:val="clear" w:color="auto" w:fill="F6F6F6"/>
            <w:vAlign w:val="center"/>
          </w:tcPr>
          <w:p w14:paraId="4DEBF14B">
            <w:pPr>
              <w:pStyle w:val="55"/>
              <w:spacing w:before="48" w:line="360" w:lineRule="auto"/>
              <w:rPr>
                <w:color w:val="auto"/>
                <w:szCs w:val="21"/>
                <w:highlight w:val="none"/>
              </w:rPr>
            </w:pPr>
            <w:r>
              <w:rPr>
                <w:rFonts w:hint="eastAsia"/>
                <w:color w:val="auto"/>
                <w:szCs w:val="21"/>
                <w:highlight w:val="none"/>
              </w:rPr>
              <w:t>磋商有效期为磋商截止日起至少90天。</w:t>
            </w:r>
          </w:p>
        </w:tc>
      </w:tr>
      <w:tr w14:paraId="37CD2C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57" w:hRule="atLeast"/>
          <w:jc w:val="center"/>
        </w:trPr>
        <w:tc>
          <w:tcPr>
            <w:tcW w:w="1702" w:type="dxa"/>
            <w:vAlign w:val="center"/>
          </w:tcPr>
          <w:p w14:paraId="21BD2DA4">
            <w:pPr>
              <w:pStyle w:val="55"/>
              <w:spacing w:line="360" w:lineRule="auto"/>
              <w:ind w:right="146"/>
              <w:rPr>
                <w:color w:val="auto"/>
                <w:szCs w:val="21"/>
                <w:highlight w:val="none"/>
              </w:rPr>
            </w:pPr>
            <w:r>
              <w:rPr>
                <w:rFonts w:hint="eastAsia"/>
                <w:color w:val="auto"/>
                <w:szCs w:val="21"/>
                <w:highlight w:val="none"/>
              </w:rPr>
              <w:t>附加条件</w:t>
            </w:r>
          </w:p>
        </w:tc>
        <w:tc>
          <w:tcPr>
            <w:tcW w:w="7476" w:type="dxa"/>
            <w:vAlign w:val="center"/>
          </w:tcPr>
          <w:p w14:paraId="10BEB4F1">
            <w:pPr>
              <w:pStyle w:val="55"/>
              <w:spacing w:before="48" w:line="360" w:lineRule="auto"/>
              <w:rPr>
                <w:color w:val="auto"/>
                <w:szCs w:val="21"/>
                <w:highlight w:val="none"/>
              </w:rPr>
            </w:pPr>
            <w:r>
              <w:rPr>
                <w:rFonts w:hint="eastAsia"/>
                <w:color w:val="auto"/>
                <w:szCs w:val="21"/>
                <w:highlight w:val="none"/>
              </w:rPr>
              <w:t>磋商响应文件未含有采购人不可接受的附加条件。</w:t>
            </w:r>
          </w:p>
        </w:tc>
      </w:tr>
    </w:tbl>
    <w:p w14:paraId="6240199D">
      <w:pPr>
        <w:pStyle w:val="20"/>
        <w:spacing w:before="0" w:beforeAutospacing="0" w:after="0" w:afterAutospacing="0" w:line="360" w:lineRule="auto"/>
        <w:ind w:firstLine="482" w:firstLineChars="200"/>
        <w:jc w:val="both"/>
        <w:rPr>
          <w:rFonts w:hint="default" w:cs="宋体"/>
          <w:color w:val="000000" w:themeColor="text1"/>
          <w:highlight w:val="none"/>
          <w14:textFill>
            <w14:solidFill>
              <w14:schemeClr w14:val="tx1"/>
            </w14:solidFill>
          </w14:textFill>
        </w:rPr>
      </w:pPr>
      <w:r>
        <w:rPr>
          <w:rFonts w:asciiTheme="minorEastAsia" w:hAnsiTheme="minorEastAsia" w:eastAsiaTheme="minorEastAsia"/>
          <w:b/>
          <w:bCs/>
          <w:color w:val="000000" w:themeColor="text1"/>
          <w:highlight w:val="none"/>
          <w14:textFill>
            <w14:solidFill>
              <w14:schemeClr w14:val="tx1"/>
            </w14:solidFill>
          </w14:textFill>
        </w:rPr>
        <w:t>（三）</w:t>
      </w:r>
      <w:r>
        <w:rPr>
          <w:rFonts w:ascii="Arial" w:hAnsi="Arial" w:cs="Arial" w:eastAsiaTheme="minorEastAsia"/>
          <w:b/>
          <w:bCs/>
          <w:color w:val="000000" w:themeColor="text1"/>
          <w:highlight w:val="none"/>
          <w14:textFill>
            <w14:solidFill>
              <w14:schemeClr w14:val="tx1"/>
            </w14:solidFill>
          </w14:textFill>
        </w:rPr>
        <w:t>商务技术及价格评审</w:t>
      </w:r>
    </w:p>
    <w:p w14:paraId="223D1CB5">
      <w:pPr>
        <w:pStyle w:val="20"/>
        <w:spacing w:before="0" w:beforeAutospacing="0" w:after="0" w:afterAutospacing="0" w:line="360" w:lineRule="auto"/>
        <w:ind w:firstLine="480" w:firstLineChars="200"/>
        <w:jc w:val="both"/>
        <w:rPr>
          <w:rFonts w:hint="default" w:asciiTheme="minorEastAsia" w:hAnsiTheme="minorEastAsia" w:eastAsiaTheme="minorEastAsia"/>
          <w:color w:val="000000" w:themeColor="text1"/>
          <w:highlight w:val="none"/>
          <w14:textFill>
            <w14:solidFill>
              <w14:schemeClr w14:val="tx1"/>
            </w14:solidFill>
          </w14:textFill>
        </w:rPr>
      </w:pPr>
      <w:r>
        <w:rPr>
          <w:rFonts w:asciiTheme="minorEastAsia" w:hAnsiTheme="minorEastAsia" w:eastAsiaTheme="minorEastAsia"/>
          <w:color w:val="000000" w:themeColor="text1"/>
          <w:highlight w:val="none"/>
          <w14:textFill>
            <w14:solidFill>
              <w14:schemeClr w14:val="tx1"/>
            </w14:solidFill>
          </w14:textFill>
        </w:rPr>
        <w:t>项目评标方法为综合评分法，总计100分，评标按以下标准及要求进行。</w:t>
      </w:r>
      <w:r>
        <w:rPr>
          <w:rFonts w:cs="宋体"/>
          <w:color w:val="000000" w:themeColor="text1"/>
          <w:highlight w:val="none"/>
          <w14:textFill>
            <w14:solidFill>
              <w14:schemeClr w14:val="tx1"/>
            </w14:solidFill>
          </w14:textFill>
        </w:rPr>
        <w:t>评标委员会成员按商务与技术文件的评分标准，在分值范围内各自打分。商务与技术文件分按照评标委员会成员的评分结果取平均值，为供应商的商务与技术文件得分。（评委评分结果每项保留1位小数，第2位四舍五入；平均值小数点后保留2位，第3位四舍五入）</w:t>
      </w:r>
      <w:r>
        <w:rPr>
          <w:rFonts w:asciiTheme="minorEastAsia" w:hAnsiTheme="minorEastAsia" w:eastAsiaTheme="minorEastAsia"/>
          <w:color w:val="000000" w:themeColor="text1"/>
          <w:highlight w:val="none"/>
          <w14:textFill>
            <w14:solidFill>
              <w14:schemeClr w14:val="tx1"/>
            </w14:solidFill>
          </w14:textFill>
        </w:rPr>
        <w:t>：</w:t>
      </w:r>
    </w:p>
    <w:p w14:paraId="40456969">
      <w:pPr>
        <w:pStyle w:val="11"/>
        <w:numPr>
          <w:ilvl w:val="0"/>
          <w:numId w:val="8"/>
        </w:numPr>
        <w:snapToGrid w:val="0"/>
        <w:spacing w:line="360" w:lineRule="auto"/>
        <w:ind w:firstLine="482" w:firstLineChars="200"/>
        <w:rPr>
          <w:highlight w:val="none"/>
        </w:rPr>
      </w:pPr>
      <w:r>
        <w:rPr>
          <w:rFonts w:hint="eastAsia" w:asciiTheme="minorEastAsia" w:hAnsiTheme="minorEastAsia" w:eastAsiaTheme="minorEastAsia"/>
          <w:b/>
          <w:color w:val="000000" w:themeColor="text1"/>
          <w:sz w:val="24"/>
          <w:highlight w:val="none"/>
          <w14:textFill>
            <w14:solidFill>
              <w14:schemeClr w14:val="tx1"/>
            </w14:solidFill>
          </w14:textFill>
        </w:rPr>
        <w:t>评分标准</w:t>
      </w:r>
    </w:p>
    <w:tbl>
      <w:tblPr>
        <w:tblStyle w:val="24"/>
        <w:tblW w:w="83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20"/>
        <w:gridCol w:w="1931"/>
        <w:gridCol w:w="4746"/>
        <w:gridCol w:w="1141"/>
      </w:tblGrid>
      <w:tr w14:paraId="2A5283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jc w:val="center"/>
        </w:trPr>
        <w:tc>
          <w:tcPr>
            <w:tcW w:w="520" w:type="dxa"/>
            <w:noWrap/>
            <w:vAlign w:val="center"/>
          </w:tcPr>
          <w:p w14:paraId="18593DA8">
            <w:pPr>
              <w:widowControl/>
              <w:spacing w:line="360" w:lineRule="auto"/>
              <w:jc w:val="center"/>
              <w:rPr>
                <w:rFonts w:hint="eastAsia" w:ascii="宋体" w:hAnsi="宋体" w:cs="宋体"/>
                <w:bCs/>
                <w:kern w:val="0"/>
                <w:szCs w:val="21"/>
                <w:highlight w:val="none"/>
              </w:rPr>
            </w:pPr>
            <w:r>
              <w:rPr>
                <w:rFonts w:hint="eastAsia" w:ascii="宋体" w:hAnsi="宋体" w:cs="宋体"/>
                <w:bCs/>
                <w:kern w:val="0"/>
                <w:szCs w:val="21"/>
                <w:highlight w:val="none"/>
              </w:rPr>
              <w:t>序号</w:t>
            </w:r>
          </w:p>
        </w:tc>
        <w:tc>
          <w:tcPr>
            <w:tcW w:w="1931" w:type="dxa"/>
            <w:noWrap/>
            <w:vAlign w:val="center"/>
          </w:tcPr>
          <w:p w14:paraId="05ACD13C">
            <w:pPr>
              <w:widowControl/>
              <w:spacing w:line="360" w:lineRule="auto"/>
              <w:jc w:val="center"/>
              <w:rPr>
                <w:rFonts w:hint="eastAsia" w:ascii="宋体" w:hAnsi="宋体" w:cs="宋体"/>
                <w:bCs/>
                <w:kern w:val="0"/>
                <w:szCs w:val="21"/>
                <w:highlight w:val="none"/>
              </w:rPr>
            </w:pPr>
            <w:r>
              <w:rPr>
                <w:rFonts w:hint="eastAsia" w:ascii="宋体" w:hAnsi="宋体" w:cs="宋体"/>
                <w:bCs/>
                <w:kern w:val="0"/>
                <w:szCs w:val="21"/>
                <w:highlight w:val="none"/>
              </w:rPr>
              <w:t>评审内容</w:t>
            </w:r>
          </w:p>
        </w:tc>
        <w:tc>
          <w:tcPr>
            <w:tcW w:w="4746" w:type="dxa"/>
            <w:noWrap/>
            <w:vAlign w:val="center"/>
          </w:tcPr>
          <w:p w14:paraId="13C3A2AA">
            <w:pPr>
              <w:widowControl/>
              <w:spacing w:line="360" w:lineRule="auto"/>
              <w:jc w:val="center"/>
              <w:rPr>
                <w:rFonts w:hint="eastAsia" w:ascii="宋体" w:hAnsi="宋体" w:cs="宋体"/>
                <w:bCs/>
                <w:kern w:val="0"/>
                <w:szCs w:val="21"/>
                <w:highlight w:val="none"/>
              </w:rPr>
            </w:pPr>
            <w:r>
              <w:rPr>
                <w:rFonts w:hint="eastAsia" w:ascii="宋体" w:hAnsi="宋体" w:cs="宋体"/>
                <w:bCs/>
                <w:kern w:val="0"/>
                <w:szCs w:val="21"/>
                <w:highlight w:val="none"/>
              </w:rPr>
              <w:t>评分细则</w:t>
            </w:r>
          </w:p>
        </w:tc>
        <w:tc>
          <w:tcPr>
            <w:tcW w:w="1141" w:type="dxa"/>
            <w:noWrap/>
            <w:vAlign w:val="center"/>
          </w:tcPr>
          <w:p w14:paraId="256AB41A">
            <w:pPr>
              <w:widowControl/>
              <w:spacing w:line="360" w:lineRule="auto"/>
              <w:jc w:val="center"/>
              <w:rPr>
                <w:rFonts w:hint="eastAsia" w:ascii="宋体" w:hAnsi="宋体" w:cs="宋体"/>
                <w:bCs/>
                <w:kern w:val="0"/>
                <w:szCs w:val="21"/>
                <w:highlight w:val="none"/>
              </w:rPr>
            </w:pPr>
            <w:r>
              <w:rPr>
                <w:rFonts w:hint="eastAsia" w:ascii="宋体" w:hAnsi="宋体" w:cs="宋体"/>
                <w:bCs/>
                <w:kern w:val="0"/>
                <w:szCs w:val="21"/>
                <w:highlight w:val="none"/>
              </w:rPr>
              <w:t>分值</w:t>
            </w:r>
          </w:p>
        </w:tc>
      </w:tr>
      <w:tr w14:paraId="3C825F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jc w:val="center"/>
        </w:trPr>
        <w:tc>
          <w:tcPr>
            <w:tcW w:w="520" w:type="dxa"/>
            <w:noWrap/>
            <w:vAlign w:val="center"/>
          </w:tcPr>
          <w:p w14:paraId="45086327">
            <w:pPr>
              <w:widowControl/>
              <w:spacing w:line="360" w:lineRule="auto"/>
              <w:jc w:val="center"/>
              <w:rPr>
                <w:rFonts w:hint="eastAsia" w:ascii="宋体" w:hAnsi="宋体" w:cs="宋体"/>
                <w:bCs/>
                <w:kern w:val="0"/>
                <w:szCs w:val="21"/>
                <w:highlight w:val="none"/>
              </w:rPr>
            </w:pPr>
            <w:r>
              <w:rPr>
                <w:rFonts w:hint="eastAsia" w:ascii="宋体" w:hAnsi="宋体" w:cs="宋体"/>
                <w:bCs/>
                <w:kern w:val="0"/>
                <w:szCs w:val="21"/>
                <w:highlight w:val="none"/>
              </w:rPr>
              <w:t>1</w:t>
            </w:r>
          </w:p>
        </w:tc>
        <w:tc>
          <w:tcPr>
            <w:tcW w:w="1931" w:type="dxa"/>
            <w:noWrap/>
            <w:vAlign w:val="center"/>
          </w:tcPr>
          <w:p w14:paraId="5C8244F2">
            <w:pPr>
              <w:tabs>
                <w:tab w:val="left" w:pos="1080"/>
              </w:tabs>
              <w:spacing w:line="340" w:lineRule="exact"/>
              <w:contextualSpacing/>
              <w:jc w:val="center"/>
              <w:rPr>
                <w:rFonts w:hint="eastAsia" w:ascii="宋体" w:hAnsi="宋体" w:cs="宋体"/>
                <w:b/>
                <w:bCs/>
                <w:szCs w:val="21"/>
                <w:highlight w:val="none"/>
              </w:rPr>
            </w:pPr>
            <w:r>
              <w:rPr>
                <w:rFonts w:hint="eastAsia" w:ascii="宋体" w:hAnsi="宋体" w:cs="宋体"/>
                <w:bCs/>
                <w:kern w:val="0"/>
                <w:szCs w:val="21"/>
                <w:highlight w:val="none"/>
              </w:rPr>
              <w:t>认证证书</w:t>
            </w:r>
          </w:p>
        </w:tc>
        <w:tc>
          <w:tcPr>
            <w:tcW w:w="4746" w:type="dxa"/>
            <w:noWrap/>
            <w:vAlign w:val="center"/>
          </w:tcPr>
          <w:p w14:paraId="6CF722CB">
            <w:pPr>
              <w:snapToGrid w:val="0"/>
              <w:spacing w:line="300" w:lineRule="exact"/>
              <w:rPr>
                <w:rFonts w:hint="eastAsia" w:ascii="Times New Roman" w:hAnsi="Times New Roman" w:cs="Times New Roman"/>
                <w:highlight w:val="none"/>
              </w:rPr>
            </w:pPr>
            <w:r>
              <w:rPr>
                <w:rFonts w:hint="eastAsia" w:ascii="Times New Roman" w:hAnsi="Times New Roman" w:cs="Times New Roman"/>
                <w:highlight w:val="none"/>
              </w:rPr>
              <w:t>供应商具有质量管理体系认证、环境管理体系认证、职业健康安全管理体系认证，每项得</w:t>
            </w:r>
            <w:r>
              <w:rPr>
                <w:rFonts w:ascii="Times New Roman" w:hAnsi="Times New Roman" w:cs="Times New Roman"/>
                <w:highlight w:val="none"/>
              </w:rPr>
              <w:t>0.5</w:t>
            </w:r>
            <w:r>
              <w:rPr>
                <w:rFonts w:hint="eastAsia" w:ascii="Times New Roman" w:hAnsi="Times New Roman" w:cs="Times New Roman"/>
                <w:highlight w:val="none"/>
              </w:rPr>
              <w:t>分，最高得</w:t>
            </w:r>
            <w:r>
              <w:rPr>
                <w:rFonts w:ascii="Times New Roman" w:hAnsi="Times New Roman" w:cs="Times New Roman"/>
                <w:highlight w:val="none"/>
              </w:rPr>
              <w:t>1.5</w:t>
            </w:r>
            <w:r>
              <w:rPr>
                <w:rFonts w:hint="eastAsia" w:ascii="Times New Roman" w:hAnsi="Times New Roman" w:cs="Times New Roman"/>
                <w:highlight w:val="none"/>
              </w:rPr>
              <w:t>分。</w:t>
            </w:r>
          </w:p>
          <w:p w14:paraId="6DD95835">
            <w:pPr>
              <w:adjustRightInd w:val="0"/>
              <w:snapToGrid w:val="0"/>
              <w:spacing w:line="360" w:lineRule="auto"/>
              <w:rPr>
                <w:rFonts w:hint="eastAsia" w:ascii="宋体" w:hAnsi="宋体" w:cs="宋体"/>
                <w:b/>
                <w:bCs/>
                <w:szCs w:val="21"/>
                <w:highlight w:val="none"/>
              </w:rPr>
            </w:pPr>
            <w:r>
              <w:rPr>
                <w:rFonts w:hint="eastAsia" w:ascii="宋体" w:hAnsi="宋体" w:cs="宋体"/>
                <w:b/>
                <w:bCs/>
                <w:szCs w:val="21"/>
                <w:highlight w:val="none"/>
              </w:rPr>
              <w:t>注：上述认证应由具有有效资质的认定机构出具，提供有效期内证书扫描件</w:t>
            </w:r>
            <w:r>
              <w:rPr>
                <w:rFonts w:hint="eastAsia"/>
                <w:lang w:val="en-US" w:eastAsia="zh-CN"/>
              </w:rPr>
              <w:t>并提供全国认证认可信息公共服务平台官网证书信息查询截图复印件</w:t>
            </w:r>
            <w:r>
              <w:rPr>
                <w:rFonts w:hint="eastAsia" w:ascii="宋体" w:hAnsi="宋体" w:cs="宋体"/>
                <w:b/>
                <w:bCs/>
                <w:szCs w:val="21"/>
                <w:highlight w:val="none"/>
              </w:rPr>
              <w:t>，未按要求提供的不得分。</w:t>
            </w:r>
          </w:p>
        </w:tc>
        <w:tc>
          <w:tcPr>
            <w:tcW w:w="1141" w:type="dxa"/>
            <w:noWrap/>
            <w:vAlign w:val="center"/>
          </w:tcPr>
          <w:p w14:paraId="6965EA31">
            <w:pPr>
              <w:spacing w:before="156" w:after="156" w:line="360" w:lineRule="exact"/>
              <w:jc w:val="center"/>
              <w:rPr>
                <w:rFonts w:hint="eastAsia" w:ascii="宋体" w:hAnsi="宋体" w:cs="仿宋"/>
                <w:szCs w:val="21"/>
                <w:highlight w:val="none"/>
              </w:rPr>
            </w:pPr>
            <w:r>
              <w:rPr>
                <w:rFonts w:ascii="宋体" w:hAnsi="宋体" w:cs="仿宋"/>
                <w:szCs w:val="21"/>
                <w:highlight w:val="none"/>
              </w:rPr>
              <w:t>1.5</w:t>
            </w:r>
          </w:p>
        </w:tc>
      </w:tr>
      <w:tr w14:paraId="103A05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jc w:val="center"/>
        </w:trPr>
        <w:tc>
          <w:tcPr>
            <w:tcW w:w="520" w:type="dxa"/>
            <w:noWrap/>
            <w:vAlign w:val="center"/>
          </w:tcPr>
          <w:p w14:paraId="63FEC89A">
            <w:pPr>
              <w:widowControl/>
              <w:spacing w:line="360" w:lineRule="auto"/>
              <w:jc w:val="center"/>
              <w:rPr>
                <w:rFonts w:hint="eastAsia" w:ascii="宋体" w:hAnsi="宋体" w:cs="宋体"/>
                <w:bCs/>
                <w:kern w:val="0"/>
                <w:szCs w:val="21"/>
                <w:highlight w:val="none"/>
              </w:rPr>
            </w:pPr>
            <w:r>
              <w:rPr>
                <w:rFonts w:hint="eastAsia" w:ascii="宋体" w:hAnsi="宋体" w:cs="宋体"/>
                <w:bCs/>
                <w:kern w:val="0"/>
                <w:szCs w:val="21"/>
                <w:highlight w:val="none"/>
              </w:rPr>
              <w:t>2</w:t>
            </w:r>
          </w:p>
        </w:tc>
        <w:tc>
          <w:tcPr>
            <w:tcW w:w="1931" w:type="dxa"/>
            <w:noWrap/>
            <w:vAlign w:val="center"/>
          </w:tcPr>
          <w:p w14:paraId="4AAAC0C4">
            <w:pPr>
              <w:widowControl/>
              <w:spacing w:line="360" w:lineRule="auto"/>
              <w:jc w:val="center"/>
              <w:rPr>
                <w:rFonts w:hint="eastAsia" w:ascii="宋体" w:hAnsi="宋体" w:cs="宋体"/>
                <w:bCs/>
                <w:kern w:val="0"/>
                <w:szCs w:val="21"/>
                <w:highlight w:val="none"/>
              </w:rPr>
            </w:pPr>
            <w:r>
              <w:rPr>
                <w:rFonts w:hint="eastAsia" w:ascii="宋体" w:hAnsi="宋体" w:cs="宋体"/>
                <w:bCs/>
                <w:kern w:val="0"/>
                <w:szCs w:val="21"/>
                <w:highlight w:val="none"/>
              </w:rPr>
              <w:t>企业业绩</w:t>
            </w:r>
          </w:p>
        </w:tc>
        <w:tc>
          <w:tcPr>
            <w:tcW w:w="4746" w:type="dxa"/>
            <w:noWrap/>
            <w:vAlign w:val="center"/>
          </w:tcPr>
          <w:p w14:paraId="4ED7A0F8">
            <w:pPr>
              <w:snapToGrid w:val="0"/>
              <w:spacing w:line="300" w:lineRule="exact"/>
              <w:rPr>
                <w:rFonts w:hint="eastAsia"/>
                <w:highlight w:val="none"/>
              </w:rPr>
            </w:pPr>
            <w:r>
              <w:rPr>
                <w:rFonts w:hint="eastAsia"/>
                <w:highlight w:val="none"/>
              </w:rPr>
              <w:t>20</w:t>
            </w:r>
            <w:r>
              <w:rPr>
                <w:highlight w:val="none"/>
              </w:rPr>
              <w:t>2</w:t>
            </w:r>
            <w:r>
              <w:rPr>
                <w:rFonts w:hint="eastAsia"/>
                <w:highlight w:val="none"/>
                <w:lang w:val="en-US" w:eastAsia="zh-CN"/>
              </w:rPr>
              <w:t>2</w:t>
            </w:r>
            <w:r>
              <w:rPr>
                <w:rFonts w:hint="eastAsia"/>
                <w:highlight w:val="none"/>
              </w:rPr>
              <w:t>年1月1日（日期以完（竣）工验收鉴定书或工程质量（安全）监督报告中明确的完（竣）工日期为准）至今，投标人完成过类似河道整治工程业绩的，每个得</w:t>
            </w:r>
            <w:r>
              <w:rPr>
                <w:highlight w:val="none"/>
              </w:rPr>
              <w:t>1</w:t>
            </w:r>
            <w:r>
              <w:rPr>
                <w:rFonts w:hint="eastAsia"/>
                <w:highlight w:val="none"/>
              </w:rPr>
              <w:t>分，最高</w:t>
            </w:r>
            <w:r>
              <w:rPr>
                <w:rFonts w:hint="eastAsia"/>
                <w:highlight w:val="none"/>
                <w:lang w:val="en-US" w:eastAsia="zh-CN"/>
              </w:rPr>
              <w:t>4</w:t>
            </w:r>
            <w:r>
              <w:rPr>
                <w:rFonts w:hint="eastAsia"/>
                <w:highlight w:val="none"/>
              </w:rPr>
              <w:t>分。</w:t>
            </w:r>
          </w:p>
          <w:p w14:paraId="63538A53">
            <w:pPr>
              <w:pStyle w:val="9"/>
              <w:rPr>
                <w:rFonts w:hint="eastAsia"/>
                <w:highlight w:val="none"/>
              </w:rPr>
            </w:pPr>
            <w:r>
              <w:rPr>
                <w:rFonts w:hint="eastAsia" w:hAnsi="宋体"/>
                <w:bCs/>
                <w:sz w:val="21"/>
                <w:szCs w:val="21"/>
                <w:highlight w:val="none"/>
              </w:rPr>
              <w:t>提供业绩证明材料：合同、完（竣）工验收证明。</w:t>
            </w:r>
          </w:p>
        </w:tc>
        <w:tc>
          <w:tcPr>
            <w:tcW w:w="1141" w:type="dxa"/>
            <w:noWrap/>
            <w:vAlign w:val="center"/>
          </w:tcPr>
          <w:p w14:paraId="33138C55">
            <w:pPr>
              <w:widowControl/>
              <w:spacing w:line="360" w:lineRule="auto"/>
              <w:jc w:val="center"/>
              <w:rPr>
                <w:rFonts w:hint="eastAsia" w:ascii="宋体" w:hAnsi="宋体" w:eastAsia="宋体" w:cs="宋体"/>
                <w:bCs/>
                <w:kern w:val="0"/>
                <w:szCs w:val="21"/>
                <w:highlight w:val="none"/>
                <w:lang w:eastAsia="zh-CN"/>
              </w:rPr>
            </w:pPr>
            <w:r>
              <w:rPr>
                <w:rFonts w:hint="eastAsia" w:ascii="宋体" w:hAnsi="宋体" w:cs="宋体"/>
                <w:bCs/>
                <w:kern w:val="0"/>
                <w:szCs w:val="21"/>
                <w:highlight w:val="none"/>
                <w:lang w:val="en-US" w:eastAsia="zh-CN"/>
              </w:rPr>
              <w:t>4</w:t>
            </w:r>
          </w:p>
        </w:tc>
      </w:tr>
      <w:tr w14:paraId="7185B1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jc w:val="center"/>
        </w:trPr>
        <w:tc>
          <w:tcPr>
            <w:tcW w:w="520" w:type="dxa"/>
            <w:noWrap/>
            <w:vAlign w:val="center"/>
          </w:tcPr>
          <w:p w14:paraId="7DEDB50B">
            <w:pPr>
              <w:widowControl/>
              <w:spacing w:line="360" w:lineRule="auto"/>
              <w:jc w:val="center"/>
              <w:rPr>
                <w:rFonts w:ascii="宋体" w:hAnsi="宋体" w:cs="宋体"/>
                <w:bCs/>
                <w:kern w:val="0"/>
                <w:szCs w:val="21"/>
                <w:highlight w:val="none"/>
              </w:rPr>
            </w:pPr>
            <w:r>
              <w:rPr>
                <w:rFonts w:hint="eastAsia" w:ascii="宋体" w:hAnsi="宋体" w:cs="宋体"/>
                <w:bCs/>
                <w:kern w:val="0"/>
                <w:szCs w:val="21"/>
                <w:highlight w:val="none"/>
              </w:rPr>
              <w:t>3</w:t>
            </w:r>
          </w:p>
        </w:tc>
        <w:tc>
          <w:tcPr>
            <w:tcW w:w="1931" w:type="dxa"/>
            <w:noWrap/>
            <w:vAlign w:val="center"/>
          </w:tcPr>
          <w:p w14:paraId="71F13978">
            <w:pPr>
              <w:widowControl/>
              <w:spacing w:line="360" w:lineRule="auto"/>
              <w:jc w:val="center"/>
              <w:rPr>
                <w:rFonts w:hint="eastAsia" w:ascii="宋体" w:hAnsi="宋体" w:cs="宋体"/>
                <w:bCs/>
                <w:kern w:val="0"/>
                <w:szCs w:val="21"/>
                <w:highlight w:val="none"/>
              </w:rPr>
            </w:pPr>
            <w:r>
              <w:rPr>
                <w:rFonts w:hint="eastAsia" w:ascii="宋体" w:hAnsi="宋体" w:cs="宋体"/>
                <w:bCs/>
                <w:kern w:val="0"/>
                <w:szCs w:val="21"/>
                <w:highlight w:val="none"/>
              </w:rPr>
              <w:t>项目负责人</w:t>
            </w:r>
          </w:p>
        </w:tc>
        <w:tc>
          <w:tcPr>
            <w:tcW w:w="4746" w:type="dxa"/>
            <w:noWrap/>
            <w:vAlign w:val="center"/>
          </w:tcPr>
          <w:p w14:paraId="1D95C147">
            <w:pPr>
              <w:pStyle w:val="9"/>
              <w:rPr>
                <w:rFonts w:hint="eastAsia" w:hAnsi="宋体"/>
                <w:bCs/>
                <w:sz w:val="21"/>
                <w:szCs w:val="21"/>
                <w:highlight w:val="none"/>
              </w:rPr>
            </w:pPr>
            <w:r>
              <w:rPr>
                <w:rFonts w:hint="eastAsia" w:hAnsi="宋体"/>
                <w:bCs/>
                <w:sz w:val="21"/>
                <w:szCs w:val="21"/>
                <w:highlight w:val="none"/>
              </w:rPr>
              <w:t>本单位项目负责人具有水利水电工程相关专业中级职称的得1</w:t>
            </w:r>
            <w:r>
              <w:rPr>
                <w:rFonts w:hAnsi="宋体"/>
                <w:bCs/>
                <w:sz w:val="21"/>
                <w:szCs w:val="21"/>
                <w:highlight w:val="none"/>
              </w:rPr>
              <w:t>.5</w:t>
            </w:r>
            <w:r>
              <w:rPr>
                <w:rFonts w:hint="eastAsia" w:hAnsi="宋体"/>
                <w:bCs/>
                <w:sz w:val="21"/>
                <w:szCs w:val="21"/>
                <w:highlight w:val="none"/>
              </w:rPr>
              <w:t>分，具有水利水电工程相关专业高级及以上职称的</w:t>
            </w:r>
            <w:r>
              <w:rPr>
                <w:rFonts w:hAnsi="宋体"/>
                <w:bCs/>
                <w:sz w:val="21"/>
                <w:szCs w:val="21"/>
                <w:highlight w:val="none"/>
              </w:rPr>
              <w:t>3</w:t>
            </w:r>
            <w:r>
              <w:rPr>
                <w:rFonts w:hint="eastAsia" w:hAnsi="宋体"/>
                <w:bCs/>
                <w:sz w:val="21"/>
                <w:szCs w:val="21"/>
                <w:highlight w:val="none"/>
              </w:rPr>
              <w:t>分。提供职称证书</w:t>
            </w:r>
            <w:r>
              <w:rPr>
                <w:rFonts w:hint="eastAsia" w:hAnsi="宋体"/>
                <w:bCs/>
                <w:sz w:val="21"/>
                <w:szCs w:val="21"/>
                <w:highlight w:val="none"/>
                <w:lang w:eastAsia="zh-CN"/>
              </w:rPr>
              <w:t>（不能显示其投标人单位的，应提供202</w:t>
            </w:r>
            <w:r>
              <w:rPr>
                <w:rFonts w:hint="eastAsia" w:hAnsi="宋体"/>
                <w:bCs/>
                <w:sz w:val="21"/>
                <w:szCs w:val="21"/>
                <w:highlight w:val="none"/>
                <w:lang w:val="en-US" w:eastAsia="zh-CN"/>
              </w:rPr>
              <w:t>5</w:t>
            </w:r>
            <w:r>
              <w:rPr>
                <w:rFonts w:hint="eastAsia" w:hAnsi="宋体"/>
                <w:bCs/>
                <w:sz w:val="21"/>
                <w:szCs w:val="21"/>
                <w:highlight w:val="none"/>
                <w:lang w:eastAsia="zh-CN"/>
              </w:rPr>
              <w:t>年1月以来投标人为其缴纳的任意一个月的社保证明，否则视同不是本单位人员）</w:t>
            </w:r>
            <w:r>
              <w:rPr>
                <w:rFonts w:hint="eastAsia" w:hAnsi="宋体"/>
                <w:bCs/>
                <w:sz w:val="21"/>
                <w:szCs w:val="21"/>
                <w:highlight w:val="none"/>
              </w:rPr>
              <w:t>。</w:t>
            </w:r>
          </w:p>
        </w:tc>
        <w:tc>
          <w:tcPr>
            <w:tcW w:w="1141" w:type="dxa"/>
            <w:noWrap/>
            <w:vAlign w:val="center"/>
          </w:tcPr>
          <w:p w14:paraId="2235DC84">
            <w:pPr>
              <w:widowControl/>
              <w:spacing w:line="360" w:lineRule="auto"/>
              <w:jc w:val="center"/>
              <w:rPr>
                <w:rFonts w:hint="eastAsia" w:ascii="宋体" w:hAnsi="宋体" w:cs="宋体"/>
                <w:bCs/>
                <w:kern w:val="0"/>
                <w:szCs w:val="21"/>
                <w:highlight w:val="none"/>
              </w:rPr>
            </w:pPr>
            <w:r>
              <w:rPr>
                <w:rFonts w:ascii="宋体" w:hAnsi="宋体" w:cs="宋体"/>
                <w:bCs/>
                <w:kern w:val="0"/>
                <w:szCs w:val="21"/>
                <w:highlight w:val="none"/>
              </w:rPr>
              <w:t>3</w:t>
            </w:r>
          </w:p>
        </w:tc>
      </w:tr>
      <w:tr w14:paraId="676C3A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jc w:val="center"/>
        </w:trPr>
        <w:tc>
          <w:tcPr>
            <w:tcW w:w="520" w:type="dxa"/>
            <w:noWrap/>
            <w:vAlign w:val="center"/>
          </w:tcPr>
          <w:p w14:paraId="08D0E953">
            <w:pPr>
              <w:widowControl/>
              <w:spacing w:line="360" w:lineRule="auto"/>
              <w:jc w:val="center"/>
              <w:rPr>
                <w:rFonts w:hint="eastAsia" w:ascii="宋体" w:hAnsi="宋体" w:cs="宋体"/>
                <w:bCs/>
                <w:kern w:val="0"/>
                <w:szCs w:val="21"/>
                <w:highlight w:val="none"/>
              </w:rPr>
            </w:pPr>
            <w:r>
              <w:rPr>
                <w:rFonts w:hint="eastAsia" w:ascii="宋体" w:hAnsi="宋体" w:cs="宋体"/>
                <w:bCs/>
                <w:kern w:val="0"/>
                <w:szCs w:val="21"/>
                <w:highlight w:val="none"/>
              </w:rPr>
              <w:t>4</w:t>
            </w:r>
          </w:p>
        </w:tc>
        <w:tc>
          <w:tcPr>
            <w:tcW w:w="1931" w:type="dxa"/>
            <w:noWrap/>
            <w:vAlign w:val="center"/>
          </w:tcPr>
          <w:p w14:paraId="6F1DA82E">
            <w:pPr>
              <w:widowControl/>
              <w:spacing w:line="360" w:lineRule="auto"/>
              <w:jc w:val="center"/>
              <w:rPr>
                <w:rFonts w:hint="eastAsia" w:ascii="宋体" w:hAnsi="宋体" w:cs="宋体"/>
                <w:bCs/>
                <w:kern w:val="0"/>
                <w:szCs w:val="21"/>
                <w:highlight w:val="none"/>
              </w:rPr>
            </w:pPr>
            <w:r>
              <w:rPr>
                <w:rFonts w:hint="eastAsia" w:ascii="宋体" w:hAnsi="宋体" w:cs="宋体"/>
                <w:bCs/>
                <w:kern w:val="0"/>
                <w:szCs w:val="21"/>
                <w:highlight w:val="none"/>
              </w:rPr>
              <w:t>项目技术负责人</w:t>
            </w:r>
          </w:p>
        </w:tc>
        <w:tc>
          <w:tcPr>
            <w:tcW w:w="4746" w:type="dxa"/>
            <w:noWrap/>
            <w:vAlign w:val="center"/>
          </w:tcPr>
          <w:p w14:paraId="7242E43A">
            <w:pPr>
              <w:pStyle w:val="9"/>
              <w:rPr>
                <w:rFonts w:hint="eastAsia" w:hAnsi="宋体"/>
                <w:bCs/>
                <w:sz w:val="21"/>
                <w:szCs w:val="21"/>
                <w:highlight w:val="none"/>
              </w:rPr>
            </w:pPr>
            <w:r>
              <w:rPr>
                <w:rFonts w:hint="eastAsia" w:hAnsi="宋体"/>
                <w:bCs/>
                <w:sz w:val="21"/>
                <w:szCs w:val="21"/>
                <w:highlight w:val="none"/>
              </w:rPr>
              <w:t>本单位项目技术负责人具有水利水电工程相关专业高级及以上职称的</w:t>
            </w:r>
            <w:r>
              <w:rPr>
                <w:rFonts w:hAnsi="宋体"/>
                <w:bCs/>
                <w:sz w:val="21"/>
                <w:szCs w:val="21"/>
                <w:highlight w:val="none"/>
              </w:rPr>
              <w:t>1.5</w:t>
            </w:r>
            <w:r>
              <w:rPr>
                <w:rFonts w:hint="eastAsia" w:hAnsi="宋体"/>
                <w:bCs/>
                <w:sz w:val="21"/>
                <w:szCs w:val="21"/>
                <w:highlight w:val="none"/>
              </w:rPr>
              <w:t>分。提供职称证书</w:t>
            </w:r>
            <w:r>
              <w:rPr>
                <w:rFonts w:hint="eastAsia" w:hAnsi="宋体"/>
                <w:bCs/>
                <w:sz w:val="21"/>
                <w:szCs w:val="21"/>
                <w:highlight w:val="none"/>
                <w:lang w:eastAsia="zh-CN"/>
              </w:rPr>
              <w:t>（不能显示其投标人单位的，应提供202</w:t>
            </w:r>
            <w:r>
              <w:rPr>
                <w:rFonts w:hint="eastAsia" w:hAnsi="宋体"/>
                <w:bCs/>
                <w:sz w:val="21"/>
                <w:szCs w:val="21"/>
                <w:highlight w:val="none"/>
                <w:lang w:val="en-US" w:eastAsia="zh-CN"/>
              </w:rPr>
              <w:t>5</w:t>
            </w:r>
            <w:r>
              <w:rPr>
                <w:rFonts w:hint="eastAsia" w:hAnsi="宋体"/>
                <w:bCs/>
                <w:sz w:val="21"/>
                <w:szCs w:val="21"/>
                <w:highlight w:val="none"/>
                <w:lang w:eastAsia="zh-CN"/>
              </w:rPr>
              <w:t>年1月以来投标人为其缴纳的任意一个月的社保证明，否则视同不是本单位人员）</w:t>
            </w:r>
            <w:r>
              <w:rPr>
                <w:rFonts w:hint="eastAsia" w:hAnsi="宋体"/>
                <w:bCs/>
                <w:sz w:val="21"/>
                <w:szCs w:val="21"/>
                <w:highlight w:val="none"/>
              </w:rPr>
              <w:t>。</w:t>
            </w:r>
          </w:p>
        </w:tc>
        <w:tc>
          <w:tcPr>
            <w:tcW w:w="1141" w:type="dxa"/>
            <w:noWrap/>
            <w:vAlign w:val="center"/>
          </w:tcPr>
          <w:p w14:paraId="52D3A5AA">
            <w:pPr>
              <w:widowControl/>
              <w:spacing w:line="360" w:lineRule="auto"/>
              <w:jc w:val="center"/>
              <w:rPr>
                <w:rFonts w:hint="eastAsia" w:ascii="宋体" w:hAnsi="宋体" w:cs="宋体"/>
                <w:bCs/>
                <w:kern w:val="0"/>
                <w:szCs w:val="21"/>
                <w:highlight w:val="none"/>
              </w:rPr>
            </w:pPr>
            <w:r>
              <w:rPr>
                <w:rFonts w:hint="eastAsia" w:ascii="宋体" w:hAnsi="宋体" w:cs="宋体"/>
                <w:bCs/>
                <w:kern w:val="0"/>
                <w:szCs w:val="21"/>
                <w:highlight w:val="none"/>
              </w:rPr>
              <w:t>1</w:t>
            </w:r>
            <w:r>
              <w:rPr>
                <w:rFonts w:ascii="宋体" w:hAnsi="宋体" w:cs="宋体"/>
                <w:bCs/>
                <w:kern w:val="0"/>
                <w:szCs w:val="21"/>
                <w:highlight w:val="none"/>
              </w:rPr>
              <w:t>.5</w:t>
            </w:r>
          </w:p>
        </w:tc>
      </w:tr>
      <w:tr w14:paraId="320BFF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jc w:val="center"/>
        </w:trPr>
        <w:tc>
          <w:tcPr>
            <w:tcW w:w="520" w:type="dxa"/>
            <w:noWrap/>
            <w:vAlign w:val="center"/>
          </w:tcPr>
          <w:p w14:paraId="3668498A">
            <w:pPr>
              <w:widowControl/>
              <w:spacing w:line="360" w:lineRule="auto"/>
              <w:jc w:val="center"/>
              <w:rPr>
                <w:rFonts w:hint="eastAsia" w:ascii="宋体" w:hAnsi="宋体" w:eastAsia="宋体" w:cs="宋体"/>
                <w:bCs/>
                <w:kern w:val="0"/>
                <w:szCs w:val="21"/>
                <w:highlight w:val="none"/>
                <w:lang w:eastAsia="zh-CN"/>
              </w:rPr>
            </w:pPr>
            <w:r>
              <w:rPr>
                <w:rFonts w:hint="eastAsia" w:ascii="宋体" w:hAnsi="宋体" w:cs="宋体"/>
                <w:bCs/>
                <w:kern w:val="0"/>
                <w:szCs w:val="21"/>
                <w:highlight w:val="none"/>
                <w:lang w:val="en-US" w:eastAsia="zh-CN"/>
              </w:rPr>
              <w:t>5</w:t>
            </w:r>
          </w:p>
        </w:tc>
        <w:tc>
          <w:tcPr>
            <w:tcW w:w="1931" w:type="dxa"/>
            <w:noWrap/>
            <w:vAlign w:val="center"/>
          </w:tcPr>
          <w:p w14:paraId="20E23671">
            <w:pPr>
              <w:widowControl/>
              <w:spacing w:line="360" w:lineRule="auto"/>
              <w:jc w:val="center"/>
              <w:rPr>
                <w:rFonts w:hint="eastAsia" w:ascii="宋体" w:hAnsi="宋体" w:cs="宋体"/>
                <w:bCs/>
                <w:kern w:val="0"/>
                <w:szCs w:val="21"/>
                <w:highlight w:val="none"/>
              </w:rPr>
            </w:pPr>
            <w:r>
              <w:rPr>
                <w:rFonts w:hint="eastAsia" w:ascii="宋体" w:hAnsi="宋体" w:cs="宋体"/>
                <w:bCs/>
                <w:kern w:val="0"/>
                <w:szCs w:val="21"/>
                <w:highlight w:val="none"/>
              </w:rPr>
              <w:t>重难点分析</w:t>
            </w:r>
          </w:p>
        </w:tc>
        <w:tc>
          <w:tcPr>
            <w:tcW w:w="4746" w:type="dxa"/>
            <w:noWrap/>
            <w:vAlign w:val="center"/>
          </w:tcPr>
          <w:p w14:paraId="57B1CBAE">
            <w:pPr>
              <w:widowControl/>
              <w:spacing w:line="360" w:lineRule="auto"/>
              <w:jc w:val="left"/>
              <w:rPr>
                <w:rFonts w:ascii="宋体" w:hAnsi="宋体" w:cs="宋体"/>
                <w:bCs/>
                <w:kern w:val="0"/>
                <w:szCs w:val="21"/>
                <w:highlight w:val="none"/>
              </w:rPr>
            </w:pPr>
            <w:r>
              <w:rPr>
                <w:rFonts w:hint="eastAsia" w:ascii="宋体" w:hAnsi="宋体" w:cs="宋体"/>
                <w:bCs/>
                <w:kern w:val="0"/>
                <w:szCs w:val="21"/>
                <w:highlight w:val="none"/>
              </w:rPr>
              <w:t>本工程的特点、难点分析和解决措施以及疫情防控保障措施进行综合评审：分析到位安排合理的得</w:t>
            </w:r>
            <w:r>
              <w:rPr>
                <w:rFonts w:hint="eastAsia" w:ascii="宋体" w:hAnsi="宋体" w:cs="宋体"/>
                <w:bCs/>
                <w:kern w:val="0"/>
                <w:szCs w:val="21"/>
                <w:highlight w:val="none"/>
                <w:lang w:val="en-US" w:eastAsia="zh-CN"/>
              </w:rPr>
              <w:t>4</w:t>
            </w:r>
            <w:r>
              <w:rPr>
                <w:rFonts w:hint="eastAsia" w:ascii="宋体" w:hAnsi="宋体" w:cs="宋体"/>
                <w:bCs/>
                <w:kern w:val="0"/>
                <w:szCs w:val="21"/>
                <w:highlight w:val="none"/>
              </w:rPr>
              <w:t>分；分析到位任需进一步细化</w:t>
            </w:r>
            <w:r>
              <w:rPr>
                <w:rFonts w:hint="eastAsia" w:ascii="宋体" w:hAnsi="宋体" w:cs="宋体"/>
                <w:bCs/>
                <w:kern w:val="0"/>
                <w:szCs w:val="21"/>
                <w:highlight w:val="none"/>
                <w:lang w:val="en-US" w:eastAsia="zh-CN"/>
              </w:rPr>
              <w:t>2</w:t>
            </w:r>
            <w:r>
              <w:rPr>
                <w:rFonts w:hint="eastAsia" w:ascii="宋体" w:hAnsi="宋体" w:cs="宋体"/>
                <w:bCs/>
                <w:kern w:val="0"/>
                <w:szCs w:val="21"/>
                <w:highlight w:val="none"/>
              </w:rPr>
              <w:t>分；分析待完善，保证措施不够详尽的得</w:t>
            </w:r>
            <w:r>
              <w:rPr>
                <w:rFonts w:hint="eastAsia" w:ascii="宋体" w:hAnsi="宋体" w:cs="宋体"/>
                <w:bCs/>
                <w:kern w:val="0"/>
                <w:szCs w:val="21"/>
                <w:highlight w:val="none"/>
                <w:lang w:val="en-US" w:eastAsia="zh-CN"/>
              </w:rPr>
              <w:t>1</w:t>
            </w:r>
            <w:r>
              <w:rPr>
                <w:rFonts w:hint="eastAsia" w:ascii="宋体" w:hAnsi="宋体" w:cs="宋体"/>
                <w:bCs/>
                <w:kern w:val="0"/>
                <w:szCs w:val="21"/>
                <w:highlight w:val="none"/>
              </w:rPr>
              <w:t>分</w:t>
            </w:r>
            <w:r>
              <w:rPr>
                <w:rFonts w:hint="eastAsia" w:ascii="宋体" w:hAnsi="宋体" w:cs="宋体"/>
                <w:bCs/>
                <w:kern w:val="0"/>
                <w:szCs w:val="21"/>
                <w:highlight w:val="none"/>
                <w:lang w:eastAsia="zh-CN"/>
              </w:rPr>
              <w:t>；</w:t>
            </w:r>
            <w:r>
              <w:rPr>
                <w:rFonts w:hint="eastAsia" w:ascii="宋体" w:hAnsi="宋体" w:cs="宋体"/>
                <w:bCs/>
                <w:kern w:val="0"/>
                <w:szCs w:val="21"/>
                <w:highlight w:val="none"/>
              </w:rPr>
              <w:t>缺项不得分。</w:t>
            </w:r>
          </w:p>
        </w:tc>
        <w:tc>
          <w:tcPr>
            <w:tcW w:w="1141" w:type="dxa"/>
            <w:noWrap/>
            <w:vAlign w:val="center"/>
          </w:tcPr>
          <w:p w14:paraId="4A6F0F58">
            <w:pPr>
              <w:spacing w:line="400" w:lineRule="exact"/>
              <w:jc w:val="center"/>
              <w:rPr>
                <w:rFonts w:hint="eastAsia" w:ascii="宋体" w:hAnsi="宋体" w:eastAsia="宋体" w:cs="宋体"/>
                <w:kern w:val="1"/>
                <w:szCs w:val="21"/>
                <w:highlight w:val="none"/>
                <w:lang w:eastAsia="zh-CN"/>
              </w:rPr>
            </w:pPr>
            <w:r>
              <w:rPr>
                <w:rFonts w:hint="eastAsia" w:ascii="宋体" w:hAnsi="宋体" w:cs="宋体"/>
                <w:kern w:val="1"/>
                <w:szCs w:val="21"/>
                <w:highlight w:val="none"/>
                <w:lang w:val="en-US" w:eastAsia="zh-CN"/>
              </w:rPr>
              <w:t>4</w:t>
            </w:r>
          </w:p>
        </w:tc>
      </w:tr>
      <w:tr w14:paraId="4ADDEA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jc w:val="center"/>
        </w:trPr>
        <w:tc>
          <w:tcPr>
            <w:tcW w:w="520" w:type="dxa"/>
            <w:noWrap/>
            <w:vAlign w:val="center"/>
          </w:tcPr>
          <w:p w14:paraId="5F47CF31">
            <w:pPr>
              <w:widowControl/>
              <w:spacing w:line="360" w:lineRule="auto"/>
              <w:jc w:val="center"/>
              <w:rPr>
                <w:rFonts w:hint="eastAsia" w:ascii="宋体" w:hAnsi="宋体" w:eastAsia="宋体" w:cs="宋体"/>
                <w:bCs/>
                <w:kern w:val="0"/>
                <w:szCs w:val="21"/>
                <w:highlight w:val="none"/>
                <w:lang w:eastAsia="zh-CN"/>
              </w:rPr>
            </w:pPr>
            <w:r>
              <w:rPr>
                <w:rFonts w:hint="eastAsia" w:ascii="宋体" w:hAnsi="宋体" w:cs="宋体"/>
                <w:bCs/>
                <w:kern w:val="0"/>
                <w:szCs w:val="21"/>
                <w:highlight w:val="none"/>
                <w:lang w:val="en-US" w:eastAsia="zh-CN"/>
              </w:rPr>
              <w:t>6</w:t>
            </w:r>
          </w:p>
        </w:tc>
        <w:tc>
          <w:tcPr>
            <w:tcW w:w="1931" w:type="dxa"/>
            <w:noWrap/>
            <w:vAlign w:val="center"/>
          </w:tcPr>
          <w:p w14:paraId="343D4236">
            <w:pPr>
              <w:widowControl/>
              <w:spacing w:line="360" w:lineRule="auto"/>
              <w:jc w:val="center"/>
              <w:rPr>
                <w:rFonts w:hint="eastAsia" w:ascii="宋体" w:hAnsi="宋体" w:cs="宋体"/>
                <w:bCs/>
                <w:kern w:val="0"/>
                <w:szCs w:val="21"/>
                <w:highlight w:val="none"/>
              </w:rPr>
            </w:pPr>
            <w:r>
              <w:rPr>
                <w:rFonts w:hint="eastAsia" w:ascii="宋体" w:hAnsi="宋体" w:cs="宋体"/>
                <w:bCs/>
                <w:kern w:val="0"/>
                <w:szCs w:val="21"/>
                <w:highlight w:val="none"/>
              </w:rPr>
              <w:t>施工组织设计</w:t>
            </w:r>
          </w:p>
        </w:tc>
        <w:tc>
          <w:tcPr>
            <w:tcW w:w="4746" w:type="dxa"/>
            <w:noWrap/>
            <w:vAlign w:val="center"/>
          </w:tcPr>
          <w:p w14:paraId="1FC35FE2">
            <w:pPr>
              <w:widowControl/>
              <w:spacing w:line="360" w:lineRule="auto"/>
              <w:jc w:val="left"/>
              <w:rPr>
                <w:rFonts w:hint="eastAsia" w:ascii="宋体" w:hAnsi="宋体" w:cs="宋体"/>
                <w:bCs/>
                <w:kern w:val="0"/>
                <w:szCs w:val="21"/>
                <w:highlight w:val="none"/>
              </w:rPr>
            </w:pPr>
            <w:r>
              <w:rPr>
                <w:rFonts w:hint="eastAsia" w:ascii="宋体" w:hAnsi="宋体" w:cs="宋体"/>
                <w:bCs/>
                <w:kern w:val="0"/>
                <w:szCs w:val="21"/>
                <w:highlight w:val="none"/>
              </w:rPr>
              <w:t>根据施工部署、现场平面布置及管理、劳动力安排计划、材料供应计划、施工机械进出场和施工机械使用计划进行综合打分：施工组织方案完善具体、有合理性、针对性强的得</w:t>
            </w:r>
            <w:r>
              <w:rPr>
                <w:rFonts w:hint="eastAsia" w:ascii="宋体" w:hAnsi="宋体" w:cs="宋体"/>
                <w:bCs/>
                <w:kern w:val="0"/>
                <w:szCs w:val="21"/>
                <w:highlight w:val="none"/>
                <w:lang w:val="en-US" w:eastAsia="zh-CN"/>
              </w:rPr>
              <w:t>4</w:t>
            </w:r>
            <w:r>
              <w:rPr>
                <w:rFonts w:hint="eastAsia" w:ascii="宋体" w:hAnsi="宋体" w:cs="宋体"/>
                <w:bCs/>
                <w:kern w:val="0"/>
                <w:szCs w:val="21"/>
                <w:highlight w:val="none"/>
              </w:rPr>
              <w:t>分；完善合理但需进一步细化的得</w:t>
            </w:r>
            <w:r>
              <w:rPr>
                <w:rFonts w:hint="eastAsia" w:ascii="宋体" w:hAnsi="宋体" w:cs="宋体"/>
                <w:bCs/>
                <w:kern w:val="0"/>
                <w:szCs w:val="21"/>
                <w:highlight w:val="none"/>
                <w:lang w:val="en-US" w:eastAsia="zh-CN"/>
              </w:rPr>
              <w:t>3</w:t>
            </w:r>
            <w:r>
              <w:rPr>
                <w:rFonts w:hint="eastAsia" w:ascii="宋体" w:hAnsi="宋体" w:cs="宋体"/>
                <w:bCs/>
                <w:kern w:val="0"/>
                <w:szCs w:val="21"/>
                <w:highlight w:val="none"/>
              </w:rPr>
              <w:t>分；方案不够详尽但仍有可实施性的得</w:t>
            </w:r>
            <w:r>
              <w:rPr>
                <w:rFonts w:hint="eastAsia" w:ascii="宋体" w:hAnsi="宋体" w:cs="宋体"/>
                <w:bCs/>
                <w:kern w:val="0"/>
                <w:szCs w:val="21"/>
                <w:highlight w:val="none"/>
                <w:lang w:val="en-US" w:eastAsia="zh-CN"/>
              </w:rPr>
              <w:t>2</w:t>
            </w:r>
            <w:r>
              <w:rPr>
                <w:rFonts w:hint="eastAsia" w:ascii="宋体" w:hAnsi="宋体" w:cs="宋体"/>
                <w:bCs/>
                <w:kern w:val="0"/>
                <w:szCs w:val="21"/>
                <w:highlight w:val="none"/>
              </w:rPr>
              <w:t>分</w:t>
            </w:r>
            <w:r>
              <w:rPr>
                <w:rFonts w:hint="eastAsia" w:ascii="宋体" w:hAnsi="宋体" w:cs="宋体"/>
                <w:bCs/>
                <w:kern w:val="0"/>
                <w:szCs w:val="21"/>
                <w:highlight w:val="none"/>
                <w:lang w:eastAsia="zh-CN"/>
              </w:rPr>
              <w:t>；</w:t>
            </w:r>
            <w:r>
              <w:rPr>
                <w:rFonts w:hint="eastAsia" w:ascii="宋体" w:hAnsi="宋体" w:cs="宋体"/>
                <w:bCs/>
                <w:kern w:val="0"/>
                <w:szCs w:val="21"/>
                <w:highlight w:val="none"/>
              </w:rPr>
              <w:t>方案粗糙、可实施性低的得</w:t>
            </w:r>
            <w:r>
              <w:rPr>
                <w:rFonts w:hint="eastAsia" w:ascii="宋体" w:hAnsi="宋体" w:cs="宋体"/>
                <w:bCs/>
                <w:kern w:val="0"/>
                <w:szCs w:val="21"/>
                <w:highlight w:val="none"/>
                <w:lang w:val="en-US" w:eastAsia="zh-CN"/>
              </w:rPr>
              <w:t>1</w:t>
            </w:r>
            <w:r>
              <w:rPr>
                <w:rFonts w:ascii="宋体" w:hAnsi="宋体" w:cs="宋体"/>
                <w:bCs/>
                <w:kern w:val="0"/>
                <w:szCs w:val="21"/>
                <w:highlight w:val="none"/>
              </w:rPr>
              <w:t>分</w:t>
            </w:r>
            <w:r>
              <w:rPr>
                <w:rFonts w:hint="eastAsia" w:ascii="宋体" w:hAnsi="宋体" w:cs="宋体"/>
                <w:bCs/>
                <w:kern w:val="0"/>
                <w:szCs w:val="21"/>
                <w:highlight w:val="none"/>
                <w:lang w:eastAsia="zh-CN"/>
              </w:rPr>
              <w:t>；</w:t>
            </w:r>
            <w:r>
              <w:rPr>
                <w:rFonts w:hint="eastAsia" w:ascii="宋体" w:hAnsi="宋体" w:cs="宋体"/>
                <w:bCs/>
                <w:kern w:val="0"/>
                <w:szCs w:val="21"/>
                <w:highlight w:val="none"/>
              </w:rPr>
              <w:t>缺项不得分。</w:t>
            </w:r>
          </w:p>
        </w:tc>
        <w:tc>
          <w:tcPr>
            <w:tcW w:w="1141" w:type="dxa"/>
            <w:noWrap/>
            <w:vAlign w:val="center"/>
          </w:tcPr>
          <w:p w14:paraId="0B02CB1A">
            <w:pPr>
              <w:spacing w:line="400" w:lineRule="exact"/>
              <w:jc w:val="center"/>
              <w:rPr>
                <w:rFonts w:hint="eastAsia" w:ascii="宋体" w:hAnsi="宋体" w:eastAsia="宋体" w:cs="宋体"/>
                <w:kern w:val="1"/>
                <w:szCs w:val="21"/>
                <w:highlight w:val="none"/>
                <w:lang w:eastAsia="zh-CN"/>
              </w:rPr>
            </w:pPr>
            <w:r>
              <w:rPr>
                <w:rFonts w:hint="eastAsia" w:ascii="宋体" w:hAnsi="宋体" w:cs="宋体"/>
                <w:kern w:val="1"/>
                <w:szCs w:val="21"/>
                <w:highlight w:val="none"/>
                <w:lang w:val="en-US" w:eastAsia="zh-CN"/>
              </w:rPr>
              <w:t>4</w:t>
            </w:r>
          </w:p>
        </w:tc>
      </w:tr>
      <w:tr w14:paraId="0688DA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1" w:hRule="atLeast"/>
          <w:jc w:val="center"/>
        </w:trPr>
        <w:tc>
          <w:tcPr>
            <w:tcW w:w="520" w:type="dxa"/>
            <w:noWrap w:val="0"/>
            <w:vAlign w:val="center"/>
          </w:tcPr>
          <w:p w14:paraId="17EA60AB">
            <w:pPr>
              <w:widowControl/>
              <w:spacing w:line="360" w:lineRule="auto"/>
              <w:jc w:val="center"/>
              <w:rPr>
                <w:rFonts w:hint="eastAsia" w:ascii="宋体" w:hAnsi="宋体" w:eastAsia="宋体" w:cs="宋体"/>
                <w:kern w:val="0"/>
                <w:szCs w:val="21"/>
                <w:highlight w:val="none"/>
                <w:lang w:eastAsia="zh-CN"/>
              </w:rPr>
            </w:pPr>
            <w:r>
              <w:rPr>
                <w:rFonts w:hint="eastAsia" w:ascii="宋体" w:hAnsi="宋体" w:cs="宋体"/>
                <w:kern w:val="0"/>
                <w:szCs w:val="21"/>
                <w:highlight w:val="none"/>
                <w:lang w:val="en-US" w:eastAsia="zh-CN"/>
              </w:rPr>
              <w:t>7</w:t>
            </w:r>
          </w:p>
        </w:tc>
        <w:tc>
          <w:tcPr>
            <w:tcW w:w="1931" w:type="dxa"/>
            <w:noWrap w:val="0"/>
            <w:vAlign w:val="center"/>
          </w:tcPr>
          <w:p w14:paraId="6E14E52A">
            <w:pPr>
              <w:widowControl/>
              <w:spacing w:line="360" w:lineRule="auto"/>
              <w:jc w:val="center"/>
              <w:rPr>
                <w:rFonts w:hint="eastAsia" w:ascii="宋体" w:hAnsi="宋体" w:cs="宋体"/>
                <w:bCs/>
                <w:kern w:val="0"/>
                <w:szCs w:val="21"/>
                <w:highlight w:val="none"/>
              </w:rPr>
            </w:pPr>
            <w:r>
              <w:rPr>
                <w:rFonts w:hint="eastAsia" w:ascii="宋体" w:hAnsi="宋体" w:cs="宋体"/>
                <w:bCs/>
                <w:kern w:val="0"/>
                <w:szCs w:val="21"/>
                <w:highlight w:val="none"/>
              </w:rPr>
              <w:t>进度计划保证措施</w:t>
            </w:r>
          </w:p>
        </w:tc>
        <w:tc>
          <w:tcPr>
            <w:tcW w:w="4746" w:type="dxa"/>
            <w:noWrap w:val="0"/>
            <w:vAlign w:val="center"/>
          </w:tcPr>
          <w:p w14:paraId="1F0C6E2B">
            <w:pPr>
              <w:widowControl/>
              <w:spacing w:line="360" w:lineRule="auto"/>
              <w:jc w:val="left"/>
              <w:rPr>
                <w:rFonts w:hint="eastAsia" w:ascii="宋体" w:hAnsi="宋体" w:cs="宋体"/>
                <w:bCs/>
                <w:kern w:val="0"/>
                <w:szCs w:val="21"/>
                <w:highlight w:val="none"/>
              </w:rPr>
            </w:pPr>
            <w:r>
              <w:rPr>
                <w:rFonts w:hint="eastAsia" w:ascii="宋体" w:hAnsi="宋体" w:cs="宋体"/>
                <w:bCs/>
                <w:kern w:val="0"/>
                <w:szCs w:val="21"/>
                <w:highlight w:val="none"/>
              </w:rPr>
              <w:t>项目整体工作阶段及任务划分、进度控制合理、关键时间节点把握科学准确。</w:t>
            </w:r>
          </w:p>
          <w:p w14:paraId="79923748">
            <w:pPr>
              <w:widowControl/>
              <w:spacing w:line="360" w:lineRule="auto"/>
              <w:jc w:val="left"/>
              <w:rPr>
                <w:rFonts w:ascii="宋体" w:hAnsi="宋体" w:cs="宋体"/>
                <w:bCs/>
                <w:kern w:val="0"/>
                <w:szCs w:val="21"/>
                <w:highlight w:val="none"/>
              </w:rPr>
            </w:pPr>
            <w:r>
              <w:rPr>
                <w:rFonts w:hint="eastAsia" w:ascii="宋体" w:hAnsi="宋体" w:cs="宋体"/>
                <w:bCs/>
                <w:kern w:val="0"/>
                <w:szCs w:val="21"/>
                <w:highlight w:val="none"/>
              </w:rPr>
              <w:t>进度控制合理节点把握科学准确的，得</w:t>
            </w:r>
            <w:r>
              <w:rPr>
                <w:rFonts w:hint="eastAsia" w:ascii="宋体" w:hAnsi="宋体" w:cs="宋体"/>
                <w:bCs/>
                <w:kern w:val="0"/>
                <w:szCs w:val="21"/>
                <w:highlight w:val="none"/>
                <w:lang w:val="en-US" w:eastAsia="zh-CN"/>
              </w:rPr>
              <w:t>4</w:t>
            </w:r>
            <w:r>
              <w:rPr>
                <w:rFonts w:hint="eastAsia" w:ascii="宋体" w:hAnsi="宋体" w:cs="宋体"/>
                <w:bCs/>
                <w:kern w:val="0"/>
                <w:szCs w:val="21"/>
                <w:highlight w:val="none"/>
              </w:rPr>
              <w:t>分；进度控制节点把握不够详细准确的，得</w:t>
            </w:r>
            <w:r>
              <w:rPr>
                <w:rFonts w:hint="eastAsia" w:ascii="宋体" w:hAnsi="宋体" w:cs="宋体"/>
                <w:bCs/>
                <w:kern w:val="0"/>
                <w:szCs w:val="21"/>
                <w:highlight w:val="none"/>
                <w:lang w:val="en-US" w:eastAsia="zh-CN"/>
              </w:rPr>
              <w:t>2</w:t>
            </w:r>
            <w:r>
              <w:rPr>
                <w:rFonts w:hint="eastAsia" w:ascii="宋体" w:hAnsi="宋体" w:cs="宋体"/>
                <w:bCs/>
                <w:kern w:val="0"/>
                <w:szCs w:val="21"/>
                <w:highlight w:val="none"/>
              </w:rPr>
              <w:t>分；进度控制节点把握一般的得</w:t>
            </w:r>
            <w:r>
              <w:rPr>
                <w:rFonts w:hint="eastAsia" w:ascii="宋体" w:hAnsi="宋体" w:cs="宋体"/>
                <w:bCs/>
                <w:kern w:val="0"/>
                <w:szCs w:val="21"/>
                <w:highlight w:val="none"/>
                <w:lang w:val="en-US" w:eastAsia="zh-CN"/>
              </w:rPr>
              <w:t>1</w:t>
            </w:r>
            <w:r>
              <w:rPr>
                <w:rFonts w:hint="eastAsia" w:ascii="宋体" w:hAnsi="宋体" w:cs="宋体"/>
                <w:bCs/>
                <w:kern w:val="0"/>
                <w:szCs w:val="21"/>
                <w:highlight w:val="none"/>
              </w:rPr>
              <w:t>分</w:t>
            </w:r>
            <w:r>
              <w:rPr>
                <w:rFonts w:hint="eastAsia" w:ascii="宋体" w:hAnsi="宋体" w:cs="宋体"/>
                <w:bCs/>
                <w:kern w:val="0"/>
                <w:szCs w:val="21"/>
                <w:highlight w:val="none"/>
                <w:lang w:eastAsia="zh-CN"/>
              </w:rPr>
              <w:t>；</w:t>
            </w:r>
            <w:r>
              <w:rPr>
                <w:rFonts w:hint="eastAsia" w:ascii="宋体" w:hAnsi="宋体" w:cs="宋体"/>
                <w:bCs/>
                <w:kern w:val="0"/>
                <w:szCs w:val="21"/>
                <w:highlight w:val="none"/>
              </w:rPr>
              <w:t>缺项不得分。</w:t>
            </w:r>
          </w:p>
        </w:tc>
        <w:tc>
          <w:tcPr>
            <w:tcW w:w="1141" w:type="dxa"/>
            <w:noWrap w:val="0"/>
            <w:vAlign w:val="center"/>
          </w:tcPr>
          <w:p w14:paraId="1F6FC285">
            <w:pPr>
              <w:spacing w:line="400" w:lineRule="exact"/>
              <w:jc w:val="center"/>
              <w:rPr>
                <w:rFonts w:hint="eastAsia" w:ascii="宋体" w:hAnsi="宋体" w:eastAsia="宋体" w:cs="宋体"/>
                <w:b/>
                <w:kern w:val="1"/>
                <w:szCs w:val="21"/>
                <w:highlight w:val="none"/>
                <w:lang w:eastAsia="zh-CN"/>
              </w:rPr>
            </w:pPr>
            <w:r>
              <w:rPr>
                <w:rFonts w:hint="eastAsia" w:ascii="宋体" w:hAnsi="宋体" w:cs="宋体"/>
                <w:bCs/>
                <w:kern w:val="0"/>
                <w:szCs w:val="21"/>
                <w:highlight w:val="none"/>
                <w:lang w:val="en-US" w:eastAsia="zh-CN"/>
              </w:rPr>
              <w:t>4</w:t>
            </w:r>
          </w:p>
        </w:tc>
      </w:tr>
      <w:tr w14:paraId="534412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1" w:hRule="atLeast"/>
          <w:jc w:val="center"/>
        </w:trPr>
        <w:tc>
          <w:tcPr>
            <w:tcW w:w="520" w:type="dxa"/>
            <w:noWrap w:val="0"/>
            <w:vAlign w:val="center"/>
          </w:tcPr>
          <w:p w14:paraId="7402B864">
            <w:pPr>
              <w:widowControl/>
              <w:spacing w:line="360" w:lineRule="auto"/>
              <w:jc w:val="center"/>
              <w:rPr>
                <w:rFonts w:hint="eastAsia" w:ascii="宋体" w:hAnsi="宋体" w:eastAsia="宋体" w:cs="宋体"/>
                <w:kern w:val="0"/>
                <w:szCs w:val="21"/>
                <w:highlight w:val="none"/>
                <w:lang w:eastAsia="zh-CN"/>
              </w:rPr>
            </w:pPr>
            <w:r>
              <w:rPr>
                <w:rFonts w:hint="eastAsia" w:ascii="宋体" w:hAnsi="宋体" w:cs="宋体"/>
                <w:kern w:val="0"/>
                <w:szCs w:val="21"/>
                <w:highlight w:val="none"/>
                <w:lang w:val="en-US" w:eastAsia="zh-CN"/>
              </w:rPr>
              <w:t>8</w:t>
            </w:r>
          </w:p>
        </w:tc>
        <w:tc>
          <w:tcPr>
            <w:tcW w:w="1931" w:type="dxa"/>
            <w:noWrap w:val="0"/>
            <w:vAlign w:val="center"/>
          </w:tcPr>
          <w:p w14:paraId="5EB48318">
            <w:pPr>
              <w:widowControl/>
              <w:spacing w:line="360" w:lineRule="auto"/>
              <w:jc w:val="center"/>
              <w:rPr>
                <w:rFonts w:ascii="宋体" w:hAnsi="宋体" w:cs="宋体"/>
                <w:bCs/>
                <w:kern w:val="0"/>
                <w:szCs w:val="21"/>
                <w:highlight w:val="none"/>
              </w:rPr>
            </w:pPr>
            <w:r>
              <w:rPr>
                <w:rFonts w:hint="eastAsia" w:ascii="宋体" w:hAnsi="宋体" w:cs="宋体"/>
                <w:bCs/>
                <w:kern w:val="0"/>
                <w:szCs w:val="21"/>
                <w:highlight w:val="none"/>
              </w:rPr>
              <w:t>安全文明措施</w:t>
            </w:r>
          </w:p>
        </w:tc>
        <w:tc>
          <w:tcPr>
            <w:tcW w:w="4746" w:type="dxa"/>
            <w:noWrap w:val="0"/>
            <w:vAlign w:val="center"/>
          </w:tcPr>
          <w:p w14:paraId="0D78A015">
            <w:pPr>
              <w:widowControl/>
              <w:spacing w:line="360" w:lineRule="auto"/>
              <w:jc w:val="left"/>
              <w:rPr>
                <w:rFonts w:ascii="宋体" w:hAnsi="宋体" w:cs="宋体"/>
                <w:bCs/>
                <w:kern w:val="0"/>
                <w:szCs w:val="21"/>
                <w:highlight w:val="none"/>
              </w:rPr>
            </w:pPr>
            <w:r>
              <w:rPr>
                <w:rFonts w:hint="eastAsia" w:ascii="宋体" w:hAnsi="宋体" w:cs="宋体"/>
                <w:bCs/>
                <w:kern w:val="0"/>
                <w:szCs w:val="21"/>
                <w:highlight w:val="none"/>
              </w:rPr>
              <w:t>根据安全生产、文明施工、环境保护保证措施、交通组织措施、雨季、台风和夏季高温季节的施工保证措施进行综合评审</w:t>
            </w:r>
            <w:r>
              <w:rPr>
                <w:rFonts w:ascii="宋体" w:hAnsi="宋体" w:cs="宋体"/>
                <w:bCs/>
                <w:kern w:val="0"/>
                <w:szCs w:val="21"/>
                <w:highlight w:val="none"/>
              </w:rPr>
              <w:t>：</w:t>
            </w:r>
            <w:r>
              <w:rPr>
                <w:rFonts w:hint="eastAsia" w:ascii="宋体" w:hAnsi="宋体" w:cs="宋体"/>
                <w:bCs/>
                <w:kern w:val="0"/>
                <w:szCs w:val="21"/>
                <w:highlight w:val="none"/>
              </w:rPr>
              <w:t>针对本项目施工现场安全文明措施全面具体、</w:t>
            </w:r>
            <w:r>
              <w:rPr>
                <w:rFonts w:ascii="宋体" w:hAnsi="宋体" w:cs="宋体"/>
                <w:bCs/>
                <w:kern w:val="0"/>
                <w:szCs w:val="21"/>
                <w:highlight w:val="none"/>
              </w:rPr>
              <w:t>有合理</w:t>
            </w:r>
            <w:r>
              <w:rPr>
                <w:rFonts w:hint="eastAsia" w:ascii="宋体" w:hAnsi="宋体" w:cs="宋体"/>
                <w:bCs/>
                <w:kern w:val="0"/>
                <w:szCs w:val="21"/>
                <w:highlight w:val="none"/>
              </w:rPr>
              <w:t>性、对针对性较强</w:t>
            </w:r>
            <w:r>
              <w:rPr>
                <w:rFonts w:ascii="宋体" w:hAnsi="宋体" w:cs="宋体"/>
                <w:bCs/>
                <w:kern w:val="0"/>
                <w:szCs w:val="21"/>
                <w:highlight w:val="none"/>
              </w:rPr>
              <w:t>的得</w:t>
            </w:r>
            <w:r>
              <w:rPr>
                <w:rFonts w:hint="eastAsia" w:ascii="宋体" w:hAnsi="宋体" w:cs="宋体"/>
                <w:bCs/>
                <w:kern w:val="0"/>
                <w:szCs w:val="21"/>
                <w:highlight w:val="none"/>
                <w:lang w:val="en-US" w:eastAsia="zh-CN"/>
              </w:rPr>
              <w:t>4</w:t>
            </w:r>
            <w:r>
              <w:rPr>
                <w:rFonts w:hint="eastAsia" w:ascii="宋体" w:hAnsi="宋体" w:cs="宋体"/>
                <w:bCs/>
                <w:kern w:val="0"/>
                <w:szCs w:val="21"/>
                <w:highlight w:val="none"/>
              </w:rPr>
              <w:t>分；全面合理但针对性不强的</w:t>
            </w:r>
            <w:r>
              <w:rPr>
                <w:rFonts w:ascii="宋体" w:hAnsi="宋体" w:cs="宋体"/>
                <w:bCs/>
                <w:kern w:val="0"/>
                <w:szCs w:val="21"/>
                <w:highlight w:val="none"/>
              </w:rPr>
              <w:t>得</w:t>
            </w:r>
            <w:r>
              <w:rPr>
                <w:rFonts w:hint="eastAsia" w:ascii="宋体" w:hAnsi="宋体" w:cs="宋体"/>
                <w:bCs/>
                <w:kern w:val="0"/>
                <w:szCs w:val="21"/>
                <w:highlight w:val="none"/>
                <w:lang w:val="en-US" w:eastAsia="zh-CN"/>
              </w:rPr>
              <w:t>2</w:t>
            </w:r>
            <w:r>
              <w:rPr>
                <w:rFonts w:hint="eastAsia" w:ascii="宋体" w:hAnsi="宋体" w:cs="宋体"/>
                <w:bCs/>
                <w:kern w:val="0"/>
                <w:szCs w:val="21"/>
                <w:highlight w:val="none"/>
              </w:rPr>
              <w:t>分；不够详尽、无</w:t>
            </w:r>
            <w:r>
              <w:rPr>
                <w:rFonts w:ascii="宋体" w:hAnsi="宋体" w:cs="宋体"/>
                <w:bCs/>
                <w:kern w:val="0"/>
                <w:szCs w:val="21"/>
                <w:highlight w:val="none"/>
              </w:rPr>
              <w:t>针对性</w:t>
            </w:r>
            <w:r>
              <w:rPr>
                <w:rFonts w:hint="eastAsia" w:ascii="宋体" w:hAnsi="宋体" w:cs="宋体"/>
                <w:bCs/>
                <w:kern w:val="0"/>
                <w:szCs w:val="21"/>
                <w:highlight w:val="none"/>
              </w:rPr>
              <w:t>的得</w:t>
            </w:r>
            <w:r>
              <w:rPr>
                <w:rFonts w:hint="eastAsia" w:ascii="宋体" w:hAnsi="宋体" w:cs="宋体"/>
                <w:bCs/>
                <w:kern w:val="0"/>
                <w:szCs w:val="21"/>
                <w:highlight w:val="none"/>
                <w:lang w:val="en-US" w:eastAsia="zh-CN"/>
              </w:rPr>
              <w:t>1</w:t>
            </w:r>
            <w:r>
              <w:rPr>
                <w:rFonts w:hint="eastAsia" w:ascii="宋体" w:hAnsi="宋体" w:cs="宋体"/>
                <w:bCs/>
                <w:kern w:val="0"/>
                <w:szCs w:val="21"/>
                <w:highlight w:val="none"/>
              </w:rPr>
              <w:t>分</w:t>
            </w:r>
            <w:r>
              <w:rPr>
                <w:rFonts w:hint="eastAsia" w:ascii="宋体" w:hAnsi="宋体" w:cs="宋体"/>
                <w:bCs/>
                <w:kern w:val="0"/>
                <w:szCs w:val="21"/>
                <w:highlight w:val="none"/>
                <w:lang w:eastAsia="zh-CN"/>
              </w:rPr>
              <w:t>；</w:t>
            </w:r>
            <w:r>
              <w:rPr>
                <w:rFonts w:hint="eastAsia" w:ascii="宋体" w:hAnsi="宋体" w:cs="宋体"/>
                <w:bCs/>
                <w:kern w:val="0"/>
                <w:szCs w:val="21"/>
                <w:highlight w:val="none"/>
              </w:rPr>
              <w:t>缺项不得分。</w:t>
            </w:r>
          </w:p>
        </w:tc>
        <w:tc>
          <w:tcPr>
            <w:tcW w:w="1141" w:type="dxa"/>
            <w:noWrap w:val="0"/>
            <w:vAlign w:val="center"/>
          </w:tcPr>
          <w:p w14:paraId="554D9E62">
            <w:pPr>
              <w:spacing w:line="400" w:lineRule="exact"/>
              <w:jc w:val="center"/>
              <w:rPr>
                <w:rFonts w:hint="eastAsia" w:ascii="宋体" w:hAnsi="宋体" w:eastAsia="宋体" w:cs="宋体"/>
                <w:bCs/>
                <w:kern w:val="0"/>
                <w:szCs w:val="21"/>
                <w:highlight w:val="none"/>
                <w:lang w:eastAsia="zh-CN"/>
              </w:rPr>
            </w:pPr>
            <w:r>
              <w:rPr>
                <w:rFonts w:hint="eastAsia" w:ascii="宋体" w:hAnsi="宋体" w:cs="宋体"/>
                <w:bCs/>
                <w:kern w:val="0"/>
                <w:szCs w:val="21"/>
                <w:highlight w:val="none"/>
                <w:lang w:val="en-US" w:eastAsia="zh-CN"/>
              </w:rPr>
              <w:t>4</w:t>
            </w:r>
          </w:p>
        </w:tc>
      </w:tr>
      <w:tr w14:paraId="6E1701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7" w:hRule="atLeast"/>
          <w:jc w:val="center"/>
        </w:trPr>
        <w:tc>
          <w:tcPr>
            <w:tcW w:w="520" w:type="dxa"/>
            <w:noWrap w:val="0"/>
            <w:vAlign w:val="center"/>
          </w:tcPr>
          <w:p w14:paraId="2EE0E577">
            <w:pPr>
              <w:widowControl/>
              <w:spacing w:line="360" w:lineRule="auto"/>
              <w:jc w:val="center"/>
              <w:rPr>
                <w:rFonts w:hint="eastAsia" w:ascii="宋体" w:hAnsi="宋体" w:eastAsia="宋体" w:cs="宋体"/>
                <w:kern w:val="0"/>
                <w:szCs w:val="21"/>
                <w:highlight w:val="none"/>
                <w:lang w:eastAsia="zh-CN"/>
              </w:rPr>
            </w:pPr>
            <w:r>
              <w:rPr>
                <w:rFonts w:hint="eastAsia" w:ascii="宋体" w:hAnsi="宋体" w:cs="宋体"/>
                <w:kern w:val="0"/>
                <w:szCs w:val="21"/>
                <w:highlight w:val="none"/>
                <w:lang w:val="en-US" w:eastAsia="zh-CN"/>
              </w:rPr>
              <w:t>9</w:t>
            </w:r>
          </w:p>
        </w:tc>
        <w:tc>
          <w:tcPr>
            <w:tcW w:w="1931" w:type="dxa"/>
            <w:noWrap w:val="0"/>
            <w:vAlign w:val="center"/>
          </w:tcPr>
          <w:p w14:paraId="73BFBDB6">
            <w:pPr>
              <w:widowControl/>
              <w:spacing w:line="360" w:lineRule="auto"/>
              <w:jc w:val="center"/>
              <w:rPr>
                <w:rFonts w:hint="eastAsia" w:ascii="宋体" w:hAnsi="宋体" w:cs="宋体"/>
                <w:bCs/>
                <w:kern w:val="0"/>
                <w:szCs w:val="21"/>
                <w:highlight w:val="none"/>
              </w:rPr>
            </w:pPr>
            <w:r>
              <w:rPr>
                <w:rFonts w:hint="eastAsia" w:ascii="宋体" w:hAnsi="宋体" w:cs="宋体"/>
                <w:bCs/>
                <w:kern w:val="0"/>
                <w:szCs w:val="21"/>
                <w:highlight w:val="none"/>
              </w:rPr>
              <w:t>质量保证措施</w:t>
            </w:r>
          </w:p>
        </w:tc>
        <w:tc>
          <w:tcPr>
            <w:tcW w:w="4746" w:type="dxa"/>
            <w:noWrap w:val="0"/>
            <w:vAlign w:val="center"/>
          </w:tcPr>
          <w:p w14:paraId="1EB85590">
            <w:pPr>
              <w:widowControl/>
              <w:spacing w:line="360" w:lineRule="auto"/>
              <w:jc w:val="left"/>
              <w:rPr>
                <w:rFonts w:hint="eastAsia" w:ascii="宋体" w:hAnsi="宋体" w:cs="宋体"/>
                <w:szCs w:val="21"/>
                <w:highlight w:val="none"/>
              </w:rPr>
            </w:pPr>
            <w:r>
              <w:rPr>
                <w:rFonts w:hint="eastAsia" w:ascii="宋体" w:hAnsi="宋体" w:cs="宋体"/>
                <w:szCs w:val="21"/>
                <w:highlight w:val="none"/>
              </w:rPr>
              <w:t>项目质量保障措施，施工过程质量应对措施。</w:t>
            </w:r>
          </w:p>
          <w:p w14:paraId="17BBE2EE">
            <w:pPr>
              <w:widowControl/>
              <w:spacing w:line="360" w:lineRule="auto"/>
              <w:jc w:val="left"/>
              <w:rPr>
                <w:rFonts w:ascii="宋体" w:hAnsi="宋体" w:cs="宋体"/>
                <w:bCs/>
                <w:kern w:val="0"/>
                <w:szCs w:val="21"/>
                <w:highlight w:val="none"/>
              </w:rPr>
            </w:pPr>
            <w:r>
              <w:rPr>
                <w:rFonts w:hint="eastAsia" w:ascii="宋体" w:hAnsi="宋体" w:cs="宋体"/>
                <w:szCs w:val="21"/>
                <w:highlight w:val="none"/>
              </w:rPr>
              <w:t>质量保证保障措施完备周全，应对措施科学合理的得</w:t>
            </w:r>
            <w:r>
              <w:rPr>
                <w:rFonts w:hint="eastAsia" w:ascii="宋体" w:hAnsi="宋体" w:cs="宋体"/>
                <w:szCs w:val="21"/>
                <w:highlight w:val="none"/>
                <w:lang w:val="en-US" w:eastAsia="zh-CN"/>
              </w:rPr>
              <w:t>4</w:t>
            </w:r>
            <w:r>
              <w:rPr>
                <w:rFonts w:hint="eastAsia" w:ascii="宋体" w:hAnsi="宋体" w:cs="宋体"/>
                <w:szCs w:val="21"/>
                <w:highlight w:val="none"/>
              </w:rPr>
              <w:t>分；质量保证措施完整，应对措施较为完善的得</w:t>
            </w:r>
            <w:r>
              <w:rPr>
                <w:rFonts w:hint="eastAsia" w:ascii="宋体" w:hAnsi="宋体" w:cs="宋体"/>
                <w:szCs w:val="21"/>
                <w:highlight w:val="none"/>
                <w:lang w:val="en-US" w:eastAsia="zh-CN"/>
              </w:rPr>
              <w:t>2</w:t>
            </w:r>
            <w:r>
              <w:rPr>
                <w:rFonts w:hint="eastAsia" w:ascii="宋体" w:hAnsi="宋体" w:cs="宋体"/>
                <w:szCs w:val="21"/>
                <w:highlight w:val="none"/>
              </w:rPr>
              <w:t>分；质量保证措施一般，应对措施不够完整的得</w:t>
            </w:r>
            <w:r>
              <w:rPr>
                <w:rFonts w:hint="eastAsia" w:ascii="宋体" w:hAnsi="宋体" w:cs="宋体"/>
                <w:szCs w:val="21"/>
                <w:highlight w:val="none"/>
                <w:lang w:val="en-US" w:eastAsia="zh-CN"/>
              </w:rPr>
              <w:t>1</w:t>
            </w:r>
            <w:r>
              <w:rPr>
                <w:rFonts w:hint="eastAsia" w:ascii="宋体" w:hAnsi="宋体" w:cs="宋体"/>
                <w:szCs w:val="21"/>
                <w:highlight w:val="none"/>
              </w:rPr>
              <w:t>分</w:t>
            </w:r>
            <w:r>
              <w:rPr>
                <w:rFonts w:hint="eastAsia" w:ascii="宋体" w:hAnsi="宋体" w:cs="宋体"/>
                <w:bCs/>
                <w:kern w:val="0"/>
                <w:szCs w:val="21"/>
                <w:highlight w:val="none"/>
                <w:lang w:eastAsia="zh-CN"/>
              </w:rPr>
              <w:t>；</w:t>
            </w:r>
            <w:r>
              <w:rPr>
                <w:rFonts w:hint="eastAsia" w:ascii="宋体" w:hAnsi="宋体" w:cs="宋体"/>
                <w:bCs/>
                <w:kern w:val="0"/>
                <w:szCs w:val="21"/>
                <w:highlight w:val="none"/>
              </w:rPr>
              <w:t>缺项不得分</w:t>
            </w:r>
            <w:r>
              <w:rPr>
                <w:rFonts w:hint="eastAsia" w:ascii="宋体" w:hAnsi="宋体" w:cs="宋体"/>
                <w:szCs w:val="21"/>
                <w:highlight w:val="none"/>
              </w:rPr>
              <w:t>。</w:t>
            </w:r>
          </w:p>
        </w:tc>
        <w:tc>
          <w:tcPr>
            <w:tcW w:w="1141" w:type="dxa"/>
            <w:noWrap w:val="0"/>
            <w:vAlign w:val="center"/>
          </w:tcPr>
          <w:p w14:paraId="2B2DEE41">
            <w:pPr>
              <w:spacing w:line="400" w:lineRule="exact"/>
              <w:jc w:val="center"/>
              <w:rPr>
                <w:rFonts w:hint="eastAsia" w:ascii="宋体" w:hAnsi="宋体" w:eastAsia="宋体" w:cs="宋体"/>
                <w:kern w:val="1"/>
                <w:szCs w:val="21"/>
                <w:highlight w:val="none"/>
                <w:lang w:eastAsia="zh-CN"/>
              </w:rPr>
            </w:pPr>
            <w:r>
              <w:rPr>
                <w:rFonts w:hint="eastAsia" w:ascii="宋体" w:hAnsi="宋体" w:cs="宋体"/>
                <w:kern w:val="1"/>
                <w:szCs w:val="21"/>
                <w:highlight w:val="none"/>
                <w:lang w:val="en-US" w:eastAsia="zh-CN"/>
              </w:rPr>
              <w:t>4</w:t>
            </w:r>
          </w:p>
        </w:tc>
      </w:tr>
      <w:tr w14:paraId="128698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7" w:hRule="atLeast"/>
          <w:jc w:val="center"/>
        </w:trPr>
        <w:tc>
          <w:tcPr>
            <w:tcW w:w="520" w:type="dxa"/>
            <w:noWrap w:val="0"/>
            <w:vAlign w:val="center"/>
          </w:tcPr>
          <w:p w14:paraId="77EBCE06">
            <w:pPr>
              <w:snapToGrid w:val="0"/>
              <w:spacing w:line="300" w:lineRule="exact"/>
              <w:rPr>
                <w:rFonts w:hint="default" w:ascii="Times New Roman" w:hAnsi="Times New Roman" w:eastAsia="宋体" w:cs="Times New Roman"/>
                <w:highlight w:val="none"/>
                <w:lang w:val="en-US" w:eastAsia="zh-CN"/>
              </w:rPr>
            </w:pPr>
            <w:r>
              <w:rPr>
                <w:rFonts w:hint="eastAsia" w:ascii="Times New Roman" w:hAnsi="Times New Roman" w:eastAsia="宋体" w:cs="Times New Roman"/>
                <w:highlight w:val="none"/>
                <w:lang w:val="en-US" w:eastAsia="zh-CN"/>
              </w:rPr>
              <w:t>10</w:t>
            </w:r>
          </w:p>
        </w:tc>
        <w:tc>
          <w:tcPr>
            <w:tcW w:w="1931" w:type="dxa"/>
            <w:noWrap w:val="0"/>
            <w:vAlign w:val="center"/>
          </w:tcPr>
          <w:p w14:paraId="29D540A0">
            <w:pPr>
              <w:snapToGrid w:val="0"/>
              <w:spacing w:line="300" w:lineRule="exact"/>
              <w:jc w:val="center"/>
              <w:rPr>
                <w:rFonts w:hint="eastAsia" w:ascii="Times New Roman" w:hAnsi="Times New Roman" w:eastAsia="宋体" w:cs="Times New Roman"/>
                <w:highlight w:val="none"/>
              </w:rPr>
            </w:pPr>
            <w:r>
              <w:rPr>
                <w:rFonts w:hint="eastAsia" w:ascii="Times New Roman" w:hAnsi="Times New Roman" w:eastAsia="宋体" w:cs="Times New Roman"/>
                <w:highlight w:val="none"/>
              </w:rPr>
              <w:t>价格</w:t>
            </w:r>
          </w:p>
        </w:tc>
        <w:tc>
          <w:tcPr>
            <w:tcW w:w="4746" w:type="dxa"/>
            <w:noWrap w:val="0"/>
            <w:vAlign w:val="center"/>
          </w:tcPr>
          <w:p w14:paraId="31C750F4">
            <w:pPr>
              <w:snapToGrid w:val="0"/>
              <w:spacing w:line="300" w:lineRule="exact"/>
              <w:jc w:val="left"/>
              <w:rPr>
                <w:rFonts w:hint="eastAsia" w:ascii="Times New Roman" w:hAnsi="Times New Roman" w:eastAsia="宋体" w:cs="Times New Roman"/>
                <w:highlight w:val="none"/>
              </w:rPr>
            </w:pPr>
            <w:r>
              <w:rPr>
                <w:rFonts w:hint="eastAsia" w:ascii="Times New Roman" w:hAnsi="Times New Roman" w:eastAsia="宋体" w:cs="Times New Roman"/>
                <w:highlight w:val="none"/>
              </w:rPr>
              <w:t>取投标合格供应商的投标最终报价最低价为基准价。基准价为</w:t>
            </w:r>
            <w:r>
              <w:rPr>
                <w:rFonts w:hint="eastAsia" w:cs="Times New Roman"/>
                <w:highlight w:val="none"/>
                <w:lang w:val="en-US" w:eastAsia="zh-CN"/>
              </w:rPr>
              <w:t>7</w:t>
            </w:r>
            <w:r>
              <w:rPr>
                <w:rFonts w:hint="eastAsia" w:ascii="Times New Roman" w:hAnsi="Times New Roman" w:eastAsia="宋体" w:cs="Times New Roman"/>
                <w:highlight w:val="none"/>
              </w:rPr>
              <w:t>0分。投标报价得分＝（评标基准价/最终投标报价）×</w:t>
            </w:r>
            <w:r>
              <w:rPr>
                <w:rFonts w:hint="eastAsia" w:cs="Times New Roman"/>
                <w:highlight w:val="none"/>
                <w:lang w:val="en-US" w:eastAsia="zh-CN"/>
              </w:rPr>
              <w:t>7</w:t>
            </w:r>
            <w:r>
              <w:rPr>
                <w:rFonts w:hint="eastAsia" w:ascii="Times New Roman" w:hAnsi="Times New Roman" w:eastAsia="宋体" w:cs="Times New Roman"/>
                <w:highlight w:val="none"/>
              </w:rPr>
              <w:t>0 %×100（小数点后保留2位小数）</w:t>
            </w:r>
          </w:p>
          <w:p w14:paraId="3780FA55">
            <w:pPr>
              <w:snapToGrid w:val="0"/>
              <w:spacing w:line="300" w:lineRule="exact"/>
              <w:jc w:val="left"/>
              <w:rPr>
                <w:rFonts w:hint="eastAsia" w:ascii="Times New Roman" w:hAnsi="Times New Roman" w:eastAsia="宋体" w:cs="Times New Roman"/>
                <w:highlight w:val="none"/>
              </w:rPr>
            </w:pPr>
            <w:r>
              <w:rPr>
                <w:rFonts w:hint="eastAsia" w:ascii="Times New Roman" w:hAnsi="Times New Roman" w:eastAsia="宋体" w:cs="Times New Roman"/>
                <w:highlight w:val="none"/>
              </w:rPr>
              <w:t>（注：本项目属于专门面向中小企业采购的项目均不给予价格扣除。）</w:t>
            </w:r>
          </w:p>
        </w:tc>
        <w:tc>
          <w:tcPr>
            <w:tcW w:w="1141" w:type="dxa"/>
            <w:noWrap w:val="0"/>
            <w:vAlign w:val="center"/>
          </w:tcPr>
          <w:p w14:paraId="5D8C6525">
            <w:pPr>
              <w:snapToGrid w:val="0"/>
              <w:spacing w:line="300" w:lineRule="exact"/>
              <w:jc w:val="center"/>
              <w:rPr>
                <w:rFonts w:hint="default" w:ascii="Times New Roman" w:hAnsi="Times New Roman" w:eastAsia="宋体" w:cs="Times New Roman"/>
                <w:highlight w:val="none"/>
                <w:lang w:val="en-US" w:eastAsia="zh-CN"/>
              </w:rPr>
            </w:pPr>
            <w:r>
              <w:rPr>
                <w:rFonts w:hint="eastAsia" w:cs="Times New Roman"/>
                <w:highlight w:val="none"/>
                <w:lang w:val="en-US" w:eastAsia="zh-CN"/>
              </w:rPr>
              <w:t>7</w:t>
            </w:r>
            <w:r>
              <w:rPr>
                <w:rFonts w:hint="eastAsia" w:ascii="Times New Roman" w:hAnsi="Times New Roman" w:eastAsia="宋体" w:cs="Times New Roman"/>
                <w:highlight w:val="none"/>
                <w:lang w:val="en-US" w:eastAsia="zh-CN"/>
              </w:rPr>
              <w:t>0</w:t>
            </w:r>
          </w:p>
        </w:tc>
      </w:tr>
    </w:tbl>
    <w:p w14:paraId="547E796C">
      <w:pPr>
        <w:spacing w:line="360" w:lineRule="auto"/>
        <w:ind w:firstLine="482" w:firstLineChars="200"/>
        <w:rPr>
          <w:rFonts w:ascii="宋体" w:hAnsi="宋体" w:cs="宋体"/>
          <w:color w:val="auto"/>
          <w:sz w:val="24"/>
          <w:highlight w:val="none"/>
        </w:rPr>
      </w:pPr>
      <w:r>
        <w:rPr>
          <w:rFonts w:hint="eastAsia" w:ascii="宋体" w:hAnsi="宋体" w:cs="宋体"/>
          <w:b/>
          <w:bCs/>
          <w:color w:val="auto"/>
          <w:sz w:val="24"/>
          <w:highlight w:val="none"/>
        </w:rPr>
        <w:t>2.最后报价</w:t>
      </w:r>
    </w:p>
    <w:p w14:paraId="7FA7C258">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磋商文件能够详细列明采购标的的技术、服务要求的，磋商结束后，磋商小组将要求所有实质性响应的供应商在规定时间内提交最后报价（二次报价为最终报价），最后报价是供应商响应文件的有效组成部分。</w:t>
      </w:r>
    </w:p>
    <w:p w14:paraId="770A244B">
      <w:pPr>
        <w:spacing w:line="360" w:lineRule="auto"/>
        <w:ind w:firstLine="484" w:firstLineChars="202"/>
        <w:jc w:val="left"/>
        <w:rPr>
          <w:rFonts w:hint="eastAsia" w:ascii="宋体" w:hAnsi="宋体" w:cs="宋体"/>
          <w:color w:val="auto"/>
          <w:sz w:val="24"/>
          <w:highlight w:val="none"/>
        </w:rPr>
      </w:pPr>
      <w:r>
        <w:rPr>
          <w:rFonts w:hint="eastAsia" w:ascii="宋体" w:hAnsi="宋体" w:cs="宋体"/>
          <w:color w:val="auto"/>
          <w:sz w:val="24"/>
          <w:highlight w:val="none"/>
          <w:lang w:val="en-US" w:eastAsia="zh-CN"/>
        </w:rPr>
        <w:t>注：</w:t>
      </w:r>
      <w:r>
        <w:rPr>
          <w:rFonts w:hint="eastAsia" w:ascii="宋体" w:hAnsi="宋体" w:cs="宋体"/>
          <w:b/>
          <w:color w:val="auto"/>
          <w:sz w:val="24"/>
          <w:highlight w:val="none"/>
        </w:rPr>
        <w:t>▲本项目采购人设置报价上限，上限价详见项目需求，投标报价（首次报价、</w:t>
      </w:r>
      <w:r>
        <w:rPr>
          <w:rFonts w:hint="eastAsia" w:ascii="宋体" w:hAnsi="宋体" w:cs="宋体"/>
          <w:b/>
          <w:color w:val="auto"/>
          <w:sz w:val="24"/>
          <w:highlight w:val="none"/>
          <w:lang w:val="zh-CN"/>
        </w:rPr>
        <w:t>最终报价均要符合要求</w:t>
      </w:r>
      <w:r>
        <w:rPr>
          <w:rFonts w:hint="eastAsia" w:ascii="宋体" w:hAnsi="宋体" w:cs="宋体"/>
          <w:b/>
          <w:color w:val="auto"/>
          <w:sz w:val="24"/>
          <w:highlight w:val="none"/>
        </w:rPr>
        <w:t>）高于上限价的，作无效标处理。</w:t>
      </w:r>
    </w:p>
    <w:p w14:paraId="0030FC9D">
      <w:pPr>
        <w:pStyle w:val="35"/>
        <w:spacing w:line="360" w:lineRule="auto"/>
        <w:ind w:firstLine="480" w:firstLineChars="200"/>
        <w:jc w:val="both"/>
        <w:rPr>
          <w:color w:val="auto"/>
          <w:highlight w:val="none"/>
        </w:rPr>
      </w:pPr>
      <w:r>
        <w:rPr>
          <w:rFonts w:hint="eastAsia" w:ascii="宋体" w:hAnsi="宋体" w:eastAsia="宋体" w:cs="宋体"/>
          <w:color w:val="auto"/>
          <w:sz w:val="24"/>
          <w:szCs w:val="24"/>
          <w:highlight w:val="none"/>
        </w:rPr>
        <w:t>（2）磋商文件不能详细列明采购标的的技术、服务要求的，需经磋商由供应商提供最终设计方案或解决方案的，磋商结束后，磋商小组按照少数服从多数的原则投票推荐3家以上供应商的设计方案或解决方案，并要求其在规定时间内提交最后报价。</w:t>
      </w:r>
    </w:p>
    <w:p w14:paraId="24717027">
      <w:pPr>
        <w:pStyle w:val="11"/>
        <w:snapToGrid w:val="0"/>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3.评审要求</w:t>
      </w:r>
    </w:p>
    <w:p w14:paraId="1F7B4A4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(1)磋商小组应当按照磋商文件中规定的评标方法和标准，对符合性审查合格的响应文件的商务部分和技术部分进行综合比较与评价，其中</w:t>
      </w:r>
      <w:r>
        <w:rPr>
          <w:rFonts w:hint="eastAsia" w:ascii="宋体"/>
          <w:bCs/>
          <w:color w:val="auto"/>
          <w:sz w:val="24"/>
          <w:highlight w:val="none"/>
          <w:lang w:val="zh-CN"/>
        </w:rPr>
        <w:t>客观</w:t>
      </w:r>
      <w:r>
        <w:rPr>
          <w:rFonts w:hint="eastAsia" w:ascii="宋体"/>
          <w:bCs/>
          <w:color w:val="auto"/>
          <w:sz w:val="24"/>
          <w:highlight w:val="none"/>
        </w:rPr>
        <w:t>评分项的分值</w:t>
      </w:r>
      <w:r>
        <w:rPr>
          <w:rFonts w:hint="eastAsia" w:ascii="宋体"/>
          <w:bCs/>
          <w:color w:val="auto"/>
          <w:sz w:val="24"/>
          <w:highlight w:val="none"/>
          <w:lang w:val="zh-CN"/>
        </w:rPr>
        <w:t>应当一致。</w:t>
      </w:r>
    </w:p>
    <w:p w14:paraId="46166D6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（2）对于磋商响应文件中含义不明确、同类问题表述不一致或者有明显文字和计算错误的内容，磋商小组应当要求供应商作出必要的澄清、说明或者补正。</w:t>
      </w:r>
    </w:p>
    <w:p w14:paraId="65FC7916">
      <w:pPr>
        <w:pStyle w:val="70"/>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（3）供应商的澄清（说明或者补正）采用书面形式，并加盖公章（电子印章）或者由法定代表人或授权代表签字，且不得超出磋商响应文件的范围或者改变磋商响应文件的实质性内容。</w:t>
      </w:r>
    </w:p>
    <w:p w14:paraId="4D153765">
      <w:pPr>
        <w:pStyle w:val="70"/>
        <w:spacing w:line="360" w:lineRule="auto"/>
        <w:ind w:firstLine="480"/>
        <w:rPr>
          <w:rFonts w:hint="eastAsia" w:hAnsi="宋体" w:cs="宋体"/>
          <w:color w:val="000000" w:themeColor="text1"/>
          <w:szCs w:val="24"/>
          <w:highlight w:val="none"/>
          <w14:textFill>
            <w14:solidFill>
              <w14:schemeClr w14:val="tx1"/>
            </w14:solidFill>
          </w14:textFill>
        </w:rPr>
      </w:pPr>
      <w:r>
        <w:rPr>
          <w:rFonts w:hint="eastAsia" w:hAnsi="宋体" w:cs="宋体"/>
          <w:color w:val="000000" w:themeColor="text1"/>
          <w:szCs w:val="24"/>
          <w:highlight w:val="none"/>
          <w14:textFill>
            <w14:solidFill>
              <w14:schemeClr w14:val="tx1"/>
            </w14:solidFill>
          </w14:textFill>
        </w:rPr>
        <w:t>（</w:t>
      </w:r>
      <w:r>
        <w:rPr>
          <w:rFonts w:hint="eastAsia" w:hAnsi="宋体" w:cs="宋体"/>
          <w:color w:val="000000" w:themeColor="text1"/>
          <w:szCs w:val="24"/>
          <w:highlight w:val="none"/>
          <w:lang w:val="en-US" w:eastAsia="zh-CN"/>
          <w14:textFill>
            <w14:solidFill>
              <w14:schemeClr w14:val="tx1"/>
            </w14:solidFill>
          </w14:textFill>
        </w:rPr>
        <w:t>4</w:t>
      </w:r>
      <w:r>
        <w:rPr>
          <w:rFonts w:hint="eastAsia" w:hAnsi="宋体" w:cs="宋体"/>
          <w:color w:val="000000" w:themeColor="text1"/>
          <w:szCs w:val="24"/>
          <w:highlight w:val="none"/>
          <w14:textFill>
            <w14:solidFill>
              <w14:schemeClr w14:val="tx1"/>
            </w14:solidFill>
          </w14:textFill>
        </w:rPr>
        <w:t>）对于投标文件报价出现前后不一致的，除采购文件另有规定外，按照下列规定修正：</w:t>
      </w:r>
    </w:p>
    <w:p w14:paraId="202807B4">
      <w:pPr>
        <w:pStyle w:val="70"/>
        <w:spacing w:line="360" w:lineRule="auto"/>
        <w:ind w:firstLine="480"/>
        <w:rPr>
          <w:rFonts w:hint="eastAsia" w:hAnsi="宋体" w:cs="宋体"/>
          <w:color w:val="000000" w:themeColor="text1"/>
          <w:szCs w:val="24"/>
          <w:highlight w:val="none"/>
          <w14:textFill>
            <w14:solidFill>
              <w14:schemeClr w14:val="tx1"/>
            </w14:solidFill>
          </w14:textFill>
        </w:rPr>
      </w:pPr>
      <w:r>
        <w:rPr>
          <w:rFonts w:hint="eastAsia" w:hAnsi="宋体" w:cs="宋体"/>
          <w:color w:val="000000" w:themeColor="text1"/>
          <w:szCs w:val="24"/>
          <w:highlight w:val="none"/>
          <w14:textFill>
            <w14:solidFill>
              <w14:schemeClr w14:val="tx1"/>
            </w14:solidFill>
          </w14:textFill>
        </w:rPr>
        <w:t>①“政采云平台”上开启的投标报价与电子投标文件中</w:t>
      </w:r>
      <w:r>
        <w:rPr>
          <w:rFonts w:hint="eastAsia" w:hAnsi="宋体" w:cs="宋体"/>
          <w:color w:val="000000" w:themeColor="text1"/>
          <w:szCs w:val="24"/>
          <w:highlight w:val="none"/>
          <w:lang w:val="en-US" w:eastAsia="zh-CN"/>
          <w14:textFill>
            <w14:solidFill>
              <w14:schemeClr w14:val="tx1"/>
            </w14:solidFill>
          </w14:textFill>
        </w:rPr>
        <w:t>首次磋商</w:t>
      </w:r>
      <w:r>
        <w:rPr>
          <w:rFonts w:hint="eastAsia" w:hAnsi="宋体" w:cs="宋体"/>
          <w:color w:val="000000" w:themeColor="text1"/>
          <w:szCs w:val="24"/>
          <w:highlight w:val="none"/>
          <w14:textFill>
            <w14:solidFill>
              <w14:schemeClr w14:val="tx1"/>
            </w14:solidFill>
          </w14:textFill>
        </w:rPr>
        <w:t>一览表（报价表）内容不一致的，以电子投标文件中</w:t>
      </w:r>
      <w:r>
        <w:rPr>
          <w:rFonts w:hint="eastAsia" w:hAnsi="宋体" w:cs="宋体"/>
          <w:color w:val="000000" w:themeColor="text1"/>
          <w:szCs w:val="24"/>
          <w:highlight w:val="none"/>
          <w:lang w:val="en-US" w:eastAsia="zh-CN"/>
          <w14:textFill>
            <w14:solidFill>
              <w14:schemeClr w14:val="tx1"/>
            </w14:solidFill>
          </w14:textFill>
        </w:rPr>
        <w:t>首次磋商</w:t>
      </w:r>
      <w:r>
        <w:rPr>
          <w:rFonts w:hint="eastAsia" w:hAnsi="宋体" w:cs="宋体"/>
          <w:color w:val="000000" w:themeColor="text1"/>
          <w:szCs w:val="24"/>
          <w:highlight w:val="none"/>
          <w14:textFill>
            <w14:solidFill>
              <w14:schemeClr w14:val="tx1"/>
            </w14:solidFill>
          </w14:textFill>
        </w:rPr>
        <w:t>一览表（报价表）为准；</w:t>
      </w:r>
    </w:p>
    <w:p w14:paraId="1C4D49C8">
      <w:pPr>
        <w:pStyle w:val="70"/>
        <w:spacing w:line="360" w:lineRule="auto"/>
        <w:ind w:firstLine="480"/>
        <w:rPr>
          <w:rFonts w:hint="eastAsia" w:hAnsi="宋体" w:cs="宋体"/>
          <w:color w:val="000000" w:themeColor="text1"/>
          <w:szCs w:val="24"/>
          <w:highlight w:val="none"/>
          <w14:textFill>
            <w14:solidFill>
              <w14:schemeClr w14:val="tx1"/>
            </w14:solidFill>
          </w14:textFill>
        </w:rPr>
      </w:pPr>
      <w:r>
        <w:rPr>
          <w:rFonts w:hint="eastAsia" w:hAnsi="宋体" w:cs="宋体"/>
          <w:color w:val="000000" w:themeColor="text1"/>
          <w:szCs w:val="24"/>
          <w:highlight w:val="none"/>
          <w14:textFill>
            <w14:solidFill>
              <w14:schemeClr w14:val="tx1"/>
            </w14:solidFill>
          </w14:textFill>
        </w:rPr>
        <w:t>②投标文件中开标一览表（报价表）内容与投标文件中相应内容不一致的，以</w:t>
      </w:r>
      <w:r>
        <w:rPr>
          <w:rFonts w:hint="eastAsia" w:hAnsi="宋体" w:cs="宋体"/>
          <w:color w:val="000000" w:themeColor="text1"/>
          <w:szCs w:val="24"/>
          <w:highlight w:val="none"/>
          <w:lang w:val="en-US" w:eastAsia="zh-CN"/>
          <w14:textFill>
            <w14:solidFill>
              <w14:schemeClr w14:val="tx1"/>
            </w14:solidFill>
          </w14:textFill>
        </w:rPr>
        <w:t>首次磋商</w:t>
      </w:r>
      <w:r>
        <w:rPr>
          <w:rFonts w:hint="eastAsia" w:hAnsi="宋体" w:cs="宋体"/>
          <w:color w:val="000000" w:themeColor="text1"/>
          <w:szCs w:val="24"/>
          <w:highlight w:val="none"/>
          <w14:textFill>
            <w14:solidFill>
              <w14:schemeClr w14:val="tx1"/>
            </w14:solidFill>
          </w14:textFill>
        </w:rPr>
        <w:t>一览表（报价表）为准；</w:t>
      </w:r>
    </w:p>
    <w:p w14:paraId="7630F838">
      <w:pPr>
        <w:pStyle w:val="70"/>
        <w:spacing w:line="360" w:lineRule="auto"/>
        <w:ind w:firstLine="480"/>
        <w:rPr>
          <w:rFonts w:hint="eastAsia" w:hAnsi="宋体" w:cs="宋体"/>
          <w:color w:val="000000" w:themeColor="text1"/>
          <w:szCs w:val="24"/>
          <w:highlight w:val="none"/>
          <w14:textFill>
            <w14:solidFill>
              <w14:schemeClr w14:val="tx1"/>
            </w14:solidFill>
          </w14:textFill>
        </w:rPr>
      </w:pPr>
      <w:r>
        <w:rPr>
          <w:rFonts w:hint="eastAsia" w:hAnsi="宋体" w:cs="宋体"/>
          <w:color w:val="000000" w:themeColor="text1"/>
          <w:szCs w:val="24"/>
          <w:highlight w:val="none"/>
          <w14:textFill>
            <w14:solidFill>
              <w14:schemeClr w14:val="tx1"/>
            </w14:solidFill>
          </w14:textFill>
        </w:rPr>
        <w:t>③大写金额和小写金额不一致的，以大写金额为准；</w:t>
      </w:r>
    </w:p>
    <w:p w14:paraId="5F365F4D">
      <w:pPr>
        <w:pStyle w:val="70"/>
        <w:spacing w:line="360" w:lineRule="auto"/>
        <w:ind w:firstLine="480"/>
        <w:rPr>
          <w:rFonts w:hint="eastAsia" w:hAnsi="宋体" w:cs="宋体"/>
          <w:color w:val="000000" w:themeColor="text1"/>
          <w:szCs w:val="24"/>
          <w:highlight w:val="none"/>
          <w14:textFill>
            <w14:solidFill>
              <w14:schemeClr w14:val="tx1"/>
            </w14:solidFill>
          </w14:textFill>
        </w:rPr>
      </w:pPr>
      <w:r>
        <w:rPr>
          <w:rFonts w:hint="eastAsia" w:hAnsi="宋体" w:cs="宋体"/>
          <w:color w:val="000000" w:themeColor="text1"/>
          <w:szCs w:val="24"/>
          <w:highlight w:val="none"/>
          <w14:textFill>
            <w14:solidFill>
              <w14:schemeClr w14:val="tx1"/>
            </w14:solidFill>
          </w14:textFill>
        </w:rPr>
        <w:t>④单价金额小数点或者百分比有明显错位的，以</w:t>
      </w:r>
      <w:r>
        <w:rPr>
          <w:rFonts w:hint="eastAsia" w:hAnsi="宋体" w:cs="宋体"/>
          <w:color w:val="000000" w:themeColor="text1"/>
          <w:szCs w:val="24"/>
          <w:highlight w:val="none"/>
          <w:lang w:val="en-US" w:eastAsia="zh-CN"/>
          <w14:textFill>
            <w14:solidFill>
              <w14:schemeClr w14:val="tx1"/>
            </w14:solidFill>
          </w14:textFill>
        </w:rPr>
        <w:t>首次磋商</w:t>
      </w:r>
      <w:r>
        <w:rPr>
          <w:rFonts w:hint="eastAsia" w:hAnsi="宋体" w:cs="宋体"/>
          <w:color w:val="000000" w:themeColor="text1"/>
          <w:szCs w:val="24"/>
          <w:highlight w:val="none"/>
          <w14:textFill>
            <w14:solidFill>
              <w14:schemeClr w14:val="tx1"/>
            </w14:solidFill>
          </w14:textFill>
        </w:rPr>
        <w:t>一览表的总价为准，并修改单价；</w:t>
      </w:r>
    </w:p>
    <w:p w14:paraId="21288DFB">
      <w:pPr>
        <w:pStyle w:val="70"/>
        <w:spacing w:line="360" w:lineRule="auto"/>
        <w:ind w:firstLine="480"/>
        <w:rPr>
          <w:rFonts w:hint="eastAsia" w:hAnsi="宋体" w:cs="宋体"/>
          <w:color w:val="000000" w:themeColor="text1"/>
          <w:szCs w:val="24"/>
          <w:highlight w:val="none"/>
          <w14:textFill>
            <w14:solidFill>
              <w14:schemeClr w14:val="tx1"/>
            </w14:solidFill>
          </w14:textFill>
        </w:rPr>
      </w:pPr>
      <w:r>
        <w:rPr>
          <w:rFonts w:hint="eastAsia" w:hAnsi="宋体" w:cs="宋体"/>
          <w:color w:val="000000" w:themeColor="text1"/>
          <w:szCs w:val="24"/>
          <w:highlight w:val="none"/>
          <w14:textFill>
            <w14:solidFill>
              <w14:schemeClr w14:val="tx1"/>
            </w14:solidFill>
          </w14:textFill>
        </w:rPr>
        <w:fldChar w:fldCharType="begin"/>
      </w:r>
      <w:r>
        <w:rPr>
          <w:rFonts w:hint="eastAsia" w:hAnsi="宋体" w:cs="宋体"/>
          <w:color w:val="000000" w:themeColor="text1"/>
          <w:szCs w:val="24"/>
          <w:highlight w:val="none"/>
          <w14:textFill>
            <w14:solidFill>
              <w14:schemeClr w14:val="tx1"/>
            </w14:solidFill>
          </w14:textFill>
        </w:rPr>
        <w:instrText xml:space="preserve"> = 5 \* GB3 \* MERGEFORMAT </w:instrText>
      </w:r>
      <w:r>
        <w:rPr>
          <w:rFonts w:hint="eastAsia" w:hAnsi="宋体" w:cs="宋体"/>
          <w:color w:val="000000" w:themeColor="text1"/>
          <w:szCs w:val="24"/>
          <w:highlight w:val="none"/>
          <w14:textFill>
            <w14:solidFill>
              <w14:schemeClr w14:val="tx1"/>
            </w14:solidFill>
          </w14:textFill>
        </w:rPr>
        <w:fldChar w:fldCharType="separate"/>
      </w:r>
      <w:r>
        <w:rPr>
          <w:rFonts w:hint="eastAsia" w:hAnsi="宋体" w:cs="宋体"/>
          <w:color w:val="000000" w:themeColor="text1"/>
          <w:szCs w:val="24"/>
          <w:highlight w:val="none"/>
          <w14:textFill>
            <w14:solidFill>
              <w14:schemeClr w14:val="tx1"/>
            </w14:solidFill>
          </w14:textFill>
        </w:rPr>
        <w:t>⑤</w:t>
      </w:r>
      <w:r>
        <w:rPr>
          <w:rFonts w:hint="eastAsia" w:hAnsi="宋体" w:cs="宋体"/>
          <w:color w:val="000000" w:themeColor="text1"/>
          <w:szCs w:val="24"/>
          <w:highlight w:val="none"/>
          <w14:textFill>
            <w14:solidFill>
              <w14:schemeClr w14:val="tx1"/>
            </w14:solidFill>
          </w14:textFill>
        </w:rPr>
        <w:fldChar w:fldCharType="end"/>
      </w:r>
      <w:r>
        <w:rPr>
          <w:rFonts w:hint="eastAsia" w:hAnsi="宋体" w:cs="宋体"/>
          <w:color w:val="000000" w:themeColor="text1"/>
          <w:szCs w:val="24"/>
          <w:highlight w:val="none"/>
          <w14:textFill>
            <w14:solidFill>
              <w14:schemeClr w14:val="tx1"/>
            </w14:solidFill>
          </w14:textFill>
        </w:rPr>
        <w:t>总价金额与按单价汇总金额不一致的，以单价金额计算结果为准。</w:t>
      </w:r>
    </w:p>
    <w:p w14:paraId="15C03FFF">
      <w:pPr>
        <w:pStyle w:val="70"/>
        <w:spacing w:line="360" w:lineRule="auto"/>
        <w:ind w:firstLine="480"/>
        <w:rPr>
          <w:rFonts w:hint="eastAsia" w:hAnsi="宋体" w:cs="宋体"/>
          <w:color w:val="000000" w:themeColor="text1"/>
          <w:szCs w:val="24"/>
          <w:highlight w:val="none"/>
          <w14:textFill>
            <w14:solidFill>
              <w14:schemeClr w14:val="tx1"/>
            </w14:solidFill>
          </w14:textFill>
        </w:rPr>
      </w:pPr>
      <w:r>
        <w:rPr>
          <w:rFonts w:hint="eastAsia" w:hAnsi="宋体" w:cs="宋体"/>
          <w:color w:val="000000" w:themeColor="text1"/>
          <w:szCs w:val="24"/>
          <w:highlight w:val="none"/>
          <w14:textFill>
            <w14:solidFill>
              <w14:schemeClr w14:val="tx1"/>
            </w14:solidFill>
          </w14:textFill>
        </w:rPr>
        <w:t>同时出现两种以上不一致的，按照前款规定的顺序修正。修正应当采用询标的形式，并加盖公章。</w:t>
      </w:r>
    </w:p>
    <w:p w14:paraId="2E9A951E">
      <w:pPr>
        <w:pStyle w:val="70"/>
        <w:spacing w:line="360" w:lineRule="auto"/>
        <w:ind w:firstLine="480"/>
        <w:rPr>
          <w:rFonts w:hAnsi="宋体" w:cs="宋体"/>
          <w:color w:val="000000" w:themeColor="text1"/>
          <w:highlight w:val="none"/>
          <w14:textFill>
            <w14:solidFill>
              <w14:schemeClr w14:val="tx1"/>
            </w14:solidFill>
          </w14:textFill>
        </w:rPr>
      </w:pPr>
      <w:r>
        <w:rPr>
          <w:rFonts w:hint="eastAsia" w:hAnsi="宋体" w:cs="宋体"/>
          <w:color w:val="000000" w:themeColor="text1"/>
          <w:szCs w:val="24"/>
          <w:highlight w:val="none"/>
          <w14:textFill>
            <w14:solidFill>
              <w14:schemeClr w14:val="tx1"/>
            </w14:solidFill>
          </w14:textFill>
        </w:rPr>
        <w:t>（</w:t>
      </w:r>
      <w:r>
        <w:rPr>
          <w:rFonts w:hint="eastAsia" w:hAnsi="宋体" w:cs="宋体"/>
          <w:color w:val="000000" w:themeColor="text1"/>
          <w:szCs w:val="24"/>
          <w:highlight w:val="none"/>
          <w:lang w:val="en-US" w:eastAsia="zh-CN"/>
          <w14:textFill>
            <w14:solidFill>
              <w14:schemeClr w14:val="tx1"/>
            </w14:solidFill>
          </w14:textFill>
        </w:rPr>
        <w:t>5</w:t>
      </w:r>
      <w:r>
        <w:rPr>
          <w:rFonts w:hint="eastAsia" w:hAnsi="宋体" w:cs="宋体"/>
          <w:color w:val="000000" w:themeColor="text1"/>
          <w:szCs w:val="24"/>
          <w:highlight w:val="none"/>
          <w14:textFill>
            <w14:solidFill>
              <w14:schemeClr w14:val="tx1"/>
            </w14:solidFill>
          </w14:textFill>
        </w:rPr>
        <w:t>）评标委员会认为供应商的报价明显低于其他通过符合性审查供应商的报价，有可能影响产品质量或者不能诚信履约的，应当要求其在评标现场合理的时间内提供书面说明，必要时提交相关证明材料；</w:t>
      </w:r>
      <w:r>
        <w:rPr>
          <w:rFonts w:hint="eastAsia" w:hAnsi="宋体" w:cs="宋体"/>
          <w:color w:val="000000" w:themeColor="text1"/>
          <w:szCs w:val="24"/>
          <w:highlight w:val="none"/>
          <w:lang w:val="en-US" w:eastAsia="zh-CN"/>
          <w14:textFill>
            <w14:solidFill>
              <w14:schemeClr w14:val="tx1"/>
            </w14:solidFill>
          </w14:textFill>
        </w:rPr>
        <w:t>▲</w:t>
      </w:r>
      <w:r>
        <w:rPr>
          <w:rFonts w:hint="eastAsia" w:hAnsi="宋体" w:cs="宋体"/>
          <w:color w:val="000000" w:themeColor="text1"/>
          <w:szCs w:val="24"/>
          <w:highlight w:val="none"/>
          <w14:textFill>
            <w14:solidFill>
              <w14:schemeClr w14:val="tx1"/>
            </w14:solidFill>
          </w14:textFill>
        </w:rPr>
        <w:t>供应商不能证明其报价合理性的，评标委员会应当将其作为无效投标处理。</w:t>
      </w:r>
    </w:p>
    <w:p w14:paraId="28DEE2B8">
      <w:pPr>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（四）结果汇总及排序</w:t>
      </w:r>
    </w:p>
    <w:p w14:paraId="6FE6A9D5">
      <w:pPr>
        <w:spacing w:line="360" w:lineRule="auto"/>
        <w:ind w:left="420"/>
        <w:rPr>
          <w:rFonts w:ascii="宋体" w:hAnsi="宋体" w:cs="宋体"/>
          <w:bCs/>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评标总得分的确定：</w:t>
      </w:r>
    </w:p>
    <w:p w14:paraId="06AB6A85">
      <w:pPr>
        <w:spacing w:line="360" w:lineRule="auto"/>
        <w:ind w:left="420"/>
        <w:rPr>
          <w:rFonts w:ascii="宋体" w:hAnsi="宋体" w:cs="宋体"/>
          <w:bCs/>
          <w:color w:val="000000" w:themeColor="text1"/>
          <w:sz w:val="24"/>
          <w:highlight w:val="none"/>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供应商的总得分＝商务与技术文件得分+报价文件得分。</w:t>
      </w:r>
    </w:p>
    <w:p w14:paraId="509CF52B">
      <w:pPr>
        <w:spacing w:line="360" w:lineRule="auto"/>
        <w:ind w:left="420"/>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中标候选人的确定：</w:t>
      </w:r>
    </w:p>
    <w:p w14:paraId="5BF9856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经磋商确定最终采购需求和提交最后报价的供应商后，由磋商小组采用综合评分法对提交最后报价的供应商的响应文件和最后报价进行综合比较与评价。根据综合评分情况，按评审得分由高到低顺序推荐3名成交候选供应商。评审得分相同的，按照最后报价由高到低的顺序推荐。评审得分且最后投标报价相同的，</w:t>
      </w:r>
      <w:r>
        <w:rPr>
          <w:rFonts w:hint="eastAsia" w:ascii="宋体" w:hAnsi="宋体"/>
          <w:color w:val="auto"/>
          <w:sz w:val="24"/>
          <w:highlight w:val="none"/>
          <w:lang w:val="zh-CN"/>
        </w:rPr>
        <w:t>则</w:t>
      </w:r>
      <w:r>
        <w:rPr>
          <w:rFonts w:hint="eastAsia" w:ascii="宋体" w:hAnsi="宋体"/>
          <w:color w:val="auto"/>
          <w:sz w:val="24"/>
          <w:highlight w:val="none"/>
          <w:lang w:val="en-US" w:eastAsia="zh-CN"/>
        </w:rPr>
        <w:t>由采购人</w:t>
      </w:r>
      <w:r>
        <w:rPr>
          <w:rFonts w:hint="eastAsia" w:ascii="宋体" w:hAnsi="宋体"/>
          <w:color w:val="auto"/>
          <w:sz w:val="24"/>
          <w:highlight w:val="none"/>
          <w:lang w:val="zh-CN"/>
        </w:rPr>
        <w:t>抽签确定</w:t>
      </w:r>
      <w:r>
        <w:rPr>
          <w:rFonts w:hint="eastAsia" w:ascii="宋体" w:hAnsi="宋体" w:cs="宋体"/>
          <w:color w:val="auto"/>
          <w:sz w:val="24"/>
          <w:highlight w:val="none"/>
        </w:rPr>
        <w:t>顺序推荐。</w:t>
      </w:r>
    </w:p>
    <w:p w14:paraId="4BC92459">
      <w:pPr>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（五）编写评审报告</w:t>
      </w:r>
    </w:p>
    <w:p w14:paraId="1688FBA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磋商小组根据全体评审人员签字的原始记录和得分情况编写评审报告。</w:t>
      </w:r>
    </w:p>
    <w:p w14:paraId="7D1ABAA2">
      <w:pPr>
        <w:spacing w:line="360" w:lineRule="auto"/>
        <w:jc w:val="center"/>
        <w:outlineLvl w:val="0"/>
        <w:rPr>
          <w:rFonts w:asciiTheme="minorEastAsia" w:hAnsiTheme="minorEastAsia" w:eastAsiaTheme="minorEastAsia"/>
          <w:b/>
          <w:color w:val="auto"/>
          <w:sz w:val="36"/>
          <w:szCs w:val="36"/>
          <w:highlight w:val="none"/>
        </w:rPr>
      </w:pPr>
      <w:bookmarkStart w:id="41" w:name="_Toc21781"/>
    </w:p>
    <w:p w14:paraId="3C16B24A">
      <w:pPr>
        <w:spacing w:line="360" w:lineRule="auto"/>
        <w:jc w:val="center"/>
        <w:outlineLvl w:val="0"/>
        <w:rPr>
          <w:rFonts w:asciiTheme="minorEastAsia" w:hAnsiTheme="minorEastAsia" w:eastAsiaTheme="minorEastAsia"/>
          <w:b/>
          <w:color w:val="auto"/>
          <w:sz w:val="36"/>
          <w:szCs w:val="36"/>
          <w:highlight w:val="none"/>
        </w:rPr>
        <w:sectPr>
          <w:pgSz w:w="11906" w:h="16838"/>
          <w:pgMar w:top="1440" w:right="1418" w:bottom="1440" w:left="1418" w:header="851" w:footer="851" w:gutter="0"/>
          <w:cols w:space="720" w:num="1"/>
          <w:docGrid w:linePitch="312" w:charSpace="0"/>
        </w:sectPr>
      </w:pPr>
    </w:p>
    <w:bookmarkEnd w:id="41"/>
    <w:p w14:paraId="526ABC24">
      <w:pPr>
        <w:tabs>
          <w:tab w:val="left" w:pos="180"/>
          <w:tab w:val="left" w:pos="360"/>
          <w:tab w:val="left" w:pos="540"/>
          <w:tab w:val="left" w:pos="8280"/>
        </w:tabs>
        <w:autoSpaceDE w:val="0"/>
        <w:autoSpaceDN w:val="0"/>
        <w:adjustRightInd w:val="0"/>
        <w:spacing w:line="360" w:lineRule="auto"/>
        <w:ind w:right="23"/>
        <w:jc w:val="center"/>
        <w:outlineLvl w:val="0"/>
        <w:rPr>
          <w:rFonts w:ascii="宋体" w:hAnsi="宋体"/>
          <w:b/>
          <w:sz w:val="36"/>
          <w:szCs w:val="36"/>
          <w:highlight w:val="none"/>
        </w:rPr>
      </w:pPr>
      <w:bookmarkStart w:id="42" w:name="_Toc5481_WPSOffice_Level1"/>
      <w:r>
        <w:rPr>
          <w:rFonts w:hint="eastAsia" w:ascii="宋体" w:hAnsi="宋体"/>
          <w:b/>
          <w:sz w:val="36"/>
          <w:szCs w:val="36"/>
          <w:highlight w:val="none"/>
        </w:rPr>
        <w:t>合同主要条款</w:t>
      </w:r>
    </w:p>
    <w:p w14:paraId="0DE93332">
      <w:pPr>
        <w:keepLines/>
        <w:widowControl/>
        <w:autoSpaceDE w:val="0"/>
        <w:autoSpaceDN w:val="0"/>
        <w:adjustRightInd w:val="0"/>
        <w:snapToGrid w:val="0"/>
        <w:spacing w:before="120" w:beforeLines="50" w:line="360" w:lineRule="auto"/>
        <w:jc w:val="center"/>
        <w:textAlignment w:val="baseline"/>
        <w:outlineLvl w:val="2"/>
        <w:rPr>
          <w:rFonts w:ascii="宋体" w:hAnsi="宋体" w:cs="Arial"/>
          <w:b/>
          <w:sz w:val="24"/>
          <w:szCs w:val="20"/>
          <w:highlight w:val="none"/>
        </w:rPr>
      </w:pPr>
      <w:bookmarkStart w:id="43" w:name="_Toc403733988"/>
      <w:bookmarkStart w:id="44" w:name="_Toc138599273"/>
      <w:bookmarkStart w:id="45" w:name="_Toc413830630"/>
      <w:bookmarkStart w:id="46" w:name="_Toc270512726"/>
      <w:r>
        <w:rPr>
          <w:rFonts w:ascii="宋体" w:hAnsi="宋体" w:cs="Arial"/>
          <w:b/>
          <w:sz w:val="24"/>
          <w:szCs w:val="20"/>
          <w:highlight w:val="none"/>
        </w:rPr>
        <w:t>第1节 通用合同条款</w:t>
      </w:r>
      <w:bookmarkEnd w:id="43"/>
      <w:bookmarkEnd w:id="44"/>
      <w:bookmarkEnd w:id="45"/>
      <w:bookmarkEnd w:id="46"/>
    </w:p>
    <w:p w14:paraId="58EEBB12">
      <w:pPr>
        <w:autoSpaceDE w:val="0"/>
        <w:autoSpaceDN w:val="0"/>
        <w:adjustRightInd w:val="0"/>
        <w:snapToGrid w:val="0"/>
        <w:spacing w:line="360" w:lineRule="auto"/>
        <w:ind w:firstLine="420" w:firstLineChars="200"/>
        <w:textAlignment w:val="baseline"/>
        <w:rPr>
          <w:rFonts w:ascii="宋体" w:hAnsi="宋体"/>
          <w:kern w:val="0"/>
          <w:szCs w:val="21"/>
          <w:highlight w:val="none"/>
        </w:rPr>
      </w:pPr>
      <w:r>
        <w:rPr>
          <w:rFonts w:ascii="宋体" w:hAnsi="宋体"/>
          <w:kern w:val="0"/>
          <w:szCs w:val="21"/>
          <w:highlight w:val="none"/>
        </w:rPr>
        <w:t>通用合同条款使用</w:t>
      </w:r>
      <w:r>
        <w:rPr>
          <w:rFonts w:hint="eastAsia" w:ascii="宋体" w:hAnsi="宋体"/>
          <w:kern w:val="0"/>
          <w:szCs w:val="21"/>
          <w:highlight w:val="none"/>
        </w:rPr>
        <w:t>浙水建【202</w:t>
      </w:r>
      <w:r>
        <w:rPr>
          <w:rFonts w:ascii="宋体" w:hAnsi="宋体"/>
          <w:kern w:val="0"/>
          <w:szCs w:val="21"/>
          <w:highlight w:val="none"/>
        </w:rPr>
        <w:t>4</w:t>
      </w:r>
      <w:r>
        <w:rPr>
          <w:rFonts w:hint="eastAsia" w:ascii="宋体" w:hAnsi="宋体"/>
          <w:kern w:val="0"/>
          <w:szCs w:val="21"/>
          <w:highlight w:val="none"/>
        </w:rPr>
        <w:t>】</w:t>
      </w:r>
      <w:r>
        <w:rPr>
          <w:rFonts w:ascii="宋体" w:hAnsi="宋体"/>
          <w:kern w:val="0"/>
          <w:szCs w:val="21"/>
          <w:highlight w:val="none"/>
        </w:rPr>
        <w:t>1</w:t>
      </w:r>
      <w:r>
        <w:rPr>
          <w:rFonts w:hint="eastAsia" w:ascii="宋体" w:hAnsi="宋体"/>
          <w:kern w:val="0"/>
          <w:szCs w:val="21"/>
          <w:highlight w:val="none"/>
        </w:rPr>
        <w:t>号文</w:t>
      </w:r>
      <w:r>
        <w:rPr>
          <w:rFonts w:ascii="宋体" w:hAnsi="宋体"/>
          <w:kern w:val="0"/>
          <w:szCs w:val="21"/>
          <w:highlight w:val="none"/>
        </w:rPr>
        <w:t>《浙江省水利水电工程施工招标文件示范文本》中的第四章第</w:t>
      </w:r>
      <w:r>
        <w:rPr>
          <w:rFonts w:hint="eastAsia" w:ascii="宋体" w:hAnsi="宋体"/>
          <w:kern w:val="0"/>
          <w:szCs w:val="21"/>
          <w:highlight w:val="none"/>
        </w:rPr>
        <w:t>1节</w:t>
      </w:r>
      <w:r>
        <w:rPr>
          <w:rFonts w:ascii="宋体" w:hAnsi="宋体"/>
          <w:kern w:val="0"/>
          <w:szCs w:val="21"/>
          <w:highlight w:val="none"/>
        </w:rPr>
        <w:t>通用合同条款。</w:t>
      </w:r>
    </w:p>
    <w:p w14:paraId="2DF93F82">
      <w:pPr>
        <w:keepLines/>
        <w:widowControl/>
        <w:autoSpaceDE w:val="0"/>
        <w:autoSpaceDN w:val="0"/>
        <w:adjustRightInd w:val="0"/>
        <w:snapToGrid w:val="0"/>
        <w:spacing w:before="120" w:beforeLines="50" w:line="360" w:lineRule="auto"/>
        <w:jc w:val="center"/>
        <w:textAlignment w:val="baseline"/>
        <w:outlineLvl w:val="2"/>
        <w:rPr>
          <w:rFonts w:ascii="宋体" w:hAnsi="宋体" w:cs="Arial"/>
          <w:b/>
          <w:sz w:val="24"/>
          <w:szCs w:val="20"/>
          <w:highlight w:val="none"/>
        </w:rPr>
      </w:pPr>
      <w:bookmarkStart w:id="47" w:name="_Toc270512727"/>
      <w:bookmarkStart w:id="48" w:name="_Toc403733989"/>
      <w:bookmarkStart w:id="49" w:name="_Toc138599274"/>
      <w:bookmarkStart w:id="50" w:name="_Toc413830631"/>
      <w:r>
        <w:rPr>
          <w:rFonts w:ascii="宋体" w:hAnsi="宋体" w:cs="Arial"/>
          <w:b/>
          <w:sz w:val="24"/>
          <w:szCs w:val="20"/>
          <w:highlight w:val="none"/>
        </w:rPr>
        <w:t>第2节 专用合同条款</w:t>
      </w:r>
      <w:bookmarkEnd w:id="47"/>
      <w:bookmarkEnd w:id="48"/>
      <w:bookmarkEnd w:id="49"/>
      <w:bookmarkEnd w:id="50"/>
    </w:p>
    <w:p w14:paraId="73ED4645">
      <w:pPr>
        <w:autoSpaceDE w:val="0"/>
        <w:autoSpaceDN w:val="0"/>
        <w:adjustRightInd w:val="0"/>
        <w:ind w:firstLine="488"/>
        <w:textAlignment w:val="baseline"/>
        <w:rPr>
          <w:kern w:val="0"/>
          <w:sz w:val="24"/>
          <w:szCs w:val="20"/>
          <w:highlight w:val="none"/>
        </w:rPr>
      </w:pPr>
    </w:p>
    <w:p w14:paraId="020C0356">
      <w:pPr>
        <w:keepLines/>
        <w:widowControl/>
        <w:autoSpaceDE w:val="0"/>
        <w:autoSpaceDN w:val="0"/>
        <w:adjustRightInd w:val="0"/>
        <w:snapToGrid w:val="0"/>
        <w:spacing w:line="420" w:lineRule="exact"/>
        <w:jc w:val="left"/>
        <w:textAlignment w:val="baseline"/>
        <w:outlineLvl w:val="3"/>
        <w:rPr>
          <w:rFonts w:ascii="宋体" w:hAnsi="宋体"/>
          <w:b/>
          <w:snapToGrid w:val="0"/>
          <w:kern w:val="0"/>
          <w:szCs w:val="21"/>
          <w:highlight w:val="none"/>
        </w:rPr>
      </w:pPr>
      <w:r>
        <w:rPr>
          <w:rFonts w:ascii="宋体" w:hAnsi="宋体"/>
          <w:snapToGrid w:val="0"/>
          <w:kern w:val="0"/>
          <w:szCs w:val="21"/>
          <w:highlight w:val="none"/>
        </w:rPr>
        <w:t>1 一般约定</w:t>
      </w:r>
    </w:p>
    <w:p w14:paraId="20783F5B">
      <w:pPr>
        <w:keepNext/>
        <w:keepLines/>
        <w:numPr>
          <w:ilvl w:val="4"/>
          <w:numId w:val="0"/>
        </w:numPr>
        <w:tabs>
          <w:tab w:val="left" w:pos="0"/>
        </w:tabs>
        <w:suppressAutoHyphens/>
        <w:snapToGrid w:val="0"/>
        <w:spacing w:line="420" w:lineRule="exact"/>
        <w:outlineLvl w:val="4"/>
        <w:rPr>
          <w:rFonts w:ascii="宋体" w:hAnsi="宋体"/>
          <w:b/>
          <w:spacing w:val="20"/>
          <w:szCs w:val="21"/>
          <w:highlight w:val="none"/>
        </w:rPr>
      </w:pPr>
      <w:r>
        <w:rPr>
          <w:rFonts w:ascii="宋体" w:hAnsi="宋体"/>
          <w:snapToGrid w:val="0"/>
          <w:szCs w:val="21"/>
          <w:highlight w:val="none"/>
        </w:rPr>
        <w:t>1.1 词语定义</w:t>
      </w:r>
    </w:p>
    <w:p w14:paraId="4824F415">
      <w:pPr>
        <w:autoSpaceDE w:val="0"/>
        <w:autoSpaceDN w:val="0"/>
        <w:adjustRightInd w:val="0"/>
        <w:snapToGrid w:val="0"/>
        <w:spacing w:line="420" w:lineRule="exact"/>
        <w:ind w:firstLine="480"/>
        <w:textAlignment w:val="baseline"/>
        <w:rPr>
          <w:rFonts w:ascii="宋体" w:hAnsi="宋体"/>
          <w:kern w:val="0"/>
          <w:szCs w:val="21"/>
          <w:highlight w:val="none"/>
        </w:rPr>
      </w:pPr>
      <w:r>
        <w:rPr>
          <w:rFonts w:ascii="宋体" w:hAnsi="宋体"/>
          <w:kern w:val="0"/>
          <w:szCs w:val="21"/>
          <w:highlight w:val="none"/>
        </w:rPr>
        <w:t>1.1.2 合同当事人和人员</w:t>
      </w:r>
    </w:p>
    <w:p w14:paraId="5D087993">
      <w:pPr>
        <w:tabs>
          <w:tab w:val="left" w:pos="360"/>
        </w:tabs>
        <w:autoSpaceDE w:val="0"/>
        <w:autoSpaceDN w:val="0"/>
        <w:adjustRightInd w:val="0"/>
        <w:snapToGrid w:val="0"/>
        <w:spacing w:line="420" w:lineRule="exact"/>
        <w:ind w:firstLine="480"/>
        <w:textAlignment w:val="baseline"/>
        <w:rPr>
          <w:rFonts w:ascii="宋体" w:hAnsi="宋体"/>
          <w:kern w:val="0"/>
          <w:szCs w:val="21"/>
          <w:highlight w:val="none"/>
        </w:rPr>
      </w:pPr>
      <w:r>
        <w:rPr>
          <w:rFonts w:ascii="宋体" w:hAnsi="宋体"/>
          <w:kern w:val="0"/>
          <w:szCs w:val="21"/>
          <w:highlight w:val="none"/>
        </w:rPr>
        <w:t>1.1.2.2 发包人：</w:t>
      </w:r>
      <w:r>
        <w:rPr>
          <w:rFonts w:hint="eastAsia" w:ascii="宋体" w:hAnsi="宋体"/>
          <w:kern w:val="0"/>
          <w:szCs w:val="21"/>
          <w:highlight w:val="none"/>
          <w:u w:val="single"/>
        </w:rPr>
        <w:t>台州市椒江区人民政府前所街道办事处</w:t>
      </w:r>
      <w:r>
        <w:rPr>
          <w:rFonts w:hint="eastAsia" w:ascii="宋体" w:hAnsi="宋体"/>
          <w:kern w:val="0"/>
          <w:szCs w:val="21"/>
          <w:highlight w:val="none"/>
        </w:rPr>
        <w:t>。</w:t>
      </w:r>
    </w:p>
    <w:p w14:paraId="4C7430E5">
      <w:pPr>
        <w:autoSpaceDE w:val="0"/>
        <w:autoSpaceDN w:val="0"/>
        <w:adjustRightInd w:val="0"/>
        <w:snapToGrid w:val="0"/>
        <w:spacing w:line="420" w:lineRule="exact"/>
        <w:ind w:firstLine="480"/>
        <w:textAlignment w:val="baseline"/>
        <w:rPr>
          <w:rFonts w:ascii="宋体" w:hAnsi="宋体"/>
          <w:kern w:val="0"/>
          <w:szCs w:val="21"/>
          <w:highlight w:val="none"/>
        </w:rPr>
      </w:pPr>
      <w:r>
        <w:rPr>
          <w:rFonts w:ascii="宋体" w:hAnsi="宋体"/>
          <w:kern w:val="0"/>
          <w:szCs w:val="21"/>
          <w:highlight w:val="none"/>
        </w:rPr>
        <w:t>1.1.2.3 承包人：</w:t>
      </w:r>
      <w:r>
        <w:rPr>
          <w:rFonts w:hint="eastAsia" w:ascii="宋体" w:hAnsi="宋体"/>
          <w:kern w:val="0"/>
          <w:szCs w:val="21"/>
          <w:highlight w:val="none"/>
          <w:u w:val="single"/>
        </w:rPr>
        <w:t xml:space="preserve">           </w:t>
      </w:r>
      <w:r>
        <w:rPr>
          <w:rFonts w:ascii="宋体" w:hAnsi="宋体"/>
          <w:kern w:val="0"/>
          <w:szCs w:val="21"/>
          <w:highlight w:val="none"/>
        </w:rPr>
        <w:t>。</w:t>
      </w:r>
    </w:p>
    <w:p w14:paraId="3905B1D3">
      <w:pPr>
        <w:autoSpaceDE w:val="0"/>
        <w:autoSpaceDN w:val="0"/>
        <w:adjustRightInd w:val="0"/>
        <w:snapToGrid w:val="0"/>
        <w:spacing w:line="420" w:lineRule="exact"/>
        <w:ind w:firstLine="480"/>
        <w:textAlignment w:val="baseline"/>
        <w:rPr>
          <w:rFonts w:ascii="宋体" w:hAnsi="宋体"/>
          <w:kern w:val="0"/>
          <w:szCs w:val="21"/>
          <w:highlight w:val="none"/>
        </w:rPr>
      </w:pPr>
      <w:r>
        <w:rPr>
          <w:rFonts w:ascii="宋体" w:hAnsi="宋体"/>
          <w:kern w:val="0"/>
          <w:szCs w:val="21"/>
          <w:highlight w:val="none"/>
        </w:rPr>
        <w:t>1.1.2.5 分包人：</w:t>
      </w:r>
      <w:r>
        <w:rPr>
          <w:rFonts w:hint="eastAsia" w:ascii="宋体" w:hAnsi="宋体"/>
          <w:kern w:val="0"/>
          <w:szCs w:val="21"/>
          <w:highlight w:val="none"/>
          <w:u w:val="single"/>
        </w:rPr>
        <w:t xml:space="preserve">/        </w:t>
      </w:r>
      <w:r>
        <w:rPr>
          <w:rFonts w:ascii="宋体" w:hAnsi="宋体"/>
          <w:kern w:val="0"/>
          <w:szCs w:val="21"/>
          <w:highlight w:val="none"/>
        </w:rPr>
        <w:t>。</w:t>
      </w:r>
    </w:p>
    <w:p w14:paraId="48430F21">
      <w:pPr>
        <w:tabs>
          <w:tab w:val="left" w:pos="360"/>
        </w:tabs>
        <w:autoSpaceDE w:val="0"/>
        <w:autoSpaceDN w:val="0"/>
        <w:adjustRightInd w:val="0"/>
        <w:snapToGrid w:val="0"/>
        <w:spacing w:line="420" w:lineRule="exact"/>
        <w:ind w:firstLine="480"/>
        <w:textAlignment w:val="baseline"/>
        <w:rPr>
          <w:rFonts w:ascii="宋体" w:hAnsi="宋体"/>
          <w:kern w:val="0"/>
          <w:szCs w:val="21"/>
          <w:highlight w:val="none"/>
        </w:rPr>
      </w:pPr>
      <w:r>
        <w:rPr>
          <w:rFonts w:ascii="宋体" w:hAnsi="宋体"/>
          <w:kern w:val="0"/>
          <w:szCs w:val="21"/>
          <w:highlight w:val="none"/>
        </w:rPr>
        <w:t>1.1.2.6 监理人：</w:t>
      </w:r>
      <w:r>
        <w:rPr>
          <w:rFonts w:hint="eastAsia" w:ascii="宋体" w:hAnsi="宋体"/>
          <w:kern w:val="0"/>
          <w:szCs w:val="21"/>
          <w:highlight w:val="none"/>
          <w:u w:val="single"/>
        </w:rPr>
        <w:t xml:space="preserve">       </w:t>
      </w:r>
      <w:r>
        <w:rPr>
          <w:rFonts w:ascii="宋体" w:hAnsi="宋体"/>
          <w:kern w:val="0"/>
          <w:szCs w:val="21"/>
          <w:highlight w:val="none"/>
        </w:rPr>
        <w:t>。</w:t>
      </w:r>
    </w:p>
    <w:p w14:paraId="635C7E07">
      <w:pPr>
        <w:autoSpaceDE w:val="0"/>
        <w:autoSpaceDN w:val="0"/>
        <w:adjustRightInd w:val="0"/>
        <w:snapToGrid w:val="0"/>
        <w:spacing w:line="420" w:lineRule="exact"/>
        <w:ind w:firstLine="480"/>
        <w:textAlignment w:val="baseline"/>
        <w:rPr>
          <w:rFonts w:ascii="宋体" w:hAnsi="宋体"/>
          <w:kern w:val="0"/>
          <w:szCs w:val="21"/>
          <w:highlight w:val="none"/>
        </w:rPr>
      </w:pPr>
      <w:r>
        <w:rPr>
          <w:rFonts w:ascii="宋体" w:hAnsi="宋体"/>
          <w:b/>
          <w:kern w:val="0"/>
          <w:szCs w:val="21"/>
          <w:highlight w:val="none"/>
        </w:rPr>
        <w:t>1.1.4</w:t>
      </w:r>
      <w:r>
        <w:rPr>
          <w:rFonts w:ascii="宋体" w:hAnsi="宋体"/>
          <w:kern w:val="0"/>
          <w:szCs w:val="21"/>
          <w:highlight w:val="none"/>
        </w:rPr>
        <w:t xml:space="preserve"> 日期</w:t>
      </w:r>
    </w:p>
    <w:p w14:paraId="06710E4D">
      <w:pPr>
        <w:tabs>
          <w:tab w:val="left" w:pos="360"/>
        </w:tabs>
        <w:autoSpaceDE w:val="0"/>
        <w:autoSpaceDN w:val="0"/>
        <w:adjustRightInd w:val="0"/>
        <w:snapToGrid w:val="0"/>
        <w:spacing w:line="420" w:lineRule="exact"/>
        <w:ind w:firstLine="480"/>
        <w:textAlignment w:val="baseline"/>
        <w:rPr>
          <w:rFonts w:ascii="宋体" w:hAnsi="宋体"/>
          <w:kern w:val="0"/>
          <w:szCs w:val="21"/>
          <w:highlight w:val="none"/>
        </w:rPr>
      </w:pPr>
      <w:r>
        <w:rPr>
          <w:rFonts w:ascii="宋体" w:hAnsi="宋体"/>
          <w:kern w:val="0"/>
          <w:szCs w:val="21"/>
          <w:highlight w:val="none"/>
        </w:rPr>
        <w:t>1.1.4.5缺陷责任期（工程质量保修期）：</w:t>
      </w:r>
      <w:r>
        <w:rPr>
          <w:rFonts w:hint="eastAsia"/>
          <w:snapToGrid w:val="0"/>
          <w:kern w:val="0"/>
          <w:szCs w:val="21"/>
          <w:highlight w:val="none"/>
          <w:u w:val="single"/>
        </w:rPr>
        <w:t>本工程缺陷责任期</w:t>
      </w:r>
      <w:r>
        <w:rPr>
          <w:rFonts w:hint="eastAsia"/>
          <w:snapToGrid w:val="0"/>
          <w:kern w:val="0"/>
          <w:szCs w:val="21"/>
          <w:highlight w:val="none"/>
          <w:u w:val="single"/>
          <w:lang w:val="en-US" w:eastAsia="zh-CN"/>
        </w:rPr>
        <w:t>与</w:t>
      </w:r>
      <w:r>
        <w:rPr>
          <w:rFonts w:hint="eastAsia"/>
          <w:snapToGrid w:val="0"/>
          <w:kern w:val="0"/>
          <w:szCs w:val="21"/>
          <w:highlight w:val="none"/>
          <w:u w:val="single"/>
        </w:rPr>
        <w:t>绿化养护期</w:t>
      </w:r>
      <w:r>
        <w:rPr>
          <w:rFonts w:hint="eastAsia"/>
          <w:snapToGrid w:val="0"/>
          <w:kern w:val="0"/>
          <w:szCs w:val="21"/>
          <w:highlight w:val="none"/>
          <w:u w:val="single"/>
          <w:lang w:val="en-US" w:eastAsia="zh-CN"/>
        </w:rPr>
        <w:t>均</w:t>
      </w:r>
      <w:r>
        <w:rPr>
          <w:rFonts w:hint="eastAsia"/>
          <w:snapToGrid w:val="0"/>
          <w:kern w:val="0"/>
          <w:szCs w:val="21"/>
          <w:highlight w:val="none"/>
          <w:u w:val="single"/>
        </w:rPr>
        <w:t>为1年</w:t>
      </w:r>
      <w:r>
        <w:rPr>
          <w:rFonts w:hint="eastAsia" w:ascii="宋体" w:hAnsi="宋体"/>
          <w:kern w:val="0"/>
          <w:szCs w:val="21"/>
          <w:highlight w:val="none"/>
        </w:rPr>
        <w:t>。</w:t>
      </w:r>
    </w:p>
    <w:p w14:paraId="35890F80">
      <w:pPr>
        <w:keepNext/>
        <w:keepLines/>
        <w:numPr>
          <w:ilvl w:val="4"/>
          <w:numId w:val="0"/>
        </w:numPr>
        <w:tabs>
          <w:tab w:val="left" w:pos="0"/>
        </w:tabs>
        <w:suppressAutoHyphens/>
        <w:snapToGrid w:val="0"/>
        <w:spacing w:line="420" w:lineRule="exact"/>
        <w:outlineLvl w:val="4"/>
        <w:rPr>
          <w:rFonts w:ascii="宋体" w:hAnsi="宋体"/>
          <w:b/>
          <w:spacing w:val="20"/>
          <w:szCs w:val="21"/>
          <w:highlight w:val="none"/>
        </w:rPr>
      </w:pPr>
      <w:r>
        <w:rPr>
          <w:rFonts w:ascii="宋体" w:hAnsi="宋体"/>
          <w:snapToGrid w:val="0"/>
          <w:szCs w:val="21"/>
          <w:highlight w:val="none"/>
        </w:rPr>
        <w:t>1.4 合同文件的优先顺序</w:t>
      </w:r>
    </w:p>
    <w:p w14:paraId="3E5D7BBA">
      <w:pPr>
        <w:autoSpaceDE w:val="0"/>
        <w:autoSpaceDN w:val="0"/>
        <w:adjustRightInd w:val="0"/>
        <w:snapToGrid w:val="0"/>
        <w:spacing w:line="420" w:lineRule="exact"/>
        <w:ind w:firstLine="480"/>
        <w:textAlignment w:val="baseline"/>
        <w:rPr>
          <w:rFonts w:ascii="宋体" w:hAnsi="宋体"/>
          <w:kern w:val="0"/>
          <w:szCs w:val="21"/>
          <w:highlight w:val="none"/>
        </w:rPr>
      </w:pPr>
      <w:r>
        <w:rPr>
          <w:rFonts w:ascii="宋体" w:hAnsi="宋体"/>
          <w:kern w:val="0"/>
          <w:szCs w:val="21"/>
          <w:highlight w:val="none"/>
        </w:rPr>
        <w:t>除合同另有规定外，解释合同文件的优先顺序如下：</w:t>
      </w:r>
    </w:p>
    <w:p w14:paraId="4678D8C3">
      <w:pPr>
        <w:autoSpaceDE w:val="0"/>
        <w:autoSpaceDN w:val="0"/>
        <w:adjustRightInd w:val="0"/>
        <w:snapToGrid w:val="0"/>
        <w:spacing w:line="420" w:lineRule="exact"/>
        <w:ind w:firstLine="480"/>
        <w:textAlignment w:val="baseline"/>
        <w:rPr>
          <w:rFonts w:ascii="宋体" w:hAnsi="宋体"/>
          <w:kern w:val="0"/>
          <w:szCs w:val="21"/>
          <w:highlight w:val="none"/>
        </w:rPr>
      </w:pPr>
      <w:r>
        <w:rPr>
          <w:rFonts w:hint="eastAsia" w:ascii="宋体" w:hAnsi="宋体"/>
          <w:kern w:val="0"/>
          <w:szCs w:val="21"/>
          <w:highlight w:val="none"/>
        </w:rPr>
        <w:t>（</w:t>
      </w:r>
      <w:r>
        <w:rPr>
          <w:rFonts w:ascii="宋体" w:hAnsi="宋体"/>
          <w:kern w:val="0"/>
          <w:szCs w:val="21"/>
          <w:highlight w:val="none"/>
        </w:rPr>
        <w:t>1</w:t>
      </w:r>
      <w:r>
        <w:rPr>
          <w:rFonts w:hint="eastAsia" w:ascii="宋体" w:hAnsi="宋体"/>
          <w:kern w:val="0"/>
          <w:szCs w:val="21"/>
          <w:highlight w:val="none"/>
        </w:rPr>
        <w:t>）</w:t>
      </w:r>
      <w:r>
        <w:rPr>
          <w:rFonts w:ascii="宋体" w:hAnsi="宋体"/>
          <w:kern w:val="0"/>
          <w:szCs w:val="21"/>
          <w:highlight w:val="none"/>
        </w:rPr>
        <w:t>协议书（包括补充协议书）；</w:t>
      </w:r>
    </w:p>
    <w:p w14:paraId="65A36CE9">
      <w:pPr>
        <w:autoSpaceDE w:val="0"/>
        <w:autoSpaceDN w:val="0"/>
        <w:adjustRightInd w:val="0"/>
        <w:snapToGrid w:val="0"/>
        <w:spacing w:line="420" w:lineRule="exact"/>
        <w:ind w:firstLine="480"/>
        <w:textAlignment w:val="baseline"/>
        <w:rPr>
          <w:rFonts w:ascii="宋体" w:hAnsi="宋体"/>
          <w:kern w:val="0"/>
          <w:szCs w:val="21"/>
          <w:highlight w:val="none"/>
        </w:rPr>
      </w:pPr>
      <w:r>
        <w:rPr>
          <w:rFonts w:hint="eastAsia" w:ascii="宋体" w:hAnsi="宋体"/>
          <w:kern w:val="0"/>
          <w:szCs w:val="21"/>
          <w:highlight w:val="none"/>
        </w:rPr>
        <w:t>（</w:t>
      </w:r>
      <w:r>
        <w:rPr>
          <w:rFonts w:ascii="宋体" w:hAnsi="宋体"/>
          <w:kern w:val="0"/>
          <w:szCs w:val="21"/>
          <w:highlight w:val="none"/>
        </w:rPr>
        <w:t>2</w:t>
      </w:r>
      <w:r>
        <w:rPr>
          <w:rFonts w:hint="eastAsia" w:ascii="宋体" w:hAnsi="宋体"/>
          <w:kern w:val="0"/>
          <w:szCs w:val="21"/>
          <w:highlight w:val="none"/>
        </w:rPr>
        <w:t>）</w:t>
      </w:r>
      <w:r>
        <w:rPr>
          <w:rFonts w:ascii="宋体" w:hAnsi="宋体"/>
          <w:kern w:val="0"/>
          <w:szCs w:val="21"/>
          <w:highlight w:val="none"/>
        </w:rPr>
        <w:t>中标通知书；</w:t>
      </w:r>
    </w:p>
    <w:p w14:paraId="754A90A3">
      <w:pPr>
        <w:autoSpaceDE w:val="0"/>
        <w:autoSpaceDN w:val="0"/>
        <w:adjustRightInd w:val="0"/>
        <w:snapToGrid w:val="0"/>
        <w:spacing w:line="420" w:lineRule="exact"/>
        <w:ind w:firstLine="480"/>
        <w:textAlignment w:val="baseline"/>
        <w:rPr>
          <w:rFonts w:ascii="宋体" w:hAnsi="宋体"/>
          <w:kern w:val="0"/>
          <w:szCs w:val="21"/>
          <w:highlight w:val="none"/>
        </w:rPr>
      </w:pPr>
      <w:r>
        <w:rPr>
          <w:rFonts w:hint="eastAsia" w:ascii="宋体" w:hAnsi="宋体"/>
          <w:kern w:val="0"/>
          <w:szCs w:val="21"/>
          <w:highlight w:val="none"/>
        </w:rPr>
        <w:t>（</w:t>
      </w:r>
      <w:r>
        <w:rPr>
          <w:rFonts w:ascii="宋体" w:hAnsi="宋体"/>
          <w:kern w:val="0"/>
          <w:szCs w:val="21"/>
          <w:highlight w:val="none"/>
        </w:rPr>
        <w:t>3</w:t>
      </w:r>
      <w:r>
        <w:rPr>
          <w:rFonts w:hint="eastAsia" w:ascii="宋体" w:hAnsi="宋体"/>
          <w:kern w:val="0"/>
          <w:szCs w:val="21"/>
          <w:highlight w:val="none"/>
        </w:rPr>
        <w:t>）</w:t>
      </w:r>
      <w:r>
        <w:rPr>
          <w:rFonts w:ascii="宋体" w:hAnsi="宋体"/>
          <w:kern w:val="0"/>
          <w:szCs w:val="21"/>
          <w:highlight w:val="none"/>
        </w:rPr>
        <w:t>投标函及投标函附录；</w:t>
      </w:r>
    </w:p>
    <w:p w14:paraId="45949B10">
      <w:pPr>
        <w:autoSpaceDE w:val="0"/>
        <w:autoSpaceDN w:val="0"/>
        <w:adjustRightInd w:val="0"/>
        <w:snapToGrid w:val="0"/>
        <w:spacing w:line="420" w:lineRule="exact"/>
        <w:ind w:firstLine="480"/>
        <w:textAlignment w:val="baseline"/>
        <w:rPr>
          <w:rFonts w:ascii="宋体" w:hAnsi="宋体"/>
          <w:kern w:val="0"/>
          <w:szCs w:val="21"/>
          <w:highlight w:val="none"/>
        </w:rPr>
      </w:pPr>
      <w:r>
        <w:rPr>
          <w:rFonts w:hint="eastAsia" w:ascii="宋体" w:hAnsi="宋体"/>
          <w:kern w:val="0"/>
          <w:szCs w:val="21"/>
          <w:highlight w:val="none"/>
        </w:rPr>
        <w:t>（</w:t>
      </w:r>
      <w:r>
        <w:rPr>
          <w:rFonts w:ascii="宋体" w:hAnsi="宋体"/>
          <w:kern w:val="0"/>
          <w:szCs w:val="21"/>
          <w:highlight w:val="none"/>
        </w:rPr>
        <w:t>4</w:t>
      </w:r>
      <w:r>
        <w:rPr>
          <w:rFonts w:hint="eastAsia" w:ascii="宋体" w:hAnsi="宋体"/>
          <w:kern w:val="0"/>
          <w:szCs w:val="21"/>
          <w:highlight w:val="none"/>
        </w:rPr>
        <w:t>）</w:t>
      </w:r>
      <w:r>
        <w:rPr>
          <w:rFonts w:ascii="宋体" w:hAnsi="宋体"/>
          <w:kern w:val="0"/>
          <w:szCs w:val="21"/>
          <w:highlight w:val="none"/>
        </w:rPr>
        <w:t>招投标文件澄清问题、澄清问题的复函、补充通知等相关资料；</w:t>
      </w:r>
    </w:p>
    <w:p w14:paraId="2B5F910F">
      <w:pPr>
        <w:autoSpaceDE w:val="0"/>
        <w:autoSpaceDN w:val="0"/>
        <w:adjustRightInd w:val="0"/>
        <w:snapToGrid w:val="0"/>
        <w:spacing w:line="420" w:lineRule="exact"/>
        <w:ind w:firstLine="480"/>
        <w:textAlignment w:val="baseline"/>
        <w:rPr>
          <w:rFonts w:ascii="宋体" w:hAnsi="宋体"/>
          <w:kern w:val="0"/>
          <w:szCs w:val="21"/>
          <w:highlight w:val="none"/>
        </w:rPr>
      </w:pPr>
      <w:r>
        <w:rPr>
          <w:rFonts w:hint="eastAsia" w:ascii="宋体" w:hAnsi="宋体"/>
          <w:kern w:val="0"/>
          <w:szCs w:val="21"/>
          <w:highlight w:val="none"/>
        </w:rPr>
        <w:t>（</w:t>
      </w:r>
      <w:r>
        <w:rPr>
          <w:rFonts w:ascii="宋体" w:hAnsi="宋体"/>
          <w:kern w:val="0"/>
          <w:szCs w:val="21"/>
          <w:highlight w:val="none"/>
        </w:rPr>
        <w:t>5</w:t>
      </w:r>
      <w:r>
        <w:rPr>
          <w:rFonts w:hint="eastAsia" w:ascii="宋体" w:hAnsi="宋体"/>
          <w:kern w:val="0"/>
          <w:szCs w:val="21"/>
          <w:highlight w:val="none"/>
        </w:rPr>
        <w:t>）</w:t>
      </w:r>
      <w:r>
        <w:rPr>
          <w:rFonts w:ascii="宋体" w:hAnsi="宋体"/>
          <w:kern w:val="0"/>
          <w:szCs w:val="21"/>
          <w:highlight w:val="none"/>
        </w:rPr>
        <w:t>专用合同条款；</w:t>
      </w:r>
    </w:p>
    <w:p w14:paraId="65ADDD41">
      <w:pPr>
        <w:autoSpaceDE w:val="0"/>
        <w:autoSpaceDN w:val="0"/>
        <w:adjustRightInd w:val="0"/>
        <w:snapToGrid w:val="0"/>
        <w:spacing w:line="420" w:lineRule="exact"/>
        <w:ind w:firstLine="480"/>
        <w:textAlignment w:val="baseline"/>
        <w:rPr>
          <w:rFonts w:ascii="宋体" w:hAnsi="宋体"/>
          <w:kern w:val="0"/>
          <w:szCs w:val="21"/>
          <w:highlight w:val="none"/>
        </w:rPr>
      </w:pPr>
      <w:r>
        <w:rPr>
          <w:rFonts w:hint="eastAsia" w:ascii="宋体" w:hAnsi="宋体"/>
          <w:kern w:val="0"/>
          <w:szCs w:val="21"/>
          <w:highlight w:val="none"/>
        </w:rPr>
        <w:t>（</w:t>
      </w:r>
      <w:r>
        <w:rPr>
          <w:rFonts w:ascii="宋体" w:hAnsi="宋体"/>
          <w:kern w:val="0"/>
          <w:szCs w:val="21"/>
          <w:highlight w:val="none"/>
        </w:rPr>
        <w:t>6</w:t>
      </w:r>
      <w:r>
        <w:rPr>
          <w:rFonts w:hint="eastAsia" w:ascii="宋体" w:hAnsi="宋体"/>
          <w:kern w:val="0"/>
          <w:szCs w:val="21"/>
          <w:highlight w:val="none"/>
        </w:rPr>
        <w:t>）</w:t>
      </w:r>
      <w:r>
        <w:rPr>
          <w:rFonts w:ascii="宋体" w:hAnsi="宋体"/>
          <w:kern w:val="0"/>
          <w:szCs w:val="21"/>
          <w:highlight w:val="none"/>
        </w:rPr>
        <w:t>通用合同条款；</w:t>
      </w:r>
    </w:p>
    <w:p w14:paraId="327EA4C2">
      <w:pPr>
        <w:autoSpaceDE w:val="0"/>
        <w:autoSpaceDN w:val="0"/>
        <w:adjustRightInd w:val="0"/>
        <w:snapToGrid w:val="0"/>
        <w:spacing w:line="420" w:lineRule="exact"/>
        <w:ind w:firstLine="480"/>
        <w:textAlignment w:val="baseline"/>
        <w:rPr>
          <w:rFonts w:ascii="宋体" w:hAnsi="宋体"/>
          <w:kern w:val="0"/>
          <w:szCs w:val="21"/>
          <w:highlight w:val="none"/>
        </w:rPr>
      </w:pPr>
      <w:r>
        <w:rPr>
          <w:rFonts w:hint="eastAsia" w:ascii="宋体" w:hAnsi="宋体"/>
          <w:kern w:val="0"/>
          <w:szCs w:val="21"/>
          <w:highlight w:val="none"/>
        </w:rPr>
        <w:t>（</w:t>
      </w:r>
      <w:r>
        <w:rPr>
          <w:rFonts w:ascii="宋体" w:hAnsi="宋体"/>
          <w:kern w:val="0"/>
          <w:szCs w:val="21"/>
          <w:highlight w:val="none"/>
        </w:rPr>
        <w:t>7</w:t>
      </w:r>
      <w:r>
        <w:rPr>
          <w:rFonts w:hint="eastAsia" w:ascii="宋体" w:hAnsi="宋体"/>
          <w:kern w:val="0"/>
          <w:szCs w:val="21"/>
          <w:highlight w:val="none"/>
        </w:rPr>
        <w:t>）</w:t>
      </w:r>
      <w:r>
        <w:rPr>
          <w:rFonts w:ascii="宋体" w:hAnsi="宋体"/>
          <w:kern w:val="0"/>
          <w:szCs w:val="21"/>
          <w:highlight w:val="none"/>
        </w:rPr>
        <w:t xml:space="preserve">技术标准和要求； </w:t>
      </w:r>
    </w:p>
    <w:p w14:paraId="74A114B7">
      <w:pPr>
        <w:autoSpaceDE w:val="0"/>
        <w:autoSpaceDN w:val="0"/>
        <w:adjustRightInd w:val="0"/>
        <w:snapToGrid w:val="0"/>
        <w:spacing w:line="420" w:lineRule="exact"/>
        <w:ind w:firstLine="480"/>
        <w:textAlignment w:val="baseline"/>
        <w:rPr>
          <w:rFonts w:ascii="宋体" w:hAnsi="宋体"/>
          <w:kern w:val="0"/>
          <w:szCs w:val="21"/>
          <w:highlight w:val="none"/>
        </w:rPr>
      </w:pPr>
      <w:r>
        <w:rPr>
          <w:rFonts w:hint="eastAsia" w:ascii="宋体" w:hAnsi="宋体"/>
          <w:kern w:val="0"/>
          <w:szCs w:val="21"/>
          <w:highlight w:val="none"/>
        </w:rPr>
        <w:t>（</w:t>
      </w:r>
      <w:r>
        <w:rPr>
          <w:rFonts w:ascii="宋体" w:hAnsi="宋体"/>
          <w:kern w:val="0"/>
          <w:szCs w:val="21"/>
          <w:highlight w:val="none"/>
        </w:rPr>
        <w:t>8</w:t>
      </w:r>
      <w:r>
        <w:rPr>
          <w:rFonts w:hint="eastAsia" w:ascii="宋体" w:hAnsi="宋体"/>
          <w:kern w:val="0"/>
          <w:szCs w:val="21"/>
          <w:highlight w:val="none"/>
        </w:rPr>
        <w:t>）</w:t>
      </w:r>
      <w:r>
        <w:rPr>
          <w:rFonts w:ascii="宋体" w:hAnsi="宋体"/>
          <w:kern w:val="0"/>
          <w:szCs w:val="21"/>
          <w:highlight w:val="none"/>
        </w:rPr>
        <w:t xml:space="preserve">图纸； </w:t>
      </w:r>
    </w:p>
    <w:p w14:paraId="136080AA">
      <w:pPr>
        <w:autoSpaceDE w:val="0"/>
        <w:autoSpaceDN w:val="0"/>
        <w:adjustRightInd w:val="0"/>
        <w:snapToGrid w:val="0"/>
        <w:spacing w:line="420" w:lineRule="exact"/>
        <w:ind w:firstLine="480"/>
        <w:textAlignment w:val="baseline"/>
        <w:rPr>
          <w:rFonts w:ascii="宋体" w:hAnsi="宋体"/>
          <w:kern w:val="0"/>
          <w:szCs w:val="21"/>
          <w:highlight w:val="none"/>
        </w:rPr>
      </w:pPr>
      <w:r>
        <w:rPr>
          <w:rFonts w:hint="eastAsia" w:ascii="宋体" w:hAnsi="宋体"/>
          <w:kern w:val="0"/>
          <w:szCs w:val="21"/>
          <w:highlight w:val="none"/>
        </w:rPr>
        <w:t>（</w:t>
      </w:r>
      <w:r>
        <w:rPr>
          <w:rFonts w:ascii="宋体" w:hAnsi="宋体"/>
          <w:kern w:val="0"/>
          <w:szCs w:val="21"/>
          <w:highlight w:val="none"/>
        </w:rPr>
        <w:t>9</w:t>
      </w:r>
      <w:r>
        <w:rPr>
          <w:rFonts w:hint="eastAsia" w:ascii="宋体" w:hAnsi="宋体"/>
          <w:kern w:val="0"/>
          <w:szCs w:val="21"/>
          <w:highlight w:val="none"/>
        </w:rPr>
        <w:t>）</w:t>
      </w:r>
      <w:r>
        <w:rPr>
          <w:rFonts w:ascii="宋体" w:hAnsi="宋体"/>
          <w:kern w:val="0"/>
          <w:szCs w:val="21"/>
          <w:highlight w:val="none"/>
        </w:rPr>
        <w:t>已标价的工程量清单</w:t>
      </w:r>
    </w:p>
    <w:p w14:paraId="13515C04">
      <w:pPr>
        <w:autoSpaceDE w:val="0"/>
        <w:autoSpaceDN w:val="0"/>
        <w:adjustRightInd w:val="0"/>
        <w:snapToGrid w:val="0"/>
        <w:spacing w:line="420" w:lineRule="exact"/>
        <w:ind w:firstLine="480"/>
        <w:textAlignment w:val="baseline"/>
        <w:rPr>
          <w:rFonts w:ascii="宋体" w:hAnsi="宋体"/>
          <w:kern w:val="0"/>
          <w:szCs w:val="21"/>
          <w:highlight w:val="none"/>
        </w:rPr>
      </w:pPr>
      <w:r>
        <w:rPr>
          <w:rFonts w:hint="eastAsia" w:ascii="宋体" w:hAnsi="宋体"/>
          <w:kern w:val="0"/>
          <w:szCs w:val="21"/>
          <w:highlight w:val="none"/>
        </w:rPr>
        <w:t>（</w:t>
      </w:r>
      <w:r>
        <w:rPr>
          <w:rFonts w:ascii="宋体" w:hAnsi="宋体"/>
          <w:kern w:val="0"/>
          <w:szCs w:val="21"/>
          <w:highlight w:val="none"/>
        </w:rPr>
        <w:t>10</w:t>
      </w:r>
      <w:r>
        <w:rPr>
          <w:rFonts w:hint="eastAsia" w:ascii="宋体" w:hAnsi="宋体"/>
          <w:kern w:val="0"/>
          <w:szCs w:val="21"/>
          <w:highlight w:val="none"/>
        </w:rPr>
        <w:t>）</w:t>
      </w:r>
      <w:r>
        <w:rPr>
          <w:rFonts w:ascii="宋体" w:hAnsi="宋体"/>
          <w:kern w:val="0"/>
          <w:szCs w:val="21"/>
          <w:highlight w:val="none"/>
        </w:rPr>
        <w:t>经双方确认进入合同的其他文件。</w:t>
      </w:r>
    </w:p>
    <w:p w14:paraId="1470370D">
      <w:pPr>
        <w:keepNext/>
        <w:keepLines/>
        <w:numPr>
          <w:ilvl w:val="4"/>
          <w:numId w:val="0"/>
        </w:numPr>
        <w:tabs>
          <w:tab w:val="left" w:pos="0"/>
        </w:tabs>
        <w:suppressAutoHyphens/>
        <w:snapToGrid w:val="0"/>
        <w:spacing w:line="420" w:lineRule="exact"/>
        <w:outlineLvl w:val="4"/>
        <w:rPr>
          <w:rFonts w:ascii="宋体" w:hAnsi="宋体"/>
          <w:b/>
          <w:spacing w:val="20"/>
          <w:szCs w:val="21"/>
          <w:highlight w:val="none"/>
        </w:rPr>
      </w:pPr>
      <w:r>
        <w:rPr>
          <w:rFonts w:ascii="宋体" w:hAnsi="宋体"/>
          <w:snapToGrid w:val="0"/>
          <w:szCs w:val="21"/>
          <w:highlight w:val="none"/>
        </w:rPr>
        <w:t>1.7 联络</w:t>
      </w:r>
    </w:p>
    <w:p w14:paraId="68E953F6">
      <w:pPr>
        <w:autoSpaceDE w:val="0"/>
        <w:autoSpaceDN w:val="0"/>
        <w:adjustRightInd w:val="0"/>
        <w:snapToGrid w:val="0"/>
        <w:spacing w:line="420" w:lineRule="exact"/>
        <w:ind w:firstLine="480"/>
        <w:textAlignment w:val="baseline"/>
        <w:rPr>
          <w:rFonts w:ascii="宋体" w:hAnsi="宋体"/>
          <w:kern w:val="0"/>
          <w:szCs w:val="21"/>
          <w:highlight w:val="none"/>
        </w:rPr>
      </w:pPr>
      <w:r>
        <w:rPr>
          <w:rFonts w:ascii="宋体" w:hAnsi="宋体"/>
          <w:kern w:val="0"/>
          <w:szCs w:val="21"/>
          <w:highlight w:val="none"/>
        </w:rPr>
        <w:t>1.7.2 来往函件均应按技术标准和要求（合同技术条款）约定的期限送达</w:t>
      </w:r>
      <w:r>
        <w:rPr>
          <w:rFonts w:hint="eastAsia" w:ascii="宋体" w:hAnsi="宋体"/>
          <w:kern w:val="0"/>
          <w:szCs w:val="21"/>
          <w:highlight w:val="none"/>
        </w:rPr>
        <w:t>：</w:t>
      </w:r>
      <w:r>
        <w:rPr>
          <w:rFonts w:hint="eastAsia" w:ascii="宋体" w:hAnsi="宋体" w:cs="宋体"/>
          <w:kern w:val="0"/>
          <w:szCs w:val="21"/>
          <w:highlight w:val="none"/>
          <w:u w:val="single"/>
        </w:rPr>
        <w:t>台州市椒江区人民政府前所街道办事处</w:t>
      </w:r>
      <w:r>
        <w:rPr>
          <w:rFonts w:hint="eastAsia" w:ascii="宋体" w:hAnsi="宋体" w:cs="宋体"/>
          <w:kern w:val="0"/>
          <w:szCs w:val="21"/>
          <w:highlight w:val="none"/>
        </w:rPr>
        <w:t>。</w:t>
      </w:r>
    </w:p>
    <w:p w14:paraId="41A61246">
      <w:pPr>
        <w:autoSpaceDE w:val="0"/>
        <w:autoSpaceDN w:val="0"/>
        <w:adjustRightInd w:val="0"/>
        <w:ind w:firstLine="488"/>
        <w:textAlignment w:val="baseline"/>
        <w:rPr>
          <w:kern w:val="0"/>
          <w:sz w:val="24"/>
          <w:szCs w:val="20"/>
          <w:highlight w:val="none"/>
        </w:rPr>
      </w:pPr>
    </w:p>
    <w:p w14:paraId="246BF740">
      <w:pPr>
        <w:keepLines/>
        <w:widowControl/>
        <w:autoSpaceDE w:val="0"/>
        <w:autoSpaceDN w:val="0"/>
        <w:adjustRightInd w:val="0"/>
        <w:snapToGrid w:val="0"/>
        <w:spacing w:line="420" w:lineRule="exact"/>
        <w:jc w:val="left"/>
        <w:textAlignment w:val="baseline"/>
        <w:outlineLvl w:val="3"/>
        <w:rPr>
          <w:rFonts w:ascii="宋体" w:hAnsi="宋体"/>
          <w:b/>
          <w:snapToGrid w:val="0"/>
          <w:kern w:val="0"/>
          <w:szCs w:val="21"/>
          <w:highlight w:val="none"/>
        </w:rPr>
      </w:pPr>
      <w:bookmarkStart w:id="51" w:name="_Toc184635099"/>
      <w:r>
        <w:rPr>
          <w:rFonts w:ascii="宋体" w:hAnsi="宋体"/>
          <w:snapToGrid w:val="0"/>
          <w:kern w:val="0"/>
          <w:szCs w:val="21"/>
          <w:highlight w:val="none"/>
        </w:rPr>
        <w:t>2 发包人义务</w:t>
      </w:r>
    </w:p>
    <w:p w14:paraId="3313F981">
      <w:pPr>
        <w:keepNext/>
        <w:keepLines/>
        <w:numPr>
          <w:ilvl w:val="4"/>
          <w:numId w:val="0"/>
        </w:numPr>
        <w:tabs>
          <w:tab w:val="left" w:pos="0"/>
        </w:tabs>
        <w:suppressAutoHyphens/>
        <w:snapToGrid w:val="0"/>
        <w:spacing w:line="420" w:lineRule="exact"/>
        <w:outlineLvl w:val="4"/>
        <w:rPr>
          <w:rFonts w:ascii="宋体" w:hAnsi="宋体"/>
          <w:b/>
          <w:spacing w:val="20"/>
          <w:szCs w:val="21"/>
          <w:highlight w:val="none"/>
        </w:rPr>
      </w:pPr>
      <w:r>
        <w:rPr>
          <w:rFonts w:ascii="宋体" w:hAnsi="宋体"/>
          <w:snapToGrid w:val="0"/>
          <w:szCs w:val="21"/>
          <w:highlight w:val="none"/>
        </w:rPr>
        <w:t>2.3 提供施工场地</w:t>
      </w:r>
    </w:p>
    <w:p w14:paraId="603D0339">
      <w:pPr>
        <w:autoSpaceDE w:val="0"/>
        <w:autoSpaceDN w:val="0"/>
        <w:adjustRightInd w:val="0"/>
        <w:snapToGrid w:val="0"/>
        <w:spacing w:line="420" w:lineRule="exact"/>
        <w:ind w:firstLine="480"/>
        <w:textAlignment w:val="baseline"/>
        <w:rPr>
          <w:rFonts w:ascii="宋体" w:hAnsi="宋体"/>
          <w:kern w:val="0"/>
          <w:szCs w:val="21"/>
          <w:highlight w:val="none"/>
        </w:rPr>
      </w:pPr>
      <w:r>
        <w:rPr>
          <w:rFonts w:ascii="宋体" w:hAnsi="宋体"/>
          <w:kern w:val="0"/>
          <w:szCs w:val="21"/>
          <w:highlight w:val="none"/>
        </w:rPr>
        <w:t>2.3.2发包人提供的用地范围：</w:t>
      </w:r>
      <w:r>
        <w:rPr>
          <w:rFonts w:hint="eastAsia"/>
          <w:kern w:val="0"/>
          <w:szCs w:val="21"/>
          <w:highlight w:val="none"/>
          <w:u w:val="single"/>
        </w:rPr>
        <w:t>规划部门批准的红线范围，承包人应无条件接受现场条件。超出上述范围需要使用的临时用地，租金、规费、审批手续、复垦均由承包人负责，相关费用已包含在投标报价中，发包人不再另行支付。</w:t>
      </w:r>
    </w:p>
    <w:p w14:paraId="4B256AFE">
      <w:pPr>
        <w:keepLines/>
        <w:widowControl/>
        <w:autoSpaceDE w:val="0"/>
        <w:autoSpaceDN w:val="0"/>
        <w:adjustRightInd w:val="0"/>
        <w:snapToGrid w:val="0"/>
        <w:spacing w:line="420" w:lineRule="exact"/>
        <w:jc w:val="left"/>
        <w:textAlignment w:val="baseline"/>
        <w:outlineLvl w:val="3"/>
        <w:rPr>
          <w:rFonts w:ascii="宋体" w:hAnsi="宋体"/>
          <w:b/>
          <w:snapToGrid w:val="0"/>
          <w:kern w:val="0"/>
          <w:szCs w:val="21"/>
          <w:highlight w:val="none"/>
        </w:rPr>
      </w:pPr>
      <w:r>
        <w:rPr>
          <w:rFonts w:ascii="宋体" w:hAnsi="宋体"/>
          <w:snapToGrid w:val="0"/>
          <w:kern w:val="0"/>
          <w:szCs w:val="21"/>
          <w:highlight w:val="none"/>
        </w:rPr>
        <w:t>3 监理人</w:t>
      </w:r>
    </w:p>
    <w:p w14:paraId="1AEC1121">
      <w:pPr>
        <w:keepNext/>
        <w:keepLines/>
        <w:numPr>
          <w:ilvl w:val="4"/>
          <w:numId w:val="0"/>
        </w:numPr>
        <w:tabs>
          <w:tab w:val="left" w:pos="0"/>
        </w:tabs>
        <w:suppressAutoHyphens/>
        <w:snapToGrid w:val="0"/>
        <w:spacing w:line="420" w:lineRule="exact"/>
        <w:outlineLvl w:val="4"/>
        <w:rPr>
          <w:rFonts w:ascii="宋体" w:hAnsi="宋体"/>
          <w:b/>
          <w:spacing w:val="20"/>
          <w:szCs w:val="21"/>
          <w:highlight w:val="none"/>
        </w:rPr>
      </w:pPr>
      <w:r>
        <w:rPr>
          <w:rFonts w:ascii="宋体" w:hAnsi="宋体"/>
          <w:snapToGrid w:val="0"/>
          <w:szCs w:val="21"/>
          <w:highlight w:val="none"/>
        </w:rPr>
        <w:t>3.1 监理人的职责和权力</w:t>
      </w:r>
    </w:p>
    <w:p w14:paraId="1532B524">
      <w:pPr>
        <w:autoSpaceDE w:val="0"/>
        <w:autoSpaceDN w:val="0"/>
        <w:adjustRightInd w:val="0"/>
        <w:snapToGrid w:val="0"/>
        <w:spacing w:line="420" w:lineRule="exact"/>
        <w:ind w:firstLine="480"/>
        <w:textAlignment w:val="baseline"/>
        <w:rPr>
          <w:rFonts w:ascii="宋体" w:hAnsi="宋体"/>
          <w:kern w:val="0"/>
          <w:szCs w:val="21"/>
          <w:highlight w:val="none"/>
        </w:rPr>
      </w:pPr>
      <w:r>
        <w:rPr>
          <w:rFonts w:ascii="宋体" w:hAnsi="宋体"/>
          <w:kern w:val="0"/>
          <w:szCs w:val="21"/>
          <w:highlight w:val="none"/>
        </w:rPr>
        <w:t>3.1.1监理人须根据发包人事先批准的权力范围行使权力，需经发包人批准的权利范围：</w:t>
      </w:r>
    </w:p>
    <w:p w14:paraId="72E88B02">
      <w:pPr>
        <w:suppressAutoHyphens/>
        <w:snapToGrid w:val="0"/>
        <w:spacing w:line="420" w:lineRule="exact"/>
        <w:ind w:firstLine="480"/>
        <w:contextualSpacing/>
        <w:rPr>
          <w:rFonts w:ascii="宋体" w:hAnsi="宋体" w:cs="Calibri"/>
          <w:kern w:val="0"/>
          <w:szCs w:val="21"/>
          <w:highlight w:val="none"/>
          <w:lang w:bidi="en-US"/>
        </w:rPr>
      </w:pPr>
      <w:r>
        <w:rPr>
          <w:rFonts w:ascii="宋体" w:hAnsi="宋体"/>
          <w:kern w:val="0"/>
          <w:szCs w:val="21"/>
          <w:highlight w:val="none"/>
          <w:lang w:bidi="en-US"/>
        </w:rPr>
        <w:t>（1）按第4.3款约定，批准工程的分包；</w:t>
      </w:r>
    </w:p>
    <w:p w14:paraId="7C9EE172">
      <w:pPr>
        <w:suppressAutoHyphens/>
        <w:snapToGrid w:val="0"/>
        <w:spacing w:line="420" w:lineRule="exact"/>
        <w:ind w:firstLine="480"/>
        <w:contextualSpacing/>
        <w:rPr>
          <w:rFonts w:ascii="宋体" w:hAnsi="宋体" w:cs="Calibri"/>
          <w:kern w:val="0"/>
          <w:szCs w:val="21"/>
          <w:highlight w:val="none"/>
          <w:lang w:bidi="en-US"/>
        </w:rPr>
      </w:pPr>
      <w:r>
        <w:rPr>
          <w:rFonts w:ascii="宋体" w:hAnsi="宋体"/>
          <w:kern w:val="0"/>
          <w:szCs w:val="21"/>
          <w:highlight w:val="none"/>
          <w:lang w:bidi="en-US"/>
        </w:rPr>
        <w:t>（2）按第11.3款约定，确定延长完工期限；</w:t>
      </w:r>
    </w:p>
    <w:p w14:paraId="3B85C951">
      <w:pPr>
        <w:suppressAutoHyphens/>
        <w:snapToGrid w:val="0"/>
        <w:spacing w:line="420" w:lineRule="exact"/>
        <w:ind w:firstLine="480"/>
        <w:contextualSpacing/>
        <w:rPr>
          <w:rFonts w:ascii="宋体" w:hAnsi="宋体" w:cs="Calibri"/>
          <w:kern w:val="0"/>
          <w:szCs w:val="21"/>
          <w:highlight w:val="none"/>
          <w:lang w:bidi="en-US"/>
        </w:rPr>
      </w:pPr>
      <w:r>
        <w:rPr>
          <w:rFonts w:ascii="宋体" w:hAnsi="宋体"/>
          <w:kern w:val="0"/>
          <w:szCs w:val="21"/>
          <w:highlight w:val="none"/>
          <w:lang w:bidi="en-US"/>
        </w:rPr>
        <w:t>（3）按第15.6款约定，批准预留金额的使用；</w:t>
      </w:r>
    </w:p>
    <w:p w14:paraId="6C826595">
      <w:pPr>
        <w:suppressAutoHyphens/>
        <w:snapToGrid w:val="0"/>
        <w:spacing w:line="420" w:lineRule="exact"/>
        <w:ind w:firstLine="480"/>
        <w:contextualSpacing/>
        <w:rPr>
          <w:rFonts w:ascii="宋体" w:hAnsi="宋体"/>
          <w:kern w:val="0"/>
          <w:szCs w:val="21"/>
          <w:highlight w:val="none"/>
          <w:lang w:bidi="en-US"/>
        </w:rPr>
      </w:pPr>
      <w:r>
        <w:rPr>
          <w:rFonts w:ascii="宋体" w:hAnsi="宋体"/>
          <w:kern w:val="0"/>
          <w:szCs w:val="21"/>
          <w:highlight w:val="none"/>
          <w:lang w:bidi="en-US"/>
        </w:rPr>
        <w:t>（4）按第15.4条规定，</w:t>
      </w:r>
      <w:r>
        <w:rPr>
          <w:rFonts w:hint="eastAsia" w:ascii="宋体" w:hAnsi="宋体"/>
          <w:kern w:val="0"/>
          <w:szCs w:val="21"/>
          <w:highlight w:val="none"/>
          <w:lang w:bidi="en-US"/>
        </w:rPr>
        <w:t>批准</w:t>
      </w:r>
      <w:r>
        <w:rPr>
          <w:rFonts w:ascii="宋体" w:hAnsi="宋体"/>
          <w:kern w:val="0"/>
          <w:szCs w:val="21"/>
          <w:highlight w:val="none"/>
          <w:lang w:bidi="en-US"/>
        </w:rPr>
        <w:t>因变更而变动的单价和合价；</w:t>
      </w:r>
    </w:p>
    <w:p w14:paraId="110D27F9">
      <w:pPr>
        <w:suppressAutoHyphens/>
        <w:snapToGrid w:val="0"/>
        <w:spacing w:line="420" w:lineRule="exact"/>
        <w:ind w:firstLine="480"/>
        <w:contextualSpacing/>
        <w:rPr>
          <w:rFonts w:ascii="宋体" w:hAnsi="宋体"/>
          <w:kern w:val="0"/>
          <w:szCs w:val="21"/>
          <w:highlight w:val="none"/>
          <w:lang w:bidi="en-US"/>
        </w:rPr>
      </w:pPr>
      <w:r>
        <w:rPr>
          <w:rFonts w:ascii="宋体" w:hAnsi="宋体"/>
          <w:kern w:val="0"/>
          <w:szCs w:val="21"/>
          <w:highlight w:val="none"/>
          <w:lang w:bidi="en-US"/>
        </w:rPr>
        <w:t>（5）按第23款约定，</w:t>
      </w:r>
      <w:r>
        <w:rPr>
          <w:rFonts w:hint="eastAsia" w:ascii="宋体" w:hAnsi="宋体"/>
          <w:kern w:val="0"/>
          <w:szCs w:val="21"/>
          <w:highlight w:val="none"/>
          <w:lang w:bidi="en-US"/>
        </w:rPr>
        <w:t>作出索赔的处理的决定</w:t>
      </w:r>
      <w:r>
        <w:rPr>
          <w:rFonts w:ascii="宋体" w:hAnsi="宋体"/>
          <w:kern w:val="0"/>
          <w:szCs w:val="21"/>
          <w:highlight w:val="none"/>
          <w:lang w:bidi="en-US"/>
        </w:rPr>
        <w:t>；</w:t>
      </w:r>
    </w:p>
    <w:p w14:paraId="3369104D">
      <w:pPr>
        <w:suppressAutoHyphens/>
        <w:snapToGrid w:val="0"/>
        <w:spacing w:line="420" w:lineRule="exact"/>
        <w:ind w:firstLine="480"/>
        <w:contextualSpacing/>
        <w:rPr>
          <w:rFonts w:ascii="宋体" w:hAnsi="宋体"/>
          <w:kern w:val="0"/>
          <w:szCs w:val="21"/>
          <w:highlight w:val="none"/>
          <w:lang w:bidi="en-US"/>
        </w:rPr>
      </w:pPr>
      <w:r>
        <w:rPr>
          <w:rFonts w:ascii="宋体" w:hAnsi="宋体"/>
          <w:kern w:val="0"/>
          <w:szCs w:val="21"/>
          <w:highlight w:val="none"/>
          <w:lang w:bidi="en-US"/>
        </w:rPr>
        <w:t>（6）</w:t>
      </w:r>
      <w:r>
        <w:rPr>
          <w:rFonts w:hint="eastAsia" w:ascii="宋体" w:hAnsi="宋体"/>
          <w:kern w:val="0"/>
          <w:szCs w:val="21"/>
          <w:highlight w:val="none"/>
          <w:lang w:bidi="en-US"/>
        </w:rPr>
        <w:t>批准</w:t>
      </w:r>
      <w:r>
        <w:rPr>
          <w:rFonts w:ascii="宋体" w:hAnsi="宋体"/>
          <w:kern w:val="0"/>
          <w:szCs w:val="21"/>
          <w:highlight w:val="none"/>
          <w:lang w:bidi="en-US"/>
        </w:rPr>
        <w:t>承包人主要管理人员（施工项目负责人、技术负责人、施工员、安全员、质检员</w:t>
      </w:r>
      <w:r>
        <w:rPr>
          <w:rFonts w:hint="eastAsia" w:ascii="宋体" w:hAnsi="宋体"/>
          <w:kern w:val="0"/>
          <w:szCs w:val="21"/>
          <w:highlight w:val="none"/>
          <w:lang w:bidi="en-US"/>
        </w:rPr>
        <w:t>、</w:t>
      </w:r>
      <w:r>
        <w:rPr>
          <w:rFonts w:ascii="宋体" w:hAnsi="宋体"/>
          <w:kern w:val="0"/>
          <w:szCs w:val="21"/>
          <w:highlight w:val="none"/>
          <w:lang w:bidi="en-US"/>
        </w:rPr>
        <w:t>专职安全</w:t>
      </w:r>
      <w:r>
        <w:rPr>
          <w:rFonts w:hint="eastAsia" w:ascii="宋体" w:hAnsi="宋体"/>
          <w:kern w:val="0"/>
          <w:szCs w:val="21"/>
          <w:highlight w:val="none"/>
          <w:lang w:bidi="en-US"/>
        </w:rPr>
        <w:t>管理人员</w:t>
      </w:r>
      <w:r>
        <w:rPr>
          <w:rFonts w:ascii="宋体" w:hAnsi="宋体"/>
          <w:kern w:val="0"/>
          <w:szCs w:val="21"/>
          <w:highlight w:val="none"/>
          <w:lang w:bidi="en-US"/>
        </w:rPr>
        <w:t>）</w:t>
      </w:r>
      <w:r>
        <w:rPr>
          <w:rFonts w:hint="eastAsia" w:ascii="宋体" w:hAnsi="宋体"/>
          <w:kern w:val="0"/>
          <w:szCs w:val="21"/>
          <w:highlight w:val="none"/>
          <w:lang w:bidi="en-US"/>
        </w:rPr>
        <w:t>的调动和重要设备的调遣</w:t>
      </w:r>
      <w:r>
        <w:rPr>
          <w:rFonts w:ascii="宋体" w:hAnsi="宋体"/>
          <w:kern w:val="0"/>
          <w:szCs w:val="21"/>
          <w:highlight w:val="none"/>
          <w:lang w:bidi="en-US"/>
        </w:rPr>
        <w:t>；</w:t>
      </w:r>
    </w:p>
    <w:p w14:paraId="27F1BB8C">
      <w:pPr>
        <w:suppressAutoHyphens/>
        <w:snapToGrid w:val="0"/>
        <w:spacing w:line="420" w:lineRule="exact"/>
        <w:ind w:firstLine="480"/>
        <w:contextualSpacing/>
        <w:rPr>
          <w:rFonts w:ascii="宋体" w:hAnsi="宋体"/>
          <w:kern w:val="0"/>
          <w:szCs w:val="21"/>
          <w:highlight w:val="none"/>
          <w:lang w:bidi="en-US"/>
        </w:rPr>
      </w:pPr>
      <w:r>
        <w:rPr>
          <w:rFonts w:ascii="宋体" w:hAnsi="宋体"/>
          <w:kern w:val="0"/>
          <w:szCs w:val="21"/>
          <w:highlight w:val="none"/>
          <w:lang w:bidi="en-US"/>
        </w:rPr>
        <w:t>（7）</w:t>
      </w:r>
      <w:r>
        <w:rPr>
          <w:rFonts w:hint="eastAsia" w:ascii="宋体" w:hAnsi="宋体"/>
          <w:kern w:val="0"/>
          <w:szCs w:val="21"/>
          <w:highlight w:val="none"/>
          <w:lang w:bidi="en-US"/>
        </w:rPr>
        <w:t>作出其他</w:t>
      </w:r>
      <w:r>
        <w:rPr>
          <w:rFonts w:ascii="宋体" w:hAnsi="宋体"/>
          <w:kern w:val="0"/>
          <w:szCs w:val="21"/>
          <w:highlight w:val="none"/>
          <w:lang w:bidi="en-US"/>
        </w:rPr>
        <w:t>影响工期、质量、合同价格等其他重大决定。</w:t>
      </w:r>
    </w:p>
    <w:p w14:paraId="1A1B240B">
      <w:pPr>
        <w:keepLines/>
        <w:widowControl/>
        <w:autoSpaceDE w:val="0"/>
        <w:autoSpaceDN w:val="0"/>
        <w:adjustRightInd w:val="0"/>
        <w:snapToGrid w:val="0"/>
        <w:spacing w:line="420" w:lineRule="exact"/>
        <w:jc w:val="left"/>
        <w:textAlignment w:val="baseline"/>
        <w:outlineLvl w:val="3"/>
        <w:rPr>
          <w:rFonts w:ascii="宋体" w:hAnsi="宋体"/>
          <w:b/>
          <w:snapToGrid w:val="0"/>
          <w:kern w:val="0"/>
          <w:szCs w:val="21"/>
          <w:highlight w:val="none"/>
        </w:rPr>
      </w:pPr>
      <w:r>
        <w:rPr>
          <w:rFonts w:ascii="宋体" w:hAnsi="宋体"/>
          <w:snapToGrid w:val="0"/>
          <w:kern w:val="0"/>
          <w:szCs w:val="21"/>
          <w:highlight w:val="none"/>
        </w:rPr>
        <w:t>4 承包人</w:t>
      </w:r>
    </w:p>
    <w:p w14:paraId="435B5316">
      <w:pPr>
        <w:keepNext/>
        <w:keepLines/>
        <w:numPr>
          <w:ilvl w:val="4"/>
          <w:numId w:val="0"/>
        </w:numPr>
        <w:tabs>
          <w:tab w:val="left" w:pos="0"/>
        </w:tabs>
        <w:suppressAutoHyphens/>
        <w:snapToGrid w:val="0"/>
        <w:spacing w:line="420" w:lineRule="exact"/>
        <w:outlineLvl w:val="4"/>
        <w:rPr>
          <w:rFonts w:ascii="宋体" w:hAnsi="宋体"/>
          <w:b/>
          <w:spacing w:val="20"/>
          <w:szCs w:val="21"/>
          <w:highlight w:val="none"/>
        </w:rPr>
      </w:pPr>
      <w:r>
        <w:rPr>
          <w:rFonts w:ascii="宋体" w:hAnsi="宋体"/>
          <w:snapToGrid w:val="0"/>
          <w:szCs w:val="21"/>
          <w:highlight w:val="none"/>
        </w:rPr>
        <w:t>4.1 承包人一般义务</w:t>
      </w:r>
    </w:p>
    <w:p w14:paraId="322F13AC">
      <w:pPr>
        <w:autoSpaceDE w:val="0"/>
        <w:autoSpaceDN w:val="0"/>
        <w:adjustRightInd w:val="0"/>
        <w:snapToGrid w:val="0"/>
        <w:spacing w:line="420" w:lineRule="exact"/>
        <w:ind w:firstLine="420" w:firstLineChars="200"/>
        <w:textAlignment w:val="baseline"/>
        <w:rPr>
          <w:rFonts w:ascii="宋体" w:hAnsi="宋体"/>
          <w:i/>
          <w:snapToGrid w:val="0"/>
          <w:kern w:val="0"/>
          <w:szCs w:val="21"/>
          <w:highlight w:val="none"/>
        </w:rPr>
      </w:pPr>
      <w:r>
        <w:rPr>
          <w:rFonts w:ascii="宋体" w:hAnsi="宋体"/>
          <w:snapToGrid w:val="0"/>
          <w:kern w:val="0"/>
          <w:szCs w:val="21"/>
          <w:highlight w:val="none"/>
        </w:rPr>
        <w:t>4.1.10 其它义务</w:t>
      </w:r>
    </w:p>
    <w:p w14:paraId="2AB3F07F">
      <w:pPr>
        <w:tabs>
          <w:tab w:val="left" w:pos="2790"/>
        </w:tabs>
        <w:autoSpaceDE w:val="0"/>
        <w:autoSpaceDN w:val="0"/>
        <w:adjustRightInd w:val="0"/>
        <w:snapToGrid w:val="0"/>
        <w:spacing w:line="420" w:lineRule="exact"/>
        <w:ind w:firstLine="420" w:firstLineChars="200"/>
        <w:textAlignment w:val="baseline"/>
        <w:rPr>
          <w:rFonts w:ascii="宋体" w:hAnsi="宋体"/>
          <w:snapToGrid w:val="0"/>
          <w:kern w:val="0"/>
          <w:szCs w:val="21"/>
          <w:highlight w:val="none"/>
        </w:rPr>
      </w:pPr>
      <w:r>
        <w:rPr>
          <w:rFonts w:hint="eastAsia" w:ascii="宋体" w:hAnsi="宋体"/>
          <w:snapToGrid w:val="0"/>
          <w:kern w:val="0"/>
          <w:szCs w:val="21"/>
          <w:highlight w:val="none"/>
        </w:rPr>
        <w:t>（1）承包人应按有关规定自行落实为完成本工程需临时占用征地红线范围以外的土地，并办理相关手续，所发生的的费用由承包人自行承担，并包含在报价中，发包人提供必要的协调，但发包人的协调并不减轻或免除承包人的义务。临时占地退还前，承包人应自费恢复到临时占地使用前（或占地使用协议规定）的状况。如因承包人撤离后未按要求对临时占地进行恢复或虽进行了恢复但未达到使用标准的，将由发包人委托第三方对其恢复，所发生的费用将从应付给承包人的任何款项内扣除。</w:t>
      </w:r>
    </w:p>
    <w:p w14:paraId="623C4DB4">
      <w:pPr>
        <w:tabs>
          <w:tab w:val="left" w:pos="2790"/>
        </w:tabs>
        <w:autoSpaceDE w:val="0"/>
        <w:autoSpaceDN w:val="0"/>
        <w:adjustRightInd w:val="0"/>
        <w:snapToGrid w:val="0"/>
        <w:spacing w:line="420" w:lineRule="exact"/>
        <w:ind w:firstLine="420" w:firstLineChars="200"/>
        <w:textAlignment w:val="baseline"/>
        <w:rPr>
          <w:rFonts w:ascii="宋体" w:hAnsi="宋体"/>
          <w:snapToGrid w:val="0"/>
          <w:kern w:val="0"/>
          <w:szCs w:val="21"/>
          <w:highlight w:val="none"/>
        </w:rPr>
      </w:pPr>
      <w:r>
        <w:rPr>
          <w:rFonts w:hint="eastAsia" w:ascii="宋体" w:hAnsi="宋体"/>
          <w:snapToGrid w:val="0"/>
          <w:kern w:val="0"/>
          <w:szCs w:val="21"/>
          <w:highlight w:val="none"/>
        </w:rPr>
        <w:t>（2）承包人应根据工程施工情况及监理人的指令，及时向监理人提交开工报告、测量报告、工程质量自检报告、竣工验收申请报告及工程事故报告等。</w:t>
      </w:r>
    </w:p>
    <w:p w14:paraId="079C0837">
      <w:pPr>
        <w:tabs>
          <w:tab w:val="left" w:pos="2790"/>
        </w:tabs>
        <w:autoSpaceDE w:val="0"/>
        <w:autoSpaceDN w:val="0"/>
        <w:adjustRightInd w:val="0"/>
        <w:snapToGrid w:val="0"/>
        <w:spacing w:line="420" w:lineRule="exact"/>
        <w:ind w:firstLine="420" w:firstLineChars="200"/>
        <w:textAlignment w:val="baseline"/>
        <w:rPr>
          <w:rFonts w:ascii="宋体" w:hAnsi="宋体"/>
          <w:snapToGrid w:val="0"/>
          <w:kern w:val="0"/>
          <w:szCs w:val="21"/>
          <w:highlight w:val="none"/>
        </w:rPr>
      </w:pPr>
      <w:r>
        <w:rPr>
          <w:rFonts w:hint="eastAsia" w:ascii="宋体" w:hAnsi="宋体"/>
          <w:snapToGrid w:val="0"/>
          <w:kern w:val="0"/>
          <w:szCs w:val="21"/>
          <w:highlight w:val="none"/>
        </w:rPr>
        <w:t>（3）必须接受发包人、监理单位的管理，并为其开展工作和生活提供方便，按照要求提供完整真实的原始数据、检测记录等技术资料及各种报表。承包人应执行发包人对工程管理所制定的各项管理制度。</w:t>
      </w:r>
    </w:p>
    <w:p w14:paraId="6383A6AE">
      <w:pPr>
        <w:tabs>
          <w:tab w:val="left" w:pos="2790"/>
        </w:tabs>
        <w:autoSpaceDE w:val="0"/>
        <w:autoSpaceDN w:val="0"/>
        <w:adjustRightInd w:val="0"/>
        <w:snapToGrid w:val="0"/>
        <w:spacing w:line="420" w:lineRule="exact"/>
        <w:ind w:firstLine="420" w:firstLineChars="200"/>
        <w:textAlignment w:val="baseline"/>
        <w:rPr>
          <w:rFonts w:ascii="宋体" w:hAnsi="宋体"/>
          <w:snapToGrid w:val="0"/>
          <w:kern w:val="0"/>
          <w:szCs w:val="21"/>
          <w:highlight w:val="none"/>
        </w:rPr>
      </w:pPr>
      <w:r>
        <w:rPr>
          <w:rFonts w:hint="eastAsia" w:ascii="宋体" w:hAnsi="宋体"/>
          <w:snapToGrid w:val="0"/>
          <w:kern w:val="0"/>
          <w:szCs w:val="21"/>
          <w:highlight w:val="none"/>
        </w:rPr>
        <w:t>（4）在整个施工过程中对承包人采取的安全、保卫和环境保护措施，发包人和监理人有权监督，并向承包人提出整改要求。如果由于承包人未能对其负责的上述事项采取各种必要的措施而导致或发生与此有关的人身伤亡、罚款、索赔、损失补偿、诉讼费用及其他一切责任应由承包人负责。</w:t>
      </w:r>
    </w:p>
    <w:p w14:paraId="545FCE85">
      <w:pPr>
        <w:tabs>
          <w:tab w:val="left" w:pos="2790"/>
        </w:tabs>
        <w:autoSpaceDE w:val="0"/>
        <w:autoSpaceDN w:val="0"/>
        <w:adjustRightInd w:val="0"/>
        <w:snapToGrid w:val="0"/>
        <w:spacing w:line="420" w:lineRule="exact"/>
        <w:ind w:firstLine="420" w:firstLineChars="200"/>
        <w:textAlignment w:val="baseline"/>
        <w:rPr>
          <w:rFonts w:hint="eastAsia" w:ascii="宋体" w:hAnsi="宋体"/>
          <w:snapToGrid w:val="0"/>
          <w:kern w:val="0"/>
          <w:szCs w:val="21"/>
          <w:highlight w:val="none"/>
        </w:rPr>
      </w:pPr>
      <w:r>
        <w:rPr>
          <w:rFonts w:hint="eastAsia" w:ascii="宋体" w:hAnsi="宋体"/>
          <w:snapToGrid w:val="0"/>
          <w:kern w:val="0"/>
          <w:szCs w:val="21"/>
          <w:highlight w:val="none"/>
        </w:rPr>
        <w:t>（5）承包人应将沉降观测点布置、观测仪器设置利定期观测记录提交监理人。</w:t>
      </w:r>
    </w:p>
    <w:p w14:paraId="6E4422A7">
      <w:pPr>
        <w:tabs>
          <w:tab w:val="left" w:pos="2790"/>
        </w:tabs>
        <w:autoSpaceDE w:val="0"/>
        <w:autoSpaceDN w:val="0"/>
        <w:adjustRightInd w:val="0"/>
        <w:snapToGrid w:val="0"/>
        <w:spacing w:line="420" w:lineRule="exact"/>
        <w:ind w:firstLine="420" w:firstLineChars="200"/>
        <w:textAlignment w:val="baseline"/>
        <w:rPr>
          <w:rFonts w:ascii="宋体" w:hAnsi="宋体"/>
          <w:snapToGrid w:val="0"/>
          <w:kern w:val="0"/>
          <w:szCs w:val="21"/>
          <w:highlight w:val="none"/>
        </w:rPr>
      </w:pPr>
      <w:r>
        <w:rPr>
          <w:rFonts w:hint="eastAsia" w:ascii="宋体" w:hAnsi="宋体"/>
          <w:snapToGrid w:val="0"/>
          <w:kern w:val="0"/>
          <w:szCs w:val="21"/>
          <w:highlight w:val="none"/>
        </w:rPr>
        <w:t>（6）本工程完工验收通过后15日内，承包人应自行拆除施工临时设施，撤退施工机械设备并清理场地，修复场内的交通道路，撤离所有施工人员。</w:t>
      </w:r>
    </w:p>
    <w:p w14:paraId="179999F4">
      <w:pPr>
        <w:tabs>
          <w:tab w:val="left" w:pos="2790"/>
        </w:tabs>
        <w:autoSpaceDE w:val="0"/>
        <w:autoSpaceDN w:val="0"/>
        <w:adjustRightInd w:val="0"/>
        <w:snapToGrid w:val="0"/>
        <w:spacing w:line="420" w:lineRule="exact"/>
        <w:ind w:firstLine="420" w:firstLineChars="200"/>
        <w:textAlignment w:val="baseline"/>
        <w:rPr>
          <w:rFonts w:ascii="宋体" w:hAnsi="宋体"/>
          <w:snapToGrid w:val="0"/>
          <w:kern w:val="0"/>
          <w:szCs w:val="21"/>
          <w:highlight w:val="none"/>
        </w:rPr>
      </w:pPr>
      <w:r>
        <w:rPr>
          <w:rFonts w:hint="eastAsia" w:ascii="宋体" w:hAnsi="宋体"/>
          <w:snapToGrid w:val="0"/>
          <w:kern w:val="0"/>
          <w:szCs w:val="21"/>
          <w:highlight w:val="none"/>
        </w:rPr>
        <w:t>（7）承包人在工程实施中应按照水利部、台州市、椒江区相关文件资料归档要求及时整理施工过程中的相关资料，做好资料归档工作，并根据发包人的要求按时提供，该项工作作为合同履约的组成部分。</w:t>
      </w:r>
    </w:p>
    <w:p w14:paraId="48B98B38">
      <w:pPr>
        <w:tabs>
          <w:tab w:val="left" w:pos="2790"/>
        </w:tabs>
        <w:autoSpaceDE w:val="0"/>
        <w:autoSpaceDN w:val="0"/>
        <w:adjustRightInd w:val="0"/>
        <w:snapToGrid w:val="0"/>
        <w:spacing w:line="420" w:lineRule="exact"/>
        <w:ind w:firstLine="420" w:firstLineChars="200"/>
        <w:textAlignment w:val="baseline"/>
        <w:rPr>
          <w:rFonts w:hint="eastAsia" w:ascii="宋体" w:hAnsi="宋体"/>
          <w:snapToGrid w:val="0"/>
          <w:kern w:val="0"/>
          <w:szCs w:val="21"/>
          <w:highlight w:val="none"/>
        </w:rPr>
      </w:pPr>
      <w:r>
        <w:rPr>
          <w:rFonts w:hint="eastAsia" w:ascii="宋体" w:hAnsi="宋体"/>
          <w:snapToGrid w:val="0"/>
          <w:kern w:val="0"/>
          <w:szCs w:val="21"/>
          <w:highlight w:val="none"/>
        </w:rPr>
        <w:t>（8）承包人应严格遵守国家有关解决拖欠工程款和民工工资的法律、法规，及时支付工程中的材料、设备货款及民工工资等费用。承包人不得以任何借口拖欠材料、设备货款及民工工资等费用，如果出现此种现象，发包人有权代为支付其拖欠的材料、设备货款及民工工资，并从应付给承包人的工程款中扣除相应款项。</w:t>
      </w:r>
    </w:p>
    <w:p w14:paraId="361FED14">
      <w:pPr>
        <w:tabs>
          <w:tab w:val="left" w:pos="2790"/>
        </w:tabs>
        <w:autoSpaceDE w:val="0"/>
        <w:autoSpaceDN w:val="0"/>
        <w:adjustRightInd w:val="0"/>
        <w:snapToGrid w:val="0"/>
        <w:spacing w:line="420" w:lineRule="exact"/>
        <w:ind w:firstLine="420" w:firstLineChars="200"/>
        <w:textAlignment w:val="baseline"/>
        <w:rPr>
          <w:rFonts w:ascii="宋体" w:hAnsi="宋体"/>
          <w:snapToGrid w:val="0"/>
          <w:kern w:val="0"/>
          <w:szCs w:val="21"/>
          <w:highlight w:val="none"/>
        </w:rPr>
      </w:pPr>
      <w:r>
        <w:rPr>
          <w:rFonts w:hint="eastAsia" w:ascii="宋体" w:hAnsi="宋体"/>
          <w:snapToGrid w:val="0"/>
          <w:kern w:val="0"/>
          <w:szCs w:val="21"/>
          <w:highlight w:val="none"/>
        </w:rPr>
        <w:t>承包人的项目经理部是民工工资支付行为的主体，承包人的项目经理是民工工资支付的责任人。项目经理部要建立全体民工花名册和工资支付表，确保将工资直接发放给民工本人，或委托银行发放民工工资，严禁发放给</w:t>
      </w:r>
      <w:r>
        <w:rPr>
          <w:rFonts w:ascii="宋体" w:hAnsi="宋体"/>
          <w:snapToGrid w:val="0"/>
          <w:kern w:val="0"/>
          <w:szCs w:val="21"/>
          <w:highlight w:val="none"/>
        </w:rPr>
        <w:t>“</w:t>
      </w:r>
      <w:r>
        <w:rPr>
          <w:rFonts w:hint="eastAsia" w:ascii="宋体" w:hAnsi="宋体"/>
          <w:snapToGrid w:val="0"/>
          <w:kern w:val="0"/>
          <w:szCs w:val="21"/>
          <w:highlight w:val="none"/>
        </w:rPr>
        <w:t>包工头</w:t>
      </w:r>
      <w:r>
        <w:rPr>
          <w:rFonts w:ascii="宋体" w:hAnsi="宋体"/>
          <w:snapToGrid w:val="0"/>
          <w:kern w:val="0"/>
          <w:szCs w:val="21"/>
          <w:highlight w:val="none"/>
        </w:rPr>
        <w:t>”</w:t>
      </w:r>
      <w:r>
        <w:rPr>
          <w:rFonts w:hint="eastAsia" w:ascii="宋体" w:hAnsi="宋体"/>
          <w:snapToGrid w:val="0"/>
          <w:kern w:val="0"/>
          <w:szCs w:val="21"/>
          <w:highlight w:val="none"/>
        </w:rPr>
        <w:t>或其他不具备用工主体资格的组织和个人。</w:t>
      </w:r>
    </w:p>
    <w:p w14:paraId="768202DF">
      <w:pPr>
        <w:tabs>
          <w:tab w:val="left" w:pos="2790"/>
        </w:tabs>
        <w:autoSpaceDE w:val="0"/>
        <w:autoSpaceDN w:val="0"/>
        <w:adjustRightInd w:val="0"/>
        <w:snapToGrid w:val="0"/>
        <w:spacing w:line="420" w:lineRule="exact"/>
        <w:ind w:firstLine="420" w:firstLineChars="200"/>
        <w:textAlignment w:val="baseline"/>
        <w:rPr>
          <w:rFonts w:hint="eastAsia" w:ascii="宋体" w:hAnsi="宋体"/>
          <w:snapToGrid w:val="0"/>
          <w:kern w:val="0"/>
          <w:szCs w:val="21"/>
          <w:highlight w:val="none"/>
        </w:rPr>
      </w:pPr>
      <w:r>
        <w:rPr>
          <w:rFonts w:hint="eastAsia" w:ascii="宋体" w:hAnsi="宋体"/>
          <w:snapToGrid w:val="0"/>
          <w:kern w:val="0"/>
          <w:szCs w:val="21"/>
          <w:highlight w:val="none"/>
        </w:rPr>
        <w:t>（9）自行落实的堆场围堰必须牢固，保证不滑坡，堆砌高度不宜过高。承包人应将弃土堆放到堆场，消除一切影响，并承担相关后果和费用。</w:t>
      </w:r>
    </w:p>
    <w:p w14:paraId="1DD8B141">
      <w:pPr>
        <w:tabs>
          <w:tab w:val="left" w:pos="2790"/>
        </w:tabs>
        <w:autoSpaceDE w:val="0"/>
        <w:autoSpaceDN w:val="0"/>
        <w:adjustRightInd w:val="0"/>
        <w:snapToGrid w:val="0"/>
        <w:spacing w:line="420" w:lineRule="exact"/>
        <w:ind w:firstLine="420" w:firstLineChars="200"/>
        <w:textAlignment w:val="baseline"/>
        <w:rPr>
          <w:rFonts w:hint="eastAsia" w:ascii="宋体" w:hAnsi="宋体"/>
          <w:snapToGrid w:val="0"/>
          <w:kern w:val="0"/>
          <w:szCs w:val="21"/>
          <w:highlight w:val="none"/>
        </w:rPr>
      </w:pPr>
      <w:r>
        <w:rPr>
          <w:rFonts w:hint="eastAsia" w:ascii="宋体" w:hAnsi="宋体"/>
          <w:snapToGrid w:val="0"/>
          <w:kern w:val="0"/>
          <w:szCs w:val="21"/>
          <w:highlight w:val="none"/>
        </w:rPr>
        <w:t>（10）项目实施期间，发生一切事故所产生的一切费用与责任由乙方负全责。</w:t>
      </w:r>
    </w:p>
    <w:p w14:paraId="781CB0BB">
      <w:pPr>
        <w:keepNext/>
        <w:keepLines/>
        <w:numPr>
          <w:ilvl w:val="4"/>
          <w:numId w:val="0"/>
        </w:numPr>
        <w:tabs>
          <w:tab w:val="left" w:pos="0"/>
        </w:tabs>
        <w:suppressAutoHyphens/>
        <w:snapToGrid w:val="0"/>
        <w:spacing w:line="420" w:lineRule="exact"/>
        <w:outlineLvl w:val="4"/>
        <w:rPr>
          <w:rFonts w:ascii="宋体" w:hAnsi="宋体"/>
          <w:b/>
          <w:spacing w:val="20"/>
          <w:szCs w:val="21"/>
          <w:highlight w:val="none"/>
        </w:rPr>
      </w:pPr>
      <w:r>
        <w:rPr>
          <w:rFonts w:ascii="宋体" w:hAnsi="宋体"/>
          <w:snapToGrid w:val="0"/>
          <w:szCs w:val="21"/>
          <w:highlight w:val="none"/>
        </w:rPr>
        <w:t>4.3 分包</w:t>
      </w:r>
    </w:p>
    <w:p w14:paraId="4106A740">
      <w:pPr>
        <w:suppressAutoHyphens/>
        <w:autoSpaceDE w:val="0"/>
        <w:snapToGrid w:val="0"/>
        <w:spacing w:line="420" w:lineRule="exact"/>
        <w:ind w:firstLine="480"/>
        <w:textAlignment w:val="baseline"/>
        <w:rPr>
          <w:rFonts w:ascii="宋体" w:hAnsi="宋体"/>
          <w:kern w:val="0"/>
          <w:szCs w:val="21"/>
          <w:highlight w:val="none"/>
        </w:rPr>
      </w:pPr>
      <w:r>
        <w:rPr>
          <w:rFonts w:ascii="宋体" w:hAnsi="宋体"/>
          <w:kern w:val="0"/>
          <w:szCs w:val="21"/>
          <w:highlight w:val="none"/>
        </w:rPr>
        <w:t>4.3.2</w:t>
      </w:r>
      <w:r>
        <w:rPr>
          <w:rFonts w:hint="eastAsia" w:ascii="宋体" w:hAnsi="宋体"/>
          <w:kern w:val="0"/>
          <w:szCs w:val="21"/>
          <w:highlight w:val="none"/>
        </w:rPr>
        <w:t xml:space="preserve"> 允许承包人分包的工程项目、工作内容与分包金额限额为</w:t>
      </w:r>
      <w:r>
        <w:rPr>
          <w:rFonts w:ascii="宋体" w:hAnsi="宋体"/>
          <w:kern w:val="0"/>
          <w:szCs w:val="21"/>
          <w:highlight w:val="none"/>
        </w:rPr>
        <w:t>：</w:t>
      </w:r>
    </w:p>
    <w:p w14:paraId="0368735D">
      <w:pPr>
        <w:autoSpaceDE w:val="0"/>
        <w:autoSpaceDN w:val="0"/>
        <w:adjustRightInd w:val="0"/>
        <w:snapToGrid w:val="0"/>
        <w:spacing w:line="420" w:lineRule="exact"/>
        <w:ind w:firstLine="480"/>
        <w:textAlignment w:val="baseline"/>
        <w:rPr>
          <w:rFonts w:ascii="宋体" w:hAnsi="宋体"/>
          <w:kern w:val="0"/>
          <w:szCs w:val="21"/>
          <w:highlight w:val="none"/>
        </w:rPr>
      </w:pPr>
      <w:r>
        <w:rPr>
          <w:rFonts w:ascii="宋体" w:hAnsi="宋体"/>
          <w:kern w:val="0"/>
          <w:szCs w:val="21"/>
          <w:highlight w:val="none"/>
        </w:rPr>
        <w:t>（1）工程项目：</w:t>
      </w:r>
      <w:r>
        <w:rPr>
          <w:rFonts w:hint="eastAsia" w:ascii="宋体" w:hAnsi="宋体"/>
          <w:kern w:val="0"/>
          <w:szCs w:val="21"/>
          <w:highlight w:val="none"/>
          <w:u w:val="single"/>
        </w:rPr>
        <w:t>/</w:t>
      </w:r>
      <w:r>
        <w:rPr>
          <w:rFonts w:ascii="宋体" w:hAnsi="宋体"/>
          <w:kern w:val="0"/>
          <w:szCs w:val="21"/>
          <w:highlight w:val="none"/>
        </w:rPr>
        <w:t>。</w:t>
      </w:r>
    </w:p>
    <w:p w14:paraId="0D4F873E">
      <w:pPr>
        <w:widowControl/>
        <w:autoSpaceDE w:val="0"/>
        <w:autoSpaceDN w:val="0"/>
        <w:adjustRightInd w:val="0"/>
        <w:snapToGrid w:val="0"/>
        <w:spacing w:line="420" w:lineRule="exact"/>
        <w:ind w:firstLine="480"/>
        <w:textAlignment w:val="bottom"/>
        <w:rPr>
          <w:rFonts w:ascii="宋体" w:hAnsi="宋体"/>
          <w:kern w:val="0"/>
          <w:szCs w:val="21"/>
          <w:highlight w:val="none"/>
        </w:rPr>
      </w:pPr>
      <w:r>
        <w:rPr>
          <w:rFonts w:ascii="宋体" w:hAnsi="宋体"/>
          <w:kern w:val="0"/>
          <w:szCs w:val="21"/>
          <w:highlight w:val="none"/>
        </w:rPr>
        <w:t>（2）工作内容：</w:t>
      </w:r>
      <w:r>
        <w:rPr>
          <w:rFonts w:hint="eastAsia" w:ascii="宋体" w:hAnsi="宋体"/>
          <w:kern w:val="0"/>
          <w:szCs w:val="21"/>
          <w:highlight w:val="none"/>
          <w:u w:val="single"/>
        </w:rPr>
        <w:t>/</w:t>
      </w:r>
      <w:r>
        <w:rPr>
          <w:rFonts w:ascii="宋体" w:hAnsi="宋体"/>
          <w:kern w:val="0"/>
          <w:szCs w:val="21"/>
          <w:highlight w:val="none"/>
        </w:rPr>
        <w:t>。</w:t>
      </w:r>
    </w:p>
    <w:p w14:paraId="33DBF94C">
      <w:pPr>
        <w:widowControl/>
        <w:autoSpaceDE w:val="0"/>
        <w:autoSpaceDN w:val="0"/>
        <w:adjustRightInd w:val="0"/>
        <w:snapToGrid w:val="0"/>
        <w:spacing w:line="420" w:lineRule="exact"/>
        <w:ind w:firstLine="480"/>
        <w:textAlignment w:val="bottom"/>
        <w:rPr>
          <w:rFonts w:ascii="宋体" w:hAnsi="宋体"/>
          <w:kern w:val="0"/>
          <w:szCs w:val="21"/>
          <w:highlight w:val="none"/>
        </w:rPr>
      </w:pPr>
      <w:r>
        <w:rPr>
          <w:rFonts w:ascii="宋体" w:hAnsi="宋体"/>
          <w:kern w:val="0"/>
          <w:szCs w:val="21"/>
          <w:highlight w:val="none"/>
        </w:rPr>
        <w:t>（3）分包金额限额：</w:t>
      </w:r>
      <w:r>
        <w:rPr>
          <w:rFonts w:hint="eastAsia" w:ascii="宋体" w:hAnsi="宋体"/>
          <w:kern w:val="0"/>
          <w:szCs w:val="21"/>
          <w:highlight w:val="none"/>
          <w:u w:val="single"/>
        </w:rPr>
        <w:t>/</w:t>
      </w:r>
      <w:r>
        <w:rPr>
          <w:rFonts w:ascii="宋体" w:hAnsi="宋体"/>
          <w:kern w:val="0"/>
          <w:szCs w:val="21"/>
          <w:highlight w:val="none"/>
        </w:rPr>
        <w:t>。</w:t>
      </w:r>
    </w:p>
    <w:p w14:paraId="62C5DE83">
      <w:pPr>
        <w:autoSpaceDE w:val="0"/>
        <w:autoSpaceDN w:val="0"/>
        <w:adjustRightInd w:val="0"/>
        <w:snapToGrid w:val="0"/>
        <w:spacing w:line="420" w:lineRule="exact"/>
        <w:ind w:firstLine="480"/>
        <w:textAlignment w:val="baseline"/>
        <w:rPr>
          <w:rFonts w:ascii="宋体" w:hAnsi="宋体"/>
          <w:kern w:val="0"/>
          <w:szCs w:val="21"/>
          <w:highlight w:val="none"/>
        </w:rPr>
      </w:pPr>
      <w:r>
        <w:rPr>
          <w:rFonts w:ascii="宋体" w:hAnsi="宋体"/>
          <w:kern w:val="0"/>
          <w:szCs w:val="21"/>
          <w:highlight w:val="none"/>
        </w:rPr>
        <w:t>4.3.10 分包人项目管理机构的设立：</w:t>
      </w:r>
      <w:r>
        <w:rPr>
          <w:rFonts w:hint="eastAsia" w:ascii="宋体" w:hAnsi="宋体" w:cs="宋体"/>
          <w:kern w:val="0"/>
          <w:szCs w:val="21"/>
          <w:highlight w:val="none"/>
          <w:u w:val="single"/>
        </w:rPr>
        <w:t xml:space="preserve">  /   </w:t>
      </w:r>
      <w:r>
        <w:rPr>
          <w:rFonts w:ascii="宋体" w:hAnsi="宋体"/>
          <w:kern w:val="0"/>
          <w:szCs w:val="21"/>
          <w:highlight w:val="none"/>
        </w:rPr>
        <w:t>。</w:t>
      </w:r>
    </w:p>
    <w:p w14:paraId="748F304E">
      <w:pPr>
        <w:keepNext/>
        <w:keepLines/>
        <w:numPr>
          <w:ilvl w:val="4"/>
          <w:numId w:val="0"/>
        </w:numPr>
        <w:tabs>
          <w:tab w:val="left" w:pos="0"/>
        </w:tabs>
        <w:suppressAutoHyphens/>
        <w:snapToGrid w:val="0"/>
        <w:spacing w:line="420" w:lineRule="exact"/>
        <w:outlineLvl w:val="4"/>
        <w:rPr>
          <w:rFonts w:ascii="宋体" w:hAnsi="宋体"/>
          <w:b/>
          <w:spacing w:val="20"/>
          <w:szCs w:val="21"/>
          <w:highlight w:val="none"/>
        </w:rPr>
      </w:pPr>
      <w:r>
        <w:rPr>
          <w:rFonts w:ascii="宋体" w:hAnsi="宋体"/>
          <w:snapToGrid w:val="0"/>
          <w:szCs w:val="21"/>
          <w:highlight w:val="none"/>
        </w:rPr>
        <w:t>4.5 承包人项目负责人</w:t>
      </w:r>
    </w:p>
    <w:p w14:paraId="3B3DEF25">
      <w:pPr>
        <w:tabs>
          <w:tab w:val="left" w:pos="2790"/>
        </w:tabs>
        <w:autoSpaceDE w:val="0"/>
        <w:autoSpaceDN w:val="0"/>
        <w:adjustRightInd w:val="0"/>
        <w:snapToGrid w:val="0"/>
        <w:spacing w:line="420" w:lineRule="exact"/>
        <w:ind w:firstLine="480"/>
        <w:textAlignment w:val="baseline"/>
        <w:rPr>
          <w:rFonts w:ascii="宋体" w:hAnsi="宋体"/>
          <w:kern w:val="0"/>
          <w:szCs w:val="21"/>
          <w:highlight w:val="none"/>
        </w:rPr>
      </w:pPr>
      <w:r>
        <w:rPr>
          <w:rFonts w:hint="eastAsia" w:ascii="宋体" w:hAnsi="宋体"/>
          <w:kern w:val="0"/>
          <w:szCs w:val="21"/>
          <w:highlight w:val="none"/>
        </w:rPr>
        <w:t>本章</w:t>
      </w:r>
      <w:r>
        <w:rPr>
          <w:rFonts w:ascii="宋体" w:hAnsi="宋体"/>
          <w:kern w:val="0"/>
          <w:szCs w:val="21"/>
          <w:highlight w:val="none"/>
        </w:rPr>
        <w:t>4.5.5款</w:t>
      </w:r>
      <w:r>
        <w:rPr>
          <w:rFonts w:hint="eastAsia" w:ascii="宋体" w:hAnsi="宋体"/>
          <w:kern w:val="0"/>
          <w:szCs w:val="21"/>
          <w:highlight w:val="none"/>
        </w:rPr>
        <w:t>补充</w:t>
      </w:r>
      <w:r>
        <w:rPr>
          <w:rFonts w:ascii="宋体" w:hAnsi="宋体"/>
          <w:kern w:val="0"/>
          <w:szCs w:val="21"/>
          <w:highlight w:val="none"/>
        </w:rPr>
        <w:t>：</w:t>
      </w:r>
    </w:p>
    <w:p w14:paraId="3584F4B7">
      <w:pPr>
        <w:tabs>
          <w:tab w:val="left" w:pos="2790"/>
        </w:tabs>
        <w:autoSpaceDE w:val="0"/>
        <w:autoSpaceDN w:val="0"/>
        <w:adjustRightInd w:val="0"/>
        <w:snapToGrid w:val="0"/>
        <w:spacing w:line="420" w:lineRule="exact"/>
        <w:ind w:firstLine="480"/>
        <w:textAlignment w:val="baseline"/>
        <w:rPr>
          <w:rFonts w:ascii="宋体" w:hAnsi="宋体"/>
          <w:kern w:val="0"/>
          <w:szCs w:val="21"/>
          <w:highlight w:val="none"/>
        </w:rPr>
      </w:pPr>
      <w:r>
        <w:rPr>
          <w:rFonts w:ascii="宋体" w:hAnsi="宋体"/>
          <w:kern w:val="0"/>
          <w:szCs w:val="21"/>
          <w:highlight w:val="none"/>
        </w:rPr>
        <w:t>项目负责人每月</w:t>
      </w:r>
      <w:r>
        <w:rPr>
          <w:rFonts w:hint="eastAsia" w:ascii="宋体" w:hAnsi="宋体"/>
          <w:kern w:val="0"/>
          <w:szCs w:val="21"/>
          <w:highlight w:val="none"/>
        </w:rPr>
        <w:t>驻工地的天数不少于22天（遇法定节假日可扣减），每少一天支付违约金</w:t>
      </w:r>
      <w:r>
        <w:rPr>
          <w:rFonts w:hint="eastAsia" w:ascii="宋体" w:hAnsi="宋体"/>
          <w:kern w:val="0"/>
          <w:szCs w:val="21"/>
          <w:highlight w:val="none"/>
          <w:u w:val="single"/>
        </w:rPr>
        <w:t>500</w:t>
      </w:r>
      <w:r>
        <w:rPr>
          <w:rFonts w:hint="eastAsia" w:ascii="宋体" w:hAnsi="宋体"/>
          <w:kern w:val="0"/>
          <w:szCs w:val="21"/>
          <w:highlight w:val="none"/>
        </w:rPr>
        <w:t>元，但扣款最终的累计总金额不应超过</w:t>
      </w:r>
      <w:r>
        <w:rPr>
          <w:rFonts w:hint="eastAsia" w:ascii="宋体" w:hAnsi="宋体"/>
          <w:kern w:val="0"/>
          <w:szCs w:val="21"/>
          <w:highlight w:val="none"/>
          <w:u w:val="single"/>
        </w:rPr>
        <w:t xml:space="preserve">  </w:t>
      </w:r>
      <w:r>
        <w:rPr>
          <w:rFonts w:ascii="宋体" w:hAnsi="宋体"/>
          <w:kern w:val="0"/>
          <w:szCs w:val="21"/>
          <w:highlight w:val="none"/>
          <w:u w:val="single"/>
        </w:rPr>
        <w:t>5</w:t>
      </w:r>
      <w:r>
        <w:rPr>
          <w:rFonts w:hint="eastAsia" w:ascii="宋体" w:hAnsi="宋体"/>
          <w:kern w:val="0"/>
          <w:szCs w:val="21"/>
          <w:highlight w:val="none"/>
          <w:u w:val="single"/>
        </w:rPr>
        <w:t xml:space="preserve">  </w:t>
      </w:r>
      <w:r>
        <w:rPr>
          <w:rFonts w:hint="eastAsia" w:ascii="宋体" w:hAnsi="宋体"/>
          <w:kern w:val="0"/>
          <w:szCs w:val="21"/>
          <w:highlight w:val="none"/>
        </w:rPr>
        <w:t>万元。</w:t>
      </w:r>
    </w:p>
    <w:p w14:paraId="7BD69A72">
      <w:pPr>
        <w:tabs>
          <w:tab w:val="left" w:pos="2790"/>
        </w:tabs>
        <w:autoSpaceDE w:val="0"/>
        <w:autoSpaceDN w:val="0"/>
        <w:adjustRightInd w:val="0"/>
        <w:snapToGrid w:val="0"/>
        <w:spacing w:line="420" w:lineRule="exact"/>
        <w:ind w:firstLine="480"/>
        <w:textAlignment w:val="baseline"/>
        <w:rPr>
          <w:rFonts w:hint="eastAsia" w:ascii="宋体" w:hAnsi="宋体"/>
          <w:kern w:val="0"/>
          <w:szCs w:val="21"/>
          <w:highlight w:val="none"/>
          <w:lang w:bidi="en-US"/>
        </w:rPr>
      </w:pPr>
      <w:r>
        <w:rPr>
          <w:rFonts w:hint="eastAsia" w:ascii="宋体" w:hAnsi="宋体"/>
          <w:kern w:val="0"/>
          <w:szCs w:val="21"/>
          <w:highlight w:val="none"/>
          <w:lang w:bidi="en-US"/>
        </w:rPr>
        <w:t>上述违约金在当月工程进度款中直接扣除，在工地工作天数按监理人实际考勤记录为准。</w:t>
      </w:r>
    </w:p>
    <w:p w14:paraId="57E1FA91">
      <w:pPr>
        <w:tabs>
          <w:tab w:val="left" w:pos="2790"/>
        </w:tabs>
        <w:autoSpaceDE w:val="0"/>
        <w:autoSpaceDN w:val="0"/>
        <w:adjustRightInd w:val="0"/>
        <w:snapToGrid w:val="0"/>
        <w:spacing w:line="420" w:lineRule="exact"/>
        <w:ind w:firstLine="480"/>
        <w:textAlignment w:val="baseline"/>
        <w:rPr>
          <w:rFonts w:ascii="宋体" w:hAnsi="宋体"/>
          <w:kern w:val="0"/>
          <w:szCs w:val="21"/>
          <w:highlight w:val="none"/>
        </w:rPr>
      </w:pPr>
      <w:r>
        <w:rPr>
          <w:rFonts w:hint="eastAsia" w:ascii="宋体" w:hAnsi="宋体"/>
          <w:kern w:val="0"/>
          <w:szCs w:val="21"/>
          <w:highlight w:val="none"/>
          <w:lang w:bidi="en-US"/>
        </w:rPr>
        <w:t xml:space="preserve">承包人的项目负责人连续 </w:t>
      </w:r>
      <w:r>
        <w:rPr>
          <w:rFonts w:hint="eastAsia" w:ascii="宋体" w:hAnsi="宋体"/>
          <w:kern w:val="0"/>
          <w:szCs w:val="21"/>
          <w:highlight w:val="none"/>
          <w:u w:val="single"/>
          <w:lang w:bidi="en-US"/>
        </w:rPr>
        <w:t xml:space="preserve"> 2 </w:t>
      </w:r>
      <w:r>
        <w:rPr>
          <w:rFonts w:hint="eastAsia" w:ascii="宋体" w:hAnsi="宋体"/>
          <w:kern w:val="0"/>
          <w:szCs w:val="21"/>
          <w:highlight w:val="none"/>
          <w:lang w:bidi="en-US"/>
        </w:rPr>
        <w:t>个月每月驻工地的天数少于</w:t>
      </w:r>
      <w:r>
        <w:rPr>
          <w:rFonts w:hint="eastAsia" w:ascii="宋体" w:hAnsi="宋体"/>
          <w:kern w:val="0"/>
          <w:szCs w:val="21"/>
          <w:highlight w:val="none"/>
          <w:u w:val="single"/>
          <w:lang w:bidi="en-US"/>
        </w:rPr>
        <w:t xml:space="preserve">  15   </w:t>
      </w:r>
      <w:r>
        <w:rPr>
          <w:rFonts w:hint="eastAsia" w:ascii="宋体" w:hAnsi="宋体"/>
          <w:kern w:val="0"/>
          <w:szCs w:val="21"/>
          <w:highlight w:val="none"/>
          <w:lang w:bidi="en-US"/>
        </w:rPr>
        <w:t>天，发包人有权解除合同。</w:t>
      </w:r>
    </w:p>
    <w:p w14:paraId="33888642">
      <w:pPr>
        <w:keepNext/>
        <w:keepLines/>
        <w:numPr>
          <w:ilvl w:val="4"/>
          <w:numId w:val="0"/>
        </w:numPr>
        <w:tabs>
          <w:tab w:val="left" w:pos="0"/>
        </w:tabs>
        <w:suppressAutoHyphens/>
        <w:snapToGrid w:val="0"/>
        <w:spacing w:line="420" w:lineRule="exact"/>
        <w:outlineLvl w:val="4"/>
        <w:rPr>
          <w:rFonts w:hint="eastAsia" w:ascii="宋体" w:hAnsi="宋体"/>
          <w:snapToGrid w:val="0"/>
          <w:szCs w:val="21"/>
          <w:highlight w:val="none"/>
        </w:rPr>
      </w:pPr>
      <w:r>
        <w:rPr>
          <w:rFonts w:ascii="宋体" w:hAnsi="宋体"/>
          <w:snapToGrid w:val="0"/>
          <w:szCs w:val="21"/>
          <w:highlight w:val="none"/>
        </w:rPr>
        <w:t>4.6 承包人人员的管理</w:t>
      </w:r>
    </w:p>
    <w:p w14:paraId="149C43A8">
      <w:pPr>
        <w:autoSpaceDE w:val="0"/>
        <w:autoSpaceDN w:val="0"/>
        <w:adjustRightInd w:val="0"/>
        <w:snapToGrid w:val="0"/>
        <w:spacing w:line="420" w:lineRule="exact"/>
        <w:ind w:firstLine="480"/>
        <w:textAlignment w:val="baseline"/>
        <w:rPr>
          <w:rFonts w:ascii="宋体" w:hAnsi="宋体"/>
          <w:kern w:val="0"/>
          <w:szCs w:val="21"/>
          <w:highlight w:val="none"/>
        </w:rPr>
      </w:pPr>
      <w:r>
        <w:rPr>
          <w:rFonts w:hint="eastAsia" w:ascii="宋体" w:hAnsi="宋体"/>
          <w:kern w:val="0"/>
          <w:szCs w:val="21"/>
          <w:highlight w:val="none"/>
        </w:rPr>
        <w:t>本章4.6.3款补充：</w:t>
      </w:r>
    </w:p>
    <w:p w14:paraId="58C69E2F">
      <w:pPr>
        <w:spacing w:line="360" w:lineRule="auto"/>
        <w:ind w:firstLine="420" w:firstLineChars="200"/>
        <w:jc w:val="left"/>
        <w:rPr>
          <w:rFonts w:hint="eastAsia" w:ascii="宋体" w:hAnsi="宋体" w:cs="宋体"/>
          <w:kern w:val="0"/>
          <w:szCs w:val="21"/>
          <w:highlight w:val="none"/>
          <w:lang w:bidi="en-US"/>
        </w:rPr>
      </w:pPr>
      <w:r>
        <w:rPr>
          <w:rFonts w:hint="eastAsia" w:ascii="宋体" w:hAnsi="宋体" w:cs="宋体"/>
          <w:kern w:val="0"/>
          <w:szCs w:val="21"/>
          <w:highlight w:val="none"/>
          <w:lang w:bidi="en-US"/>
        </w:rPr>
        <w:t xml:space="preserve"> 项目技术负责人每月驻工地时间不得少于</w:t>
      </w:r>
      <w:r>
        <w:rPr>
          <w:rFonts w:hint="eastAsia" w:ascii="宋体" w:hAnsi="宋体" w:cs="宋体"/>
          <w:kern w:val="0"/>
          <w:szCs w:val="21"/>
          <w:highlight w:val="none"/>
          <w:u w:val="single"/>
          <w:lang w:bidi="en-US"/>
        </w:rPr>
        <w:t xml:space="preserve">  22 </w:t>
      </w:r>
      <w:r>
        <w:rPr>
          <w:rFonts w:hint="eastAsia" w:ascii="宋体" w:hAnsi="宋体" w:cs="宋体"/>
          <w:kern w:val="0"/>
          <w:szCs w:val="21"/>
          <w:highlight w:val="none"/>
          <w:lang w:bidi="en-US"/>
        </w:rPr>
        <w:t>天（遇法定节假日可扣减），每少一天支付违约金</w:t>
      </w:r>
      <w:r>
        <w:rPr>
          <w:rFonts w:hint="eastAsia" w:ascii="宋体" w:hAnsi="宋体" w:cs="宋体"/>
          <w:kern w:val="0"/>
          <w:szCs w:val="21"/>
          <w:highlight w:val="none"/>
          <w:u w:val="single"/>
          <w:lang w:bidi="en-US"/>
        </w:rPr>
        <w:t xml:space="preserve"> 500 </w:t>
      </w:r>
      <w:r>
        <w:rPr>
          <w:rFonts w:hint="eastAsia" w:ascii="宋体" w:hAnsi="宋体" w:cs="宋体"/>
          <w:kern w:val="0"/>
          <w:szCs w:val="21"/>
          <w:highlight w:val="none"/>
          <w:lang w:bidi="en-US"/>
        </w:rPr>
        <w:t>元，但扣款最终的累计总金额不应超过</w:t>
      </w:r>
      <w:r>
        <w:rPr>
          <w:rFonts w:hint="eastAsia" w:ascii="宋体" w:hAnsi="宋体" w:cs="宋体"/>
          <w:kern w:val="0"/>
          <w:szCs w:val="21"/>
          <w:highlight w:val="none"/>
          <w:u w:val="single"/>
          <w:lang w:bidi="en-US"/>
        </w:rPr>
        <w:t xml:space="preserve">  </w:t>
      </w:r>
      <w:r>
        <w:rPr>
          <w:rFonts w:ascii="宋体" w:hAnsi="宋体" w:cs="宋体"/>
          <w:kern w:val="0"/>
          <w:szCs w:val="21"/>
          <w:highlight w:val="none"/>
          <w:u w:val="single"/>
          <w:lang w:bidi="en-US"/>
        </w:rPr>
        <w:t>5</w:t>
      </w:r>
      <w:r>
        <w:rPr>
          <w:rFonts w:hint="eastAsia" w:ascii="宋体" w:hAnsi="宋体" w:cs="宋体"/>
          <w:kern w:val="0"/>
          <w:szCs w:val="21"/>
          <w:highlight w:val="none"/>
          <w:u w:val="single"/>
          <w:lang w:bidi="en-US"/>
        </w:rPr>
        <w:t xml:space="preserve">   </w:t>
      </w:r>
      <w:r>
        <w:rPr>
          <w:rFonts w:hint="eastAsia" w:ascii="宋体" w:hAnsi="宋体" w:cs="宋体"/>
          <w:kern w:val="0"/>
          <w:szCs w:val="21"/>
          <w:highlight w:val="none"/>
          <w:lang w:bidi="en-US"/>
        </w:rPr>
        <w:t>万元。</w:t>
      </w:r>
    </w:p>
    <w:p w14:paraId="787E7E5C">
      <w:pPr>
        <w:spacing w:line="360" w:lineRule="auto"/>
        <w:ind w:firstLine="420" w:firstLineChars="200"/>
        <w:jc w:val="left"/>
        <w:rPr>
          <w:rFonts w:hint="eastAsia" w:ascii="宋体" w:hAnsi="宋体" w:cs="宋体"/>
          <w:kern w:val="0"/>
          <w:szCs w:val="21"/>
          <w:highlight w:val="none"/>
          <w:lang w:bidi="en-US"/>
        </w:rPr>
      </w:pPr>
      <w:r>
        <w:rPr>
          <w:rFonts w:hint="eastAsia" w:ascii="宋体" w:hAnsi="宋体" w:cs="宋体"/>
          <w:kern w:val="0"/>
          <w:szCs w:val="21"/>
          <w:highlight w:val="none"/>
          <w:lang w:bidi="en-US"/>
        </w:rPr>
        <w:t>专职安全生产管理人员每月驻工地时间不得少于</w:t>
      </w:r>
      <w:r>
        <w:rPr>
          <w:rFonts w:hint="eastAsia" w:ascii="宋体" w:hAnsi="宋体" w:cs="宋体"/>
          <w:kern w:val="0"/>
          <w:szCs w:val="21"/>
          <w:highlight w:val="none"/>
          <w:u w:val="single"/>
          <w:lang w:bidi="en-US"/>
        </w:rPr>
        <w:t xml:space="preserve">  22  </w:t>
      </w:r>
      <w:r>
        <w:rPr>
          <w:rFonts w:hint="eastAsia" w:ascii="宋体" w:hAnsi="宋体" w:cs="宋体"/>
          <w:kern w:val="0"/>
          <w:szCs w:val="21"/>
          <w:highlight w:val="none"/>
          <w:lang w:bidi="en-US"/>
        </w:rPr>
        <w:t>天（遇法定节假日可扣减），每人每少一天支付违约金</w:t>
      </w:r>
      <w:r>
        <w:rPr>
          <w:rFonts w:hint="eastAsia" w:ascii="宋体" w:hAnsi="宋体" w:cs="宋体"/>
          <w:kern w:val="0"/>
          <w:szCs w:val="21"/>
          <w:highlight w:val="none"/>
          <w:u w:val="single"/>
          <w:lang w:bidi="en-US"/>
        </w:rPr>
        <w:t xml:space="preserve">  300  </w:t>
      </w:r>
      <w:r>
        <w:rPr>
          <w:rFonts w:hint="eastAsia" w:ascii="宋体" w:hAnsi="宋体" w:cs="宋体"/>
          <w:kern w:val="0"/>
          <w:szCs w:val="21"/>
          <w:highlight w:val="none"/>
          <w:lang w:bidi="en-US"/>
        </w:rPr>
        <w:t>元，但扣款最终的累计总金额不应超过</w:t>
      </w:r>
      <w:r>
        <w:rPr>
          <w:rFonts w:hint="eastAsia" w:ascii="宋体" w:hAnsi="宋体" w:cs="宋体"/>
          <w:kern w:val="0"/>
          <w:szCs w:val="21"/>
          <w:highlight w:val="none"/>
          <w:u w:val="single"/>
          <w:lang w:bidi="en-US"/>
        </w:rPr>
        <w:t xml:space="preserve">  </w:t>
      </w:r>
      <w:r>
        <w:rPr>
          <w:rFonts w:ascii="宋体" w:hAnsi="宋体" w:cs="宋体"/>
          <w:kern w:val="0"/>
          <w:szCs w:val="21"/>
          <w:highlight w:val="none"/>
          <w:u w:val="single"/>
          <w:lang w:bidi="en-US"/>
        </w:rPr>
        <w:t>3</w:t>
      </w:r>
      <w:r>
        <w:rPr>
          <w:rFonts w:hint="eastAsia" w:ascii="宋体" w:hAnsi="宋体" w:cs="宋体"/>
          <w:kern w:val="0"/>
          <w:szCs w:val="21"/>
          <w:highlight w:val="none"/>
          <w:u w:val="single"/>
          <w:lang w:bidi="en-US"/>
        </w:rPr>
        <w:t xml:space="preserve">  </w:t>
      </w:r>
      <w:r>
        <w:rPr>
          <w:rFonts w:hint="eastAsia" w:ascii="宋体" w:hAnsi="宋体" w:cs="宋体"/>
          <w:kern w:val="0"/>
          <w:szCs w:val="21"/>
          <w:highlight w:val="none"/>
          <w:lang w:bidi="en-US"/>
        </w:rPr>
        <w:t>万元。</w:t>
      </w:r>
    </w:p>
    <w:p w14:paraId="2C792236">
      <w:pPr>
        <w:autoSpaceDE w:val="0"/>
        <w:autoSpaceDN w:val="0"/>
        <w:adjustRightInd w:val="0"/>
        <w:snapToGrid w:val="0"/>
        <w:spacing w:line="360" w:lineRule="auto"/>
        <w:ind w:firstLine="480"/>
        <w:textAlignment w:val="baseline"/>
        <w:rPr>
          <w:rFonts w:hint="eastAsia" w:ascii="宋体" w:hAnsi="宋体"/>
          <w:kern w:val="0"/>
          <w:szCs w:val="21"/>
          <w:highlight w:val="none"/>
        </w:rPr>
      </w:pPr>
      <w:r>
        <w:rPr>
          <w:rFonts w:hint="eastAsia" w:ascii="宋体" w:hAnsi="宋体" w:cs="宋体"/>
          <w:kern w:val="0"/>
          <w:szCs w:val="21"/>
          <w:highlight w:val="none"/>
          <w:lang w:bidi="en-US"/>
        </w:rPr>
        <w:t>上述违约金在当月工程进度款中直接扣除，在工地工作天数按监理人实际考勤记录为准。承包人应自备考勤机，相应成本在投标报价中考虑，不另行计算。</w:t>
      </w:r>
    </w:p>
    <w:p w14:paraId="626551E1">
      <w:pPr>
        <w:keepNext/>
        <w:keepLines/>
        <w:numPr>
          <w:ilvl w:val="4"/>
          <w:numId w:val="0"/>
        </w:numPr>
        <w:tabs>
          <w:tab w:val="left" w:pos="0"/>
        </w:tabs>
        <w:suppressAutoHyphens/>
        <w:snapToGrid w:val="0"/>
        <w:spacing w:line="360" w:lineRule="auto"/>
        <w:outlineLvl w:val="4"/>
        <w:rPr>
          <w:rFonts w:ascii="宋体" w:hAnsi="宋体"/>
          <w:b/>
          <w:spacing w:val="20"/>
          <w:szCs w:val="21"/>
          <w:highlight w:val="none"/>
        </w:rPr>
      </w:pPr>
      <w:r>
        <w:rPr>
          <w:rFonts w:ascii="宋体" w:hAnsi="宋体"/>
          <w:snapToGrid w:val="0"/>
          <w:szCs w:val="21"/>
          <w:highlight w:val="none"/>
        </w:rPr>
        <w:t>4.7 撤换承包人项目负责人和其他人员</w:t>
      </w:r>
    </w:p>
    <w:p w14:paraId="4DCF10CB">
      <w:pPr>
        <w:autoSpaceDE w:val="0"/>
        <w:autoSpaceDN w:val="0"/>
        <w:adjustRightInd w:val="0"/>
        <w:snapToGrid w:val="0"/>
        <w:spacing w:line="360" w:lineRule="auto"/>
        <w:ind w:firstLine="480"/>
        <w:textAlignment w:val="baseline"/>
        <w:rPr>
          <w:rFonts w:ascii="宋体" w:hAnsi="宋体" w:cs="宋体"/>
          <w:kern w:val="0"/>
          <w:szCs w:val="21"/>
          <w:highlight w:val="none"/>
          <w:lang w:bidi="en-US"/>
        </w:rPr>
      </w:pPr>
      <w:r>
        <w:rPr>
          <w:rFonts w:ascii="宋体" w:hAnsi="宋体" w:cs="宋体"/>
          <w:kern w:val="0"/>
          <w:szCs w:val="21"/>
          <w:highlight w:val="none"/>
          <w:lang w:bidi="en-US"/>
        </w:rPr>
        <w:t>本款补充：</w:t>
      </w:r>
    </w:p>
    <w:p w14:paraId="7E35269B">
      <w:pPr>
        <w:spacing w:line="360" w:lineRule="auto"/>
        <w:ind w:left="183" w:leftChars="87" w:firstLine="210" w:firstLineChars="100"/>
        <w:jc w:val="left"/>
        <w:rPr>
          <w:rFonts w:hint="eastAsia" w:ascii="宋体" w:hAnsi="宋体" w:cs="宋体"/>
          <w:kern w:val="0"/>
          <w:szCs w:val="21"/>
          <w:highlight w:val="none"/>
          <w:lang w:bidi="en-US"/>
        </w:rPr>
      </w:pPr>
      <w:r>
        <w:rPr>
          <w:rFonts w:hint="eastAsia" w:ascii="宋体" w:hAnsi="宋体" w:cs="宋体"/>
          <w:kern w:val="0"/>
          <w:szCs w:val="21"/>
          <w:highlight w:val="none"/>
          <w:lang w:bidi="en-US"/>
        </w:rPr>
        <w:t xml:space="preserve">  项目负责人、技术负责人不得擅自更换。若承包人擅自更换的，除每人次需支付</w:t>
      </w:r>
      <w:r>
        <w:rPr>
          <w:rFonts w:hint="eastAsia" w:ascii="宋体" w:hAnsi="宋体" w:cs="宋体"/>
          <w:kern w:val="0"/>
          <w:szCs w:val="21"/>
          <w:highlight w:val="none"/>
          <w:u w:val="single"/>
          <w:lang w:bidi="en-US"/>
        </w:rPr>
        <w:t xml:space="preserve">  </w:t>
      </w:r>
      <w:r>
        <w:rPr>
          <w:rFonts w:ascii="宋体" w:hAnsi="宋体" w:cs="宋体"/>
          <w:kern w:val="0"/>
          <w:szCs w:val="21"/>
          <w:highlight w:val="none"/>
          <w:u w:val="single"/>
          <w:lang w:bidi="en-US"/>
        </w:rPr>
        <w:t>6</w:t>
      </w:r>
      <w:r>
        <w:rPr>
          <w:rFonts w:hint="eastAsia" w:ascii="宋体" w:hAnsi="宋体" w:cs="宋体"/>
          <w:kern w:val="0"/>
          <w:szCs w:val="21"/>
          <w:highlight w:val="none"/>
          <w:u w:val="single"/>
          <w:lang w:bidi="en-US"/>
        </w:rPr>
        <w:t xml:space="preserve"> </w:t>
      </w:r>
      <w:r>
        <w:rPr>
          <w:rFonts w:hint="eastAsia" w:ascii="宋体" w:hAnsi="宋体" w:cs="宋体"/>
          <w:kern w:val="0"/>
          <w:szCs w:val="21"/>
          <w:highlight w:val="none"/>
          <w:lang w:bidi="en-US"/>
        </w:rPr>
        <w:t>万元的违约金外，发包人有权将其作为不良行为记录上报水行政主管部门；情节特别严重的，发包人有权终止合同。在合同工程未通过完工验收或合同解除前，项目负责人、技术负责人确需更换的，应征得发包人同意，并经原项目负责人备案主管部门备案，且更换后的人员不得低于原投标承诺人员所具有的资格和业绩条件。</w:t>
      </w:r>
    </w:p>
    <w:p w14:paraId="2B5913D9">
      <w:pPr>
        <w:autoSpaceDE w:val="0"/>
        <w:autoSpaceDN w:val="0"/>
        <w:adjustRightInd w:val="0"/>
        <w:snapToGrid w:val="0"/>
        <w:spacing w:line="360" w:lineRule="auto"/>
        <w:ind w:firstLine="420" w:firstLineChars="200"/>
        <w:textAlignment w:val="baseline"/>
        <w:rPr>
          <w:rFonts w:ascii="宋体" w:hAnsi="宋体"/>
          <w:snapToGrid w:val="0"/>
          <w:kern w:val="0"/>
          <w:szCs w:val="21"/>
          <w:highlight w:val="none"/>
        </w:rPr>
      </w:pPr>
      <w:r>
        <w:rPr>
          <w:rFonts w:hint="eastAsia" w:ascii="宋体" w:hAnsi="宋体" w:cs="宋体"/>
          <w:kern w:val="0"/>
          <w:szCs w:val="21"/>
          <w:highlight w:val="none"/>
          <w:lang w:bidi="en-US"/>
        </w:rPr>
        <w:t xml:space="preserve">  承包人的安全员、质量员、施工员、专职安全生产管理人员等人员擅自调换每人次需支付违约金</w:t>
      </w:r>
      <w:r>
        <w:rPr>
          <w:rFonts w:hint="eastAsia" w:ascii="宋体" w:hAnsi="宋体" w:cs="宋体"/>
          <w:kern w:val="0"/>
          <w:szCs w:val="21"/>
          <w:highlight w:val="none"/>
          <w:u w:val="single"/>
          <w:lang w:bidi="en-US"/>
        </w:rPr>
        <w:t xml:space="preserve"> </w:t>
      </w:r>
      <w:r>
        <w:rPr>
          <w:rFonts w:ascii="宋体" w:hAnsi="宋体" w:cs="宋体"/>
          <w:kern w:val="0"/>
          <w:szCs w:val="21"/>
          <w:highlight w:val="none"/>
          <w:u w:val="single"/>
          <w:lang w:bidi="en-US"/>
        </w:rPr>
        <w:t>3</w:t>
      </w:r>
      <w:r>
        <w:rPr>
          <w:rFonts w:hint="eastAsia" w:ascii="宋体" w:hAnsi="宋体" w:cs="宋体"/>
          <w:kern w:val="0"/>
          <w:szCs w:val="21"/>
          <w:highlight w:val="none"/>
          <w:u w:val="single"/>
          <w:lang w:bidi="en-US"/>
        </w:rPr>
        <w:t xml:space="preserve"> </w:t>
      </w:r>
      <w:r>
        <w:rPr>
          <w:rFonts w:hint="eastAsia" w:ascii="宋体" w:hAnsi="宋体" w:cs="宋体"/>
          <w:kern w:val="0"/>
          <w:szCs w:val="21"/>
          <w:highlight w:val="none"/>
          <w:lang w:bidi="en-US"/>
        </w:rPr>
        <w:t>万元。违约金在工程进度付款中扣除。</w:t>
      </w:r>
    </w:p>
    <w:p w14:paraId="771D114F">
      <w:pPr>
        <w:keepNext/>
        <w:keepLines/>
        <w:numPr>
          <w:ilvl w:val="4"/>
          <w:numId w:val="0"/>
        </w:numPr>
        <w:tabs>
          <w:tab w:val="left" w:pos="0"/>
        </w:tabs>
        <w:suppressAutoHyphens/>
        <w:snapToGrid w:val="0"/>
        <w:spacing w:line="420" w:lineRule="exact"/>
        <w:outlineLvl w:val="4"/>
        <w:rPr>
          <w:rFonts w:ascii="宋体" w:hAnsi="宋体"/>
          <w:b/>
          <w:spacing w:val="20"/>
          <w:szCs w:val="21"/>
          <w:highlight w:val="none"/>
        </w:rPr>
      </w:pPr>
      <w:r>
        <w:rPr>
          <w:rFonts w:ascii="宋体" w:hAnsi="宋体"/>
          <w:snapToGrid w:val="0"/>
          <w:szCs w:val="21"/>
          <w:highlight w:val="none"/>
        </w:rPr>
        <w:t>4.11 不利物质条件</w:t>
      </w:r>
    </w:p>
    <w:p w14:paraId="753FCE40">
      <w:pPr>
        <w:autoSpaceDE w:val="0"/>
        <w:autoSpaceDN w:val="0"/>
        <w:adjustRightInd w:val="0"/>
        <w:snapToGrid w:val="0"/>
        <w:spacing w:line="420" w:lineRule="exact"/>
        <w:ind w:firstLine="480"/>
        <w:textAlignment w:val="baseline"/>
        <w:rPr>
          <w:rFonts w:ascii="宋体" w:hAnsi="宋体"/>
          <w:kern w:val="0"/>
          <w:szCs w:val="21"/>
          <w:highlight w:val="none"/>
        </w:rPr>
      </w:pPr>
      <w:r>
        <w:rPr>
          <w:rFonts w:ascii="宋体" w:hAnsi="宋体"/>
          <w:kern w:val="0"/>
          <w:szCs w:val="21"/>
          <w:highlight w:val="none"/>
        </w:rPr>
        <w:t>4.11.1 不利物质条件的范围：</w:t>
      </w:r>
      <w:r>
        <w:rPr>
          <w:rFonts w:ascii="宋体" w:hAnsi="宋体"/>
          <w:kern w:val="0"/>
          <w:szCs w:val="21"/>
          <w:highlight w:val="none"/>
          <w:u w:val="single"/>
        </w:rPr>
        <w:t>施工中遇到文物或古迹</w:t>
      </w:r>
      <w:r>
        <w:rPr>
          <w:rFonts w:ascii="宋体" w:hAnsi="宋体"/>
          <w:kern w:val="0"/>
          <w:szCs w:val="21"/>
          <w:highlight w:val="none"/>
        </w:rPr>
        <w:t>。</w:t>
      </w:r>
    </w:p>
    <w:p w14:paraId="2011432A">
      <w:pPr>
        <w:keepLines/>
        <w:widowControl/>
        <w:autoSpaceDE w:val="0"/>
        <w:autoSpaceDN w:val="0"/>
        <w:adjustRightInd w:val="0"/>
        <w:snapToGrid w:val="0"/>
        <w:spacing w:line="420" w:lineRule="exact"/>
        <w:jc w:val="left"/>
        <w:textAlignment w:val="baseline"/>
        <w:outlineLvl w:val="3"/>
        <w:rPr>
          <w:rFonts w:ascii="宋体" w:hAnsi="宋体"/>
          <w:b/>
          <w:snapToGrid w:val="0"/>
          <w:kern w:val="0"/>
          <w:szCs w:val="21"/>
          <w:highlight w:val="none"/>
        </w:rPr>
      </w:pPr>
      <w:r>
        <w:rPr>
          <w:rFonts w:ascii="宋体" w:hAnsi="宋体"/>
          <w:snapToGrid w:val="0"/>
          <w:kern w:val="0"/>
          <w:szCs w:val="21"/>
          <w:highlight w:val="none"/>
        </w:rPr>
        <w:t>5 材料和工程设备</w:t>
      </w:r>
    </w:p>
    <w:p w14:paraId="5D532435">
      <w:pPr>
        <w:autoSpaceDE w:val="0"/>
        <w:autoSpaceDN w:val="0"/>
        <w:adjustRightInd w:val="0"/>
        <w:snapToGrid w:val="0"/>
        <w:spacing w:line="420" w:lineRule="exact"/>
        <w:ind w:firstLine="480"/>
        <w:textAlignment w:val="baseline"/>
        <w:rPr>
          <w:rFonts w:ascii="宋体" w:hAnsi="宋体"/>
          <w:kern w:val="0"/>
          <w:szCs w:val="21"/>
          <w:highlight w:val="none"/>
        </w:rPr>
      </w:pPr>
      <w:r>
        <w:rPr>
          <w:rFonts w:hint="eastAsia" w:ascii="宋体" w:hAnsi="宋体"/>
          <w:kern w:val="0"/>
          <w:szCs w:val="21"/>
          <w:highlight w:val="none"/>
        </w:rPr>
        <w:t>5.2.1发包人不提供材料和工程设备。</w:t>
      </w:r>
    </w:p>
    <w:p w14:paraId="0A3E3B85">
      <w:pPr>
        <w:keepLines/>
        <w:widowControl/>
        <w:autoSpaceDE w:val="0"/>
        <w:autoSpaceDN w:val="0"/>
        <w:adjustRightInd w:val="0"/>
        <w:snapToGrid w:val="0"/>
        <w:spacing w:line="420" w:lineRule="exact"/>
        <w:jc w:val="left"/>
        <w:textAlignment w:val="baseline"/>
        <w:outlineLvl w:val="3"/>
        <w:rPr>
          <w:rFonts w:ascii="宋体" w:hAnsi="宋体"/>
          <w:b/>
          <w:snapToGrid w:val="0"/>
          <w:kern w:val="0"/>
          <w:szCs w:val="21"/>
          <w:highlight w:val="none"/>
        </w:rPr>
      </w:pPr>
      <w:r>
        <w:rPr>
          <w:rFonts w:ascii="宋体" w:hAnsi="宋体"/>
          <w:snapToGrid w:val="0"/>
          <w:kern w:val="0"/>
          <w:szCs w:val="21"/>
          <w:highlight w:val="none"/>
        </w:rPr>
        <w:t>6 施工设备和临时设施</w:t>
      </w:r>
    </w:p>
    <w:p w14:paraId="3A2BA7B5">
      <w:pPr>
        <w:keepLines/>
        <w:widowControl/>
        <w:autoSpaceDE w:val="0"/>
        <w:autoSpaceDN w:val="0"/>
        <w:adjustRightInd w:val="0"/>
        <w:snapToGrid w:val="0"/>
        <w:spacing w:line="420" w:lineRule="exact"/>
        <w:jc w:val="left"/>
        <w:textAlignment w:val="baseline"/>
        <w:outlineLvl w:val="3"/>
        <w:rPr>
          <w:rFonts w:ascii="宋体" w:hAnsi="宋体"/>
          <w:b/>
          <w:snapToGrid w:val="0"/>
          <w:kern w:val="0"/>
          <w:szCs w:val="21"/>
          <w:highlight w:val="none"/>
        </w:rPr>
      </w:pPr>
      <w:r>
        <w:rPr>
          <w:rFonts w:ascii="宋体" w:hAnsi="宋体"/>
          <w:snapToGrid w:val="0"/>
          <w:kern w:val="0"/>
          <w:szCs w:val="21"/>
          <w:highlight w:val="none"/>
        </w:rPr>
        <w:t>6.2 发包人提供的施工设备和临时设施</w:t>
      </w:r>
    </w:p>
    <w:p w14:paraId="5194DBD5">
      <w:pPr>
        <w:tabs>
          <w:tab w:val="left" w:pos="2790"/>
        </w:tabs>
        <w:autoSpaceDE w:val="0"/>
        <w:autoSpaceDN w:val="0"/>
        <w:adjustRightInd w:val="0"/>
        <w:snapToGrid w:val="0"/>
        <w:spacing w:line="420" w:lineRule="exact"/>
        <w:ind w:firstLine="480"/>
        <w:textAlignment w:val="baseline"/>
        <w:rPr>
          <w:rFonts w:ascii="宋体" w:hAnsi="宋体"/>
          <w:kern w:val="0"/>
          <w:szCs w:val="21"/>
          <w:highlight w:val="none"/>
        </w:rPr>
      </w:pPr>
      <w:r>
        <w:rPr>
          <w:rFonts w:hint="eastAsia" w:ascii="宋体" w:hAnsi="宋体"/>
          <w:kern w:val="0"/>
          <w:szCs w:val="21"/>
          <w:highlight w:val="none"/>
        </w:rPr>
        <w:t>删去本款全文，并代之以：</w:t>
      </w:r>
    </w:p>
    <w:p w14:paraId="04A76B6F">
      <w:pPr>
        <w:tabs>
          <w:tab w:val="left" w:pos="2790"/>
        </w:tabs>
        <w:autoSpaceDE w:val="0"/>
        <w:autoSpaceDN w:val="0"/>
        <w:adjustRightInd w:val="0"/>
        <w:snapToGrid w:val="0"/>
        <w:spacing w:line="420" w:lineRule="exact"/>
        <w:ind w:firstLine="480"/>
        <w:textAlignment w:val="baseline"/>
        <w:rPr>
          <w:rFonts w:ascii="宋体" w:hAnsi="宋体"/>
          <w:kern w:val="0"/>
          <w:szCs w:val="21"/>
          <w:highlight w:val="none"/>
        </w:rPr>
      </w:pPr>
      <w:r>
        <w:rPr>
          <w:rFonts w:ascii="宋体" w:hAnsi="宋体"/>
          <w:kern w:val="0"/>
          <w:szCs w:val="21"/>
          <w:highlight w:val="none"/>
          <w:u w:val="single"/>
        </w:rPr>
        <w:t>发包人</w:t>
      </w:r>
      <w:r>
        <w:rPr>
          <w:rFonts w:hint="eastAsia" w:ascii="宋体" w:hAnsi="宋体"/>
          <w:kern w:val="0"/>
          <w:szCs w:val="21"/>
          <w:highlight w:val="none"/>
          <w:u w:val="single"/>
        </w:rPr>
        <w:t>不</w:t>
      </w:r>
      <w:r>
        <w:rPr>
          <w:rFonts w:ascii="宋体" w:hAnsi="宋体"/>
          <w:kern w:val="0"/>
          <w:szCs w:val="21"/>
          <w:highlight w:val="none"/>
          <w:u w:val="single"/>
        </w:rPr>
        <w:t>提供施工设备和临时设施</w:t>
      </w:r>
      <w:r>
        <w:rPr>
          <w:rFonts w:hint="eastAsia" w:ascii="宋体" w:hAnsi="宋体"/>
          <w:kern w:val="0"/>
          <w:szCs w:val="21"/>
          <w:highlight w:val="none"/>
        </w:rPr>
        <w:t>。</w:t>
      </w:r>
    </w:p>
    <w:p w14:paraId="5EC3DCB3">
      <w:pPr>
        <w:keepLines/>
        <w:widowControl/>
        <w:autoSpaceDE w:val="0"/>
        <w:autoSpaceDN w:val="0"/>
        <w:adjustRightInd w:val="0"/>
        <w:snapToGrid w:val="0"/>
        <w:spacing w:line="420" w:lineRule="exact"/>
        <w:jc w:val="left"/>
        <w:textAlignment w:val="baseline"/>
        <w:outlineLvl w:val="3"/>
        <w:rPr>
          <w:rFonts w:ascii="宋体" w:hAnsi="宋体"/>
          <w:b/>
          <w:snapToGrid w:val="0"/>
          <w:kern w:val="0"/>
          <w:szCs w:val="21"/>
          <w:highlight w:val="none"/>
        </w:rPr>
      </w:pPr>
      <w:r>
        <w:rPr>
          <w:rFonts w:hint="eastAsia" w:ascii="宋体" w:hAnsi="宋体"/>
          <w:snapToGrid w:val="0"/>
          <w:kern w:val="0"/>
          <w:szCs w:val="21"/>
          <w:highlight w:val="none"/>
        </w:rPr>
        <w:t>7　交通运输</w:t>
      </w:r>
    </w:p>
    <w:p w14:paraId="7F16A8D6">
      <w:pPr>
        <w:keepLines/>
        <w:widowControl/>
        <w:autoSpaceDE w:val="0"/>
        <w:autoSpaceDN w:val="0"/>
        <w:adjustRightInd w:val="0"/>
        <w:snapToGrid w:val="0"/>
        <w:spacing w:line="420" w:lineRule="exact"/>
        <w:jc w:val="left"/>
        <w:textAlignment w:val="baseline"/>
        <w:outlineLvl w:val="3"/>
        <w:rPr>
          <w:rFonts w:ascii="宋体" w:hAnsi="宋体"/>
          <w:b/>
          <w:snapToGrid w:val="0"/>
          <w:kern w:val="0"/>
          <w:szCs w:val="21"/>
          <w:highlight w:val="none"/>
        </w:rPr>
      </w:pPr>
      <w:r>
        <w:rPr>
          <w:rFonts w:ascii="宋体" w:hAnsi="宋体"/>
          <w:snapToGrid w:val="0"/>
          <w:kern w:val="0"/>
          <w:szCs w:val="21"/>
          <w:highlight w:val="none"/>
        </w:rPr>
        <w:t xml:space="preserve">7.1 </w:t>
      </w:r>
      <w:r>
        <w:rPr>
          <w:rFonts w:hint="eastAsia" w:ascii="宋体" w:hAnsi="宋体"/>
          <w:snapToGrid w:val="0"/>
          <w:kern w:val="0"/>
          <w:szCs w:val="21"/>
          <w:highlight w:val="none"/>
        </w:rPr>
        <w:t>道路通行权和场外设施</w:t>
      </w:r>
    </w:p>
    <w:p w14:paraId="56F7BDE2">
      <w:pPr>
        <w:tabs>
          <w:tab w:val="left" w:pos="2790"/>
        </w:tabs>
        <w:autoSpaceDE w:val="0"/>
        <w:autoSpaceDN w:val="0"/>
        <w:adjustRightInd w:val="0"/>
        <w:snapToGrid w:val="0"/>
        <w:spacing w:line="420" w:lineRule="exact"/>
        <w:ind w:firstLine="480"/>
        <w:textAlignment w:val="baseline"/>
        <w:rPr>
          <w:rFonts w:ascii="宋体" w:hAnsi="宋体"/>
          <w:kern w:val="0"/>
          <w:szCs w:val="21"/>
          <w:highlight w:val="none"/>
        </w:rPr>
      </w:pPr>
      <w:r>
        <w:rPr>
          <w:rFonts w:hint="eastAsia" w:ascii="宋体" w:hAnsi="宋体"/>
          <w:kern w:val="0"/>
          <w:szCs w:val="21"/>
          <w:highlight w:val="none"/>
        </w:rPr>
        <w:t>道路通行权和场外设施的约定：</w:t>
      </w:r>
    </w:p>
    <w:p w14:paraId="6D0B1352">
      <w:pPr>
        <w:tabs>
          <w:tab w:val="left" w:pos="2790"/>
        </w:tabs>
        <w:autoSpaceDE w:val="0"/>
        <w:autoSpaceDN w:val="0"/>
        <w:adjustRightInd w:val="0"/>
        <w:snapToGrid w:val="0"/>
        <w:spacing w:line="420" w:lineRule="exact"/>
        <w:ind w:firstLine="480"/>
        <w:textAlignment w:val="baseline"/>
        <w:rPr>
          <w:rFonts w:ascii="宋体" w:hAnsi="宋体"/>
          <w:kern w:val="0"/>
          <w:szCs w:val="21"/>
          <w:highlight w:val="none"/>
        </w:rPr>
      </w:pPr>
      <w:r>
        <w:rPr>
          <w:rFonts w:hint="eastAsia" w:ascii="宋体" w:hAnsi="宋体"/>
          <w:kern w:val="0"/>
          <w:szCs w:val="21"/>
          <w:highlight w:val="none"/>
        </w:rPr>
        <w:t>（</w:t>
      </w:r>
      <w:r>
        <w:rPr>
          <w:rFonts w:ascii="宋体" w:hAnsi="宋体"/>
          <w:kern w:val="0"/>
          <w:szCs w:val="21"/>
          <w:highlight w:val="none"/>
        </w:rPr>
        <w:t>1</w:t>
      </w:r>
      <w:r>
        <w:rPr>
          <w:rFonts w:hint="eastAsia" w:ascii="宋体" w:hAnsi="宋体"/>
          <w:kern w:val="0"/>
          <w:szCs w:val="21"/>
          <w:highlight w:val="none"/>
        </w:rPr>
        <w:t>）承包人自行协调场外道路、设施、行车干扰、道路维护修复、噪音粉尘扰民等所有不利的状况，所产生的费用和所有的风险由承包人自行在报价中综合考虑。</w:t>
      </w:r>
    </w:p>
    <w:p w14:paraId="0B34A3D2">
      <w:pPr>
        <w:tabs>
          <w:tab w:val="left" w:pos="2790"/>
        </w:tabs>
        <w:autoSpaceDE w:val="0"/>
        <w:autoSpaceDN w:val="0"/>
        <w:adjustRightInd w:val="0"/>
        <w:snapToGrid w:val="0"/>
        <w:spacing w:line="420" w:lineRule="exact"/>
        <w:ind w:firstLine="480"/>
        <w:textAlignment w:val="baseline"/>
        <w:rPr>
          <w:rFonts w:ascii="宋体" w:hAnsi="宋体"/>
          <w:kern w:val="0"/>
          <w:szCs w:val="21"/>
          <w:highlight w:val="none"/>
        </w:rPr>
      </w:pPr>
      <w:r>
        <w:rPr>
          <w:rFonts w:hint="eastAsia" w:ascii="宋体" w:hAnsi="宋体"/>
          <w:kern w:val="0"/>
          <w:szCs w:val="21"/>
          <w:highlight w:val="none"/>
        </w:rPr>
        <w:t>（</w:t>
      </w:r>
      <w:r>
        <w:rPr>
          <w:rFonts w:ascii="宋体" w:hAnsi="宋体"/>
          <w:kern w:val="0"/>
          <w:szCs w:val="21"/>
          <w:highlight w:val="none"/>
        </w:rPr>
        <w:t>2</w:t>
      </w:r>
      <w:r>
        <w:rPr>
          <w:rFonts w:hint="eastAsia" w:ascii="宋体" w:hAnsi="宋体"/>
          <w:kern w:val="0"/>
          <w:szCs w:val="21"/>
          <w:highlight w:val="none"/>
        </w:rPr>
        <w:t>）承包人负责场内过境车辆的协调和分流工作；</w:t>
      </w:r>
    </w:p>
    <w:p w14:paraId="5E7CF6DD">
      <w:pPr>
        <w:tabs>
          <w:tab w:val="left" w:pos="2790"/>
        </w:tabs>
        <w:autoSpaceDE w:val="0"/>
        <w:autoSpaceDN w:val="0"/>
        <w:adjustRightInd w:val="0"/>
        <w:snapToGrid w:val="0"/>
        <w:spacing w:line="420" w:lineRule="exact"/>
        <w:ind w:firstLine="480"/>
        <w:textAlignment w:val="baseline"/>
        <w:rPr>
          <w:rFonts w:ascii="宋体" w:hAnsi="宋体"/>
          <w:kern w:val="0"/>
          <w:szCs w:val="21"/>
          <w:highlight w:val="none"/>
        </w:rPr>
      </w:pPr>
      <w:r>
        <w:rPr>
          <w:rFonts w:hint="eastAsia" w:ascii="宋体" w:hAnsi="宋体"/>
          <w:kern w:val="0"/>
          <w:szCs w:val="21"/>
          <w:highlight w:val="none"/>
        </w:rPr>
        <w:t>（</w:t>
      </w:r>
      <w:r>
        <w:rPr>
          <w:rFonts w:ascii="宋体" w:hAnsi="宋体"/>
          <w:kern w:val="0"/>
          <w:szCs w:val="21"/>
          <w:highlight w:val="none"/>
        </w:rPr>
        <w:t>3</w:t>
      </w:r>
      <w:r>
        <w:rPr>
          <w:rFonts w:hint="eastAsia" w:ascii="宋体" w:hAnsi="宋体"/>
          <w:kern w:val="0"/>
          <w:szCs w:val="21"/>
          <w:highlight w:val="none"/>
        </w:rPr>
        <w:t>）本条（</w:t>
      </w:r>
      <w:r>
        <w:rPr>
          <w:rFonts w:ascii="宋体" w:hAnsi="宋体"/>
          <w:kern w:val="0"/>
          <w:szCs w:val="21"/>
          <w:highlight w:val="none"/>
        </w:rPr>
        <w:t>1</w:t>
      </w:r>
      <w:r>
        <w:rPr>
          <w:rFonts w:hint="eastAsia" w:ascii="宋体" w:hAnsi="宋体"/>
          <w:kern w:val="0"/>
          <w:szCs w:val="21"/>
          <w:highlight w:val="none"/>
        </w:rPr>
        <w:t>）～（</w:t>
      </w:r>
      <w:r>
        <w:rPr>
          <w:rFonts w:ascii="宋体" w:hAnsi="宋体"/>
          <w:kern w:val="0"/>
          <w:szCs w:val="21"/>
          <w:highlight w:val="none"/>
        </w:rPr>
        <w:t>2</w:t>
      </w:r>
      <w:r>
        <w:rPr>
          <w:rFonts w:hint="eastAsia" w:ascii="宋体" w:hAnsi="宋体"/>
          <w:kern w:val="0"/>
          <w:szCs w:val="21"/>
          <w:highlight w:val="none"/>
        </w:rPr>
        <w:t>）款相关费用计入措施费，不再另行计费。</w:t>
      </w:r>
    </w:p>
    <w:p w14:paraId="4178D6DF">
      <w:pPr>
        <w:keepLines/>
        <w:widowControl/>
        <w:autoSpaceDE w:val="0"/>
        <w:autoSpaceDN w:val="0"/>
        <w:adjustRightInd w:val="0"/>
        <w:snapToGrid w:val="0"/>
        <w:spacing w:line="420" w:lineRule="exact"/>
        <w:jc w:val="left"/>
        <w:textAlignment w:val="baseline"/>
        <w:outlineLvl w:val="3"/>
        <w:rPr>
          <w:rFonts w:ascii="宋体" w:hAnsi="宋体"/>
          <w:b/>
          <w:snapToGrid w:val="0"/>
          <w:kern w:val="0"/>
          <w:szCs w:val="21"/>
          <w:highlight w:val="none"/>
        </w:rPr>
      </w:pPr>
      <w:r>
        <w:rPr>
          <w:rFonts w:ascii="宋体" w:hAnsi="宋体"/>
          <w:snapToGrid w:val="0"/>
          <w:kern w:val="0"/>
          <w:szCs w:val="21"/>
          <w:highlight w:val="none"/>
        </w:rPr>
        <w:t>8 测量放线</w:t>
      </w:r>
    </w:p>
    <w:p w14:paraId="355C39E3">
      <w:pPr>
        <w:keepNext/>
        <w:keepLines/>
        <w:numPr>
          <w:ilvl w:val="4"/>
          <w:numId w:val="0"/>
        </w:numPr>
        <w:tabs>
          <w:tab w:val="left" w:pos="0"/>
        </w:tabs>
        <w:suppressAutoHyphens/>
        <w:snapToGrid w:val="0"/>
        <w:spacing w:line="420" w:lineRule="exact"/>
        <w:outlineLvl w:val="4"/>
        <w:rPr>
          <w:rFonts w:ascii="宋体" w:hAnsi="宋体"/>
          <w:b/>
          <w:spacing w:val="20"/>
          <w:szCs w:val="21"/>
          <w:highlight w:val="none"/>
        </w:rPr>
      </w:pPr>
      <w:r>
        <w:rPr>
          <w:rFonts w:ascii="宋体" w:hAnsi="宋体"/>
          <w:snapToGrid w:val="0"/>
          <w:szCs w:val="21"/>
          <w:highlight w:val="none"/>
        </w:rPr>
        <w:t>8.1 施工控制网</w:t>
      </w:r>
    </w:p>
    <w:p w14:paraId="609BE51B">
      <w:pPr>
        <w:autoSpaceDE w:val="0"/>
        <w:autoSpaceDN w:val="0"/>
        <w:adjustRightInd w:val="0"/>
        <w:snapToGrid w:val="0"/>
        <w:spacing w:line="420" w:lineRule="exact"/>
        <w:ind w:firstLine="480"/>
        <w:textAlignment w:val="baseline"/>
        <w:rPr>
          <w:rFonts w:ascii="宋体" w:hAnsi="宋体"/>
          <w:kern w:val="0"/>
          <w:szCs w:val="21"/>
          <w:highlight w:val="none"/>
        </w:rPr>
      </w:pPr>
      <w:r>
        <w:rPr>
          <w:rFonts w:ascii="宋体" w:hAnsi="宋体"/>
          <w:kern w:val="0"/>
          <w:szCs w:val="21"/>
          <w:highlight w:val="none"/>
        </w:rPr>
        <w:t>8.1.1 施工控制网的约定：</w:t>
      </w:r>
      <w:r>
        <w:rPr>
          <w:rFonts w:ascii="宋体" w:hAnsi="宋体"/>
          <w:kern w:val="0"/>
          <w:szCs w:val="21"/>
          <w:highlight w:val="none"/>
          <w:u w:val="single"/>
        </w:rPr>
        <w:t>发包人应在本合同协议书签订后的 14 天内，通过监理人向承包人提供</w:t>
      </w:r>
      <w:r>
        <w:rPr>
          <w:rFonts w:hint="eastAsia" w:ascii="宋体" w:hAnsi="宋体"/>
          <w:kern w:val="0"/>
          <w:szCs w:val="21"/>
          <w:highlight w:val="none"/>
          <w:u w:val="single"/>
        </w:rPr>
        <w:t>首级施工控制网成果</w:t>
      </w:r>
      <w:r>
        <w:rPr>
          <w:rFonts w:ascii="宋体" w:hAnsi="宋体"/>
          <w:kern w:val="0"/>
          <w:szCs w:val="21"/>
          <w:highlight w:val="none"/>
          <w:u w:val="single"/>
        </w:rPr>
        <w:t>。承包人在接到</w:t>
      </w:r>
      <w:r>
        <w:rPr>
          <w:rFonts w:hint="eastAsia" w:ascii="宋体" w:hAnsi="宋体"/>
          <w:kern w:val="0"/>
          <w:szCs w:val="21"/>
          <w:highlight w:val="none"/>
          <w:u w:val="single"/>
        </w:rPr>
        <w:t>首级施工控制网成果</w:t>
      </w:r>
      <w:r>
        <w:rPr>
          <w:rFonts w:ascii="宋体" w:hAnsi="宋体"/>
          <w:kern w:val="0"/>
          <w:szCs w:val="21"/>
          <w:highlight w:val="none"/>
          <w:u w:val="single"/>
        </w:rPr>
        <w:t>后 14天内完成施工控制网布设，并将施工控制网资料报送监理人审批</w:t>
      </w:r>
      <w:r>
        <w:rPr>
          <w:rFonts w:ascii="宋体" w:hAnsi="宋体"/>
          <w:kern w:val="0"/>
          <w:szCs w:val="21"/>
          <w:highlight w:val="none"/>
        </w:rPr>
        <w:t>。</w:t>
      </w:r>
    </w:p>
    <w:p w14:paraId="2A575807">
      <w:pPr>
        <w:keepLines/>
        <w:widowControl/>
        <w:autoSpaceDE w:val="0"/>
        <w:autoSpaceDN w:val="0"/>
        <w:adjustRightInd w:val="0"/>
        <w:snapToGrid w:val="0"/>
        <w:spacing w:line="420" w:lineRule="exact"/>
        <w:jc w:val="left"/>
        <w:textAlignment w:val="baseline"/>
        <w:outlineLvl w:val="3"/>
        <w:rPr>
          <w:rFonts w:ascii="宋体" w:hAnsi="宋体"/>
          <w:b/>
          <w:snapToGrid w:val="0"/>
          <w:kern w:val="0"/>
          <w:szCs w:val="21"/>
          <w:highlight w:val="none"/>
        </w:rPr>
      </w:pPr>
      <w:r>
        <w:rPr>
          <w:rFonts w:ascii="宋体" w:hAnsi="宋体"/>
          <w:snapToGrid w:val="0"/>
          <w:kern w:val="0"/>
          <w:szCs w:val="21"/>
          <w:highlight w:val="none"/>
        </w:rPr>
        <w:t>9 施工安全、治安保卫和环境保护</w:t>
      </w:r>
    </w:p>
    <w:p w14:paraId="7D476CCC">
      <w:pPr>
        <w:keepNext/>
        <w:keepLines/>
        <w:numPr>
          <w:ilvl w:val="4"/>
          <w:numId w:val="0"/>
        </w:numPr>
        <w:tabs>
          <w:tab w:val="left" w:pos="0"/>
        </w:tabs>
        <w:suppressAutoHyphens/>
        <w:snapToGrid w:val="0"/>
        <w:spacing w:line="420" w:lineRule="exact"/>
        <w:outlineLvl w:val="4"/>
        <w:rPr>
          <w:rFonts w:ascii="宋体" w:hAnsi="宋体"/>
          <w:b/>
          <w:spacing w:val="20"/>
          <w:szCs w:val="21"/>
          <w:highlight w:val="none"/>
        </w:rPr>
      </w:pPr>
      <w:r>
        <w:rPr>
          <w:rFonts w:ascii="宋体" w:hAnsi="宋体"/>
          <w:snapToGrid w:val="0"/>
          <w:szCs w:val="21"/>
          <w:highlight w:val="none"/>
        </w:rPr>
        <w:t>9.1 发包人的施工安全责任</w:t>
      </w:r>
    </w:p>
    <w:p w14:paraId="26AC4992">
      <w:pPr>
        <w:autoSpaceDE w:val="0"/>
        <w:autoSpaceDN w:val="0"/>
        <w:adjustRightInd w:val="0"/>
        <w:snapToGrid w:val="0"/>
        <w:spacing w:line="420" w:lineRule="exact"/>
        <w:ind w:firstLine="480"/>
        <w:textAlignment w:val="baseline"/>
        <w:rPr>
          <w:rFonts w:ascii="宋体" w:hAnsi="宋体"/>
          <w:kern w:val="0"/>
          <w:szCs w:val="21"/>
          <w:highlight w:val="none"/>
        </w:rPr>
      </w:pPr>
      <w:r>
        <w:rPr>
          <w:rFonts w:ascii="宋体" w:hAnsi="宋体"/>
          <w:kern w:val="0"/>
          <w:szCs w:val="21"/>
          <w:highlight w:val="none"/>
        </w:rPr>
        <w:t>9.1.4 发包人提供</w:t>
      </w:r>
      <w:r>
        <w:rPr>
          <w:rFonts w:ascii="宋体" w:hAnsi="宋体"/>
          <w:kern w:val="0"/>
          <w:szCs w:val="21"/>
          <w:highlight w:val="none"/>
          <w:u w:val="single"/>
        </w:rPr>
        <w:t xml:space="preserve"> </w:t>
      </w:r>
      <w:r>
        <w:rPr>
          <w:rFonts w:hint="eastAsia" w:ascii="宋体" w:hAnsi="宋体"/>
          <w:kern w:val="0"/>
          <w:szCs w:val="21"/>
          <w:highlight w:val="none"/>
          <w:u w:val="single"/>
        </w:rPr>
        <w:t>/</w:t>
      </w:r>
      <w:r>
        <w:rPr>
          <w:rFonts w:ascii="宋体" w:hAnsi="宋体"/>
          <w:kern w:val="0"/>
          <w:szCs w:val="21"/>
          <w:highlight w:val="none"/>
          <w:u w:val="single"/>
        </w:rPr>
        <w:t xml:space="preserve"> </w:t>
      </w:r>
      <w:r>
        <w:rPr>
          <w:rFonts w:ascii="宋体" w:hAnsi="宋体"/>
          <w:kern w:val="0"/>
          <w:szCs w:val="21"/>
          <w:highlight w:val="none"/>
        </w:rPr>
        <w:t>资料，其余资料由承包人负责收集。</w:t>
      </w:r>
    </w:p>
    <w:p w14:paraId="0D6B097E">
      <w:pPr>
        <w:keepNext/>
        <w:keepLines/>
        <w:numPr>
          <w:ilvl w:val="4"/>
          <w:numId w:val="0"/>
        </w:numPr>
        <w:tabs>
          <w:tab w:val="left" w:pos="0"/>
        </w:tabs>
        <w:suppressAutoHyphens/>
        <w:snapToGrid w:val="0"/>
        <w:spacing w:line="420" w:lineRule="exact"/>
        <w:outlineLvl w:val="4"/>
        <w:rPr>
          <w:rFonts w:ascii="宋体" w:hAnsi="宋体"/>
          <w:b/>
          <w:spacing w:val="20"/>
          <w:szCs w:val="21"/>
          <w:highlight w:val="none"/>
        </w:rPr>
      </w:pPr>
      <w:r>
        <w:rPr>
          <w:rFonts w:ascii="宋体" w:hAnsi="宋体"/>
          <w:snapToGrid w:val="0"/>
          <w:szCs w:val="21"/>
          <w:highlight w:val="none"/>
        </w:rPr>
        <w:t>9.2 承包人的施工安全责任</w:t>
      </w:r>
    </w:p>
    <w:p w14:paraId="1411993D">
      <w:pPr>
        <w:autoSpaceDE w:val="0"/>
        <w:autoSpaceDN w:val="0"/>
        <w:adjustRightInd w:val="0"/>
        <w:snapToGrid w:val="0"/>
        <w:spacing w:line="420" w:lineRule="exact"/>
        <w:ind w:firstLine="480"/>
        <w:textAlignment w:val="baseline"/>
        <w:rPr>
          <w:rFonts w:ascii="宋体" w:hAnsi="宋体"/>
          <w:kern w:val="0"/>
          <w:szCs w:val="21"/>
          <w:highlight w:val="none"/>
        </w:rPr>
      </w:pPr>
      <w:r>
        <w:rPr>
          <w:rFonts w:ascii="宋体" w:hAnsi="宋体"/>
          <w:kern w:val="0"/>
          <w:szCs w:val="21"/>
          <w:highlight w:val="none"/>
        </w:rPr>
        <w:t xml:space="preserve">9.2.12 </w:t>
      </w:r>
      <w:r>
        <w:rPr>
          <w:rFonts w:hint="eastAsia" w:ascii="宋体" w:hAnsi="宋体"/>
          <w:kern w:val="0"/>
          <w:szCs w:val="21"/>
          <w:highlight w:val="none"/>
        </w:rPr>
        <w:t>下列工程应编制专项施工方案：</w:t>
      </w:r>
      <w:r>
        <w:rPr>
          <w:rFonts w:hint="eastAsia" w:ascii="宋体" w:hAnsi="宋体"/>
          <w:kern w:val="0"/>
          <w:szCs w:val="21"/>
          <w:highlight w:val="none"/>
          <w:u w:val="single"/>
        </w:rPr>
        <w:t>无，</w:t>
      </w:r>
      <w:r>
        <w:rPr>
          <w:rFonts w:hint="eastAsia" w:ascii="宋体" w:hAnsi="宋体"/>
          <w:kern w:val="0"/>
          <w:szCs w:val="21"/>
          <w:highlight w:val="none"/>
        </w:rPr>
        <w:t>其中</w:t>
      </w:r>
      <w:r>
        <w:rPr>
          <w:rFonts w:hint="eastAsia" w:ascii="宋体" w:hAnsi="宋体"/>
          <w:kern w:val="0"/>
          <w:szCs w:val="21"/>
          <w:highlight w:val="none"/>
          <w:u w:val="single"/>
        </w:rPr>
        <w:t xml:space="preserve"> 按规定要求对相应施工方案   </w:t>
      </w:r>
      <w:r>
        <w:rPr>
          <w:rFonts w:hint="eastAsia" w:ascii="宋体" w:hAnsi="宋体"/>
          <w:kern w:val="0"/>
          <w:szCs w:val="21"/>
          <w:highlight w:val="none"/>
        </w:rPr>
        <w:t>应组织专家论证和审查。</w:t>
      </w:r>
    </w:p>
    <w:p w14:paraId="6E3144E3">
      <w:pPr>
        <w:keepNext/>
        <w:keepLines/>
        <w:numPr>
          <w:ilvl w:val="4"/>
          <w:numId w:val="0"/>
        </w:numPr>
        <w:tabs>
          <w:tab w:val="left" w:pos="0"/>
        </w:tabs>
        <w:suppressAutoHyphens/>
        <w:snapToGrid w:val="0"/>
        <w:spacing w:line="420" w:lineRule="exact"/>
        <w:outlineLvl w:val="4"/>
        <w:rPr>
          <w:rFonts w:ascii="宋体" w:hAnsi="宋体"/>
          <w:b/>
          <w:spacing w:val="20"/>
          <w:szCs w:val="21"/>
          <w:highlight w:val="none"/>
        </w:rPr>
      </w:pPr>
      <w:r>
        <w:rPr>
          <w:rFonts w:ascii="宋体" w:hAnsi="宋体"/>
          <w:snapToGrid w:val="0"/>
          <w:szCs w:val="21"/>
          <w:highlight w:val="none"/>
        </w:rPr>
        <w:t xml:space="preserve">9.4 </w:t>
      </w:r>
      <w:r>
        <w:rPr>
          <w:rFonts w:hint="eastAsia" w:ascii="宋体" w:hAnsi="宋体"/>
          <w:snapToGrid w:val="0"/>
          <w:szCs w:val="21"/>
          <w:highlight w:val="none"/>
        </w:rPr>
        <w:t>环境保护</w:t>
      </w:r>
    </w:p>
    <w:p w14:paraId="2EA537CE">
      <w:pPr>
        <w:autoSpaceDE w:val="0"/>
        <w:autoSpaceDN w:val="0"/>
        <w:adjustRightInd w:val="0"/>
        <w:snapToGrid w:val="0"/>
        <w:spacing w:line="420" w:lineRule="exact"/>
        <w:ind w:firstLine="480"/>
        <w:textAlignment w:val="baseline"/>
        <w:rPr>
          <w:rFonts w:ascii="宋体" w:hAnsi="宋体"/>
          <w:kern w:val="0"/>
          <w:szCs w:val="21"/>
          <w:highlight w:val="none"/>
        </w:rPr>
      </w:pPr>
      <w:r>
        <w:rPr>
          <w:rFonts w:hint="eastAsia" w:ascii="宋体" w:hAnsi="宋体"/>
          <w:kern w:val="0"/>
          <w:szCs w:val="21"/>
          <w:highlight w:val="none"/>
          <w:u w:val="single"/>
        </w:rPr>
        <w:t>补充以下条款：</w:t>
      </w:r>
    </w:p>
    <w:p w14:paraId="6A5C4E84">
      <w:pPr>
        <w:autoSpaceDE w:val="0"/>
        <w:autoSpaceDN w:val="0"/>
        <w:adjustRightInd w:val="0"/>
        <w:snapToGrid w:val="0"/>
        <w:spacing w:line="420" w:lineRule="exact"/>
        <w:ind w:firstLine="480"/>
        <w:textAlignment w:val="baseline"/>
        <w:rPr>
          <w:snapToGrid w:val="0"/>
          <w:szCs w:val="20"/>
          <w:highlight w:val="none"/>
        </w:rPr>
      </w:pPr>
      <w:r>
        <w:rPr>
          <w:snapToGrid w:val="0"/>
          <w:szCs w:val="20"/>
          <w:highlight w:val="none"/>
        </w:rPr>
        <w:t xml:space="preserve">9.4.7 </w:t>
      </w:r>
      <w:r>
        <w:rPr>
          <w:rFonts w:hint="eastAsia"/>
          <w:snapToGrid w:val="0"/>
          <w:szCs w:val="20"/>
          <w:highlight w:val="none"/>
        </w:rPr>
        <w:t>承包人应严格执行国家有关水域环境生态保护的规定，合理选择施工机械和施工工艺，采取有效措施，减少施工对周边水域的影响。</w:t>
      </w:r>
    </w:p>
    <w:p w14:paraId="06D32BE7">
      <w:pPr>
        <w:autoSpaceDE w:val="0"/>
        <w:autoSpaceDN w:val="0"/>
        <w:adjustRightInd w:val="0"/>
        <w:snapToGrid w:val="0"/>
        <w:spacing w:line="420" w:lineRule="exact"/>
        <w:ind w:firstLine="480"/>
        <w:textAlignment w:val="baseline"/>
        <w:rPr>
          <w:snapToGrid w:val="0"/>
          <w:szCs w:val="20"/>
          <w:highlight w:val="none"/>
        </w:rPr>
      </w:pPr>
      <w:r>
        <w:rPr>
          <w:snapToGrid w:val="0"/>
          <w:szCs w:val="20"/>
          <w:highlight w:val="none"/>
        </w:rPr>
        <w:t>9.4.</w:t>
      </w:r>
      <w:r>
        <w:rPr>
          <w:rFonts w:hint="eastAsia"/>
          <w:snapToGrid w:val="0"/>
          <w:szCs w:val="20"/>
          <w:highlight w:val="none"/>
        </w:rPr>
        <w:t>8承包人应尽可能优化施工方案，严格限定施工活动范围，合理安排好施工时段和施工方式。加强水土流失防治，落实相应的工程措施、植物措施和临时措施。</w:t>
      </w:r>
    </w:p>
    <w:p w14:paraId="5ACF4686">
      <w:pPr>
        <w:autoSpaceDE w:val="0"/>
        <w:autoSpaceDN w:val="0"/>
        <w:adjustRightInd w:val="0"/>
        <w:snapToGrid w:val="0"/>
        <w:spacing w:line="420" w:lineRule="exact"/>
        <w:ind w:firstLine="480"/>
        <w:textAlignment w:val="baseline"/>
        <w:rPr>
          <w:snapToGrid w:val="0"/>
          <w:szCs w:val="20"/>
          <w:highlight w:val="none"/>
        </w:rPr>
      </w:pPr>
      <w:r>
        <w:rPr>
          <w:snapToGrid w:val="0"/>
          <w:szCs w:val="20"/>
          <w:highlight w:val="none"/>
        </w:rPr>
        <w:t>9.4.</w:t>
      </w:r>
      <w:r>
        <w:rPr>
          <w:rFonts w:hint="eastAsia"/>
          <w:snapToGrid w:val="0"/>
          <w:szCs w:val="20"/>
          <w:highlight w:val="none"/>
        </w:rPr>
        <w:t>9承包人应做好施工区附近和施工公路沿线居民点的噪声和扬尘污染防治工作。选用低噪声设备，合理安排施工作业时间。建筑垃圾及施工人员生活垃圾须及时清运并妥善处理，禁止随意抛弃、排入水体。</w:t>
      </w:r>
    </w:p>
    <w:p w14:paraId="1F5E93F1">
      <w:pPr>
        <w:keepNext/>
        <w:keepLines/>
        <w:numPr>
          <w:ilvl w:val="4"/>
          <w:numId w:val="0"/>
        </w:numPr>
        <w:tabs>
          <w:tab w:val="left" w:pos="0"/>
        </w:tabs>
        <w:suppressAutoHyphens/>
        <w:snapToGrid w:val="0"/>
        <w:spacing w:line="420" w:lineRule="exact"/>
        <w:outlineLvl w:val="4"/>
        <w:rPr>
          <w:rFonts w:ascii="宋体" w:hAnsi="宋体"/>
          <w:b/>
          <w:spacing w:val="20"/>
          <w:szCs w:val="21"/>
          <w:highlight w:val="none"/>
        </w:rPr>
      </w:pPr>
      <w:r>
        <w:rPr>
          <w:rFonts w:ascii="宋体" w:hAnsi="宋体"/>
          <w:snapToGrid w:val="0"/>
          <w:szCs w:val="21"/>
          <w:highlight w:val="none"/>
        </w:rPr>
        <w:t xml:space="preserve">9.6 </w:t>
      </w:r>
      <w:r>
        <w:rPr>
          <w:rFonts w:hint="eastAsia" w:ascii="宋体" w:hAnsi="宋体"/>
          <w:snapToGrid w:val="0"/>
          <w:szCs w:val="21"/>
          <w:highlight w:val="none"/>
        </w:rPr>
        <w:t>水土保持</w:t>
      </w:r>
    </w:p>
    <w:p w14:paraId="1FDB76F2">
      <w:pPr>
        <w:autoSpaceDE w:val="0"/>
        <w:autoSpaceDN w:val="0"/>
        <w:adjustRightInd w:val="0"/>
        <w:snapToGrid w:val="0"/>
        <w:spacing w:line="420" w:lineRule="exact"/>
        <w:ind w:firstLine="480"/>
        <w:textAlignment w:val="baseline"/>
        <w:rPr>
          <w:rFonts w:ascii="宋体" w:hAnsi="宋体"/>
          <w:kern w:val="0"/>
          <w:szCs w:val="21"/>
          <w:highlight w:val="none"/>
        </w:rPr>
      </w:pPr>
      <w:r>
        <w:rPr>
          <w:rFonts w:hint="eastAsia" w:ascii="宋体" w:hAnsi="宋体"/>
          <w:kern w:val="0"/>
          <w:szCs w:val="21"/>
          <w:highlight w:val="none"/>
          <w:u w:val="single"/>
        </w:rPr>
        <w:t>增加以下条款：</w:t>
      </w:r>
    </w:p>
    <w:p w14:paraId="6E4A7C12">
      <w:pPr>
        <w:autoSpaceDE w:val="0"/>
        <w:autoSpaceDN w:val="0"/>
        <w:adjustRightInd w:val="0"/>
        <w:snapToGrid w:val="0"/>
        <w:spacing w:line="420" w:lineRule="exact"/>
        <w:ind w:firstLine="480"/>
        <w:textAlignment w:val="baseline"/>
        <w:rPr>
          <w:snapToGrid w:val="0"/>
          <w:szCs w:val="20"/>
          <w:highlight w:val="none"/>
        </w:rPr>
      </w:pPr>
      <w:r>
        <w:rPr>
          <w:snapToGrid w:val="0"/>
          <w:szCs w:val="20"/>
          <w:highlight w:val="none"/>
        </w:rPr>
        <w:t xml:space="preserve">9.6.4 </w:t>
      </w:r>
      <w:r>
        <w:rPr>
          <w:rFonts w:hint="eastAsia"/>
          <w:snapToGrid w:val="0"/>
          <w:szCs w:val="20"/>
          <w:highlight w:val="none"/>
        </w:rPr>
        <w:t>承包人的各类施工活动要严格限定在用地范围内，严禁随意占压、扰动和破坏地表植被；做好表土的剥离、集中堆放、拦挡、排水、苫盖及回覆等；施工过程中产生的弃土（渣）要及时清运至消纳地点消纳，禁止随意倾倒或在河道里堆弃。施工结束后要及时进行迹地整治、复耕或恢复植被。加强施工组织管理和临时防护措施，合理安排施工时序，严格控制施工期间可能造成的水土流失。</w:t>
      </w:r>
    </w:p>
    <w:p w14:paraId="0536B1C1">
      <w:pPr>
        <w:keepNext/>
        <w:keepLines/>
        <w:numPr>
          <w:ilvl w:val="4"/>
          <w:numId w:val="0"/>
        </w:numPr>
        <w:tabs>
          <w:tab w:val="left" w:pos="0"/>
        </w:tabs>
        <w:suppressAutoHyphens/>
        <w:snapToGrid w:val="0"/>
        <w:spacing w:line="420" w:lineRule="exact"/>
        <w:outlineLvl w:val="4"/>
        <w:rPr>
          <w:rFonts w:ascii="宋体" w:hAnsi="宋体"/>
          <w:b/>
          <w:spacing w:val="20"/>
          <w:szCs w:val="21"/>
          <w:highlight w:val="none"/>
        </w:rPr>
      </w:pPr>
      <w:r>
        <w:rPr>
          <w:rFonts w:ascii="宋体" w:hAnsi="宋体"/>
          <w:snapToGrid w:val="0"/>
          <w:szCs w:val="21"/>
          <w:highlight w:val="none"/>
        </w:rPr>
        <w:t>9.7 文明工地</w:t>
      </w:r>
    </w:p>
    <w:p w14:paraId="2A7B428C">
      <w:pPr>
        <w:autoSpaceDE w:val="0"/>
        <w:autoSpaceDN w:val="0"/>
        <w:adjustRightInd w:val="0"/>
        <w:snapToGrid w:val="0"/>
        <w:spacing w:line="420" w:lineRule="exact"/>
        <w:ind w:firstLine="480"/>
        <w:textAlignment w:val="baseline"/>
        <w:rPr>
          <w:rFonts w:ascii="宋体" w:hAnsi="宋体"/>
          <w:kern w:val="0"/>
          <w:szCs w:val="21"/>
          <w:highlight w:val="none"/>
        </w:rPr>
      </w:pPr>
      <w:r>
        <w:rPr>
          <w:rFonts w:ascii="宋体" w:hAnsi="宋体"/>
          <w:kern w:val="0"/>
          <w:szCs w:val="21"/>
          <w:highlight w:val="none"/>
        </w:rPr>
        <w:t>本合同文明工地的约定：</w:t>
      </w:r>
      <w:r>
        <w:rPr>
          <w:rFonts w:hint="eastAsia"/>
          <w:snapToGrid w:val="0"/>
          <w:szCs w:val="20"/>
          <w:highlight w:val="none"/>
          <w:u w:val="single"/>
        </w:rPr>
        <w:t>有关标准按工程所在地的规定执行。</w:t>
      </w:r>
    </w:p>
    <w:p w14:paraId="16341017">
      <w:pPr>
        <w:autoSpaceDE w:val="0"/>
        <w:autoSpaceDN w:val="0"/>
        <w:adjustRightInd w:val="0"/>
        <w:snapToGrid w:val="0"/>
        <w:spacing w:line="420" w:lineRule="exact"/>
        <w:ind w:firstLine="480"/>
        <w:textAlignment w:val="baseline"/>
        <w:rPr>
          <w:rFonts w:ascii="宋体" w:hAnsi="宋体"/>
          <w:kern w:val="0"/>
          <w:szCs w:val="21"/>
          <w:highlight w:val="none"/>
        </w:rPr>
      </w:pPr>
      <w:r>
        <w:rPr>
          <w:rFonts w:hint="eastAsia" w:ascii="宋体" w:hAnsi="宋体"/>
          <w:kern w:val="0"/>
          <w:szCs w:val="21"/>
          <w:highlight w:val="none"/>
          <w:u w:val="single"/>
        </w:rPr>
        <w:t>增加以下条款：</w:t>
      </w:r>
    </w:p>
    <w:p w14:paraId="03FD7991">
      <w:pPr>
        <w:autoSpaceDE w:val="0"/>
        <w:autoSpaceDN w:val="0"/>
        <w:adjustRightInd w:val="0"/>
        <w:spacing w:line="420" w:lineRule="exact"/>
        <w:ind w:firstLine="482"/>
        <w:textAlignment w:val="baseline"/>
        <w:rPr>
          <w:rFonts w:ascii="宋体" w:hAnsi="宋体"/>
          <w:kern w:val="0"/>
          <w:szCs w:val="21"/>
          <w:highlight w:val="none"/>
          <w:u w:val="single"/>
        </w:rPr>
      </w:pPr>
      <w:r>
        <w:rPr>
          <w:rFonts w:hint="eastAsia" w:ascii="宋体" w:hAnsi="宋体"/>
          <w:kern w:val="0"/>
          <w:szCs w:val="21"/>
          <w:highlight w:val="none"/>
          <w:u w:val="single"/>
        </w:rPr>
        <w:t>承包人在施工期间，应严格执行国家、省和本市有关建设工程安全、文明施工的规定；如因承包人管理不善，受到政府有关部门处罚或责令停工整改等，其发生的所有的费用和造成的损失均由承包人自行承担，工期不予顺延，且发包人保留因此而缓付工程进度款的权利。</w:t>
      </w:r>
    </w:p>
    <w:p w14:paraId="24AAA602">
      <w:pPr>
        <w:keepLines/>
        <w:widowControl/>
        <w:autoSpaceDE w:val="0"/>
        <w:autoSpaceDN w:val="0"/>
        <w:adjustRightInd w:val="0"/>
        <w:snapToGrid w:val="0"/>
        <w:spacing w:line="420" w:lineRule="exact"/>
        <w:jc w:val="left"/>
        <w:textAlignment w:val="baseline"/>
        <w:outlineLvl w:val="3"/>
        <w:rPr>
          <w:rFonts w:ascii="宋体" w:hAnsi="宋体"/>
          <w:b/>
          <w:snapToGrid w:val="0"/>
          <w:kern w:val="0"/>
          <w:szCs w:val="21"/>
          <w:highlight w:val="none"/>
        </w:rPr>
      </w:pPr>
      <w:r>
        <w:rPr>
          <w:rFonts w:ascii="宋体" w:hAnsi="宋体" w:cs="宋体"/>
          <w:b/>
          <w:snapToGrid w:val="0"/>
          <w:kern w:val="0"/>
          <w:szCs w:val="21"/>
          <w:highlight w:val="none"/>
        </w:rPr>
        <w:t>11 开工和完工</w:t>
      </w:r>
    </w:p>
    <w:p w14:paraId="14FE460A">
      <w:pPr>
        <w:keepNext/>
        <w:keepLines/>
        <w:numPr>
          <w:ilvl w:val="4"/>
          <w:numId w:val="0"/>
        </w:numPr>
        <w:tabs>
          <w:tab w:val="left" w:pos="0"/>
        </w:tabs>
        <w:suppressAutoHyphens/>
        <w:snapToGrid w:val="0"/>
        <w:spacing w:line="420" w:lineRule="exact"/>
        <w:outlineLvl w:val="4"/>
        <w:rPr>
          <w:rFonts w:ascii="宋体" w:hAnsi="宋体"/>
          <w:snapToGrid w:val="0"/>
          <w:szCs w:val="21"/>
          <w:highlight w:val="none"/>
        </w:rPr>
      </w:pPr>
      <w:r>
        <w:rPr>
          <w:rFonts w:ascii="宋体" w:hAnsi="宋体"/>
          <w:snapToGrid w:val="0"/>
          <w:szCs w:val="21"/>
          <w:highlight w:val="none"/>
        </w:rPr>
        <w:t>11.4 异常恶劣的气候条件</w:t>
      </w:r>
    </w:p>
    <w:p w14:paraId="3B6051D1">
      <w:pPr>
        <w:autoSpaceDE w:val="0"/>
        <w:autoSpaceDN w:val="0"/>
        <w:adjustRightInd w:val="0"/>
        <w:spacing w:line="420" w:lineRule="exact"/>
        <w:textAlignment w:val="baseline"/>
        <w:rPr>
          <w:rFonts w:ascii="宋体" w:hAnsi="宋体"/>
          <w:kern w:val="0"/>
          <w:szCs w:val="21"/>
          <w:highlight w:val="none"/>
        </w:rPr>
      </w:pPr>
      <w:r>
        <w:rPr>
          <w:rFonts w:hint="eastAsia" w:ascii="宋体" w:hAnsi="宋体"/>
          <w:kern w:val="0"/>
          <w:szCs w:val="21"/>
          <w:highlight w:val="none"/>
        </w:rPr>
        <w:t>11.4.3 本合同工程界定异常恶劣的气候条件的范围为：</w:t>
      </w:r>
    </w:p>
    <w:p w14:paraId="2DA14C1E">
      <w:pPr>
        <w:autoSpaceDE w:val="0"/>
        <w:autoSpaceDN w:val="0"/>
        <w:adjustRightInd w:val="0"/>
        <w:snapToGrid w:val="0"/>
        <w:spacing w:line="420" w:lineRule="exact"/>
        <w:ind w:firstLine="480"/>
        <w:textAlignment w:val="baseline"/>
        <w:rPr>
          <w:rFonts w:ascii="宋体" w:hAnsi="宋体"/>
          <w:kern w:val="0"/>
          <w:szCs w:val="21"/>
          <w:highlight w:val="none"/>
        </w:rPr>
      </w:pPr>
      <w:r>
        <w:rPr>
          <w:rFonts w:hint="eastAsia" w:ascii="宋体" w:hAnsi="宋体"/>
          <w:kern w:val="0"/>
          <w:szCs w:val="21"/>
          <w:highlight w:val="none"/>
        </w:rPr>
        <w:t xml:space="preserve">（1） 日降雨量大于 </w:t>
      </w:r>
      <w:r>
        <w:rPr>
          <w:rFonts w:hint="eastAsia" w:ascii="宋体" w:hAnsi="宋体"/>
          <w:kern w:val="0"/>
          <w:szCs w:val="21"/>
          <w:highlight w:val="none"/>
          <w:u w:val="single"/>
        </w:rPr>
        <w:t>50</w:t>
      </w:r>
      <w:r>
        <w:rPr>
          <w:rFonts w:hint="eastAsia" w:ascii="宋体" w:hAnsi="宋体"/>
          <w:kern w:val="0"/>
          <w:szCs w:val="21"/>
          <w:highlight w:val="none"/>
        </w:rPr>
        <w:t xml:space="preserve"> mm的雨日超过</w:t>
      </w:r>
      <w:r>
        <w:rPr>
          <w:rFonts w:hint="eastAsia" w:ascii="宋体" w:hAnsi="宋体"/>
          <w:kern w:val="0"/>
          <w:szCs w:val="21"/>
          <w:highlight w:val="none"/>
          <w:u w:val="single"/>
        </w:rPr>
        <w:t>10</w:t>
      </w:r>
      <w:r>
        <w:rPr>
          <w:rFonts w:hint="eastAsia" w:ascii="宋体" w:hAnsi="宋体"/>
          <w:kern w:val="0"/>
          <w:szCs w:val="21"/>
          <w:highlight w:val="none"/>
        </w:rPr>
        <w:t>天；</w:t>
      </w:r>
    </w:p>
    <w:p w14:paraId="1A54F508">
      <w:pPr>
        <w:autoSpaceDE w:val="0"/>
        <w:autoSpaceDN w:val="0"/>
        <w:adjustRightInd w:val="0"/>
        <w:snapToGrid w:val="0"/>
        <w:spacing w:line="420" w:lineRule="exact"/>
        <w:ind w:firstLine="480"/>
        <w:textAlignment w:val="baseline"/>
        <w:rPr>
          <w:rFonts w:ascii="宋体" w:hAnsi="宋体"/>
          <w:kern w:val="0"/>
          <w:szCs w:val="21"/>
          <w:highlight w:val="none"/>
        </w:rPr>
      </w:pPr>
      <w:r>
        <w:rPr>
          <w:rFonts w:hint="eastAsia" w:ascii="宋体" w:hAnsi="宋体"/>
          <w:kern w:val="0"/>
          <w:szCs w:val="21"/>
          <w:highlight w:val="none"/>
        </w:rPr>
        <w:t>（2） 风速大于</w:t>
      </w:r>
      <w:r>
        <w:rPr>
          <w:rFonts w:hint="eastAsia" w:ascii="宋体" w:hAnsi="宋体"/>
          <w:kern w:val="0"/>
          <w:szCs w:val="21"/>
          <w:highlight w:val="none"/>
          <w:u w:val="single"/>
        </w:rPr>
        <w:t>17</w:t>
      </w:r>
      <w:r>
        <w:rPr>
          <w:rFonts w:hint="eastAsia" w:ascii="宋体" w:hAnsi="宋体"/>
          <w:kern w:val="0"/>
          <w:szCs w:val="21"/>
          <w:highlight w:val="none"/>
        </w:rPr>
        <w:t xml:space="preserve"> m/s的</w:t>
      </w:r>
      <w:r>
        <w:rPr>
          <w:rFonts w:hint="eastAsia" w:ascii="宋体" w:hAnsi="宋体"/>
          <w:kern w:val="0"/>
          <w:szCs w:val="21"/>
          <w:highlight w:val="none"/>
          <w:u w:val="single"/>
        </w:rPr>
        <w:t>7</w:t>
      </w:r>
      <w:r>
        <w:rPr>
          <w:rFonts w:hint="eastAsia" w:ascii="宋体" w:hAnsi="宋体"/>
          <w:kern w:val="0"/>
          <w:szCs w:val="21"/>
          <w:highlight w:val="none"/>
        </w:rPr>
        <w:t>级以上台风灾害；</w:t>
      </w:r>
    </w:p>
    <w:p w14:paraId="7D196640">
      <w:pPr>
        <w:autoSpaceDE w:val="0"/>
        <w:autoSpaceDN w:val="0"/>
        <w:adjustRightInd w:val="0"/>
        <w:snapToGrid w:val="0"/>
        <w:spacing w:line="420" w:lineRule="exact"/>
        <w:ind w:firstLine="480"/>
        <w:textAlignment w:val="baseline"/>
        <w:rPr>
          <w:rFonts w:ascii="宋体" w:hAnsi="宋体"/>
          <w:kern w:val="0"/>
          <w:szCs w:val="21"/>
          <w:highlight w:val="none"/>
        </w:rPr>
      </w:pPr>
      <w:r>
        <w:rPr>
          <w:rFonts w:hint="eastAsia" w:ascii="宋体" w:hAnsi="宋体"/>
          <w:kern w:val="0"/>
          <w:szCs w:val="21"/>
          <w:highlight w:val="none"/>
        </w:rPr>
        <w:t>（3） 日气温超过</w:t>
      </w:r>
      <w:r>
        <w:rPr>
          <w:rFonts w:hint="eastAsia" w:ascii="宋体" w:hAnsi="宋体"/>
          <w:kern w:val="0"/>
          <w:szCs w:val="21"/>
          <w:highlight w:val="none"/>
          <w:u w:val="single"/>
        </w:rPr>
        <w:t>40</w:t>
      </w:r>
      <w:r>
        <w:rPr>
          <w:rFonts w:hint="eastAsia" w:ascii="宋体" w:hAnsi="宋体"/>
          <w:kern w:val="0"/>
          <w:szCs w:val="21"/>
          <w:highlight w:val="none"/>
        </w:rPr>
        <w:t>℃的高温大于</w:t>
      </w:r>
      <w:r>
        <w:rPr>
          <w:rFonts w:hint="eastAsia" w:ascii="宋体" w:hAnsi="宋体"/>
          <w:kern w:val="0"/>
          <w:szCs w:val="21"/>
          <w:highlight w:val="none"/>
          <w:u w:val="single"/>
        </w:rPr>
        <w:t>10</w:t>
      </w:r>
      <w:r>
        <w:rPr>
          <w:rFonts w:hint="eastAsia" w:ascii="宋体" w:hAnsi="宋体"/>
          <w:kern w:val="0"/>
          <w:szCs w:val="21"/>
          <w:highlight w:val="none"/>
        </w:rPr>
        <w:t>天；</w:t>
      </w:r>
    </w:p>
    <w:p w14:paraId="6C2A2FE0">
      <w:pPr>
        <w:autoSpaceDE w:val="0"/>
        <w:autoSpaceDN w:val="0"/>
        <w:adjustRightInd w:val="0"/>
        <w:snapToGrid w:val="0"/>
        <w:spacing w:line="420" w:lineRule="exact"/>
        <w:ind w:firstLine="480"/>
        <w:textAlignment w:val="baseline"/>
        <w:rPr>
          <w:rFonts w:ascii="宋体" w:hAnsi="宋体"/>
          <w:kern w:val="0"/>
          <w:szCs w:val="21"/>
          <w:highlight w:val="none"/>
        </w:rPr>
      </w:pPr>
      <w:r>
        <w:rPr>
          <w:rFonts w:hint="eastAsia" w:ascii="宋体" w:hAnsi="宋体"/>
          <w:kern w:val="0"/>
          <w:szCs w:val="21"/>
          <w:highlight w:val="none"/>
        </w:rPr>
        <w:t>（4） 日气温低于</w:t>
      </w:r>
      <w:r>
        <w:rPr>
          <w:rFonts w:hint="eastAsia" w:ascii="宋体" w:hAnsi="宋体"/>
          <w:kern w:val="0"/>
          <w:szCs w:val="21"/>
          <w:highlight w:val="none"/>
          <w:u w:val="single"/>
        </w:rPr>
        <w:t>-5</w:t>
      </w:r>
      <w:r>
        <w:rPr>
          <w:rFonts w:hint="eastAsia" w:ascii="宋体" w:hAnsi="宋体"/>
          <w:kern w:val="0"/>
          <w:szCs w:val="21"/>
          <w:highlight w:val="none"/>
        </w:rPr>
        <w:t>℃的严寒大于</w:t>
      </w:r>
      <w:r>
        <w:rPr>
          <w:rFonts w:hint="eastAsia" w:ascii="宋体" w:hAnsi="宋体"/>
          <w:kern w:val="0"/>
          <w:szCs w:val="21"/>
          <w:highlight w:val="none"/>
          <w:u w:val="single"/>
        </w:rPr>
        <w:t>10</w:t>
      </w:r>
      <w:r>
        <w:rPr>
          <w:rFonts w:hint="eastAsia" w:ascii="宋体" w:hAnsi="宋体"/>
          <w:kern w:val="0"/>
          <w:szCs w:val="21"/>
          <w:highlight w:val="none"/>
        </w:rPr>
        <w:t>天；</w:t>
      </w:r>
    </w:p>
    <w:p w14:paraId="4F155581">
      <w:pPr>
        <w:autoSpaceDE w:val="0"/>
        <w:autoSpaceDN w:val="0"/>
        <w:adjustRightInd w:val="0"/>
        <w:snapToGrid w:val="0"/>
        <w:spacing w:line="420" w:lineRule="exact"/>
        <w:ind w:firstLine="480"/>
        <w:textAlignment w:val="baseline"/>
        <w:rPr>
          <w:rFonts w:ascii="宋体" w:hAnsi="宋体"/>
          <w:kern w:val="0"/>
          <w:szCs w:val="21"/>
          <w:highlight w:val="none"/>
        </w:rPr>
      </w:pPr>
      <w:r>
        <w:rPr>
          <w:rFonts w:hint="eastAsia" w:ascii="宋体" w:hAnsi="宋体"/>
          <w:kern w:val="0"/>
          <w:szCs w:val="21"/>
          <w:highlight w:val="none"/>
        </w:rPr>
        <w:t>（5） 造成工程损失的冰雹和大雪灾害：冰雹天气或日降雪量超过</w:t>
      </w:r>
      <w:r>
        <w:rPr>
          <w:rFonts w:hint="eastAsia" w:ascii="宋体" w:hAnsi="宋体"/>
          <w:kern w:val="0"/>
          <w:szCs w:val="21"/>
          <w:highlight w:val="none"/>
          <w:u w:val="single"/>
        </w:rPr>
        <w:t>10</w:t>
      </w:r>
      <w:r>
        <w:rPr>
          <w:rFonts w:hint="eastAsia" w:ascii="宋体" w:hAnsi="宋体"/>
          <w:kern w:val="0"/>
          <w:szCs w:val="21"/>
          <w:highlight w:val="none"/>
        </w:rPr>
        <w:t>mm以上的天气大于</w:t>
      </w:r>
      <w:r>
        <w:rPr>
          <w:rFonts w:hint="eastAsia" w:ascii="宋体" w:hAnsi="宋体"/>
          <w:kern w:val="0"/>
          <w:szCs w:val="21"/>
          <w:highlight w:val="none"/>
          <w:u w:val="single"/>
        </w:rPr>
        <w:t>10</w:t>
      </w:r>
      <w:r>
        <w:rPr>
          <w:rFonts w:hint="eastAsia" w:ascii="宋体" w:hAnsi="宋体"/>
          <w:kern w:val="0"/>
          <w:szCs w:val="21"/>
          <w:highlight w:val="none"/>
        </w:rPr>
        <w:t>天；</w:t>
      </w:r>
    </w:p>
    <w:p w14:paraId="768E4631">
      <w:pPr>
        <w:autoSpaceDE w:val="0"/>
        <w:autoSpaceDN w:val="0"/>
        <w:adjustRightInd w:val="0"/>
        <w:snapToGrid w:val="0"/>
        <w:spacing w:line="420" w:lineRule="exact"/>
        <w:ind w:firstLine="480"/>
        <w:textAlignment w:val="baseline"/>
        <w:rPr>
          <w:rFonts w:ascii="宋体" w:hAnsi="宋体"/>
          <w:kern w:val="0"/>
          <w:szCs w:val="21"/>
          <w:highlight w:val="none"/>
        </w:rPr>
      </w:pPr>
      <w:r>
        <w:rPr>
          <w:rFonts w:hint="eastAsia" w:ascii="宋体" w:hAnsi="宋体"/>
          <w:kern w:val="0"/>
          <w:szCs w:val="21"/>
          <w:highlight w:val="none"/>
        </w:rPr>
        <w:t>（6） 其它异常恶劣气候灾害。</w:t>
      </w:r>
    </w:p>
    <w:p w14:paraId="1B703597">
      <w:pPr>
        <w:keepNext/>
        <w:keepLines/>
        <w:numPr>
          <w:ilvl w:val="4"/>
          <w:numId w:val="0"/>
        </w:numPr>
        <w:tabs>
          <w:tab w:val="left" w:pos="0"/>
        </w:tabs>
        <w:suppressAutoHyphens/>
        <w:snapToGrid w:val="0"/>
        <w:spacing w:line="420" w:lineRule="exact"/>
        <w:outlineLvl w:val="4"/>
        <w:rPr>
          <w:rFonts w:ascii="宋体" w:hAnsi="宋体"/>
          <w:b/>
          <w:spacing w:val="20"/>
          <w:szCs w:val="21"/>
          <w:highlight w:val="none"/>
        </w:rPr>
      </w:pPr>
      <w:r>
        <w:rPr>
          <w:rFonts w:ascii="宋体" w:hAnsi="宋体"/>
          <w:snapToGrid w:val="0"/>
          <w:szCs w:val="21"/>
          <w:highlight w:val="none"/>
        </w:rPr>
        <w:t>11.5 承包人的工期延误</w:t>
      </w:r>
    </w:p>
    <w:p w14:paraId="602EDAC4">
      <w:pPr>
        <w:autoSpaceDE w:val="0"/>
        <w:autoSpaceDN w:val="0"/>
        <w:adjustRightInd w:val="0"/>
        <w:snapToGrid w:val="0"/>
        <w:spacing w:line="420" w:lineRule="exact"/>
        <w:ind w:firstLine="480"/>
        <w:textAlignment w:val="baseline"/>
        <w:rPr>
          <w:rFonts w:ascii="宋体" w:hAnsi="宋体"/>
          <w:kern w:val="0"/>
          <w:szCs w:val="21"/>
          <w:highlight w:val="none"/>
        </w:rPr>
      </w:pPr>
      <w:r>
        <w:rPr>
          <w:rFonts w:hint="eastAsia" w:ascii="宋体" w:hAnsi="宋体"/>
          <w:kern w:val="0"/>
          <w:szCs w:val="21"/>
          <w:highlight w:val="none"/>
        </w:rPr>
        <w:t>（</w:t>
      </w:r>
      <w:r>
        <w:rPr>
          <w:rFonts w:ascii="宋体" w:hAnsi="宋体"/>
          <w:kern w:val="0"/>
          <w:szCs w:val="21"/>
          <w:highlight w:val="none"/>
        </w:rPr>
        <w:t>1</w:t>
      </w:r>
      <w:r>
        <w:rPr>
          <w:rFonts w:hint="eastAsia" w:ascii="宋体" w:hAnsi="宋体"/>
          <w:kern w:val="0"/>
          <w:szCs w:val="21"/>
          <w:highlight w:val="none"/>
        </w:rPr>
        <w:t>）</w:t>
      </w:r>
      <w:r>
        <w:rPr>
          <w:rFonts w:ascii="宋体" w:hAnsi="宋体"/>
          <w:kern w:val="0"/>
          <w:szCs w:val="21"/>
          <w:highlight w:val="none"/>
        </w:rPr>
        <w:t>逾期完工违约金表</w:t>
      </w:r>
    </w:p>
    <w:p w14:paraId="3384BF3A">
      <w:pPr>
        <w:autoSpaceDE w:val="0"/>
        <w:autoSpaceDN w:val="0"/>
        <w:adjustRightInd w:val="0"/>
        <w:snapToGrid w:val="0"/>
        <w:spacing w:line="420" w:lineRule="exact"/>
        <w:jc w:val="center"/>
        <w:textAlignment w:val="baseline"/>
        <w:rPr>
          <w:rFonts w:ascii="宋体" w:hAnsi="宋体"/>
          <w:kern w:val="0"/>
          <w:szCs w:val="21"/>
          <w:highlight w:val="none"/>
        </w:rPr>
      </w:pPr>
      <w:r>
        <w:rPr>
          <w:rFonts w:ascii="宋体" w:hAnsi="宋体"/>
          <w:kern w:val="0"/>
          <w:szCs w:val="21"/>
          <w:highlight w:val="none"/>
        </w:rPr>
        <w:t>逾期完工违约金表</w:t>
      </w:r>
    </w:p>
    <w:tbl>
      <w:tblPr>
        <w:tblStyle w:val="24"/>
        <w:tblW w:w="0" w:type="auto"/>
        <w:tblInd w:w="28" w:type="dxa"/>
        <w:tblLayout w:type="fixed"/>
        <w:tblCellMar>
          <w:top w:w="0" w:type="dxa"/>
          <w:left w:w="28" w:type="dxa"/>
          <w:bottom w:w="0" w:type="dxa"/>
          <w:right w:w="28" w:type="dxa"/>
        </w:tblCellMar>
      </w:tblPr>
      <w:tblGrid>
        <w:gridCol w:w="851"/>
        <w:gridCol w:w="2268"/>
        <w:gridCol w:w="3260"/>
        <w:gridCol w:w="2461"/>
      </w:tblGrid>
      <w:tr w14:paraId="36AAC566">
        <w:tblPrEx>
          <w:tblCellMar>
            <w:top w:w="0" w:type="dxa"/>
            <w:left w:w="28" w:type="dxa"/>
            <w:bottom w:w="0" w:type="dxa"/>
            <w:right w:w="28" w:type="dxa"/>
          </w:tblCellMar>
        </w:tblPrEx>
        <w:trPr>
          <w:trHeight w:val="541" w:hRule="atLeast"/>
        </w:trPr>
        <w:tc>
          <w:tcPr>
            <w:tcW w:w="851" w:type="dxa"/>
            <w:tcBorders>
              <w:top w:val="single" w:color="000000" w:sz="8" w:space="0"/>
              <w:left w:val="single" w:color="000000" w:sz="8" w:space="0"/>
              <w:bottom w:val="single" w:color="000000" w:sz="4" w:space="0"/>
            </w:tcBorders>
            <w:noWrap w:val="0"/>
            <w:vAlign w:val="center"/>
          </w:tcPr>
          <w:p w14:paraId="622CA428">
            <w:pPr>
              <w:autoSpaceDE w:val="0"/>
              <w:autoSpaceDN w:val="0"/>
              <w:adjustRightInd w:val="0"/>
              <w:snapToGrid w:val="0"/>
              <w:spacing w:line="420" w:lineRule="exact"/>
              <w:jc w:val="center"/>
              <w:textAlignment w:val="baseline"/>
              <w:rPr>
                <w:rFonts w:ascii="宋体" w:hAnsi="宋体"/>
                <w:kern w:val="0"/>
                <w:szCs w:val="21"/>
                <w:highlight w:val="none"/>
              </w:rPr>
            </w:pPr>
            <w:r>
              <w:rPr>
                <w:rFonts w:ascii="宋体" w:hAnsi="宋体"/>
                <w:kern w:val="0"/>
                <w:szCs w:val="21"/>
                <w:highlight w:val="none"/>
              </w:rPr>
              <w:t>序号</w:t>
            </w:r>
          </w:p>
        </w:tc>
        <w:tc>
          <w:tcPr>
            <w:tcW w:w="2268" w:type="dxa"/>
            <w:tcBorders>
              <w:top w:val="single" w:color="000000" w:sz="8" w:space="0"/>
              <w:left w:val="single" w:color="000000" w:sz="4" w:space="0"/>
              <w:bottom w:val="single" w:color="000000" w:sz="4" w:space="0"/>
            </w:tcBorders>
            <w:noWrap w:val="0"/>
            <w:vAlign w:val="center"/>
          </w:tcPr>
          <w:p w14:paraId="55134E9D">
            <w:pPr>
              <w:autoSpaceDE w:val="0"/>
              <w:autoSpaceDN w:val="0"/>
              <w:adjustRightInd w:val="0"/>
              <w:snapToGrid w:val="0"/>
              <w:spacing w:line="420" w:lineRule="exact"/>
              <w:jc w:val="center"/>
              <w:textAlignment w:val="baseline"/>
              <w:rPr>
                <w:rFonts w:ascii="宋体" w:hAnsi="宋体"/>
                <w:kern w:val="0"/>
                <w:szCs w:val="21"/>
                <w:highlight w:val="none"/>
              </w:rPr>
            </w:pPr>
            <w:r>
              <w:rPr>
                <w:rFonts w:ascii="宋体" w:hAnsi="宋体"/>
                <w:kern w:val="0"/>
                <w:szCs w:val="21"/>
                <w:highlight w:val="none"/>
              </w:rPr>
              <w:t>项目及其说明</w:t>
            </w:r>
          </w:p>
        </w:tc>
        <w:tc>
          <w:tcPr>
            <w:tcW w:w="3260" w:type="dxa"/>
            <w:tcBorders>
              <w:top w:val="single" w:color="000000" w:sz="8" w:space="0"/>
              <w:left w:val="single" w:color="000000" w:sz="4" w:space="0"/>
              <w:bottom w:val="single" w:color="000000" w:sz="4" w:space="0"/>
            </w:tcBorders>
            <w:noWrap w:val="0"/>
            <w:vAlign w:val="center"/>
          </w:tcPr>
          <w:p w14:paraId="1B0011C1">
            <w:pPr>
              <w:autoSpaceDE w:val="0"/>
              <w:autoSpaceDN w:val="0"/>
              <w:adjustRightInd w:val="0"/>
              <w:snapToGrid w:val="0"/>
              <w:spacing w:line="420" w:lineRule="exact"/>
              <w:jc w:val="center"/>
              <w:textAlignment w:val="baseline"/>
              <w:rPr>
                <w:rFonts w:ascii="宋体" w:hAnsi="宋体"/>
                <w:kern w:val="0"/>
                <w:szCs w:val="21"/>
                <w:highlight w:val="none"/>
              </w:rPr>
            </w:pPr>
            <w:r>
              <w:rPr>
                <w:rFonts w:ascii="宋体" w:hAnsi="宋体"/>
                <w:kern w:val="0"/>
                <w:szCs w:val="21"/>
                <w:highlight w:val="none"/>
              </w:rPr>
              <w:t>要求完工日期</w:t>
            </w:r>
          </w:p>
        </w:tc>
        <w:tc>
          <w:tcPr>
            <w:tcW w:w="2461" w:type="dxa"/>
            <w:tcBorders>
              <w:top w:val="single" w:color="000000" w:sz="8" w:space="0"/>
              <w:left w:val="single" w:color="000000" w:sz="4" w:space="0"/>
              <w:bottom w:val="single" w:color="000000" w:sz="4" w:space="0"/>
              <w:right w:val="single" w:color="000000" w:sz="8" w:space="0"/>
            </w:tcBorders>
            <w:noWrap w:val="0"/>
            <w:vAlign w:val="center"/>
          </w:tcPr>
          <w:p w14:paraId="730B4264">
            <w:pPr>
              <w:autoSpaceDE w:val="0"/>
              <w:autoSpaceDN w:val="0"/>
              <w:adjustRightInd w:val="0"/>
              <w:snapToGrid w:val="0"/>
              <w:spacing w:line="420" w:lineRule="exact"/>
              <w:jc w:val="center"/>
              <w:textAlignment w:val="baseline"/>
              <w:rPr>
                <w:rFonts w:ascii="宋体" w:hAnsi="宋体"/>
                <w:kern w:val="0"/>
                <w:szCs w:val="21"/>
                <w:highlight w:val="none"/>
              </w:rPr>
            </w:pPr>
            <w:r>
              <w:rPr>
                <w:rFonts w:ascii="宋体" w:hAnsi="宋体"/>
                <w:kern w:val="0"/>
                <w:szCs w:val="21"/>
                <w:highlight w:val="none"/>
              </w:rPr>
              <w:t>违约金（元/天）</w:t>
            </w:r>
          </w:p>
        </w:tc>
      </w:tr>
      <w:tr w14:paraId="12FF23CA">
        <w:tblPrEx>
          <w:tblCellMar>
            <w:top w:w="0" w:type="dxa"/>
            <w:left w:w="28" w:type="dxa"/>
            <w:bottom w:w="0" w:type="dxa"/>
            <w:right w:w="28" w:type="dxa"/>
          </w:tblCellMar>
        </w:tblPrEx>
        <w:trPr>
          <w:trHeight w:val="541" w:hRule="atLeast"/>
        </w:trPr>
        <w:tc>
          <w:tcPr>
            <w:tcW w:w="851" w:type="dxa"/>
            <w:tcBorders>
              <w:top w:val="single" w:color="000000" w:sz="4" w:space="0"/>
              <w:left w:val="single" w:color="000000" w:sz="8" w:space="0"/>
              <w:bottom w:val="single" w:color="000000" w:sz="4" w:space="0"/>
            </w:tcBorders>
            <w:noWrap w:val="0"/>
            <w:vAlign w:val="center"/>
          </w:tcPr>
          <w:p w14:paraId="7540FD9B">
            <w:pPr>
              <w:autoSpaceDE w:val="0"/>
              <w:autoSpaceDN w:val="0"/>
              <w:adjustRightInd w:val="0"/>
              <w:snapToGrid w:val="0"/>
              <w:spacing w:line="420" w:lineRule="exact"/>
              <w:jc w:val="center"/>
              <w:textAlignment w:val="baseline"/>
              <w:rPr>
                <w:rFonts w:ascii="宋体" w:hAnsi="宋体"/>
                <w:kern w:val="0"/>
                <w:szCs w:val="21"/>
                <w:highlight w:val="none"/>
              </w:rPr>
            </w:pPr>
            <w:r>
              <w:rPr>
                <w:rFonts w:hint="eastAsia" w:ascii="宋体" w:hAnsi="宋体"/>
                <w:kern w:val="0"/>
                <w:szCs w:val="21"/>
                <w:highlight w:val="none"/>
              </w:rPr>
              <w:t>1</w:t>
            </w:r>
          </w:p>
        </w:tc>
        <w:tc>
          <w:tcPr>
            <w:tcW w:w="2268" w:type="dxa"/>
            <w:tcBorders>
              <w:top w:val="single" w:color="000000" w:sz="4" w:space="0"/>
              <w:left w:val="single" w:color="000000" w:sz="4" w:space="0"/>
              <w:bottom w:val="single" w:color="000000" w:sz="4" w:space="0"/>
            </w:tcBorders>
            <w:noWrap w:val="0"/>
            <w:vAlign w:val="center"/>
          </w:tcPr>
          <w:p w14:paraId="6F2B9125">
            <w:pPr>
              <w:autoSpaceDE w:val="0"/>
              <w:autoSpaceDN w:val="0"/>
              <w:adjustRightInd w:val="0"/>
              <w:snapToGrid w:val="0"/>
              <w:spacing w:line="420" w:lineRule="exact"/>
              <w:jc w:val="left"/>
              <w:textAlignment w:val="baseline"/>
              <w:rPr>
                <w:rFonts w:ascii="宋体" w:hAnsi="宋体"/>
                <w:kern w:val="0"/>
                <w:szCs w:val="21"/>
                <w:highlight w:val="none"/>
              </w:rPr>
            </w:pPr>
            <w:r>
              <w:rPr>
                <w:rFonts w:ascii="宋体" w:hAnsi="宋体"/>
                <w:kern w:val="0"/>
                <w:szCs w:val="21"/>
                <w:highlight w:val="none"/>
              </w:rPr>
              <w:t>全部工程</w:t>
            </w:r>
          </w:p>
        </w:tc>
        <w:tc>
          <w:tcPr>
            <w:tcW w:w="3260" w:type="dxa"/>
            <w:tcBorders>
              <w:top w:val="single" w:color="000000" w:sz="4" w:space="0"/>
              <w:left w:val="single" w:color="000000" w:sz="4" w:space="0"/>
              <w:bottom w:val="single" w:color="000000" w:sz="4" w:space="0"/>
            </w:tcBorders>
            <w:noWrap w:val="0"/>
            <w:vAlign w:val="center"/>
          </w:tcPr>
          <w:p w14:paraId="3D5A6EB8">
            <w:pPr>
              <w:autoSpaceDE w:val="0"/>
              <w:autoSpaceDN w:val="0"/>
              <w:adjustRightInd w:val="0"/>
              <w:snapToGrid w:val="0"/>
              <w:spacing w:line="420" w:lineRule="exact"/>
              <w:jc w:val="center"/>
              <w:textAlignment w:val="baseline"/>
              <w:rPr>
                <w:rFonts w:ascii="宋体" w:hAnsi="宋体"/>
                <w:kern w:val="0"/>
                <w:szCs w:val="21"/>
                <w:highlight w:val="none"/>
              </w:rPr>
            </w:pPr>
            <w:r>
              <w:rPr>
                <w:rFonts w:hint="eastAsia" w:ascii="宋体" w:hAnsi="宋体"/>
                <w:kern w:val="0"/>
                <w:szCs w:val="21"/>
                <w:highlight w:val="none"/>
              </w:rPr>
              <w:t>开工令发出后</w:t>
            </w:r>
            <w:r>
              <w:rPr>
                <w:rFonts w:hint="eastAsia" w:ascii="宋体" w:hAnsi="宋体"/>
                <w:kern w:val="0"/>
                <w:szCs w:val="21"/>
                <w:highlight w:val="none"/>
                <w:u w:val="single"/>
              </w:rPr>
              <w:t xml:space="preserve"> </w:t>
            </w:r>
            <w:r>
              <w:rPr>
                <w:rFonts w:ascii="宋体" w:hAnsi="宋体"/>
                <w:kern w:val="0"/>
                <w:szCs w:val="21"/>
                <w:highlight w:val="none"/>
                <w:u w:val="single"/>
              </w:rPr>
              <w:t xml:space="preserve">   </w:t>
            </w:r>
            <w:r>
              <w:rPr>
                <w:rFonts w:hint="eastAsia" w:ascii="宋体" w:hAnsi="宋体"/>
                <w:kern w:val="0"/>
                <w:szCs w:val="21"/>
                <w:highlight w:val="none"/>
              </w:rPr>
              <w:t>天</w:t>
            </w:r>
          </w:p>
        </w:tc>
        <w:tc>
          <w:tcPr>
            <w:tcW w:w="2461" w:type="dxa"/>
            <w:tcBorders>
              <w:top w:val="single" w:color="000000" w:sz="4" w:space="0"/>
              <w:left w:val="single" w:color="000000" w:sz="4" w:space="0"/>
              <w:bottom w:val="single" w:color="000000" w:sz="4" w:space="0"/>
              <w:right w:val="single" w:color="000000" w:sz="8" w:space="0"/>
            </w:tcBorders>
            <w:noWrap w:val="0"/>
            <w:vAlign w:val="center"/>
          </w:tcPr>
          <w:p w14:paraId="0B5F9CBB">
            <w:pPr>
              <w:autoSpaceDE w:val="0"/>
              <w:autoSpaceDN w:val="0"/>
              <w:adjustRightInd w:val="0"/>
              <w:snapToGrid w:val="0"/>
              <w:spacing w:line="420" w:lineRule="exact"/>
              <w:jc w:val="center"/>
              <w:textAlignment w:val="baseline"/>
              <w:rPr>
                <w:rFonts w:ascii="宋体" w:hAnsi="宋体"/>
                <w:kern w:val="0"/>
                <w:szCs w:val="21"/>
                <w:highlight w:val="none"/>
              </w:rPr>
            </w:pPr>
            <w:r>
              <w:rPr>
                <w:rFonts w:ascii="宋体" w:hAnsi="宋体"/>
                <w:kern w:val="0"/>
                <w:szCs w:val="21"/>
                <w:highlight w:val="none"/>
              </w:rPr>
              <w:t>1000</w:t>
            </w:r>
          </w:p>
        </w:tc>
      </w:tr>
    </w:tbl>
    <w:p w14:paraId="7B35EA61">
      <w:pPr>
        <w:snapToGrid w:val="0"/>
        <w:spacing w:line="420" w:lineRule="exact"/>
        <w:ind w:firstLine="480"/>
        <w:rPr>
          <w:rFonts w:ascii="宋体" w:hAnsi="Courier New"/>
          <w:szCs w:val="21"/>
          <w:highlight w:val="none"/>
        </w:rPr>
      </w:pPr>
      <w:r>
        <w:rPr>
          <w:rFonts w:hint="eastAsia" w:ascii="宋体" w:hAnsi="Courier New"/>
          <w:szCs w:val="21"/>
          <w:highlight w:val="none"/>
        </w:rPr>
        <w:t>（</w:t>
      </w:r>
      <w:r>
        <w:rPr>
          <w:rFonts w:ascii="宋体" w:hAnsi="Courier New"/>
          <w:szCs w:val="21"/>
          <w:highlight w:val="none"/>
        </w:rPr>
        <w:t>2</w:t>
      </w:r>
      <w:r>
        <w:rPr>
          <w:rFonts w:hint="eastAsia" w:ascii="宋体" w:hAnsi="Courier New"/>
          <w:szCs w:val="21"/>
          <w:highlight w:val="none"/>
        </w:rPr>
        <w:t>）</w:t>
      </w:r>
      <w:r>
        <w:rPr>
          <w:rFonts w:ascii="宋体" w:hAnsi="Courier New"/>
          <w:szCs w:val="21"/>
          <w:highlight w:val="none"/>
        </w:rPr>
        <w:t>全部逾期完工违约金的总限额为不超过签约合同价的</w:t>
      </w:r>
      <w:r>
        <w:rPr>
          <w:rFonts w:ascii="宋体" w:hAnsi="Courier New"/>
          <w:szCs w:val="21"/>
          <w:highlight w:val="none"/>
          <w:u w:val="single"/>
        </w:rPr>
        <w:t>5</w:t>
      </w:r>
      <w:r>
        <w:rPr>
          <w:rFonts w:ascii="宋体" w:hAnsi="Courier New"/>
          <w:szCs w:val="21"/>
          <w:highlight w:val="none"/>
        </w:rPr>
        <w:t>%。</w:t>
      </w:r>
    </w:p>
    <w:p w14:paraId="1D69759F">
      <w:pPr>
        <w:keepNext/>
        <w:keepLines/>
        <w:numPr>
          <w:ilvl w:val="4"/>
          <w:numId w:val="0"/>
        </w:numPr>
        <w:tabs>
          <w:tab w:val="left" w:pos="0"/>
        </w:tabs>
        <w:suppressAutoHyphens/>
        <w:snapToGrid w:val="0"/>
        <w:spacing w:line="420" w:lineRule="exact"/>
        <w:outlineLvl w:val="4"/>
        <w:rPr>
          <w:rFonts w:ascii="宋体" w:hAnsi="宋体"/>
          <w:b/>
          <w:spacing w:val="20"/>
          <w:szCs w:val="21"/>
          <w:highlight w:val="none"/>
        </w:rPr>
      </w:pPr>
      <w:r>
        <w:rPr>
          <w:rFonts w:ascii="宋体" w:hAnsi="宋体"/>
          <w:snapToGrid w:val="0"/>
          <w:szCs w:val="21"/>
          <w:highlight w:val="none"/>
        </w:rPr>
        <w:t>11.6  工期提前</w:t>
      </w:r>
    </w:p>
    <w:p w14:paraId="175A73DB">
      <w:pPr>
        <w:tabs>
          <w:tab w:val="left" w:pos="567"/>
        </w:tabs>
        <w:autoSpaceDE w:val="0"/>
        <w:autoSpaceDN w:val="0"/>
        <w:adjustRightInd w:val="0"/>
        <w:snapToGrid w:val="0"/>
        <w:spacing w:line="420" w:lineRule="exact"/>
        <w:textAlignment w:val="baseline"/>
        <w:rPr>
          <w:rFonts w:ascii="宋体" w:hAnsi="宋体"/>
          <w:kern w:val="0"/>
          <w:szCs w:val="21"/>
          <w:highlight w:val="none"/>
        </w:rPr>
      </w:pPr>
      <w:r>
        <w:rPr>
          <w:rFonts w:ascii="宋体" w:hAnsi="宋体"/>
          <w:kern w:val="0"/>
          <w:szCs w:val="21"/>
          <w:highlight w:val="none"/>
        </w:rPr>
        <w:t xml:space="preserve">     工期提前的奖金约定：</w:t>
      </w:r>
      <w:r>
        <w:rPr>
          <w:rFonts w:ascii="宋体" w:hAnsi="宋体"/>
          <w:kern w:val="0"/>
          <w:szCs w:val="21"/>
          <w:highlight w:val="none"/>
          <w:u w:val="single"/>
        </w:rPr>
        <w:t>工期提前</w:t>
      </w:r>
      <w:r>
        <w:rPr>
          <w:rFonts w:hint="eastAsia" w:ascii="宋体" w:hAnsi="宋体"/>
          <w:kern w:val="0"/>
          <w:szCs w:val="21"/>
          <w:highlight w:val="none"/>
          <w:u w:val="single"/>
        </w:rPr>
        <w:t>不奖励。</w:t>
      </w:r>
    </w:p>
    <w:p w14:paraId="58942034">
      <w:pPr>
        <w:keepLines/>
        <w:widowControl/>
        <w:autoSpaceDE w:val="0"/>
        <w:autoSpaceDN w:val="0"/>
        <w:adjustRightInd w:val="0"/>
        <w:snapToGrid w:val="0"/>
        <w:spacing w:line="420" w:lineRule="exact"/>
        <w:jc w:val="left"/>
        <w:textAlignment w:val="baseline"/>
        <w:outlineLvl w:val="3"/>
        <w:rPr>
          <w:rFonts w:ascii="宋体" w:hAnsi="宋体"/>
          <w:b/>
          <w:snapToGrid w:val="0"/>
          <w:kern w:val="0"/>
          <w:szCs w:val="21"/>
          <w:highlight w:val="none"/>
        </w:rPr>
      </w:pPr>
      <w:r>
        <w:rPr>
          <w:rFonts w:ascii="宋体" w:hAnsi="宋体"/>
          <w:snapToGrid w:val="0"/>
          <w:kern w:val="0"/>
          <w:szCs w:val="21"/>
          <w:highlight w:val="none"/>
        </w:rPr>
        <w:t>12 暂停施工</w:t>
      </w:r>
    </w:p>
    <w:p w14:paraId="490D37C3">
      <w:pPr>
        <w:keepNext/>
        <w:keepLines/>
        <w:numPr>
          <w:ilvl w:val="4"/>
          <w:numId w:val="0"/>
        </w:numPr>
        <w:tabs>
          <w:tab w:val="left" w:pos="0"/>
        </w:tabs>
        <w:suppressAutoHyphens/>
        <w:snapToGrid w:val="0"/>
        <w:spacing w:line="420" w:lineRule="exact"/>
        <w:outlineLvl w:val="4"/>
        <w:rPr>
          <w:rFonts w:ascii="宋体" w:hAnsi="宋体"/>
          <w:b/>
          <w:spacing w:val="20"/>
          <w:szCs w:val="21"/>
          <w:highlight w:val="none"/>
        </w:rPr>
      </w:pPr>
      <w:r>
        <w:rPr>
          <w:rFonts w:ascii="宋体" w:hAnsi="宋体"/>
          <w:snapToGrid w:val="0"/>
          <w:szCs w:val="21"/>
          <w:highlight w:val="none"/>
        </w:rPr>
        <w:t>12.1 承包人暂停施工的责任</w:t>
      </w:r>
    </w:p>
    <w:p w14:paraId="38214919">
      <w:pPr>
        <w:autoSpaceDE w:val="0"/>
        <w:autoSpaceDN w:val="0"/>
        <w:adjustRightInd w:val="0"/>
        <w:snapToGrid w:val="0"/>
        <w:spacing w:line="420" w:lineRule="exact"/>
        <w:ind w:firstLine="480"/>
        <w:textAlignment w:val="baseline"/>
        <w:rPr>
          <w:rFonts w:ascii="宋体" w:hAnsi="宋体"/>
          <w:kern w:val="0"/>
          <w:szCs w:val="21"/>
          <w:highlight w:val="none"/>
        </w:rPr>
      </w:pPr>
      <w:r>
        <w:rPr>
          <w:rFonts w:hint="eastAsia" w:ascii="宋体" w:hAnsi="宋体"/>
          <w:kern w:val="0"/>
          <w:szCs w:val="21"/>
          <w:highlight w:val="none"/>
        </w:rPr>
        <w:t>（</w:t>
      </w:r>
      <w:r>
        <w:rPr>
          <w:rFonts w:ascii="宋体" w:hAnsi="宋体"/>
          <w:kern w:val="0"/>
          <w:szCs w:val="21"/>
          <w:highlight w:val="none"/>
        </w:rPr>
        <w:t>5</w:t>
      </w:r>
      <w:r>
        <w:rPr>
          <w:rFonts w:hint="eastAsia" w:ascii="宋体" w:hAnsi="宋体"/>
          <w:kern w:val="0"/>
          <w:szCs w:val="21"/>
          <w:highlight w:val="none"/>
        </w:rPr>
        <w:t>）</w:t>
      </w:r>
      <w:r>
        <w:rPr>
          <w:rFonts w:ascii="宋体" w:hAnsi="宋体"/>
          <w:kern w:val="0"/>
          <w:szCs w:val="21"/>
          <w:highlight w:val="none"/>
        </w:rPr>
        <w:t>承包人承担暂停施工责任的其他情形：</w:t>
      </w:r>
      <w:r>
        <w:rPr>
          <w:rFonts w:hint="eastAsia" w:ascii="宋体" w:hAnsi="宋体" w:cs="宋体"/>
          <w:kern w:val="0"/>
          <w:szCs w:val="21"/>
          <w:highlight w:val="none"/>
          <w:u w:val="single"/>
        </w:rPr>
        <w:t>现场气候条件导致的必要停工（第11.4.3项规定的异常恶劣的气候条件除外）</w:t>
      </w:r>
      <w:r>
        <w:rPr>
          <w:rFonts w:ascii="宋体" w:hAnsi="宋体"/>
          <w:kern w:val="0"/>
          <w:szCs w:val="21"/>
          <w:highlight w:val="none"/>
        </w:rPr>
        <w:t>。</w:t>
      </w:r>
    </w:p>
    <w:p w14:paraId="2643ECE4">
      <w:pPr>
        <w:keepNext/>
        <w:keepLines/>
        <w:numPr>
          <w:ilvl w:val="4"/>
          <w:numId w:val="0"/>
        </w:numPr>
        <w:tabs>
          <w:tab w:val="left" w:pos="0"/>
        </w:tabs>
        <w:suppressAutoHyphens/>
        <w:snapToGrid w:val="0"/>
        <w:spacing w:line="420" w:lineRule="exact"/>
        <w:outlineLvl w:val="4"/>
        <w:rPr>
          <w:rFonts w:ascii="宋体" w:hAnsi="宋体"/>
          <w:b/>
          <w:spacing w:val="20"/>
          <w:szCs w:val="21"/>
          <w:highlight w:val="none"/>
        </w:rPr>
      </w:pPr>
      <w:r>
        <w:rPr>
          <w:rFonts w:ascii="宋体" w:hAnsi="宋体"/>
          <w:snapToGrid w:val="0"/>
          <w:szCs w:val="21"/>
          <w:highlight w:val="none"/>
        </w:rPr>
        <w:t>12.2 发包人暂停施工的责任</w:t>
      </w:r>
    </w:p>
    <w:p w14:paraId="5CAC91A8">
      <w:pPr>
        <w:autoSpaceDE w:val="0"/>
        <w:autoSpaceDN w:val="0"/>
        <w:adjustRightInd w:val="0"/>
        <w:snapToGrid w:val="0"/>
        <w:spacing w:line="420" w:lineRule="exact"/>
        <w:ind w:firstLine="480"/>
        <w:textAlignment w:val="baseline"/>
        <w:rPr>
          <w:rFonts w:ascii="宋体" w:hAnsi="宋体"/>
          <w:kern w:val="0"/>
          <w:szCs w:val="21"/>
          <w:highlight w:val="none"/>
        </w:rPr>
      </w:pPr>
      <w:r>
        <w:rPr>
          <w:rFonts w:hint="eastAsia" w:ascii="宋体" w:hAnsi="宋体"/>
          <w:kern w:val="0"/>
          <w:szCs w:val="21"/>
          <w:highlight w:val="none"/>
        </w:rPr>
        <w:t>（</w:t>
      </w:r>
      <w:r>
        <w:rPr>
          <w:rFonts w:ascii="宋体" w:hAnsi="宋体"/>
          <w:kern w:val="0"/>
          <w:szCs w:val="21"/>
          <w:highlight w:val="none"/>
        </w:rPr>
        <w:t>3</w:t>
      </w:r>
      <w:r>
        <w:rPr>
          <w:rFonts w:hint="eastAsia" w:ascii="宋体" w:hAnsi="宋体"/>
          <w:kern w:val="0"/>
          <w:szCs w:val="21"/>
          <w:highlight w:val="none"/>
        </w:rPr>
        <w:t>）</w:t>
      </w:r>
      <w:r>
        <w:rPr>
          <w:rFonts w:ascii="宋体" w:hAnsi="宋体"/>
          <w:kern w:val="0"/>
          <w:szCs w:val="21"/>
          <w:highlight w:val="none"/>
        </w:rPr>
        <w:t>发包人承担暂停施工责任的其他情形：</w:t>
      </w:r>
      <w:r>
        <w:rPr>
          <w:rFonts w:ascii="宋体" w:hAnsi="宋体"/>
          <w:kern w:val="0"/>
          <w:szCs w:val="21"/>
          <w:highlight w:val="none"/>
          <w:u w:val="single"/>
        </w:rPr>
        <w:t xml:space="preserve">    /    </w:t>
      </w:r>
      <w:r>
        <w:rPr>
          <w:rFonts w:ascii="宋体" w:hAnsi="宋体"/>
          <w:kern w:val="0"/>
          <w:szCs w:val="21"/>
          <w:highlight w:val="none"/>
        </w:rPr>
        <w:t>。</w:t>
      </w:r>
    </w:p>
    <w:p w14:paraId="30700045">
      <w:pPr>
        <w:keepLines/>
        <w:widowControl/>
        <w:autoSpaceDE w:val="0"/>
        <w:autoSpaceDN w:val="0"/>
        <w:adjustRightInd w:val="0"/>
        <w:snapToGrid w:val="0"/>
        <w:spacing w:line="420" w:lineRule="exact"/>
        <w:jc w:val="left"/>
        <w:textAlignment w:val="baseline"/>
        <w:outlineLvl w:val="3"/>
        <w:rPr>
          <w:rFonts w:ascii="宋体" w:hAnsi="宋体"/>
          <w:b/>
          <w:snapToGrid w:val="0"/>
          <w:kern w:val="0"/>
          <w:szCs w:val="21"/>
          <w:highlight w:val="none"/>
        </w:rPr>
      </w:pPr>
      <w:r>
        <w:rPr>
          <w:rFonts w:ascii="宋体" w:hAnsi="宋体"/>
          <w:snapToGrid w:val="0"/>
          <w:kern w:val="0"/>
          <w:szCs w:val="21"/>
          <w:highlight w:val="none"/>
        </w:rPr>
        <w:t>13 工程质量</w:t>
      </w:r>
    </w:p>
    <w:p w14:paraId="4B8F748F">
      <w:pPr>
        <w:keepNext/>
        <w:keepLines/>
        <w:numPr>
          <w:ilvl w:val="4"/>
          <w:numId w:val="0"/>
        </w:numPr>
        <w:tabs>
          <w:tab w:val="left" w:pos="0"/>
        </w:tabs>
        <w:suppressAutoHyphens/>
        <w:snapToGrid w:val="0"/>
        <w:spacing w:line="420" w:lineRule="exact"/>
        <w:outlineLvl w:val="4"/>
        <w:rPr>
          <w:rFonts w:ascii="宋体" w:hAnsi="宋体"/>
          <w:b/>
          <w:spacing w:val="20"/>
          <w:szCs w:val="21"/>
          <w:highlight w:val="none"/>
        </w:rPr>
      </w:pPr>
      <w:r>
        <w:rPr>
          <w:rFonts w:ascii="宋体" w:hAnsi="宋体"/>
          <w:snapToGrid w:val="0"/>
          <w:szCs w:val="21"/>
          <w:highlight w:val="none"/>
        </w:rPr>
        <w:t>13.7 质量评定</w:t>
      </w:r>
    </w:p>
    <w:p w14:paraId="06C49E5B">
      <w:pPr>
        <w:autoSpaceDE w:val="0"/>
        <w:autoSpaceDN w:val="0"/>
        <w:adjustRightInd w:val="0"/>
        <w:snapToGrid w:val="0"/>
        <w:spacing w:line="420" w:lineRule="exact"/>
        <w:ind w:firstLine="480"/>
        <w:textAlignment w:val="baseline"/>
        <w:rPr>
          <w:rFonts w:ascii="宋体" w:hAnsi="宋体"/>
          <w:kern w:val="0"/>
          <w:szCs w:val="21"/>
          <w:highlight w:val="none"/>
        </w:rPr>
      </w:pPr>
      <w:r>
        <w:rPr>
          <w:rFonts w:ascii="宋体" w:hAnsi="宋体"/>
          <w:kern w:val="0"/>
          <w:szCs w:val="21"/>
          <w:highlight w:val="none"/>
        </w:rPr>
        <w:t>13.7.7 工程质量标准为：</w:t>
      </w:r>
      <w:r>
        <w:rPr>
          <w:rFonts w:hint="eastAsia" w:ascii="宋体" w:hAnsi="宋体"/>
          <w:kern w:val="0"/>
          <w:szCs w:val="21"/>
          <w:highlight w:val="none"/>
          <w:u w:val="single"/>
        </w:rPr>
        <w:t>合格</w:t>
      </w:r>
      <w:r>
        <w:rPr>
          <w:rFonts w:ascii="宋体" w:hAnsi="宋体"/>
          <w:kern w:val="0"/>
          <w:szCs w:val="21"/>
          <w:highlight w:val="none"/>
        </w:rPr>
        <w:t>，达到优良的奖金</w:t>
      </w:r>
      <w:r>
        <w:rPr>
          <w:rFonts w:hint="eastAsia" w:ascii="宋体" w:hAnsi="宋体"/>
          <w:kern w:val="0"/>
          <w:szCs w:val="21"/>
          <w:highlight w:val="none"/>
          <w:u w:val="single"/>
        </w:rPr>
        <w:t>/</w:t>
      </w:r>
      <w:r>
        <w:rPr>
          <w:rFonts w:ascii="宋体" w:hAnsi="宋体"/>
          <w:kern w:val="0"/>
          <w:szCs w:val="21"/>
          <w:highlight w:val="none"/>
        </w:rPr>
        <w:t>。</w:t>
      </w:r>
    </w:p>
    <w:p w14:paraId="1B03C02F">
      <w:pPr>
        <w:keepLines/>
        <w:widowControl/>
        <w:autoSpaceDE w:val="0"/>
        <w:autoSpaceDN w:val="0"/>
        <w:adjustRightInd w:val="0"/>
        <w:snapToGrid w:val="0"/>
        <w:spacing w:line="420" w:lineRule="exact"/>
        <w:jc w:val="left"/>
        <w:textAlignment w:val="baseline"/>
        <w:outlineLvl w:val="3"/>
        <w:rPr>
          <w:rFonts w:ascii="宋体" w:hAnsi="宋体"/>
          <w:b/>
          <w:snapToGrid w:val="0"/>
          <w:kern w:val="0"/>
          <w:szCs w:val="21"/>
          <w:highlight w:val="none"/>
        </w:rPr>
      </w:pPr>
      <w:r>
        <w:rPr>
          <w:rFonts w:ascii="宋体" w:hAnsi="宋体"/>
          <w:snapToGrid w:val="0"/>
          <w:kern w:val="0"/>
          <w:szCs w:val="21"/>
          <w:highlight w:val="none"/>
        </w:rPr>
        <w:t>14 验收和检验</w:t>
      </w:r>
    </w:p>
    <w:p w14:paraId="0D796733">
      <w:pPr>
        <w:keepNext/>
        <w:keepLines/>
        <w:numPr>
          <w:ilvl w:val="4"/>
          <w:numId w:val="0"/>
        </w:numPr>
        <w:tabs>
          <w:tab w:val="left" w:pos="0"/>
        </w:tabs>
        <w:suppressAutoHyphens/>
        <w:snapToGrid w:val="0"/>
        <w:spacing w:line="420" w:lineRule="exact"/>
        <w:outlineLvl w:val="4"/>
        <w:rPr>
          <w:rFonts w:ascii="宋体" w:hAnsi="宋体"/>
          <w:b/>
          <w:spacing w:val="20"/>
          <w:szCs w:val="21"/>
          <w:highlight w:val="none"/>
        </w:rPr>
      </w:pPr>
      <w:r>
        <w:rPr>
          <w:rFonts w:ascii="宋体" w:hAnsi="宋体"/>
          <w:snapToGrid w:val="0"/>
          <w:szCs w:val="21"/>
          <w:highlight w:val="none"/>
        </w:rPr>
        <w:t>14.1 材料、工程设备和工程的试验和检验</w:t>
      </w:r>
    </w:p>
    <w:p w14:paraId="225494EC">
      <w:pPr>
        <w:autoSpaceDE w:val="0"/>
        <w:autoSpaceDN w:val="0"/>
        <w:adjustRightInd w:val="0"/>
        <w:snapToGrid w:val="0"/>
        <w:spacing w:line="420" w:lineRule="exact"/>
        <w:ind w:firstLine="480"/>
        <w:textAlignment w:val="baseline"/>
        <w:rPr>
          <w:rFonts w:ascii="宋体" w:hAnsi="宋体"/>
          <w:kern w:val="0"/>
          <w:szCs w:val="21"/>
          <w:highlight w:val="none"/>
        </w:rPr>
      </w:pPr>
      <w:r>
        <w:rPr>
          <w:rFonts w:ascii="宋体" w:hAnsi="宋体"/>
          <w:kern w:val="0"/>
          <w:szCs w:val="21"/>
          <w:highlight w:val="none"/>
        </w:rPr>
        <w:t>14.1.5 水工金属结构、启闭机及机电产品进场后的交货检查和验收中，承包人负责</w:t>
      </w:r>
      <w:r>
        <w:rPr>
          <w:rFonts w:hint="eastAsia" w:ascii="宋体" w:hAnsi="宋体"/>
          <w:kern w:val="0"/>
          <w:szCs w:val="21"/>
          <w:highlight w:val="none"/>
          <w:u w:val="single"/>
        </w:rPr>
        <w:t>按通用条款</w:t>
      </w:r>
      <w:r>
        <w:rPr>
          <w:rFonts w:ascii="宋体" w:hAnsi="宋体"/>
          <w:kern w:val="0"/>
          <w:szCs w:val="21"/>
          <w:highlight w:val="none"/>
        </w:rPr>
        <w:t>。</w:t>
      </w:r>
    </w:p>
    <w:p w14:paraId="38B32850">
      <w:pPr>
        <w:autoSpaceDE w:val="0"/>
        <w:autoSpaceDN w:val="0"/>
        <w:adjustRightInd w:val="0"/>
        <w:snapToGrid w:val="0"/>
        <w:spacing w:line="420" w:lineRule="exact"/>
        <w:ind w:firstLine="480"/>
        <w:textAlignment w:val="baseline"/>
        <w:rPr>
          <w:rFonts w:ascii="宋体" w:hAnsi="宋体"/>
          <w:kern w:val="0"/>
          <w:szCs w:val="21"/>
          <w:highlight w:val="none"/>
        </w:rPr>
      </w:pPr>
      <w:r>
        <w:rPr>
          <w:rFonts w:ascii="宋体" w:hAnsi="宋体"/>
          <w:kern w:val="0"/>
          <w:szCs w:val="21"/>
          <w:highlight w:val="none"/>
        </w:rPr>
        <w:t>14.1.6 本工程实行见证取样的试块、试件及有关材料：</w:t>
      </w:r>
      <w:r>
        <w:rPr>
          <w:rFonts w:hint="eastAsia" w:ascii="宋体" w:hAnsi="宋体"/>
          <w:kern w:val="0"/>
          <w:szCs w:val="21"/>
          <w:highlight w:val="none"/>
          <w:u w:val="single"/>
        </w:rPr>
        <w:t>/</w:t>
      </w:r>
      <w:r>
        <w:rPr>
          <w:rFonts w:ascii="宋体" w:hAnsi="宋体"/>
          <w:kern w:val="0"/>
          <w:szCs w:val="21"/>
          <w:highlight w:val="none"/>
          <w:u w:val="single"/>
        </w:rPr>
        <w:t>（具体由监理人按有关规定确定）</w:t>
      </w:r>
      <w:r>
        <w:rPr>
          <w:rFonts w:ascii="宋体" w:hAnsi="宋体"/>
          <w:kern w:val="0"/>
          <w:szCs w:val="21"/>
          <w:highlight w:val="none"/>
        </w:rPr>
        <w:t>。</w:t>
      </w:r>
    </w:p>
    <w:p w14:paraId="66287AD9">
      <w:pPr>
        <w:keepLines/>
        <w:widowControl/>
        <w:autoSpaceDE w:val="0"/>
        <w:autoSpaceDN w:val="0"/>
        <w:adjustRightInd w:val="0"/>
        <w:snapToGrid w:val="0"/>
        <w:spacing w:line="420" w:lineRule="exact"/>
        <w:jc w:val="left"/>
        <w:textAlignment w:val="baseline"/>
        <w:outlineLvl w:val="3"/>
        <w:rPr>
          <w:rFonts w:ascii="宋体" w:hAnsi="宋体"/>
          <w:b/>
          <w:snapToGrid w:val="0"/>
          <w:kern w:val="0"/>
          <w:szCs w:val="21"/>
          <w:highlight w:val="none"/>
        </w:rPr>
      </w:pPr>
      <w:r>
        <w:rPr>
          <w:rFonts w:ascii="宋体" w:hAnsi="宋体"/>
          <w:snapToGrid w:val="0"/>
          <w:kern w:val="0"/>
          <w:szCs w:val="21"/>
          <w:highlight w:val="none"/>
        </w:rPr>
        <w:t>15 变更</w:t>
      </w:r>
    </w:p>
    <w:p w14:paraId="32B10F79">
      <w:pPr>
        <w:keepNext/>
        <w:keepLines/>
        <w:numPr>
          <w:ilvl w:val="4"/>
          <w:numId w:val="0"/>
        </w:numPr>
        <w:tabs>
          <w:tab w:val="left" w:pos="0"/>
        </w:tabs>
        <w:suppressAutoHyphens/>
        <w:snapToGrid w:val="0"/>
        <w:spacing w:line="420" w:lineRule="exact"/>
        <w:outlineLvl w:val="4"/>
        <w:rPr>
          <w:rFonts w:hint="eastAsia" w:ascii="宋体" w:hAnsi="宋体"/>
          <w:snapToGrid w:val="0"/>
          <w:szCs w:val="21"/>
          <w:highlight w:val="none"/>
        </w:rPr>
      </w:pPr>
      <w:r>
        <w:rPr>
          <w:rFonts w:ascii="宋体" w:hAnsi="宋体"/>
          <w:snapToGrid w:val="0"/>
          <w:szCs w:val="21"/>
          <w:highlight w:val="none"/>
        </w:rPr>
        <w:t>15.1 变更的范围和内容</w:t>
      </w:r>
    </w:p>
    <w:p w14:paraId="3D16F7AC">
      <w:pPr>
        <w:autoSpaceDE w:val="0"/>
        <w:autoSpaceDN w:val="0"/>
        <w:adjustRightInd w:val="0"/>
        <w:spacing w:line="320" w:lineRule="exact"/>
        <w:ind w:firstLine="404" w:firstLineChars="200"/>
        <w:textAlignment w:val="baseline"/>
        <w:rPr>
          <w:rFonts w:hint="eastAsia" w:ascii="宋体"/>
          <w:snapToGrid w:val="0"/>
          <w:spacing w:val="-4"/>
          <w:kern w:val="0"/>
          <w:szCs w:val="21"/>
          <w:highlight w:val="none"/>
        </w:rPr>
      </w:pPr>
      <w:r>
        <w:rPr>
          <w:rFonts w:hint="eastAsia" w:ascii="宋体"/>
          <w:snapToGrid w:val="0"/>
          <w:spacing w:val="-4"/>
          <w:kern w:val="0"/>
          <w:szCs w:val="21"/>
          <w:highlight w:val="none"/>
        </w:rPr>
        <w:t>补充以下内容：</w:t>
      </w:r>
    </w:p>
    <w:p w14:paraId="0D167032">
      <w:pPr>
        <w:autoSpaceDE w:val="0"/>
        <w:autoSpaceDN w:val="0"/>
        <w:adjustRightInd w:val="0"/>
        <w:spacing w:line="420" w:lineRule="exact"/>
        <w:ind w:firstLine="406" w:firstLineChars="201"/>
        <w:textAlignment w:val="baseline"/>
        <w:rPr>
          <w:rFonts w:hint="eastAsia" w:ascii="宋体"/>
          <w:snapToGrid w:val="0"/>
          <w:spacing w:val="-4"/>
          <w:kern w:val="0"/>
          <w:szCs w:val="21"/>
          <w:highlight w:val="none"/>
        </w:rPr>
      </w:pPr>
      <w:r>
        <w:rPr>
          <w:rFonts w:hint="eastAsia" w:ascii="宋体"/>
          <w:snapToGrid w:val="0"/>
          <w:spacing w:val="-4"/>
          <w:kern w:val="0"/>
          <w:szCs w:val="21"/>
          <w:highlight w:val="none"/>
        </w:rPr>
        <w:t>1、本合同价款采用固定单价合同方式。在合同执行期内，单价不变，措施项目费以及其他项目费中的保险费不论主体工程变更与否及供料方式改变等其他原因均一次性包干。</w:t>
      </w:r>
    </w:p>
    <w:p w14:paraId="186236ED">
      <w:pPr>
        <w:autoSpaceDE w:val="0"/>
        <w:autoSpaceDN w:val="0"/>
        <w:adjustRightInd w:val="0"/>
        <w:spacing w:line="420" w:lineRule="exact"/>
        <w:ind w:firstLine="406" w:firstLineChars="201"/>
        <w:textAlignment w:val="baseline"/>
        <w:rPr>
          <w:rFonts w:hint="eastAsia" w:ascii="宋体"/>
          <w:snapToGrid w:val="0"/>
          <w:spacing w:val="-4"/>
          <w:kern w:val="0"/>
          <w:szCs w:val="21"/>
          <w:highlight w:val="none"/>
        </w:rPr>
      </w:pPr>
      <w:r>
        <w:rPr>
          <w:rFonts w:hint="eastAsia" w:ascii="宋体"/>
          <w:snapToGrid w:val="0"/>
          <w:spacing w:val="-4"/>
          <w:kern w:val="0"/>
          <w:szCs w:val="21"/>
          <w:highlight w:val="none"/>
        </w:rPr>
        <w:t>合同价款中包括的风险范围：①结算率（</w:t>
      </w:r>
      <w:r>
        <w:rPr>
          <w:rFonts w:hint="eastAsia" w:ascii="宋体"/>
          <w:snapToGrid w:val="0"/>
          <w:spacing w:val="-4"/>
          <w:kern w:val="0"/>
          <w:highlight w:val="none"/>
        </w:rPr>
        <w:t>结算率</w:t>
      </w:r>
      <w:r>
        <w:rPr>
          <w:rFonts w:ascii="宋体"/>
          <w:snapToGrid w:val="0"/>
          <w:spacing w:val="-4"/>
          <w:kern w:val="0"/>
          <w:highlight w:val="none"/>
        </w:rPr>
        <w:t>=</w:t>
      </w:r>
      <w:r>
        <w:rPr>
          <w:rFonts w:hint="eastAsia" w:ascii="宋体"/>
          <w:snapToGrid w:val="0"/>
          <w:spacing w:val="-4"/>
          <w:kern w:val="0"/>
          <w:highlight w:val="none"/>
        </w:rPr>
        <w:t>1</w:t>
      </w:r>
      <w:r>
        <w:rPr>
          <w:rFonts w:ascii="宋体"/>
          <w:snapToGrid w:val="0"/>
          <w:spacing w:val="-4"/>
          <w:kern w:val="0"/>
          <w:highlight w:val="none"/>
        </w:rPr>
        <w:t>-</w:t>
      </w:r>
      <w:r>
        <w:rPr>
          <w:rFonts w:hint="eastAsia" w:ascii="宋体"/>
          <w:snapToGrid w:val="0"/>
          <w:spacing w:val="-4"/>
          <w:kern w:val="0"/>
          <w:highlight w:val="none"/>
        </w:rPr>
        <w:t>综合优惠率</w:t>
      </w:r>
      <w:r>
        <w:rPr>
          <w:rFonts w:hint="eastAsia" w:ascii="宋体"/>
          <w:snapToGrid w:val="0"/>
          <w:spacing w:val="-4"/>
          <w:kern w:val="0"/>
          <w:szCs w:val="21"/>
          <w:highlight w:val="none"/>
        </w:rPr>
        <w:t>）不变，综合优惠率见1</w:t>
      </w:r>
      <w:r>
        <w:rPr>
          <w:rFonts w:ascii="宋体"/>
          <w:snapToGrid w:val="0"/>
          <w:spacing w:val="-4"/>
          <w:kern w:val="0"/>
          <w:szCs w:val="21"/>
          <w:highlight w:val="none"/>
        </w:rPr>
        <w:t>5.4.3（</w:t>
      </w:r>
      <w:r>
        <w:rPr>
          <w:rFonts w:hint="eastAsia" w:ascii="宋体"/>
          <w:snapToGrid w:val="0"/>
          <w:spacing w:val="-4"/>
          <w:kern w:val="0"/>
          <w:szCs w:val="21"/>
          <w:highlight w:val="none"/>
        </w:rPr>
        <w:t>6</w:t>
      </w:r>
      <w:r>
        <w:rPr>
          <w:rFonts w:ascii="宋体"/>
          <w:snapToGrid w:val="0"/>
          <w:spacing w:val="-4"/>
          <w:kern w:val="0"/>
          <w:szCs w:val="21"/>
          <w:highlight w:val="none"/>
        </w:rPr>
        <w:t>）</w:t>
      </w:r>
      <w:r>
        <w:rPr>
          <w:rFonts w:hint="eastAsia" w:ascii="宋体"/>
          <w:snapToGrid w:val="0"/>
          <w:spacing w:val="-4"/>
          <w:kern w:val="0"/>
          <w:szCs w:val="21"/>
          <w:highlight w:val="none"/>
        </w:rPr>
        <w:t>；②综合单价不得调整（合同约定可调整范围除外），综合单价=预算金额中的综合单价*结算率；③法律、行政法规和国家有关政策变化，影响合同价款；④造价部门发布的价格调整；⑤施工期间停水、停电引起的费用增加；⑥专用条款中约定不予调整的条款和承包人承担的费用；</w:t>
      </w:r>
      <w:r>
        <w:rPr>
          <w:rFonts w:ascii="宋体"/>
          <w:snapToGrid w:val="0"/>
          <w:spacing w:val="-4"/>
          <w:kern w:val="0"/>
          <w:szCs w:val="21"/>
          <w:highlight w:val="none"/>
        </w:rPr>
        <w:fldChar w:fldCharType="begin"/>
      </w:r>
      <w:r>
        <w:rPr>
          <w:rFonts w:ascii="宋体"/>
          <w:snapToGrid w:val="0"/>
          <w:spacing w:val="-4"/>
          <w:kern w:val="0"/>
          <w:szCs w:val="21"/>
          <w:highlight w:val="none"/>
        </w:rPr>
        <w:instrText xml:space="preserve"> </w:instrText>
      </w:r>
      <w:r>
        <w:rPr>
          <w:rFonts w:hint="eastAsia" w:ascii="宋体"/>
          <w:snapToGrid w:val="0"/>
          <w:spacing w:val="-4"/>
          <w:kern w:val="0"/>
          <w:szCs w:val="21"/>
          <w:highlight w:val="none"/>
        </w:rPr>
        <w:instrText xml:space="preserve">eq \o\ac(○,7)</w:instrText>
      </w:r>
      <w:r>
        <w:rPr>
          <w:rFonts w:ascii="宋体"/>
          <w:snapToGrid w:val="0"/>
          <w:spacing w:val="-4"/>
          <w:kern w:val="0"/>
          <w:szCs w:val="21"/>
          <w:highlight w:val="none"/>
        </w:rPr>
        <w:fldChar w:fldCharType="end"/>
      </w:r>
      <w:r>
        <w:rPr>
          <w:rFonts w:hint="eastAsia" w:ascii="宋体"/>
          <w:snapToGrid w:val="0"/>
          <w:spacing w:val="-4"/>
          <w:kern w:val="0"/>
          <w:szCs w:val="21"/>
          <w:highlight w:val="none"/>
        </w:rPr>
        <w:t>除以下明确风险范围以外的影响因素外，其他因素均在风险因素之内。</w:t>
      </w:r>
    </w:p>
    <w:p w14:paraId="012C29ED">
      <w:pPr>
        <w:autoSpaceDE w:val="0"/>
        <w:autoSpaceDN w:val="0"/>
        <w:adjustRightInd w:val="0"/>
        <w:spacing w:line="420" w:lineRule="exact"/>
        <w:ind w:firstLine="406" w:firstLineChars="201"/>
        <w:textAlignment w:val="baseline"/>
        <w:rPr>
          <w:rFonts w:hint="eastAsia" w:ascii="宋体"/>
          <w:snapToGrid w:val="0"/>
          <w:spacing w:val="-4"/>
          <w:kern w:val="0"/>
          <w:szCs w:val="21"/>
          <w:highlight w:val="none"/>
        </w:rPr>
      </w:pPr>
      <w:r>
        <w:rPr>
          <w:rFonts w:hint="eastAsia" w:ascii="宋体"/>
          <w:snapToGrid w:val="0"/>
          <w:spacing w:val="-4"/>
          <w:kern w:val="0"/>
          <w:szCs w:val="21"/>
          <w:highlight w:val="none"/>
        </w:rPr>
        <w:t xml:space="preserve">风险费用的计算方法： 在投标报价时考虑。   </w:t>
      </w:r>
    </w:p>
    <w:p w14:paraId="73C14F68">
      <w:pPr>
        <w:autoSpaceDE w:val="0"/>
        <w:autoSpaceDN w:val="0"/>
        <w:adjustRightInd w:val="0"/>
        <w:spacing w:line="420" w:lineRule="exact"/>
        <w:ind w:firstLine="406" w:firstLineChars="201"/>
        <w:textAlignment w:val="baseline"/>
        <w:rPr>
          <w:rFonts w:hint="eastAsia" w:ascii="宋体"/>
          <w:snapToGrid w:val="0"/>
          <w:spacing w:val="-4"/>
          <w:kern w:val="0"/>
          <w:szCs w:val="21"/>
          <w:highlight w:val="none"/>
        </w:rPr>
      </w:pPr>
      <w:r>
        <w:rPr>
          <w:rFonts w:hint="eastAsia" w:ascii="宋体"/>
          <w:snapToGrid w:val="0"/>
          <w:spacing w:val="-4"/>
          <w:kern w:val="0"/>
          <w:szCs w:val="21"/>
          <w:highlight w:val="none"/>
        </w:rPr>
        <w:t>风险范围以外合同价款调整方法： ①发包人提供的工程量清单项目或数量有误或者设计变更引起的工程项目或数量的增减，项目的工程量按实调整，其综合单价不作调整；当某项清单项目施工内容取消时，直接扣除该部分的合同价款，发包人不另行补偿。②符合合同约定的工程洽商、变更等书面协议和文件。</w:t>
      </w:r>
    </w:p>
    <w:p w14:paraId="69A808A4">
      <w:pPr>
        <w:autoSpaceDE w:val="0"/>
        <w:autoSpaceDN w:val="0"/>
        <w:adjustRightInd w:val="0"/>
        <w:spacing w:line="420" w:lineRule="exact"/>
        <w:ind w:firstLine="406" w:firstLineChars="201"/>
        <w:textAlignment w:val="baseline"/>
        <w:rPr>
          <w:rFonts w:hint="eastAsia" w:ascii="宋体"/>
          <w:snapToGrid w:val="0"/>
          <w:spacing w:val="-4"/>
          <w:kern w:val="0"/>
          <w:szCs w:val="21"/>
          <w:highlight w:val="none"/>
        </w:rPr>
      </w:pPr>
      <w:r>
        <w:rPr>
          <w:rFonts w:hint="eastAsia" w:ascii="宋体"/>
          <w:snapToGrid w:val="0"/>
          <w:spacing w:val="-4"/>
          <w:kern w:val="0"/>
          <w:szCs w:val="21"/>
          <w:highlight w:val="none"/>
        </w:rPr>
        <w:t>2、因变更发生的价格调整按以下办法处理：</w:t>
      </w:r>
    </w:p>
    <w:p w14:paraId="7E7D20FC">
      <w:pPr>
        <w:autoSpaceDE w:val="0"/>
        <w:autoSpaceDN w:val="0"/>
        <w:adjustRightInd w:val="0"/>
        <w:spacing w:line="420" w:lineRule="exact"/>
        <w:ind w:firstLine="406" w:firstLineChars="201"/>
        <w:textAlignment w:val="baseline"/>
        <w:rPr>
          <w:rFonts w:hint="eastAsia" w:ascii="宋体"/>
          <w:snapToGrid w:val="0"/>
          <w:spacing w:val="-4"/>
          <w:kern w:val="0"/>
          <w:szCs w:val="21"/>
          <w:highlight w:val="none"/>
        </w:rPr>
      </w:pPr>
      <w:r>
        <w:rPr>
          <w:rFonts w:hint="eastAsia" w:ascii="宋体"/>
          <w:snapToGrid w:val="0"/>
          <w:spacing w:val="-4"/>
          <w:kern w:val="0"/>
          <w:szCs w:val="21"/>
          <w:highlight w:val="none"/>
        </w:rPr>
        <w:t>单价的确定</w:t>
      </w:r>
    </w:p>
    <w:p w14:paraId="0C85C586">
      <w:pPr>
        <w:autoSpaceDE w:val="0"/>
        <w:autoSpaceDN w:val="0"/>
        <w:adjustRightInd w:val="0"/>
        <w:spacing w:line="420" w:lineRule="exact"/>
        <w:ind w:firstLine="406" w:firstLineChars="201"/>
        <w:textAlignment w:val="baseline"/>
        <w:rPr>
          <w:rFonts w:hint="eastAsia" w:ascii="宋体"/>
          <w:snapToGrid w:val="0"/>
          <w:spacing w:val="-4"/>
          <w:kern w:val="0"/>
          <w:szCs w:val="21"/>
          <w:highlight w:val="none"/>
        </w:rPr>
      </w:pPr>
      <w:r>
        <w:rPr>
          <w:rFonts w:hint="eastAsia" w:ascii="宋体"/>
          <w:snapToGrid w:val="0"/>
          <w:spacing w:val="-4"/>
          <w:kern w:val="0"/>
          <w:szCs w:val="21"/>
          <w:highlight w:val="none"/>
        </w:rPr>
        <w:t>（1）发包人提供的工程量清单有数量误差，或设计变更引起工程量清单项目工程数量的增减，无论增减幅度如何，均执行合同原有的单价。</w:t>
      </w:r>
    </w:p>
    <w:p w14:paraId="0045CEA3">
      <w:pPr>
        <w:autoSpaceDE w:val="0"/>
        <w:autoSpaceDN w:val="0"/>
        <w:adjustRightInd w:val="0"/>
        <w:spacing w:line="420" w:lineRule="exact"/>
        <w:ind w:firstLine="406" w:firstLineChars="201"/>
        <w:textAlignment w:val="baseline"/>
        <w:rPr>
          <w:rFonts w:hint="eastAsia" w:ascii="宋体"/>
          <w:snapToGrid w:val="0"/>
          <w:spacing w:val="-4"/>
          <w:kern w:val="0"/>
          <w:szCs w:val="21"/>
          <w:highlight w:val="none"/>
        </w:rPr>
      </w:pPr>
      <w:r>
        <w:rPr>
          <w:rFonts w:hint="eastAsia" w:ascii="宋体"/>
          <w:snapToGrid w:val="0"/>
          <w:spacing w:val="-4"/>
          <w:kern w:val="0"/>
          <w:szCs w:val="21"/>
          <w:highlight w:val="none"/>
        </w:rPr>
        <w:t>（2）发包人提供的工程量清单项目漏项，或设计变更引起新的工程项目，其相应单价的确定方法为：</w:t>
      </w:r>
    </w:p>
    <w:p w14:paraId="3CC5E7E7">
      <w:pPr>
        <w:autoSpaceDE w:val="0"/>
        <w:autoSpaceDN w:val="0"/>
        <w:adjustRightInd w:val="0"/>
        <w:spacing w:line="420" w:lineRule="exact"/>
        <w:ind w:firstLine="406" w:firstLineChars="201"/>
        <w:textAlignment w:val="baseline"/>
        <w:rPr>
          <w:rFonts w:hint="eastAsia" w:ascii="宋体"/>
          <w:snapToGrid w:val="0"/>
          <w:spacing w:val="-4"/>
          <w:kern w:val="0"/>
          <w:szCs w:val="21"/>
          <w:highlight w:val="none"/>
        </w:rPr>
      </w:pPr>
      <w:r>
        <w:rPr>
          <w:rFonts w:hint="eastAsia" w:ascii="宋体"/>
          <w:snapToGrid w:val="0"/>
          <w:spacing w:val="-4"/>
          <w:kern w:val="0"/>
          <w:szCs w:val="21"/>
          <w:highlight w:val="none"/>
        </w:rPr>
        <w:t>①合同中已有适用于变更工程的价格，按15.4.2款执行；</w:t>
      </w:r>
    </w:p>
    <w:p w14:paraId="70DD5CA1">
      <w:pPr>
        <w:autoSpaceDE w:val="0"/>
        <w:autoSpaceDN w:val="0"/>
        <w:adjustRightInd w:val="0"/>
        <w:spacing w:line="420" w:lineRule="exact"/>
        <w:ind w:firstLine="406" w:firstLineChars="201"/>
        <w:textAlignment w:val="baseline"/>
        <w:rPr>
          <w:rFonts w:hint="eastAsia" w:ascii="宋体"/>
          <w:snapToGrid w:val="0"/>
          <w:spacing w:val="-4"/>
          <w:kern w:val="0"/>
          <w:szCs w:val="21"/>
          <w:highlight w:val="none"/>
        </w:rPr>
      </w:pPr>
      <w:r>
        <w:rPr>
          <w:rFonts w:hint="eastAsia" w:ascii="宋体"/>
          <w:snapToGrid w:val="0"/>
          <w:spacing w:val="-4"/>
          <w:kern w:val="0"/>
          <w:szCs w:val="21"/>
          <w:highlight w:val="none"/>
        </w:rPr>
        <w:t>②合同中只有类似于变更工程的价格，可以参照合同中类似项目的单价计算确定。</w:t>
      </w:r>
    </w:p>
    <w:p w14:paraId="5D9503A1">
      <w:pPr>
        <w:autoSpaceDE w:val="0"/>
        <w:autoSpaceDN w:val="0"/>
        <w:adjustRightInd w:val="0"/>
        <w:spacing w:line="420" w:lineRule="exact"/>
        <w:ind w:firstLine="406" w:firstLineChars="201"/>
        <w:textAlignment w:val="baseline"/>
        <w:rPr>
          <w:rFonts w:hint="eastAsia" w:ascii="宋体" w:hAnsi="宋体"/>
          <w:kern w:val="0"/>
          <w:szCs w:val="21"/>
          <w:highlight w:val="none"/>
        </w:rPr>
      </w:pPr>
      <w:r>
        <w:rPr>
          <w:rFonts w:hint="eastAsia" w:ascii="宋体"/>
          <w:snapToGrid w:val="0"/>
          <w:spacing w:val="-4"/>
          <w:kern w:val="0"/>
          <w:szCs w:val="21"/>
          <w:highlight w:val="none"/>
        </w:rPr>
        <w:t>③合同中没有适用或类似于变更工程的价格，按15.4.3款执行。</w:t>
      </w:r>
    </w:p>
    <w:p w14:paraId="319A6227">
      <w:pPr>
        <w:keepNext/>
        <w:keepLines/>
        <w:numPr>
          <w:ilvl w:val="4"/>
          <w:numId w:val="0"/>
        </w:numPr>
        <w:tabs>
          <w:tab w:val="left" w:pos="0"/>
        </w:tabs>
        <w:suppressAutoHyphens/>
        <w:snapToGrid w:val="0"/>
        <w:spacing w:line="420" w:lineRule="exact"/>
        <w:outlineLvl w:val="4"/>
        <w:rPr>
          <w:rFonts w:hint="eastAsia" w:ascii="宋体" w:hAnsi="宋体"/>
          <w:snapToGrid w:val="0"/>
          <w:szCs w:val="21"/>
          <w:highlight w:val="none"/>
        </w:rPr>
      </w:pPr>
      <w:r>
        <w:rPr>
          <w:rFonts w:hint="eastAsia" w:ascii="宋体" w:hAnsi="宋体"/>
          <w:snapToGrid w:val="0"/>
          <w:szCs w:val="21"/>
          <w:highlight w:val="none"/>
        </w:rPr>
        <w:t xml:space="preserve">15.3变更程序   </w:t>
      </w:r>
    </w:p>
    <w:p w14:paraId="5325BFB7">
      <w:pPr>
        <w:autoSpaceDE w:val="0"/>
        <w:autoSpaceDN w:val="0"/>
        <w:adjustRightInd w:val="0"/>
        <w:spacing w:line="420" w:lineRule="exact"/>
        <w:ind w:firstLine="422" w:firstLineChars="201"/>
        <w:textAlignment w:val="baseline"/>
        <w:rPr>
          <w:rFonts w:ascii="宋体" w:hAnsi="宋体"/>
          <w:kern w:val="0"/>
          <w:szCs w:val="21"/>
          <w:highlight w:val="none"/>
        </w:rPr>
      </w:pPr>
      <w:r>
        <w:rPr>
          <w:rFonts w:hint="eastAsia" w:ascii="宋体"/>
          <w:kern w:val="0"/>
          <w:szCs w:val="21"/>
          <w:highlight w:val="none"/>
        </w:rPr>
        <w:t>变更程序执行</w:t>
      </w:r>
      <w:r>
        <w:rPr>
          <w:rFonts w:hint="eastAsia" w:ascii="宋体"/>
          <w:snapToGrid w:val="0"/>
          <w:kern w:val="0"/>
          <w:szCs w:val="21"/>
          <w:highlight w:val="none"/>
        </w:rPr>
        <w:t>当地</w:t>
      </w:r>
      <w:r>
        <w:rPr>
          <w:rFonts w:hint="eastAsia" w:ascii="宋体"/>
          <w:kern w:val="0"/>
          <w:szCs w:val="21"/>
          <w:highlight w:val="none"/>
        </w:rPr>
        <w:t>文件的有关规定。如施工期间，当地政府部门有新的变更规定的，则按新出台的变更规定执行。</w:t>
      </w:r>
    </w:p>
    <w:p w14:paraId="3A5EE724">
      <w:pPr>
        <w:keepNext/>
        <w:keepLines/>
        <w:numPr>
          <w:ilvl w:val="4"/>
          <w:numId w:val="0"/>
        </w:numPr>
        <w:tabs>
          <w:tab w:val="left" w:pos="0"/>
        </w:tabs>
        <w:suppressAutoHyphens/>
        <w:snapToGrid w:val="0"/>
        <w:spacing w:line="420" w:lineRule="exact"/>
        <w:outlineLvl w:val="4"/>
        <w:rPr>
          <w:rFonts w:ascii="宋体" w:hAnsi="宋体"/>
          <w:b/>
          <w:spacing w:val="20"/>
          <w:szCs w:val="21"/>
          <w:highlight w:val="none"/>
        </w:rPr>
      </w:pPr>
      <w:r>
        <w:rPr>
          <w:rFonts w:ascii="宋体" w:hAnsi="宋体"/>
          <w:snapToGrid w:val="0"/>
          <w:szCs w:val="21"/>
          <w:highlight w:val="none"/>
        </w:rPr>
        <w:t>15.4 变更的估价原则</w:t>
      </w:r>
    </w:p>
    <w:p w14:paraId="7303CBE8">
      <w:pPr>
        <w:suppressAutoHyphens/>
        <w:autoSpaceDE w:val="0"/>
        <w:spacing w:before="60" w:after="60" w:line="420" w:lineRule="exact"/>
        <w:ind w:firstLine="471"/>
        <w:textAlignment w:val="baseline"/>
        <w:rPr>
          <w:rFonts w:ascii="宋体" w:hAnsi="宋体"/>
          <w:kern w:val="0"/>
          <w:szCs w:val="21"/>
          <w:highlight w:val="none"/>
        </w:rPr>
      </w:pPr>
      <w:r>
        <w:rPr>
          <w:rFonts w:ascii="宋体" w:hAnsi="宋体"/>
          <w:b/>
          <w:kern w:val="0"/>
          <w:szCs w:val="21"/>
          <w:highlight w:val="none"/>
        </w:rPr>
        <w:t>15.4.3</w:t>
      </w:r>
      <w:r>
        <w:rPr>
          <w:rFonts w:ascii="宋体" w:hAnsi="宋体"/>
          <w:kern w:val="0"/>
          <w:szCs w:val="21"/>
          <w:highlight w:val="none"/>
        </w:rPr>
        <w:t xml:space="preserve"> </w:t>
      </w:r>
      <w:r>
        <w:rPr>
          <w:rFonts w:hint="eastAsia" w:ascii="宋体" w:hAnsi="宋体"/>
          <w:kern w:val="0"/>
          <w:szCs w:val="21"/>
          <w:highlight w:val="none"/>
        </w:rPr>
        <w:t>细化为：本合同在实施过程中，如遇到设计变更出现新增或变更项目时，则该新增或变更项目的单价由承包人按以下原则提出变更单价，监理人审核，发包人同意后进入工程结算，支付方式执行合同约定的支付条款。</w:t>
      </w:r>
    </w:p>
    <w:p w14:paraId="65314C40">
      <w:pPr>
        <w:autoSpaceDE w:val="0"/>
        <w:autoSpaceDN w:val="0"/>
        <w:adjustRightInd w:val="0"/>
        <w:spacing w:line="420" w:lineRule="exact"/>
        <w:ind w:firstLine="525" w:firstLineChars="250"/>
        <w:textAlignment w:val="baseline"/>
        <w:rPr>
          <w:rFonts w:hint="eastAsia" w:ascii="宋体" w:hAnsi="宋体"/>
          <w:kern w:val="0"/>
          <w:szCs w:val="21"/>
          <w:highlight w:val="none"/>
        </w:rPr>
      </w:pPr>
      <w:r>
        <w:rPr>
          <w:rFonts w:hint="eastAsia" w:ascii="宋体" w:hAnsi="宋体" w:cs="宋体"/>
          <w:kern w:val="0"/>
          <w:szCs w:val="21"/>
          <w:highlight w:val="none"/>
        </w:rPr>
        <w:t>（1）</w:t>
      </w:r>
      <w:r>
        <w:rPr>
          <w:rFonts w:hint="eastAsia" w:ascii="宋体" w:hAnsi="宋体"/>
          <w:kern w:val="0"/>
          <w:szCs w:val="21"/>
          <w:highlight w:val="none"/>
        </w:rPr>
        <w:t>人工预算单价采用投标期浙江省现行水利行业人工预算单价。</w:t>
      </w:r>
    </w:p>
    <w:p w14:paraId="32AF0328">
      <w:pPr>
        <w:autoSpaceDE w:val="0"/>
        <w:autoSpaceDN w:val="0"/>
        <w:adjustRightInd w:val="0"/>
        <w:spacing w:line="420" w:lineRule="exact"/>
        <w:ind w:firstLine="525" w:firstLineChars="250"/>
        <w:textAlignment w:val="baseline"/>
        <w:rPr>
          <w:rFonts w:hint="eastAsia" w:ascii="宋体" w:hAnsi="宋体"/>
          <w:kern w:val="0"/>
          <w:szCs w:val="21"/>
          <w:highlight w:val="none"/>
        </w:rPr>
      </w:pPr>
      <w:r>
        <w:rPr>
          <w:rFonts w:hint="eastAsia" w:ascii="宋体" w:hAnsi="宋体"/>
          <w:kern w:val="0"/>
          <w:szCs w:val="21"/>
          <w:highlight w:val="none"/>
        </w:rPr>
        <w:t>（2）材料预算价采用投标期基价。投标期的基价是指</w:t>
      </w:r>
      <w:r>
        <w:rPr>
          <w:rFonts w:hint="eastAsia" w:ascii="宋体" w:hAnsi="宋体"/>
          <w:kern w:val="0"/>
          <w:szCs w:val="21"/>
          <w:highlight w:val="none"/>
          <w:u w:val="single"/>
        </w:rPr>
        <w:t xml:space="preserve"> 项目所在地造价管理部门 </w:t>
      </w:r>
      <w:r>
        <w:rPr>
          <w:rFonts w:hint="eastAsia" w:ascii="宋体" w:hAnsi="宋体"/>
          <w:kern w:val="0"/>
          <w:szCs w:val="21"/>
          <w:highlight w:val="none"/>
        </w:rPr>
        <w:t>发布的</w:t>
      </w:r>
      <w:r>
        <w:rPr>
          <w:rFonts w:hint="eastAsia" w:ascii="宋体" w:hAnsi="宋体"/>
          <w:kern w:val="0"/>
          <w:szCs w:val="21"/>
          <w:highlight w:val="none"/>
          <w:u w:val="single"/>
        </w:rPr>
        <w:t xml:space="preserve"> 《</w:t>
      </w:r>
      <w:r>
        <w:rPr>
          <w:rFonts w:hint="eastAsia" w:ascii="宋体" w:hAnsi="宋体"/>
          <w:kern w:val="0"/>
          <w:szCs w:val="21"/>
          <w:highlight w:val="none"/>
          <w:u w:val="single"/>
          <w:lang w:val="en-US" w:eastAsia="zh-CN"/>
        </w:rPr>
        <w:t>台州</w:t>
      </w:r>
      <w:r>
        <w:rPr>
          <w:rFonts w:hint="eastAsia" w:ascii="宋体" w:hAnsi="宋体"/>
          <w:kern w:val="0"/>
          <w:szCs w:val="21"/>
          <w:highlight w:val="none"/>
          <w:u w:val="single"/>
        </w:rPr>
        <w:t>造价》正刊（</w:t>
      </w:r>
      <w:r>
        <w:rPr>
          <w:rFonts w:hint="eastAsia" w:ascii="宋体" w:hAnsi="宋体"/>
          <w:kern w:val="0"/>
          <w:szCs w:val="21"/>
          <w:highlight w:val="none"/>
          <w:u w:val="single"/>
          <w:lang w:val="en-US" w:eastAsia="zh-CN"/>
        </w:rPr>
        <w:t>2025</w:t>
      </w:r>
      <w:r>
        <w:rPr>
          <w:rFonts w:hint="eastAsia" w:ascii="宋体" w:hAnsi="宋体"/>
          <w:kern w:val="0"/>
          <w:szCs w:val="21"/>
          <w:highlight w:val="none"/>
          <w:u w:val="single"/>
        </w:rPr>
        <w:t>年</w:t>
      </w:r>
      <w:r>
        <w:rPr>
          <w:rFonts w:hint="eastAsia" w:ascii="宋体" w:hAnsi="宋体"/>
          <w:kern w:val="0"/>
          <w:szCs w:val="21"/>
          <w:highlight w:val="none"/>
          <w:u w:val="single"/>
          <w:lang w:val="en-US" w:eastAsia="zh-CN"/>
        </w:rPr>
        <w:t>03月</w:t>
      </w:r>
      <w:r>
        <w:rPr>
          <w:rFonts w:hint="eastAsia" w:ascii="宋体" w:hAnsi="宋体"/>
          <w:kern w:val="0"/>
          <w:szCs w:val="21"/>
          <w:highlight w:val="none"/>
          <w:u w:val="single"/>
        </w:rPr>
        <w:t>）</w:t>
      </w:r>
      <w:r>
        <w:rPr>
          <w:rFonts w:hint="eastAsia" w:ascii="宋体" w:hAnsi="宋体"/>
          <w:kern w:val="0"/>
          <w:szCs w:val="21"/>
          <w:highlight w:val="none"/>
          <w:u w:val="single"/>
          <w:lang w:eastAsia="zh-CN"/>
        </w:rPr>
        <w:t>、</w:t>
      </w:r>
      <w:r>
        <w:rPr>
          <w:rFonts w:hint="eastAsia" w:ascii="宋体" w:hAnsi="宋体"/>
          <w:kern w:val="0"/>
          <w:szCs w:val="21"/>
          <w:highlight w:val="none"/>
          <w:u w:val="single"/>
        </w:rPr>
        <w:t>《</w:t>
      </w:r>
      <w:r>
        <w:rPr>
          <w:rFonts w:hint="eastAsia" w:ascii="宋体" w:hAnsi="宋体"/>
          <w:kern w:val="0"/>
          <w:szCs w:val="21"/>
          <w:highlight w:val="none"/>
          <w:u w:val="single"/>
          <w:lang w:val="en-US" w:eastAsia="zh-CN"/>
        </w:rPr>
        <w:t>浙江</w:t>
      </w:r>
      <w:r>
        <w:rPr>
          <w:rFonts w:hint="eastAsia" w:ascii="宋体" w:hAnsi="宋体"/>
          <w:kern w:val="0"/>
          <w:szCs w:val="21"/>
          <w:highlight w:val="none"/>
          <w:u w:val="single"/>
        </w:rPr>
        <w:t>造价》正刊（</w:t>
      </w:r>
      <w:r>
        <w:rPr>
          <w:rFonts w:hint="eastAsia" w:ascii="宋体" w:hAnsi="宋体"/>
          <w:kern w:val="0"/>
          <w:szCs w:val="21"/>
          <w:highlight w:val="none"/>
          <w:u w:val="single"/>
          <w:lang w:val="en-US" w:eastAsia="zh-CN"/>
        </w:rPr>
        <w:t>2025</w:t>
      </w:r>
      <w:r>
        <w:rPr>
          <w:rFonts w:hint="eastAsia" w:ascii="宋体" w:hAnsi="宋体"/>
          <w:kern w:val="0"/>
          <w:szCs w:val="21"/>
          <w:highlight w:val="none"/>
          <w:u w:val="single"/>
        </w:rPr>
        <w:t>年</w:t>
      </w:r>
      <w:r>
        <w:rPr>
          <w:rFonts w:hint="eastAsia" w:ascii="宋体" w:hAnsi="宋体"/>
          <w:kern w:val="0"/>
          <w:szCs w:val="21"/>
          <w:highlight w:val="none"/>
          <w:u w:val="single"/>
          <w:lang w:val="en-US" w:eastAsia="zh-CN"/>
        </w:rPr>
        <w:t>02月</w:t>
      </w:r>
      <w:r>
        <w:rPr>
          <w:rFonts w:hint="eastAsia" w:ascii="宋体" w:hAnsi="宋体"/>
          <w:kern w:val="0"/>
          <w:szCs w:val="21"/>
          <w:highlight w:val="none"/>
          <w:u w:val="single"/>
        </w:rPr>
        <w:t>）</w:t>
      </w:r>
      <w:r>
        <w:rPr>
          <w:rFonts w:hint="eastAsia" w:ascii="宋体" w:hAnsi="宋体"/>
          <w:kern w:val="0"/>
          <w:szCs w:val="21"/>
          <w:highlight w:val="none"/>
        </w:rPr>
        <w:t>中项目所在地信息价。如无信息价，则根据项目实施时的材料市场价由相关部门组织询价确定材料预算价格。</w:t>
      </w:r>
    </w:p>
    <w:p w14:paraId="0903D09D">
      <w:pPr>
        <w:autoSpaceDE w:val="0"/>
        <w:autoSpaceDN w:val="0"/>
        <w:adjustRightInd w:val="0"/>
        <w:spacing w:line="420" w:lineRule="exact"/>
        <w:ind w:firstLine="525" w:firstLineChars="250"/>
        <w:textAlignment w:val="baseline"/>
        <w:rPr>
          <w:rFonts w:hint="eastAsia" w:ascii="宋体" w:hAnsi="宋体"/>
          <w:kern w:val="0"/>
          <w:szCs w:val="21"/>
          <w:highlight w:val="none"/>
        </w:rPr>
      </w:pPr>
      <w:r>
        <w:rPr>
          <w:rFonts w:hint="eastAsia" w:ascii="宋体" w:hAnsi="宋体"/>
          <w:kern w:val="0"/>
          <w:szCs w:val="21"/>
          <w:highlight w:val="none"/>
        </w:rPr>
        <w:t>（3）机械台班单价按投标期浙江省现行水利水电工程施工机械台州定额和有关规定计算。</w:t>
      </w:r>
    </w:p>
    <w:p w14:paraId="70ED8BB6">
      <w:pPr>
        <w:autoSpaceDE w:val="0"/>
        <w:autoSpaceDN w:val="0"/>
        <w:adjustRightInd w:val="0"/>
        <w:spacing w:line="420" w:lineRule="exact"/>
        <w:ind w:firstLine="525" w:firstLineChars="250"/>
        <w:textAlignment w:val="baseline"/>
        <w:rPr>
          <w:rFonts w:hint="eastAsia" w:ascii="宋体" w:hAnsi="宋体"/>
          <w:kern w:val="0"/>
          <w:szCs w:val="21"/>
          <w:highlight w:val="none"/>
        </w:rPr>
      </w:pPr>
      <w:r>
        <w:rPr>
          <w:rFonts w:hint="eastAsia" w:ascii="宋体" w:hAnsi="宋体"/>
          <w:kern w:val="0"/>
          <w:szCs w:val="21"/>
          <w:highlight w:val="none"/>
        </w:rPr>
        <w:t>（4）定额采用投标期浙江省现行水利水电工程定额和有关规定，如浙江省水利工程定额不能满足计价，可采用部颁水利定额及其他相关行业定额的定额含量计价。</w:t>
      </w:r>
    </w:p>
    <w:p w14:paraId="7D709B09">
      <w:pPr>
        <w:autoSpaceDE w:val="0"/>
        <w:autoSpaceDN w:val="0"/>
        <w:adjustRightInd w:val="0"/>
        <w:spacing w:line="420" w:lineRule="exact"/>
        <w:ind w:firstLine="525" w:firstLineChars="250"/>
        <w:textAlignment w:val="baseline"/>
        <w:rPr>
          <w:rFonts w:hint="eastAsia" w:ascii="宋体" w:hAnsi="宋体"/>
          <w:kern w:val="0"/>
          <w:szCs w:val="21"/>
          <w:highlight w:val="none"/>
        </w:rPr>
      </w:pPr>
      <w:r>
        <w:rPr>
          <w:rFonts w:hint="eastAsia" w:ascii="宋体" w:hAnsi="宋体"/>
          <w:kern w:val="0"/>
          <w:szCs w:val="21"/>
          <w:highlight w:val="none"/>
        </w:rPr>
        <w:t>（5）取费费率采用投标期浙江省现行水利行业取费标准，按工程类别选取费率，对各项弹性区间费率取中间值。</w:t>
      </w:r>
    </w:p>
    <w:p w14:paraId="7AF159BE">
      <w:pPr>
        <w:autoSpaceDE w:val="0"/>
        <w:autoSpaceDN w:val="0"/>
        <w:adjustRightInd w:val="0"/>
        <w:spacing w:line="420" w:lineRule="exact"/>
        <w:ind w:firstLine="525" w:firstLineChars="250"/>
        <w:textAlignment w:val="baseline"/>
        <w:rPr>
          <w:rFonts w:ascii="宋体" w:hAnsi="宋体"/>
          <w:kern w:val="0"/>
          <w:szCs w:val="21"/>
          <w:highlight w:val="none"/>
        </w:rPr>
      </w:pPr>
      <w:r>
        <w:rPr>
          <w:rFonts w:hint="eastAsia" w:ascii="宋体" w:hAnsi="宋体"/>
          <w:kern w:val="0"/>
          <w:szCs w:val="21"/>
          <w:highlight w:val="none"/>
        </w:rPr>
        <w:t>（6）</w:t>
      </w:r>
      <w:r>
        <w:rPr>
          <w:rFonts w:ascii="宋体" w:hAnsi="宋体"/>
          <w:kern w:val="0"/>
          <w:szCs w:val="21"/>
          <w:highlight w:val="none"/>
        </w:rPr>
        <w:t>上述单价按</w:t>
      </w:r>
      <w:r>
        <w:rPr>
          <w:rFonts w:hint="eastAsia" w:ascii="宋体" w:hAnsi="宋体"/>
          <w:kern w:val="0"/>
          <w:szCs w:val="21"/>
          <w:highlight w:val="none"/>
        </w:rPr>
        <w:t>以下计算综合优惠率进行优惠</w:t>
      </w:r>
      <w:r>
        <w:rPr>
          <w:rFonts w:ascii="宋体" w:hAnsi="宋体"/>
          <w:kern w:val="0"/>
          <w:szCs w:val="21"/>
          <w:highlight w:val="none"/>
        </w:rPr>
        <w:t>。</w:t>
      </w:r>
    </w:p>
    <w:p w14:paraId="5A436596">
      <w:pPr>
        <w:autoSpaceDE w:val="0"/>
        <w:autoSpaceDN w:val="0"/>
        <w:adjustRightInd w:val="0"/>
        <w:spacing w:line="420" w:lineRule="exact"/>
        <w:ind w:firstLine="480"/>
        <w:textAlignment w:val="baseline"/>
        <w:rPr>
          <w:rFonts w:hint="eastAsia" w:ascii="宋体" w:hAnsi="宋体" w:cs="宋体"/>
          <w:kern w:val="0"/>
          <w:szCs w:val="21"/>
          <w:highlight w:val="none"/>
        </w:rPr>
      </w:pPr>
      <w:r>
        <w:rPr>
          <w:rFonts w:hint="eastAsia" w:ascii="宋体" w:hAnsi="宋体" w:cs="宋体"/>
          <w:kern w:val="0"/>
          <w:szCs w:val="21"/>
          <w:highlight w:val="none"/>
        </w:rPr>
        <w:t>综合优惠率=[1-(投标人中标价-预留金-安全文明施工费)</w:t>
      </w:r>
      <w:r>
        <w:rPr>
          <w:rFonts w:hint="eastAsia"/>
          <w:kern w:val="0"/>
          <w:sz w:val="24"/>
          <w:szCs w:val="20"/>
          <w:highlight w:val="none"/>
        </w:rPr>
        <w:t xml:space="preserve"> </w:t>
      </w:r>
      <w:r>
        <w:rPr>
          <w:rFonts w:hint="eastAsia" w:ascii="宋体" w:hAnsi="宋体" w:cs="宋体"/>
          <w:kern w:val="0"/>
          <w:szCs w:val="21"/>
          <w:highlight w:val="none"/>
        </w:rPr>
        <w:t>÷（本标段预算金额-预留金-安全文明施工费）]</w:t>
      </w:r>
      <w:r>
        <w:rPr>
          <w:rFonts w:ascii="Arial" w:hAnsi="Arial" w:cs="Arial"/>
          <w:kern w:val="0"/>
          <w:szCs w:val="21"/>
          <w:highlight w:val="none"/>
        </w:rPr>
        <w:t>×</w:t>
      </w:r>
      <w:r>
        <w:rPr>
          <w:rFonts w:hint="eastAsia" w:ascii="宋体" w:hAnsi="宋体" w:cs="宋体"/>
          <w:kern w:val="0"/>
          <w:szCs w:val="21"/>
          <w:highlight w:val="none"/>
        </w:rPr>
        <w:t>100%。</w:t>
      </w:r>
    </w:p>
    <w:p w14:paraId="3C37B84A">
      <w:pPr>
        <w:autoSpaceDE w:val="0"/>
        <w:autoSpaceDN w:val="0"/>
        <w:adjustRightInd w:val="0"/>
        <w:spacing w:line="420" w:lineRule="exact"/>
        <w:ind w:firstLine="480"/>
        <w:textAlignment w:val="baseline"/>
        <w:rPr>
          <w:rFonts w:ascii="宋体" w:hAnsi="宋体"/>
          <w:kern w:val="0"/>
          <w:szCs w:val="21"/>
          <w:highlight w:val="none"/>
        </w:rPr>
      </w:pPr>
      <w:r>
        <w:rPr>
          <w:rFonts w:hint="eastAsia" w:ascii="宋体" w:hAnsi="宋体" w:cs="宋体"/>
          <w:kern w:val="0"/>
          <w:szCs w:val="21"/>
          <w:highlight w:val="none"/>
        </w:rPr>
        <w:t>（7）</w:t>
      </w:r>
      <w:r>
        <w:rPr>
          <w:rFonts w:hint="eastAsia" w:ascii="宋体" w:hAnsi="宋体" w:cs="宋体"/>
          <w:kern w:val="0"/>
          <w:szCs w:val="21"/>
          <w:highlight w:val="none"/>
          <w:u w:val="single"/>
        </w:rPr>
        <w:t>按</w:t>
      </w:r>
      <w:r>
        <w:rPr>
          <w:rFonts w:ascii="宋体" w:hAnsi="宋体"/>
          <w:kern w:val="0"/>
          <w:szCs w:val="21"/>
          <w:highlight w:val="none"/>
          <w:u w:val="single"/>
        </w:rPr>
        <w:t>照上述仍无法组价的，根据市场招标或询价确定</w:t>
      </w:r>
      <w:r>
        <w:rPr>
          <w:rFonts w:ascii="宋体" w:hAnsi="宋体"/>
          <w:kern w:val="0"/>
          <w:szCs w:val="21"/>
          <w:highlight w:val="none"/>
        </w:rPr>
        <w:t>。</w:t>
      </w:r>
    </w:p>
    <w:p w14:paraId="24431232">
      <w:pPr>
        <w:autoSpaceDE w:val="0"/>
        <w:autoSpaceDN w:val="0"/>
        <w:adjustRightInd w:val="0"/>
        <w:spacing w:line="420" w:lineRule="exact"/>
        <w:ind w:firstLine="480"/>
        <w:textAlignment w:val="baseline"/>
        <w:rPr>
          <w:rFonts w:ascii="宋体" w:hAnsi="宋体"/>
          <w:kern w:val="0"/>
          <w:szCs w:val="21"/>
          <w:highlight w:val="none"/>
        </w:rPr>
      </w:pPr>
      <w:r>
        <w:rPr>
          <w:rFonts w:ascii="宋体" w:hAnsi="宋体"/>
          <w:kern w:val="0"/>
          <w:szCs w:val="21"/>
          <w:highlight w:val="none"/>
        </w:rPr>
        <w:t>本款增加：</w:t>
      </w:r>
    </w:p>
    <w:p w14:paraId="0C982B13">
      <w:pPr>
        <w:suppressAutoHyphens/>
        <w:autoSpaceDE w:val="0"/>
        <w:spacing w:before="60" w:after="60" w:line="420" w:lineRule="exact"/>
        <w:ind w:firstLine="471"/>
        <w:textAlignment w:val="baseline"/>
        <w:rPr>
          <w:rFonts w:ascii="宋体" w:hAnsi="宋体"/>
          <w:kern w:val="0"/>
          <w:szCs w:val="21"/>
          <w:highlight w:val="none"/>
          <w:u w:val="single"/>
        </w:rPr>
      </w:pPr>
      <w:r>
        <w:rPr>
          <w:rFonts w:ascii="宋体" w:hAnsi="宋体"/>
          <w:kern w:val="0"/>
          <w:szCs w:val="21"/>
          <w:highlight w:val="none"/>
          <w:u w:val="single"/>
        </w:rPr>
        <w:t>15.4.4 本合同工程新增或变更工程金额，不论金额大小，均不得要求增加工程量清单中的总价承包部分的费用。</w:t>
      </w:r>
    </w:p>
    <w:p w14:paraId="13E171FE">
      <w:pPr>
        <w:suppressAutoHyphens/>
        <w:autoSpaceDE w:val="0"/>
        <w:spacing w:before="60" w:after="60" w:line="420" w:lineRule="exact"/>
        <w:ind w:firstLine="471"/>
        <w:textAlignment w:val="baseline"/>
        <w:rPr>
          <w:rFonts w:ascii="宋体" w:hAnsi="宋体"/>
          <w:kern w:val="0"/>
          <w:szCs w:val="21"/>
          <w:highlight w:val="none"/>
          <w:u w:val="single"/>
        </w:rPr>
      </w:pPr>
      <w:r>
        <w:rPr>
          <w:rFonts w:ascii="宋体" w:hAnsi="宋体"/>
          <w:kern w:val="0"/>
          <w:szCs w:val="21"/>
          <w:highlight w:val="none"/>
          <w:u w:val="single"/>
        </w:rPr>
        <w:t>15.4.</w:t>
      </w:r>
      <w:r>
        <w:rPr>
          <w:rFonts w:hint="eastAsia" w:ascii="宋体" w:hAnsi="宋体"/>
          <w:kern w:val="0"/>
          <w:szCs w:val="21"/>
          <w:highlight w:val="none"/>
          <w:u w:val="single"/>
        </w:rPr>
        <w:t>5承包人不得因本工程的工程量调整（增加或减少）原因而提出索赔或其他补偿要求。</w:t>
      </w:r>
    </w:p>
    <w:p w14:paraId="731EBBA8">
      <w:pPr>
        <w:suppressAutoHyphens/>
        <w:autoSpaceDE w:val="0"/>
        <w:spacing w:before="60" w:after="60" w:line="420" w:lineRule="exact"/>
        <w:ind w:firstLine="471"/>
        <w:textAlignment w:val="baseline"/>
        <w:rPr>
          <w:rFonts w:ascii="宋体" w:hAnsi="宋体"/>
          <w:kern w:val="0"/>
          <w:szCs w:val="21"/>
          <w:highlight w:val="none"/>
          <w:u w:val="single"/>
        </w:rPr>
      </w:pPr>
      <w:r>
        <w:rPr>
          <w:rFonts w:hint="eastAsia" w:ascii="宋体" w:hAnsi="宋体"/>
          <w:kern w:val="0"/>
          <w:szCs w:val="21"/>
          <w:highlight w:val="none"/>
          <w:u w:val="single"/>
        </w:rPr>
        <w:t>15.4.6 承包人应充分考虑施工现场实际情况，不得因本工程施工场地政策处理原因而提出索赔或其他补偿要求。</w:t>
      </w:r>
    </w:p>
    <w:p w14:paraId="6C7CC9E4">
      <w:pPr>
        <w:keepNext/>
        <w:keepLines/>
        <w:numPr>
          <w:ilvl w:val="4"/>
          <w:numId w:val="0"/>
        </w:numPr>
        <w:tabs>
          <w:tab w:val="left" w:pos="0"/>
        </w:tabs>
        <w:suppressAutoHyphens/>
        <w:snapToGrid w:val="0"/>
        <w:spacing w:line="420" w:lineRule="exact"/>
        <w:outlineLvl w:val="4"/>
        <w:rPr>
          <w:rFonts w:ascii="宋体" w:hAnsi="宋体"/>
          <w:b/>
          <w:spacing w:val="20"/>
          <w:szCs w:val="21"/>
          <w:highlight w:val="none"/>
        </w:rPr>
      </w:pPr>
      <w:r>
        <w:rPr>
          <w:rFonts w:ascii="宋体" w:hAnsi="宋体"/>
          <w:snapToGrid w:val="0"/>
          <w:szCs w:val="21"/>
          <w:highlight w:val="none"/>
        </w:rPr>
        <w:t>15.5 承包人的合理化建议</w:t>
      </w:r>
    </w:p>
    <w:p w14:paraId="4191C23B">
      <w:pPr>
        <w:autoSpaceDE w:val="0"/>
        <w:autoSpaceDN w:val="0"/>
        <w:adjustRightInd w:val="0"/>
        <w:snapToGrid w:val="0"/>
        <w:spacing w:line="420" w:lineRule="exact"/>
        <w:ind w:firstLine="480"/>
        <w:textAlignment w:val="baseline"/>
        <w:rPr>
          <w:rFonts w:ascii="宋体" w:hAnsi="宋体"/>
          <w:kern w:val="0"/>
          <w:szCs w:val="21"/>
          <w:highlight w:val="none"/>
        </w:rPr>
      </w:pPr>
      <w:r>
        <w:rPr>
          <w:rFonts w:ascii="宋体" w:hAnsi="宋体"/>
          <w:kern w:val="0"/>
          <w:szCs w:val="21"/>
          <w:highlight w:val="none"/>
        </w:rPr>
        <w:t>15.5.2 承包人实现合理化建议的奖励金额为：</w:t>
      </w:r>
      <w:r>
        <w:rPr>
          <w:rFonts w:hint="eastAsia" w:ascii="宋体" w:hAnsi="宋体"/>
          <w:kern w:val="0"/>
          <w:szCs w:val="21"/>
          <w:highlight w:val="none"/>
          <w:u w:val="single"/>
        </w:rPr>
        <w:t>/</w:t>
      </w:r>
      <w:r>
        <w:rPr>
          <w:rFonts w:ascii="宋体" w:hAnsi="宋体"/>
          <w:kern w:val="0"/>
          <w:szCs w:val="21"/>
          <w:highlight w:val="none"/>
        </w:rPr>
        <w:t>。</w:t>
      </w:r>
    </w:p>
    <w:p w14:paraId="51EEBDC5">
      <w:pPr>
        <w:keepNext/>
        <w:keepLines/>
        <w:numPr>
          <w:ilvl w:val="4"/>
          <w:numId w:val="0"/>
        </w:numPr>
        <w:tabs>
          <w:tab w:val="left" w:pos="0"/>
        </w:tabs>
        <w:suppressAutoHyphens/>
        <w:snapToGrid w:val="0"/>
        <w:spacing w:line="420" w:lineRule="exact"/>
        <w:outlineLvl w:val="4"/>
        <w:rPr>
          <w:rFonts w:ascii="宋体" w:hAnsi="宋体"/>
          <w:b/>
          <w:spacing w:val="20"/>
          <w:szCs w:val="21"/>
          <w:highlight w:val="none"/>
        </w:rPr>
      </w:pPr>
      <w:r>
        <w:rPr>
          <w:rFonts w:ascii="宋体" w:hAnsi="宋体"/>
          <w:snapToGrid w:val="0"/>
          <w:szCs w:val="21"/>
          <w:highlight w:val="none"/>
        </w:rPr>
        <w:t>15.8 暂估价</w:t>
      </w:r>
    </w:p>
    <w:p w14:paraId="428EE072">
      <w:pPr>
        <w:autoSpaceDE w:val="0"/>
        <w:autoSpaceDN w:val="0"/>
        <w:adjustRightInd w:val="0"/>
        <w:snapToGrid w:val="0"/>
        <w:spacing w:line="420" w:lineRule="exact"/>
        <w:ind w:firstLine="480"/>
        <w:textAlignment w:val="baseline"/>
        <w:rPr>
          <w:rFonts w:ascii="宋体" w:hAnsi="宋体"/>
          <w:kern w:val="0"/>
          <w:szCs w:val="21"/>
          <w:highlight w:val="none"/>
        </w:rPr>
      </w:pPr>
      <w:r>
        <w:rPr>
          <w:rFonts w:ascii="宋体" w:hAnsi="宋体"/>
          <w:kern w:val="0"/>
          <w:szCs w:val="21"/>
          <w:highlight w:val="none"/>
        </w:rPr>
        <w:t>15.8.1</w:t>
      </w:r>
    </w:p>
    <w:p w14:paraId="2AD472A6">
      <w:pPr>
        <w:autoSpaceDE w:val="0"/>
        <w:autoSpaceDN w:val="0"/>
        <w:adjustRightInd w:val="0"/>
        <w:snapToGrid w:val="0"/>
        <w:spacing w:line="420" w:lineRule="exact"/>
        <w:ind w:firstLine="480"/>
        <w:textAlignment w:val="baseline"/>
        <w:rPr>
          <w:rFonts w:ascii="宋体" w:hAnsi="宋体"/>
          <w:kern w:val="0"/>
          <w:szCs w:val="21"/>
          <w:highlight w:val="none"/>
        </w:rPr>
      </w:pPr>
      <w:r>
        <w:rPr>
          <w:rFonts w:hint="eastAsia" w:ascii="宋体" w:hAnsi="宋体"/>
          <w:kern w:val="0"/>
          <w:szCs w:val="21"/>
          <w:highlight w:val="none"/>
        </w:rPr>
        <w:t xml:space="preserve">⑴ </w:t>
      </w:r>
      <w:r>
        <w:rPr>
          <w:rFonts w:ascii="宋体" w:hAnsi="宋体"/>
          <w:kern w:val="0"/>
          <w:szCs w:val="21"/>
          <w:highlight w:val="none"/>
        </w:rPr>
        <w:t>发包人和承包人组织招标的暂估价项目：</w:t>
      </w:r>
      <w:r>
        <w:rPr>
          <w:rFonts w:hint="eastAsia" w:ascii="宋体" w:hAnsi="宋体"/>
          <w:kern w:val="0"/>
          <w:szCs w:val="21"/>
          <w:highlight w:val="none"/>
          <w:u w:val="single"/>
        </w:rPr>
        <w:t>/</w:t>
      </w:r>
      <w:r>
        <w:rPr>
          <w:rFonts w:ascii="宋体" w:hAnsi="宋体"/>
          <w:kern w:val="0"/>
          <w:szCs w:val="21"/>
          <w:highlight w:val="none"/>
        </w:rPr>
        <w:t>；发包人组织招标的暂估价项目：</w:t>
      </w:r>
      <w:r>
        <w:rPr>
          <w:rFonts w:hint="eastAsia" w:ascii="宋体" w:hAnsi="宋体"/>
          <w:kern w:val="0"/>
          <w:szCs w:val="21"/>
          <w:highlight w:val="none"/>
          <w:u w:val="single"/>
        </w:rPr>
        <w:t>/</w:t>
      </w:r>
      <w:r>
        <w:rPr>
          <w:rFonts w:ascii="宋体" w:hAnsi="宋体"/>
          <w:kern w:val="0"/>
          <w:szCs w:val="21"/>
          <w:highlight w:val="none"/>
        </w:rPr>
        <w:t>。</w:t>
      </w:r>
    </w:p>
    <w:p w14:paraId="1F1DDEE1">
      <w:pPr>
        <w:autoSpaceDE w:val="0"/>
        <w:autoSpaceDN w:val="0"/>
        <w:adjustRightInd w:val="0"/>
        <w:snapToGrid w:val="0"/>
        <w:spacing w:line="420" w:lineRule="exact"/>
        <w:ind w:firstLine="480"/>
        <w:textAlignment w:val="baseline"/>
        <w:rPr>
          <w:rFonts w:ascii="宋体" w:hAnsi="宋体"/>
          <w:kern w:val="0"/>
          <w:szCs w:val="21"/>
          <w:highlight w:val="none"/>
        </w:rPr>
      </w:pPr>
      <w:r>
        <w:rPr>
          <w:rFonts w:hint="eastAsia" w:ascii="宋体" w:hAnsi="宋体"/>
          <w:kern w:val="0"/>
          <w:szCs w:val="21"/>
          <w:highlight w:val="none"/>
        </w:rPr>
        <w:t xml:space="preserve">⑵ </w:t>
      </w:r>
      <w:r>
        <w:rPr>
          <w:rFonts w:ascii="宋体" w:hAnsi="宋体"/>
          <w:kern w:val="0"/>
          <w:szCs w:val="21"/>
          <w:highlight w:val="none"/>
        </w:rPr>
        <w:t>发包人和承包人以招标方式选择暂估价项目供应商或分包人时，双方的权利义务系：</w:t>
      </w:r>
      <w:r>
        <w:rPr>
          <w:rFonts w:hint="eastAsia" w:ascii="宋体" w:hAnsi="宋体"/>
          <w:kern w:val="0"/>
          <w:szCs w:val="21"/>
          <w:highlight w:val="none"/>
          <w:u w:val="single"/>
        </w:rPr>
        <w:t>/</w:t>
      </w:r>
      <w:r>
        <w:rPr>
          <w:rFonts w:ascii="宋体" w:hAnsi="宋体"/>
          <w:kern w:val="0"/>
          <w:szCs w:val="21"/>
          <w:highlight w:val="none"/>
        </w:rPr>
        <w:t>。</w:t>
      </w:r>
    </w:p>
    <w:p w14:paraId="669E7935">
      <w:pPr>
        <w:keepLines/>
        <w:widowControl/>
        <w:autoSpaceDE w:val="0"/>
        <w:autoSpaceDN w:val="0"/>
        <w:adjustRightInd w:val="0"/>
        <w:snapToGrid w:val="0"/>
        <w:spacing w:line="420" w:lineRule="exact"/>
        <w:jc w:val="left"/>
        <w:textAlignment w:val="baseline"/>
        <w:outlineLvl w:val="3"/>
        <w:rPr>
          <w:rFonts w:ascii="宋体" w:hAnsi="宋体"/>
          <w:b/>
          <w:snapToGrid w:val="0"/>
          <w:kern w:val="0"/>
          <w:szCs w:val="21"/>
          <w:highlight w:val="none"/>
        </w:rPr>
      </w:pPr>
      <w:r>
        <w:rPr>
          <w:rFonts w:ascii="宋体" w:hAnsi="宋体"/>
          <w:snapToGrid w:val="0"/>
          <w:kern w:val="0"/>
          <w:szCs w:val="21"/>
          <w:highlight w:val="none"/>
        </w:rPr>
        <w:t>16 价格调整</w:t>
      </w:r>
    </w:p>
    <w:p w14:paraId="58292888">
      <w:pPr>
        <w:keepNext/>
        <w:keepLines/>
        <w:numPr>
          <w:ilvl w:val="4"/>
          <w:numId w:val="0"/>
        </w:numPr>
        <w:tabs>
          <w:tab w:val="left" w:pos="0"/>
        </w:tabs>
        <w:suppressAutoHyphens/>
        <w:snapToGrid w:val="0"/>
        <w:spacing w:line="420" w:lineRule="exact"/>
        <w:outlineLvl w:val="4"/>
        <w:rPr>
          <w:rFonts w:hint="eastAsia" w:ascii="宋体" w:hAnsi="宋体"/>
          <w:snapToGrid w:val="0"/>
          <w:szCs w:val="21"/>
          <w:highlight w:val="none"/>
        </w:rPr>
      </w:pPr>
      <w:r>
        <w:rPr>
          <w:rFonts w:ascii="宋体" w:hAnsi="宋体"/>
          <w:snapToGrid w:val="0"/>
          <w:szCs w:val="21"/>
          <w:highlight w:val="none"/>
        </w:rPr>
        <w:t>16.1 物价波动引起的价格调整</w:t>
      </w:r>
    </w:p>
    <w:p w14:paraId="3F349458">
      <w:pPr>
        <w:autoSpaceDE w:val="0"/>
        <w:autoSpaceDN w:val="0"/>
        <w:adjustRightInd w:val="0"/>
        <w:spacing w:line="420" w:lineRule="exact"/>
        <w:textAlignment w:val="baseline"/>
        <w:rPr>
          <w:rFonts w:hint="eastAsia"/>
          <w:kern w:val="0"/>
          <w:szCs w:val="21"/>
          <w:highlight w:val="none"/>
        </w:rPr>
      </w:pPr>
      <w:r>
        <w:rPr>
          <w:rFonts w:hint="eastAsia"/>
          <w:kern w:val="0"/>
          <w:sz w:val="24"/>
          <w:szCs w:val="20"/>
          <w:highlight w:val="none"/>
        </w:rPr>
        <w:t xml:space="preserve">   </w:t>
      </w:r>
      <w:r>
        <w:rPr>
          <w:rFonts w:hint="eastAsia"/>
          <w:kern w:val="0"/>
          <w:szCs w:val="21"/>
          <w:highlight w:val="none"/>
        </w:rPr>
        <w:t>物价波动引起的价格调整方式：</w:t>
      </w:r>
      <w:r>
        <w:rPr>
          <w:rFonts w:hint="eastAsia"/>
          <w:kern w:val="0"/>
          <w:szCs w:val="21"/>
          <w:highlight w:val="none"/>
          <w:u w:val="single"/>
        </w:rPr>
        <w:t>不调整</w:t>
      </w:r>
      <w:r>
        <w:rPr>
          <w:rFonts w:hint="eastAsia"/>
          <w:kern w:val="0"/>
          <w:szCs w:val="21"/>
          <w:highlight w:val="none"/>
        </w:rPr>
        <w:t>。</w:t>
      </w:r>
    </w:p>
    <w:p w14:paraId="2024293E">
      <w:pPr>
        <w:autoSpaceDE w:val="0"/>
        <w:autoSpaceDN w:val="0"/>
        <w:adjustRightInd w:val="0"/>
        <w:spacing w:line="420" w:lineRule="exact"/>
        <w:textAlignment w:val="baseline"/>
        <w:rPr>
          <w:rFonts w:ascii="宋体" w:hAnsi="宋体"/>
          <w:kern w:val="0"/>
          <w:szCs w:val="21"/>
          <w:highlight w:val="none"/>
        </w:rPr>
      </w:pPr>
      <w:r>
        <w:rPr>
          <w:rFonts w:hint="eastAsia"/>
          <w:kern w:val="0"/>
          <w:szCs w:val="21"/>
          <w:highlight w:val="none"/>
        </w:rPr>
        <w:t xml:space="preserve">  </w:t>
      </w:r>
      <w:r>
        <w:rPr>
          <w:rFonts w:ascii="宋体" w:hAnsi="宋体"/>
          <w:b/>
          <w:snapToGrid w:val="0"/>
          <w:kern w:val="0"/>
          <w:szCs w:val="21"/>
          <w:highlight w:val="none"/>
        </w:rPr>
        <w:t>17 计量与支付</w:t>
      </w:r>
    </w:p>
    <w:p w14:paraId="57916234">
      <w:pPr>
        <w:keepNext/>
        <w:keepLines/>
        <w:numPr>
          <w:ilvl w:val="4"/>
          <w:numId w:val="0"/>
        </w:numPr>
        <w:tabs>
          <w:tab w:val="left" w:pos="0"/>
        </w:tabs>
        <w:suppressAutoHyphens/>
        <w:snapToGrid w:val="0"/>
        <w:spacing w:line="420" w:lineRule="exact"/>
        <w:outlineLvl w:val="4"/>
        <w:rPr>
          <w:rFonts w:ascii="宋体" w:hAnsi="宋体"/>
          <w:b/>
          <w:spacing w:val="20"/>
          <w:szCs w:val="21"/>
          <w:highlight w:val="none"/>
        </w:rPr>
      </w:pPr>
      <w:r>
        <w:rPr>
          <w:rFonts w:ascii="宋体" w:hAnsi="宋体"/>
          <w:snapToGrid w:val="0"/>
          <w:szCs w:val="21"/>
          <w:highlight w:val="none"/>
        </w:rPr>
        <w:t>17.2 预付款</w:t>
      </w:r>
    </w:p>
    <w:p w14:paraId="61F13A6D">
      <w:pPr>
        <w:autoSpaceDE w:val="0"/>
        <w:autoSpaceDN w:val="0"/>
        <w:adjustRightInd w:val="0"/>
        <w:spacing w:line="420" w:lineRule="exact"/>
        <w:ind w:firstLine="480"/>
        <w:textAlignment w:val="baseline"/>
        <w:rPr>
          <w:rFonts w:ascii="宋体" w:hAnsi="宋体"/>
          <w:kern w:val="0"/>
          <w:szCs w:val="21"/>
          <w:highlight w:val="none"/>
        </w:rPr>
      </w:pPr>
      <w:r>
        <w:rPr>
          <w:rFonts w:ascii="宋体" w:hAnsi="宋体"/>
          <w:b/>
          <w:kern w:val="0"/>
          <w:szCs w:val="21"/>
          <w:highlight w:val="none"/>
        </w:rPr>
        <w:t>17.2.1</w:t>
      </w:r>
      <w:r>
        <w:rPr>
          <w:rFonts w:ascii="宋体" w:hAnsi="宋体"/>
          <w:kern w:val="0"/>
          <w:szCs w:val="21"/>
          <w:highlight w:val="none"/>
        </w:rPr>
        <w:t xml:space="preserve"> 预付款：</w:t>
      </w:r>
    </w:p>
    <w:p w14:paraId="0E1013F6">
      <w:pPr>
        <w:autoSpaceDE w:val="0"/>
        <w:autoSpaceDN w:val="0"/>
        <w:adjustRightInd w:val="0"/>
        <w:spacing w:line="420" w:lineRule="exact"/>
        <w:ind w:firstLine="480"/>
        <w:textAlignment w:val="baseline"/>
        <w:rPr>
          <w:rFonts w:hint="eastAsia" w:ascii="宋体" w:hAnsi="宋体"/>
          <w:kern w:val="0"/>
          <w:szCs w:val="21"/>
          <w:highlight w:val="none"/>
        </w:rPr>
      </w:pPr>
      <w:r>
        <w:rPr>
          <w:rFonts w:ascii="宋体" w:hAnsi="宋体"/>
          <w:kern w:val="0"/>
          <w:szCs w:val="21"/>
          <w:highlight w:val="none"/>
        </w:rPr>
        <w:t>⑴ 工程预付款</w:t>
      </w:r>
      <w:r>
        <w:rPr>
          <w:rFonts w:hint="eastAsia" w:ascii="宋体" w:hAnsi="宋体"/>
          <w:kern w:val="0"/>
          <w:szCs w:val="21"/>
          <w:highlight w:val="none"/>
        </w:rPr>
        <w:t>：</w:t>
      </w:r>
    </w:p>
    <w:p w14:paraId="4EDC5561">
      <w:pPr>
        <w:autoSpaceDE w:val="0"/>
        <w:autoSpaceDN w:val="0"/>
        <w:adjustRightInd w:val="0"/>
        <w:spacing w:line="420" w:lineRule="exact"/>
        <w:ind w:firstLine="480"/>
        <w:textAlignment w:val="baseline"/>
        <w:rPr>
          <w:rFonts w:ascii="宋体" w:hAnsi="宋体"/>
          <w:kern w:val="0"/>
          <w:szCs w:val="21"/>
          <w:highlight w:val="none"/>
          <w:shd w:val="clear" w:color="auto" w:fill="9BBB59"/>
        </w:rPr>
      </w:pPr>
      <w:r>
        <w:rPr>
          <w:rFonts w:hint="eastAsia" w:ascii="宋体" w:hAnsi="宋体"/>
          <w:kern w:val="0"/>
          <w:szCs w:val="21"/>
          <w:highlight w:val="none"/>
        </w:rPr>
        <w:t>⑴ 工程预付款的总金额为签约合同价的</w:t>
      </w:r>
      <w:r>
        <w:rPr>
          <w:rFonts w:hint="eastAsia" w:ascii="宋体" w:hAnsi="宋体"/>
          <w:kern w:val="0"/>
          <w:szCs w:val="21"/>
          <w:highlight w:val="none"/>
          <w:u w:val="single"/>
        </w:rPr>
        <w:t xml:space="preserve"> 10</w:t>
      </w:r>
      <w:r>
        <w:rPr>
          <w:rFonts w:hint="eastAsia" w:ascii="宋体" w:hAnsi="宋体"/>
          <w:kern w:val="0"/>
          <w:szCs w:val="21"/>
          <w:highlight w:val="none"/>
        </w:rPr>
        <w:t xml:space="preserve"> %，付款时间需待承包人主要施工设备进入工地后，由承包人提出书面申请，经监理人核实后出具付款证书报送发包人批准后</w:t>
      </w:r>
      <w:r>
        <w:rPr>
          <w:rFonts w:hint="eastAsia" w:ascii="宋体" w:hAnsi="宋体"/>
          <w:kern w:val="0"/>
          <w:szCs w:val="21"/>
          <w:highlight w:val="none"/>
          <w:lang w:val="en-US" w:eastAsia="zh-CN"/>
        </w:rPr>
        <w:t>7个工作日</w:t>
      </w:r>
      <w:r>
        <w:rPr>
          <w:rFonts w:hint="eastAsia" w:ascii="宋体" w:hAnsi="宋体"/>
          <w:kern w:val="0"/>
          <w:szCs w:val="21"/>
          <w:highlight w:val="none"/>
        </w:rPr>
        <w:t>内予以支付。</w:t>
      </w:r>
    </w:p>
    <w:p w14:paraId="7F5C36E8">
      <w:pPr>
        <w:autoSpaceDE w:val="0"/>
        <w:autoSpaceDN w:val="0"/>
        <w:adjustRightInd w:val="0"/>
        <w:spacing w:line="420" w:lineRule="exact"/>
        <w:ind w:firstLine="480"/>
        <w:textAlignment w:val="baseline"/>
        <w:rPr>
          <w:rFonts w:ascii="宋体" w:hAnsi="宋体"/>
          <w:kern w:val="0"/>
          <w:szCs w:val="21"/>
          <w:highlight w:val="none"/>
        </w:rPr>
      </w:pPr>
      <w:r>
        <w:rPr>
          <w:rFonts w:hint="eastAsia" w:ascii="宋体" w:hAnsi="宋体"/>
          <w:kern w:val="0"/>
          <w:szCs w:val="21"/>
          <w:highlight w:val="none"/>
        </w:rPr>
        <w:t>承包人不得将该预付款用于与本工程无关的支出，监理人有权监督承包人对该项费用的使用，如经查实承包人滥用工程预付款，发包人有权将该款收回。</w:t>
      </w:r>
    </w:p>
    <w:p w14:paraId="1D1577A1">
      <w:pPr>
        <w:autoSpaceDE w:val="0"/>
        <w:autoSpaceDN w:val="0"/>
        <w:adjustRightInd w:val="0"/>
        <w:spacing w:line="420" w:lineRule="exact"/>
        <w:ind w:firstLine="480"/>
        <w:textAlignment w:val="baseline"/>
        <w:rPr>
          <w:rFonts w:ascii="宋体" w:hAnsi="宋体"/>
          <w:kern w:val="0"/>
          <w:szCs w:val="21"/>
          <w:highlight w:val="none"/>
        </w:rPr>
      </w:pPr>
      <w:r>
        <w:rPr>
          <w:rFonts w:ascii="宋体" w:hAnsi="宋体" w:cs="宋体"/>
          <w:kern w:val="0"/>
          <w:szCs w:val="21"/>
          <w:highlight w:val="none"/>
        </w:rPr>
        <w:t>⑵</w:t>
      </w:r>
      <w:r>
        <w:rPr>
          <w:rFonts w:ascii="宋体" w:hAnsi="宋体"/>
          <w:kern w:val="0"/>
          <w:szCs w:val="21"/>
          <w:highlight w:val="none"/>
        </w:rPr>
        <w:t xml:space="preserve"> 工程材料预付款的额度和预付办法约定为：</w:t>
      </w:r>
      <w:r>
        <w:rPr>
          <w:rFonts w:ascii="宋体" w:hAnsi="宋体"/>
          <w:kern w:val="0"/>
          <w:szCs w:val="21"/>
          <w:highlight w:val="none"/>
          <w:u w:val="single"/>
        </w:rPr>
        <w:t xml:space="preserve">   /   </w:t>
      </w:r>
      <w:r>
        <w:rPr>
          <w:rFonts w:ascii="宋体" w:hAnsi="宋体"/>
          <w:kern w:val="0"/>
          <w:szCs w:val="21"/>
          <w:highlight w:val="none"/>
        </w:rPr>
        <w:t>。</w:t>
      </w:r>
    </w:p>
    <w:p w14:paraId="55DA1045">
      <w:pPr>
        <w:autoSpaceDE w:val="0"/>
        <w:autoSpaceDN w:val="0"/>
        <w:adjustRightInd w:val="0"/>
        <w:spacing w:line="420" w:lineRule="exact"/>
        <w:ind w:firstLine="480"/>
        <w:textAlignment w:val="baseline"/>
        <w:rPr>
          <w:rFonts w:ascii="宋体" w:hAnsi="宋体"/>
          <w:kern w:val="0"/>
          <w:szCs w:val="21"/>
          <w:highlight w:val="none"/>
        </w:rPr>
      </w:pPr>
      <w:r>
        <w:rPr>
          <w:rFonts w:ascii="宋体" w:hAnsi="宋体"/>
          <w:b/>
          <w:kern w:val="0"/>
          <w:szCs w:val="21"/>
          <w:highlight w:val="none"/>
        </w:rPr>
        <w:t>17.2.3</w:t>
      </w:r>
      <w:r>
        <w:rPr>
          <w:rFonts w:ascii="宋体" w:hAnsi="宋体"/>
          <w:kern w:val="0"/>
          <w:szCs w:val="21"/>
          <w:highlight w:val="none"/>
        </w:rPr>
        <w:t xml:space="preserve"> 预付款的扣回与还清</w:t>
      </w:r>
    </w:p>
    <w:p w14:paraId="7B55A34B">
      <w:pPr>
        <w:autoSpaceDE w:val="0"/>
        <w:autoSpaceDN w:val="0"/>
        <w:adjustRightInd w:val="0"/>
        <w:spacing w:line="420" w:lineRule="exact"/>
        <w:ind w:firstLine="480"/>
        <w:textAlignment w:val="baseline"/>
        <w:rPr>
          <w:rFonts w:hint="eastAsia" w:ascii="宋体" w:hAnsi="宋体"/>
          <w:kern w:val="0"/>
          <w:szCs w:val="21"/>
          <w:highlight w:val="none"/>
        </w:rPr>
      </w:pPr>
      <w:r>
        <w:rPr>
          <w:rFonts w:ascii="宋体" w:hAnsi="宋体" w:cs="宋体"/>
          <w:kern w:val="0"/>
          <w:szCs w:val="21"/>
          <w:highlight w:val="none"/>
        </w:rPr>
        <w:t>⑴</w:t>
      </w:r>
      <w:r>
        <w:rPr>
          <w:rFonts w:hint="eastAsia" w:ascii="宋体" w:hAnsi="宋体"/>
          <w:kern w:val="0"/>
          <w:szCs w:val="21"/>
          <w:highlight w:val="none"/>
        </w:rPr>
        <w:t>工程预付款</w:t>
      </w:r>
      <w:r>
        <w:rPr>
          <w:rFonts w:ascii="宋体" w:hAnsi="宋体"/>
          <w:kern w:val="0"/>
          <w:szCs w:val="21"/>
          <w:highlight w:val="none"/>
        </w:rPr>
        <w:t>的扣回</w:t>
      </w:r>
      <w:r>
        <w:rPr>
          <w:rFonts w:hint="eastAsia" w:ascii="宋体" w:hAnsi="宋体"/>
          <w:kern w:val="0"/>
          <w:szCs w:val="21"/>
          <w:highlight w:val="none"/>
        </w:rPr>
        <w:t>约定：</w:t>
      </w:r>
      <w:r>
        <w:rPr>
          <w:rFonts w:hint="eastAsia" w:ascii="宋体" w:hAnsi="宋体"/>
          <w:kern w:val="0"/>
          <w:szCs w:val="21"/>
          <w:highlight w:val="none"/>
          <w:u w:val="single"/>
        </w:rPr>
        <w:t>不扣回</w:t>
      </w:r>
      <w:r>
        <w:rPr>
          <w:rFonts w:hint="eastAsia" w:ascii="宋体" w:hAnsi="宋体"/>
          <w:kern w:val="0"/>
          <w:szCs w:val="21"/>
          <w:highlight w:val="none"/>
        </w:rPr>
        <w:t>。</w:t>
      </w:r>
    </w:p>
    <w:p w14:paraId="23A265C0">
      <w:pPr>
        <w:autoSpaceDE w:val="0"/>
        <w:autoSpaceDN w:val="0"/>
        <w:adjustRightInd w:val="0"/>
        <w:spacing w:line="420" w:lineRule="exact"/>
        <w:ind w:firstLine="480"/>
        <w:textAlignment w:val="baseline"/>
        <w:rPr>
          <w:rFonts w:ascii="宋体" w:hAnsi="宋体"/>
          <w:kern w:val="0"/>
          <w:szCs w:val="21"/>
          <w:highlight w:val="none"/>
        </w:rPr>
      </w:pPr>
      <w:r>
        <w:rPr>
          <w:rFonts w:ascii="宋体" w:hAnsi="宋体"/>
          <w:kern w:val="0"/>
          <w:szCs w:val="21"/>
          <w:highlight w:val="none"/>
        </w:rPr>
        <w:t>⑵ 工程材料预付款的扣回与还清约定为：</w:t>
      </w:r>
      <w:r>
        <w:rPr>
          <w:rFonts w:hint="eastAsia" w:ascii="宋体" w:hAnsi="宋体"/>
          <w:kern w:val="0"/>
          <w:szCs w:val="21"/>
          <w:highlight w:val="none"/>
          <w:u w:val="single"/>
        </w:rPr>
        <w:t>/</w:t>
      </w:r>
      <w:r>
        <w:rPr>
          <w:rFonts w:ascii="宋体" w:hAnsi="宋体"/>
          <w:kern w:val="0"/>
          <w:szCs w:val="21"/>
          <w:highlight w:val="none"/>
        </w:rPr>
        <w:t>。</w:t>
      </w:r>
    </w:p>
    <w:p w14:paraId="4D12CB3C">
      <w:pPr>
        <w:keepNext/>
        <w:keepLines/>
        <w:numPr>
          <w:ilvl w:val="4"/>
          <w:numId w:val="0"/>
        </w:numPr>
        <w:tabs>
          <w:tab w:val="left" w:pos="0"/>
        </w:tabs>
        <w:suppressAutoHyphens/>
        <w:snapToGrid w:val="0"/>
        <w:spacing w:line="420" w:lineRule="exact"/>
        <w:outlineLvl w:val="4"/>
        <w:rPr>
          <w:snapToGrid w:val="0"/>
          <w:szCs w:val="20"/>
          <w:highlight w:val="none"/>
        </w:rPr>
      </w:pPr>
      <w:r>
        <w:rPr>
          <w:rFonts w:ascii="宋体" w:hAnsi="宋体"/>
          <w:snapToGrid w:val="0"/>
          <w:szCs w:val="21"/>
          <w:highlight w:val="none"/>
        </w:rPr>
        <w:t>17.3 工程进度付款</w:t>
      </w:r>
    </w:p>
    <w:p w14:paraId="7AC0F52F">
      <w:pPr>
        <w:autoSpaceDE w:val="0"/>
        <w:autoSpaceDN w:val="0"/>
        <w:adjustRightInd w:val="0"/>
        <w:spacing w:line="420" w:lineRule="exact"/>
        <w:ind w:firstLine="480"/>
        <w:textAlignment w:val="baseline"/>
        <w:rPr>
          <w:rFonts w:hint="eastAsia" w:ascii="宋体" w:hAnsi="宋体"/>
          <w:kern w:val="0"/>
          <w:szCs w:val="21"/>
          <w:highlight w:val="none"/>
        </w:rPr>
      </w:pPr>
      <w:r>
        <w:rPr>
          <w:rFonts w:hint="eastAsia" w:ascii="宋体" w:hAnsi="宋体"/>
          <w:kern w:val="0"/>
          <w:szCs w:val="21"/>
          <w:highlight w:val="none"/>
        </w:rPr>
        <w:t>17.3.2承包人在每个付款周期末向监理人提交进度付款申请单的份数：</w:t>
      </w:r>
      <w:r>
        <w:rPr>
          <w:rFonts w:hint="eastAsia" w:ascii="宋体" w:hAnsi="宋体"/>
          <w:kern w:val="0"/>
          <w:szCs w:val="21"/>
          <w:highlight w:val="none"/>
          <w:u w:val="single"/>
        </w:rPr>
        <w:t xml:space="preserve">  5 </w:t>
      </w:r>
      <w:r>
        <w:rPr>
          <w:rFonts w:hint="eastAsia" w:ascii="宋体" w:hAnsi="宋体"/>
          <w:kern w:val="0"/>
          <w:szCs w:val="21"/>
          <w:highlight w:val="none"/>
        </w:rPr>
        <w:t>份。</w:t>
      </w:r>
    </w:p>
    <w:p w14:paraId="13EDF579">
      <w:pPr>
        <w:autoSpaceDE w:val="0"/>
        <w:autoSpaceDN w:val="0"/>
        <w:adjustRightInd w:val="0"/>
        <w:spacing w:line="420" w:lineRule="exact"/>
        <w:ind w:firstLine="480"/>
        <w:textAlignment w:val="baseline"/>
        <w:rPr>
          <w:rFonts w:hint="eastAsia" w:ascii="宋体" w:hAnsi="宋体"/>
          <w:kern w:val="0"/>
          <w:szCs w:val="21"/>
          <w:highlight w:val="none"/>
        </w:rPr>
      </w:pPr>
      <w:r>
        <w:rPr>
          <w:rFonts w:hint="eastAsia" w:ascii="宋体" w:hAnsi="宋体"/>
          <w:kern w:val="0"/>
          <w:szCs w:val="21"/>
          <w:highlight w:val="none"/>
        </w:rPr>
        <w:t>17.3.3进度付款证书和支付时间</w:t>
      </w:r>
    </w:p>
    <w:p w14:paraId="14973DA6">
      <w:pPr>
        <w:autoSpaceDE w:val="0"/>
        <w:autoSpaceDN w:val="0"/>
        <w:adjustRightInd w:val="0"/>
        <w:snapToGrid w:val="0"/>
        <w:spacing w:line="420" w:lineRule="exact"/>
        <w:ind w:firstLine="420" w:firstLineChars="200"/>
        <w:textAlignment w:val="baseline"/>
        <w:rPr>
          <w:rFonts w:ascii="宋体" w:hAnsi="宋体" w:cs="宋体"/>
          <w:kern w:val="0"/>
          <w:szCs w:val="21"/>
          <w:highlight w:val="none"/>
          <w:u w:val="single"/>
        </w:rPr>
      </w:pPr>
      <w:r>
        <w:rPr>
          <w:rFonts w:hint="eastAsia" w:ascii="宋体" w:hAnsi="宋体" w:cs="宋体"/>
          <w:kern w:val="0"/>
          <w:szCs w:val="21"/>
          <w:highlight w:val="none"/>
          <w:u w:val="single"/>
        </w:rPr>
        <w:t>（1）细化为：</w:t>
      </w:r>
    </w:p>
    <w:p w14:paraId="03197A37">
      <w:pPr>
        <w:autoSpaceDE w:val="0"/>
        <w:autoSpaceDN w:val="0"/>
        <w:adjustRightInd w:val="0"/>
        <w:snapToGrid w:val="0"/>
        <w:spacing w:line="420" w:lineRule="exact"/>
        <w:ind w:firstLine="420" w:firstLineChars="200"/>
        <w:textAlignment w:val="baseline"/>
        <w:rPr>
          <w:rFonts w:ascii="宋体" w:hAnsi="宋体" w:cs="宋体"/>
          <w:kern w:val="0"/>
          <w:szCs w:val="21"/>
          <w:highlight w:val="none"/>
          <w:u w:val="single"/>
        </w:rPr>
      </w:pPr>
      <w:r>
        <w:rPr>
          <w:rFonts w:hint="eastAsia" w:ascii="宋体" w:hAnsi="宋体" w:cs="宋体"/>
          <w:kern w:val="0"/>
          <w:szCs w:val="21"/>
          <w:highlight w:val="none"/>
          <w:u w:val="single"/>
        </w:rPr>
        <w:t>工程进度款</w:t>
      </w:r>
      <w:r>
        <w:rPr>
          <w:rFonts w:hint="eastAsia" w:ascii="宋体" w:hAnsi="宋体" w:cs="宋体"/>
          <w:kern w:val="0"/>
          <w:szCs w:val="21"/>
          <w:highlight w:val="none"/>
          <w:u w:val="single"/>
          <w:lang w:val="en-US" w:eastAsia="zh-CN"/>
        </w:rPr>
        <w:t>在</w:t>
      </w:r>
      <w:r>
        <w:rPr>
          <w:rFonts w:hint="eastAsia" w:ascii="宋体" w:hAnsi="宋体" w:cs="宋体"/>
          <w:kern w:val="0"/>
          <w:szCs w:val="21"/>
          <w:highlight w:val="none"/>
          <w:u w:val="single"/>
        </w:rPr>
        <w:t>完工后支付至签约合同价的85%（含预付款），待工程完工验收合格</w:t>
      </w:r>
      <w:r>
        <w:rPr>
          <w:rFonts w:hint="eastAsia" w:ascii="宋体" w:hAnsi="宋体" w:cs="宋体"/>
          <w:kern w:val="0"/>
          <w:szCs w:val="21"/>
          <w:highlight w:val="none"/>
          <w:u w:val="single"/>
          <w:shd w:val="clear" w:color="auto" w:fill="FFFFFF"/>
        </w:rPr>
        <w:t>且完成结算后，</w:t>
      </w:r>
      <w:r>
        <w:rPr>
          <w:rFonts w:hint="eastAsia" w:ascii="宋体" w:hAnsi="宋体" w:cs="宋体"/>
          <w:kern w:val="0"/>
          <w:szCs w:val="21"/>
          <w:highlight w:val="none"/>
          <w:u w:val="single"/>
        </w:rPr>
        <w:t>除按17.4.1项规定扣留质量保证金外，付清余款。</w:t>
      </w:r>
    </w:p>
    <w:p w14:paraId="08C95D21">
      <w:pPr>
        <w:autoSpaceDE w:val="0"/>
        <w:autoSpaceDN w:val="0"/>
        <w:adjustRightInd w:val="0"/>
        <w:snapToGrid w:val="0"/>
        <w:spacing w:line="420" w:lineRule="exact"/>
        <w:ind w:firstLine="420" w:firstLineChars="200"/>
        <w:textAlignment w:val="baseline"/>
        <w:rPr>
          <w:rFonts w:ascii="宋体" w:hAnsi="宋体" w:cs="宋体"/>
          <w:kern w:val="0"/>
          <w:szCs w:val="21"/>
          <w:highlight w:val="none"/>
          <w:u w:val="single"/>
        </w:rPr>
      </w:pPr>
      <w:r>
        <w:rPr>
          <w:rFonts w:hint="eastAsia" w:ascii="宋体" w:hAnsi="宋体" w:cs="宋体"/>
          <w:kern w:val="0"/>
          <w:szCs w:val="21"/>
          <w:highlight w:val="none"/>
          <w:u w:val="single"/>
        </w:rPr>
        <w:t>（2）本款中规定的逾期付款违约金为按</w:t>
      </w:r>
      <w:r>
        <w:rPr>
          <w:rFonts w:hint="eastAsia" w:ascii="宋体" w:hAnsi="宋体" w:cs="宋体"/>
          <w:kern w:val="0"/>
          <w:szCs w:val="21"/>
          <w:highlight w:val="none"/>
          <w:u w:val="single"/>
          <w:lang w:eastAsia="zh-CN"/>
        </w:rPr>
        <w:t>同期全国银行间同业拆借中心公布的贷款市场报价利率</w:t>
      </w:r>
      <w:r>
        <w:rPr>
          <w:rFonts w:hint="eastAsia" w:ascii="宋体" w:hAnsi="宋体" w:cs="宋体"/>
          <w:kern w:val="0"/>
          <w:szCs w:val="21"/>
          <w:highlight w:val="none"/>
          <w:u w:val="single"/>
        </w:rPr>
        <w:t>计算的逾期付款金额的利息。</w:t>
      </w:r>
    </w:p>
    <w:p w14:paraId="5B10CFA4">
      <w:pPr>
        <w:autoSpaceDE w:val="0"/>
        <w:autoSpaceDN w:val="0"/>
        <w:adjustRightInd w:val="0"/>
        <w:snapToGrid w:val="0"/>
        <w:spacing w:line="420" w:lineRule="exact"/>
        <w:ind w:firstLine="420" w:firstLineChars="200"/>
        <w:textAlignment w:val="baseline"/>
        <w:rPr>
          <w:rFonts w:hint="eastAsia" w:ascii="宋体" w:hAnsi="宋体" w:cs="宋体"/>
          <w:kern w:val="0"/>
          <w:szCs w:val="21"/>
          <w:highlight w:val="none"/>
          <w:u w:val="single"/>
        </w:rPr>
      </w:pPr>
      <w:bookmarkStart w:id="52" w:name="_Toc42857899"/>
      <w:bookmarkStart w:id="53" w:name="_Toc42857986"/>
      <w:r>
        <w:rPr>
          <w:rFonts w:hint="eastAsia" w:ascii="宋体" w:hAnsi="宋体" w:cs="宋体"/>
          <w:kern w:val="0"/>
          <w:szCs w:val="21"/>
          <w:highlight w:val="none"/>
          <w:u w:val="single"/>
        </w:rPr>
        <w:t>（3）承包人收取每期工程款前应向发包人开具正式专用发票。</w:t>
      </w:r>
      <w:bookmarkEnd w:id="52"/>
      <w:bookmarkEnd w:id="53"/>
    </w:p>
    <w:p w14:paraId="29706A79">
      <w:pPr>
        <w:autoSpaceDE w:val="0"/>
        <w:autoSpaceDN w:val="0"/>
        <w:adjustRightInd w:val="0"/>
        <w:snapToGrid w:val="0"/>
        <w:spacing w:line="420" w:lineRule="exact"/>
        <w:ind w:firstLine="420" w:firstLineChars="200"/>
        <w:textAlignment w:val="baseline"/>
        <w:rPr>
          <w:rFonts w:ascii="宋体" w:hAnsi="宋体" w:cs="宋体"/>
          <w:kern w:val="0"/>
          <w:szCs w:val="21"/>
          <w:highlight w:val="none"/>
          <w:u w:val="single"/>
        </w:rPr>
      </w:pPr>
      <w:r>
        <w:rPr>
          <w:rFonts w:hint="eastAsia" w:ascii="宋体" w:hAnsi="宋体" w:cs="宋体"/>
          <w:kern w:val="0"/>
          <w:szCs w:val="21"/>
          <w:highlight w:val="none"/>
          <w:u w:val="single"/>
        </w:rPr>
        <w:t>（4）发包人向承包人支付的所有工程款均须汇入协议书中指定的承包人银行账户。</w:t>
      </w:r>
    </w:p>
    <w:p w14:paraId="23A6DB65">
      <w:pPr>
        <w:keepNext/>
        <w:keepLines/>
        <w:numPr>
          <w:ilvl w:val="4"/>
          <w:numId w:val="0"/>
        </w:numPr>
        <w:tabs>
          <w:tab w:val="left" w:pos="0"/>
        </w:tabs>
        <w:suppressAutoHyphens/>
        <w:snapToGrid w:val="0"/>
        <w:spacing w:line="420" w:lineRule="exact"/>
        <w:outlineLvl w:val="4"/>
        <w:rPr>
          <w:snapToGrid w:val="0"/>
          <w:szCs w:val="20"/>
          <w:highlight w:val="none"/>
        </w:rPr>
      </w:pPr>
      <w:r>
        <w:rPr>
          <w:rFonts w:ascii="宋体" w:hAnsi="宋体"/>
          <w:snapToGrid w:val="0"/>
          <w:szCs w:val="21"/>
          <w:highlight w:val="none"/>
        </w:rPr>
        <w:t>17.4 质量保证金</w:t>
      </w:r>
    </w:p>
    <w:p w14:paraId="24F686EC">
      <w:pPr>
        <w:autoSpaceDE w:val="0"/>
        <w:autoSpaceDN w:val="0"/>
        <w:adjustRightInd w:val="0"/>
        <w:snapToGrid w:val="0"/>
        <w:spacing w:line="420" w:lineRule="exact"/>
        <w:ind w:firstLine="480"/>
        <w:textAlignment w:val="baseline"/>
        <w:rPr>
          <w:rFonts w:ascii="宋体" w:hAnsi="宋体"/>
          <w:kern w:val="0"/>
          <w:szCs w:val="21"/>
          <w:highlight w:val="none"/>
        </w:rPr>
      </w:pPr>
      <w:r>
        <w:rPr>
          <w:rFonts w:ascii="宋体" w:hAnsi="宋体"/>
          <w:kern w:val="0"/>
          <w:szCs w:val="21"/>
          <w:highlight w:val="none"/>
        </w:rPr>
        <w:t>17.4.1</w:t>
      </w:r>
      <w:r>
        <w:rPr>
          <w:rFonts w:hint="eastAsia" w:ascii="宋体" w:hAnsi="宋体" w:cs="宋体"/>
          <w:kern w:val="0"/>
          <w:szCs w:val="21"/>
          <w:highlight w:val="none"/>
        </w:rPr>
        <w:t>质量保证金总额为完工结算价款总额的</w:t>
      </w:r>
      <w:r>
        <w:rPr>
          <w:rFonts w:hint="eastAsia" w:ascii="宋体" w:hAnsi="宋体" w:cs="宋体"/>
          <w:kern w:val="0"/>
          <w:szCs w:val="21"/>
          <w:highlight w:val="none"/>
          <w:u w:val="single"/>
        </w:rPr>
        <w:t xml:space="preserve">  </w:t>
      </w:r>
      <w:r>
        <w:rPr>
          <w:rFonts w:ascii="宋体" w:hAnsi="宋体" w:cs="宋体"/>
          <w:kern w:val="0"/>
          <w:szCs w:val="21"/>
          <w:highlight w:val="none"/>
          <w:u w:val="single"/>
        </w:rPr>
        <w:t>1.5</w:t>
      </w:r>
      <w:r>
        <w:rPr>
          <w:rFonts w:hint="eastAsia" w:ascii="宋体" w:hAnsi="宋体" w:cs="宋体"/>
          <w:kern w:val="0"/>
          <w:szCs w:val="21"/>
          <w:highlight w:val="none"/>
          <w:u w:val="single"/>
        </w:rPr>
        <w:t xml:space="preserve">  </w:t>
      </w:r>
      <w:r>
        <w:rPr>
          <w:rFonts w:hint="eastAsia" w:ascii="宋体" w:hAnsi="宋体" w:cs="宋体"/>
          <w:kern w:val="0"/>
          <w:szCs w:val="21"/>
          <w:highlight w:val="none"/>
        </w:rPr>
        <w:t>%</w:t>
      </w:r>
      <w:r>
        <w:rPr>
          <w:rFonts w:hint="eastAsia" w:ascii="宋体" w:hAnsi="宋体" w:cs="宋体"/>
          <w:kern w:val="0"/>
          <w:szCs w:val="21"/>
          <w:highlight w:val="none"/>
          <w:lang w:eastAsia="zh-CN"/>
        </w:rPr>
        <w:t>，</w:t>
      </w:r>
      <w:r>
        <w:rPr>
          <w:rFonts w:hint="eastAsia" w:ascii="宋体" w:hAnsi="宋体" w:eastAsia="宋体" w:cs="宋体"/>
          <w:kern w:val="0"/>
          <w:szCs w:val="21"/>
          <w:highlight w:val="none"/>
        </w:rPr>
        <w:t>缺陷责任期（工程质量保修期）满后30个工作日内，发包人应向承包人颁发工程质量保修责任终止证书，并退还剩余的质量保证金，但保修责任范围内的质量缺陷未处理完成的应除外。</w:t>
      </w:r>
    </w:p>
    <w:p w14:paraId="71652113">
      <w:pPr>
        <w:keepNext/>
        <w:keepLines/>
        <w:numPr>
          <w:ilvl w:val="4"/>
          <w:numId w:val="0"/>
        </w:numPr>
        <w:tabs>
          <w:tab w:val="left" w:pos="0"/>
        </w:tabs>
        <w:suppressAutoHyphens/>
        <w:snapToGrid w:val="0"/>
        <w:spacing w:line="420" w:lineRule="exact"/>
        <w:outlineLvl w:val="4"/>
        <w:rPr>
          <w:rFonts w:ascii="宋体" w:hAnsi="宋体"/>
          <w:b/>
          <w:spacing w:val="20"/>
          <w:szCs w:val="21"/>
          <w:highlight w:val="none"/>
        </w:rPr>
      </w:pPr>
      <w:r>
        <w:rPr>
          <w:rFonts w:ascii="宋体" w:hAnsi="宋体"/>
          <w:snapToGrid w:val="0"/>
          <w:szCs w:val="21"/>
          <w:highlight w:val="none"/>
        </w:rPr>
        <w:t>17.5 竣工（完工）结算</w:t>
      </w:r>
    </w:p>
    <w:p w14:paraId="747E474C">
      <w:pPr>
        <w:autoSpaceDE w:val="0"/>
        <w:autoSpaceDN w:val="0"/>
        <w:adjustRightInd w:val="0"/>
        <w:snapToGrid w:val="0"/>
        <w:spacing w:line="420" w:lineRule="exact"/>
        <w:ind w:firstLine="480"/>
        <w:textAlignment w:val="baseline"/>
        <w:rPr>
          <w:rFonts w:ascii="宋体" w:hAnsi="宋体"/>
          <w:kern w:val="0"/>
          <w:szCs w:val="21"/>
          <w:highlight w:val="none"/>
        </w:rPr>
      </w:pPr>
      <w:r>
        <w:rPr>
          <w:rFonts w:ascii="宋体" w:hAnsi="宋体"/>
          <w:kern w:val="0"/>
          <w:szCs w:val="21"/>
          <w:highlight w:val="none"/>
        </w:rPr>
        <w:t>17.5.1 竣工（完工）付款申请单</w:t>
      </w:r>
    </w:p>
    <w:p w14:paraId="0685949A">
      <w:pPr>
        <w:autoSpaceDE w:val="0"/>
        <w:autoSpaceDN w:val="0"/>
        <w:adjustRightInd w:val="0"/>
        <w:snapToGrid w:val="0"/>
        <w:spacing w:line="420" w:lineRule="exact"/>
        <w:ind w:firstLine="480"/>
        <w:textAlignment w:val="baseline"/>
        <w:rPr>
          <w:rFonts w:ascii="宋体" w:hAnsi="宋体"/>
          <w:kern w:val="0"/>
          <w:szCs w:val="21"/>
          <w:highlight w:val="none"/>
        </w:rPr>
      </w:pPr>
      <w:r>
        <w:rPr>
          <w:rFonts w:hint="eastAsia" w:ascii="宋体" w:hAnsi="宋体"/>
          <w:kern w:val="0"/>
          <w:szCs w:val="21"/>
          <w:highlight w:val="none"/>
        </w:rPr>
        <w:t xml:space="preserve">⑴ </w:t>
      </w:r>
      <w:r>
        <w:rPr>
          <w:rFonts w:ascii="宋体" w:hAnsi="宋体"/>
          <w:kern w:val="0"/>
          <w:szCs w:val="21"/>
          <w:highlight w:val="none"/>
        </w:rPr>
        <w:t>承包人应提交完工付款申请单一式</w:t>
      </w:r>
      <w:r>
        <w:rPr>
          <w:rFonts w:hint="eastAsia" w:ascii="宋体" w:hAnsi="宋体"/>
          <w:kern w:val="0"/>
          <w:szCs w:val="21"/>
          <w:highlight w:val="none"/>
          <w:u w:val="single"/>
        </w:rPr>
        <w:t xml:space="preserve"> 7 </w:t>
      </w:r>
      <w:r>
        <w:rPr>
          <w:rFonts w:ascii="宋体" w:hAnsi="宋体"/>
          <w:kern w:val="0"/>
          <w:szCs w:val="21"/>
          <w:highlight w:val="none"/>
        </w:rPr>
        <w:t>份。</w:t>
      </w:r>
    </w:p>
    <w:p w14:paraId="28F65DB8">
      <w:pPr>
        <w:autoSpaceDE w:val="0"/>
        <w:autoSpaceDN w:val="0"/>
        <w:adjustRightInd w:val="0"/>
        <w:snapToGrid w:val="0"/>
        <w:spacing w:line="420" w:lineRule="exact"/>
        <w:ind w:firstLine="480"/>
        <w:textAlignment w:val="baseline"/>
        <w:rPr>
          <w:rFonts w:ascii="宋体" w:hAnsi="宋体"/>
          <w:kern w:val="0"/>
          <w:szCs w:val="21"/>
          <w:highlight w:val="none"/>
        </w:rPr>
      </w:pPr>
      <w:r>
        <w:rPr>
          <w:rFonts w:hint="eastAsia" w:ascii="宋体" w:hAnsi="宋体"/>
          <w:kern w:val="0"/>
          <w:szCs w:val="21"/>
          <w:highlight w:val="none"/>
        </w:rPr>
        <w:t>本款增加：</w:t>
      </w:r>
    </w:p>
    <w:p w14:paraId="6B68D681">
      <w:pPr>
        <w:suppressAutoHyphens/>
        <w:autoSpaceDE w:val="0"/>
        <w:spacing w:before="60" w:after="60" w:line="420" w:lineRule="exact"/>
        <w:ind w:firstLine="561"/>
        <w:textAlignment w:val="baseline"/>
        <w:rPr>
          <w:rFonts w:ascii="宋体" w:hAnsi="宋体"/>
          <w:kern w:val="0"/>
          <w:szCs w:val="21"/>
          <w:highlight w:val="none"/>
        </w:rPr>
      </w:pPr>
      <w:r>
        <w:rPr>
          <w:rFonts w:ascii="宋体" w:hAnsi="宋体"/>
          <w:kern w:val="0"/>
          <w:szCs w:val="21"/>
          <w:highlight w:val="none"/>
        </w:rPr>
        <w:t>17.5.3工程价款必须经过</w:t>
      </w:r>
      <w:r>
        <w:rPr>
          <w:rFonts w:hint="eastAsia" w:ascii="宋体" w:hAnsi="宋体"/>
          <w:kern w:val="0"/>
          <w:szCs w:val="21"/>
          <w:highlight w:val="none"/>
        </w:rPr>
        <w:t>有关部门或发包人委托的第三方审定后支付。工程审计（价）后的核减费用超过送审结算价5%以上部分的审计（价）费由承包人承担。</w:t>
      </w:r>
    </w:p>
    <w:p w14:paraId="5343838A">
      <w:pPr>
        <w:keepNext/>
        <w:keepLines/>
        <w:numPr>
          <w:ilvl w:val="4"/>
          <w:numId w:val="0"/>
        </w:numPr>
        <w:tabs>
          <w:tab w:val="left" w:pos="0"/>
        </w:tabs>
        <w:suppressAutoHyphens/>
        <w:snapToGrid w:val="0"/>
        <w:spacing w:line="420" w:lineRule="exact"/>
        <w:outlineLvl w:val="4"/>
        <w:rPr>
          <w:rFonts w:ascii="宋体" w:hAnsi="宋体"/>
          <w:b/>
          <w:spacing w:val="20"/>
          <w:szCs w:val="21"/>
          <w:highlight w:val="none"/>
        </w:rPr>
      </w:pPr>
      <w:r>
        <w:rPr>
          <w:rFonts w:ascii="宋体" w:hAnsi="宋体"/>
          <w:snapToGrid w:val="0"/>
          <w:szCs w:val="21"/>
          <w:highlight w:val="none"/>
        </w:rPr>
        <w:t>17.6 最终结清</w:t>
      </w:r>
    </w:p>
    <w:p w14:paraId="272D96F2">
      <w:pPr>
        <w:autoSpaceDE w:val="0"/>
        <w:autoSpaceDN w:val="0"/>
        <w:adjustRightInd w:val="0"/>
        <w:spacing w:line="420" w:lineRule="exact"/>
        <w:ind w:firstLine="480"/>
        <w:textAlignment w:val="baseline"/>
        <w:rPr>
          <w:rFonts w:ascii="宋体" w:hAnsi="宋体"/>
          <w:kern w:val="0"/>
          <w:szCs w:val="21"/>
          <w:highlight w:val="none"/>
        </w:rPr>
      </w:pPr>
      <w:r>
        <w:rPr>
          <w:rFonts w:ascii="宋体" w:hAnsi="宋体"/>
          <w:b/>
          <w:kern w:val="0"/>
          <w:szCs w:val="21"/>
          <w:highlight w:val="none"/>
        </w:rPr>
        <w:t>17. 6.1</w:t>
      </w:r>
      <w:r>
        <w:rPr>
          <w:rFonts w:ascii="宋体" w:hAnsi="宋体"/>
          <w:kern w:val="0"/>
          <w:szCs w:val="21"/>
          <w:highlight w:val="none"/>
        </w:rPr>
        <w:t xml:space="preserve"> 最终结清申请单</w:t>
      </w:r>
    </w:p>
    <w:p w14:paraId="44685A06">
      <w:pPr>
        <w:autoSpaceDE w:val="0"/>
        <w:autoSpaceDN w:val="0"/>
        <w:adjustRightInd w:val="0"/>
        <w:spacing w:line="420" w:lineRule="exact"/>
        <w:ind w:firstLine="480"/>
        <w:textAlignment w:val="baseline"/>
        <w:rPr>
          <w:rFonts w:ascii="宋体" w:hAnsi="宋体"/>
          <w:kern w:val="0"/>
          <w:szCs w:val="21"/>
          <w:highlight w:val="none"/>
        </w:rPr>
      </w:pPr>
      <w:r>
        <w:rPr>
          <w:rFonts w:ascii="宋体" w:hAnsi="宋体" w:cs="宋体"/>
          <w:kern w:val="0"/>
          <w:szCs w:val="21"/>
          <w:highlight w:val="none"/>
        </w:rPr>
        <w:t>⑴</w:t>
      </w:r>
      <w:r>
        <w:rPr>
          <w:rFonts w:ascii="宋体" w:hAnsi="宋体"/>
          <w:kern w:val="0"/>
          <w:szCs w:val="21"/>
          <w:highlight w:val="none"/>
        </w:rPr>
        <w:t xml:space="preserve"> 承包人应提交最终结清申请单一式</w:t>
      </w:r>
      <w:r>
        <w:rPr>
          <w:rFonts w:hint="eastAsia" w:ascii="宋体" w:hAnsi="宋体"/>
          <w:kern w:val="0"/>
          <w:szCs w:val="21"/>
          <w:highlight w:val="none"/>
          <w:u w:val="single"/>
        </w:rPr>
        <w:t>7</w:t>
      </w:r>
      <w:r>
        <w:rPr>
          <w:rFonts w:ascii="宋体" w:hAnsi="宋体"/>
          <w:kern w:val="0"/>
          <w:szCs w:val="21"/>
          <w:highlight w:val="none"/>
        </w:rPr>
        <w:t>份。</w:t>
      </w:r>
    </w:p>
    <w:p w14:paraId="5C1DE800">
      <w:pPr>
        <w:autoSpaceDE w:val="0"/>
        <w:autoSpaceDN w:val="0"/>
        <w:adjustRightInd w:val="0"/>
        <w:spacing w:line="420" w:lineRule="exact"/>
        <w:ind w:firstLine="480"/>
        <w:textAlignment w:val="baseline"/>
        <w:rPr>
          <w:rFonts w:ascii="宋体" w:hAnsi="宋体"/>
          <w:kern w:val="0"/>
          <w:szCs w:val="21"/>
          <w:highlight w:val="none"/>
        </w:rPr>
      </w:pPr>
      <w:r>
        <w:rPr>
          <w:rFonts w:ascii="宋体" w:hAnsi="宋体"/>
          <w:kern w:val="0"/>
          <w:szCs w:val="21"/>
          <w:highlight w:val="none"/>
        </w:rPr>
        <w:t>本款补充：以</w:t>
      </w:r>
      <w:r>
        <w:rPr>
          <w:rFonts w:hint="eastAsia" w:ascii="宋体" w:hAnsi="宋体"/>
          <w:kern w:val="0"/>
          <w:szCs w:val="21"/>
          <w:highlight w:val="none"/>
        </w:rPr>
        <w:t>发包人</w:t>
      </w:r>
      <w:r>
        <w:rPr>
          <w:rFonts w:ascii="宋体" w:hAnsi="宋体"/>
          <w:kern w:val="0"/>
          <w:szCs w:val="21"/>
          <w:highlight w:val="none"/>
        </w:rPr>
        <w:t>委托的审</w:t>
      </w:r>
      <w:r>
        <w:rPr>
          <w:rFonts w:hint="eastAsia" w:ascii="宋体" w:hAnsi="宋体"/>
          <w:kern w:val="0"/>
          <w:szCs w:val="21"/>
          <w:highlight w:val="none"/>
        </w:rPr>
        <w:t>价</w:t>
      </w:r>
      <w:r>
        <w:rPr>
          <w:rFonts w:ascii="宋体" w:hAnsi="宋体"/>
          <w:kern w:val="0"/>
          <w:szCs w:val="21"/>
          <w:highlight w:val="none"/>
        </w:rPr>
        <w:t>部门审定的工程造价办理最终工程结算。</w:t>
      </w:r>
    </w:p>
    <w:p w14:paraId="7E81276A">
      <w:pPr>
        <w:keepNext/>
        <w:keepLines/>
        <w:numPr>
          <w:ilvl w:val="4"/>
          <w:numId w:val="0"/>
        </w:numPr>
        <w:tabs>
          <w:tab w:val="left" w:pos="0"/>
        </w:tabs>
        <w:suppressAutoHyphens/>
        <w:snapToGrid w:val="0"/>
        <w:spacing w:line="420" w:lineRule="exact"/>
        <w:outlineLvl w:val="4"/>
        <w:rPr>
          <w:rFonts w:ascii="宋体" w:hAnsi="宋体"/>
          <w:b/>
          <w:spacing w:val="20"/>
          <w:szCs w:val="21"/>
          <w:highlight w:val="none"/>
        </w:rPr>
      </w:pPr>
      <w:r>
        <w:rPr>
          <w:rFonts w:ascii="宋体" w:hAnsi="宋体"/>
          <w:snapToGrid w:val="0"/>
          <w:szCs w:val="21"/>
          <w:highlight w:val="none"/>
        </w:rPr>
        <w:t>17.7 竣工财务决算</w:t>
      </w:r>
    </w:p>
    <w:p w14:paraId="3C4D23BF">
      <w:pPr>
        <w:autoSpaceDE w:val="0"/>
        <w:autoSpaceDN w:val="0"/>
        <w:adjustRightInd w:val="0"/>
        <w:snapToGrid w:val="0"/>
        <w:spacing w:line="420" w:lineRule="exact"/>
        <w:ind w:firstLine="480"/>
        <w:textAlignment w:val="baseline"/>
        <w:rPr>
          <w:rFonts w:ascii="宋体" w:hAnsi="宋体"/>
          <w:kern w:val="0"/>
          <w:szCs w:val="21"/>
          <w:highlight w:val="none"/>
        </w:rPr>
      </w:pPr>
      <w:r>
        <w:rPr>
          <w:rFonts w:ascii="宋体" w:hAnsi="宋体"/>
          <w:kern w:val="0"/>
          <w:szCs w:val="21"/>
          <w:highlight w:val="none"/>
        </w:rPr>
        <w:t>承包人应为竣工财务决算编制提供的资料：</w:t>
      </w:r>
      <w:r>
        <w:rPr>
          <w:rFonts w:ascii="宋体" w:hAnsi="宋体"/>
          <w:kern w:val="0"/>
          <w:szCs w:val="21"/>
          <w:highlight w:val="none"/>
          <w:u w:val="single"/>
        </w:rPr>
        <w:t>财务决算所需的一切资料</w:t>
      </w:r>
      <w:r>
        <w:rPr>
          <w:rFonts w:ascii="宋体" w:hAnsi="宋体"/>
          <w:kern w:val="0"/>
          <w:szCs w:val="21"/>
          <w:highlight w:val="none"/>
        </w:rPr>
        <w:t>。</w:t>
      </w:r>
    </w:p>
    <w:p w14:paraId="3697B61E">
      <w:pPr>
        <w:keepLines/>
        <w:widowControl/>
        <w:autoSpaceDE w:val="0"/>
        <w:autoSpaceDN w:val="0"/>
        <w:adjustRightInd w:val="0"/>
        <w:snapToGrid w:val="0"/>
        <w:spacing w:line="420" w:lineRule="exact"/>
        <w:jc w:val="left"/>
        <w:textAlignment w:val="baseline"/>
        <w:outlineLvl w:val="3"/>
        <w:rPr>
          <w:rFonts w:ascii="宋体" w:hAnsi="宋体"/>
          <w:b/>
          <w:snapToGrid w:val="0"/>
          <w:kern w:val="0"/>
          <w:szCs w:val="21"/>
          <w:highlight w:val="none"/>
        </w:rPr>
      </w:pPr>
      <w:r>
        <w:rPr>
          <w:rFonts w:ascii="宋体" w:hAnsi="宋体"/>
          <w:snapToGrid w:val="0"/>
          <w:kern w:val="0"/>
          <w:szCs w:val="21"/>
          <w:highlight w:val="none"/>
        </w:rPr>
        <w:t>18工程验收</w:t>
      </w:r>
    </w:p>
    <w:p w14:paraId="5B6FCFA3">
      <w:pPr>
        <w:keepNext/>
        <w:keepLines/>
        <w:numPr>
          <w:ilvl w:val="4"/>
          <w:numId w:val="0"/>
        </w:numPr>
        <w:tabs>
          <w:tab w:val="left" w:pos="0"/>
        </w:tabs>
        <w:suppressAutoHyphens/>
        <w:snapToGrid w:val="0"/>
        <w:spacing w:line="420" w:lineRule="exact"/>
        <w:outlineLvl w:val="4"/>
        <w:rPr>
          <w:rFonts w:ascii="宋体" w:hAnsi="宋体"/>
          <w:b/>
          <w:spacing w:val="20"/>
          <w:szCs w:val="21"/>
          <w:highlight w:val="none"/>
        </w:rPr>
      </w:pPr>
      <w:r>
        <w:rPr>
          <w:rFonts w:ascii="宋体" w:hAnsi="宋体"/>
          <w:snapToGrid w:val="0"/>
          <w:szCs w:val="21"/>
          <w:highlight w:val="none"/>
        </w:rPr>
        <w:t>18.1 验收工作分类</w:t>
      </w:r>
    </w:p>
    <w:p w14:paraId="2CE98B5C">
      <w:pPr>
        <w:autoSpaceDE w:val="0"/>
        <w:autoSpaceDN w:val="0"/>
        <w:adjustRightInd w:val="0"/>
        <w:snapToGrid w:val="0"/>
        <w:spacing w:line="420" w:lineRule="exact"/>
        <w:ind w:firstLine="480"/>
        <w:textAlignment w:val="baseline"/>
        <w:rPr>
          <w:rFonts w:ascii="宋体" w:hAnsi="宋体"/>
          <w:kern w:val="0"/>
          <w:szCs w:val="21"/>
          <w:highlight w:val="none"/>
        </w:rPr>
      </w:pPr>
      <w:r>
        <w:rPr>
          <w:rFonts w:ascii="宋体" w:hAnsi="宋体"/>
          <w:kern w:val="0"/>
          <w:szCs w:val="21"/>
          <w:highlight w:val="none"/>
        </w:rPr>
        <w:t>本工程法人验收包括：</w:t>
      </w:r>
      <w:r>
        <w:rPr>
          <w:rFonts w:hint="eastAsia" w:ascii="宋体" w:hAnsi="宋体"/>
          <w:kern w:val="0"/>
          <w:szCs w:val="21"/>
          <w:highlight w:val="none"/>
          <w:u w:val="single"/>
        </w:rPr>
        <w:t>分部工程验收、单位工程验收、合同工程完工验收等</w:t>
      </w:r>
      <w:r>
        <w:rPr>
          <w:rFonts w:ascii="宋体" w:hAnsi="宋体"/>
          <w:kern w:val="0"/>
          <w:szCs w:val="21"/>
          <w:highlight w:val="none"/>
        </w:rPr>
        <w:t>；政府验收包括：</w:t>
      </w:r>
      <w:r>
        <w:rPr>
          <w:rFonts w:hint="eastAsia" w:ascii="宋体" w:hAnsi="宋体"/>
          <w:kern w:val="0"/>
          <w:szCs w:val="21"/>
          <w:highlight w:val="none"/>
          <w:u w:val="single"/>
        </w:rPr>
        <w:t>阶段验收、专项验收、竣工验收</w:t>
      </w:r>
      <w:r>
        <w:rPr>
          <w:rFonts w:ascii="宋体" w:hAnsi="宋体"/>
          <w:kern w:val="0"/>
          <w:szCs w:val="21"/>
          <w:highlight w:val="none"/>
        </w:rPr>
        <w:t>。验收条件</w:t>
      </w:r>
      <w:r>
        <w:rPr>
          <w:rFonts w:hint="eastAsia" w:ascii="宋体" w:hAnsi="宋体"/>
          <w:kern w:val="0"/>
          <w:szCs w:val="21"/>
          <w:highlight w:val="none"/>
        </w:rPr>
        <w:t>：</w:t>
      </w:r>
      <w:r>
        <w:rPr>
          <w:rFonts w:hint="eastAsia" w:ascii="宋体" w:hAnsi="宋体"/>
          <w:kern w:val="0"/>
          <w:szCs w:val="21"/>
          <w:highlight w:val="none"/>
          <w:u w:val="single"/>
        </w:rPr>
        <w:t>合格</w:t>
      </w:r>
      <w:r>
        <w:rPr>
          <w:rFonts w:hint="eastAsia" w:ascii="宋体" w:hAnsi="宋体"/>
          <w:kern w:val="0"/>
          <w:szCs w:val="21"/>
          <w:highlight w:val="none"/>
        </w:rPr>
        <w:t>，</w:t>
      </w:r>
      <w:r>
        <w:rPr>
          <w:rFonts w:ascii="宋体" w:hAnsi="宋体"/>
          <w:kern w:val="0"/>
          <w:szCs w:val="21"/>
          <w:highlight w:val="none"/>
        </w:rPr>
        <w:t>验收程序</w:t>
      </w:r>
      <w:r>
        <w:rPr>
          <w:rFonts w:hint="eastAsia" w:ascii="宋体" w:hAnsi="宋体"/>
          <w:kern w:val="0"/>
          <w:szCs w:val="21"/>
          <w:highlight w:val="none"/>
        </w:rPr>
        <w:t>为：</w:t>
      </w:r>
      <w:r>
        <w:rPr>
          <w:rFonts w:hint="eastAsia" w:ascii="宋体" w:hAnsi="宋体"/>
          <w:kern w:val="0"/>
          <w:szCs w:val="21"/>
          <w:highlight w:val="none"/>
          <w:u w:val="single"/>
        </w:rPr>
        <w:t>按《水利水电建设工程验收规程》（SL223-2008）及浙江省现行有关规定执行</w:t>
      </w:r>
      <w:r>
        <w:rPr>
          <w:rFonts w:ascii="宋体" w:hAnsi="宋体"/>
          <w:kern w:val="0"/>
          <w:szCs w:val="21"/>
          <w:highlight w:val="none"/>
        </w:rPr>
        <w:t>。</w:t>
      </w:r>
    </w:p>
    <w:p w14:paraId="0FA26EB3">
      <w:pPr>
        <w:keepNext/>
        <w:keepLines/>
        <w:numPr>
          <w:ilvl w:val="4"/>
          <w:numId w:val="0"/>
        </w:numPr>
        <w:tabs>
          <w:tab w:val="left" w:pos="0"/>
        </w:tabs>
        <w:suppressAutoHyphens/>
        <w:snapToGrid w:val="0"/>
        <w:spacing w:line="420" w:lineRule="exact"/>
        <w:outlineLvl w:val="4"/>
        <w:rPr>
          <w:rFonts w:ascii="宋体" w:hAnsi="宋体"/>
          <w:b/>
          <w:spacing w:val="20"/>
          <w:szCs w:val="21"/>
          <w:highlight w:val="none"/>
        </w:rPr>
      </w:pPr>
      <w:r>
        <w:rPr>
          <w:rFonts w:ascii="宋体" w:hAnsi="宋体"/>
          <w:snapToGrid w:val="0"/>
          <w:szCs w:val="21"/>
          <w:highlight w:val="none"/>
        </w:rPr>
        <w:t>18.2 分部工程验收</w:t>
      </w:r>
    </w:p>
    <w:p w14:paraId="6968CBE5">
      <w:pPr>
        <w:autoSpaceDE w:val="0"/>
        <w:autoSpaceDN w:val="0"/>
        <w:adjustRightInd w:val="0"/>
        <w:snapToGrid w:val="0"/>
        <w:spacing w:line="420" w:lineRule="exact"/>
        <w:ind w:firstLine="480"/>
        <w:textAlignment w:val="baseline"/>
        <w:rPr>
          <w:rFonts w:ascii="宋体" w:hAnsi="宋体"/>
          <w:kern w:val="0"/>
          <w:szCs w:val="21"/>
          <w:highlight w:val="none"/>
        </w:rPr>
      </w:pPr>
      <w:r>
        <w:rPr>
          <w:rFonts w:ascii="宋体" w:hAnsi="宋体"/>
          <w:kern w:val="0"/>
          <w:szCs w:val="21"/>
          <w:highlight w:val="none"/>
        </w:rPr>
        <w:t>18.2.2 本工程由</w:t>
      </w:r>
      <w:r>
        <w:rPr>
          <w:rFonts w:hint="eastAsia" w:ascii="宋体" w:hAnsi="宋体"/>
          <w:kern w:val="0"/>
          <w:szCs w:val="21"/>
          <w:highlight w:val="none"/>
        </w:rPr>
        <w:t>监理人主持的分部工程验收在监理合同中约定，其余由发包人主持。</w:t>
      </w:r>
    </w:p>
    <w:p w14:paraId="37696226">
      <w:pPr>
        <w:keepNext/>
        <w:keepLines/>
        <w:numPr>
          <w:ilvl w:val="4"/>
          <w:numId w:val="0"/>
        </w:numPr>
        <w:tabs>
          <w:tab w:val="left" w:pos="0"/>
        </w:tabs>
        <w:suppressAutoHyphens/>
        <w:snapToGrid w:val="0"/>
        <w:spacing w:line="420" w:lineRule="exact"/>
        <w:outlineLvl w:val="4"/>
        <w:rPr>
          <w:rFonts w:ascii="宋体" w:hAnsi="宋体"/>
          <w:b/>
          <w:spacing w:val="20"/>
          <w:szCs w:val="21"/>
          <w:highlight w:val="none"/>
        </w:rPr>
      </w:pPr>
      <w:r>
        <w:rPr>
          <w:rFonts w:ascii="宋体" w:hAnsi="宋体"/>
          <w:snapToGrid w:val="0"/>
          <w:szCs w:val="21"/>
          <w:highlight w:val="none"/>
        </w:rPr>
        <w:t>18.3 单位工程验收</w:t>
      </w:r>
    </w:p>
    <w:p w14:paraId="6651690D">
      <w:pPr>
        <w:autoSpaceDE w:val="0"/>
        <w:autoSpaceDN w:val="0"/>
        <w:adjustRightInd w:val="0"/>
        <w:snapToGrid w:val="0"/>
        <w:spacing w:line="420" w:lineRule="exact"/>
        <w:ind w:firstLine="480"/>
        <w:textAlignment w:val="baseline"/>
        <w:rPr>
          <w:rFonts w:ascii="宋体" w:hAnsi="宋体"/>
          <w:kern w:val="0"/>
          <w:szCs w:val="21"/>
          <w:highlight w:val="none"/>
        </w:rPr>
      </w:pPr>
      <w:r>
        <w:rPr>
          <w:rFonts w:ascii="宋体" w:hAnsi="宋体"/>
          <w:kern w:val="0"/>
          <w:szCs w:val="21"/>
          <w:highlight w:val="none"/>
        </w:rPr>
        <w:t>18.3.4 提前投入使用的单位工程包括：</w:t>
      </w:r>
      <w:r>
        <w:rPr>
          <w:rFonts w:hint="eastAsia" w:ascii="宋体" w:hAnsi="宋体"/>
          <w:kern w:val="0"/>
          <w:szCs w:val="21"/>
          <w:highlight w:val="none"/>
          <w:u w:val="single"/>
        </w:rPr>
        <w:t xml:space="preserve">/  </w:t>
      </w:r>
      <w:r>
        <w:rPr>
          <w:rFonts w:ascii="宋体" w:hAnsi="宋体"/>
          <w:kern w:val="0"/>
          <w:szCs w:val="21"/>
          <w:highlight w:val="none"/>
        </w:rPr>
        <w:t>。</w:t>
      </w:r>
    </w:p>
    <w:p w14:paraId="53A7452A">
      <w:pPr>
        <w:keepNext/>
        <w:keepLines/>
        <w:numPr>
          <w:ilvl w:val="4"/>
          <w:numId w:val="0"/>
        </w:numPr>
        <w:tabs>
          <w:tab w:val="left" w:pos="0"/>
        </w:tabs>
        <w:suppressAutoHyphens/>
        <w:snapToGrid w:val="0"/>
        <w:spacing w:line="420" w:lineRule="exact"/>
        <w:outlineLvl w:val="4"/>
        <w:rPr>
          <w:rFonts w:ascii="宋体" w:hAnsi="宋体"/>
          <w:b/>
          <w:spacing w:val="20"/>
          <w:szCs w:val="21"/>
          <w:highlight w:val="none"/>
        </w:rPr>
      </w:pPr>
      <w:r>
        <w:rPr>
          <w:rFonts w:ascii="宋体" w:hAnsi="宋体"/>
          <w:snapToGrid w:val="0"/>
          <w:szCs w:val="21"/>
          <w:highlight w:val="none"/>
        </w:rPr>
        <w:t>18.5 阶段验收</w:t>
      </w:r>
    </w:p>
    <w:p w14:paraId="0F396456">
      <w:pPr>
        <w:autoSpaceDE w:val="0"/>
        <w:autoSpaceDN w:val="0"/>
        <w:adjustRightInd w:val="0"/>
        <w:snapToGrid w:val="0"/>
        <w:spacing w:line="420" w:lineRule="exact"/>
        <w:ind w:firstLine="480"/>
        <w:textAlignment w:val="baseline"/>
        <w:rPr>
          <w:rFonts w:ascii="宋体" w:hAnsi="宋体"/>
          <w:kern w:val="0"/>
          <w:szCs w:val="21"/>
          <w:highlight w:val="none"/>
        </w:rPr>
      </w:pPr>
      <w:r>
        <w:rPr>
          <w:rFonts w:ascii="宋体" w:hAnsi="宋体"/>
          <w:kern w:val="0"/>
          <w:szCs w:val="21"/>
          <w:highlight w:val="none"/>
        </w:rPr>
        <w:t>18.5.1 本合同工程阶段验收类别包括：</w:t>
      </w:r>
      <w:r>
        <w:rPr>
          <w:rFonts w:hint="eastAsia" w:ascii="宋体" w:hAnsi="宋体"/>
          <w:kern w:val="0"/>
          <w:szCs w:val="21"/>
          <w:highlight w:val="none"/>
          <w:u w:val="single"/>
        </w:rPr>
        <w:t xml:space="preserve">  /</w:t>
      </w:r>
      <w:r>
        <w:rPr>
          <w:rFonts w:ascii="宋体" w:hAnsi="宋体"/>
          <w:kern w:val="0"/>
          <w:szCs w:val="21"/>
          <w:highlight w:val="none"/>
        </w:rPr>
        <w:t>。</w:t>
      </w:r>
    </w:p>
    <w:p w14:paraId="67F3183E">
      <w:pPr>
        <w:keepNext/>
        <w:keepLines/>
        <w:numPr>
          <w:ilvl w:val="4"/>
          <w:numId w:val="0"/>
        </w:numPr>
        <w:tabs>
          <w:tab w:val="left" w:pos="0"/>
        </w:tabs>
        <w:suppressAutoHyphens/>
        <w:snapToGrid w:val="0"/>
        <w:spacing w:line="420" w:lineRule="exact"/>
        <w:outlineLvl w:val="4"/>
        <w:rPr>
          <w:rFonts w:ascii="宋体" w:hAnsi="宋体"/>
          <w:b/>
          <w:spacing w:val="20"/>
          <w:szCs w:val="21"/>
          <w:highlight w:val="none"/>
        </w:rPr>
      </w:pPr>
      <w:r>
        <w:rPr>
          <w:rFonts w:ascii="宋体" w:hAnsi="宋体"/>
          <w:snapToGrid w:val="0"/>
          <w:szCs w:val="21"/>
          <w:highlight w:val="none"/>
        </w:rPr>
        <w:t>18.6 专项验收</w:t>
      </w:r>
    </w:p>
    <w:p w14:paraId="34014702">
      <w:pPr>
        <w:autoSpaceDE w:val="0"/>
        <w:autoSpaceDN w:val="0"/>
        <w:adjustRightInd w:val="0"/>
        <w:snapToGrid w:val="0"/>
        <w:spacing w:line="420" w:lineRule="exact"/>
        <w:ind w:firstLine="480"/>
        <w:textAlignment w:val="baseline"/>
        <w:rPr>
          <w:rFonts w:ascii="宋体" w:hAnsi="宋体"/>
          <w:kern w:val="0"/>
          <w:szCs w:val="21"/>
          <w:highlight w:val="none"/>
        </w:rPr>
      </w:pPr>
      <w:r>
        <w:rPr>
          <w:rFonts w:ascii="宋体" w:hAnsi="宋体"/>
          <w:kern w:val="0"/>
          <w:szCs w:val="21"/>
          <w:highlight w:val="none"/>
        </w:rPr>
        <w:t>18.6.2 本合同工程专项验收类别包括：</w:t>
      </w:r>
      <w:r>
        <w:rPr>
          <w:rFonts w:hint="eastAsia" w:ascii="宋体" w:hAnsi="宋体"/>
          <w:kern w:val="0"/>
          <w:szCs w:val="21"/>
          <w:highlight w:val="none"/>
          <w:u w:val="single"/>
        </w:rPr>
        <w:t>/</w:t>
      </w:r>
      <w:r>
        <w:rPr>
          <w:rFonts w:ascii="宋体" w:hAnsi="宋体"/>
          <w:kern w:val="0"/>
          <w:szCs w:val="21"/>
          <w:highlight w:val="none"/>
        </w:rPr>
        <w:t>。</w:t>
      </w:r>
    </w:p>
    <w:p w14:paraId="58D63EAE">
      <w:pPr>
        <w:keepNext/>
        <w:keepLines/>
        <w:numPr>
          <w:ilvl w:val="4"/>
          <w:numId w:val="0"/>
        </w:numPr>
        <w:tabs>
          <w:tab w:val="left" w:pos="0"/>
        </w:tabs>
        <w:suppressAutoHyphens/>
        <w:snapToGrid w:val="0"/>
        <w:spacing w:line="420" w:lineRule="exact"/>
        <w:outlineLvl w:val="4"/>
        <w:rPr>
          <w:rFonts w:ascii="宋体" w:hAnsi="宋体"/>
          <w:b/>
          <w:spacing w:val="20"/>
          <w:szCs w:val="21"/>
          <w:highlight w:val="none"/>
        </w:rPr>
      </w:pPr>
      <w:r>
        <w:rPr>
          <w:rFonts w:ascii="宋体" w:hAnsi="宋体"/>
          <w:snapToGrid w:val="0"/>
          <w:szCs w:val="21"/>
          <w:highlight w:val="none"/>
        </w:rPr>
        <w:t>18.7 竣工验收</w:t>
      </w:r>
    </w:p>
    <w:p w14:paraId="093C16B8">
      <w:pPr>
        <w:autoSpaceDE w:val="0"/>
        <w:autoSpaceDN w:val="0"/>
        <w:adjustRightInd w:val="0"/>
        <w:snapToGrid w:val="0"/>
        <w:spacing w:line="420" w:lineRule="exact"/>
        <w:ind w:firstLine="480"/>
        <w:textAlignment w:val="baseline"/>
        <w:rPr>
          <w:rFonts w:ascii="宋体" w:hAnsi="宋体"/>
          <w:kern w:val="0"/>
          <w:szCs w:val="21"/>
          <w:highlight w:val="none"/>
        </w:rPr>
      </w:pPr>
      <w:r>
        <w:rPr>
          <w:rFonts w:ascii="宋体" w:hAnsi="宋体"/>
          <w:kern w:val="0"/>
          <w:szCs w:val="21"/>
          <w:highlight w:val="none"/>
        </w:rPr>
        <w:t>18.7.3 本工程</w:t>
      </w:r>
      <w:r>
        <w:rPr>
          <w:rFonts w:hint="eastAsia" w:ascii="宋体" w:hAnsi="宋体"/>
          <w:kern w:val="0"/>
          <w:szCs w:val="21"/>
          <w:highlight w:val="none"/>
          <w:u w:val="single"/>
        </w:rPr>
        <w:t>不需要</w:t>
      </w:r>
      <w:r>
        <w:rPr>
          <w:rFonts w:hint="eastAsia" w:ascii="宋体" w:hAnsi="宋体"/>
          <w:kern w:val="0"/>
          <w:szCs w:val="21"/>
          <w:highlight w:val="none"/>
        </w:rPr>
        <w:t>竣工验收技术鉴定（蓄水安全鉴定）</w:t>
      </w:r>
      <w:r>
        <w:rPr>
          <w:rFonts w:ascii="宋体" w:hAnsi="宋体"/>
          <w:kern w:val="0"/>
          <w:szCs w:val="21"/>
          <w:highlight w:val="none"/>
        </w:rPr>
        <w:t>。</w:t>
      </w:r>
    </w:p>
    <w:p w14:paraId="5576530C">
      <w:pPr>
        <w:keepNext/>
        <w:keepLines/>
        <w:numPr>
          <w:ilvl w:val="4"/>
          <w:numId w:val="0"/>
        </w:numPr>
        <w:tabs>
          <w:tab w:val="left" w:pos="0"/>
        </w:tabs>
        <w:suppressAutoHyphens/>
        <w:snapToGrid w:val="0"/>
        <w:spacing w:line="420" w:lineRule="exact"/>
        <w:outlineLvl w:val="4"/>
        <w:rPr>
          <w:rFonts w:ascii="宋体" w:hAnsi="宋体"/>
          <w:b/>
          <w:spacing w:val="20"/>
          <w:szCs w:val="21"/>
          <w:highlight w:val="none"/>
        </w:rPr>
      </w:pPr>
      <w:r>
        <w:rPr>
          <w:rFonts w:ascii="宋体" w:hAnsi="宋体"/>
          <w:snapToGrid w:val="0"/>
          <w:szCs w:val="21"/>
          <w:highlight w:val="none"/>
        </w:rPr>
        <w:t>18.8 施工期运行</w:t>
      </w:r>
    </w:p>
    <w:p w14:paraId="7E183D00">
      <w:pPr>
        <w:autoSpaceDE w:val="0"/>
        <w:autoSpaceDN w:val="0"/>
        <w:adjustRightInd w:val="0"/>
        <w:snapToGrid w:val="0"/>
        <w:spacing w:line="420" w:lineRule="exact"/>
        <w:ind w:firstLine="480"/>
        <w:textAlignment w:val="baseline"/>
        <w:rPr>
          <w:rFonts w:ascii="宋体" w:hAnsi="宋体"/>
          <w:kern w:val="0"/>
          <w:szCs w:val="21"/>
          <w:highlight w:val="none"/>
        </w:rPr>
      </w:pPr>
      <w:r>
        <w:rPr>
          <w:rFonts w:ascii="宋体" w:hAnsi="宋体"/>
          <w:kern w:val="0"/>
          <w:szCs w:val="21"/>
          <w:highlight w:val="none"/>
        </w:rPr>
        <w:t>18.8.1 需要在施工期运行的单位工程或工程设备为：</w:t>
      </w:r>
      <w:r>
        <w:rPr>
          <w:rFonts w:hint="eastAsia" w:ascii="宋体" w:hAnsi="宋体"/>
          <w:kern w:val="0"/>
          <w:szCs w:val="21"/>
          <w:highlight w:val="none"/>
          <w:u w:val="single"/>
        </w:rPr>
        <w:t>/</w:t>
      </w:r>
      <w:r>
        <w:rPr>
          <w:rFonts w:ascii="宋体" w:hAnsi="宋体"/>
          <w:kern w:val="0"/>
          <w:szCs w:val="21"/>
          <w:highlight w:val="none"/>
        </w:rPr>
        <w:t>。</w:t>
      </w:r>
    </w:p>
    <w:p w14:paraId="5D7D8A83">
      <w:pPr>
        <w:keepNext/>
        <w:keepLines/>
        <w:numPr>
          <w:ilvl w:val="4"/>
          <w:numId w:val="0"/>
        </w:numPr>
        <w:tabs>
          <w:tab w:val="left" w:pos="0"/>
        </w:tabs>
        <w:suppressAutoHyphens/>
        <w:snapToGrid w:val="0"/>
        <w:spacing w:line="420" w:lineRule="exact"/>
        <w:outlineLvl w:val="4"/>
        <w:rPr>
          <w:rFonts w:ascii="宋体" w:hAnsi="宋体"/>
          <w:b/>
          <w:spacing w:val="20"/>
          <w:szCs w:val="21"/>
          <w:highlight w:val="none"/>
        </w:rPr>
      </w:pPr>
      <w:r>
        <w:rPr>
          <w:rFonts w:ascii="宋体" w:hAnsi="宋体"/>
          <w:snapToGrid w:val="0"/>
          <w:szCs w:val="21"/>
          <w:highlight w:val="none"/>
        </w:rPr>
        <w:t>18.9 试运行</w:t>
      </w:r>
    </w:p>
    <w:p w14:paraId="375F1BE6">
      <w:pPr>
        <w:autoSpaceDE w:val="0"/>
        <w:autoSpaceDN w:val="0"/>
        <w:adjustRightInd w:val="0"/>
        <w:snapToGrid w:val="0"/>
        <w:spacing w:line="420" w:lineRule="exact"/>
        <w:ind w:firstLine="480"/>
        <w:textAlignment w:val="baseline"/>
        <w:rPr>
          <w:rFonts w:ascii="宋体" w:hAnsi="宋体"/>
          <w:kern w:val="0"/>
          <w:szCs w:val="21"/>
          <w:highlight w:val="none"/>
        </w:rPr>
      </w:pPr>
      <w:r>
        <w:rPr>
          <w:rFonts w:ascii="宋体" w:hAnsi="宋体"/>
          <w:kern w:val="0"/>
          <w:szCs w:val="21"/>
          <w:highlight w:val="none"/>
        </w:rPr>
        <w:t>18.9.1 试运行的组织：</w:t>
      </w:r>
      <w:r>
        <w:rPr>
          <w:rFonts w:hint="eastAsia" w:ascii="宋体" w:hAnsi="宋体"/>
          <w:kern w:val="0"/>
          <w:szCs w:val="21"/>
          <w:highlight w:val="none"/>
          <w:u w:val="single"/>
        </w:rPr>
        <w:t>/</w:t>
      </w:r>
      <w:r>
        <w:rPr>
          <w:rFonts w:ascii="宋体" w:hAnsi="宋体"/>
          <w:kern w:val="0"/>
          <w:szCs w:val="21"/>
          <w:highlight w:val="none"/>
        </w:rPr>
        <w:t>；费用承担：</w:t>
      </w:r>
      <w:r>
        <w:rPr>
          <w:rFonts w:hint="eastAsia" w:ascii="宋体" w:hAnsi="宋体"/>
          <w:kern w:val="0"/>
          <w:szCs w:val="21"/>
          <w:highlight w:val="none"/>
          <w:u w:val="single"/>
        </w:rPr>
        <w:t>/</w:t>
      </w:r>
      <w:r>
        <w:rPr>
          <w:rFonts w:ascii="宋体" w:hAnsi="宋体"/>
          <w:kern w:val="0"/>
          <w:szCs w:val="21"/>
          <w:highlight w:val="none"/>
        </w:rPr>
        <w:t>。</w:t>
      </w:r>
    </w:p>
    <w:p w14:paraId="221CC66A">
      <w:pPr>
        <w:keepLines/>
        <w:widowControl/>
        <w:autoSpaceDE w:val="0"/>
        <w:autoSpaceDN w:val="0"/>
        <w:adjustRightInd w:val="0"/>
        <w:snapToGrid w:val="0"/>
        <w:spacing w:line="420" w:lineRule="exact"/>
        <w:jc w:val="left"/>
        <w:textAlignment w:val="baseline"/>
        <w:outlineLvl w:val="3"/>
        <w:rPr>
          <w:rFonts w:ascii="宋体" w:hAnsi="宋体"/>
          <w:b/>
          <w:snapToGrid w:val="0"/>
          <w:kern w:val="0"/>
          <w:szCs w:val="21"/>
          <w:highlight w:val="none"/>
        </w:rPr>
      </w:pPr>
      <w:r>
        <w:rPr>
          <w:rFonts w:ascii="宋体" w:hAnsi="宋体"/>
          <w:snapToGrid w:val="0"/>
          <w:kern w:val="0"/>
          <w:szCs w:val="21"/>
          <w:highlight w:val="none"/>
        </w:rPr>
        <w:t>19 缺陷责任与保修责任</w:t>
      </w:r>
    </w:p>
    <w:p w14:paraId="4D3E7156">
      <w:pPr>
        <w:keepNext/>
        <w:keepLines/>
        <w:numPr>
          <w:ilvl w:val="4"/>
          <w:numId w:val="0"/>
        </w:numPr>
        <w:tabs>
          <w:tab w:val="left" w:pos="0"/>
        </w:tabs>
        <w:suppressAutoHyphens/>
        <w:snapToGrid w:val="0"/>
        <w:spacing w:line="420" w:lineRule="exact"/>
        <w:outlineLvl w:val="4"/>
        <w:rPr>
          <w:rFonts w:ascii="宋体" w:hAnsi="宋体"/>
          <w:b/>
          <w:spacing w:val="20"/>
          <w:szCs w:val="21"/>
          <w:highlight w:val="none"/>
        </w:rPr>
      </w:pPr>
      <w:r>
        <w:rPr>
          <w:rFonts w:ascii="宋体" w:hAnsi="宋体"/>
          <w:snapToGrid w:val="0"/>
          <w:szCs w:val="21"/>
          <w:highlight w:val="none"/>
        </w:rPr>
        <w:t>19.1 缺陷责任期（工程质量保修期）的起算时间</w:t>
      </w:r>
    </w:p>
    <w:p w14:paraId="0B074148">
      <w:pPr>
        <w:tabs>
          <w:tab w:val="left" w:pos="-560"/>
        </w:tabs>
        <w:autoSpaceDE w:val="0"/>
        <w:autoSpaceDN w:val="0"/>
        <w:adjustRightInd w:val="0"/>
        <w:spacing w:line="420" w:lineRule="exact"/>
        <w:ind w:left="86" w:firstLine="480"/>
        <w:textAlignment w:val="baseline"/>
        <w:rPr>
          <w:rFonts w:ascii="宋体" w:hAnsi="宋体"/>
          <w:kern w:val="0"/>
          <w:szCs w:val="21"/>
          <w:highlight w:val="none"/>
          <w:u w:val="single"/>
        </w:rPr>
      </w:pPr>
      <w:r>
        <w:rPr>
          <w:rFonts w:ascii="宋体" w:hAnsi="宋体"/>
          <w:kern w:val="0"/>
          <w:szCs w:val="21"/>
          <w:highlight w:val="none"/>
        </w:rPr>
        <w:t>本工程缺陷责期（工程质量保修期）</w:t>
      </w:r>
      <w:r>
        <w:rPr>
          <w:rFonts w:hint="eastAsia" w:ascii="宋体" w:hAnsi="宋体"/>
          <w:kern w:val="0"/>
          <w:szCs w:val="21"/>
          <w:highlight w:val="none"/>
        </w:rPr>
        <w:t>为</w:t>
      </w:r>
      <w:r>
        <w:rPr>
          <w:rFonts w:hint="eastAsia" w:ascii="宋体" w:hAnsi="宋体"/>
          <w:kern w:val="0"/>
          <w:szCs w:val="21"/>
          <w:highlight w:val="none"/>
          <w:u w:val="single"/>
        </w:rPr>
        <w:t xml:space="preserve"> </w:t>
      </w:r>
      <w:r>
        <w:rPr>
          <w:rFonts w:hint="eastAsia" w:ascii="宋体" w:hAnsi="宋体"/>
          <w:kern w:val="0"/>
          <w:szCs w:val="21"/>
          <w:highlight w:val="none"/>
          <w:u w:val="single"/>
          <w:lang w:val="en-US" w:eastAsia="zh-CN"/>
        </w:rPr>
        <w:t xml:space="preserve"> 1</w:t>
      </w:r>
      <w:r>
        <w:rPr>
          <w:rFonts w:hint="eastAsia" w:ascii="宋体" w:hAnsi="宋体"/>
          <w:kern w:val="0"/>
          <w:szCs w:val="21"/>
          <w:highlight w:val="none"/>
          <w:u w:val="single"/>
        </w:rPr>
        <w:t xml:space="preserve">  </w:t>
      </w:r>
      <w:r>
        <w:rPr>
          <w:rFonts w:hint="eastAsia" w:ascii="宋体" w:hAnsi="宋体"/>
          <w:kern w:val="0"/>
          <w:szCs w:val="21"/>
          <w:highlight w:val="none"/>
        </w:rPr>
        <w:t>年。</w:t>
      </w:r>
    </w:p>
    <w:p w14:paraId="3611E2D8">
      <w:pPr>
        <w:keepLines/>
        <w:widowControl/>
        <w:autoSpaceDE w:val="0"/>
        <w:autoSpaceDN w:val="0"/>
        <w:adjustRightInd w:val="0"/>
        <w:snapToGrid w:val="0"/>
        <w:spacing w:line="420" w:lineRule="exact"/>
        <w:jc w:val="left"/>
        <w:textAlignment w:val="baseline"/>
        <w:outlineLvl w:val="3"/>
        <w:rPr>
          <w:rFonts w:ascii="宋体" w:hAnsi="宋体"/>
          <w:b/>
          <w:snapToGrid w:val="0"/>
          <w:kern w:val="0"/>
          <w:szCs w:val="21"/>
          <w:highlight w:val="none"/>
        </w:rPr>
      </w:pPr>
      <w:r>
        <w:rPr>
          <w:rFonts w:ascii="宋体" w:hAnsi="宋体"/>
          <w:snapToGrid w:val="0"/>
          <w:kern w:val="0"/>
          <w:szCs w:val="21"/>
          <w:highlight w:val="none"/>
        </w:rPr>
        <w:t>20 保险</w:t>
      </w:r>
    </w:p>
    <w:p w14:paraId="65489683">
      <w:pPr>
        <w:keepNext/>
        <w:keepLines/>
        <w:numPr>
          <w:ilvl w:val="4"/>
          <w:numId w:val="0"/>
        </w:numPr>
        <w:tabs>
          <w:tab w:val="left" w:pos="0"/>
        </w:tabs>
        <w:suppressAutoHyphens/>
        <w:snapToGrid w:val="0"/>
        <w:spacing w:line="420" w:lineRule="exact"/>
        <w:outlineLvl w:val="4"/>
        <w:rPr>
          <w:rFonts w:ascii="宋体" w:hAnsi="宋体"/>
          <w:b/>
          <w:spacing w:val="20"/>
          <w:szCs w:val="21"/>
          <w:highlight w:val="none"/>
        </w:rPr>
      </w:pPr>
      <w:r>
        <w:rPr>
          <w:rFonts w:ascii="宋体" w:hAnsi="宋体"/>
          <w:snapToGrid w:val="0"/>
          <w:szCs w:val="21"/>
          <w:highlight w:val="none"/>
        </w:rPr>
        <w:t>20.1 工程保险</w:t>
      </w:r>
    </w:p>
    <w:p w14:paraId="3470B286">
      <w:pPr>
        <w:autoSpaceDE w:val="0"/>
        <w:autoSpaceDN w:val="0"/>
        <w:adjustRightInd w:val="0"/>
        <w:snapToGrid w:val="0"/>
        <w:spacing w:line="420" w:lineRule="exact"/>
        <w:ind w:firstLine="480"/>
        <w:textAlignment w:val="baseline"/>
        <w:rPr>
          <w:rFonts w:ascii="宋体" w:hAnsi="宋体"/>
          <w:kern w:val="0"/>
          <w:szCs w:val="21"/>
          <w:highlight w:val="none"/>
        </w:rPr>
      </w:pPr>
      <w:r>
        <w:rPr>
          <w:rFonts w:ascii="宋体" w:hAnsi="宋体"/>
          <w:kern w:val="0"/>
          <w:szCs w:val="21"/>
          <w:highlight w:val="none"/>
        </w:rPr>
        <w:t>建筑工程一切险和（或）安装工程一切险投保人：</w:t>
      </w:r>
      <w:r>
        <w:rPr>
          <w:rFonts w:ascii="宋体" w:hAnsi="宋体"/>
          <w:kern w:val="0"/>
          <w:szCs w:val="21"/>
          <w:highlight w:val="none"/>
          <w:u w:val="single"/>
        </w:rPr>
        <w:t>由承包人以发包人和承包人的名义投保</w:t>
      </w:r>
      <w:r>
        <w:rPr>
          <w:rFonts w:ascii="宋体" w:hAnsi="宋体"/>
          <w:kern w:val="0"/>
          <w:szCs w:val="21"/>
          <w:highlight w:val="none"/>
        </w:rPr>
        <w:t>；</w:t>
      </w:r>
    </w:p>
    <w:p w14:paraId="7390D4FA">
      <w:pPr>
        <w:autoSpaceDE w:val="0"/>
        <w:autoSpaceDN w:val="0"/>
        <w:adjustRightInd w:val="0"/>
        <w:snapToGrid w:val="0"/>
        <w:spacing w:line="420" w:lineRule="exact"/>
        <w:ind w:firstLine="480"/>
        <w:textAlignment w:val="baseline"/>
        <w:rPr>
          <w:rFonts w:ascii="宋体" w:hAnsi="宋体"/>
          <w:kern w:val="0"/>
          <w:szCs w:val="21"/>
          <w:highlight w:val="none"/>
        </w:rPr>
      </w:pPr>
      <w:r>
        <w:rPr>
          <w:rFonts w:ascii="宋体" w:hAnsi="宋体"/>
          <w:kern w:val="0"/>
          <w:szCs w:val="21"/>
          <w:highlight w:val="none"/>
        </w:rPr>
        <w:t>投保内容：</w:t>
      </w:r>
      <w:r>
        <w:rPr>
          <w:rFonts w:ascii="宋体" w:hAnsi="宋体"/>
          <w:kern w:val="0"/>
          <w:szCs w:val="21"/>
          <w:highlight w:val="none"/>
          <w:u w:val="single"/>
        </w:rPr>
        <w:t>为本合同工程的永久工程、临时工程及已运至施工工地用于永久工程的材料和设备所投的保险</w:t>
      </w:r>
      <w:r>
        <w:rPr>
          <w:rFonts w:ascii="宋体" w:hAnsi="宋体"/>
          <w:kern w:val="0"/>
          <w:szCs w:val="21"/>
          <w:highlight w:val="none"/>
        </w:rPr>
        <w:t>；</w:t>
      </w:r>
    </w:p>
    <w:p w14:paraId="62551ACB">
      <w:pPr>
        <w:autoSpaceDE w:val="0"/>
        <w:autoSpaceDN w:val="0"/>
        <w:adjustRightInd w:val="0"/>
        <w:snapToGrid w:val="0"/>
        <w:spacing w:line="420" w:lineRule="exact"/>
        <w:ind w:firstLine="480"/>
        <w:textAlignment w:val="baseline"/>
        <w:rPr>
          <w:rFonts w:ascii="宋体" w:hAnsi="宋体"/>
          <w:kern w:val="0"/>
          <w:szCs w:val="21"/>
          <w:highlight w:val="none"/>
        </w:rPr>
      </w:pPr>
      <w:r>
        <w:rPr>
          <w:rFonts w:ascii="宋体" w:hAnsi="宋体"/>
          <w:kern w:val="0"/>
          <w:szCs w:val="21"/>
          <w:highlight w:val="none"/>
        </w:rPr>
        <w:t>保险金额、保险费率和保险期限：</w:t>
      </w:r>
      <w:r>
        <w:rPr>
          <w:rFonts w:ascii="宋体" w:hAnsi="宋体"/>
          <w:kern w:val="0"/>
          <w:szCs w:val="21"/>
          <w:highlight w:val="none"/>
          <w:u w:val="single"/>
        </w:rPr>
        <w:t>保险金额</w:t>
      </w:r>
      <w:r>
        <w:rPr>
          <w:rFonts w:hint="eastAsia" w:ascii="宋体" w:hAnsi="宋体"/>
          <w:kern w:val="0"/>
          <w:szCs w:val="21"/>
          <w:highlight w:val="none"/>
          <w:u w:val="single"/>
        </w:rPr>
        <w:t>及保险费率</w:t>
      </w:r>
      <w:r>
        <w:rPr>
          <w:rFonts w:ascii="宋体" w:hAnsi="宋体"/>
          <w:kern w:val="0"/>
          <w:szCs w:val="21"/>
          <w:highlight w:val="none"/>
          <w:u w:val="single"/>
        </w:rPr>
        <w:t>按保险人规定，保险期限自开工即日算起</w:t>
      </w:r>
      <w:r>
        <w:rPr>
          <w:rFonts w:ascii="宋体" w:hAnsi="宋体"/>
          <w:kern w:val="0"/>
          <w:szCs w:val="21"/>
          <w:highlight w:val="none"/>
        </w:rPr>
        <w:t>至</w:t>
      </w:r>
      <w:r>
        <w:rPr>
          <w:rFonts w:ascii="宋体" w:hAnsi="宋体"/>
          <w:kern w:val="0"/>
          <w:szCs w:val="21"/>
          <w:highlight w:val="none"/>
          <w:u w:val="single"/>
        </w:rPr>
        <w:t>颁发工程移交证书</w:t>
      </w:r>
      <w:r>
        <w:rPr>
          <w:rFonts w:ascii="宋体" w:hAnsi="宋体"/>
          <w:kern w:val="0"/>
          <w:szCs w:val="21"/>
          <w:highlight w:val="none"/>
        </w:rPr>
        <w:t>。</w:t>
      </w:r>
    </w:p>
    <w:p w14:paraId="4AB66B13">
      <w:pPr>
        <w:keepNext/>
        <w:keepLines/>
        <w:numPr>
          <w:ilvl w:val="4"/>
          <w:numId w:val="0"/>
        </w:numPr>
        <w:tabs>
          <w:tab w:val="left" w:pos="0"/>
        </w:tabs>
        <w:suppressAutoHyphens/>
        <w:snapToGrid w:val="0"/>
        <w:spacing w:line="420" w:lineRule="exact"/>
        <w:outlineLvl w:val="4"/>
        <w:rPr>
          <w:rFonts w:ascii="宋体" w:hAnsi="宋体"/>
          <w:b/>
          <w:spacing w:val="20"/>
          <w:szCs w:val="21"/>
          <w:highlight w:val="none"/>
        </w:rPr>
      </w:pPr>
      <w:r>
        <w:rPr>
          <w:rFonts w:ascii="宋体" w:hAnsi="宋体"/>
          <w:snapToGrid w:val="0"/>
          <w:szCs w:val="21"/>
          <w:highlight w:val="none"/>
        </w:rPr>
        <w:t>20.4 第三者责任险</w:t>
      </w:r>
    </w:p>
    <w:p w14:paraId="7B731355">
      <w:pPr>
        <w:snapToGrid w:val="0"/>
        <w:spacing w:line="420" w:lineRule="exact"/>
        <w:ind w:firstLine="480"/>
        <w:rPr>
          <w:rFonts w:ascii="宋体" w:hAnsi="Courier New"/>
          <w:szCs w:val="21"/>
          <w:highlight w:val="none"/>
          <w:u w:val="single"/>
        </w:rPr>
      </w:pPr>
      <w:r>
        <w:rPr>
          <w:rFonts w:ascii="宋体" w:hAnsi="Courier New"/>
          <w:szCs w:val="21"/>
          <w:highlight w:val="none"/>
        </w:rPr>
        <w:t>20.4.2 第三者责任险保险费率：</w:t>
      </w:r>
      <w:r>
        <w:rPr>
          <w:rFonts w:ascii="宋体" w:hAnsi="Courier New"/>
          <w:szCs w:val="21"/>
          <w:highlight w:val="none"/>
          <w:u w:val="single"/>
        </w:rPr>
        <w:t>保险费率</w:t>
      </w:r>
      <w:r>
        <w:rPr>
          <w:rFonts w:hint="eastAsia" w:ascii="宋体" w:hAnsi="Courier New"/>
          <w:szCs w:val="21"/>
          <w:highlight w:val="none"/>
          <w:u w:val="single"/>
        </w:rPr>
        <w:t>按保险人规定</w:t>
      </w:r>
      <w:r>
        <w:rPr>
          <w:rFonts w:ascii="宋体" w:hAnsi="Courier New"/>
          <w:szCs w:val="21"/>
          <w:highlight w:val="none"/>
        </w:rPr>
        <w:t>；第三者责任险最低保险金额：</w:t>
      </w:r>
      <w:r>
        <w:rPr>
          <w:rFonts w:hint="eastAsia" w:ascii="宋体" w:hAnsi="Courier New"/>
          <w:szCs w:val="21"/>
          <w:highlight w:val="none"/>
          <w:u w:val="single"/>
        </w:rPr>
        <w:t>结算时根据发票按实结算</w:t>
      </w:r>
      <w:r>
        <w:rPr>
          <w:rFonts w:ascii="宋体" w:hAnsi="Courier New"/>
          <w:szCs w:val="21"/>
          <w:highlight w:val="none"/>
          <w:u w:val="single"/>
        </w:rPr>
        <w:t>。</w:t>
      </w:r>
    </w:p>
    <w:p w14:paraId="48D99A4E">
      <w:pPr>
        <w:keepNext/>
        <w:keepLines/>
        <w:numPr>
          <w:ilvl w:val="4"/>
          <w:numId w:val="0"/>
        </w:numPr>
        <w:tabs>
          <w:tab w:val="left" w:pos="0"/>
        </w:tabs>
        <w:suppressAutoHyphens/>
        <w:snapToGrid w:val="0"/>
        <w:spacing w:line="420" w:lineRule="exact"/>
        <w:outlineLvl w:val="4"/>
        <w:rPr>
          <w:rFonts w:ascii="宋体" w:hAnsi="宋体"/>
          <w:b/>
          <w:spacing w:val="20"/>
          <w:szCs w:val="21"/>
          <w:highlight w:val="none"/>
        </w:rPr>
      </w:pPr>
      <w:r>
        <w:rPr>
          <w:rFonts w:ascii="宋体" w:hAnsi="宋体"/>
          <w:snapToGrid w:val="0"/>
          <w:szCs w:val="21"/>
          <w:highlight w:val="none"/>
        </w:rPr>
        <w:t>20.5 其它保险</w:t>
      </w:r>
    </w:p>
    <w:p w14:paraId="02E67F69">
      <w:pPr>
        <w:snapToGrid w:val="0"/>
        <w:spacing w:line="420" w:lineRule="exact"/>
        <w:ind w:firstLine="480"/>
        <w:rPr>
          <w:rFonts w:ascii="宋体" w:hAnsi="Courier New"/>
          <w:szCs w:val="21"/>
          <w:highlight w:val="none"/>
        </w:rPr>
      </w:pPr>
      <w:r>
        <w:rPr>
          <w:rFonts w:ascii="宋体" w:hAnsi="Courier New"/>
          <w:szCs w:val="21"/>
          <w:highlight w:val="none"/>
        </w:rPr>
        <w:t>需要投保的其它内容：</w:t>
      </w:r>
      <w:r>
        <w:rPr>
          <w:rFonts w:hint="eastAsia" w:ascii="宋体" w:hAnsi="Courier New"/>
          <w:szCs w:val="21"/>
          <w:highlight w:val="none"/>
          <w:u w:val="single"/>
        </w:rPr>
        <w:t>承包人须投保安责险。安责险的保费可根据《关于进一步深化安全生产责任保险工作机制建设的通知》（浙应急法规[2022]133号）规定从安全生产费用中列支</w:t>
      </w:r>
      <w:r>
        <w:rPr>
          <w:rFonts w:ascii="宋体" w:hAnsi="Courier New"/>
          <w:szCs w:val="21"/>
          <w:highlight w:val="none"/>
          <w:u w:val="single"/>
        </w:rPr>
        <w:t>。</w:t>
      </w:r>
    </w:p>
    <w:p w14:paraId="6282CB3B">
      <w:pPr>
        <w:autoSpaceDE w:val="0"/>
        <w:autoSpaceDN w:val="0"/>
        <w:adjustRightInd w:val="0"/>
        <w:snapToGrid w:val="0"/>
        <w:spacing w:line="420" w:lineRule="exact"/>
        <w:ind w:firstLine="480"/>
        <w:textAlignment w:val="baseline"/>
        <w:rPr>
          <w:rFonts w:ascii="宋体" w:hAnsi="宋体"/>
          <w:kern w:val="0"/>
          <w:szCs w:val="21"/>
          <w:highlight w:val="none"/>
        </w:rPr>
      </w:pPr>
      <w:r>
        <w:rPr>
          <w:rFonts w:ascii="宋体" w:hAnsi="宋体"/>
          <w:kern w:val="0"/>
          <w:szCs w:val="21"/>
          <w:highlight w:val="none"/>
        </w:rPr>
        <w:t>保险金额、保险费率和保险期限：</w:t>
      </w:r>
      <w:r>
        <w:rPr>
          <w:rFonts w:ascii="宋体" w:hAnsi="宋体"/>
          <w:kern w:val="0"/>
          <w:szCs w:val="21"/>
          <w:highlight w:val="none"/>
          <w:u w:val="single"/>
        </w:rPr>
        <w:t xml:space="preserve">  / </w:t>
      </w:r>
      <w:r>
        <w:rPr>
          <w:rFonts w:ascii="宋体" w:hAnsi="宋体"/>
          <w:kern w:val="0"/>
          <w:szCs w:val="21"/>
          <w:highlight w:val="none"/>
        </w:rPr>
        <w:t>。</w:t>
      </w:r>
    </w:p>
    <w:p w14:paraId="26BA61A8">
      <w:pPr>
        <w:keepNext/>
        <w:keepLines/>
        <w:numPr>
          <w:ilvl w:val="4"/>
          <w:numId w:val="0"/>
        </w:numPr>
        <w:tabs>
          <w:tab w:val="left" w:pos="0"/>
        </w:tabs>
        <w:suppressAutoHyphens/>
        <w:snapToGrid w:val="0"/>
        <w:spacing w:line="420" w:lineRule="exact"/>
        <w:outlineLvl w:val="4"/>
        <w:rPr>
          <w:rFonts w:ascii="宋体" w:hAnsi="宋体"/>
          <w:b/>
          <w:spacing w:val="20"/>
          <w:szCs w:val="21"/>
          <w:highlight w:val="none"/>
        </w:rPr>
      </w:pPr>
      <w:r>
        <w:rPr>
          <w:rFonts w:ascii="宋体" w:hAnsi="宋体"/>
          <w:snapToGrid w:val="0"/>
          <w:szCs w:val="21"/>
          <w:highlight w:val="none"/>
        </w:rPr>
        <w:t>20.6 对各项保险的一般要求</w:t>
      </w:r>
    </w:p>
    <w:p w14:paraId="7CD55DC4">
      <w:pPr>
        <w:snapToGrid w:val="0"/>
        <w:spacing w:line="420" w:lineRule="exact"/>
        <w:ind w:firstLine="480"/>
        <w:rPr>
          <w:rFonts w:ascii="宋体" w:hAnsi="Courier New"/>
          <w:szCs w:val="21"/>
          <w:highlight w:val="none"/>
        </w:rPr>
      </w:pPr>
      <w:r>
        <w:rPr>
          <w:rFonts w:ascii="宋体" w:hAnsi="Courier New"/>
          <w:szCs w:val="21"/>
          <w:highlight w:val="none"/>
        </w:rPr>
        <w:t>20. 6.1 保险凭证</w:t>
      </w:r>
    </w:p>
    <w:p w14:paraId="7EE979A8">
      <w:pPr>
        <w:snapToGrid w:val="0"/>
        <w:spacing w:line="420" w:lineRule="exact"/>
        <w:ind w:firstLine="480"/>
        <w:rPr>
          <w:rFonts w:ascii="宋体" w:hAnsi="Courier New"/>
          <w:szCs w:val="21"/>
          <w:highlight w:val="none"/>
        </w:rPr>
      </w:pPr>
      <w:r>
        <w:rPr>
          <w:rFonts w:ascii="宋体" w:hAnsi="Courier New"/>
          <w:szCs w:val="21"/>
          <w:highlight w:val="none"/>
        </w:rPr>
        <w:t>承包人提交保险凭证的期限：</w:t>
      </w:r>
      <w:r>
        <w:rPr>
          <w:rFonts w:ascii="宋体" w:hAnsi="Courier New"/>
          <w:szCs w:val="21"/>
          <w:highlight w:val="none"/>
          <w:u w:val="single"/>
        </w:rPr>
        <w:t>保险手续办理完毕后7 天内提交；</w:t>
      </w:r>
    </w:p>
    <w:p w14:paraId="46397C55">
      <w:pPr>
        <w:snapToGrid w:val="0"/>
        <w:spacing w:line="420" w:lineRule="exact"/>
        <w:ind w:firstLine="480"/>
        <w:rPr>
          <w:rFonts w:ascii="宋体" w:hAnsi="Courier New"/>
          <w:szCs w:val="21"/>
          <w:highlight w:val="none"/>
        </w:rPr>
      </w:pPr>
      <w:r>
        <w:rPr>
          <w:rFonts w:ascii="宋体" w:hAnsi="Courier New"/>
          <w:szCs w:val="21"/>
          <w:highlight w:val="none"/>
        </w:rPr>
        <w:t>保险条件：</w:t>
      </w:r>
      <w:r>
        <w:rPr>
          <w:rFonts w:ascii="宋体" w:hAnsi="Courier New"/>
          <w:szCs w:val="21"/>
          <w:highlight w:val="none"/>
          <w:u w:val="single"/>
        </w:rPr>
        <w:t>满足合同条款的规定</w:t>
      </w:r>
      <w:r>
        <w:rPr>
          <w:rFonts w:ascii="宋体" w:hAnsi="Courier New"/>
          <w:szCs w:val="21"/>
          <w:highlight w:val="none"/>
        </w:rPr>
        <w:t>。</w:t>
      </w:r>
    </w:p>
    <w:p w14:paraId="619FD072">
      <w:pPr>
        <w:snapToGrid w:val="0"/>
        <w:spacing w:line="420" w:lineRule="exact"/>
        <w:ind w:firstLine="480"/>
        <w:rPr>
          <w:rFonts w:ascii="宋体" w:hAnsi="Courier New"/>
          <w:szCs w:val="21"/>
          <w:highlight w:val="none"/>
        </w:rPr>
      </w:pPr>
      <w:r>
        <w:rPr>
          <w:rFonts w:ascii="宋体" w:hAnsi="Courier New"/>
          <w:szCs w:val="21"/>
          <w:highlight w:val="none"/>
        </w:rPr>
        <w:t>20.6.4 保险金不足的补偿</w:t>
      </w:r>
    </w:p>
    <w:p w14:paraId="10AE5318">
      <w:pPr>
        <w:snapToGrid w:val="0"/>
        <w:spacing w:line="420" w:lineRule="exact"/>
        <w:ind w:firstLine="480"/>
        <w:rPr>
          <w:rFonts w:ascii="宋体" w:hAnsi="Courier New"/>
          <w:szCs w:val="21"/>
          <w:highlight w:val="none"/>
        </w:rPr>
      </w:pPr>
      <w:r>
        <w:rPr>
          <w:rFonts w:ascii="宋体" w:hAnsi="Courier New"/>
          <w:szCs w:val="21"/>
          <w:highlight w:val="none"/>
        </w:rPr>
        <w:t>承包人负责补偿的范围与金额：</w:t>
      </w:r>
      <w:r>
        <w:rPr>
          <w:rFonts w:ascii="宋体" w:hAnsi="Courier New"/>
          <w:szCs w:val="21"/>
          <w:highlight w:val="none"/>
          <w:u w:val="single"/>
        </w:rPr>
        <w:t>免赔额部分及保险金不足的补偿均由承包人负责</w:t>
      </w:r>
      <w:r>
        <w:rPr>
          <w:rFonts w:ascii="宋体" w:hAnsi="Courier New"/>
          <w:szCs w:val="21"/>
          <w:highlight w:val="none"/>
        </w:rPr>
        <w:t>。</w:t>
      </w:r>
    </w:p>
    <w:p w14:paraId="440ED7C2">
      <w:pPr>
        <w:snapToGrid w:val="0"/>
        <w:spacing w:line="420" w:lineRule="exact"/>
        <w:ind w:firstLine="480"/>
        <w:rPr>
          <w:rFonts w:ascii="宋体" w:hAnsi="Courier New"/>
          <w:szCs w:val="21"/>
          <w:highlight w:val="none"/>
        </w:rPr>
      </w:pPr>
      <w:r>
        <w:rPr>
          <w:rFonts w:ascii="宋体" w:hAnsi="Courier New"/>
          <w:szCs w:val="21"/>
          <w:highlight w:val="none"/>
        </w:rPr>
        <w:t>发包人负责补偿的范围与金额：</w:t>
      </w:r>
      <w:r>
        <w:rPr>
          <w:rFonts w:ascii="宋体" w:hAnsi="Courier New"/>
          <w:szCs w:val="21"/>
          <w:highlight w:val="none"/>
          <w:u w:val="single"/>
        </w:rPr>
        <w:t>由于本工程一切保险均由承包人负责投保，其费用均列入报价，故发包人不承担保险金不足的补偿</w:t>
      </w:r>
      <w:r>
        <w:rPr>
          <w:rFonts w:ascii="宋体" w:hAnsi="Courier New"/>
          <w:szCs w:val="21"/>
          <w:highlight w:val="none"/>
        </w:rPr>
        <w:t>。</w:t>
      </w:r>
    </w:p>
    <w:p w14:paraId="4CE032FD">
      <w:pPr>
        <w:snapToGrid w:val="0"/>
        <w:spacing w:line="420" w:lineRule="exact"/>
        <w:ind w:firstLine="480"/>
        <w:rPr>
          <w:rFonts w:ascii="宋体" w:hAnsi="Courier New"/>
          <w:szCs w:val="21"/>
          <w:highlight w:val="none"/>
        </w:rPr>
      </w:pPr>
      <w:r>
        <w:rPr>
          <w:rFonts w:hint="eastAsia" w:ascii="宋体" w:hAnsi="Courier New"/>
          <w:szCs w:val="21"/>
          <w:highlight w:val="none"/>
        </w:rPr>
        <w:t>22.违约</w:t>
      </w:r>
    </w:p>
    <w:p w14:paraId="2D6CB608">
      <w:pPr>
        <w:keepNext/>
        <w:keepLines/>
        <w:numPr>
          <w:ilvl w:val="4"/>
          <w:numId w:val="0"/>
        </w:numPr>
        <w:tabs>
          <w:tab w:val="left" w:pos="0"/>
        </w:tabs>
        <w:suppressAutoHyphens/>
        <w:snapToGrid w:val="0"/>
        <w:spacing w:line="360" w:lineRule="auto"/>
        <w:outlineLvl w:val="4"/>
        <w:rPr>
          <w:snapToGrid w:val="0"/>
          <w:szCs w:val="21"/>
          <w:highlight w:val="none"/>
        </w:rPr>
      </w:pPr>
      <w:bookmarkStart w:id="54" w:name="_Toc398708163"/>
      <w:bookmarkStart w:id="55" w:name="_Toc456597043"/>
      <w:bookmarkStart w:id="56" w:name="_Toc381220923"/>
      <w:bookmarkStart w:id="57" w:name="_Toc384843112"/>
      <w:bookmarkStart w:id="58" w:name="_Toc350975306"/>
      <w:r>
        <w:rPr>
          <w:rFonts w:hint="eastAsia"/>
          <w:snapToGrid w:val="0"/>
          <w:szCs w:val="21"/>
          <w:highlight w:val="none"/>
        </w:rPr>
        <w:t>22 违约</w:t>
      </w:r>
      <w:bookmarkEnd w:id="54"/>
      <w:bookmarkEnd w:id="55"/>
      <w:bookmarkEnd w:id="56"/>
      <w:bookmarkEnd w:id="57"/>
      <w:bookmarkEnd w:id="58"/>
    </w:p>
    <w:p w14:paraId="4D2DB421">
      <w:pPr>
        <w:keepNext/>
        <w:keepLines/>
        <w:numPr>
          <w:ilvl w:val="4"/>
          <w:numId w:val="0"/>
        </w:numPr>
        <w:tabs>
          <w:tab w:val="left" w:pos="0"/>
        </w:tabs>
        <w:suppressAutoHyphens/>
        <w:snapToGrid w:val="0"/>
        <w:spacing w:line="360" w:lineRule="auto"/>
        <w:outlineLvl w:val="4"/>
        <w:rPr>
          <w:rFonts w:hint="eastAsia"/>
          <w:snapToGrid w:val="0"/>
          <w:szCs w:val="21"/>
          <w:highlight w:val="none"/>
        </w:rPr>
      </w:pPr>
      <w:r>
        <w:rPr>
          <w:rFonts w:hint="eastAsia"/>
          <w:snapToGrid w:val="0"/>
          <w:szCs w:val="21"/>
          <w:highlight w:val="none"/>
        </w:rPr>
        <w:t>22.1.1 承包人违约</w:t>
      </w:r>
    </w:p>
    <w:p w14:paraId="6C5E9E54">
      <w:pPr>
        <w:autoSpaceDE w:val="0"/>
        <w:autoSpaceDN w:val="0"/>
        <w:adjustRightInd w:val="0"/>
        <w:spacing w:line="360" w:lineRule="auto"/>
        <w:jc w:val="left"/>
        <w:rPr>
          <w:rFonts w:ascii="宋体" w:hAnsi="宋体" w:cs="宋体"/>
          <w:kern w:val="0"/>
          <w:szCs w:val="21"/>
          <w:highlight w:val="none"/>
        </w:rPr>
      </w:pPr>
      <w:r>
        <w:rPr>
          <w:rFonts w:ascii="宋体" w:hAnsi="宋体" w:cs="宋体"/>
          <w:kern w:val="0"/>
          <w:szCs w:val="21"/>
          <w:highlight w:val="none"/>
        </w:rPr>
        <w:t>本项增加：</w:t>
      </w:r>
    </w:p>
    <w:p w14:paraId="68109E83">
      <w:pPr>
        <w:autoSpaceDE w:val="0"/>
        <w:autoSpaceDN w:val="0"/>
        <w:adjustRightInd w:val="0"/>
        <w:spacing w:line="360" w:lineRule="auto"/>
        <w:textAlignment w:val="baseline"/>
        <w:rPr>
          <w:rFonts w:hint="eastAsia" w:ascii="宋体" w:hAnsi="Courier New"/>
          <w:szCs w:val="21"/>
          <w:highlight w:val="none"/>
        </w:rPr>
      </w:pPr>
      <w:r>
        <w:rPr>
          <w:rFonts w:hint="eastAsia" w:ascii="宋体" w:hAnsi="Courier New"/>
          <w:szCs w:val="21"/>
          <w:highlight w:val="none"/>
        </w:rPr>
        <w:t>（8）</w:t>
      </w:r>
      <w:r>
        <w:rPr>
          <w:rFonts w:ascii="宋体" w:hAnsi="Courier New"/>
          <w:szCs w:val="21"/>
          <w:highlight w:val="none"/>
        </w:rPr>
        <w:t>承包人未按招标文件的要求进行安全、文明施工。</w:t>
      </w:r>
    </w:p>
    <w:p w14:paraId="5C5DC3CD">
      <w:pPr>
        <w:autoSpaceDE w:val="0"/>
        <w:autoSpaceDN w:val="0"/>
        <w:adjustRightInd w:val="0"/>
        <w:spacing w:line="360" w:lineRule="auto"/>
        <w:textAlignment w:val="baseline"/>
        <w:rPr>
          <w:rFonts w:ascii="宋体" w:hAnsi="Courier New"/>
          <w:szCs w:val="21"/>
          <w:highlight w:val="none"/>
        </w:rPr>
      </w:pPr>
      <w:r>
        <w:rPr>
          <w:rFonts w:hint="eastAsia" w:ascii="宋体" w:hAnsi="Courier New"/>
          <w:szCs w:val="21"/>
          <w:highlight w:val="none"/>
        </w:rPr>
        <w:t>（9）承包人未按合同约定时间内上交竣工资料</w:t>
      </w:r>
    </w:p>
    <w:p w14:paraId="2D708090">
      <w:pPr>
        <w:keepNext/>
        <w:keepLines/>
        <w:numPr>
          <w:ilvl w:val="4"/>
          <w:numId w:val="0"/>
        </w:numPr>
        <w:tabs>
          <w:tab w:val="left" w:pos="0"/>
        </w:tabs>
        <w:suppressAutoHyphens/>
        <w:snapToGrid w:val="0"/>
        <w:spacing w:line="360" w:lineRule="auto"/>
        <w:outlineLvl w:val="4"/>
        <w:rPr>
          <w:snapToGrid w:val="0"/>
          <w:szCs w:val="21"/>
          <w:highlight w:val="none"/>
        </w:rPr>
      </w:pPr>
      <w:r>
        <w:rPr>
          <w:rFonts w:hint="eastAsia"/>
          <w:snapToGrid w:val="0"/>
          <w:szCs w:val="21"/>
          <w:highlight w:val="none"/>
        </w:rPr>
        <w:t>22.1.2 对承包人违约的处理</w:t>
      </w:r>
    </w:p>
    <w:p w14:paraId="645A4DCF">
      <w:pPr>
        <w:spacing w:line="360" w:lineRule="auto"/>
        <w:ind w:firstLine="420" w:firstLineChars="200"/>
        <w:rPr>
          <w:rFonts w:hint="eastAsia" w:ascii="宋体" w:hAnsi="宋体" w:cs="宋体"/>
          <w:highlight w:val="none"/>
        </w:rPr>
      </w:pPr>
      <w:r>
        <w:rPr>
          <w:rFonts w:hint="eastAsia" w:ascii="宋体" w:hAnsi="宋体" w:cs="宋体"/>
          <w:highlight w:val="none"/>
        </w:rPr>
        <w:t>补充以下条款：</w:t>
      </w:r>
    </w:p>
    <w:p w14:paraId="126EA331">
      <w:pPr>
        <w:spacing w:line="360" w:lineRule="auto"/>
        <w:ind w:firstLine="420" w:firstLineChars="200"/>
        <w:rPr>
          <w:rFonts w:hint="eastAsia" w:ascii="宋体" w:hAnsi="宋体" w:cs="宋体"/>
          <w:highlight w:val="none"/>
        </w:rPr>
      </w:pPr>
      <w:r>
        <w:rPr>
          <w:rFonts w:hint="eastAsia" w:ascii="宋体" w:hAnsi="宋体" w:cs="宋体"/>
          <w:highlight w:val="none"/>
        </w:rPr>
        <w:t>本项增加：</w:t>
      </w:r>
    </w:p>
    <w:p w14:paraId="617297D3">
      <w:pPr>
        <w:autoSpaceDE w:val="0"/>
        <w:autoSpaceDN w:val="0"/>
        <w:adjustRightInd w:val="0"/>
        <w:spacing w:line="360" w:lineRule="auto"/>
        <w:textAlignment w:val="baseline"/>
        <w:rPr>
          <w:rFonts w:ascii="宋体" w:hAnsi="Courier New"/>
          <w:szCs w:val="21"/>
          <w:highlight w:val="none"/>
        </w:rPr>
      </w:pPr>
      <w:r>
        <w:rPr>
          <w:rFonts w:hint="eastAsia" w:ascii="宋体" w:hAnsi="宋体" w:cs="宋体"/>
          <w:kern w:val="0"/>
          <w:szCs w:val="21"/>
          <w:highlight w:val="none"/>
        </w:rPr>
        <w:t xml:space="preserve">   </w:t>
      </w:r>
      <w:r>
        <w:rPr>
          <w:rFonts w:hint="eastAsia" w:ascii="宋体" w:hAnsi="Courier New"/>
          <w:szCs w:val="21"/>
          <w:highlight w:val="none"/>
        </w:rPr>
        <w:t xml:space="preserve"> ⑷</w:t>
      </w:r>
      <w:r>
        <w:rPr>
          <w:rFonts w:ascii="宋体" w:hAnsi="Courier New"/>
          <w:szCs w:val="21"/>
          <w:highlight w:val="none"/>
        </w:rPr>
        <w:t>承包人发生第22.1.1</w:t>
      </w:r>
      <w:r>
        <w:rPr>
          <w:rFonts w:hint="eastAsia" w:ascii="宋体" w:hAnsi="Courier New"/>
          <w:szCs w:val="21"/>
          <w:highlight w:val="none"/>
        </w:rPr>
        <w:t>⑻</w:t>
      </w:r>
      <w:r>
        <w:rPr>
          <w:rFonts w:ascii="宋体" w:hAnsi="Courier New"/>
          <w:szCs w:val="21"/>
          <w:highlight w:val="none"/>
        </w:rPr>
        <w:t>目约定的违约情形时，若发现问题且情节较轻，发包人第一次警告，并限期整改，情节较重的，扣除</w:t>
      </w:r>
      <w:r>
        <w:rPr>
          <w:rFonts w:hint="eastAsia" w:ascii="宋体" w:hAnsi="Courier New"/>
          <w:szCs w:val="21"/>
          <w:highlight w:val="none"/>
        </w:rPr>
        <w:t>500</w:t>
      </w:r>
      <w:r>
        <w:rPr>
          <w:rFonts w:ascii="宋体" w:hAnsi="Courier New"/>
          <w:szCs w:val="21"/>
          <w:highlight w:val="none"/>
        </w:rPr>
        <w:t>元整的文明施工费（具体按发包人制定的相关制度执行）；被二次发现问题，扣除</w:t>
      </w:r>
      <w:r>
        <w:rPr>
          <w:rFonts w:hint="eastAsia" w:ascii="宋体" w:hAnsi="Courier New"/>
          <w:szCs w:val="21"/>
          <w:highlight w:val="none"/>
        </w:rPr>
        <w:t>1000</w:t>
      </w:r>
      <w:r>
        <w:rPr>
          <w:rFonts w:ascii="宋体" w:hAnsi="Courier New"/>
          <w:szCs w:val="21"/>
          <w:highlight w:val="none"/>
        </w:rPr>
        <w:t>元整的文明施工费，若再次发生，加倍扣罚。若由于施工不文明、不安全、市场行为不规范等被媒体曝光或被有关管理部门检查通报，每次扣除承包人</w:t>
      </w:r>
      <w:r>
        <w:rPr>
          <w:rFonts w:hint="eastAsia" w:ascii="宋体" w:hAnsi="Courier New"/>
          <w:szCs w:val="21"/>
          <w:highlight w:val="none"/>
        </w:rPr>
        <w:t>10000</w:t>
      </w:r>
      <w:r>
        <w:rPr>
          <w:rFonts w:ascii="宋体" w:hAnsi="Courier New"/>
          <w:szCs w:val="21"/>
          <w:highlight w:val="none"/>
        </w:rPr>
        <w:t>元整。</w:t>
      </w:r>
    </w:p>
    <w:p w14:paraId="2D604F4D">
      <w:pPr>
        <w:autoSpaceDE w:val="0"/>
        <w:autoSpaceDN w:val="0"/>
        <w:adjustRightInd w:val="0"/>
        <w:spacing w:line="360" w:lineRule="auto"/>
        <w:textAlignment w:val="baseline"/>
        <w:rPr>
          <w:rFonts w:ascii="宋体" w:hAnsi="Courier New"/>
          <w:szCs w:val="21"/>
          <w:highlight w:val="none"/>
        </w:rPr>
      </w:pPr>
      <w:r>
        <w:rPr>
          <w:rFonts w:hint="eastAsia" w:ascii="宋体" w:hAnsi="Courier New"/>
          <w:szCs w:val="21"/>
          <w:highlight w:val="none"/>
        </w:rPr>
        <w:t xml:space="preserve">   ⑸</w:t>
      </w:r>
      <w:r>
        <w:rPr>
          <w:rFonts w:ascii="宋体" w:hAnsi="Courier New"/>
          <w:szCs w:val="21"/>
          <w:highlight w:val="none"/>
        </w:rPr>
        <w:t>承包人发生第22.1.1</w:t>
      </w:r>
      <w:r>
        <w:rPr>
          <w:rFonts w:hint="eastAsia" w:ascii="宋体" w:hAnsi="Courier New"/>
          <w:szCs w:val="21"/>
          <w:highlight w:val="none"/>
        </w:rPr>
        <w:t>⑼</w:t>
      </w:r>
      <w:r>
        <w:rPr>
          <w:rFonts w:ascii="宋体" w:hAnsi="Courier New"/>
          <w:szCs w:val="21"/>
          <w:highlight w:val="none"/>
        </w:rPr>
        <w:t>目约定的违约情形时，上交竣工资料每延迟一天，在应支付工程款内扣罚2000元整，累计扣罚总额不超过</w:t>
      </w:r>
      <w:r>
        <w:rPr>
          <w:rFonts w:hint="eastAsia" w:ascii="宋体" w:hAnsi="Courier New"/>
          <w:szCs w:val="21"/>
          <w:highlight w:val="none"/>
        </w:rPr>
        <w:t>60000</w:t>
      </w:r>
      <w:r>
        <w:rPr>
          <w:rFonts w:ascii="宋体" w:hAnsi="Courier New"/>
          <w:szCs w:val="21"/>
          <w:highlight w:val="none"/>
        </w:rPr>
        <w:t>元整。</w:t>
      </w:r>
    </w:p>
    <w:p w14:paraId="0EEA634A">
      <w:pPr>
        <w:autoSpaceDE w:val="0"/>
        <w:autoSpaceDN w:val="0"/>
        <w:adjustRightInd w:val="0"/>
        <w:spacing w:line="360" w:lineRule="auto"/>
        <w:textAlignment w:val="baseline"/>
        <w:rPr>
          <w:rFonts w:ascii="宋体" w:hAnsi="Courier New"/>
          <w:szCs w:val="21"/>
          <w:highlight w:val="none"/>
        </w:rPr>
      </w:pPr>
      <w:r>
        <w:rPr>
          <w:rFonts w:hint="eastAsia" w:ascii="宋体" w:hAnsi="Courier New"/>
          <w:szCs w:val="21"/>
          <w:highlight w:val="none"/>
        </w:rPr>
        <w:t xml:space="preserve">    （5）质量违约的处理：</w:t>
      </w:r>
    </w:p>
    <w:p w14:paraId="2C39B47A">
      <w:pPr>
        <w:autoSpaceDE w:val="0"/>
        <w:autoSpaceDN w:val="0"/>
        <w:adjustRightInd w:val="0"/>
        <w:spacing w:line="360" w:lineRule="auto"/>
        <w:textAlignment w:val="baseline"/>
        <w:rPr>
          <w:rFonts w:ascii="宋体" w:hAnsi="Courier New"/>
          <w:szCs w:val="21"/>
          <w:highlight w:val="none"/>
        </w:rPr>
      </w:pPr>
      <w:r>
        <w:rPr>
          <w:rFonts w:hint="eastAsia" w:ascii="宋体" w:hAnsi="Courier New"/>
          <w:szCs w:val="21"/>
          <w:highlight w:val="none"/>
        </w:rPr>
        <w:t xml:space="preserve">     ① 承包人发生第22.1.1项（3）目情况，在发包人向承包人发出书面通知的14天内未见纠正后，发包人将按每一情况酌情向承包人扣以不超过0.1％签约合同价的违约金。即使缴纳了违约金，承包人仍应按合同规定继续实施和完成本合同工程及其缺陷修复。</w:t>
      </w:r>
    </w:p>
    <w:p w14:paraId="19D630AE">
      <w:pPr>
        <w:spacing w:line="360" w:lineRule="auto"/>
        <w:ind w:firstLine="420" w:firstLineChars="200"/>
        <w:rPr>
          <w:rFonts w:ascii="宋体" w:hAnsi="Courier New"/>
          <w:szCs w:val="21"/>
          <w:highlight w:val="none"/>
        </w:rPr>
      </w:pPr>
      <w:r>
        <w:rPr>
          <w:rFonts w:hint="eastAsia" w:ascii="宋体" w:hAnsi="Courier New"/>
          <w:szCs w:val="21"/>
          <w:highlight w:val="none"/>
        </w:rPr>
        <w:t>② 工程发生较大及以上质量事故的，每次扣除签约合同价0.2%的违约金。</w:t>
      </w:r>
    </w:p>
    <w:p w14:paraId="7FDCB992">
      <w:pPr>
        <w:spacing w:line="360" w:lineRule="auto"/>
        <w:ind w:firstLine="420" w:firstLineChars="200"/>
        <w:rPr>
          <w:rFonts w:ascii="宋体" w:hAnsi="Courier New"/>
          <w:szCs w:val="21"/>
          <w:highlight w:val="none"/>
        </w:rPr>
      </w:pPr>
      <w:r>
        <w:rPr>
          <w:rFonts w:hint="eastAsia" w:ascii="宋体" w:hAnsi="Courier New"/>
          <w:szCs w:val="21"/>
          <w:highlight w:val="none"/>
        </w:rPr>
        <w:t>③ 上述违约金的总和不超过履约保证金的30%。</w:t>
      </w:r>
    </w:p>
    <w:p w14:paraId="39984516">
      <w:pPr>
        <w:spacing w:line="360" w:lineRule="auto"/>
        <w:ind w:firstLine="420" w:firstLineChars="200"/>
        <w:rPr>
          <w:rFonts w:ascii="宋体" w:hAnsi="Courier New"/>
          <w:szCs w:val="21"/>
          <w:highlight w:val="none"/>
        </w:rPr>
      </w:pPr>
      <w:r>
        <w:rPr>
          <w:rFonts w:hint="eastAsia" w:ascii="宋体" w:hAnsi="Courier New"/>
          <w:szCs w:val="21"/>
          <w:highlight w:val="none"/>
        </w:rPr>
        <w:t>（6）民工工资支付违约处理</w:t>
      </w:r>
    </w:p>
    <w:p w14:paraId="4226D9E7">
      <w:pPr>
        <w:spacing w:line="360" w:lineRule="auto"/>
        <w:ind w:firstLine="420" w:firstLineChars="200"/>
        <w:rPr>
          <w:rFonts w:ascii="宋体" w:hAnsi="Courier New"/>
          <w:szCs w:val="21"/>
          <w:highlight w:val="none"/>
        </w:rPr>
      </w:pPr>
      <w:r>
        <w:rPr>
          <w:rFonts w:hint="eastAsia" w:ascii="宋体" w:hAnsi="Courier New"/>
          <w:szCs w:val="21"/>
          <w:highlight w:val="none"/>
        </w:rPr>
        <w:t>① 未按规定及时支付民工工资的，除由发包人从工程进度款中代发以外，每次扣除签约合同价0.1%的违约金。</w:t>
      </w:r>
    </w:p>
    <w:p w14:paraId="7DDE74E7">
      <w:pPr>
        <w:spacing w:line="360" w:lineRule="auto"/>
        <w:ind w:firstLine="420" w:firstLineChars="200"/>
        <w:rPr>
          <w:rFonts w:ascii="宋体" w:hAnsi="Courier New"/>
          <w:szCs w:val="21"/>
          <w:highlight w:val="none"/>
        </w:rPr>
      </w:pPr>
      <w:r>
        <w:rPr>
          <w:rFonts w:hint="eastAsia" w:ascii="宋体" w:hAnsi="Courier New"/>
          <w:szCs w:val="21"/>
          <w:highlight w:val="none"/>
        </w:rPr>
        <w:t>② 上述违约金的总和不超过履约保证金的10%。</w:t>
      </w:r>
    </w:p>
    <w:p w14:paraId="21141AA5">
      <w:pPr>
        <w:spacing w:line="360" w:lineRule="auto"/>
        <w:ind w:firstLine="420" w:firstLineChars="200"/>
        <w:rPr>
          <w:rFonts w:ascii="宋体" w:hAnsi="Courier New"/>
          <w:szCs w:val="21"/>
          <w:highlight w:val="none"/>
        </w:rPr>
      </w:pPr>
      <w:r>
        <w:rPr>
          <w:rFonts w:hint="eastAsia" w:ascii="宋体" w:hAnsi="Courier New"/>
          <w:szCs w:val="21"/>
          <w:highlight w:val="none"/>
        </w:rPr>
        <w:t>（7）安全违约的处理：</w:t>
      </w:r>
    </w:p>
    <w:p w14:paraId="42856363">
      <w:pPr>
        <w:spacing w:line="360" w:lineRule="auto"/>
        <w:ind w:firstLine="420" w:firstLineChars="200"/>
        <w:rPr>
          <w:rFonts w:ascii="宋体" w:hAnsi="Courier New"/>
          <w:szCs w:val="21"/>
          <w:highlight w:val="none"/>
        </w:rPr>
      </w:pPr>
      <w:r>
        <w:rPr>
          <w:rFonts w:hint="eastAsia" w:ascii="宋体" w:hAnsi="Courier New"/>
          <w:szCs w:val="21"/>
          <w:highlight w:val="none"/>
        </w:rPr>
        <w:t>① 经检查，发现存在安全隐患且在规定的时间内未整改到位的，除酌情扣除安全</w:t>
      </w:r>
      <w:r>
        <w:rPr>
          <w:rFonts w:hint="eastAsia" w:ascii="宋体" w:hAnsi="Courier New"/>
          <w:szCs w:val="21"/>
          <w:highlight w:val="none"/>
          <w:lang w:val="en-US" w:eastAsia="zh-CN"/>
        </w:rPr>
        <w:t>文明</w:t>
      </w:r>
      <w:r>
        <w:rPr>
          <w:rFonts w:hint="eastAsia" w:ascii="宋体" w:hAnsi="Courier New"/>
          <w:szCs w:val="21"/>
          <w:highlight w:val="none"/>
        </w:rPr>
        <w:t>施工费外，每次扣除签约合同价0.1%的违约金。</w:t>
      </w:r>
    </w:p>
    <w:p w14:paraId="4388199C">
      <w:pPr>
        <w:spacing w:line="360" w:lineRule="auto"/>
        <w:ind w:firstLine="420" w:firstLineChars="200"/>
        <w:rPr>
          <w:rFonts w:ascii="宋体" w:hAnsi="Courier New"/>
          <w:szCs w:val="21"/>
          <w:highlight w:val="none"/>
        </w:rPr>
      </w:pPr>
      <w:r>
        <w:rPr>
          <w:rFonts w:hint="eastAsia" w:ascii="宋体" w:hAnsi="Courier New"/>
          <w:szCs w:val="21"/>
          <w:highlight w:val="none"/>
        </w:rPr>
        <w:t>② 发生安全事故的，每次扣除签约合同价0.2%的违约金。</w:t>
      </w:r>
    </w:p>
    <w:p w14:paraId="7991DAD0">
      <w:pPr>
        <w:spacing w:line="360" w:lineRule="auto"/>
        <w:ind w:firstLine="420" w:firstLineChars="200"/>
        <w:rPr>
          <w:rFonts w:ascii="宋体" w:hAnsi="Courier New"/>
          <w:szCs w:val="21"/>
          <w:highlight w:val="none"/>
        </w:rPr>
      </w:pPr>
      <w:r>
        <w:rPr>
          <w:rFonts w:hint="eastAsia" w:ascii="宋体" w:hAnsi="Courier New"/>
          <w:szCs w:val="21"/>
          <w:highlight w:val="none"/>
        </w:rPr>
        <w:t>③ 上述违约金的总和不超过履约保证金的20%。</w:t>
      </w:r>
    </w:p>
    <w:p w14:paraId="5FE6FF5F">
      <w:pPr>
        <w:keepLines/>
        <w:widowControl/>
        <w:autoSpaceDE w:val="0"/>
        <w:autoSpaceDN w:val="0"/>
        <w:adjustRightInd w:val="0"/>
        <w:snapToGrid w:val="0"/>
        <w:spacing w:line="420" w:lineRule="exact"/>
        <w:jc w:val="left"/>
        <w:textAlignment w:val="baseline"/>
        <w:outlineLvl w:val="3"/>
        <w:rPr>
          <w:rFonts w:ascii="宋体" w:hAnsi="宋体"/>
          <w:snapToGrid w:val="0"/>
          <w:kern w:val="0"/>
          <w:szCs w:val="21"/>
          <w:highlight w:val="none"/>
        </w:rPr>
      </w:pPr>
      <w:r>
        <w:rPr>
          <w:rFonts w:ascii="宋体" w:hAnsi="宋体"/>
          <w:snapToGrid w:val="0"/>
          <w:kern w:val="0"/>
          <w:szCs w:val="21"/>
          <w:highlight w:val="none"/>
        </w:rPr>
        <w:t>24 争议的解决</w:t>
      </w:r>
    </w:p>
    <w:p w14:paraId="2C39FA01">
      <w:pPr>
        <w:keepNext/>
        <w:keepLines/>
        <w:numPr>
          <w:ilvl w:val="4"/>
          <w:numId w:val="0"/>
        </w:numPr>
        <w:tabs>
          <w:tab w:val="left" w:pos="0"/>
        </w:tabs>
        <w:suppressAutoHyphens/>
        <w:snapToGrid w:val="0"/>
        <w:spacing w:line="420" w:lineRule="exact"/>
        <w:outlineLvl w:val="4"/>
        <w:rPr>
          <w:rFonts w:ascii="宋体" w:hAnsi="宋体"/>
          <w:b/>
          <w:spacing w:val="20"/>
          <w:szCs w:val="21"/>
          <w:highlight w:val="none"/>
        </w:rPr>
      </w:pPr>
      <w:r>
        <w:rPr>
          <w:rFonts w:ascii="宋体" w:hAnsi="宋体"/>
          <w:snapToGrid w:val="0"/>
          <w:szCs w:val="21"/>
          <w:highlight w:val="none"/>
        </w:rPr>
        <w:t>24.1 争议的解决方式</w:t>
      </w:r>
    </w:p>
    <w:p w14:paraId="262227DC">
      <w:pPr>
        <w:widowControl/>
        <w:snapToGrid w:val="0"/>
        <w:spacing w:line="420" w:lineRule="exact"/>
        <w:ind w:firstLine="480"/>
        <w:jc w:val="left"/>
        <w:rPr>
          <w:rFonts w:ascii="宋体" w:hAnsi="宋体" w:cs="宋体"/>
          <w:kern w:val="0"/>
          <w:szCs w:val="21"/>
          <w:highlight w:val="none"/>
        </w:rPr>
      </w:pPr>
      <w:r>
        <w:rPr>
          <w:rFonts w:ascii="宋体" w:hAnsi="宋体"/>
          <w:kern w:val="0"/>
          <w:szCs w:val="21"/>
          <w:highlight w:val="none"/>
        </w:rPr>
        <w:t>合同当事人友好协商解决不成、不愿提请争议评审或不接受争议评审组意见的，</w:t>
      </w:r>
      <w:r>
        <w:rPr>
          <w:rFonts w:hint="eastAsia" w:ascii="宋体" w:hAnsi="宋体"/>
          <w:kern w:val="0"/>
          <w:szCs w:val="21"/>
          <w:highlight w:val="none"/>
        </w:rPr>
        <w:t>向</w:t>
      </w:r>
      <w:r>
        <w:rPr>
          <w:rFonts w:ascii="宋体" w:hAnsi="宋体"/>
          <w:kern w:val="0"/>
          <w:szCs w:val="21"/>
          <w:highlight w:val="none"/>
        </w:rPr>
        <w:t>约定的合同</w:t>
      </w:r>
      <w:r>
        <w:rPr>
          <w:rFonts w:hint="eastAsia" w:ascii="宋体" w:hAnsi="宋体"/>
          <w:kern w:val="0"/>
          <w:szCs w:val="21"/>
          <w:highlight w:val="none"/>
          <w:u w:val="single"/>
        </w:rPr>
        <w:t>工程所在地</w:t>
      </w:r>
      <w:r>
        <w:rPr>
          <w:rFonts w:ascii="宋体" w:hAnsi="宋体"/>
          <w:kern w:val="0"/>
          <w:szCs w:val="21"/>
          <w:highlight w:val="none"/>
          <w:u w:val="single"/>
        </w:rPr>
        <w:t>的人民法院提起诉讼。</w:t>
      </w:r>
    </w:p>
    <w:p w14:paraId="2BF81709">
      <w:pPr>
        <w:keepNext/>
        <w:keepLines/>
        <w:numPr>
          <w:ilvl w:val="4"/>
          <w:numId w:val="0"/>
        </w:numPr>
        <w:tabs>
          <w:tab w:val="left" w:pos="0"/>
        </w:tabs>
        <w:suppressAutoHyphens/>
        <w:snapToGrid w:val="0"/>
        <w:spacing w:line="420" w:lineRule="exact"/>
        <w:outlineLvl w:val="4"/>
        <w:rPr>
          <w:rFonts w:ascii="宋体" w:hAnsi="宋体"/>
          <w:b/>
          <w:spacing w:val="20"/>
          <w:szCs w:val="21"/>
          <w:highlight w:val="none"/>
        </w:rPr>
      </w:pPr>
      <w:r>
        <w:rPr>
          <w:rFonts w:ascii="宋体" w:hAnsi="宋体"/>
          <w:snapToGrid w:val="0"/>
          <w:szCs w:val="21"/>
          <w:highlight w:val="none"/>
        </w:rPr>
        <w:t>24.2 友好解决</w:t>
      </w:r>
    </w:p>
    <w:p w14:paraId="66EED06A">
      <w:pPr>
        <w:widowControl/>
        <w:snapToGrid w:val="0"/>
        <w:spacing w:line="420" w:lineRule="exact"/>
        <w:ind w:firstLine="480"/>
        <w:jc w:val="left"/>
        <w:rPr>
          <w:rFonts w:hint="eastAsia" w:ascii="宋体" w:hAnsi="宋体"/>
          <w:kern w:val="0"/>
          <w:szCs w:val="21"/>
          <w:highlight w:val="none"/>
        </w:rPr>
      </w:pPr>
      <w:r>
        <w:rPr>
          <w:rFonts w:ascii="宋体" w:hAnsi="宋体"/>
          <w:kern w:val="0"/>
          <w:szCs w:val="21"/>
          <w:highlight w:val="none"/>
        </w:rPr>
        <w:t>补充：</w:t>
      </w:r>
      <w:r>
        <w:rPr>
          <w:rFonts w:hint="eastAsia" w:ascii="宋体" w:hAnsi="宋体"/>
          <w:kern w:val="0"/>
          <w:szCs w:val="21"/>
          <w:highlight w:val="none"/>
        </w:rPr>
        <w:t>合同当事人可以就争议请第三方或省水行政主管部门进行调解，调解达成协议的，经双方签字并盖章后作为合同补充文件，双方均应遵照执行。</w:t>
      </w:r>
    </w:p>
    <w:p w14:paraId="228F02C8">
      <w:pPr>
        <w:keepNext/>
        <w:keepLines/>
        <w:numPr>
          <w:ilvl w:val="4"/>
          <w:numId w:val="0"/>
        </w:numPr>
        <w:tabs>
          <w:tab w:val="left" w:pos="0"/>
        </w:tabs>
        <w:suppressAutoHyphens/>
        <w:snapToGrid w:val="0"/>
        <w:spacing w:line="420" w:lineRule="exact"/>
        <w:outlineLvl w:val="4"/>
        <w:rPr>
          <w:rFonts w:hint="eastAsia" w:ascii="宋体" w:hAnsi="宋体"/>
          <w:snapToGrid w:val="0"/>
          <w:szCs w:val="20"/>
          <w:highlight w:val="none"/>
        </w:rPr>
      </w:pPr>
      <w:r>
        <w:rPr>
          <w:rFonts w:hint="eastAsia" w:ascii="宋体" w:hAnsi="宋体"/>
          <w:snapToGrid w:val="0"/>
          <w:szCs w:val="20"/>
          <w:highlight w:val="none"/>
        </w:rPr>
        <w:t>24.3争议评审</w:t>
      </w:r>
    </w:p>
    <w:p w14:paraId="4C3A4D60">
      <w:pPr>
        <w:widowControl/>
        <w:snapToGrid w:val="0"/>
        <w:spacing w:line="420" w:lineRule="exact"/>
        <w:ind w:firstLine="480"/>
        <w:jc w:val="left"/>
        <w:rPr>
          <w:rFonts w:ascii="宋体" w:hAnsi="宋体" w:cs="宋体"/>
          <w:kern w:val="0"/>
          <w:szCs w:val="21"/>
          <w:highlight w:val="none"/>
        </w:rPr>
      </w:pPr>
      <w:r>
        <w:rPr>
          <w:rFonts w:hint="eastAsia" w:ascii="宋体" w:hAnsi="宋体" w:cs="宋体"/>
          <w:kern w:val="0"/>
          <w:szCs w:val="21"/>
          <w:highlight w:val="none"/>
        </w:rPr>
        <w:t>24.3.7补充：发包人或承包人不接受评审意见时，可请省水行政主管部门进行调解。</w:t>
      </w:r>
    </w:p>
    <w:p w14:paraId="14580129">
      <w:pPr>
        <w:keepLines/>
        <w:widowControl/>
        <w:autoSpaceDE w:val="0"/>
        <w:autoSpaceDN w:val="0"/>
        <w:adjustRightInd w:val="0"/>
        <w:snapToGrid w:val="0"/>
        <w:spacing w:line="420" w:lineRule="exact"/>
        <w:jc w:val="left"/>
        <w:textAlignment w:val="baseline"/>
        <w:outlineLvl w:val="3"/>
        <w:rPr>
          <w:rFonts w:ascii="宋体" w:hAnsi="宋体"/>
          <w:b/>
          <w:snapToGrid w:val="0"/>
          <w:kern w:val="0"/>
          <w:szCs w:val="21"/>
          <w:highlight w:val="none"/>
        </w:rPr>
      </w:pPr>
      <w:r>
        <w:rPr>
          <w:rFonts w:hint="eastAsia" w:ascii="宋体" w:hAnsi="宋体"/>
          <w:snapToGrid w:val="0"/>
          <w:kern w:val="0"/>
          <w:szCs w:val="21"/>
          <w:highlight w:val="none"/>
        </w:rPr>
        <w:t>25  其它</w:t>
      </w:r>
    </w:p>
    <w:p w14:paraId="026EBB41">
      <w:pPr>
        <w:autoSpaceDE w:val="0"/>
        <w:autoSpaceDN w:val="0"/>
        <w:adjustRightInd w:val="0"/>
        <w:spacing w:line="420" w:lineRule="exact"/>
        <w:ind w:firstLine="360"/>
        <w:textAlignment w:val="baseline"/>
        <w:rPr>
          <w:rFonts w:ascii="宋体" w:hAnsi="宋体"/>
          <w:kern w:val="0"/>
          <w:szCs w:val="21"/>
          <w:highlight w:val="none"/>
        </w:rPr>
      </w:pPr>
      <w:r>
        <w:rPr>
          <w:rFonts w:hint="eastAsia" w:ascii="宋体" w:hAnsi="宋体"/>
          <w:kern w:val="0"/>
          <w:szCs w:val="21"/>
          <w:highlight w:val="none"/>
        </w:rPr>
        <w:t>25.</w:t>
      </w:r>
      <w:r>
        <w:rPr>
          <w:rFonts w:ascii="宋体" w:hAnsi="宋体"/>
          <w:kern w:val="0"/>
          <w:szCs w:val="21"/>
          <w:highlight w:val="none"/>
        </w:rPr>
        <w:t>1</w:t>
      </w:r>
      <w:r>
        <w:rPr>
          <w:rFonts w:hint="eastAsia" w:ascii="宋体" w:hAnsi="宋体"/>
          <w:kern w:val="0"/>
          <w:szCs w:val="21"/>
          <w:highlight w:val="none"/>
        </w:rPr>
        <w:t>工程保险费按第一至第四部分投资合计的4.5‰计算（含第三者责任险在内），凭票结算，发票金额大于报价的，按报价金额结算；发票金额小于报价的，按发票金额结算。</w:t>
      </w:r>
    </w:p>
    <w:p w14:paraId="159C3BBE">
      <w:pPr>
        <w:autoSpaceDE w:val="0"/>
        <w:autoSpaceDN w:val="0"/>
        <w:adjustRightInd w:val="0"/>
        <w:spacing w:line="420" w:lineRule="exact"/>
        <w:ind w:firstLine="360"/>
        <w:textAlignment w:val="baseline"/>
        <w:rPr>
          <w:rFonts w:ascii="宋体" w:hAnsi="宋体"/>
          <w:kern w:val="0"/>
          <w:szCs w:val="21"/>
          <w:highlight w:val="none"/>
        </w:rPr>
      </w:pPr>
      <w:r>
        <w:rPr>
          <w:rFonts w:hint="eastAsia" w:ascii="宋体" w:hAnsi="宋体"/>
          <w:kern w:val="0"/>
          <w:szCs w:val="21"/>
          <w:highlight w:val="none"/>
        </w:rPr>
        <w:t>25.2土方余方外运运距按5km计入运输费包含在合同价中，由承包人在投标报价时综合考虑，结算不作调整。土方消纳处置按实结算。</w:t>
      </w:r>
    </w:p>
    <w:p w14:paraId="7EA3EA86">
      <w:pPr>
        <w:autoSpaceDE w:val="0"/>
        <w:autoSpaceDN w:val="0"/>
        <w:adjustRightInd w:val="0"/>
        <w:spacing w:line="420" w:lineRule="exact"/>
        <w:ind w:firstLine="360"/>
        <w:textAlignment w:val="baseline"/>
        <w:rPr>
          <w:rFonts w:hint="eastAsia" w:ascii="宋体" w:hAnsi="宋体" w:eastAsia="宋体" w:cs="Times New Roman"/>
          <w:kern w:val="0"/>
          <w:szCs w:val="21"/>
          <w:highlight w:val="none"/>
        </w:rPr>
      </w:pPr>
      <w:r>
        <w:rPr>
          <w:rFonts w:hint="eastAsia" w:ascii="宋体" w:hAnsi="宋体" w:eastAsia="宋体" w:cs="Times New Roman"/>
          <w:kern w:val="0"/>
          <w:szCs w:val="21"/>
          <w:highlight w:val="none"/>
        </w:rPr>
        <w:t>25.3</w:t>
      </w:r>
      <w:r>
        <w:rPr>
          <w:rFonts w:hint="eastAsia" w:ascii="宋体" w:hAnsi="宋体" w:eastAsia="宋体" w:cs="Times New Roman"/>
          <w:kern w:val="0"/>
          <w:szCs w:val="21"/>
          <w:highlight w:val="none"/>
          <w:lang w:val="en-US" w:eastAsia="zh-CN"/>
        </w:rPr>
        <w:t>安全文明施工费不得作为竞争性费用，且实行标外管理。安全生产措施费的使用范围按国家和省有关规定执行，安全生产措施费的使用，由承包人提出方案和预算，经监理审核，发包人批准后按方案实施进度支付。</w:t>
      </w:r>
    </w:p>
    <w:p w14:paraId="6CC10506">
      <w:pPr>
        <w:autoSpaceDE w:val="0"/>
        <w:autoSpaceDN w:val="0"/>
        <w:adjustRightInd w:val="0"/>
        <w:spacing w:line="420" w:lineRule="exact"/>
        <w:ind w:firstLine="360"/>
        <w:textAlignment w:val="baseline"/>
        <w:rPr>
          <w:rFonts w:hint="eastAsia" w:ascii="宋体" w:hAnsi="宋体"/>
          <w:kern w:val="0"/>
          <w:szCs w:val="21"/>
          <w:highlight w:val="none"/>
        </w:rPr>
      </w:pPr>
      <w:r>
        <w:rPr>
          <w:rFonts w:hint="eastAsia" w:ascii="宋体" w:hAnsi="宋体"/>
          <w:kern w:val="0"/>
          <w:szCs w:val="21"/>
          <w:highlight w:val="none"/>
        </w:rPr>
        <w:t>25.4 本工程</w:t>
      </w:r>
      <w:r>
        <w:rPr>
          <w:rFonts w:ascii="宋体" w:hAnsi="宋体"/>
          <w:kern w:val="0"/>
          <w:szCs w:val="21"/>
          <w:highlight w:val="none"/>
        </w:rPr>
        <w:t>发包人不提供施工用水</w:t>
      </w:r>
      <w:r>
        <w:rPr>
          <w:rFonts w:hint="eastAsia" w:ascii="宋体" w:hAnsi="宋体"/>
          <w:kern w:val="0"/>
          <w:szCs w:val="21"/>
          <w:highlight w:val="none"/>
        </w:rPr>
        <w:t>、</w:t>
      </w:r>
      <w:r>
        <w:rPr>
          <w:rFonts w:ascii="宋体" w:hAnsi="宋体"/>
          <w:kern w:val="0"/>
          <w:szCs w:val="21"/>
          <w:highlight w:val="none"/>
        </w:rPr>
        <w:t>用电接入点，</w:t>
      </w:r>
      <w:r>
        <w:rPr>
          <w:rFonts w:hint="eastAsia" w:ascii="宋体" w:hAnsi="宋体"/>
          <w:kern w:val="0"/>
          <w:szCs w:val="21"/>
          <w:highlight w:val="none"/>
        </w:rPr>
        <w:t>该</w:t>
      </w:r>
      <w:r>
        <w:rPr>
          <w:rFonts w:ascii="宋体" w:hAnsi="宋体"/>
          <w:kern w:val="0"/>
          <w:szCs w:val="21"/>
          <w:highlight w:val="none"/>
        </w:rPr>
        <w:t>费用承包人自行</w:t>
      </w:r>
      <w:r>
        <w:rPr>
          <w:rFonts w:hint="eastAsia" w:ascii="宋体" w:hAnsi="宋体"/>
          <w:kern w:val="0"/>
          <w:szCs w:val="21"/>
          <w:highlight w:val="none"/>
        </w:rPr>
        <w:t xml:space="preserve">承担。 </w:t>
      </w:r>
    </w:p>
    <w:p w14:paraId="6E5D74E6">
      <w:pPr>
        <w:autoSpaceDE w:val="0"/>
        <w:autoSpaceDN w:val="0"/>
        <w:adjustRightInd w:val="0"/>
        <w:spacing w:line="420" w:lineRule="exact"/>
        <w:ind w:firstLine="360"/>
        <w:textAlignment w:val="baseline"/>
        <w:rPr>
          <w:rFonts w:ascii="宋体" w:hAnsi="宋体"/>
          <w:kern w:val="0"/>
          <w:szCs w:val="21"/>
          <w:highlight w:val="none"/>
        </w:rPr>
      </w:pPr>
      <w:r>
        <w:rPr>
          <w:rFonts w:hint="eastAsia" w:ascii="宋体" w:hAnsi="宋体"/>
          <w:kern w:val="0"/>
          <w:szCs w:val="21"/>
          <w:highlight w:val="none"/>
        </w:rPr>
        <w:t>25.5</w:t>
      </w:r>
      <w:r>
        <w:rPr>
          <w:rFonts w:ascii="宋体" w:hAnsi="宋体"/>
          <w:kern w:val="0"/>
          <w:szCs w:val="21"/>
          <w:highlight w:val="none"/>
        </w:rPr>
        <w:t xml:space="preserve"> </w:t>
      </w:r>
      <w:r>
        <w:rPr>
          <w:rFonts w:hint="eastAsia" w:ascii="宋体" w:hAnsi="宋体"/>
          <w:kern w:val="0"/>
          <w:szCs w:val="21"/>
          <w:highlight w:val="none"/>
        </w:rPr>
        <w:t>本工程以“项”为计量单位的，承包人均已在投标报价时综合考虑各方面因素，结算时均按承包人投标时的综合单价计入工程总造价，结算不作调整。</w:t>
      </w:r>
    </w:p>
    <w:p w14:paraId="541D784D">
      <w:pPr>
        <w:autoSpaceDE w:val="0"/>
        <w:autoSpaceDN w:val="0"/>
        <w:adjustRightInd w:val="0"/>
        <w:spacing w:line="420" w:lineRule="exact"/>
        <w:ind w:firstLine="360"/>
        <w:textAlignment w:val="baseline"/>
        <w:rPr>
          <w:rFonts w:ascii="宋体" w:hAnsi="宋体"/>
          <w:kern w:val="0"/>
          <w:szCs w:val="21"/>
          <w:highlight w:val="none"/>
        </w:rPr>
      </w:pPr>
      <w:r>
        <w:rPr>
          <w:rFonts w:hint="eastAsia" w:ascii="宋体" w:hAnsi="宋体"/>
          <w:kern w:val="0"/>
          <w:szCs w:val="21"/>
          <w:highlight w:val="none"/>
        </w:rPr>
        <w:t>2</w:t>
      </w:r>
      <w:r>
        <w:rPr>
          <w:rFonts w:ascii="宋体" w:hAnsi="宋体"/>
          <w:kern w:val="0"/>
          <w:szCs w:val="21"/>
          <w:highlight w:val="none"/>
        </w:rPr>
        <w:t xml:space="preserve">5.6 </w:t>
      </w:r>
      <w:r>
        <w:rPr>
          <w:rFonts w:hint="eastAsia" w:ascii="宋体" w:hAnsi="宋体"/>
          <w:kern w:val="0"/>
          <w:szCs w:val="21"/>
          <w:highlight w:val="none"/>
        </w:rPr>
        <w:t>本工程量清单子目要求各潜在投标人根据招标文件、施工图纸、项目特征内容综合报价，对没有在清单中列出的工作内容或清单描述不够详尽之处，要求承包人根据施工规范及施工图纸结合现行的定额在相应子目中综合考虑，结算时，除法律法规、行业主管部门明确规定可以调整外不作调整；</w:t>
      </w:r>
    </w:p>
    <w:p w14:paraId="128E224A">
      <w:pPr>
        <w:autoSpaceDE w:val="0"/>
        <w:autoSpaceDN w:val="0"/>
        <w:adjustRightInd w:val="0"/>
        <w:spacing w:line="420" w:lineRule="exact"/>
        <w:ind w:firstLine="360"/>
        <w:textAlignment w:val="baseline"/>
        <w:rPr>
          <w:rFonts w:hint="eastAsia" w:ascii="宋体" w:hAnsi="宋体"/>
          <w:kern w:val="0"/>
          <w:szCs w:val="21"/>
          <w:highlight w:val="none"/>
        </w:rPr>
      </w:pPr>
      <w:r>
        <w:rPr>
          <w:rFonts w:hint="eastAsia" w:ascii="宋体" w:hAnsi="宋体"/>
          <w:kern w:val="0"/>
          <w:szCs w:val="21"/>
          <w:highlight w:val="none"/>
        </w:rPr>
        <w:t>2</w:t>
      </w:r>
      <w:r>
        <w:rPr>
          <w:rFonts w:ascii="宋体" w:hAnsi="宋体"/>
          <w:kern w:val="0"/>
          <w:szCs w:val="21"/>
          <w:highlight w:val="none"/>
        </w:rPr>
        <w:t xml:space="preserve">5.7 </w:t>
      </w:r>
      <w:r>
        <w:rPr>
          <w:rFonts w:hint="eastAsia" w:ascii="宋体" w:hAnsi="宋体"/>
          <w:kern w:val="0"/>
          <w:szCs w:val="21"/>
          <w:highlight w:val="none"/>
        </w:rPr>
        <w:t>绿化工程苗木养护期自完工验收合格以后开始计算为一年（补种苗木承包人仍需养护一年），养护期一年满后且全部苗木成活后由发包人组织绿化工程竣工验收并进行移交。绑扎草绳费用含在合同价内，由承包人在投标报价时综合考虑，不另行计取。</w:t>
      </w:r>
    </w:p>
    <w:p w14:paraId="7C340547">
      <w:pPr>
        <w:autoSpaceDE w:val="0"/>
        <w:autoSpaceDN w:val="0"/>
        <w:adjustRightInd w:val="0"/>
        <w:spacing w:line="420" w:lineRule="exact"/>
        <w:ind w:firstLine="360"/>
        <w:textAlignment w:val="baseline"/>
        <w:rPr>
          <w:rFonts w:hint="eastAsia" w:ascii="宋体" w:hAnsi="宋体"/>
          <w:kern w:val="0"/>
          <w:szCs w:val="21"/>
          <w:highlight w:val="none"/>
        </w:rPr>
      </w:pPr>
      <w:r>
        <w:rPr>
          <w:rFonts w:hint="eastAsia" w:ascii="宋体" w:hAnsi="宋体"/>
          <w:kern w:val="0"/>
          <w:szCs w:val="21"/>
          <w:highlight w:val="none"/>
        </w:rPr>
        <w:t>绿化苗木养护的内容包括：基本工作指一般的正常维护，即浇水、清理垃圾、防风防汛、补植和防人为损坏及零星病虫害防治、除杂草和修剪等；定期工作是指全面修剪整形、施肥、除杂草、松土和全面病虫害防治。</w:t>
      </w:r>
    </w:p>
    <w:p w14:paraId="60D582BD">
      <w:pPr>
        <w:autoSpaceDE w:val="0"/>
        <w:autoSpaceDN w:val="0"/>
        <w:adjustRightInd w:val="0"/>
        <w:spacing w:line="420" w:lineRule="exact"/>
        <w:ind w:firstLine="360"/>
        <w:textAlignment w:val="baseline"/>
        <w:rPr>
          <w:rFonts w:hint="eastAsia" w:ascii="宋体" w:hAnsi="宋体"/>
          <w:kern w:val="0"/>
          <w:szCs w:val="21"/>
          <w:highlight w:val="none"/>
        </w:rPr>
      </w:pPr>
      <w:r>
        <w:rPr>
          <w:rFonts w:hint="eastAsia" w:ascii="宋体" w:hAnsi="宋体"/>
          <w:kern w:val="0"/>
          <w:szCs w:val="21"/>
          <w:highlight w:val="none"/>
        </w:rPr>
        <w:t xml:space="preserve">具体如下：（1）修剪：根据各类植物的生长特点、立地环境、景观要求，按照操作规程适时进行。  </w:t>
      </w:r>
    </w:p>
    <w:p w14:paraId="040B4D58">
      <w:pPr>
        <w:autoSpaceDE w:val="0"/>
        <w:autoSpaceDN w:val="0"/>
        <w:adjustRightInd w:val="0"/>
        <w:spacing w:line="420" w:lineRule="exact"/>
        <w:ind w:firstLine="360"/>
        <w:textAlignment w:val="baseline"/>
        <w:rPr>
          <w:rFonts w:hint="eastAsia" w:ascii="宋体" w:hAnsi="宋体"/>
          <w:kern w:val="0"/>
          <w:szCs w:val="21"/>
          <w:highlight w:val="none"/>
        </w:rPr>
      </w:pPr>
      <w:r>
        <w:rPr>
          <w:rFonts w:hint="eastAsia" w:ascii="宋体" w:hAnsi="宋体"/>
          <w:kern w:val="0"/>
          <w:szCs w:val="21"/>
          <w:highlight w:val="none"/>
        </w:rPr>
        <w:t xml:space="preserve">（2）灌溉与排水：根据天气、立地条件和树种的抗旱能力，进行适期、适量的灌溉，保持土壤中有效水分。 </w:t>
      </w:r>
    </w:p>
    <w:p w14:paraId="2EBF8CC5">
      <w:pPr>
        <w:autoSpaceDE w:val="0"/>
        <w:autoSpaceDN w:val="0"/>
        <w:adjustRightInd w:val="0"/>
        <w:spacing w:line="420" w:lineRule="exact"/>
        <w:ind w:firstLine="360"/>
        <w:textAlignment w:val="baseline"/>
        <w:rPr>
          <w:rFonts w:hint="eastAsia" w:ascii="宋体" w:hAnsi="宋体"/>
          <w:kern w:val="0"/>
          <w:szCs w:val="21"/>
          <w:highlight w:val="none"/>
        </w:rPr>
      </w:pPr>
      <w:r>
        <w:rPr>
          <w:rFonts w:hint="eastAsia" w:ascii="宋体" w:hAnsi="宋体"/>
          <w:kern w:val="0"/>
          <w:szCs w:val="21"/>
          <w:highlight w:val="none"/>
        </w:rPr>
        <w:t xml:space="preserve">（3）中耕除草：绿地中影响植物景观的直立性杂草和影响苗木生长的各类野生藤蔓，应及时清除，及时清除树木周边生长的杂草，保证树木的正常生长。  </w:t>
      </w:r>
    </w:p>
    <w:p w14:paraId="6B1636B2">
      <w:pPr>
        <w:autoSpaceDE w:val="0"/>
        <w:autoSpaceDN w:val="0"/>
        <w:adjustRightInd w:val="0"/>
        <w:spacing w:line="420" w:lineRule="exact"/>
        <w:ind w:firstLine="360"/>
        <w:textAlignment w:val="baseline"/>
        <w:rPr>
          <w:rFonts w:hint="eastAsia" w:ascii="宋体" w:hAnsi="宋体"/>
          <w:kern w:val="0"/>
          <w:szCs w:val="21"/>
          <w:highlight w:val="none"/>
        </w:rPr>
      </w:pPr>
      <w:r>
        <w:rPr>
          <w:rFonts w:hint="eastAsia" w:ascii="宋体" w:hAnsi="宋体"/>
          <w:kern w:val="0"/>
          <w:szCs w:val="21"/>
          <w:highlight w:val="none"/>
        </w:rPr>
        <w:t xml:space="preserve">（4）施肥：根据各类植物的生长特点及植物对肥料的需要，要求年施肥不得少于2次以上，新种植物视生长情况，适时适量进行施肥，以保持各类植物的生长旺盛达到一定景观效果。  </w:t>
      </w:r>
    </w:p>
    <w:p w14:paraId="5941B675">
      <w:pPr>
        <w:autoSpaceDE w:val="0"/>
        <w:autoSpaceDN w:val="0"/>
        <w:adjustRightInd w:val="0"/>
        <w:spacing w:line="420" w:lineRule="exact"/>
        <w:ind w:firstLine="360"/>
        <w:textAlignment w:val="baseline"/>
        <w:rPr>
          <w:rFonts w:hint="eastAsia" w:ascii="宋体" w:hAnsi="宋体"/>
          <w:kern w:val="0"/>
          <w:szCs w:val="21"/>
          <w:highlight w:val="none"/>
        </w:rPr>
      </w:pPr>
      <w:r>
        <w:rPr>
          <w:rFonts w:hint="eastAsia" w:ascii="宋体" w:hAnsi="宋体"/>
          <w:kern w:val="0"/>
          <w:szCs w:val="21"/>
          <w:highlight w:val="none"/>
        </w:rPr>
        <w:t xml:space="preserve">（5）保护措施：即使作到抗旱、防风、防寒。园林绿地在整个养护过程中，应防止人为践踏、碰撞和折损等影响树木生长的行为。在不影响景观条件下，经监理、业主同意后可在树木周围设置栏杆围护。  </w:t>
      </w:r>
    </w:p>
    <w:p w14:paraId="4B18871A">
      <w:pPr>
        <w:autoSpaceDE w:val="0"/>
        <w:autoSpaceDN w:val="0"/>
        <w:adjustRightInd w:val="0"/>
        <w:spacing w:line="420" w:lineRule="exact"/>
        <w:ind w:firstLine="360"/>
        <w:textAlignment w:val="baseline"/>
        <w:rPr>
          <w:rFonts w:hint="eastAsia" w:ascii="宋体" w:hAnsi="宋体"/>
          <w:kern w:val="0"/>
          <w:szCs w:val="21"/>
          <w:highlight w:val="none"/>
        </w:rPr>
      </w:pPr>
      <w:r>
        <w:rPr>
          <w:rFonts w:hint="eastAsia" w:ascii="宋体" w:hAnsi="宋体"/>
          <w:kern w:val="0"/>
          <w:szCs w:val="21"/>
          <w:highlight w:val="none"/>
        </w:rPr>
        <w:t xml:space="preserve">（6）草坪养护：养护期满后单纯性草坪纯洁度保持大于95%。混合草坪应达到没有影响景观的双子叶植物和与草坪不协调的木本植物的要求。 </w:t>
      </w:r>
    </w:p>
    <w:p w14:paraId="307BB681">
      <w:pPr>
        <w:autoSpaceDE w:val="0"/>
        <w:autoSpaceDN w:val="0"/>
        <w:adjustRightInd w:val="0"/>
        <w:spacing w:line="420" w:lineRule="exact"/>
        <w:ind w:firstLine="360"/>
        <w:textAlignment w:val="baseline"/>
        <w:rPr>
          <w:rFonts w:hint="eastAsia" w:ascii="宋体" w:hAnsi="宋体"/>
          <w:kern w:val="0"/>
          <w:szCs w:val="21"/>
          <w:highlight w:val="none"/>
        </w:rPr>
      </w:pPr>
      <w:r>
        <w:rPr>
          <w:rFonts w:hint="eastAsia" w:ascii="宋体" w:hAnsi="宋体"/>
          <w:kern w:val="0"/>
          <w:szCs w:val="21"/>
          <w:highlight w:val="none"/>
        </w:rPr>
        <w:t xml:space="preserve">（7）补植：及时补植，力求种类、规格与原有的接近。 </w:t>
      </w:r>
    </w:p>
    <w:p w14:paraId="247A94A3">
      <w:pPr>
        <w:autoSpaceDE w:val="0"/>
        <w:autoSpaceDN w:val="0"/>
        <w:adjustRightInd w:val="0"/>
        <w:spacing w:line="420" w:lineRule="exact"/>
        <w:ind w:firstLine="360"/>
        <w:textAlignment w:val="baseline"/>
        <w:rPr>
          <w:rFonts w:hint="eastAsia" w:ascii="宋体" w:hAnsi="宋体"/>
          <w:kern w:val="0"/>
          <w:szCs w:val="21"/>
          <w:highlight w:val="none"/>
        </w:rPr>
      </w:pPr>
      <w:r>
        <w:rPr>
          <w:rFonts w:hint="eastAsia" w:ascii="宋体" w:hAnsi="宋体"/>
          <w:kern w:val="0"/>
          <w:szCs w:val="21"/>
          <w:highlight w:val="none"/>
        </w:rPr>
        <w:t>（8）抹芽：主要用于乔木、大型灌木，对不定芽要及时清除，以保持树木骨架清晰，促使生长形态美观，营养集中 。</w:t>
      </w:r>
    </w:p>
    <w:p w14:paraId="38FC61AC">
      <w:pPr>
        <w:autoSpaceDE w:val="0"/>
        <w:autoSpaceDN w:val="0"/>
        <w:adjustRightInd w:val="0"/>
        <w:spacing w:line="420" w:lineRule="exact"/>
        <w:ind w:firstLine="360"/>
        <w:textAlignment w:val="baseline"/>
        <w:rPr>
          <w:rFonts w:ascii="宋体" w:hAnsi="宋体"/>
          <w:kern w:val="0"/>
          <w:szCs w:val="21"/>
          <w:highlight w:val="none"/>
        </w:rPr>
      </w:pPr>
      <w:r>
        <w:rPr>
          <w:rFonts w:hint="eastAsia" w:ascii="宋体" w:hAnsi="宋体"/>
          <w:kern w:val="0"/>
          <w:szCs w:val="21"/>
          <w:highlight w:val="none"/>
        </w:rPr>
        <w:t xml:space="preserve"> （9）病虫害防治：病虫害防治是园林植物养护中较为重要的手段和内容，要根据各类植物的寄生对象及时做好预测预报，及时采取措施防治。</w:t>
      </w:r>
    </w:p>
    <w:p w14:paraId="0CE98124">
      <w:pPr>
        <w:autoSpaceDE w:val="0"/>
        <w:autoSpaceDN w:val="0"/>
        <w:adjustRightInd w:val="0"/>
        <w:spacing w:line="420" w:lineRule="exact"/>
        <w:ind w:firstLine="360"/>
        <w:textAlignment w:val="baseline"/>
        <w:rPr>
          <w:rFonts w:hint="eastAsia" w:ascii="宋体" w:hAnsi="宋体"/>
          <w:kern w:val="0"/>
          <w:szCs w:val="21"/>
          <w:highlight w:val="none"/>
        </w:rPr>
      </w:pPr>
    </w:p>
    <w:p w14:paraId="7AA107DA">
      <w:pPr>
        <w:autoSpaceDE w:val="0"/>
        <w:autoSpaceDN w:val="0"/>
        <w:adjustRightInd w:val="0"/>
        <w:spacing w:line="420" w:lineRule="exact"/>
        <w:ind w:firstLine="360"/>
        <w:textAlignment w:val="baseline"/>
        <w:rPr>
          <w:rFonts w:ascii="宋体" w:hAnsi="宋体"/>
          <w:kern w:val="0"/>
          <w:szCs w:val="21"/>
          <w:highlight w:val="none"/>
        </w:rPr>
      </w:pPr>
      <w:r>
        <w:rPr>
          <w:rFonts w:hint="eastAsia" w:ascii="宋体" w:hAnsi="宋体"/>
          <w:kern w:val="0"/>
          <w:szCs w:val="21"/>
          <w:highlight w:val="none"/>
        </w:rPr>
        <w:t xml:space="preserve"> </w:t>
      </w:r>
    </w:p>
    <w:p w14:paraId="53847C11">
      <w:pPr>
        <w:keepLines/>
        <w:widowControl/>
        <w:autoSpaceDE w:val="0"/>
        <w:autoSpaceDN w:val="0"/>
        <w:adjustRightInd w:val="0"/>
        <w:snapToGrid w:val="0"/>
        <w:spacing w:before="120" w:beforeLines="50" w:line="360" w:lineRule="auto"/>
        <w:jc w:val="center"/>
        <w:textAlignment w:val="baseline"/>
        <w:outlineLvl w:val="2"/>
        <w:rPr>
          <w:rFonts w:ascii="宋体" w:hAnsi="宋体" w:cs="宋体"/>
          <w:kern w:val="0"/>
          <w:sz w:val="24"/>
          <w:highlight w:val="none"/>
        </w:rPr>
      </w:pPr>
      <w:r>
        <w:rPr>
          <w:rFonts w:ascii="宋体" w:hAnsi="宋体"/>
          <w:kern w:val="0"/>
          <w:szCs w:val="21"/>
          <w:highlight w:val="none"/>
        </w:rPr>
        <w:br w:type="page"/>
      </w:r>
      <w:bookmarkEnd w:id="51"/>
      <w:bookmarkStart w:id="59" w:name="_Toc138599275"/>
      <w:bookmarkStart w:id="60" w:name="_Toc426321894"/>
      <w:r>
        <w:rPr>
          <w:rFonts w:ascii="宋体" w:hAnsi="宋体" w:cs="Arial"/>
          <w:b/>
          <w:sz w:val="24"/>
          <w:szCs w:val="20"/>
          <w:highlight w:val="none"/>
        </w:rPr>
        <w:t>第3节 合同附件格式</w:t>
      </w:r>
      <w:bookmarkEnd w:id="59"/>
      <w:bookmarkEnd w:id="60"/>
    </w:p>
    <w:p w14:paraId="0C8307D6">
      <w:pPr>
        <w:autoSpaceDE w:val="0"/>
        <w:autoSpaceDN w:val="0"/>
        <w:adjustRightInd w:val="0"/>
        <w:ind w:firstLine="488"/>
        <w:textAlignment w:val="baseline"/>
        <w:rPr>
          <w:kern w:val="0"/>
          <w:sz w:val="24"/>
          <w:szCs w:val="20"/>
          <w:highlight w:val="none"/>
        </w:rPr>
      </w:pPr>
    </w:p>
    <w:p w14:paraId="25443C26">
      <w:pPr>
        <w:keepLines/>
        <w:widowControl/>
        <w:autoSpaceDE w:val="0"/>
        <w:autoSpaceDN w:val="0"/>
        <w:adjustRightInd w:val="0"/>
        <w:snapToGrid w:val="0"/>
        <w:spacing w:line="360" w:lineRule="auto"/>
        <w:jc w:val="left"/>
        <w:textAlignment w:val="baseline"/>
        <w:outlineLvl w:val="3"/>
        <w:rPr>
          <w:rFonts w:ascii="宋体" w:hAnsi="宋体"/>
          <w:snapToGrid w:val="0"/>
          <w:kern w:val="0"/>
          <w:sz w:val="24"/>
          <w:szCs w:val="20"/>
          <w:highlight w:val="none"/>
        </w:rPr>
      </w:pPr>
      <w:bookmarkStart w:id="61" w:name="_Toc426321895"/>
      <w:r>
        <w:rPr>
          <w:rFonts w:ascii="宋体" w:hAnsi="宋体"/>
          <w:snapToGrid w:val="0"/>
          <w:kern w:val="0"/>
          <w:sz w:val="24"/>
          <w:szCs w:val="20"/>
          <w:highlight w:val="none"/>
        </w:rPr>
        <w:t>附件一  合同协议书</w:t>
      </w:r>
      <w:bookmarkEnd w:id="61"/>
    </w:p>
    <w:p w14:paraId="69EC70B7">
      <w:pPr>
        <w:adjustRightInd w:val="0"/>
        <w:snapToGrid w:val="0"/>
        <w:spacing w:line="360" w:lineRule="auto"/>
        <w:ind w:firstLine="240"/>
        <w:jc w:val="center"/>
        <w:rPr>
          <w:b/>
          <w:snapToGrid w:val="0"/>
          <w:kern w:val="0"/>
          <w:sz w:val="24"/>
          <w:highlight w:val="none"/>
        </w:rPr>
      </w:pPr>
    </w:p>
    <w:p w14:paraId="0A5DB7CD">
      <w:pPr>
        <w:adjustRightInd w:val="0"/>
        <w:snapToGrid w:val="0"/>
        <w:spacing w:line="460" w:lineRule="exact"/>
        <w:ind w:firstLine="240"/>
        <w:jc w:val="center"/>
        <w:rPr>
          <w:snapToGrid w:val="0"/>
          <w:kern w:val="0"/>
          <w:sz w:val="24"/>
          <w:highlight w:val="none"/>
        </w:rPr>
      </w:pPr>
      <w:r>
        <w:rPr>
          <w:b/>
          <w:snapToGrid w:val="0"/>
          <w:kern w:val="0"/>
          <w:sz w:val="24"/>
          <w:highlight w:val="none"/>
        </w:rPr>
        <w:t>合同协议书</w:t>
      </w:r>
    </w:p>
    <w:p w14:paraId="63846C78">
      <w:pPr>
        <w:autoSpaceDE w:val="0"/>
        <w:autoSpaceDN w:val="0"/>
        <w:adjustRightInd w:val="0"/>
        <w:snapToGrid w:val="0"/>
        <w:spacing w:line="460" w:lineRule="exact"/>
        <w:ind w:firstLine="420" w:firstLineChars="200"/>
        <w:textAlignment w:val="baseline"/>
        <w:rPr>
          <w:rFonts w:ascii="宋体" w:hAnsi="宋体"/>
          <w:snapToGrid w:val="0"/>
          <w:kern w:val="0"/>
          <w:szCs w:val="21"/>
          <w:highlight w:val="none"/>
        </w:rPr>
      </w:pPr>
      <w:r>
        <w:rPr>
          <w:rFonts w:ascii="宋体" w:hAnsi="宋体"/>
          <w:snapToGrid w:val="0"/>
          <w:kern w:val="0"/>
          <w:szCs w:val="21"/>
          <w:highlight w:val="none"/>
          <w:u w:val="single"/>
        </w:rPr>
        <w:t>（发包人名称，以下简称</w:t>
      </w:r>
      <w:r>
        <w:rPr>
          <w:rFonts w:hint="eastAsia" w:ascii="宋体" w:hAnsi="宋体"/>
          <w:snapToGrid w:val="0"/>
          <w:kern w:val="0"/>
          <w:szCs w:val="21"/>
          <w:highlight w:val="none"/>
          <w:u w:val="single"/>
        </w:rPr>
        <w:t>“</w:t>
      </w:r>
      <w:r>
        <w:rPr>
          <w:rFonts w:ascii="宋体" w:hAnsi="宋体"/>
          <w:snapToGrid w:val="0"/>
          <w:kern w:val="0"/>
          <w:szCs w:val="21"/>
          <w:highlight w:val="none"/>
          <w:u w:val="single"/>
        </w:rPr>
        <w:t>发包人</w:t>
      </w:r>
      <w:r>
        <w:rPr>
          <w:rFonts w:hint="eastAsia" w:ascii="宋体" w:hAnsi="宋体"/>
          <w:snapToGrid w:val="0"/>
          <w:kern w:val="0"/>
          <w:szCs w:val="21"/>
          <w:highlight w:val="none"/>
          <w:u w:val="single"/>
        </w:rPr>
        <w:t>”</w:t>
      </w:r>
      <w:r>
        <w:rPr>
          <w:rFonts w:ascii="宋体" w:hAnsi="宋体"/>
          <w:snapToGrid w:val="0"/>
          <w:kern w:val="0"/>
          <w:szCs w:val="21"/>
          <w:highlight w:val="none"/>
          <w:u w:val="single"/>
        </w:rPr>
        <w:t>）</w:t>
      </w:r>
      <w:r>
        <w:rPr>
          <w:rFonts w:ascii="宋体" w:hAnsi="宋体"/>
          <w:snapToGrid w:val="0"/>
          <w:kern w:val="0"/>
          <w:szCs w:val="21"/>
          <w:highlight w:val="none"/>
        </w:rPr>
        <w:t>为实施</w:t>
      </w:r>
      <w:r>
        <w:rPr>
          <w:rFonts w:ascii="宋体" w:hAnsi="宋体"/>
          <w:snapToGrid w:val="0"/>
          <w:kern w:val="0"/>
          <w:szCs w:val="21"/>
          <w:highlight w:val="none"/>
          <w:u w:val="single"/>
        </w:rPr>
        <w:t>（项目名称）</w:t>
      </w:r>
      <w:r>
        <w:rPr>
          <w:rFonts w:ascii="宋体" w:hAnsi="宋体"/>
          <w:snapToGrid w:val="0"/>
          <w:kern w:val="0"/>
          <w:szCs w:val="21"/>
          <w:highlight w:val="none"/>
        </w:rPr>
        <w:t>，已接受</w:t>
      </w:r>
      <w:r>
        <w:rPr>
          <w:rFonts w:ascii="宋体" w:hAnsi="宋体"/>
          <w:snapToGrid w:val="0"/>
          <w:kern w:val="0"/>
          <w:szCs w:val="21"/>
          <w:highlight w:val="none"/>
          <w:u w:val="single"/>
        </w:rPr>
        <w:t>（承包人名称，以下简称</w:t>
      </w:r>
      <w:r>
        <w:rPr>
          <w:rFonts w:hint="eastAsia" w:ascii="宋体" w:hAnsi="宋体"/>
          <w:snapToGrid w:val="0"/>
          <w:kern w:val="0"/>
          <w:szCs w:val="21"/>
          <w:highlight w:val="none"/>
          <w:u w:val="single"/>
        </w:rPr>
        <w:t>“</w:t>
      </w:r>
      <w:r>
        <w:rPr>
          <w:rFonts w:ascii="宋体" w:hAnsi="宋体"/>
          <w:snapToGrid w:val="0"/>
          <w:kern w:val="0"/>
          <w:szCs w:val="21"/>
          <w:highlight w:val="none"/>
          <w:u w:val="single"/>
        </w:rPr>
        <w:t>承包人</w:t>
      </w:r>
      <w:r>
        <w:rPr>
          <w:rFonts w:hint="eastAsia" w:ascii="宋体" w:hAnsi="宋体"/>
          <w:snapToGrid w:val="0"/>
          <w:kern w:val="0"/>
          <w:szCs w:val="21"/>
          <w:highlight w:val="none"/>
          <w:u w:val="single"/>
        </w:rPr>
        <w:t>”</w:t>
      </w:r>
      <w:r>
        <w:rPr>
          <w:rFonts w:ascii="宋体" w:hAnsi="宋体"/>
          <w:snapToGrid w:val="0"/>
          <w:kern w:val="0"/>
          <w:szCs w:val="21"/>
          <w:highlight w:val="none"/>
          <w:u w:val="single"/>
        </w:rPr>
        <w:t>）</w:t>
      </w:r>
      <w:r>
        <w:rPr>
          <w:rFonts w:ascii="宋体" w:hAnsi="宋体"/>
          <w:snapToGrid w:val="0"/>
          <w:kern w:val="0"/>
          <w:szCs w:val="21"/>
          <w:highlight w:val="none"/>
        </w:rPr>
        <w:t>对</w:t>
      </w:r>
      <w:r>
        <w:rPr>
          <w:rFonts w:ascii="宋体" w:hAnsi="宋体"/>
          <w:snapToGrid w:val="0"/>
          <w:kern w:val="0"/>
          <w:szCs w:val="21"/>
          <w:highlight w:val="none"/>
          <w:u w:val="single"/>
        </w:rPr>
        <w:t>（项目名称）（标段名称）</w:t>
      </w:r>
      <w:r>
        <w:rPr>
          <w:rFonts w:ascii="宋体" w:hAnsi="宋体"/>
          <w:snapToGrid w:val="0"/>
          <w:kern w:val="0"/>
          <w:szCs w:val="21"/>
          <w:highlight w:val="none"/>
        </w:rPr>
        <w:t>的投标，并确定其为</w:t>
      </w:r>
      <w:r>
        <w:rPr>
          <w:rFonts w:hint="eastAsia" w:ascii="宋体" w:hAnsi="宋体"/>
          <w:snapToGrid w:val="0"/>
          <w:kern w:val="0"/>
          <w:szCs w:val="21"/>
          <w:highlight w:val="none"/>
          <w:lang w:eastAsia="zh-CN"/>
        </w:rPr>
        <w:t>中标供应商</w:t>
      </w:r>
      <w:r>
        <w:rPr>
          <w:rFonts w:ascii="宋体" w:hAnsi="宋体"/>
          <w:snapToGrid w:val="0"/>
          <w:kern w:val="0"/>
          <w:szCs w:val="21"/>
          <w:highlight w:val="none"/>
        </w:rPr>
        <w:t>。发包人和承包人共同达成如下协议。</w:t>
      </w:r>
    </w:p>
    <w:p w14:paraId="12922215">
      <w:pPr>
        <w:autoSpaceDE w:val="0"/>
        <w:autoSpaceDN w:val="0"/>
        <w:adjustRightInd w:val="0"/>
        <w:snapToGrid w:val="0"/>
        <w:spacing w:line="460" w:lineRule="exact"/>
        <w:ind w:firstLine="420" w:firstLineChars="200"/>
        <w:textAlignment w:val="baseline"/>
        <w:rPr>
          <w:rFonts w:ascii="宋体" w:hAnsi="宋体"/>
          <w:snapToGrid w:val="0"/>
          <w:kern w:val="0"/>
          <w:szCs w:val="21"/>
          <w:highlight w:val="none"/>
        </w:rPr>
      </w:pPr>
      <w:r>
        <w:rPr>
          <w:rFonts w:ascii="宋体" w:hAnsi="宋体"/>
          <w:snapToGrid w:val="0"/>
          <w:kern w:val="0"/>
          <w:szCs w:val="21"/>
          <w:highlight w:val="none"/>
        </w:rPr>
        <w:t>1．本协议书与下列文件一起构成合同文件：</w:t>
      </w:r>
    </w:p>
    <w:p w14:paraId="4CBD8C34">
      <w:pPr>
        <w:autoSpaceDE w:val="0"/>
        <w:autoSpaceDN w:val="0"/>
        <w:adjustRightInd w:val="0"/>
        <w:snapToGrid w:val="0"/>
        <w:spacing w:line="460" w:lineRule="exact"/>
        <w:ind w:firstLine="420" w:firstLineChars="200"/>
        <w:textAlignment w:val="baseline"/>
        <w:rPr>
          <w:rFonts w:ascii="宋体" w:hAnsi="宋体"/>
          <w:snapToGrid w:val="0"/>
          <w:kern w:val="0"/>
          <w:szCs w:val="21"/>
          <w:highlight w:val="none"/>
        </w:rPr>
      </w:pPr>
      <w:r>
        <w:rPr>
          <w:rFonts w:ascii="宋体" w:hAnsi="宋体"/>
          <w:snapToGrid w:val="0"/>
          <w:kern w:val="0"/>
          <w:szCs w:val="21"/>
          <w:highlight w:val="none"/>
        </w:rPr>
        <w:t>（1）中标通知书；</w:t>
      </w:r>
    </w:p>
    <w:p w14:paraId="704B1621">
      <w:pPr>
        <w:autoSpaceDE w:val="0"/>
        <w:autoSpaceDN w:val="0"/>
        <w:adjustRightInd w:val="0"/>
        <w:snapToGrid w:val="0"/>
        <w:spacing w:line="460" w:lineRule="exact"/>
        <w:ind w:firstLine="420" w:firstLineChars="200"/>
        <w:textAlignment w:val="baseline"/>
        <w:rPr>
          <w:rFonts w:ascii="宋体" w:hAnsi="宋体"/>
          <w:snapToGrid w:val="0"/>
          <w:kern w:val="0"/>
          <w:szCs w:val="21"/>
          <w:highlight w:val="none"/>
        </w:rPr>
      </w:pPr>
      <w:r>
        <w:rPr>
          <w:rFonts w:ascii="宋体" w:hAnsi="宋体"/>
          <w:snapToGrid w:val="0"/>
          <w:kern w:val="0"/>
          <w:szCs w:val="21"/>
          <w:highlight w:val="none"/>
        </w:rPr>
        <w:t>（2）投标函及投标函附录；</w:t>
      </w:r>
    </w:p>
    <w:p w14:paraId="09DEAB3F">
      <w:pPr>
        <w:autoSpaceDE w:val="0"/>
        <w:autoSpaceDN w:val="0"/>
        <w:adjustRightInd w:val="0"/>
        <w:snapToGrid w:val="0"/>
        <w:spacing w:line="460" w:lineRule="exact"/>
        <w:ind w:firstLine="420" w:firstLineChars="200"/>
        <w:textAlignment w:val="baseline"/>
        <w:rPr>
          <w:rFonts w:ascii="宋体" w:hAnsi="宋体"/>
          <w:snapToGrid w:val="0"/>
          <w:kern w:val="0"/>
          <w:szCs w:val="21"/>
          <w:highlight w:val="none"/>
        </w:rPr>
      </w:pPr>
      <w:r>
        <w:rPr>
          <w:rFonts w:ascii="宋体" w:hAnsi="宋体"/>
          <w:snapToGrid w:val="0"/>
          <w:kern w:val="0"/>
          <w:szCs w:val="21"/>
          <w:highlight w:val="none"/>
        </w:rPr>
        <w:t>（3）专用合同条款；</w:t>
      </w:r>
    </w:p>
    <w:p w14:paraId="489C6FFE">
      <w:pPr>
        <w:autoSpaceDE w:val="0"/>
        <w:autoSpaceDN w:val="0"/>
        <w:adjustRightInd w:val="0"/>
        <w:snapToGrid w:val="0"/>
        <w:spacing w:line="460" w:lineRule="exact"/>
        <w:ind w:firstLine="420" w:firstLineChars="200"/>
        <w:textAlignment w:val="baseline"/>
        <w:rPr>
          <w:rFonts w:ascii="宋体" w:hAnsi="宋体"/>
          <w:snapToGrid w:val="0"/>
          <w:kern w:val="0"/>
          <w:szCs w:val="21"/>
          <w:highlight w:val="none"/>
        </w:rPr>
      </w:pPr>
      <w:r>
        <w:rPr>
          <w:rFonts w:ascii="宋体" w:hAnsi="宋体"/>
          <w:snapToGrid w:val="0"/>
          <w:kern w:val="0"/>
          <w:szCs w:val="21"/>
          <w:highlight w:val="none"/>
          <w:shd w:val="clear" w:color="auto" w:fill="FFFFFF"/>
        </w:rPr>
        <w:t>（4）</w:t>
      </w:r>
      <w:r>
        <w:rPr>
          <w:rFonts w:ascii="宋体" w:hAnsi="宋体"/>
          <w:snapToGrid w:val="0"/>
          <w:kern w:val="0"/>
          <w:szCs w:val="21"/>
          <w:highlight w:val="none"/>
        </w:rPr>
        <w:t>通用合同条款；</w:t>
      </w:r>
    </w:p>
    <w:p w14:paraId="01FA816A">
      <w:pPr>
        <w:autoSpaceDE w:val="0"/>
        <w:autoSpaceDN w:val="0"/>
        <w:adjustRightInd w:val="0"/>
        <w:snapToGrid w:val="0"/>
        <w:spacing w:line="460" w:lineRule="exact"/>
        <w:ind w:firstLine="420" w:firstLineChars="200"/>
        <w:textAlignment w:val="baseline"/>
        <w:rPr>
          <w:rFonts w:ascii="宋体" w:hAnsi="宋体"/>
          <w:snapToGrid w:val="0"/>
          <w:kern w:val="0"/>
          <w:szCs w:val="21"/>
          <w:highlight w:val="none"/>
        </w:rPr>
      </w:pPr>
      <w:r>
        <w:rPr>
          <w:rFonts w:ascii="宋体" w:hAnsi="宋体"/>
          <w:snapToGrid w:val="0"/>
          <w:kern w:val="0"/>
          <w:szCs w:val="21"/>
          <w:highlight w:val="none"/>
        </w:rPr>
        <w:t>（5）技术标准和要求</w:t>
      </w:r>
      <w:r>
        <w:rPr>
          <w:rFonts w:hint="eastAsia" w:ascii="宋体" w:hAnsi="宋体"/>
          <w:snapToGrid w:val="0"/>
          <w:kern w:val="0"/>
          <w:szCs w:val="21"/>
          <w:highlight w:val="none"/>
        </w:rPr>
        <w:t>（合同技术条款）</w:t>
      </w:r>
      <w:r>
        <w:rPr>
          <w:rFonts w:ascii="宋体" w:hAnsi="宋体"/>
          <w:snapToGrid w:val="0"/>
          <w:kern w:val="0"/>
          <w:szCs w:val="21"/>
          <w:highlight w:val="none"/>
        </w:rPr>
        <w:t>；</w:t>
      </w:r>
    </w:p>
    <w:p w14:paraId="3DEECB2B">
      <w:pPr>
        <w:autoSpaceDE w:val="0"/>
        <w:autoSpaceDN w:val="0"/>
        <w:adjustRightInd w:val="0"/>
        <w:snapToGrid w:val="0"/>
        <w:spacing w:line="460" w:lineRule="exact"/>
        <w:ind w:firstLine="420" w:firstLineChars="200"/>
        <w:textAlignment w:val="baseline"/>
        <w:rPr>
          <w:rFonts w:ascii="宋体" w:hAnsi="宋体"/>
          <w:snapToGrid w:val="0"/>
          <w:kern w:val="0"/>
          <w:szCs w:val="21"/>
          <w:highlight w:val="none"/>
        </w:rPr>
      </w:pPr>
      <w:r>
        <w:rPr>
          <w:rFonts w:ascii="宋体" w:hAnsi="宋体"/>
          <w:snapToGrid w:val="0"/>
          <w:kern w:val="0"/>
          <w:szCs w:val="21"/>
          <w:highlight w:val="none"/>
        </w:rPr>
        <w:t>（6）图纸；</w:t>
      </w:r>
    </w:p>
    <w:p w14:paraId="078FE314">
      <w:pPr>
        <w:autoSpaceDE w:val="0"/>
        <w:autoSpaceDN w:val="0"/>
        <w:adjustRightInd w:val="0"/>
        <w:snapToGrid w:val="0"/>
        <w:spacing w:line="460" w:lineRule="exact"/>
        <w:ind w:firstLine="420" w:firstLineChars="200"/>
        <w:textAlignment w:val="baseline"/>
        <w:rPr>
          <w:rFonts w:ascii="宋体" w:hAnsi="宋体"/>
          <w:snapToGrid w:val="0"/>
          <w:kern w:val="0"/>
          <w:szCs w:val="21"/>
          <w:highlight w:val="none"/>
        </w:rPr>
      </w:pPr>
      <w:r>
        <w:rPr>
          <w:rFonts w:ascii="宋体" w:hAnsi="宋体"/>
          <w:snapToGrid w:val="0"/>
          <w:kern w:val="0"/>
          <w:szCs w:val="21"/>
          <w:highlight w:val="none"/>
        </w:rPr>
        <w:t>（7）已标价工程量清单；</w:t>
      </w:r>
    </w:p>
    <w:p w14:paraId="0B37DF97">
      <w:pPr>
        <w:autoSpaceDE w:val="0"/>
        <w:autoSpaceDN w:val="0"/>
        <w:adjustRightInd w:val="0"/>
        <w:snapToGrid w:val="0"/>
        <w:spacing w:line="460" w:lineRule="exact"/>
        <w:ind w:firstLine="420" w:firstLineChars="200"/>
        <w:textAlignment w:val="baseline"/>
        <w:rPr>
          <w:rFonts w:ascii="宋体" w:hAnsi="宋体"/>
          <w:snapToGrid w:val="0"/>
          <w:kern w:val="0"/>
          <w:szCs w:val="21"/>
          <w:highlight w:val="none"/>
        </w:rPr>
      </w:pPr>
      <w:r>
        <w:rPr>
          <w:rFonts w:ascii="宋体" w:hAnsi="宋体"/>
          <w:snapToGrid w:val="0"/>
          <w:kern w:val="0"/>
          <w:szCs w:val="21"/>
          <w:highlight w:val="none"/>
        </w:rPr>
        <w:t>（8）</w:t>
      </w:r>
      <w:r>
        <w:rPr>
          <w:rFonts w:hint="eastAsia" w:ascii="宋体" w:hAnsi="宋体"/>
          <w:snapToGrid w:val="0"/>
          <w:kern w:val="0"/>
          <w:szCs w:val="21"/>
          <w:highlight w:val="none"/>
        </w:rPr>
        <w:t>其他合同文件</w:t>
      </w:r>
      <w:r>
        <w:rPr>
          <w:rFonts w:ascii="宋体" w:hAnsi="宋体"/>
          <w:snapToGrid w:val="0"/>
          <w:kern w:val="0"/>
          <w:szCs w:val="21"/>
          <w:highlight w:val="none"/>
        </w:rPr>
        <w:t>。</w:t>
      </w:r>
    </w:p>
    <w:p w14:paraId="14B662C0">
      <w:pPr>
        <w:autoSpaceDE w:val="0"/>
        <w:autoSpaceDN w:val="0"/>
        <w:adjustRightInd w:val="0"/>
        <w:snapToGrid w:val="0"/>
        <w:spacing w:line="460" w:lineRule="exact"/>
        <w:ind w:firstLine="420" w:firstLineChars="200"/>
        <w:textAlignment w:val="baseline"/>
        <w:rPr>
          <w:rFonts w:ascii="宋体" w:hAnsi="宋体"/>
          <w:snapToGrid w:val="0"/>
          <w:kern w:val="0"/>
          <w:szCs w:val="21"/>
          <w:highlight w:val="none"/>
        </w:rPr>
      </w:pPr>
      <w:r>
        <w:rPr>
          <w:rFonts w:ascii="宋体" w:hAnsi="宋体"/>
          <w:snapToGrid w:val="0"/>
          <w:kern w:val="0"/>
          <w:szCs w:val="21"/>
          <w:highlight w:val="none"/>
        </w:rPr>
        <w:t>2．上述文件互相补充和解释，如有不明确或不一致之处，以合同约定次序在先者为准。</w:t>
      </w:r>
    </w:p>
    <w:p w14:paraId="1F9F5879">
      <w:pPr>
        <w:autoSpaceDE w:val="0"/>
        <w:autoSpaceDN w:val="0"/>
        <w:adjustRightInd w:val="0"/>
        <w:snapToGrid w:val="0"/>
        <w:spacing w:line="460" w:lineRule="exact"/>
        <w:ind w:firstLine="420" w:firstLineChars="200"/>
        <w:textAlignment w:val="baseline"/>
        <w:rPr>
          <w:rFonts w:ascii="宋体" w:hAnsi="宋体"/>
          <w:snapToGrid w:val="0"/>
          <w:kern w:val="0"/>
          <w:szCs w:val="21"/>
          <w:highlight w:val="none"/>
        </w:rPr>
      </w:pPr>
      <w:r>
        <w:rPr>
          <w:rFonts w:ascii="宋体" w:hAnsi="宋体"/>
          <w:snapToGrid w:val="0"/>
          <w:kern w:val="0"/>
          <w:szCs w:val="21"/>
          <w:highlight w:val="none"/>
        </w:rPr>
        <w:t>3．签约合同价：人民币（大写）</w:t>
      </w:r>
      <w:r>
        <w:rPr>
          <w:rFonts w:hint="eastAsia" w:ascii="宋体" w:hAnsi="宋体"/>
          <w:snapToGrid w:val="0"/>
          <w:kern w:val="0"/>
          <w:szCs w:val="21"/>
          <w:highlight w:val="none"/>
          <w:u w:val="single"/>
        </w:rPr>
        <w:t xml:space="preserve">       </w:t>
      </w:r>
      <w:r>
        <w:rPr>
          <w:rFonts w:ascii="宋体" w:hAnsi="宋体"/>
          <w:snapToGrid w:val="0"/>
          <w:kern w:val="0"/>
          <w:szCs w:val="21"/>
          <w:highlight w:val="none"/>
        </w:rPr>
        <w:t>元（</w:t>
      </w:r>
      <w:r>
        <w:rPr>
          <w:rFonts w:hint="eastAsia" w:ascii="宋体" w:hAnsi="宋体"/>
          <w:snapToGrid w:val="0"/>
          <w:kern w:val="0"/>
          <w:szCs w:val="21"/>
          <w:highlight w:val="none"/>
        </w:rPr>
        <w:t>¥</w:t>
      </w:r>
      <w:r>
        <w:rPr>
          <w:rFonts w:hint="eastAsia" w:ascii="宋体" w:hAnsi="宋体"/>
          <w:snapToGrid w:val="0"/>
          <w:kern w:val="0"/>
          <w:szCs w:val="21"/>
          <w:highlight w:val="none"/>
          <w:u w:val="single"/>
        </w:rPr>
        <w:t xml:space="preserve">           </w:t>
      </w:r>
      <w:r>
        <w:rPr>
          <w:rFonts w:ascii="宋体" w:hAnsi="宋体"/>
          <w:snapToGrid w:val="0"/>
          <w:kern w:val="0"/>
          <w:szCs w:val="21"/>
          <w:highlight w:val="none"/>
        </w:rPr>
        <w:t>）。</w:t>
      </w:r>
    </w:p>
    <w:p w14:paraId="6DAB163B">
      <w:pPr>
        <w:autoSpaceDE w:val="0"/>
        <w:autoSpaceDN w:val="0"/>
        <w:adjustRightInd w:val="0"/>
        <w:snapToGrid w:val="0"/>
        <w:spacing w:line="460" w:lineRule="exact"/>
        <w:ind w:firstLine="420" w:firstLineChars="200"/>
        <w:textAlignment w:val="baseline"/>
        <w:rPr>
          <w:rFonts w:ascii="宋体" w:hAnsi="宋体"/>
          <w:snapToGrid w:val="0"/>
          <w:kern w:val="0"/>
          <w:szCs w:val="21"/>
          <w:highlight w:val="none"/>
          <w:u w:val="single"/>
        </w:rPr>
      </w:pPr>
      <w:r>
        <w:rPr>
          <w:rFonts w:ascii="宋体" w:hAnsi="宋体"/>
          <w:snapToGrid w:val="0"/>
          <w:kern w:val="0"/>
          <w:szCs w:val="21"/>
          <w:highlight w:val="none"/>
        </w:rPr>
        <w:t>4．承包人项目负责人：</w:t>
      </w:r>
      <w:r>
        <w:rPr>
          <w:rFonts w:hint="eastAsia" w:ascii="宋体" w:hAnsi="宋体"/>
          <w:snapToGrid w:val="0"/>
          <w:kern w:val="0"/>
          <w:szCs w:val="21"/>
          <w:highlight w:val="none"/>
          <w:u w:val="single"/>
        </w:rPr>
        <w:t xml:space="preserve">      </w:t>
      </w:r>
      <w:r>
        <w:rPr>
          <w:rFonts w:ascii="宋体" w:hAnsi="宋体"/>
          <w:snapToGrid w:val="0"/>
          <w:kern w:val="0"/>
          <w:szCs w:val="21"/>
          <w:highlight w:val="none"/>
        </w:rPr>
        <w:t>，项目技术负责人</w:t>
      </w:r>
      <w:r>
        <w:rPr>
          <w:rFonts w:hint="eastAsia" w:ascii="宋体" w:hAnsi="宋体"/>
          <w:snapToGrid w:val="0"/>
          <w:kern w:val="0"/>
          <w:szCs w:val="21"/>
          <w:highlight w:val="none"/>
        </w:rPr>
        <w:t>：</w:t>
      </w:r>
      <w:r>
        <w:rPr>
          <w:rFonts w:hint="eastAsia" w:ascii="宋体" w:hAnsi="宋体"/>
          <w:snapToGrid w:val="0"/>
          <w:kern w:val="0"/>
          <w:szCs w:val="21"/>
          <w:highlight w:val="none"/>
          <w:u w:val="single"/>
        </w:rPr>
        <w:t xml:space="preserve">     </w:t>
      </w:r>
      <w:r>
        <w:rPr>
          <w:rFonts w:ascii="宋体" w:hAnsi="宋体"/>
          <w:snapToGrid w:val="0"/>
          <w:kern w:val="0"/>
          <w:szCs w:val="21"/>
          <w:highlight w:val="none"/>
        </w:rPr>
        <w:t>。</w:t>
      </w:r>
    </w:p>
    <w:p w14:paraId="67AE90DD">
      <w:pPr>
        <w:autoSpaceDE w:val="0"/>
        <w:autoSpaceDN w:val="0"/>
        <w:adjustRightInd w:val="0"/>
        <w:snapToGrid w:val="0"/>
        <w:spacing w:line="460" w:lineRule="exact"/>
        <w:ind w:firstLine="420" w:firstLineChars="200"/>
        <w:textAlignment w:val="baseline"/>
        <w:rPr>
          <w:rFonts w:ascii="宋体" w:hAnsi="宋体"/>
          <w:snapToGrid w:val="0"/>
          <w:kern w:val="0"/>
          <w:szCs w:val="21"/>
          <w:highlight w:val="none"/>
        </w:rPr>
      </w:pPr>
      <w:r>
        <w:rPr>
          <w:rFonts w:ascii="宋体" w:hAnsi="宋体"/>
          <w:snapToGrid w:val="0"/>
          <w:kern w:val="0"/>
          <w:szCs w:val="21"/>
          <w:highlight w:val="none"/>
        </w:rPr>
        <w:t>5．工程质量符合</w:t>
      </w:r>
      <w:r>
        <w:rPr>
          <w:rFonts w:hint="eastAsia" w:ascii="宋体" w:hAnsi="宋体"/>
          <w:snapToGrid w:val="0"/>
          <w:kern w:val="0"/>
          <w:szCs w:val="21"/>
          <w:highlight w:val="none"/>
          <w:u w:val="single"/>
        </w:rPr>
        <w:t xml:space="preserve">     </w:t>
      </w:r>
      <w:r>
        <w:rPr>
          <w:rFonts w:ascii="宋体" w:hAnsi="宋体"/>
          <w:snapToGrid w:val="0"/>
          <w:kern w:val="0"/>
          <w:szCs w:val="21"/>
          <w:highlight w:val="none"/>
        </w:rPr>
        <w:t>标准。</w:t>
      </w:r>
    </w:p>
    <w:p w14:paraId="2C6CA0DF">
      <w:pPr>
        <w:autoSpaceDE w:val="0"/>
        <w:autoSpaceDN w:val="0"/>
        <w:adjustRightInd w:val="0"/>
        <w:snapToGrid w:val="0"/>
        <w:spacing w:line="460" w:lineRule="exact"/>
        <w:ind w:firstLine="420" w:firstLineChars="200"/>
        <w:textAlignment w:val="baseline"/>
        <w:rPr>
          <w:rFonts w:ascii="宋体" w:hAnsi="宋体"/>
          <w:snapToGrid w:val="0"/>
          <w:kern w:val="0"/>
          <w:szCs w:val="21"/>
          <w:highlight w:val="none"/>
        </w:rPr>
      </w:pPr>
      <w:r>
        <w:rPr>
          <w:rFonts w:ascii="宋体" w:hAnsi="宋体"/>
          <w:snapToGrid w:val="0"/>
          <w:kern w:val="0"/>
          <w:szCs w:val="21"/>
          <w:highlight w:val="none"/>
        </w:rPr>
        <w:t>6．承包人承诺按合同约定承担工程的实施、完成及缺陷修复。</w:t>
      </w:r>
    </w:p>
    <w:p w14:paraId="466862F0">
      <w:pPr>
        <w:autoSpaceDE w:val="0"/>
        <w:autoSpaceDN w:val="0"/>
        <w:adjustRightInd w:val="0"/>
        <w:snapToGrid w:val="0"/>
        <w:spacing w:line="460" w:lineRule="exact"/>
        <w:ind w:firstLine="420" w:firstLineChars="200"/>
        <w:textAlignment w:val="baseline"/>
        <w:rPr>
          <w:rFonts w:ascii="宋体" w:hAnsi="宋体"/>
          <w:snapToGrid w:val="0"/>
          <w:kern w:val="0"/>
          <w:szCs w:val="21"/>
          <w:highlight w:val="none"/>
        </w:rPr>
      </w:pPr>
      <w:r>
        <w:rPr>
          <w:rFonts w:ascii="宋体" w:hAnsi="宋体"/>
          <w:snapToGrid w:val="0"/>
          <w:kern w:val="0"/>
          <w:szCs w:val="21"/>
          <w:highlight w:val="none"/>
        </w:rPr>
        <w:t>7．发包人承诺按合同约定的条件、时间和方式向承包人支付合同价款：</w:t>
      </w:r>
    </w:p>
    <w:p w14:paraId="547C215A">
      <w:pPr>
        <w:autoSpaceDE w:val="0"/>
        <w:autoSpaceDN w:val="0"/>
        <w:adjustRightInd w:val="0"/>
        <w:snapToGrid w:val="0"/>
        <w:spacing w:line="460" w:lineRule="exact"/>
        <w:ind w:firstLine="420" w:firstLineChars="200"/>
        <w:textAlignment w:val="baseline"/>
        <w:rPr>
          <w:rFonts w:hint="eastAsia" w:ascii="宋体" w:hAnsi="宋体"/>
          <w:snapToGrid w:val="0"/>
          <w:kern w:val="0"/>
          <w:szCs w:val="21"/>
          <w:highlight w:val="none"/>
          <w:u w:val="single"/>
        </w:rPr>
      </w:pPr>
      <w:r>
        <w:rPr>
          <w:rFonts w:hint="eastAsia" w:ascii="宋体" w:hAnsi="宋体"/>
          <w:snapToGrid w:val="0"/>
          <w:kern w:val="0"/>
          <w:szCs w:val="21"/>
          <w:highlight w:val="none"/>
          <w:u w:val="single"/>
        </w:rPr>
        <w:t>7</w:t>
      </w:r>
      <w:r>
        <w:rPr>
          <w:rFonts w:ascii="宋体" w:hAnsi="宋体"/>
          <w:snapToGrid w:val="0"/>
          <w:kern w:val="0"/>
          <w:szCs w:val="21"/>
          <w:highlight w:val="none"/>
          <w:u w:val="single"/>
        </w:rPr>
        <w:t>.1</w:t>
      </w:r>
      <w:r>
        <w:rPr>
          <w:rFonts w:hint="eastAsia" w:ascii="宋体" w:hAnsi="宋体"/>
          <w:snapToGrid w:val="0"/>
          <w:kern w:val="0"/>
          <w:szCs w:val="21"/>
          <w:highlight w:val="none"/>
          <w:u w:val="single"/>
        </w:rPr>
        <w:t>工程预付款的总金额为签约合同价的 10 %，付款时间需待承包人主要施工设备进入工地后，由承包人提出书面申请，经监理人核实后出具付款证书报送发包人批准后</w:t>
      </w:r>
      <w:r>
        <w:rPr>
          <w:rFonts w:hint="eastAsia" w:ascii="宋体" w:hAnsi="宋体"/>
          <w:snapToGrid w:val="0"/>
          <w:kern w:val="0"/>
          <w:szCs w:val="21"/>
          <w:highlight w:val="none"/>
          <w:u w:val="single"/>
          <w:lang w:val="en-US" w:eastAsia="zh-CN"/>
        </w:rPr>
        <w:t>7个工作日</w:t>
      </w:r>
      <w:r>
        <w:rPr>
          <w:rFonts w:hint="eastAsia" w:ascii="宋体" w:hAnsi="宋体"/>
          <w:snapToGrid w:val="0"/>
          <w:kern w:val="0"/>
          <w:szCs w:val="21"/>
          <w:highlight w:val="none"/>
          <w:u w:val="single"/>
        </w:rPr>
        <w:t>内予以支付。工程预付款不扣回。</w:t>
      </w:r>
    </w:p>
    <w:p w14:paraId="268D2B3B">
      <w:pPr>
        <w:autoSpaceDE w:val="0"/>
        <w:autoSpaceDN w:val="0"/>
        <w:adjustRightInd w:val="0"/>
        <w:snapToGrid w:val="0"/>
        <w:spacing w:line="460" w:lineRule="exact"/>
        <w:ind w:firstLine="420" w:firstLineChars="200"/>
        <w:textAlignment w:val="baseline"/>
        <w:rPr>
          <w:rFonts w:hint="eastAsia" w:ascii="宋体" w:hAnsi="宋体"/>
          <w:snapToGrid w:val="0"/>
          <w:kern w:val="0"/>
          <w:szCs w:val="21"/>
          <w:highlight w:val="none"/>
          <w:u w:val="single"/>
        </w:rPr>
      </w:pPr>
      <w:r>
        <w:rPr>
          <w:rFonts w:ascii="宋体" w:hAnsi="宋体"/>
          <w:snapToGrid w:val="0"/>
          <w:kern w:val="0"/>
          <w:szCs w:val="21"/>
          <w:highlight w:val="none"/>
          <w:u w:val="single"/>
        </w:rPr>
        <w:t>7.2</w:t>
      </w:r>
      <w:r>
        <w:rPr>
          <w:rFonts w:hint="eastAsia" w:ascii="宋体" w:hAnsi="宋体"/>
          <w:snapToGrid w:val="0"/>
          <w:kern w:val="0"/>
          <w:szCs w:val="21"/>
          <w:highlight w:val="none"/>
          <w:u w:val="single"/>
        </w:rPr>
        <w:t>工程进度款为完工后支付至签约合同价的85%（含预付款），待工程完工验收合格且完成结算后，扣留完工结算价款总额1.5%的质量保证金外，付清余款。</w:t>
      </w:r>
    </w:p>
    <w:p w14:paraId="077E5A95">
      <w:pPr>
        <w:autoSpaceDE w:val="0"/>
        <w:autoSpaceDN w:val="0"/>
        <w:adjustRightInd w:val="0"/>
        <w:snapToGrid w:val="0"/>
        <w:spacing w:line="460" w:lineRule="exact"/>
        <w:ind w:firstLine="420" w:firstLineChars="200"/>
        <w:textAlignment w:val="baseline"/>
        <w:rPr>
          <w:rFonts w:ascii="宋体" w:hAnsi="宋体"/>
          <w:snapToGrid w:val="0"/>
          <w:kern w:val="0"/>
          <w:szCs w:val="21"/>
          <w:highlight w:val="none"/>
        </w:rPr>
      </w:pPr>
      <w:r>
        <w:rPr>
          <w:rFonts w:ascii="宋体" w:hAnsi="宋体"/>
          <w:snapToGrid w:val="0"/>
          <w:kern w:val="0"/>
          <w:szCs w:val="21"/>
          <w:highlight w:val="none"/>
        </w:rPr>
        <w:t>8．承包人承诺执行监理人开工通知，计划工期为个月</w:t>
      </w:r>
      <w:r>
        <w:rPr>
          <w:rFonts w:hint="eastAsia" w:ascii="宋体" w:hAnsi="宋体"/>
          <w:snapToGrid w:val="0"/>
          <w:kern w:val="0"/>
          <w:szCs w:val="21"/>
          <w:highlight w:val="none"/>
        </w:rPr>
        <w:t xml:space="preserve"> </w:t>
      </w:r>
      <w:r>
        <w:rPr>
          <w:rFonts w:ascii="宋体" w:hAnsi="宋体"/>
          <w:snapToGrid w:val="0"/>
          <w:kern w:val="0"/>
          <w:szCs w:val="21"/>
          <w:highlight w:val="none"/>
        </w:rPr>
        <w:t>（</w:t>
      </w:r>
      <w:r>
        <w:rPr>
          <w:rFonts w:hint="eastAsia" w:ascii="宋体" w:hAnsi="宋体"/>
          <w:snapToGrid w:val="0"/>
          <w:kern w:val="0"/>
          <w:szCs w:val="21"/>
          <w:highlight w:val="none"/>
          <w:u w:val="single"/>
        </w:rPr>
        <w:t xml:space="preserve">    </w:t>
      </w:r>
      <w:r>
        <w:rPr>
          <w:rFonts w:ascii="宋体" w:hAnsi="宋体"/>
          <w:snapToGrid w:val="0"/>
          <w:kern w:val="0"/>
          <w:szCs w:val="21"/>
          <w:highlight w:val="none"/>
        </w:rPr>
        <w:t>日历天）。</w:t>
      </w:r>
    </w:p>
    <w:p w14:paraId="10C9F3D5">
      <w:pPr>
        <w:autoSpaceDE w:val="0"/>
        <w:autoSpaceDN w:val="0"/>
        <w:adjustRightInd w:val="0"/>
        <w:snapToGrid w:val="0"/>
        <w:spacing w:line="460" w:lineRule="exact"/>
        <w:ind w:firstLine="420" w:firstLineChars="200"/>
        <w:textAlignment w:val="baseline"/>
        <w:rPr>
          <w:rFonts w:ascii="宋体" w:hAnsi="宋体"/>
          <w:snapToGrid w:val="0"/>
          <w:kern w:val="0"/>
          <w:szCs w:val="21"/>
          <w:highlight w:val="none"/>
        </w:rPr>
      </w:pPr>
      <w:r>
        <w:rPr>
          <w:rFonts w:ascii="宋体" w:hAnsi="宋体"/>
          <w:snapToGrid w:val="0"/>
          <w:kern w:val="0"/>
          <w:szCs w:val="21"/>
          <w:highlight w:val="none"/>
        </w:rPr>
        <w:t>9．本协议书正本一式</w:t>
      </w:r>
      <w:r>
        <w:rPr>
          <w:rFonts w:ascii="宋体" w:hAnsi="宋体"/>
          <w:snapToGrid w:val="0"/>
          <w:kern w:val="0"/>
          <w:szCs w:val="21"/>
          <w:highlight w:val="none"/>
          <w:u w:val="single"/>
        </w:rPr>
        <w:t xml:space="preserve"> 贰 </w:t>
      </w:r>
      <w:r>
        <w:rPr>
          <w:rFonts w:ascii="宋体" w:hAnsi="宋体"/>
          <w:snapToGrid w:val="0"/>
          <w:kern w:val="0"/>
          <w:szCs w:val="21"/>
          <w:highlight w:val="none"/>
        </w:rPr>
        <w:t>份，合同双方各执</w:t>
      </w:r>
      <w:r>
        <w:rPr>
          <w:rFonts w:ascii="宋体" w:hAnsi="宋体"/>
          <w:snapToGrid w:val="0"/>
          <w:kern w:val="0"/>
          <w:szCs w:val="21"/>
          <w:highlight w:val="none"/>
          <w:u w:val="single"/>
        </w:rPr>
        <w:t xml:space="preserve"> 壹 </w:t>
      </w:r>
      <w:r>
        <w:rPr>
          <w:rFonts w:ascii="宋体" w:hAnsi="宋体"/>
          <w:snapToGrid w:val="0"/>
          <w:kern w:val="0"/>
          <w:szCs w:val="21"/>
          <w:highlight w:val="none"/>
        </w:rPr>
        <w:t>份，副本</w:t>
      </w:r>
      <w:r>
        <w:rPr>
          <w:rFonts w:hint="eastAsia" w:ascii="宋体" w:hAnsi="宋体"/>
          <w:snapToGrid w:val="0"/>
          <w:kern w:val="0"/>
          <w:szCs w:val="21"/>
          <w:highlight w:val="none"/>
          <w:u w:val="single"/>
        </w:rPr>
        <w:t xml:space="preserve">    </w:t>
      </w:r>
      <w:r>
        <w:rPr>
          <w:rFonts w:ascii="宋体" w:hAnsi="宋体"/>
          <w:snapToGrid w:val="0"/>
          <w:kern w:val="0"/>
          <w:szCs w:val="21"/>
          <w:highlight w:val="none"/>
        </w:rPr>
        <w:t>份，双方各执</w:t>
      </w:r>
      <w:r>
        <w:rPr>
          <w:rFonts w:hint="eastAsia" w:ascii="宋体" w:hAnsi="宋体"/>
          <w:snapToGrid w:val="0"/>
          <w:kern w:val="0"/>
          <w:szCs w:val="21"/>
          <w:highlight w:val="none"/>
          <w:u w:val="single"/>
        </w:rPr>
        <w:t xml:space="preserve">    </w:t>
      </w:r>
      <w:r>
        <w:rPr>
          <w:rFonts w:ascii="宋体" w:hAnsi="宋体"/>
          <w:snapToGrid w:val="0"/>
          <w:kern w:val="0"/>
          <w:szCs w:val="21"/>
          <w:highlight w:val="none"/>
        </w:rPr>
        <w:t>份。</w:t>
      </w:r>
      <w:r>
        <w:rPr>
          <w:rFonts w:hint="eastAsia" w:ascii="宋体" w:hAnsi="宋体"/>
          <w:snapToGrid w:val="0"/>
          <w:kern w:val="0"/>
          <w:szCs w:val="21"/>
          <w:highlight w:val="none"/>
        </w:rPr>
        <w:t>经双方盖章签字后生效。</w:t>
      </w:r>
    </w:p>
    <w:p w14:paraId="4F6A710E">
      <w:pPr>
        <w:autoSpaceDE w:val="0"/>
        <w:autoSpaceDN w:val="0"/>
        <w:adjustRightInd w:val="0"/>
        <w:snapToGrid w:val="0"/>
        <w:spacing w:line="460" w:lineRule="exact"/>
        <w:ind w:firstLine="420" w:firstLineChars="200"/>
        <w:textAlignment w:val="baseline"/>
        <w:rPr>
          <w:rFonts w:ascii="宋体" w:hAnsi="宋体"/>
          <w:snapToGrid w:val="0"/>
          <w:kern w:val="0"/>
          <w:szCs w:val="21"/>
          <w:highlight w:val="none"/>
        </w:rPr>
      </w:pPr>
      <w:r>
        <w:rPr>
          <w:rFonts w:ascii="宋体" w:hAnsi="宋体"/>
          <w:snapToGrid w:val="0"/>
          <w:kern w:val="0"/>
          <w:szCs w:val="21"/>
          <w:highlight w:val="none"/>
        </w:rPr>
        <w:t>10．合同未尽事宜，双方另行签订补充协议。补充协议是合同的组成部分。</w:t>
      </w:r>
    </w:p>
    <w:p w14:paraId="08979C6B">
      <w:pPr>
        <w:autoSpaceDE w:val="0"/>
        <w:autoSpaceDN w:val="0"/>
        <w:adjustRightInd w:val="0"/>
        <w:snapToGrid w:val="0"/>
        <w:spacing w:line="460" w:lineRule="exact"/>
        <w:textAlignment w:val="baseline"/>
        <w:rPr>
          <w:rFonts w:ascii="宋体" w:hAnsi="宋体"/>
          <w:snapToGrid w:val="0"/>
          <w:kern w:val="0"/>
          <w:szCs w:val="21"/>
          <w:highlight w:val="none"/>
        </w:rPr>
      </w:pPr>
    </w:p>
    <w:p w14:paraId="6C2BECC2">
      <w:pPr>
        <w:autoSpaceDE w:val="0"/>
        <w:autoSpaceDN w:val="0"/>
        <w:adjustRightInd w:val="0"/>
        <w:snapToGrid w:val="0"/>
        <w:spacing w:line="360" w:lineRule="auto"/>
        <w:textAlignment w:val="baseline"/>
        <w:rPr>
          <w:rFonts w:ascii="宋体" w:hAnsi="宋体"/>
          <w:snapToGrid w:val="0"/>
          <w:kern w:val="0"/>
          <w:szCs w:val="21"/>
          <w:highlight w:val="none"/>
        </w:rPr>
      </w:pPr>
    </w:p>
    <w:p w14:paraId="1E14F2F8">
      <w:pPr>
        <w:autoSpaceDE w:val="0"/>
        <w:autoSpaceDN w:val="0"/>
        <w:adjustRightInd w:val="0"/>
        <w:snapToGrid w:val="0"/>
        <w:spacing w:line="360" w:lineRule="auto"/>
        <w:textAlignment w:val="baseline"/>
        <w:rPr>
          <w:rFonts w:ascii="宋体" w:hAnsi="宋体"/>
          <w:snapToGrid w:val="0"/>
          <w:kern w:val="0"/>
          <w:szCs w:val="21"/>
          <w:highlight w:val="none"/>
        </w:rPr>
      </w:pPr>
    </w:p>
    <w:p w14:paraId="5086FA79">
      <w:pPr>
        <w:autoSpaceDE w:val="0"/>
        <w:autoSpaceDN w:val="0"/>
        <w:adjustRightInd w:val="0"/>
        <w:snapToGrid w:val="0"/>
        <w:spacing w:line="360" w:lineRule="auto"/>
        <w:textAlignment w:val="baseline"/>
        <w:rPr>
          <w:rFonts w:ascii="宋体" w:hAnsi="宋体"/>
          <w:snapToGrid w:val="0"/>
          <w:kern w:val="0"/>
          <w:szCs w:val="21"/>
          <w:highlight w:val="none"/>
          <w:u w:val="single"/>
        </w:rPr>
      </w:pPr>
      <w:r>
        <w:rPr>
          <w:rFonts w:ascii="宋体" w:hAnsi="宋体"/>
          <w:snapToGrid w:val="0"/>
          <w:spacing w:val="109"/>
          <w:kern w:val="0"/>
          <w:szCs w:val="21"/>
          <w:highlight w:val="none"/>
        </w:rPr>
        <w:t>发包</w:t>
      </w:r>
      <w:r>
        <w:rPr>
          <w:rFonts w:ascii="宋体" w:hAnsi="宋体"/>
          <w:snapToGrid w:val="0"/>
          <w:kern w:val="0"/>
          <w:szCs w:val="21"/>
          <w:highlight w:val="none"/>
        </w:rPr>
        <w:t>人：</w:t>
      </w:r>
      <w:r>
        <w:rPr>
          <w:rFonts w:ascii="宋体" w:hAnsi="宋体"/>
          <w:snapToGrid w:val="0"/>
          <w:kern w:val="0"/>
          <w:szCs w:val="21"/>
          <w:highlight w:val="none"/>
          <w:u w:val="single"/>
        </w:rPr>
        <w:t xml:space="preserve">   （盖单位</w:t>
      </w:r>
      <w:r>
        <w:rPr>
          <w:rFonts w:hint="eastAsia" w:ascii="宋体" w:hAnsi="宋体"/>
          <w:snapToGrid w:val="0"/>
          <w:kern w:val="0"/>
          <w:szCs w:val="21"/>
          <w:highlight w:val="none"/>
          <w:u w:val="single"/>
        </w:rPr>
        <w:t>公</w:t>
      </w:r>
      <w:r>
        <w:rPr>
          <w:rFonts w:ascii="宋体" w:hAnsi="宋体"/>
          <w:snapToGrid w:val="0"/>
          <w:kern w:val="0"/>
          <w:szCs w:val="21"/>
          <w:highlight w:val="none"/>
          <w:u w:val="single"/>
        </w:rPr>
        <w:t xml:space="preserve">章） </w:t>
      </w:r>
      <w:r>
        <w:rPr>
          <w:rFonts w:hint="eastAsia" w:ascii="宋体" w:hAnsi="宋体"/>
          <w:snapToGrid w:val="0"/>
          <w:kern w:val="0"/>
          <w:szCs w:val="21"/>
          <w:highlight w:val="none"/>
          <w:u w:val="none"/>
          <w:lang w:val="en-US" w:eastAsia="zh-CN"/>
        </w:rPr>
        <w:t xml:space="preserve">               </w:t>
      </w:r>
      <w:r>
        <w:rPr>
          <w:rFonts w:ascii="宋体" w:hAnsi="宋体"/>
          <w:snapToGrid w:val="0"/>
          <w:spacing w:val="109"/>
          <w:kern w:val="0"/>
          <w:szCs w:val="21"/>
          <w:highlight w:val="none"/>
        </w:rPr>
        <w:t>承包</w:t>
      </w:r>
      <w:r>
        <w:rPr>
          <w:rFonts w:ascii="宋体" w:hAnsi="宋体"/>
          <w:snapToGrid w:val="0"/>
          <w:kern w:val="0"/>
          <w:szCs w:val="21"/>
          <w:highlight w:val="none"/>
        </w:rPr>
        <w:t>人：</w:t>
      </w:r>
      <w:r>
        <w:rPr>
          <w:rFonts w:ascii="宋体" w:hAnsi="宋体"/>
          <w:snapToGrid w:val="0"/>
          <w:kern w:val="0"/>
          <w:szCs w:val="21"/>
          <w:highlight w:val="none"/>
          <w:u w:val="single"/>
        </w:rPr>
        <w:t xml:space="preserve">    （盖单位</w:t>
      </w:r>
      <w:r>
        <w:rPr>
          <w:rFonts w:hint="eastAsia" w:ascii="宋体" w:hAnsi="宋体"/>
          <w:snapToGrid w:val="0"/>
          <w:kern w:val="0"/>
          <w:szCs w:val="21"/>
          <w:highlight w:val="none"/>
          <w:u w:val="single"/>
        </w:rPr>
        <w:t>公</w:t>
      </w:r>
      <w:r>
        <w:rPr>
          <w:rFonts w:ascii="宋体" w:hAnsi="宋体"/>
          <w:snapToGrid w:val="0"/>
          <w:kern w:val="0"/>
          <w:szCs w:val="21"/>
          <w:highlight w:val="none"/>
          <w:u w:val="single"/>
        </w:rPr>
        <w:t xml:space="preserve">章）    </w:t>
      </w:r>
    </w:p>
    <w:p w14:paraId="265B358D">
      <w:pPr>
        <w:autoSpaceDE w:val="0"/>
        <w:autoSpaceDN w:val="0"/>
        <w:adjustRightInd w:val="0"/>
        <w:snapToGrid w:val="0"/>
        <w:spacing w:line="360" w:lineRule="auto"/>
        <w:textAlignment w:val="baseline"/>
        <w:rPr>
          <w:rFonts w:ascii="宋体" w:hAnsi="宋体"/>
          <w:snapToGrid w:val="0"/>
          <w:kern w:val="0"/>
          <w:szCs w:val="21"/>
          <w:highlight w:val="none"/>
          <w:u w:val="single"/>
        </w:rPr>
      </w:pPr>
      <w:r>
        <w:rPr>
          <w:rFonts w:ascii="宋体" w:hAnsi="宋体"/>
          <w:kern w:val="0"/>
          <w:szCs w:val="21"/>
          <w:highlight w:val="none"/>
        </w:rPr>
        <w:t>法定代表人或其委托代理人</w:t>
      </w:r>
      <w:r>
        <w:rPr>
          <w:rFonts w:ascii="宋体" w:hAnsi="宋体"/>
          <w:snapToGrid w:val="0"/>
          <w:kern w:val="0"/>
          <w:szCs w:val="21"/>
          <w:highlight w:val="none"/>
        </w:rPr>
        <w:t>：</w:t>
      </w:r>
      <w:r>
        <w:rPr>
          <w:rFonts w:ascii="宋体" w:hAnsi="宋体"/>
          <w:snapToGrid w:val="0"/>
          <w:kern w:val="0"/>
          <w:szCs w:val="21"/>
          <w:highlight w:val="none"/>
          <w:u w:val="single"/>
        </w:rPr>
        <w:t xml:space="preserve"> （签字）</w:t>
      </w:r>
      <w:r>
        <w:rPr>
          <w:rFonts w:ascii="宋体" w:hAnsi="宋体"/>
          <w:snapToGrid w:val="0"/>
          <w:kern w:val="0"/>
          <w:szCs w:val="21"/>
          <w:highlight w:val="none"/>
          <w:u w:val="none"/>
        </w:rPr>
        <w:t xml:space="preserve"> </w:t>
      </w:r>
      <w:r>
        <w:rPr>
          <w:rFonts w:hint="eastAsia" w:ascii="宋体" w:hAnsi="宋体"/>
          <w:snapToGrid w:val="0"/>
          <w:kern w:val="0"/>
          <w:szCs w:val="21"/>
          <w:highlight w:val="none"/>
          <w:u w:val="none"/>
          <w:lang w:val="en-US" w:eastAsia="zh-CN"/>
        </w:rPr>
        <w:t xml:space="preserve">         </w:t>
      </w:r>
      <w:r>
        <w:rPr>
          <w:rFonts w:ascii="宋体" w:hAnsi="宋体"/>
          <w:kern w:val="0"/>
          <w:szCs w:val="21"/>
          <w:highlight w:val="none"/>
        </w:rPr>
        <w:t>法定代表人或其委托代理人</w:t>
      </w:r>
      <w:r>
        <w:rPr>
          <w:rFonts w:ascii="宋体" w:hAnsi="宋体"/>
          <w:snapToGrid w:val="0"/>
          <w:kern w:val="0"/>
          <w:szCs w:val="21"/>
          <w:highlight w:val="none"/>
        </w:rPr>
        <w:t>：</w:t>
      </w:r>
      <w:r>
        <w:rPr>
          <w:rFonts w:ascii="宋体" w:hAnsi="宋体"/>
          <w:snapToGrid w:val="0"/>
          <w:kern w:val="0"/>
          <w:szCs w:val="21"/>
          <w:highlight w:val="none"/>
          <w:u w:val="single"/>
        </w:rPr>
        <w:t xml:space="preserve"> （签字） </w:t>
      </w:r>
    </w:p>
    <w:p w14:paraId="2EDE317C">
      <w:pPr>
        <w:adjustRightInd w:val="0"/>
        <w:snapToGrid w:val="0"/>
        <w:spacing w:line="360" w:lineRule="auto"/>
        <w:ind w:left="1440" w:firstLine="1365" w:firstLineChars="650"/>
        <w:rPr>
          <w:rFonts w:ascii="宋体" w:hAnsi="宋体"/>
          <w:snapToGrid w:val="0"/>
          <w:kern w:val="0"/>
          <w:szCs w:val="21"/>
          <w:highlight w:val="none"/>
        </w:rPr>
      </w:pPr>
    </w:p>
    <w:p w14:paraId="7B35A8F0">
      <w:pPr>
        <w:adjustRightInd w:val="0"/>
        <w:snapToGrid w:val="0"/>
        <w:spacing w:line="360" w:lineRule="auto"/>
        <w:ind w:left="2" w:leftChars="-9" w:hanging="21" w:hangingChars="10"/>
        <w:jc w:val="left"/>
        <w:rPr>
          <w:rFonts w:ascii="宋体" w:hAnsi="宋体"/>
          <w:snapToGrid w:val="0"/>
          <w:kern w:val="0"/>
          <w:szCs w:val="21"/>
          <w:highlight w:val="none"/>
        </w:rPr>
      </w:pPr>
      <w:r>
        <w:rPr>
          <w:rFonts w:hint="eastAsia" w:ascii="宋体" w:hAnsi="宋体"/>
          <w:snapToGrid w:val="0"/>
          <w:kern w:val="0"/>
          <w:szCs w:val="21"/>
          <w:highlight w:val="none"/>
          <w:u w:val="single"/>
        </w:rPr>
        <w:t xml:space="preserve">     </w:t>
      </w:r>
      <w:r>
        <w:rPr>
          <w:rFonts w:ascii="宋体" w:hAnsi="宋体"/>
          <w:snapToGrid w:val="0"/>
          <w:kern w:val="0"/>
          <w:szCs w:val="21"/>
          <w:highlight w:val="none"/>
        </w:rPr>
        <w:t>年</w:t>
      </w:r>
      <w:r>
        <w:rPr>
          <w:rFonts w:hint="eastAsia" w:ascii="宋体" w:hAnsi="宋体"/>
          <w:snapToGrid w:val="0"/>
          <w:kern w:val="0"/>
          <w:szCs w:val="21"/>
          <w:highlight w:val="none"/>
          <w:u w:val="single"/>
        </w:rPr>
        <w:t xml:space="preserve">   </w:t>
      </w:r>
      <w:r>
        <w:rPr>
          <w:rFonts w:ascii="宋体" w:hAnsi="宋体"/>
          <w:snapToGrid w:val="0"/>
          <w:kern w:val="0"/>
          <w:szCs w:val="21"/>
          <w:highlight w:val="none"/>
        </w:rPr>
        <w:t>月</w:t>
      </w:r>
      <w:r>
        <w:rPr>
          <w:rFonts w:hint="eastAsia" w:ascii="宋体" w:hAnsi="宋体"/>
          <w:snapToGrid w:val="0"/>
          <w:kern w:val="0"/>
          <w:szCs w:val="21"/>
          <w:highlight w:val="none"/>
          <w:u w:val="single"/>
        </w:rPr>
        <w:t xml:space="preserve">   </w:t>
      </w:r>
      <w:r>
        <w:rPr>
          <w:rFonts w:ascii="宋体" w:hAnsi="宋体"/>
          <w:snapToGrid w:val="0"/>
          <w:kern w:val="0"/>
          <w:szCs w:val="21"/>
          <w:highlight w:val="none"/>
        </w:rPr>
        <w:t>日</w:t>
      </w:r>
      <w:r>
        <w:rPr>
          <w:rFonts w:hint="eastAsia" w:ascii="宋体" w:hAnsi="宋体"/>
          <w:snapToGrid w:val="0"/>
          <w:kern w:val="0"/>
          <w:szCs w:val="21"/>
          <w:highlight w:val="none"/>
        </w:rPr>
        <w:t xml:space="preserve">              </w:t>
      </w:r>
      <w:r>
        <w:rPr>
          <w:rFonts w:hint="eastAsia" w:ascii="宋体" w:hAnsi="宋体"/>
          <w:snapToGrid w:val="0"/>
          <w:kern w:val="0"/>
          <w:szCs w:val="21"/>
          <w:highlight w:val="none"/>
          <w:lang w:val="en-US" w:eastAsia="zh-CN"/>
        </w:rPr>
        <w:t xml:space="preserve">              </w:t>
      </w:r>
      <w:r>
        <w:rPr>
          <w:rFonts w:hint="eastAsia" w:ascii="宋体" w:hAnsi="宋体"/>
          <w:snapToGrid w:val="0"/>
          <w:kern w:val="0"/>
          <w:szCs w:val="21"/>
          <w:highlight w:val="none"/>
        </w:rPr>
        <w:t xml:space="preserve">  </w:t>
      </w:r>
      <w:r>
        <w:rPr>
          <w:rFonts w:hint="eastAsia" w:ascii="宋体" w:hAnsi="宋体"/>
          <w:snapToGrid w:val="0"/>
          <w:kern w:val="0"/>
          <w:szCs w:val="21"/>
          <w:highlight w:val="none"/>
          <w:u w:val="single"/>
        </w:rPr>
        <w:t xml:space="preserve">     </w:t>
      </w:r>
      <w:r>
        <w:rPr>
          <w:rFonts w:ascii="宋体" w:hAnsi="宋体"/>
          <w:snapToGrid w:val="0"/>
          <w:kern w:val="0"/>
          <w:szCs w:val="21"/>
          <w:highlight w:val="none"/>
        </w:rPr>
        <w:t>年</w:t>
      </w:r>
      <w:r>
        <w:rPr>
          <w:rFonts w:hint="eastAsia" w:ascii="宋体" w:hAnsi="宋体"/>
          <w:snapToGrid w:val="0"/>
          <w:kern w:val="0"/>
          <w:szCs w:val="21"/>
          <w:highlight w:val="none"/>
          <w:u w:val="single"/>
        </w:rPr>
        <w:t xml:space="preserve">   </w:t>
      </w:r>
      <w:r>
        <w:rPr>
          <w:rFonts w:ascii="宋体" w:hAnsi="宋体"/>
          <w:snapToGrid w:val="0"/>
          <w:kern w:val="0"/>
          <w:szCs w:val="21"/>
          <w:highlight w:val="none"/>
        </w:rPr>
        <w:t>月</w:t>
      </w:r>
      <w:r>
        <w:rPr>
          <w:rFonts w:hint="eastAsia" w:ascii="宋体" w:hAnsi="宋体"/>
          <w:snapToGrid w:val="0"/>
          <w:kern w:val="0"/>
          <w:szCs w:val="21"/>
          <w:highlight w:val="none"/>
          <w:u w:val="single"/>
        </w:rPr>
        <w:t xml:space="preserve">   </w:t>
      </w:r>
      <w:r>
        <w:rPr>
          <w:rFonts w:ascii="宋体" w:hAnsi="宋体"/>
          <w:snapToGrid w:val="0"/>
          <w:kern w:val="0"/>
          <w:szCs w:val="21"/>
          <w:highlight w:val="none"/>
        </w:rPr>
        <w:t>日</w:t>
      </w:r>
    </w:p>
    <w:p w14:paraId="648350DD">
      <w:pPr>
        <w:keepLines/>
        <w:widowControl/>
        <w:autoSpaceDE w:val="0"/>
        <w:autoSpaceDN w:val="0"/>
        <w:adjustRightInd w:val="0"/>
        <w:snapToGrid w:val="0"/>
        <w:spacing w:line="360" w:lineRule="auto"/>
        <w:jc w:val="left"/>
        <w:textAlignment w:val="baseline"/>
        <w:outlineLvl w:val="3"/>
        <w:rPr>
          <w:rFonts w:ascii="宋体" w:hAnsi="宋体"/>
          <w:snapToGrid w:val="0"/>
          <w:kern w:val="0"/>
          <w:sz w:val="24"/>
          <w:szCs w:val="20"/>
          <w:highlight w:val="none"/>
        </w:rPr>
      </w:pPr>
      <w:r>
        <w:rPr>
          <w:rFonts w:ascii="宋体" w:hAnsi="宋体"/>
          <w:b/>
          <w:snapToGrid w:val="0"/>
          <w:kern w:val="0"/>
          <w:szCs w:val="21"/>
          <w:highlight w:val="none"/>
        </w:rPr>
        <w:br w:type="page"/>
      </w:r>
      <w:bookmarkStart w:id="62" w:name="_Toc426321896"/>
      <w:r>
        <w:rPr>
          <w:rFonts w:ascii="宋体" w:hAnsi="宋体"/>
          <w:snapToGrid w:val="0"/>
          <w:kern w:val="0"/>
          <w:sz w:val="24"/>
          <w:szCs w:val="20"/>
          <w:highlight w:val="none"/>
        </w:rPr>
        <w:t>附件二  履约担保</w:t>
      </w:r>
      <w:bookmarkEnd w:id="62"/>
    </w:p>
    <w:p w14:paraId="2A22C250">
      <w:pPr>
        <w:autoSpaceDE w:val="0"/>
        <w:autoSpaceDN w:val="0"/>
        <w:adjustRightInd w:val="0"/>
        <w:snapToGrid w:val="0"/>
        <w:spacing w:line="360" w:lineRule="auto"/>
        <w:jc w:val="center"/>
        <w:textAlignment w:val="baseline"/>
        <w:rPr>
          <w:b/>
          <w:bCs/>
          <w:snapToGrid w:val="0"/>
          <w:kern w:val="0"/>
          <w:sz w:val="24"/>
          <w:highlight w:val="none"/>
        </w:rPr>
      </w:pPr>
    </w:p>
    <w:p w14:paraId="2763D5EE">
      <w:pPr>
        <w:autoSpaceDE w:val="0"/>
        <w:autoSpaceDN w:val="0"/>
        <w:adjustRightInd w:val="0"/>
        <w:snapToGrid w:val="0"/>
        <w:spacing w:line="360" w:lineRule="auto"/>
        <w:jc w:val="center"/>
        <w:textAlignment w:val="baseline"/>
        <w:rPr>
          <w:b/>
          <w:bCs/>
          <w:snapToGrid w:val="0"/>
          <w:kern w:val="0"/>
          <w:sz w:val="24"/>
          <w:highlight w:val="none"/>
        </w:rPr>
      </w:pPr>
      <w:r>
        <w:rPr>
          <w:b/>
          <w:bCs/>
          <w:snapToGrid w:val="0"/>
          <w:kern w:val="0"/>
          <w:sz w:val="24"/>
          <w:highlight w:val="none"/>
        </w:rPr>
        <w:t>履约担保</w:t>
      </w:r>
    </w:p>
    <w:p w14:paraId="0DDA8ACA">
      <w:pPr>
        <w:spacing w:line="360" w:lineRule="auto"/>
        <w:ind w:firstLine="1890" w:firstLineChars="900"/>
        <w:jc w:val="left"/>
        <w:rPr>
          <w:rFonts w:hint="eastAsia" w:ascii="宋体" w:hAnsi="宋体" w:cs="宋体"/>
          <w:kern w:val="0"/>
          <w:szCs w:val="21"/>
          <w:highlight w:val="none"/>
          <w:lang w:bidi="en-US"/>
        </w:rPr>
      </w:pPr>
      <w:r>
        <w:rPr>
          <w:rFonts w:hint="eastAsia" w:ascii="宋体" w:hAnsi="宋体" w:cs="宋体"/>
          <w:kern w:val="0"/>
          <w:szCs w:val="21"/>
          <w:highlight w:val="none"/>
          <w:lang w:bidi="en-US"/>
        </w:rPr>
        <w:t>（发包人名称）：</w:t>
      </w:r>
    </w:p>
    <w:p w14:paraId="582A01C4">
      <w:pPr>
        <w:spacing w:line="360" w:lineRule="auto"/>
        <w:ind w:firstLine="420" w:firstLineChars="200"/>
        <w:jc w:val="left"/>
        <w:rPr>
          <w:rFonts w:hint="eastAsia" w:ascii="宋体" w:hAnsi="宋体" w:cs="宋体"/>
          <w:kern w:val="0"/>
          <w:szCs w:val="21"/>
          <w:highlight w:val="none"/>
          <w:lang w:bidi="en-US"/>
        </w:rPr>
      </w:pPr>
      <w:r>
        <w:rPr>
          <w:rFonts w:hint="eastAsia" w:ascii="宋体" w:hAnsi="宋体" w:cs="宋体"/>
          <w:kern w:val="0"/>
          <w:szCs w:val="21"/>
          <w:highlight w:val="none"/>
          <w:lang w:bidi="en-US"/>
        </w:rPr>
        <w:t>鉴于</w:t>
      </w:r>
      <w:r>
        <w:rPr>
          <w:rFonts w:hint="eastAsia" w:ascii="宋体" w:hAnsi="宋体" w:cs="宋体"/>
          <w:kern w:val="0"/>
          <w:szCs w:val="21"/>
          <w:highlight w:val="none"/>
          <w:u w:val="single"/>
          <w:lang w:bidi="en-US"/>
        </w:rPr>
        <w:t xml:space="preserve">      </w:t>
      </w:r>
      <w:r>
        <w:rPr>
          <w:rFonts w:hint="eastAsia" w:ascii="宋体" w:hAnsi="宋体" w:cs="宋体"/>
          <w:kern w:val="0"/>
          <w:szCs w:val="21"/>
          <w:highlight w:val="none"/>
          <w:lang w:bidi="en-US"/>
        </w:rPr>
        <w:t>（发包人名称，以下简称“</w:t>
      </w:r>
      <w:r>
        <w:rPr>
          <w:rFonts w:hint="eastAsia" w:ascii="宋体" w:hAnsi="宋体" w:cs="宋体"/>
          <w:kern w:val="0"/>
          <w:szCs w:val="21"/>
          <w:highlight w:val="none"/>
          <w:lang w:val="zh-CN" w:bidi="en-US"/>
        </w:rPr>
        <w:t>发</w:t>
      </w:r>
      <w:r>
        <w:rPr>
          <w:rFonts w:hint="eastAsia" w:ascii="宋体" w:hAnsi="宋体" w:cs="宋体"/>
          <w:kern w:val="0"/>
          <w:szCs w:val="21"/>
          <w:highlight w:val="none"/>
          <w:lang w:bidi="en-US"/>
        </w:rPr>
        <w:t>包人”）接受（承包人名称，以下称</w:t>
      </w:r>
      <w:r>
        <w:rPr>
          <w:rFonts w:hint="eastAsia" w:ascii="宋体" w:hAnsi="宋体" w:cs="宋体"/>
          <w:kern w:val="0"/>
          <w:szCs w:val="21"/>
          <w:highlight w:val="none"/>
          <w:lang w:val="zh-CN" w:bidi="en-US"/>
        </w:rPr>
        <w:t>“承</w:t>
      </w:r>
      <w:r>
        <w:rPr>
          <w:rFonts w:hint="eastAsia" w:ascii="宋体" w:hAnsi="宋体" w:cs="宋体"/>
          <w:kern w:val="0"/>
          <w:szCs w:val="21"/>
          <w:highlight w:val="none"/>
          <w:lang w:bidi="en-US"/>
        </w:rPr>
        <w:t>包人”）于</w:t>
      </w:r>
      <w:r>
        <w:rPr>
          <w:rFonts w:hint="eastAsia" w:ascii="宋体" w:hAnsi="宋体" w:cs="宋体"/>
          <w:kern w:val="0"/>
          <w:szCs w:val="21"/>
          <w:highlight w:val="none"/>
          <w:u w:val="single"/>
          <w:lang w:bidi="en-US"/>
        </w:rPr>
        <w:t xml:space="preserve">    </w:t>
      </w:r>
      <w:r>
        <w:rPr>
          <w:rFonts w:hint="eastAsia" w:ascii="宋体" w:hAnsi="宋体" w:cs="宋体"/>
          <w:kern w:val="0"/>
          <w:szCs w:val="21"/>
          <w:highlight w:val="none"/>
          <w:lang w:bidi="en-US"/>
        </w:rPr>
        <w:t>年</w:t>
      </w:r>
      <w:r>
        <w:rPr>
          <w:rFonts w:hint="eastAsia" w:ascii="宋体" w:hAnsi="宋体" w:cs="宋体"/>
          <w:kern w:val="0"/>
          <w:szCs w:val="21"/>
          <w:highlight w:val="none"/>
          <w:u w:val="single"/>
          <w:lang w:bidi="en-US"/>
        </w:rPr>
        <w:t xml:space="preserve">    </w:t>
      </w:r>
      <w:r>
        <w:rPr>
          <w:rFonts w:hint="eastAsia" w:ascii="宋体" w:hAnsi="宋体" w:cs="宋体"/>
          <w:kern w:val="0"/>
          <w:szCs w:val="21"/>
          <w:highlight w:val="none"/>
          <w:lang w:bidi="en-US"/>
        </w:rPr>
        <w:t>月</w:t>
      </w:r>
      <w:r>
        <w:rPr>
          <w:rFonts w:hint="eastAsia" w:ascii="宋体" w:hAnsi="宋体" w:cs="宋体"/>
          <w:kern w:val="0"/>
          <w:szCs w:val="21"/>
          <w:highlight w:val="none"/>
          <w:u w:val="single"/>
          <w:lang w:bidi="en-US"/>
        </w:rPr>
        <w:t xml:space="preserve">     </w:t>
      </w:r>
      <w:r>
        <w:rPr>
          <w:rFonts w:hint="eastAsia" w:ascii="宋体" w:hAnsi="宋体" w:cs="宋体"/>
          <w:kern w:val="0"/>
          <w:szCs w:val="21"/>
          <w:highlight w:val="none"/>
          <w:lang w:bidi="en-US"/>
        </w:rPr>
        <w:t>日递交的</w:t>
      </w:r>
      <w:r>
        <w:rPr>
          <w:rFonts w:hint="eastAsia" w:ascii="宋体" w:hAnsi="宋体" w:cs="宋体"/>
          <w:kern w:val="0"/>
          <w:szCs w:val="21"/>
          <w:highlight w:val="none"/>
          <w:u w:val="single"/>
          <w:lang w:bidi="en-US"/>
        </w:rPr>
        <w:t xml:space="preserve">         </w:t>
      </w:r>
      <w:r>
        <w:rPr>
          <w:rFonts w:hint="eastAsia" w:ascii="宋体" w:hAnsi="宋体" w:cs="宋体"/>
          <w:kern w:val="0"/>
          <w:szCs w:val="21"/>
          <w:highlight w:val="none"/>
          <w:lang w:bidi="en-US"/>
        </w:rPr>
        <w:t>（项目名称）</w:t>
      </w:r>
      <w:r>
        <w:rPr>
          <w:rFonts w:hint="eastAsia" w:ascii="宋体" w:hAnsi="宋体" w:cs="宋体"/>
          <w:kern w:val="0"/>
          <w:szCs w:val="21"/>
          <w:highlight w:val="none"/>
          <w:u w:val="single"/>
          <w:lang w:bidi="en-US"/>
        </w:rPr>
        <w:t xml:space="preserve">            </w:t>
      </w:r>
      <w:r>
        <w:rPr>
          <w:rFonts w:hint="eastAsia" w:ascii="宋体" w:hAnsi="宋体" w:cs="宋体"/>
          <w:kern w:val="0"/>
          <w:szCs w:val="21"/>
          <w:highlight w:val="none"/>
          <w:lang w:bidi="en-US"/>
        </w:rPr>
        <w:t>（标段名称）的投标文件。我方愿意无条件地、不可撤销地就承包人履行与你方订立的合同，向你方提供担保。</w:t>
      </w:r>
    </w:p>
    <w:p w14:paraId="2EC8233C">
      <w:pPr>
        <w:spacing w:line="360" w:lineRule="auto"/>
        <w:ind w:firstLine="420" w:firstLineChars="200"/>
        <w:jc w:val="left"/>
        <w:rPr>
          <w:rFonts w:hint="eastAsia" w:ascii="宋体" w:hAnsi="宋体" w:cs="宋体"/>
          <w:kern w:val="0"/>
          <w:szCs w:val="21"/>
          <w:highlight w:val="none"/>
          <w:lang w:bidi="en-US"/>
        </w:rPr>
      </w:pPr>
      <w:r>
        <w:rPr>
          <w:rFonts w:hint="eastAsia" w:ascii="宋体" w:hAnsi="宋体" w:cs="宋体"/>
          <w:kern w:val="0"/>
          <w:szCs w:val="21"/>
          <w:highlight w:val="none"/>
          <w:lang w:bidi="en-US"/>
        </w:rPr>
        <w:t>1.担保金额人民币</w:t>
      </w:r>
      <w:r>
        <w:rPr>
          <w:rFonts w:hint="eastAsia" w:ascii="宋体" w:hAnsi="宋体" w:cs="宋体"/>
          <w:kern w:val="0"/>
          <w:szCs w:val="21"/>
          <w:highlight w:val="none"/>
          <w:u w:val="single"/>
          <w:lang w:bidi="en-US"/>
        </w:rPr>
        <w:t xml:space="preserve">           </w:t>
      </w:r>
      <w:r>
        <w:rPr>
          <w:rFonts w:hint="eastAsia" w:ascii="宋体" w:hAnsi="宋体" w:cs="宋体"/>
          <w:kern w:val="0"/>
          <w:szCs w:val="21"/>
          <w:highlight w:val="none"/>
          <w:lang w:bidi="en-US"/>
        </w:rPr>
        <w:t>（大写）元（¥</w:t>
      </w:r>
      <w:r>
        <w:rPr>
          <w:rFonts w:hint="eastAsia" w:ascii="宋体" w:hAnsi="宋体" w:cs="宋体"/>
          <w:kern w:val="0"/>
          <w:szCs w:val="21"/>
          <w:highlight w:val="none"/>
          <w:u w:val="single"/>
          <w:lang w:bidi="en-US"/>
        </w:rPr>
        <w:t xml:space="preserve">          </w:t>
      </w:r>
      <w:r>
        <w:rPr>
          <w:rFonts w:hint="eastAsia" w:ascii="宋体" w:hAnsi="宋体" w:cs="宋体"/>
          <w:kern w:val="0"/>
          <w:szCs w:val="21"/>
          <w:highlight w:val="none"/>
          <w:lang w:bidi="en-US"/>
        </w:rPr>
        <w:t>）。</w:t>
      </w:r>
    </w:p>
    <w:p w14:paraId="3FDC29D9">
      <w:pPr>
        <w:spacing w:line="360" w:lineRule="auto"/>
        <w:ind w:firstLine="420" w:firstLineChars="200"/>
        <w:jc w:val="left"/>
        <w:rPr>
          <w:rFonts w:hint="eastAsia" w:ascii="宋体" w:hAnsi="宋体" w:cs="宋体"/>
          <w:kern w:val="0"/>
          <w:szCs w:val="21"/>
          <w:highlight w:val="none"/>
          <w:lang w:bidi="en-US"/>
        </w:rPr>
      </w:pPr>
      <w:r>
        <w:rPr>
          <w:rFonts w:hint="eastAsia" w:ascii="宋体" w:hAnsi="宋体" w:cs="宋体"/>
          <w:kern w:val="0"/>
          <w:szCs w:val="21"/>
          <w:highlight w:val="none"/>
          <w:lang w:bidi="en-US"/>
        </w:rPr>
        <w:t>2.担保有效期自发包人与承包人签订的合同生效之日起至发包人签发合同工程完工证书之日止。</w:t>
      </w:r>
    </w:p>
    <w:p w14:paraId="557AACCE">
      <w:pPr>
        <w:spacing w:line="360" w:lineRule="auto"/>
        <w:ind w:firstLine="420" w:firstLineChars="200"/>
        <w:jc w:val="left"/>
        <w:rPr>
          <w:rFonts w:hint="eastAsia" w:ascii="宋体" w:hAnsi="宋体" w:cs="宋体"/>
          <w:kern w:val="0"/>
          <w:szCs w:val="21"/>
          <w:highlight w:val="none"/>
          <w:lang w:bidi="en-US"/>
        </w:rPr>
      </w:pPr>
      <w:r>
        <w:rPr>
          <w:rFonts w:hint="eastAsia" w:ascii="宋体" w:hAnsi="宋体" w:cs="宋体"/>
          <w:kern w:val="0"/>
          <w:szCs w:val="21"/>
          <w:highlight w:val="none"/>
          <w:lang w:bidi="en-US"/>
        </w:rPr>
        <w:t>3.在本担保有效期内因承包人违反合同约定的义务给你方造成经济损失时，我方在收到你方以书面形式提出的在担保金额内的赔偿要求后，无条件地在7天内予以支付。</w:t>
      </w:r>
    </w:p>
    <w:p w14:paraId="32F4B73B">
      <w:pPr>
        <w:spacing w:line="360" w:lineRule="auto"/>
        <w:ind w:firstLine="420" w:firstLineChars="200"/>
        <w:jc w:val="left"/>
        <w:rPr>
          <w:rFonts w:hint="eastAsia" w:ascii="宋体" w:hAnsi="宋体" w:cs="宋体"/>
          <w:kern w:val="0"/>
          <w:szCs w:val="21"/>
          <w:highlight w:val="none"/>
          <w:lang w:bidi="en-US"/>
        </w:rPr>
      </w:pPr>
      <w:r>
        <w:rPr>
          <w:rFonts w:hint="eastAsia" w:ascii="宋体" w:hAnsi="宋体" w:cs="宋体"/>
          <w:kern w:val="0"/>
          <w:szCs w:val="21"/>
          <w:highlight w:val="none"/>
          <w:lang w:bidi="en-US"/>
        </w:rPr>
        <w:t>4.发包人和承包人按《通用合同条款》第15条变更合同时，我方承担本担保规定的义务不变。</w:t>
      </w:r>
    </w:p>
    <w:p w14:paraId="7BADEB85">
      <w:pPr>
        <w:spacing w:line="360" w:lineRule="auto"/>
        <w:ind w:firstLine="420" w:firstLineChars="200"/>
        <w:jc w:val="left"/>
        <w:rPr>
          <w:rFonts w:hint="eastAsia" w:ascii="宋体" w:hAnsi="宋体" w:cs="宋体"/>
          <w:kern w:val="0"/>
          <w:szCs w:val="21"/>
          <w:highlight w:val="none"/>
          <w:lang w:bidi="en-US"/>
        </w:rPr>
      </w:pPr>
    </w:p>
    <w:p w14:paraId="1C8B88DD">
      <w:pPr>
        <w:spacing w:line="360" w:lineRule="auto"/>
        <w:ind w:firstLine="420" w:firstLineChars="200"/>
        <w:jc w:val="left"/>
        <w:rPr>
          <w:rFonts w:hint="eastAsia" w:ascii="宋体" w:hAnsi="宋体" w:cs="宋体"/>
          <w:kern w:val="0"/>
          <w:szCs w:val="21"/>
          <w:highlight w:val="none"/>
          <w:lang w:bidi="en-US"/>
        </w:rPr>
      </w:pPr>
    </w:p>
    <w:p w14:paraId="453CA5D8">
      <w:pPr>
        <w:spacing w:line="360" w:lineRule="auto"/>
        <w:ind w:firstLine="420" w:firstLineChars="200"/>
        <w:jc w:val="left"/>
        <w:rPr>
          <w:rFonts w:hint="eastAsia" w:ascii="宋体" w:hAnsi="宋体" w:cs="宋体"/>
          <w:kern w:val="0"/>
          <w:szCs w:val="21"/>
          <w:highlight w:val="none"/>
          <w:lang w:bidi="en-US"/>
        </w:rPr>
      </w:pPr>
    </w:p>
    <w:p w14:paraId="7547A1B4">
      <w:pPr>
        <w:spacing w:line="360" w:lineRule="auto"/>
        <w:ind w:firstLine="420" w:firstLineChars="200"/>
        <w:jc w:val="center"/>
        <w:rPr>
          <w:rFonts w:hint="eastAsia" w:ascii="宋体" w:hAnsi="宋体" w:cs="宋体"/>
          <w:kern w:val="0"/>
          <w:szCs w:val="21"/>
          <w:highlight w:val="none"/>
          <w:lang w:bidi="en-US"/>
        </w:rPr>
      </w:pPr>
      <w:r>
        <w:rPr>
          <w:rFonts w:hint="eastAsia" w:ascii="宋体" w:hAnsi="宋体" w:cs="宋体"/>
          <w:kern w:val="0"/>
          <w:szCs w:val="21"/>
          <w:highlight w:val="none"/>
          <w:lang w:bidi="en-US"/>
        </w:rPr>
        <w:t xml:space="preserve">                          担保人：</w:t>
      </w:r>
      <w:r>
        <w:rPr>
          <w:rFonts w:hint="eastAsia" w:ascii="宋体" w:hAnsi="宋体" w:cs="宋体"/>
          <w:kern w:val="0"/>
          <w:szCs w:val="21"/>
          <w:highlight w:val="none"/>
          <w:u w:val="single"/>
          <w:lang w:bidi="en-US"/>
        </w:rPr>
        <w:t xml:space="preserve">                           </w:t>
      </w:r>
      <w:r>
        <w:rPr>
          <w:rFonts w:hint="eastAsia" w:ascii="宋体" w:hAnsi="宋体" w:cs="宋体"/>
          <w:kern w:val="0"/>
          <w:szCs w:val="21"/>
          <w:highlight w:val="none"/>
          <w:lang w:bidi="en-US"/>
        </w:rPr>
        <w:t>（盖章单位）</w:t>
      </w:r>
    </w:p>
    <w:p w14:paraId="59F926B9">
      <w:pPr>
        <w:spacing w:line="360" w:lineRule="auto"/>
        <w:ind w:firstLine="420" w:firstLineChars="200"/>
        <w:jc w:val="right"/>
        <w:rPr>
          <w:rFonts w:hint="eastAsia" w:ascii="宋体" w:hAnsi="宋体" w:cs="宋体"/>
          <w:kern w:val="0"/>
          <w:szCs w:val="21"/>
          <w:highlight w:val="none"/>
          <w:lang w:bidi="en-US"/>
        </w:rPr>
      </w:pPr>
      <w:r>
        <w:rPr>
          <w:rFonts w:hint="eastAsia" w:ascii="宋体" w:hAnsi="宋体" w:cs="宋体"/>
          <w:kern w:val="0"/>
          <w:szCs w:val="21"/>
          <w:highlight w:val="none"/>
          <w:lang w:bidi="en-US"/>
        </w:rPr>
        <w:t>法定代表人或其委托代理人：</w:t>
      </w:r>
      <w:r>
        <w:rPr>
          <w:rFonts w:hint="eastAsia" w:ascii="宋体" w:hAnsi="宋体" w:cs="宋体"/>
          <w:kern w:val="0"/>
          <w:szCs w:val="21"/>
          <w:highlight w:val="none"/>
          <w:u w:val="single"/>
          <w:lang w:bidi="en-US"/>
        </w:rPr>
        <w:t xml:space="preserve">          </w:t>
      </w:r>
      <w:r>
        <w:rPr>
          <w:rFonts w:hint="eastAsia" w:ascii="宋体" w:hAnsi="宋体" w:cs="宋体"/>
          <w:kern w:val="0"/>
          <w:szCs w:val="21"/>
          <w:highlight w:val="none"/>
          <w:lang w:bidi="en-US"/>
        </w:rPr>
        <w:t xml:space="preserve"> （签字）</w:t>
      </w:r>
    </w:p>
    <w:p w14:paraId="12A3428C">
      <w:pPr>
        <w:spacing w:line="360" w:lineRule="auto"/>
        <w:ind w:firstLine="420" w:firstLineChars="200"/>
        <w:jc w:val="left"/>
        <w:rPr>
          <w:rFonts w:hint="eastAsia" w:ascii="宋体" w:hAnsi="宋体" w:cs="宋体"/>
          <w:kern w:val="0"/>
          <w:szCs w:val="21"/>
          <w:highlight w:val="none"/>
          <w:lang w:bidi="en-US"/>
        </w:rPr>
      </w:pPr>
      <w:r>
        <w:rPr>
          <w:rFonts w:hint="eastAsia" w:ascii="宋体" w:hAnsi="宋体" w:cs="宋体"/>
          <w:kern w:val="0"/>
          <w:szCs w:val="21"/>
          <w:highlight w:val="none"/>
          <w:lang w:bidi="en-US"/>
        </w:rPr>
        <w:t xml:space="preserve">                                           地址：</w:t>
      </w:r>
      <w:r>
        <w:rPr>
          <w:rFonts w:hint="eastAsia" w:ascii="宋体" w:hAnsi="宋体" w:cs="宋体"/>
          <w:kern w:val="0"/>
          <w:szCs w:val="21"/>
          <w:highlight w:val="none"/>
          <w:u w:val="single"/>
          <w:lang w:bidi="en-US"/>
        </w:rPr>
        <w:t xml:space="preserve">              </w:t>
      </w:r>
      <w:r>
        <w:rPr>
          <w:rFonts w:hint="eastAsia" w:ascii="宋体" w:hAnsi="宋体" w:cs="宋体"/>
          <w:kern w:val="0"/>
          <w:szCs w:val="21"/>
          <w:highlight w:val="none"/>
          <w:lang w:bidi="en-US"/>
        </w:rPr>
        <w:t xml:space="preserve">    </w:t>
      </w:r>
    </w:p>
    <w:p w14:paraId="39DAB44D">
      <w:pPr>
        <w:spacing w:line="360" w:lineRule="auto"/>
        <w:ind w:firstLine="420" w:firstLineChars="200"/>
        <w:jc w:val="center"/>
        <w:rPr>
          <w:rFonts w:ascii="宋体" w:hAnsi="宋体" w:cs="宋体"/>
          <w:kern w:val="0"/>
          <w:szCs w:val="21"/>
          <w:highlight w:val="none"/>
          <w:u w:val="single"/>
          <w:lang w:bidi="en-US"/>
        </w:rPr>
      </w:pPr>
      <w:r>
        <w:rPr>
          <w:rFonts w:hint="eastAsia" w:ascii="宋体" w:hAnsi="宋体" w:cs="宋体"/>
          <w:kern w:val="0"/>
          <w:szCs w:val="21"/>
          <w:highlight w:val="none"/>
          <w:lang w:bidi="en-US"/>
        </w:rPr>
        <w:t xml:space="preserve">               邮政编码：</w:t>
      </w:r>
      <w:r>
        <w:rPr>
          <w:rFonts w:hint="eastAsia" w:ascii="宋体" w:hAnsi="宋体" w:cs="宋体"/>
          <w:kern w:val="0"/>
          <w:szCs w:val="21"/>
          <w:highlight w:val="none"/>
          <w:u w:val="single"/>
          <w:lang w:bidi="en-US"/>
        </w:rPr>
        <w:t xml:space="preserve">                      </w:t>
      </w:r>
    </w:p>
    <w:p w14:paraId="5557C65E">
      <w:pPr>
        <w:spacing w:line="360" w:lineRule="auto"/>
        <w:ind w:firstLine="420" w:firstLineChars="200"/>
        <w:jc w:val="center"/>
        <w:rPr>
          <w:rFonts w:hint="eastAsia" w:ascii="宋体" w:hAnsi="宋体" w:cs="宋体"/>
          <w:kern w:val="0"/>
          <w:szCs w:val="21"/>
          <w:highlight w:val="none"/>
          <w:u w:val="single"/>
          <w:lang w:bidi="en-US"/>
        </w:rPr>
      </w:pPr>
      <w:r>
        <w:rPr>
          <w:rFonts w:hint="eastAsia" w:ascii="宋体" w:hAnsi="宋体" w:cs="宋体"/>
          <w:kern w:val="0"/>
          <w:szCs w:val="21"/>
          <w:highlight w:val="none"/>
          <w:lang w:bidi="en-US"/>
        </w:rPr>
        <w:t xml:space="preserve">           电话：</w:t>
      </w:r>
      <w:r>
        <w:rPr>
          <w:rFonts w:hint="eastAsia" w:ascii="宋体" w:hAnsi="宋体" w:cs="宋体"/>
          <w:kern w:val="0"/>
          <w:szCs w:val="21"/>
          <w:highlight w:val="none"/>
          <w:u w:val="single"/>
          <w:lang w:bidi="en-US"/>
        </w:rPr>
        <w:t xml:space="preserve">                    </w:t>
      </w:r>
    </w:p>
    <w:p w14:paraId="3271ACD0">
      <w:pPr>
        <w:spacing w:line="360" w:lineRule="auto"/>
        <w:ind w:firstLine="420" w:firstLineChars="200"/>
        <w:jc w:val="center"/>
        <w:rPr>
          <w:rFonts w:ascii="宋体" w:hAnsi="宋体" w:cs="宋体"/>
          <w:kern w:val="0"/>
          <w:szCs w:val="21"/>
          <w:highlight w:val="none"/>
          <w:lang w:bidi="en-US"/>
        </w:rPr>
      </w:pPr>
      <w:r>
        <w:rPr>
          <w:rFonts w:hint="eastAsia" w:ascii="宋体" w:hAnsi="宋体" w:cs="宋体"/>
          <w:kern w:val="0"/>
          <w:szCs w:val="21"/>
          <w:highlight w:val="none"/>
          <w:lang w:bidi="en-US"/>
        </w:rPr>
        <w:t xml:space="preserve">            传真：</w:t>
      </w:r>
      <w:r>
        <w:rPr>
          <w:rFonts w:hint="eastAsia" w:ascii="宋体" w:hAnsi="宋体" w:cs="宋体"/>
          <w:kern w:val="0"/>
          <w:szCs w:val="21"/>
          <w:highlight w:val="none"/>
          <w:u w:val="single"/>
          <w:lang w:bidi="en-US"/>
        </w:rPr>
        <w:t xml:space="preserve">                 </w:t>
      </w:r>
    </w:p>
    <w:p w14:paraId="50150802">
      <w:pPr>
        <w:spacing w:line="360" w:lineRule="auto"/>
        <w:ind w:firstLine="1050" w:firstLineChars="500"/>
        <w:jc w:val="right"/>
        <w:rPr>
          <w:rFonts w:hint="eastAsia" w:ascii="宋体" w:hAnsi="宋体" w:cs="宋体"/>
          <w:kern w:val="0"/>
          <w:szCs w:val="21"/>
          <w:highlight w:val="none"/>
          <w:lang w:bidi="en-US"/>
        </w:rPr>
      </w:pPr>
      <w:r>
        <w:rPr>
          <w:rFonts w:hint="eastAsia" w:ascii="宋体" w:hAnsi="宋体" w:cs="宋体"/>
          <w:kern w:val="0"/>
          <w:szCs w:val="21"/>
          <w:highlight w:val="none"/>
          <w:lang w:bidi="en-US"/>
        </w:rPr>
        <w:t>年</w:t>
      </w:r>
      <w:r>
        <w:rPr>
          <w:rFonts w:hint="eastAsia" w:ascii="宋体" w:hAnsi="宋体" w:cs="宋体"/>
          <w:kern w:val="0"/>
          <w:szCs w:val="21"/>
          <w:highlight w:val="none"/>
          <w:u w:val="single"/>
          <w:lang w:bidi="en-US"/>
        </w:rPr>
        <w:t xml:space="preserve">     </w:t>
      </w:r>
      <w:r>
        <w:rPr>
          <w:rFonts w:hint="eastAsia" w:ascii="宋体" w:hAnsi="宋体" w:cs="宋体"/>
          <w:kern w:val="0"/>
          <w:szCs w:val="21"/>
          <w:highlight w:val="none"/>
          <w:lang w:bidi="en-US"/>
        </w:rPr>
        <w:t>月</w:t>
      </w:r>
      <w:r>
        <w:rPr>
          <w:rFonts w:hint="eastAsia" w:ascii="宋体" w:hAnsi="宋体" w:cs="宋体"/>
          <w:kern w:val="0"/>
          <w:szCs w:val="21"/>
          <w:highlight w:val="none"/>
          <w:u w:val="single"/>
          <w:lang w:bidi="en-US"/>
        </w:rPr>
        <w:t xml:space="preserve">     </w:t>
      </w:r>
      <w:r>
        <w:rPr>
          <w:rFonts w:hint="eastAsia" w:ascii="宋体" w:hAnsi="宋体" w:cs="宋体"/>
          <w:kern w:val="0"/>
          <w:szCs w:val="21"/>
          <w:highlight w:val="none"/>
          <w:lang w:bidi="en-US"/>
        </w:rPr>
        <w:t>日</w:t>
      </w:r>
    </w:p>
    <w:p w14:paraId="66A02D7A">
      <w:pPr>
        <w:autoSpaceDE w:val="0"/>
        <w:autoSpaceDN w:val="0"/>
        <w:adjustRightInd w:val="0"/>
        <w:snapToGrid w:val="0"/>
        <w:spacing w:line="360" w:lineRule="auto"/>
        <w:textAlignment w:val="baseline"/>
        <w:rPr>
          <w:snapToGrid w:val="0"/>
          <w:kern w:val="0"/>
          <w:szCs w:val="21"/>
          <w:highlight w:val="none"/>
        </w:rPr>
      </w:pPr>
      <w:r>
        <w:rPr>
          <w:rFonts w:hint="eastAsia" w:ascii="宋体" w:hAnsi="宋体" w:cs="宋体"/>
          <w:kern w:val="0"/>
          <w:szCs w:val="21"/>
          <w:highlight w:val="none"/>
          <w:lang w:bidi="en-US"/>
        </w:rPr>
        <w:t>注：委托代理人应附授权委托书。</w:t>
      </w:r>
    </w:p>
    <w:p w14:paraId="1E58E156">
      <w:pPr>
        <w:autoSpaceDE w:val="0"/>
        <w:autoSpaceDN w:val="0"/>
        <w:adjustRightInd w:val="0"/>
        <w:snapToGrid w:val="0"/>
        <w:spacing w:line="360" w:lineRule="auto"/>
        <w:ind w:firstLine="480" w:firstLineChars="200"/>
        <w:textAlignment w:val="baseline"/>
        <w:rPr>
          <w:snapToGrid w:val="0"/>
          <w:kern w:val="0"/>
          <w:sz w:val="24"/>
          <w:highlight w:val="none"/>
        </w:rPr>
      </w:pPr>
    </w:p>
    <w:p w14:paraId="3CA4521A">
      <w:pPr>
        <w:autoSpaceDE w:val="0"/>
        <w:autoSpaceDN w:val="0"/>
        <w:adjustRightInd w:val="0"/>
        <w:snapToGrid w:val="0"/>
        <w:spacing w:line="360" w:lineRule="auto"/>
        <w:ind w:firstLine="480" w:firstLineChars="200"/>
        <w:textAlignment w:val="baseline"/>
        <w:rPr>
          <w:snapToGrid w:val="0"/>
          <w:kern w:val="0"/>
          <w:sz w:val="24"/>
          <w:highlight w:val="none"/>
        </w:rPr>
      </w:pPr>
      <w:r>
        <w:rPr>
          <w:snapToGrid w:val="0"/>
          <w:kern w:val="0"/>
          <w:sz w:val="24"/>
          <w:highlight w:val="none"/>
        </w:rPr>
        <w:br w:type="page"/>
      </w:r>
    </w:p>
    <w:p w14:paraId="20B8A196">
      <w:pPr>
        <w:keepLines/>
        <w:widowControl/>
        <w:autoSpaceDE w:val="0"/>
        <w:autoSpaceDN w:val="0"/>
        <w:adjustRightInd w:val="0"/>
        <w:snapToGrid w:val="0"/>
        <w:spacing w:line="360" w:lineRule="auto"/>
        <w:jc w:val="left"/>
        <w:textAlignment w:val="baseline"/>
        <w:outlineLvl w:val="3"/>
        <w:rPr>
          <w:rFonts w:ascii="宋体" w:hAnsi="宋体"/>
          <w:snapToGrid w:val="0"/>
          <w:kern w:val="0"/>
          <w:sz w:val="24"/>
          <w:szCs w:val="20"/>
          <w:highlight w:val="none"/>
        </w:rPr>
      </w:pPr>
      <w:bookmarkStart w:id="63" w:name="_Toc426321897"/>
      <w:r>
        <w:rPr>
          <w:rFonts w:ascii="宋体" w:hAnsi="宋体"/>
          <w:snapToGrid w:val="0"/>
          <w:kern w:val="0"/>
          <w:sz w:val="24"/>
          <w:szCs w:val="20"/>
          <w:highlight w:val="none"/>
        </w:rPr>
        <w:t xml:space="preserve">附件三  </w:t>
      </w:r>
      <w:bookmarkEnd w:id="63"/>
      <w:bookmarkStart w:id="64" w:name="_Toc426321898"/>
      <w:r>
        <w:rPr>
          <w:rFonts w:ascii="宋体" w:hAnsi="宋体"/>
          <w:snapToGrid w:val="0"/>
          <w:kern w:val="0"/>
          <w:sz w:val="24"/>
          <w:szCs w:val="20"/>
          <w:highlight w:val="none"/>
        </w:rPr>
        <w:t xml:space="preserve"> 工程廉政责任书（格式）</w:t>
      </w:r>
      <w:bookmarkEnd w:id="64"/>
    </w:p>
    <w:p w14:paraId="11DF2397">
      <w:pPr>
        <w:adjustRightInd w:val="0"/>
        <w:snapToGrid w:val="0"/>
        <w:spacing w:line="360" w:lineRule="auto"/>
        <w:ind w:firstLine="240"/>
        <w:jc w:val="center"/>
        <w:rPr>
          <w:b/>
          <w:bCs/>
          <w:snapToGrid w:val="0"/>
          <w:kern w:val="0"/>
          <w:sz w:val="24"/>
          <w:highlight w:val="none"/>
        </w:rPr>
      </w:pPr>
      <w:r>
        <w:rPr>
          <w:snapToGrid w:val="0"/>
          <w:kern w:val="0"/>
          <w:sz w:val="24"/>
          <w:highlight w:val="none"/>
        </w:rPr>
        <w:t>（本格式为工程廉政责任书标准格式，投标人不需填写）</w:t>
      </w:r>
    </w:p>
    <w:p w14:paraId="55376D08">
      <w:pPr>
        <w:autoSpaceDE w:val="0"/>
        <w:autoSpaceDN w:val="0"/>
        <w:adjustRightInd w:val="0"/>
        <w:snapToGrid w:val="0"/>
        <w:spacing w:line="360" w:lineRule="auto"/>
        <w:jc w:val="center"/>
        <w:textAlignment w:val="baseline"/>
        <w:rPr>
          <w:b/>
          <w:snapToGrid w:val="0"/>
          <w:kern w:val="0"/>
          <w:sz w:val="24"/>
          <w:highlight w:val="none"/>
        </w:rPr>
      </w:pPr>
      <w:r>
        <w:rPr>
          <w:b/>
          <w:snapToGrid w:val="0"/>
          <w:kern w:val="0"/>
          <w:sz w:val="24"/>
          <w:highlight w:val="none"/>
        </w:rPr>
        <w:t>工程廉政责任书（格式）</w:t>
      </w:r>
    </w:p>
    <w:p w14:paraId="5F7EC5BB">
      <w:pPr>
        <w:autoSpaceDE w:val="0"/>
        <w:autoSpaceDN w:val="0"/>
        <w:adjustRightInd w:val="0"/>
        <w:snapToGrid w:val="0"/>
        <w:spacing w:line="360" w:lineRule="auto"/>
        <w:jc w:val="center"/>
        <w:textAlignment w:val="baseline"/>
        <w:rPr>
          <w:bCs/>
          <w:kern w:val="0"/>
          <w:sz w:val="24"/>
          <w:highlight w:val="none"/>
        </w:rPr>
      </w:pPr>
    </w:p>
    <w:p w14:paraId="24CB41AA">
      <w:pPr>
        <w:spacing w:line="360" w:lineRule="auto"/>
        <w:ind w:firstLine="420" w:firstLineChars="200"/>
        <w:jc w:val="left"/>
        <w:rPr>
          <w:rFonts w:hint="eastAsia" w:ascii="宋体" w:hAnsi="宋体" w:cs="宋体"/>
          <w:kern w:val="0"/>
          <w:szCs w:val="21"/>
          <w:highlight w:val="none"/>
          <w:lang w:bidi="en-US"/>
        </w:rPr>
      </w:pPr>
      <w:r>
        <w:rPr>
          <w:rFonts w:hint="eastAsia" w:ascii="宋体" w:hAnsi="宋体" w:cs="宋体"/>
          <w:kern w:val="0"/>
          <w:szCs w:val="21"/>
          <w:highlight w:val="none"/>
          <w:lang w:bidi="en-US"/>
        </w:rPr>
        <w:t>为加强工程建设中的廉政建设，保证工程建设高效优质完成，保证建设资金的安全和有效使用，</w:t>
      </w:r>
      <w:r>
        <w:rPr>
          <w:rFonts w:hint="eastAsia" w:ascii="宋体" w:hAnsi="宋体" w:cs="宋体"/>
          <w:kern w:val="0"/>
          <w:szCs w:val="21"/>
          <w:highlight w:val="none"/>
          <w:u w:val="single"/>
          <w:lang w:bidi="en-US"/>
        </w:rPr>
        <w:t xml:space="preserve">              </w:t>
      </w:r>
      <w:r>
        <w:rPr>
          <w:rFonts w:hint="eastAsia" w:ascii="宋体" w:hAnsi="宋体" w:cs="宋体"/>
          <w:kern w:val="0"/>
          <w:szCs w:val="21"/>
          <w:highlight w:val="none"/>
          <w:lang w:bidi="en-US"/>
        </w:rPr>
        <w:t>（项目名称）的发包人</w:t>
      </w:r>
      <w:r>
        <w:rPr>
          <w:rFonts w:hint="eastAsia" w:ascii="宋体" w:hAnsi="宋体" w:cs="宋体"/>
          <w:kern w:val="0"/>
          <w:szCs w:val="21"/>
          <w:highlight w:val="none"/>
          <w:u w:val="single"/>
          <w:lang w:bidi="en-US"/>
        </w:rPr>
        <w:t xml:space="preserve">              </w:t>
      </w:r>
      <w:r>
        <w:rPr>
          <w:rFonts w:hint="eastAsia" w:ascii="宋体" w:hAnsi="宋体" w:cs="宋体"/>
          <w:kern w:val="0"/>
          <w:szCs w:val="21"/>
          <w:highlight w:val="none"/>
          <w:lang w:bidi="en-US"/>
        </w:rPr>
        <w:t>（以下称甲方）与承包人</w:t>
      </w:r>
      <w:r>
        <w:rPr>
          <w:rFonts w:hint="eastAsia" w:ascii="宋体" w:hAnsi="宋体" w:cs="宋体"/>
          <w:kern w:val="0"/>
          <w:szCs w:val="21"/>
          <w:highlight w:val="none"/>
          <w:u w:val="single"/>
          <w:lang w:bidi="en-US"/>
        </w:rPr>
        <w:t xml:space="preserve">                    </w:t>
      </w:r>
      <w:r>
        <w:rPr>
          <w:rFonts w:hint="eastAsia" w:ascii="宋体" w:hAnsi="宋体" w:cs="宋体"/>
          <w:kern w:val="0"/>
          <w:szCs w:val="21"/>
          <w:highlight w:val="none"/>
          <w:lang w:bidi="en-US"/>
        </w:rPr>
        <w:t>（以下称乙方），特订立如下责任书。</w:t>
      </w:r>
    </w:p>
    <w:p w14:paraId="545BFB45">
      <w:pPr>
        <w:spacing w:line="360" w:lineRule="auto"/>
        <w:ind w:firstLine="420" w:firstLineChars="200"/>
        <w:jc w:val="left"/>
        <w:rPr>
          <w:rFonts w:hint="eastAsia" w:ascii="宋体" w:hAnsi="宋体" w:cs="宋体"/>
          <w:kern w:val="0"/>
          <w:szCs w:val="21"/>
          <w:highlight w:val="none"/>
          <w:lang w:bidi="en-US"/>
        </w:rPr>
      </w:pPr>
      <w:r>
        <w:rPr>
          <w:rFonts w:hint="eastAsia" w:ascii="宋体" w:hAnsi="宋体" w:cs="宋体"/>
          <w:kern w:val="0"/>
          <w:szCs w:val="21"/>
          <w:highlight w:val="none"/>
          <w:lang w:bidi="en-US"/>
        </w:rPr>
        <w:t>第一条甲乙双方的权利和义务</w:t>
      </w:r>
    </w:p>
    <w:p w14:paraId="4E66658F">
      <w:pPr>
        <w:spacing w:line="360" w:lineRule="auto"/>
        <w:ind w:firstLine="420" w:firstLineChars="200"/>
        <w:jc w:val="left"/>
        <w:rPr>
          <w:rFonts w:hint="eastAsia" w:ascii="宋体" w:hAnsi="宋体" w:cs="宋体"/>
          <w:kern w:val="0"/>
          <w:szCs w:val="21"/>
          <w:highlight w:val="none"/>
          <w:lang w:bidi="en-US"/>
        </w:rPr>
      </w:pPr>
      <w:r>
        <w:rPr>
          <w:rFonts w:hint="eastAsia" w:ascii="宋体" w:hAnsi="宋体" w:cs="宋体"/>
          <w:kern w:val="0"/>
          <w:szCs w:val="21"/>
          <w:highlight w:val="none"/>
          <w:lang w:bidi="en-US"/>
        </w:rPr>
        <w:t>（一）严格遵守党和国家工程建设的有关法律法规及水利部门的有关规定。</w:t>
      </w:r>
    </w:p>
    <w:p w14:paraId="5F506FF9">
      <w:pPr>
        <w:spacing w:line="360" w:lineRule="auto"/>
        <w:ind w:firstLine="420" w:firstLineChars="200"/>
        <w:jc w:val="left"/>
        <w:rPr>
          <w:rFonts w:hint="eastAsia" w:ascii="宋体" w:hAnsi="宋体" w:cs="宋体"/>
          <w:kern w:val="0"/>
          <w:szCs w:val="21"/>
          <w:highlight w:val="none"/>
          <w:lang w:bidi="en-US"/>
        </w:rPr>
      </w:pPr>
      <w:r>
        <w:rPr>
          <w:rFonts w:hint="eastAsia" w:ascii="宋体" w:hAnsi="宋体" w:cs="宋体"/>
          <w:kern w:val="0"/>
          <w:szCs w:val="21"/>
          <w:highlight w:val="none"/>
          <w:lang w:bidi="en-US"/>
        </w:rPr>
        <w:t>（二）严格执行的合同文件，自觉按合同办事。</w:t>
      </w:r>
    </w:p>
    <w:p w14:paraId="7AC0015A">
      <w:pPr>
        <w:spacing w:line="360" w:lineRule="auto"/>
        <w:ind w:firstLine="420" w:firstLineChars="200"/>
        <w:jc w:val="left"/>
        <w:rPr>
          <w:rFonts w:hint="eastAsia" w:ascii="宋体" w:hAnsi="宋体" w:cs="宋体"/>
          <w:kern w:val="0"/>
          <w:szCs w:val="21"/>
          <w:highlight w:val="none"/>
          <w:lang w:bidi="en-US"/>
        </w:rPr>
      </w:pPr>
      <w:r>
        <w:rPr>
          <w:rFonts w:hint="eastAsia" w:ascii="宋体" w:hAnsi="宋体" w:cs="宋体"/>
          <w:kern w:val="0"/>
          <w:szCs w:val="21"/>
          <w:highlight w:val="none"/>
          <w:lang w:bidi="en-US"/>
        </w:rPr>
        <w:t>（三）双方的业务活动坚持公开、公平、公正、诚信、透明的原则（除法律认定的商业秘密和合同文件另有规定之外），不得损害国家和集体利益，违反工程建设管理规定。</w:t>
      </w:r>
    </w:p>
    <w:p w14:paraId="33528CD1">
      <w:pPr>
        <w:spacing w:line="360" w:lineRule="auto"/>
        <w:ind w:firstLine="420" w:firstLineChars="200"/>
        <w:jc w:val="left"/>
        <w:rPr>
          <w:rFonts w:hint="eastAsia" w:ascii="宋体" w:hAnsi="宋体" w:cs="宋体"/>
          <w:kern w:val="0"/>
          <w:szCs w:val="21"/>
          <w:highlight w:val="none"/>
          <w:lang w:bidi="en-US"/>
        </w:rPr>
      </w:pPr>
      <w:r>
        <w:rPr>
          <w:rFonts w:hint="eastAsia" w:ascii="宋体" w:hAnsi="宋体" w:cs="宋体"/>
          <w:kern w:val="0"/>
          <w:szCs w:val="21"/>
          <w:highlight w:val="none"/>
          <w:lang w:bidi="en-US"/>
        </w:rPr>
        <w:t>（四）建立健全廉政制度、监督制度和处罚制度，开展廉政教育，设立廉政告示牌，公布举报电话。</w:t>
      </w:r>
    </w:p>
    <w:p w14:paraId="351C5791">
      <w:pPr>
        <w:spacing w:line="360" w:lineRule="auto"/>
        <w:ind w:firstLine="420" w:firstLineChars="200"/>
        <w:jc w:val="left"/>
        <w:rPr>
          <w:rFonts w:hint="eastAsia" w:ascii="宋体" w:hAnsi="宋体" w:cs="宋体"/>
          <w:kern w:val="0"/>
          <w:szCs w:val="21"/>
          <w:highlight w:val="none"/>
          <w:lang w:bidi="en-US"/>
        </w:rPr>
      </w:pPr>
      <w:r>
        <w:rPr>
          <w:rFonts w:hint="eastAsia" w:ascii="宋体" w:hAnsi="宋体" w:cs="宋体"/>
          <w:kern w:val="0"/>
          <w:szCs w:val="21"/>
          <w:highlight w:val="none"/>
          <w:lang w:bidi="en-US"/>
        </w:rPr>
        <w:t>（五）发现对方在业务活动中有违反廉政规定的行为，有及时提醒对方纠正的权利和义务。</w:t>
      </w:r>
    </w:p>
    <w:p w14:paraId="4C2E601A">
      <w:pPr>
        <w:spacing w:line="360" w:lineRule="auto"/>
        <w:ind w:firstLine="420" w:firstLineChars="200"/>
        <w:jc w:val="left"/>
        <w:rPr>
          <w:rFonts w:hint="eastAsia" w:ascii="宋体" w:hAnsi="宋体" w:cs="宋体"/>
          <w:kern w:val="0"/>
          <w:szCs w:val="21"/>
          <w:highlight w:val="none"/>
          <w:lang w:bidi="en-US"/>
        </w:rPr>
      </w:pPr>
      <w:r>
        <w:rPr>
          <w:rFonts w:hint="eastAsia" w:ascii="宋体" w:hAnsi="宋体" w:cs="宋体"/>
          <w:kern w:val="0"/>
          <w:szCs w:val="21"/>
          <w:highlight w:val="none"/>
          <w:lang w:bidi="en-US"/>
        </w:rPr>
        <w:t>（六）发现对方严重违反本责任书义务条款的行为，有向其上级有关部门举报、建议给予处理并要求告知处理结果的权利.</w:t>
      </w:r>
    </w:p>
    <w:p w14:paraId="5238FDF0">
      <w:pPr>
        <w:spacing w:line="360" w:lineRule="auto"/>
        <w:ind w:firstLine="420" w:firstLineChars="200"/>
        <w:jc w:val="left"/>
        <w:rPr>
          <w:rFonts w:hint="eastAsia" w:ascii="宋体" w:hAnsi="宋体" w:cs="宋体"/>
          <w:kern w:val="0"/>
          <w:szCs w:val="21"/>
          <w:highlight w:val="none"/>
          <w:lang w:bidi="en-US"/>
        </w:rPr>
      </w:pPr>
      <w:r>
        <w:rPr>
          <w:rFonts w:hint="eastAsia" w:ascii="宋体" w:hAnsi="宋体" w:cs="宋体"/>
          <w:kern w:val="0"/>
          <w:szCs w:val="21"/>
          <w:highlight w:val="none"/>
          <w:lang w:bidi="en-US"/>
        </w:rPr>
        <w:t>第二条甲方的义务</w:t>
      </w:r>
    </w:p>
    <w:p w14:paraId="5C6C4A34">
      <w:pPr>
        <w:spacing w:line="360" w:lineRule="auto"/>
        <w:ind w:firstLine="420" w:firstLineChars="200"/>
        <w:jc w:val="left"/>
        <w:rPr>
          <w:rFonts w:hint="eastAsia" w:ascii="宋体" w:hAnsi="宋体" w:cs="宋体"/>
          <w:kern w:val="0"/>
          <w:szCs w:val="21"/>
          <w:highlight w:val="none"/>
          <w:lang w:bidi="en-US"/>
        </w:rPr>
      </w:pPr>
      <w:r>
        <w:rPr>
          <w:rFonts w:hint="eastAsia" w:ascii="宋体" w:hAnsi="宋体" w:cs="宋体"/>
          <w:kern w:val="0"/>
          <w:szCs w:val="21"/>
          <w:highlight w:val="none"/>
          <w:lang w:bidi="en-US"/>
        </w:rPr>
        <w:t>（一）甲方及其工作人员不得索要或接受乙方的礼金、礼券、有价证券和物品，不得到乙方报销任何由甲方或个人支付的费用等。</w:t>
      </w:r>
    </w:p>
    <w:p w14:paraId="4145B81B">
      <w:pPr>
        <w:spacing w:line="360" w:lineRule="auto"/>
        <w:ind w:firstLine="420" w:firstLineChars="200"/>
        <w:jc w:val="left"/>
        <w:rPr>
          <w:rFonts w:hint="eastAsia" w:ascii="宋体" w:hAnsi="宋体" w:cs="宋体"/>
          <w:kern w:val="0"/>
          <w:szCs w:val="21"/>
          <w:highlight w:val="none"/>
          <w:lang w:bidi="en-US"/>
        </w:rPr>
      </w:pPr>
      <w:r>
        <w:rPr>
          <w:rFonts w:hint="eastAsia" w:ascii="宋体" w:hAnsi="宋体" w:cs="宋体"/>
          <w:kern w:val="0"/>
          <w:szCs w:val="21"/>
          <w:highlight w:val="none"/>
          <w:lang w:bidi="en-US"/>
        </w:rPr>
        <w:t>（二）甲方不得有意刁难、拖延承包商工程款，不得违反规定批拨工程建设费用等。</w:t>
      </w:r>
    </w:p>
    <w:p w14:paraId="53214605">
      <w:pPr>
        <w:spacing w:line="360" w:lineRule="auto"/>
        <w:ind w:firstLine="420" w:firstLineChars="200"/>
        <w:jc w:val="left"/>
        <w:rPr>
          <w:rFonts w:hint="eastAsia" w:ascii="宋体" w:hAnsi="宋体" w:cs="宋体"/>
          <w:kern w:val="0"/>
          <w:szCs w:val="21"/>
          <w:highlight w:val="none"/>
          <w:lang w:bidi="en-US"/>
        </w:rPr>
      </w:pPr>
      <w:r>
        <w:rPr>
          <w:rFonts w:hint="eastAsia" w:ascii="宋体" w:hAnsi="宋体" w:cs="宋体"/>
          <w:kern w:val="0"/>
          <w:szCs w:val="21"/>
          <w:highlight w:val="none"/>
          <w:lang w:bidi="en-US"/>
        </w:rPr>
        <w:t>（三）甲方工作人员不得参加乙方安排的宴请和娱乐活动；不得接受乙方提供的通信工具、交通工具和髙档办公用品等。</w:t>
      </w:r>
    </w:p>
    <w:p w14:paraId="02128CFF">
      <w:pPr>
        <w:spacing w:line="360" w:lineRule="auto"/>
        <w:ind w:firstLine="420" w:firstLineChars="200"/>
        <w:jc w:val="left"/>
        <w:rPr>
          <w:rFonts w:hint="eastAsia" w:ascii="宋体" w:hAnsi="宋体" w:cs="宋体"/>
          <w:kern w:val="0"/>
          <w:szCs w:val="21"/>
          <w:highlight w:val="none"/>
          <w:lang w:bidi="en-US"/>
        </w:rPr>
      </w:pPr>
      <w:r>
        <w:rPr>
          <w:rFonts w:hint="eastAsia" w:ascii="宋体" w:hAnsi="宋体" w:cs="宋体"/>
          <w:kern w:val="0"/>
          <w:szCs w:val="21"/>
          <w:highlight w:val="none"/>
          <w:lang w:bidi="en-US"/>
        </w:rPr>
        <w:t>（四）甲方及其工作人员不得要求或者接受乙方为其住房装修、操办婚丧嫁娶、安排配偶子女的工作以及出国出境、旅游等。</w:t>
      </w:r>
    </w:p>
    <w:p w14:paraId="132A50C5">
      <w:pPr>
        <w:spacing w:line="360" w:lineRule="auto"/>
        <w:ind w:firstLine="420" w:firstLineChars="200"/>
        <w:jc w:val="left"/>
        <w:rPr>
          <w:rFonts w:hint="eastAsia" w:ascii="宋体" w:hAnsi="宋体" w:cs="宋体"/>
          <w:kern w:val="0"/>
          <w:szCs w:val="21"/>
          <w:highlight w:val="none"/>
          <w:lang w:bidi="en-US"/>
        </w:rPr>
      </w:pPr>
      <w:r>
        <w:rPr>
          <w:rFonts w:hint="eastAsia" w:ascii="宋体" w:hAnsi="宋体" w:cs="宋体"/>
          <w:kern w:val="0"/>
          <w:szCs w:val="21"/>
          <w:highlight w:val="none"/>
          <w:lang w:bidi="en-US"/>
        </w:rPr>
        <w:t>（五）甲方工作人员的配偶、子女及下属单位不得从事与甲方工程有关的材料设备供应、工程分包、劳务等经济活动。</w:t>
      </w:r>
    </w:p>
    <w:p w14:paraId="2D92955A">
      <w:pPr>
        <w:spacing w:line="360" w:lineRule="auto"/>
        <w:ind w:firstLine="420" w:firstLineChars="200"/>
        <w:jc w:val="left"/>
        <w:rPr>
          <w:rFonts w:hint="eastAsia" w:ascii="宋体" w:hAnsi="宋体" w:cs="宋体"/>
          <w:kern w:val="0"/>
          <w:szCs w:val="21"/>
          <w:highlight w:val="none"/>
          <w:lang w:bidi="en-US"/>
        </w:rPr>
      </w:pPr>
      <w:r>
        <w:rPr>
          <w:rFonts w:hint="eastAsia" w:ascii="宋体" w:hAnsi="宋体" w:cs="宋体"/>
          <w:kern w:val="0"/>
          <w:szCs w:val="21"/>
          <w:highlight w:val="none"/>
          <w:lang w:bidi="en-US"/>
        </w:rPr>
        <w:t>（六）甲方及其工作人员不得以任何理由向乙方推荐分包单位，不得要求乙方购买合同规定外的材料和设备。</w:t>
      </w:r>
    </w:p>
    <w:p w14:paraId="09F68C3E">
      <w:pPr>
        <w:spacing w:line="360" w:lineRule="auto"/>
        <w:ind w:firstLine="420" w:firstLineChars="200"/>
        <w:jc w:val="left"/>
        <w:rPr>
          <w:rFonts w:hint="eastAsia" w:ascii="宋体" w:hAnsi="宋体" w:cs="宋体"/>
          <w:kern w:val="0"/>
          <w:szCs w:val="21"/>
          <w:highlight w:val="none"/>
          <w:lang w:bidi="en-US"/>
        </w:rPr>
      </w:pPr>
      <w:r>
        <w:rPr>
          <w:rFonts w:hint="eastAsia" w:ascii="宋体" w:hAnsi="宋体" w:cs="宋体"/>
          <w:kern w:val="0"/>
          <w:szCs w:val="21"/>
          <w:highlight w:val="none"/>
          <w:lang w:bidi="en-US"/>
        </w:rPr>
        <w:t>第三条乙方义务</w:t>
      </w:r>
    </w:p>
    <w:p w14:paraId="3CB4E40E">
      <w:pPr>
        <w:spacing w:line="360" w:lineRule="auto"/>
        <w:ind w:firstLine="420" w:firstLineChars="200"/>
        <w:jc w:val="left"/>
        <w:rPr>
          <w:rFonts w:hint="eastAsia" w:ascii="宋体" w:hAnsi="宋体" w:cs="宋体"/>
          <w:kern w:val="0"/>
          <w:szCs w:val="21"/>
          <w:highlight w:val="none"/>
          <w:lang w:bidi="en-US"/>
        </w:rPr>
      </w:pPr>
      <w:r>
        <w:rPr>
          <w:rFonts w:hint="eastAsia" w:ascii="宋体" w:hAnsi="宋体" w:cs="宋体"/>
          <w:kern w:val="0"/>
          <w:szCs w:val="21"/>
          <w:highlight w:val="none"/>
          <w:lang w:bidi="en-US"/>
        </w:rPr>
        <w:t>（一）乙方不得以任何理由向甲方及其工作人员行贿或馈赠礼金、礼券、有价证券、礼品。</w:t>
      </w:r>
    </w:p>
    <w:p w14:paraId="0D87B398">
      <w:pPr>
        <w:spacing w:line="360" w:lineRule="auto"/>
        <w:ind w:firstLine="420" w:firstLineChars="200"/>
        <w:jc w:val="left"/>
        <w:rPr>
          <w:rFonts w:hint="eastAsia" w:ascii="宋体" w:hAnsi="宋体" w:cs="宋体"/>
          <w:kern w:val="0"/>
          <w:szCs w:val="21"/>
          <w:highlight w:val="none"/>
          <w:lang w:bidi="en-US"/>
        </w:rPr>
      </w:pPr>
      <w:r>
        <w:rPr>
          <w:rFonts w:hint="eastAsia" w:ascii="宋体" w:hAnsi="宋体" w:cs="宋体"/>
          <w:kern w:val="0"/>
          <w:szCs w:val="21"/>
          <w:highlight w:val="none"/>
          <w:lang w:bidi="en-US"/>
        </w:rPr>
        <w:t>（二）乙方不得以任何名义为甲方及其工作人员报销应由甲方单位或个人支付的任何费用。</w:t>
      </w:r>
    </w:p>
    <w:p w14:paraId="21646C01">
      <w:pPr>
        <w:spacing w:line="360" w:lineRule="auto"/>
        <w:ind w:firstLine="420" w:firstLineChars="200"/>
        <w:jc w:val="left"/>
        <w:rPr>
          <w:rFonts w:hint="eastAsia" w:ascii="宋体" w:hAnsi="宋体" w:cs="宋体"/>
          <w:kern w:val="0"/>
          <w:szCs w:val="21"/>
          <w:highlight w:val="none"/>
          <w:lang w:bidi="en-US"/>
        </w:rPr>
      </w:pPr>
      <w:r>
        <w:rPr>
          <w:rFonts w:hint="eastAsia" w:ascii="宋体" w:hAnsi="宋体" w:cs="宋体"/>
          <w:kern w:val="0"/>
          <w:szCs w:val="21"/>
          <w:highlight w:val="none"/>
          <w:lang w:bidi="en-US"/>
        </w:rPr>
        <w:t>（三）乙方不得要求甲方违反规定，批拨、追加工程建设费用等。</w:t>
      </w:r>
    </w:p>
    <w:p w14:paraId="125B215B">
      <w:pPr>
        <w:spacing w:line="360" w:lineRule="auto"/>
        <w:ind w:firstLine="420" w:firstLineChars="200"/>
        <w:jc w:val="left"/>
        <w:rPr>
          <w:rFonts w:hint="eastAsia" w:ascii="宋体" w:hAnsi="宋体" w:cs="宋体"/>
          <w:kern w:val="0"/>
          <w:szCs w:val="21"/>
          <w:highlight w:val="none"/>
          <w:lang w:bidi="en-US"/>
        </w:rPr>
      </w:pPr>
      <w:r>
        <w:rPr>
          <w:rFonts w:hint="eastAsia" w:ascii="宋体" w:hAnsi="宋体" w:cs="宋体"/>
          <w:kern w:val="0"/>
          <w:szCs w:val="21"/>
          <w:highlight w:val="none"/>
          <w:lang w:bidi="en-US"/>
        </w:rPr>
        <w:t>（四）乙方不得以任何理由安排甲方工作人员参加宴请及娱乐活动。</w:t>
      </w:r>
    </w:p>
    <w:p w14:paraId="75602283">
      <w:pPr>
        <w:spacing w:line="360" w:lineRule="auto"/>
        <w:ind w:firstLine="420" w:firstLineChars="200"/>
        <w:jc w:val="left"/>
        <w:rPr>
          <w:rFonts w:hint="eastAsia" w:ascii="宋体" w:hAnsi="宋体" w:cs="宋体"/>
          <w:kern w:val="0"/>
          <w:szCs w:val="21"/>
          <w:highlight w:val="none"/>
          <w:lang w:bidi="en-US"/>
        </w:rPr>
      </w:pPr>
      <w:r>
        <w:rPr>
          <w:rFonts w:hint="eastAsia" w:ascii="宋体" w:hAnsi="宋体" w:cs="宋体"/>
          <w:kern w:val="0"/>
          <w:szCs w:val="21"/>
          <w:highlight w:val="none"/>
          <w:lang w:bidi="en-US"/>
        </w:rPr>
        <w:t>（五）乙方不得为甲方单位和个人购置或提供通信工具、交通工具和高档办公室用品等。</w:t>
      </w:r>
    </w:p>
    <w:p w14:paraId="38EDE785">
      <w:pPr>
        <w:spacing w:line="360" w:lineRule="auto"/>
        <w:ind w:firstLine="420" w:firstLineChars="200"/>
        <w:jc w:val="left"/>
        <w:rPr>
          <w:rFonts w:hint="eastAsia" w:ascii="宋体" w:hAnsi="宋体" w:cs="宋体"/>
          <w:kern w:val="0"/>
          <w:szCs w:val="21"/>
          <w:highlight w:val="none"/>
          <w:lang w:bidi="en-US"/>
        </w:rPr>
      </w:pPr>
      <w:r>
        <w:rPr>
          <w:rFonts w:hint="eastAsia" w:ascii="宋体" w:hAnsi="宋体" w:cs="宋体"/>
          <w:kern w:val="0"/>
          <w:szCs w:val="21"/>
          <w:highlight w:val="none"/>
          <w:lang w:bidi="en-US"/>
        </w:rPr>
        <w:t>第四条违约责任</w:t>
      </w:r>
    </w:p>
    <w:p w14:paraId="65ADC627">
      <w:pPr>
        <w:spacing w:line="360" w:lineRule="auto"/>
        <w:ind w:firstLine="420" w:firstLineChars="200"/>
        <w:jc w:val="left"/>
        <w:rPr>
          <w:rFonts w:hint="eastAsia" w:ascii="宋体" w:hAnsi="宋体" w:cs="宋体"/>
          <w:kern w:val="0"/>
          <w:szCs w:val="21"/>
          <w:highlight w:val="none"/>
          <w:lang w:bidi="en-US"/>
        </w:rPr>
      </w:pPr>
      <w:r>
        <w:rPr>
          <w:rFonts w:hint="eastAsia" w:ascii="宋体" w:hAnsi="宋体" w:cs="宋体"/>
          <w:kern w:val="0"/>
          <w:szCs w:val="21"/>
          <w:highlight w:val="none"/>
          <w:lang w:bidi="en-US"/>
        </w:rPr>
        <w:t>（一）甲方及其工作人员违反本责任书第一、二条，按管理权限，依据有关规定给予党纪、政纪或组织处理；涉嫌犯罪的，移送司法机关追究刑事责任；给乙方单位造成经济损失的，应予以赔偿。</w:t>
      </w:r>
    </w:p>
    <w:p w14:paraId="7AE48CE6">
      <w:pPr>
        <w:spacing w:line="360" w:lineRule="auto"/>
        <w:ind w:firstLine="420" w:firstLineChars="200"/>
        <w:jc w:val="left"/>
        <w:rPr>
          <w:rFonts w:hint="eastAsia" w:ascii="宋体" w:hAnsi="宋体" w:cs="宋体"/>
          <w:kern w:val="0"/>
          <w:szCs w:val="21"/>
          <w:highlight w:val="none"/>
          <w:lang w:bidi="en-US"/>
        </w:rPr>
      </w:pPr>
      <w:r>
        <w:rPr>
          <w:rFonts w:hint="eastAsia" w:ascii="宋体" w:hAnsi="宋体" w:cs="宋体"/>
          <w:kern w:val="0"/>
          <w:szCs w:val="21"/>
          <w:highlight w:val="none"/>
          <w:lang w:bidi="en-US"/>
        </w:rPr>
        <w:t>（二）乙方及其工作人员违反本责任书第一、三条，按管理权限，依据有关规定，给予党纪、政纪、组织处理或停止承接业务处理；给甲方单位造成经济损失的，应予以赔偿；清行严重的，甲方建议有关工程建设主管部门给予乙方1</w:t>
      </w:r>
      <w:r>
        <w:rPr>
          <w:rFonts w:hint="eastAsia" w:ascii="MS Mincho" w:hAnsi="MS Mincho" w:eastAsia="MS Mincho" w:cs="MS Mincho"/>
          <w:kern w:val="0"/>
          <w:szCs w:val="21"/>
          <w:highlight w:val="none"/>
          <w:lang w:bidi="en-US"/>
        </w:rPr>
        <w:t>〜</w:t>
      </w:r>
      <w:r>
        <w:rPr>
          <w:rFonts w:hint="eastAsia" w:ascii="宋体" w:hAnsi="宋体" w:cs="宋体"/>
          <w:kern w:val="0"/>
          <w:szCs w:val="21"/>
          <w:highlight w:val="none"/>
          <w:lang w:bidi="en-US"/>
        </w:rPr>
        <w:t>3年内不得参与工程建设项目投标的处罚。</w:t>
      </w:r>
    </w:p>
    <w:p w14:paraId="3D55058D">
      <w:pPr>
        <w:spacing w:line="360" w:lineRule="auto"/>
        <w:ind w:firstLine="420" w:firstLineChars="200"/>
        <w:jc w:val="left"/>
        <w:rPr>
          <w:rFonts w:hint="eastAsia" w:ascii="宋体" w:hAnsi="宋体" w:cs="宋体"/>
          <w:kern w:val="0"/>
          <w:szCs w:val="21"/>
          <w:highlight w:val="none"/>
          <w:lang w:bidi="en-US"/>
        </w:rPr>
      </w:pPr>
      <w:r>
        <w:rPr>
          <w:rFonts w:hint="eastAsia" w:ascii="宋体" w:hAnsi="宋体" w:cs="宋体"/>
          <w:kern w:val="0"/>
          <w:szCs w:val="21"/>
          <w:highlight w:val="none"/>
          <w:lang w:bidi="en-US"/>
        </w:rPr>
        <w:t>第五条双方约定</w:t>
      </w:r>
    </w:p>
    <w:p w14:paraId="5003BD85">
      <w:pPr>
        <w:spacing w:line="360" w:lineRule="auto"/>
        <w:ind w:firstLine="420" w:firstLineChars="200"/>
        <w:jc w:val="left"/>
        <w:rPr>
          <w:rFonts w:hint="eastAsia" w:ascii="宋体" w:hAnsi="宋体" w:cs="宋体"/>
          <w:kern w:val="0"/>
          <w:szCs w:val="21"/>
          <w:highlight w:val="none"/>
          <w:lang w:bidi="en-US"/>
        </w:rPr>
      </w:pPr>
      <w:r>
        <w:rPr>
          <w:rFonts w:hint="eastAsia" w:ascii="宋体" w:hAnsi="宋体" w:cs="宋体"/>
          <w:kern w:val="0"/>
          <w:szCs w:val="21"/>
          <w:highlight w:val="none"/>
          <w:lang w:bidi="en-US"/>
        </w:rPr>
        <w:t>本责任书由纪检监察机关负责监督执行。纪检监察机关对本责任书执行情况进行抽查。提出属于本责任书规定范围的处理意见。</w:t>
      </w:r>
    </w:p>
    <w:p w14:paraId="0D50DBF5">
      <w:pPr>
        <w:spacing w:line="360" w:lineRule="auto"/>
        <w:ind w:firstLine="420" w:firstLineChars="200"/>
        <w:jc w:val="left"/>
        <w:rPr>
          <w:rFonts w:hint="eastAsia" w:ascii="宋体" w:hAnsi="宋体" w:cs="宋体"/>
          <w:kern w:val="0"/>
          <w:szCs w:val="21"/>
          <w:highlight w:val="none"/>
          <w:lang w:bidi="en-US"/>
        </w:rPr>
      </w:pPr>
      <w:r>
        <w:rPr>
          <w:rFonts w:hint="eastAsia" w:ascii="宋体" w:hAnsi="宋体" w:cs="宋体"/>
          <w:kern w:val="0"/>
          <w:szCs w:val="21"/>
          <w:highlight w:val="none"/>
          <w:lang w:bidi="en-US"/>
        </w:rPr>
        <w:t>第六条本责任书有效期同甲乙双方签署之日起至该工程项目工程款支付完结时止。</w:t>
      </w:r>
    </w:p>
    <w:p w14:paraId="4F5604F8">
      <w:pPr>
        <w:spacing w:line="360" w:lineRule="auto"/>
        <w:ind w:firstLine="420" w:firstLineChars="200"/>
        <w:jc w:val="left"/>
        <w:rPr>
          <w:rFonts w:hint="eastAsia" w:ascii="宋体" w:hAnsi="宋体" w:cs="宋体"/>
          <w:kern w:val="0"/>
          <w:szCs w:val="21"/>
          <w:highlight w:val="none"/>
          <w:lang w:bidi="en-US"/>
        </w:rPr>
      </w:pPr>
      <w:r>
        <w:rPr>
          <w:rFonts w:hint="eastAsia" w:ascii="宋体" w:hAnsi="宋体" w:cs="宋体"/>
          <w:kern w:val="0"/>
          <w:szCs w:val="21"/>
          <w:highlight w:val="none"/>
          <w:lang w:bidi="en-US"/>
        </w:rPr>
        <w:t>第七条本责任书作为本工程施工承包合同的附件，与工程施工合同具有同等的法律效力，经甲、乙双方签署后生效。</w:t>
      </w:r>
    </w:p>
    <w:p w14:paraId="7A0FF522">
      <w:pPr>
        <w:autoSpaceDE w:val="0"/>
        <w:autoSpaceDN w:val="0"/>
        <w:adjustRightInd w:val="0"/>
        <w:snapToGrid w:val="0"/>
        <w:spacing w:line="360" w:lineRule="auto"/>
        <w:ind w:firstLine="424" w:firstLineChars="202"/>
        <w:jc w:val="left"/>
        <w:textAlignment w:val="baseline"/>
        <w:rPr>
          <w:rFonts w:hint="eastAsia" w:ascii="宋体" w:hAnsi="宋体" w:cs="宋体"/>
          <w:kern w:val="0"/>
          <w:szCs w:val="21"/>
          <w:highlight w:val="none"/>
          <w:lang w:bidi="en-US"/>
        </w:rPr>
      </w:pPr>
      <w:r>
        <w:rPr>
          <w:rFonts w:hint="eastAsia" w:ascii="宋体" w:hAnsi="宋体" w:cs="宋体"/>
          <w:kern w:val="0"/>
          <w:szCs w:val="21"/>
          <w:highlight w:val="none"/>
          <w:lang w:bidi="en-US"/>
        </w:rPr>
        <w:t>第八条本责任书甲、乙双方各执一份，送交监督单位一份。</w:t>
      </w:r>
    </w:p>
    <w:p w14:paraId="159E5C60">
      <w:pPr>
        <w:autoSpaceDE w:val="0"/>
        <w:autoSpaceDN w:val="0"/>
        <w:adjustRightInd w:val="0"/>
        <w:snapToGrid w:val="0"/>
        <w:spacing w:line="360" w:lineRule="auto"/>
        <w:textAlignment w:val="baseline"/>
        <w:rPr>
          <w:rFonts w:ascii="宋体" w:hAnsi="宋体"/>
          <w:snapToGrid w:val="0"/>
          <w:kern w:val="0"/>
          <w:szCs w:val="21"/>
          <w:highlight w:val="none"/>
          <w:u w:val="single"/>
        </w:rPr>
      </w:pPr>
      <w:r>
        <w:rPr>
          <w:rFonts w:hint="eastAsia" w:ascii="宋体" w:hAnsi="宋体"/>
          <w:snapToGrid w:val="0"/>
          <w:spacing w:val="109"/>
          <w:kern w:val="0"/>
          <w:szCs w:val="21"/>
          <w:highlight w:val="none"/>
        </w:rPr>
        <w:t>甲方</w:t>
      </w:r>
      <w:r>
        <w:rPr>
          <w:rFonts w:ascii="宋体" w:hAnsi="宋体"/>
          <w:snapToGrid w:val="0"/>
          <w:kern w:val="0"/>
          <w:szCs w:val="21"/>
          <w:highlight w:val="none"/>
        </w:rPr>
        <w:t>：</w:t>
      </w:r>
      <w:r>
        <w:rPr>
          <w:rFonts w:ascii="宋体" w:hAnsi="宋体"/>
          <w:snapToGrid w:val="0"/>
          <w:kern w:val="0"/>
          <w:szCs w:val="21"/>
          <w:highlight w:val="none"/>
          <w:u w:val="single"/>
        </w:rPr>
        <w:t xml:space="preserve">   （盖单位</w:t>
      </w:r>
      <w:r>
        <w:rPr>
          <w:rFonts w:hint="eastAsia" w:ascii="宋体" w:hAnsi="宋体"/>
          <w:snapToGrid w:val="0"/>
          <w:kern w:val="0"/>
          <w:szCs w:val="21"/>
          <w:highlight w:val="none"/>
          <w:u w:val="single"/>
        </w:rPr>
        <w:t>公</w:t>
      </w:r>
      <w:r>
        <w:rPr>
          <w:rFonts w:ascii="宋体" w:hAnsi="宋体"/>
          <w:snapToGrid w:val="0"/>
          <w:kern w:val="0"/>
          <w:szCs w:val="21"/>
          <w:highlight w:val="none"/>
          <w:u w:val="single"/>
        </w:rPr>
        <w:t xml:space="preserve">章） </w:t>
      </w:r>
      <w:r>
        <w:rPr>
          <w:rFonts w:hint="eastAsia" w:ascii="宋体" w:hAnsi="宋体"/>
          <w:snapToGrid w:val="0"/>
          <w:kern w:val="0"/>
          <w:szCs w:val="21"/>
          <w:highlight w:val="none"/>
          <w:u w:val="none"/>
        </w:rPr>
        <w:t xml:space="preserve">  </w:t>
      </w:r>
      <w:r>
        <w:rPr>
          <w:rFonts w:hint="eastAsia" w:ascii="宋体" w:hAnsi="宋体"/>
          <w:snapToGrid w:val="0"/>
          <w:kern w:val="0"/>
          <w:szCs w:val="21"/>
          <w:highlight w:val="none"/>
          <w:u w:val="none"/>
          <w:lang w:val="en-US" w:eastAsia="zh-CN"/>
        </w:rPr>
        <w:t xml:space="preserve">             </w:t>
      </w:r>
      <w:r>
        <w:rPr>
          <w:rFonts w:hint="eastAsia" w:ascii="宋体" w:hAnsi="宋体"/>
          <w:snapToGrid w:val="0"/>
          <w:spacing w:val="109"/>
          <w:kern w:val="0"/>
          <w:szCs w:val="21"/>
          <w:highlight w:val="none"/>
        </w:rPr>
        <w:t>乙方</w:t>
      </w:r>
      <w:r>
        <w:rPr>
          <w:rFonts w:ascii="宋体" w:hAnsi="宋体"/>
          <w:snapToGrid w:val="0"/>
          <w:kern w:val="0"/>
          <w:szCs w:val="21"/>
          <w:highlight w:val="none"/>
        </w:rPr>
        <w:t>：</w:t>
      </w:r>
      <w:r>
        <w:rPr>
          <w:rFonts w:ascii="宋体" w:hAnsi="宋体"/>
          <w:snapToGrid w:val="0"/>
          <w:kern w:val="0"/>
          <w:szCs w:val="21"/>
          <w:highlight w:val="none"/>
          <w:u w:val="single"/>
        </w:rPr>
        <w:t xml:space="preserve">    （盖单位</w:t>
      </w:r>
      <w:r>
        <w:rPr>
          <w:rFonts w:hint="eastAsia" w:ascii="宋体" w:hAnsi="宋体"/>
          <w:snapToGrid w:val="0"/>
          <w:kern w:val="0"/>
          <w:szCs w:val="21"/>
          <w:highlight w:val="none"/>
          <w:u w:val="single"/>
        </w:rPr>
        <w:t>公</w:t>
      </w:r>
      <w:r>
        <w:rPr>
          <w:rFonts w:ascii="宋体" w:hAnsi="宋体"/>
          <w:snapToGrid w:val="0"/>
          <w:kern w:val="0"/>
          <w:szCs w:val="21"/>
          <w:highlight w:val="none"/>
          <w:u w:val="single"/>
        </w:rPr>
        <w:t xml:space="preserve">章）    </w:t>
      </w:r>
    </w:p>
    <w:p w14:paraId="39A2D637">
      <w:pPr>
        <w:autoSpaceDE w:val="0"/>
        <w:autoSpaceDN w:val="0"/>
        <w:adjustRightInd w:val="0"/>
        <w:snapToGrid w:val="0"/>
        <w:spacing w:line="360" w:lineRule="auto"/>
        <w:ind w:firstLine="105" w:firstLineChars="50"/>
        <w:textAlignment w:val="baseline"/>
        <w:rPr>
          <w:rFonts w:ascii="宋体" w:hAnsi="宋体"/>
          <w:kern w:val="0"/>
          <w:szCs w:val="21"/>
          <w:highlight w:val="none"/>
        </w:rPr>
      </w:pPr>
      <w:r>
        <w:rPr>
          <w:rFonts w:ascii="宋体" w:hAnsi="宋体"/>
          <w:kern w:val="0"/>
          <w:szCs w:val="21"/>
          <w:highlight w:val="none"/>
        </w:rPr>
        <w:t>法定代表人</w:t>
      </w:r>
      <w:r>
        <w:rPr>
          <w:rFonts w:ascii="宋体" w:hAnsi="宋体"/>
          <w:snapToGrid w:val="0"/>
          <w:kern w:val="0"/>
          <w:szCs w:val="21"/>
          <w:highlight w:val="none"/>
        </w:rPr>
        <w:t>：</w:t>
      </w:r>
      <w:r>
        <w:rPr>
          <w:rFonts w:ascii="宋体" w:hAnsi="宋体"/>
          <w:snapToGrid w:val="0"/>
          <w:kern w:val="0"/>
          <w:szCs w:val="21"/>
          <w:highlight w:val="none"/>
          <w:u w:val="single"/>
        </w:rPr>
        <w:t xml:space="preserve"> （签字）</w:t>
      </w:r>
      <w:r>
        <w:rPr>
          <w:rFonts w:hint="eastAsia" w:ascii="宋体" w:hAnsi="宋体"/>
          <w:snapToGrid w:val="0"/>
          <w:kern w:val="0"/>
          <w:szCs w:val="21"/>
          <w:highlight w:val="none"/>
          <w:u w:val="single"/>
        </w:rPr>
        <w:t xml:space="preserve">      </w:t>
      </w:r>
      <w:r>
        <w:rPr>
          <w:rFonts w:hint="eastAsia" w:ascii="宋体" w:hAnsi="宋体"/>
          <w:snapToGrid w:val="0"/>
          <w:kern w:val="0"/>
          <w:szCs w:val="21"/>
          <w:highlight w:val="none"/>
          <w:u w:val="none"/>
        </w:rPr>
        <w:t xml:space="preserve">  </w:t>
      </w:r>
      <w:r>
        <w:rPr>
          <w:rFonts w:hint="eastAsia" w:ascii="宋体" w:hAnsi="宋体"/>
          <w:snapToGrid w:val="0"/>
          <w:kern w:val="0"/>
          <w:szCs w:val="21"/>
          <w:highlight w:val="none"/>
          <w:u w:val="none"/>
          <w:lang w:val="en-US" w:eastAsia="zh-CN"/>
        </w:rPr>
        <w:t xml:space="preserve">             </w:t>
      </w:r>
      <w:r>
        <w:rPr>
          <w:rFonts w:ascii="宋体" w:hAnsi="宋体"/>
          <w:kern w:val="0"/>
          <w:szCs w:val="21"/>
          <w:highlight w:val="none"/>
        </w:rPr>
        <w:t>法定代表人</w:t>
      </w:r>
      <w:r>
        <w:rPr>
          <w:rFonts w:ascii="宋体" w:hAnsi="宋体"/>
          <w:snapToGrid w:val="0"/>
          <w:kern w:val="0"/>
          <w:szCs w:val="21"/>
          <w:highlight w:val="none"/>
        </w:rPr>
        <w:t>：</w:t>
      </w:r>
      <w:r>
        <w:rPr>
          <w:rFonts w:ascii="宋体" w:hAnsi="宋体"/>
          <w:snapToGrid w:val="0"/>
          <w:kern w:val="0"/>
          <w:szCs w:val="21"/>
          <w:highlight w:val="none"/>
          <w:u w:val="single"/>
        </w:rPr>
        <w:t xml:space="preserve"> （签字）</w:t>
      </w:r>
    </w:p>
    <w:p w14:paraId="06FC271C">
      <w:pPr>
        <w:autoSpaceDE w:val="0"/>
        <w:autoSpaceDN w:val="0"/>
        <w:adjustRightInd w:val="0"/>
        <w:snapToGrid w:val="0"/>
        <w:spacing w:line="360" w:lineRule="auto"/>
        <w:ind w:firstLine="105" w:firstLineChars="50"/>
        <w:textAlignment w:val="baseline"/>
        <w:rPr>
          <w:rFonts w:hint="eastAsia" w:ascii="宋体" w:hAnsi="宋体"/>
          <w:snapToGrid w:val="0"/>
          <w:kern w:val="0"/>
          <w:szCs w:val="21"/>
          <w:highlight w:val="none"/>
          <w:u w:val="single"/>
        </w:rPr>
      </w:pPr>
      <w:r>
        <w:rPr>
          <w:rFonts w:hint="eastAsia" w:ascii="宋体" w:hAnsi="宋体"/>
          <w:snapToGrid w:val="0"/>
          <w:kern w:val="0"/>
          <w:szCs w:val="21"/>
          <w:highlight w:val="none"/>
          <w:u w:val="single"/>
        </w:rPr>
        <w:t xml:space="preserve">地址：                     </w:t>
      </w:r>
      <w:r>
        <w:rPr>
          <w:rFonts w:hint="eastAsia" w:ascii="宋体" w:hAnsi="宋体"/>
          <w:snapToGrid w:val="0"/>
          <w:kern w:val="0"/>
          <w:szCs w:val="21"/>
          <w:highlight w:val="none"/>
          <w:u w:val="none"/>
        </w:rPr>
        <w:t xml:space="preserve">  </w:t>
      </w:r>
      <w:r>
        <w:rPr>
          <w:rFonts w:hint="eastAsia" w:ascii="宋体" w:hAnsi="宋体"/>
          <w:snapToGrid w:val="0"/>
          <w:kern w:val="0"/>
          <w:szCs w:val="21"/>
          <w:highlight w:val="none"/>
          <w:u w:val="none"/>
          <w:lang w:val="en-US" w:eastAsia="zh-CN"/>
        </w:rPr>
        <w:t xml:space="preserve">             </w:t>
      </w:r>
      <w:r>
        <w:rPr>
          <w:rFonts w:hint="eastAsia" w:ascii="宋体" w:hAnsi="宋体"/>
          <w:snapToGrid w:val="0"/>
          <w:kern w:val="0"/>
          <w:szCs w:val="21"/>
          <w:highlight w:val="none"/>
          <w:u w:val="single"/>
        </w:rPr>
        <w:t xml:space="preserve">地址：                </w:t>
      </w:r>
    </w:p>
    <w:p w14:paraId="1E778BE2">
      <w:pPr>
        <w:autoSpaceDE w:val="0"/>
        <w:autoSpaceDN w:val="0"/>
        <w:adjustRightInd w:val="0"/>
        <w:snapToGrid w:val="0"/>
        <w:spacing w:line="360" w:lineRule="auto"/>
        <w:ind w:firstLine="105" w:firstLineChars="50"/>
        <w:textAlignment w:val="baseline"/>
        <w:rPr>
          <w:kern w:val="0"/>
          <w:sz w:val="24"/>
          <w:szCs w:val="20"/>
          <w:highlight w:val="none"/>
        </w:rPr>
      </w:pPr>
      <w:r>
        <w:rPr>
          <w:rFonts w:hint="eastAsia" w:ascii="宋体" w:hAnsi="宋体"/>
          <w:snapToGrid w:val="0"/>
          <w:kern w:val="0"/>
          <w:szCs w:val="21"/>
          <w:highlight w:val="none"/>
          <w:u w:val="single"/>
        </w:rPr>
        <w:t xml:space="preserve">电话：                    </w:t>
      </w:r>
      <w:r>
        <w:rPr>
          <w:rFonts w:hint="eastAsia" w:ascii="宋体" w:hAnsi="宋体"/>
          <w:snapToGrid w:val="0"/>
          <w:kern w:val="0"/>
          <w:szCs w:val="21"/>
          <w:highlight w:val="none"/>
          <w:u w:val="none"/>
        </w:rPr>
        <w:t xml:space="preserve">   </w:t>
      </w:r>
      <w:r>
        <w:rPr>
          <w:rFonts w:hint="eastAsia" w:ascii="宋体" w:hAnsi="宋体"/>
          <w:snapToGrid w:val="0"/>
          <w:kern w:val="0"/>
          <w:szCs w:val="21"/>
          <w:highlight w:val="none"/>
          <w:u w:val="none"/>
          <w:lang w:val="en-US" w:eastAsia="zh-CN"/>
        </w:rPr>
        <w:t xml:space="preserve">             </w:t>
      </w:r>
      <w:r>
        <w:rPr>
          <w:rFonts w:hint="eastAsia" w:ascii="宋体" w:hAnsi="宋体"/>
          <w:snapToGrid w:val="0"/>
          <w:kern w:val="0"/>
          <w:szCs w:val="21"/>
          <w:highlight w:val="none"/>
          <w:u w:val="single"/>
        </w:rPr>
        <w:t xml:space="preserve">电话：                </w:t>
      </w:r>
    </w:p>
    <w:p w14:paraId="7DD4909B">
      <w:pPr>
        <w:adjustRightInd w:val="0"/>
        <w:snapToGrid w:val="0"/>
        <w:spacing w:line="360" w:lineRule="auto"/>
        <w:ind w:left="1440" w:firstLine="1365" w:firstLineChars="650"/>
        <w:rPr>
          <w:rFonts w:ascii="宋体" w:hAnsi="宋体"/>
          <w:snapToGrid w:val="0"/>
          <w:kern w:val="0"/>
          <w:szCs w:val="21"/>
          <w:highlight w:val="none"/>
        </w:rPr>
      </w:pPr>
    </w:p>
    <w:p w14:paraId="29D7B313">
      <w:pPr>
        <w:autoSpaceDE w:val="0"/>
        <w:autoSpaceDN w:val="0"/>
        <w:adjustRightInd w:val="0"/>
        <w:snapToGrid w:val="0"/>
        <w:spacing w:line="360" w:lineRule="auto"/>
        <w:ind w:firstLine="484" w:firstLineChars="202"/>
        <w:jc w:val="left"/>
        <w:textAlignment w:val="baseline"/>
        <w:rPr>
          <w:snapToGrid w:val="0"/>
          <w:kern w:val="0"/>
          <w:sz w:val="24"/>
          <w:highlight w:val="none"/>
        </w:rPr>
      </w:pPr>
      <w:r>
        <w:rPr>
          <w:rFonts w:hint="eastAsia" w:hAnsi="宋体"/>
          <w:snapToGrid w:val="0"/>
          <w:kern w:val="0"/>
          <w:sz w:val="24"/>
          <w:szCs w:val="21"/>
          <w:highlight w:val="none"/>
          <w:u w:val="single"/>
        </w:rPr>
        <w:t xml:space="preserve">     </w:t>
      </w:r>
      <w:r>
        <w:rPr>
          <w:rFonts w:hAnsi="宋体"/>
          <w:snapToGrid w:val="0"/>
          <w:kern w:val="0"/>
          <w:sz w:val="24"/>
          <w:szCs w:val="21"/>
          <w:highlight w:val="none"/>
        </w:rPr>
        <w:t>年</w:t>
      </w:r>
      <w:r>
        <w:rPr>
          <w:rFonts w:hint="eastAsia" w:hAnsi="宋体"/>
          <w:snapToGrid w:val="0"/>
          <w:kern w:val="0"/>
          <w:sz w:val="24"/>
          <w:szCs w:val="21"/>
          <w:highlight w:val="none"/>
          <w:u w:val="single"/>
        </w:rPr>
        <w:t xml:space="preserve">   </w:t>
      </w:r>
      <w:r>
        <w:rPr>
          <w:rFonts w:hAnsi="宋体"/>
          <w:snapToGrid w:val="0"/>
          <w:kern w:val="0"/>
          <w:sz w:val="24"/>
          <w:szCs w:val="21"/>
          <w:highlight w:val="none"/>
        </w:rPr>
        <w:t>月</w:t>
      </w:r>
      <w:r>
        <w:rPr>
          <w:rFonts w:hint="eastAsia" w:hAnsi="宋体"/>
          <w:snapToGrid w:val="0"/>
          <w:kern w:val="0"/>
          <w:sz w:val="24"/>
          <w:szCs w:val="21"/>
          <w:highlight w:val="none"/>
          <w:u w:val="single"/>
        </w:rPr>
        <w:t xml:space="preserve">   </w:t>
      </w:r>
      <w:r>
        <w:rPr>
          <w:rFonts w:hAnsi="宋体"/>
          <w:snapToGrid w:val="0"/>
          <w:kern w:val="0"/>
          <w:sz w:val="24"/>
          <w:szCs w:val="21"/>
          <w:highlight w:val="none"/>
        </w:rPr>
        <w:t>日</w:t>
      </w:r>
      <w:r>
        <w:rPr>
          <w:rFonts w:hint="eastAsia" w:hAnsi="宋体"/>
          <w:snapToGrid w:val="0"/>
          <w:kern w:val="0"/>
          <w:sz w:val="24"/>
          <w:szCs w:val="21"/>
          <w:highlight w:val="none"/>
        </w:rPr>
        <w:t xml:space="preserve">               </w:t>
      </w:r>
      <w:r>
        <w:rPr>
          <w:rFonts w:hint="eastAsia" w:hAnsi="宋体"/>
          <w:snapToGrid w:val="0"/>
          <w:kern w:val="0"/>
          <w:sz w:val="24"/>
          <w:szCs w:val="21"/>
          <w:highlight w:val="none"/>
          <w:lang w:val="en-US" w:eastAsia="zh-CN"/>
        </w:rPr>
        <w:t xml:space="preserve"> </w:t>
      </w:r>
      <w:r>
        <w:rPr>
          <w:rFonts w:hint="eastAsia" w:hAnsi="宋体"/>
          <w:snapToGrid w:val="0"/>
          <w:kern w:val="0"/>
          <w:sz w:val="24"/>
          <w:szCs w:val="21"/>
          <w:highlight w:val="none"/>
        </w:rPr>
        <w:t xml:space="preserve"> </w:t>
      </w:r>
      <w:r>
        <w:rPr>
          <w:rFonts w:hint="eastAsia" w:hAnsi="宋体"/>
          <w:snapToGrid w:val="0"/>
          <w:kern w:val="0"/>
          <w:sz w:val="24"/>
          <w:szCs w:val="21"/>
          <w:highlight w:val="none"/>
          <w:u w:val="single"/>
        </w:rPr>
        <w:t xml:space="preserve">     </w:t>
      </w:r>
      <w:r>
        <w:rPr>
          <w:rFonts w:hAnsi="宋体"/>
          <w:snapToGrid w:val="0"/>
          <w:kern w:val="0"/>
          <w:sz w:val="24"/>
          <w:szCs w:val="21"/>
          <w:highlight w:val="none"/>
        </w:rPr>
        <w:t>年</w:t>
      </w:r>
      <w:r>
        <w:rPr>
          <w:rFonts w:hint="eastAsia" w:hAnsi="宋体"/>
          <w:snapToGrid w:val="0"/>
          <w:kern w:val="0"/>
          <w:sz w:val="24"/>
          <w:szCs w:val="21"/>
          <w:highlight w:val="none"/>
          <w:u w:val="single"/>
        </w:rPr>
        <w:t xml:space="preserve">   </w:t>
      </w:r>
      <w:r>
        <w:rPr>
          <w:rFonts w:hAnsi="宋体"/>
          <w:snapToGrid w:val="0"/>
          <w:kern w:val="0"/>
          <w:sz w:val="24"/>
          <w:szCs w:val="21"/>
          <w:highlight w:val="none"/>
        </w:rPr>
        <w:t>月</w:t>
      </w:r>
      <w:r>
        <w:rPr>
          <w:rFonts w:hint="eastAsia" w:hAnsi="宋体"/>
          <w:snapToGrid w:val="0"/>
          <w:kern w:val="0"/>
          <w:sz w:val="24"/>
          <w:szCs w:val="21"/>
          <w:highlight w:val="none"/>
          <w:u w:val="single"/>
        </w:rPr>
        <w:t xml:space="preserve">   </w:t>
      </w:r>
      <w:r>
        <w:rPr>
          <w:rFonts w:hAnsi="宋体"/>
          <w:snapToGrid w:val="0"/>
          <w:kern w:val="0"/>
          <w:sz w:val="24"/>
          <w:szCs w:val="21"/>
          <w:highlight w:val="none"/>
        </w:rPr>
        <w:t>日</w:t>
      </w:r>
    </w:p>
    <w:p w14:paraId="786BF3D1">
      <w:pPr>
        <w:keepLines/>
        <w:widowControl/>
        <w:autoSpaceDE w:val="0"/>
        <w:autoSpaceDN w:val="0"/>
        <w:adjustRightInd w:val="0"/>
        <w:snapToGrid w:val="0"/>
        <w:spacing w:line="480" w:lineRule="auto"/>
        <w:jc w:val="left"/>
        <w:textAlignment w:val="baseline"/>
        <w:outlineLvl w:val="3"/>
        <w:rPr>
          <w:rFonts w:ascii="宋体" w:hAnsi="宋体"/>
          <w:snapToGrid w:val="0"/>
          <w:kern w:val="0"/>
          <w:sz w:val="24"/>
          <w:szCs w:val="20"/>
          <w:highlight w:val="none"/>
        </w:rPr>
      </w:pPr>
      <w:r>
        <w:rPr>
          <w:rFonts w:eastAsia="楷体_GB2312"/>
          <w:b/>
          <w:snapToGrid w:val="0"/>
          <w:kern w:val="0"/>
          <w:sz w:val="24"/>
          <w:highlight w:val="none"/>
        </w:rPr>
        <w:br w:type="page"/>
      </w:r>
      <w:bookmarkStart w:id="65" w:name="_Toc426321899"/>
      <w:r>
        <w:rPr>
          <w:rFonts w:ascii="宋体" w:hAnsi="宋体"/>
          <w:snapToGrid w:val="0"/>
          <w:kern w:val="0"/>
          <w:sz w:val="24"/>
          <w:szCs w:val="20"/>
          <w:highlight w:val="none"/>
        </w:rPr>
        <w:t>附件</w:t>
      </w:r>
      <w:r>
        <w:rPr>
          <w:rFonts w:hint="eastAsia" w:ascii="宋体" w:hAnsi="宋体"/>
          <w:snapToGrid w:val="0"/>
          <w:kern w:val="0"/>
          <w:sz w:val="24"/>
          <w:szCs w:val="20"/>
          <w:highlight w:val="none"/>
        </w:rPr>
        <w:t>四</w:t>
      </w:r>
      <w:r>
        <w:rPr>
          <w:rFonts w:ascii="宋体" w:hAnsi="宋体"/>
          <w:snapToGrid w:val="0"/>
          <w:kern w:val="0"/>
          <w:sz w:val="24"/>
          <w:szCs w:val="20"/>
          <w:highlight w:val="none"/>
        </w:rPr>
        <w:t xml:space="preserve">  安全生产协议书</w:t>
      </w:r>
      <w:bookmarkEnd w:id="65"/>
    </w:p>
    <w:p w14:paraId="5256E0E3">
      <w:pPr>
        <w:adjustRightInd w:val="0"/>
        <w:snapToGrid w:val="0"/>
        <w:spacing w:line="480" w:lineRule="auto"/>
        <w:ind w:firstLine="240"/>
        <w:jc w:val="center"/>
        <w:rPr>
          <w:b/>
          <w:bCs/>
          <w:snapToGrid w:val="0"/>
          <w:kern w:val="0"/>
          <w:sz w:val="24"/>
          <w:highlight w:val="none"/>
        </w:rPr>
      </w:pPr>
      <w:r>
        <w:rPr>
          <w:snapToGrid w:val="0"/>
          <w:kern w:val="0"/>
          <w:sz w:val="24"/>
          <w:highlight w:val="none"/>
        </w:rPr>
        <w:t>（本格式为安全生产协议书标准格式，投标人不需填写）</w:t>
      </w:r>
    </w:p>
    <w:p w14:paraId="5393B2EE">
      <w:pPr>
        <w:autoSpaceDE w:val="0"/>
        <w:autoSpaceDN w:val="0"/>
        <w:adjustRightInd w:val="0"/>
        <w:snapToGrid w:val="0"/>
        <w:spacing w:line="480" w:lineRule="auto"/>
        <w:jc w:val="center"/>
        <w:textAlignment w:val="baseline"/>
        <w:rPr>
          <w:b/>
          <w:snapToGrid w:val="0"/>
          <w:kern w:val="0"/>
          <w:sz w:val="24"/>
          <w:highlight w:val="none"/>
        </w:rPr>
      </w:pPr>
      <w:r>
        <w:rPr>
          <w:b/>
          <w:snapToGrid w:val="0"/>
          <w:kern w:val="0"/>
          <w:sz w:val="24"/>
          <w:highlight w:val="none"/>
        </w:rPr>
        <w:t>安全生产协议书（格式）</w:t>
      </w:r>
    </w:p>
    <w:p w14:paraId="48FF1723">
      <w:pPr>
        <w:spacing w:line="360" w:lineRule="auto"/>
        <w:ind w:firstLine="420" w:firstLineChars="200"/>
        <w:jc w:val="left"/>
        <w:rPr>
          <w:rFonts w:hint="eastAsia" w:ascii="宋体" w:hAnsi="宋体" w:cs="宋体"/>
          <w:kern w:val="0"/>
          <w:szCs w:val="21"/>
          <w:highlight w:val="none"/>
          <w:lang w:bidi="en-US"/>
        </w:rPr>
      </w:pPr>
      <w:r>
        <w:rPr>
          <w:rFonts w:hint="eastAsia" w:ascii="宋体" w:hAnsi="宋体" w:cs="宋体"/>
          <w:kern w:val="0"/>
          <w:szCs w:val="21"/>
          <w:highlight w:val="none"/>
          <w:lang w:bidi="en-US"/>
        </w:rPr>
        <w:t>为在</w:t>
      </w:r>
      <w:r>
        <w:rPr>
          <w:rFonts w:hint="eastAsia" w:ascii="宋体" w:hAnsi="宋体" w:cs="宋体"/>
          <w:kern w:val="0"/>
          <w:szCs w:val="21"/>
          <w:highlight w:val="none"/>
          <w:u w:val="single"/>
          <w:lang w:bidi="en-US"/>
        </w:rPr>
        <w:t xml:space="preserve">             </w:t>
      </w:r>
      <w:r>
        <w:rPr>
          <w:rFonts w:hint="eastAsia" w:ascii="宋体" w:hAnsi="宋体" w:cs="宋体"/>
          <w:kern w:val="0"/>
          <w:szCs w:val="21"/>
          <w:highlight w:val="none"/>
          <w:lang w:bidi="en-US"/>
        </w:rPr>
        <w:t xml:space="preserve">（项目名称） </w:t>
      </w:r>
      <w:r>
        <w:rPr>
          <w:rFonts w:hint="eastAsia" w:ascii="宋体" w:hAnsi="宋体" w:cs="宋体"/>
          <w:kern w:val="0"/>
          <w:szCs w:val="21"/>
          <w:highlight w:val="none"/>
          <w:u w:val="single"/>
          <w:lang w:bidi="en-US"/>
        </w:rPr>
        <w:t xml:space="preserve">                </w:t>
      </w:r>
      <w:r>
        <w:rPr>
          <w:rFonts w:hint="eastAsia" w:ascii="宋体" w:hAnsi="宋体" w:cs="宋体"/>
          <w:kern w:val="0"/>
          <w:szCs w:val="21"/>
          <w:highlight w:val="none"/>
          <w:lang w:bidi="en-US"/>
        </w:rPr>
        <w:t>（标段名称）施工合同的实施过程中创造安全、髙效的施工环境，切实做好本项目的安全管理工作，本项目的发包人</w:t>
      </w:r>
      <w:r>
        <w:rPr>
          <w:rFonts w:hint="eastAsia" w:ascii="宋体" w:hAnsi="宋体" w:cs="宋体"/>
          <w:kern w:val="0"/>
          <w:szCs w:val="21"/>
          <w:highlight w:val="none"/>
          <w:u w:val="single"/>
          <w:lang w:bidi="en-US"/>
        </w:rPr>
        <w:t xml:space="preserve">            </w:t>
      </w:r>
      <w:r>
        <w:rPr>
          <w:rFonts w:hint="eastAsia" w:ascii="宋体" w:hAnsi="宋体" w:cs="宋体"/>
          <w:kern w:val="0"/>
          <w:szCs w:val="21"/>
          <w:highlight w:val="none"/>
          <w:lang w:bidi="en-US"/>
        </w:rPr>
        <w:t>（以下简称“</w:t>
      </w:r>
      <w:r>
        <w:rPr>
          <w:rFonts w:hint="eastAsia" w:ascii="宋体" w:hAnsi="宋体" w:cs="宋体"/>
          <w:kern w:val="0"/>
          <w:szCs w:val="21"/>
          <w:highlight w:val="none"/>
          <w:lang w:val="zh-CN" w:bidi="en-US"/>
        </w:rPr>
        <w:t>甲</w:t>
      </w:r>
      <w:r>
        <w:rPr>
          <w:rFonts w:hint="eastAsia" w:ascii="宋体" w:hAnsi="宋体" w:cs="宋体"/>
          <w:kern w:val="0"/>
          <w:szCs w:val="21"/>
          <w:highlight w:val="none"/>
          <w:lang w:bidi="en-US"/>
        </w:rPr>
        <w:t>方”）与承包人</w:t>
      </w:r>
      <w:r>
        <w:rPr>
          <w:rFonts w:hint="eastAsia" w:ascii="宋体" w:hAnsi="宋体" w:cs="宋体"/>
          <w:kern w:val="0"/>
          <w:szCs w:val="21"/>
          <w:highlight w:val="none"/>
          <w:u w:val="single"/>
          <w:lang w:bidi="en-US"/>
        </w:rPr>
        <w:t xml:space="preserve">             </w:t>
      </w:r>
      <w:r>
        <w:rPr>
          <w:rFonts w:hint="eastAsia" w:ascii="宋体" w:hAnsi="宋体" w:cs="宋体"/>
          <w:kern w:val="0"/>
          <w:szCs w:val="21"/>
          <w:highlight w:val="none"/>
          <w:lang w:bidi="en-US"/>
        </w:rPr>
        <w:t>（以下简称</w:t>
      </w:r>
      <w:r>
        <w:rPr>
          <w:rFonts w:hint="eastAsia" w:ascii="宋体" w:hAnsi="宋体" w:cs="宋体"/>
          <w:kern w:val="0"/>
          <w:szCs w:val="21"/>
          <w:highlight w:val="none"/>
          <w:lang w:val="zh-CN" w:bidi="en-US"/>
        </w:rPr>
        <w:t>“乙</w:t>
      </w:r>
      <w:r>
        <w:rPr>
          <w:rFonts w:hint="eastAsia" w:ascii="宋体" w:hAnsi="宋体" w:cs="宋体"/>
          <w:kern w:val="0"/>
          <w:szCs w:val="21"/>
          <w:highlight w:val="none"/>
          <w:lang w:bidi="en-US"/>
        </w:rPr>
        <w:t>方”），特此签订安全生产协议书：</w:t>
      </w:r>
    </w:p>
    <w:p w14:paraId="3D25C941">
      <w:pPr>
        <w:spacing w:line="360" w:lineRule="auto"/>
        <w:ind w:firstLine="420" w:firstLineChars="200"/>
        <w:jc w:val="left"/>
        <w:rPr>
          <w:rFonts w:hint="eastAsia" w:ascii="宋体" w:hAnsi="宋体" w:cs="宋体"/>
          <w:kern w:val="0"/>
          <w:szCs w:val="21"/>
          <w:highlight w:val="none"/>
          <w:lang w:bidi="en-US"/>
        </w:rPr>
      </w:pPr>
      <w:r>
        <w:rPr>
          <w:rFonts w:hint="eastAsia" w:ascii="宋体" w:hAnsi="宋体" w:cs="宋体"/>
          <w:kern w:val="0"/>
          <w:szCs w:val="21"/>
          <w:highlight w:val="none"/>
          <w:lang w:bidi="en-US"/>
        </w:rPr>
        <w:t>第一条甲方职责</w:t>
      </w:r>
    </w:p>
    <w:p w14:paraId="55758A30">
      <w:pPr>
        <w:spacing w:line="360" w:lineRule="auto"/>
        <w:ind w:firstLine="420" w:firstLineChars="200"/>
        <w:jc w:val="left"/>
        <w:rPr>
          <w:rFonts w:hint="eastAsia" w:ascii="宋体" w:hAnsi="宋体" w:cs="宋体"/>
          <w:kern w:val="0"/>
          <w:szCs w:val="21"/>
          <w:highlight w:val="none"/>
          <w:lang w:bidi="en-US"/>
        </w:rPr>
      </w:pPr>
      <w:r>
        <w:rPr>
          <w:rFonts w:hint="eastAsia" w:ascii="宋体" w:hAnsi="宋体" w:cs="宋体"/>
          <w:kern w:val="0"/>
          <w:szCs w:val="21"/>
          <w:highlight w:val="none"/>
          <w:lang w:bidi="en-US"/>
        </w:rPr>
        <w:t>（一）遵守国家有关安全生产的法律法规，认真执行工程承包合同中的有关安全要求。</w:t>
      </w:r>
    </w:p>
    <w:p w14:paraId="47608737">
      <w:pPr>
        <w:spacing w:line="360" w:lineRule="auto"/>
        <w:ind w:firstLine="420" w:firstLineChars="200"/>
        <w:jc w:val="left"/>
        <w:rPr>
          <w:rFonts w:hint="eastAsia" w:ascii="宋体" w:hAnsi="宋体" w:cs="宋体"/>
          <w:kern w:val="0"/>
          <w:szCs w:val="21"/>
          <w:highlight w:val="none"/>
          <w:lang w:bidi="en-US"/>
        </w:rPr>
      </w:pPr>
      <w:r>
        <w:rPr>
          <w:rFonts w:hint="eastAsia" w:ascii="宋体" w:hAnsi="宋体" w:cs="宋体"/>
          <w:kern w:val="0"/>
          <w:szCs w:val="21"/>
          <w:highlight w:val="none"/>
          <w:lang w:bidi="en-US"/>
        </w:rPr>
        <w:t>（二）按照</w:t>
      </w:r>
      <w:r>
        <w:rPr>
          <w:rFonts w:hint="eastAsia" w:ascii="宋体" w:hAnsi="宋体" w:cs="宋体"/>
          <w:kern w:val="0"/>
          <w:szCs w:val="21"/>
          <w:highlight w:val="none"/>
          <w:lang w:val="zh-CN" w:bidi="en-US"/>
        </w:rPr>
        <w:t>“安全</w:t>
      </w:r>
      <w:r>
        <w:rPr>
          <w:rFonts w:hint="eastAsia" w:ascii="宋体" w:hAnsi="宋体" w:cs="宋体"/>
          <w:kern w:val="0"/>
          <w:szCs w:val="21"/>
          <w:highlight w:val="none"/>
          <w:lang w:bidi="en-US"/>
        </w:rPr>
        <w:t>第一、预防为主、综合治理“和坚持</w:t>
      </w:r>
      <w:r>
        <w:rPr>
          <w:rFonts w:hint="eastAsia" w:ascii="宋体" w:hAnsi="宋体" w:cs="宋体"/>
          <w:kern w:val="0"/>
          <w:szCs w:val="21"/>
          <w:highlight w:val="none"/>
          <w:lang w:val="zh-CN" w:bidi="en-US"/>
        </w:rPr>
        <w:t>“管</w:t>
      </w:r>
      <w:r>
        <w:rPr>
          <w:rFonts w:hint="eastAsia" w:ascii="宋体" w:hAnsi="宋体" w:cs="宋体"/>
          <w:kern w:val="0"/>
          <w:szCs w:val="21"/>
          <w:highlight w:val="none"/>
          <w:lang w:bidi="en-US"/>
        </w:rPr>
        <w:t>生产必须管安全”的原则进行安全生产管理，做到牛.产与安全工作同时计划、布置、检查、总结和评比。</w:t>
      </w:r>
    </w:p>
    <w:p w14:paraId="4ADB4A46">
      <w:pPr>
        <w:spacing w:line="360" w:lineRule="auto"/>
        <w:ind w:firstLine="420" w:firstLineChars="200"/>
        <w:jc w:val="left"/>
        <w:rPr>
          <w:rFonts w:hint="eastAsia" w:ascii="宋体" w:hAnsi="宋体" w:cs="宋体"/>
          <w:kern w:val="0"/>
          <w:szCs w:val="21"/>
          <w:highlight w:val="none"/>
          <w:lang w:bidi="en-US"/>
        </w:rPr>
      </w:pPr>
      <w:r>
        <w:rPr>
          <w:rFonts w:hint="eastAsia" w:ascii="宋体" w:hAnsi="宋体" w:cs="宋体"/>
          <w:kern w:val="0"/>
          <w:szCs w:val="21"/>
          <w:highlight w:val="none"/>
          <w:lang w:bidi="en-US"/>
        </w:rPr>
        <w:t>（三）重要的安全设施必须坚持与主体工程</w:t>
      </w:r>
      <w:r>
        <w:rPr>
          <w:rFonts w:hint="eastAsia" w:ascii="宋体" w:hAnsi="宋体" w:cs="宋体"/>
          <w:kern w:val="0"/>
          <w:szCs w:val="21"/>
          <w:highlight w:val="none"/>
          <w:lang w:val="zh-CN" w:bidi="en-US"/>
        </w:rPr>
        <w:t>“三同</w:t>
      </w:r>
      <w:r>
        <w:rPr>
          <w:rFonts w:hint="eastAsia" w:ascii="宋体" w:hAnsi="宋体" w:cs="宋体"/>
          <w:kern w:val="0"/>
          <w:szCs w:val="21"/>
          <w:highlight w:val="none"/>
          <w:lang w:bidi="en-US"/>
        </w:rPr>
        <w:t>时”的原则，即：同时设计、审批，同时施工，同时验收、投入使用。</w:t>
      </w:r>
    </w:p>
    <w:p w14:paraId="10F0CBD7">
      <w:pPr>
        <w:spacing w:line="360" w:lineRule="auto"/>
        <w:ind w:firstLine="420" w:firstLineChars="200"/>
        <w:jc w:val="left"/>
        <w:rPr>
          <w:rFonts w:hint="eastAsia" w:ascii="宋体" w:hAnsi="宋体" w:cs="宋体"/>
          <w:kern w:val="0"/>
          <w:szCs w:val="21"/>
          <w:highlight w:val="none"/>
          <w:lang w:bidi="en-US"/>
        </w:rPr>
      </w:pPr>
      <w:r>
        <w:rPr>
          <w:rFonts w:hint="eastAsia" w:ascii="宋体" w:hAnsi="宋体" w:cs="宋体"/>
          <w:kern w:val="0"/>
          <w:szCs w:val="21"/>
          <w:highlight w:val="none"/>
          <w:lang w:bidi="en-US"/>
        </w:rPr>
        <w:t>（四）定期召开安全生产调度会，及时传达中央及地方有关安全生产的精神。</w:t>
      </w:r>
    </w:p>
    <w:p w14:paraId="4CF5828E">
      <w:pPr>
        <w:spacing w:line="360" w:lineRule="auto"/>
        <w:ind w:firstLine="420" w:firstLineChars="200"/>
        <w:jc w:val="left"/>
        <w:rPr>
          <w:rFonts w:hint="eastAsia" w:ascii="宋体" w:hAnsi="宋体" w:cs="宋体"/>
          <w:kern w:val="0"/>
          <w:szCs w:val="21"/>
          <w:highlight w:val="none"/>
          <w:lang w:bidi="en-US"/>
        </w:rPr>
      </w:pPr>
      <w:r>
        <w:rPr>
          <w:rFonts w:hint="eastAsia" w:ascii="宋体" w:hAnsi="宋体" w:cs="宋体"/>
          <w:kern w:val="0"/>
          <w:szCs w:val="21"/>
          <w:highlight w:val="none"/>
          <w:lang w:bidi="en-US"/>
        </w:rPr>
        <w:t>（五）组织对乙方施工现场安全生产检査，监督乙方及时处理发现的各种安全隐患。</w:t>
      </w:r>
    </w:p>
    <w:p w14:paraId="192AAB92">
      <w:pPr>
        <w:spacing w:line="360" w:lineRule="auto"/>
        <w:ind w:firstLine="420" w:firstLineChars="200"/>
        <w:jc w:val="left"/>
        <w:rPr>
          <w:rFonts w:hint="eastAsia" w:ascii="宋体" w:hAnsi="宋体" w:cs="宋体"/>
          <w:kern w:val="0"/>
          <w:szCs w:val="21"/>
          <w:highlight w:val="none"/>
          <w:lang w:bidi="en-US"/>
        </w:rPr>
      </w:pPr>
      <w:r>
        <w:rPr>
          <w:rFonts w:hint="eastAsia" w:ascii="宋体" w:hAnsi="宋体" w:cs="宋体"/>
          <w:kern w:val="0"/>
          <w:szCs w:val="21"/>
          <w:highlight w:val="none"/>
          <w:lang w:bidi="en-US"/>
        </w:rPr>
        <w:t>第二条乙方职责</w:t>
      </w:r>
    </w:p>
    <w:p w14:paraId="1E74B29F">
      <w:pPr>
        <w:spacing w:line="360" w:lineRule="auto"/>
        <w:ind w:firstLine="420" w:firstLineChars="200"/>
        <w:jc w:val="left"/>
        <w:rPr>
          <w:rFonts w:hint="eastAsia" w:ascii="宋体" w:hAnsi="宋体" w:cs="宋体"/>
          <w:kern w:val="0"/>
          <w:szCs w:val="21"/>
          <w:highlight w:val="none"/>
          <w:lang w:bidi="en-US"/>
        </w:rPr>
      </w:pPr>
      <w:r>
        <w:rPr>
          <w:rFonts w:hint="eastAsia" w:ascii="宋体" w:hAnsi="宋体" w:cs="宋体"/>
          <w:kern w:val="0"/>
          <w:szCs w:val="21"/>
          <w:highlight w:val="none"/>
          <w:lang w:bidi="en-US"/>
        </w:rPr>
        <w:t>（一）严格遵守国家有关安全生产的法律法规、水利部颁发的有关工程施工安全技术规程的安全生产规定，认真执行工程承包合同中的有关安全要求。</w:t>
      </w:r>
    </w:p>
    <w:p w14:paraId="1C7E3EEB">
      <w:pPr>
        <w:spacing w:line="360" w:lineRule="auto"/>
        <w:ind w:firstLine="420" w:firstLineChars="200"/>
        <w:jc w:val="left"/>
        <w:rPr>
          <w:rFonts w:hint="eastAsia" w:ascii="宋体" w:hAnsi="宋体" w:cs="宋体"/>
          <w:kern w:val="0"/>
          <w:szCs w:val="21"/>
          <w:highlight w:val="none"/>
          <w:lang w:bidi="en-US"/>
        </w:rPr>
      </w:pPr>
      <w:r>
        <w:rPr>
          <w:rFonts w:hint="eastAsia" w:ascii="宋体" w:hAnsi="宋体" w:cs="宋体"/>
          <w:kern w:val="0"/>
          <w:szCs w:val="21"/>
          <w:highlight w:val="none"/>
          <w:lang w:bidi="en-US"/>
        </w:rPr>
        <w:t>（二）坚持</w:t>
      </w:r>
      <w:r>
        <w:rPr>
          <w:rFonts w:hint="eastAsia" w:ascii="宋体" w:hAnsi="宋体" w:cs="宋体"/>
          <w:kern w:val="0"/>
          <w:szCs w:val="21"/>
          <w:highlight w:val="none"/>
          <w:lang w:val="zh-CN" w:bidi="en-US"/>
        </w:rPr>
        <w:t>“安全</w:t>
      </w:r>
      <w:r>
        <w:rPr>
          <w:rFonts w:hint="eastAsia" w:ascii="宋体" w:hAnsi="宋体" w:cs="宋体"/>
          <w:kern w:val="0"/>
          <w:szCs w:val="21"/>
          <w:highlight w:val="none"/>
          <w:lang w:bidi="en-US"/>
        </w:rPr>
        <w:t>第一、预防为主、综合治理”和坚持</w:t>
      </w:r>
      <w:r>
        <w:rPr>
          <w:rFonts w:hint="eastAsia" w:ascii="宋体" w:hAnsi="宋体" w:cs="宋体"/>
          <w:kern w:val="0"/>
          <w:szCs w:val="21"/>
          <w:highlight w:val="none"/>
          <w:lang w:val="zh-CN" w:bidi="en-US"/>
        </w:rPr>
        <w:t>“管</w:t>
      </w:r>
      <w:r>
        <w:rPr>
          <w:rFonts w:hint="eastAsia" w:ascii="宋体" w:hAnsi="宋体" w:cs="宋体"/>
          <w:kern w:val="0"/>
          <w:szCs w:val="21"/>
          <w:highlight w:val="none"/>
          <w:lang w:bidi="en-US"/>
        </w:rPr>
        <w:t>生产必须管安全”的原则，加强安全生产宣传教育，增强全员安全生产意识，建立健全各项安全生产的管理机构和安全生产管理制度，配备专职及兼职安全检查人员，有组织有领导地开展安全生产活动。各级领导、工程技术人员、生产管理人员和具体操作人员，必须熟悉和遵守本条款的各项规定，做到生产与安全工作同时计划、布置、检查、总结和评比。</w:t>
      </w:r>
    </w:p>
    <w:p w14:paraId="78384841">
      <w:pPr>
        <w:spacing w:line="360" w:lineRule="auto"/>
        <w:ind w:firstLine="420" w:firstLineChars="200"/>
        <w:jc w:val="left"/>
        <w:rPr>
          <w:rFonts w:hint="eastAsia" w:ascii="宋体" w:hAnsi="宋体" w:cs="宋体"/>
          <w:kern w:val="0"/>
          <w:szCs w:val="21"/>
          <w:highlight w:val="none"/>
          <w:lang w:bidi="en-US"/>
        </w:rPr>
      </w:pPr>
      <w:r>
        <w:rPr>
          <w:rFonts w:hint="eastAsia" w:ascii="宋体" w:hAnsi="宋体" w:cs="宋体"/>
          <w:kern w:val="0"/>
          <w:szCs w:val="21"/>
          <w:highlight w:val="none"/>
          <w:lang w:bidi="en-US"/>
        </w:rPr>
        <w:t>（三）建立健全安全生产责任制。从派往项目实施的项目负责人到生产工人（包括临时雇请的民工）的安全生产管理系统必须做到纵向到底，一环不漏；各职能部门、人员的安全生产责任制做到横向到边，人人有责。项目负责人是安全生产的第一责任人。现场设置的安全机构，应按施工人员的1%</w:t>
      </w:r>
      <w:r>
        <w:rPr>
          <w:rFonts w:hint="eastAsia" w:ascii="MS Mincho" w:hAnsi="MS Mincho" w:eastAsia="MS Mincho" w:cs="MS Mincho"/>
          <w:kern w:val="0"/>
          <w:szCs w:val="21"/>
          <w:highlight w:val="none"/>
          <w:lang w:bidi="en-US"/>
        </w:rPr>
        <w:t>〜</w:t>
      </w:r>
      <w:r>
        <w:rPr>
          <w:rFonts w:hint="eastAsia" w:ascii="宋体" w:hAnsi="宋体" w:cs="宋体"/>
          <w:kern w:val="0"/>
          <w:szCs w:val="21"/>
          <w:highlight w:val="none"/>
          <w:lang w:bidi="en-US"/>
        </w:rPr>
        <w:t>3%配备安全员，专职负责所有员工的安全和治安保卫工作及预防事故的发生。安全机构人员，有权按有关规定发布指令，并采取保护性措施防止事故发生。</w:t>
      </w:r>
    </w:p>
    <w:p w14:paraId="5CDF4E5C">
      <w:pPr>
        <w:spacing w:line="360" w:lineRule="auto"/>
        <w:ind w:firstLine="420" w:firstLineChars="200"/>
        <w:jc w:val="left"/>
        <w:rPr>
          <w:rFonts w:hint="eastAsia" w:ascii="宋体" w:hAnsi="宋体" w:cs="宋体"/>
          <w:kern w:val="0"/>
          <w:szCs w:val="21"/>
          <w:highlight w:val="none"/>
          <w:lang w:bidi="en-US"/>
        </w:rPr>
      </w:pPr>
      <w:r>
        <w:rPr>
          <w:rFonts w:hint="eastAsia" w:ascii="宋体" w:hAnsi="宋体" w:cs="宋体"/>
          <w:kern w:val="0"/>
          <w:szCs w:val="21"/>
          <w:highlight w:val="none"/>
          <w:lang w:bidi="en-US"/>
        </w:rPr>
        <w:t>（四）乙方在任何时候都应采取各种合理的预防措施，防止其员工发生任何违法、违禁、暴力或妨碍治安的行为。</w:t>
      </w:r>
    </w:p>
    <w:p w14:paraId="6BF2396E">
      <w:pPr>
        <w:spacing w:line="360" w:lineRule="auto"/>
        <w:ind w:firstLine="420" w:firstLineChars="200"/>
        <w:jc w:val="left"/>
        <w:rPr>
          <w:rFonts w:hint="eastAsia" w:ascii="宋体" w:hAnsi="宋体" w:cs="宋体"/>
          <w:kern w:val="0"/>
          <w:szCs w:val="21"/>
          <w:highlight w:val="none"/>
          <w:lang w:bidi="en-US"/>
        </w:rPr>
      </w:pPr>
      <w:r>
        <w:rPr>
          <w:rFonts w:hint="eastAsia" w:ascii="宋体" w:hAnsi="宋体" w:cs="宋体"/>
          <w:kern w:val="0"/>
          <w:szCs w:val="21"/>
          <w:highlight w:val="none"/>
          <w:lang w:bidi="en-US"/>
        </w:rPr>
        <w:t>（五）乙方必须具有劳动安全管理部门颁发的安全生产证书，参加施工的人员，必须接受安全技术教育，熟知和遵守本工种的各项安全技术操作规程,定期进行安全技术考核，合格者方准上岗操作。对于从事电气、起重、建筑登高架设作业、锅炉、压力容器、焊接、机动车驾驶、爆破等特殊工种的人员，需经过专业培训，获得《安全操作合格证》后，方准持证上岗。施工现场如出现特种作业无证操作现象时，项目负责人必须承担管理责任。</w:t>
      </w:r>
    </w:p>
    <w:p w14:paraId="089111A0">
      <w:pPr>
        <w:spacing w:line="360" w:lineRule="auto"/>
        <w:ind w:firstLine="420" w:firstLineChars="200"/>
        <w:jc w:val="left"/>
        <w:rPr>
          <w:rFonts w:hint="eastAsia" w:ascii="宋体" w:hAnsi="宋体" w:cs="宋体"/>
          <w:kern w:val="0"/>
          <w:szCs w:val="21"/>
          <w:highlight w:val="none"/>
          <w:lang w:bidi="en-US"/>
        </w:rPr>
      </w:pPr>
      <w:r>
        <w:rPr>
          <w:rFonts w:hint="eastAsia" w:ascii="宋体" w:hAnsi="宋体" w:cs="宋体"/>
          <w:kern w:val="0"/>
          <w:szCs w:val="21"/>
          <w:highlight w:val="none"/>
          <w:lang w:bidi="en-US"/>
        </w:rPr>
        <w:t>（六）对于易燃易爆的材料除应专门妥善保管之外，还应配备有足够的消防设施，所有施工人员都应熟悉消防设备的性能和使用方法；乙方不得将任何种类的给予、易货或以其他方式转让给任何人，或允许、容忍上述同样行为。</w:t>
      </w:r>
    </w:p>
    <w:p w14:paraId="630C0C62">
      <w:pPr>
        <w:spacing w:line="360" w:lineRule="auto"/>
        <w:ind w:firstLine="420" w:firstLineChars="200"/>
        <w:jc w:val="left"/>
        <w:rPr>
          <w:rFonts w:hint="eastAsia" w:ascii="宋体" w:hAnsi="宋体" w:cs="宋体"/>
          <w:kern w:val="0"/>
          <w:szCs w:val="21"/>
          <w:highlight w:val="none"/>
          <w:lang w:bidi="en-US"/>
        </w:rPr>
      </w:pPr>
      <w:r>
        <w:rPr>
          <w:rFonts w:hint="eastAsia" w:ascii="宋体" w:hAnsi="宋体" w:cs="宋体"/>
          <w:kern w:val="0"/>
          <w:szCs w:val="21"/>
          <w:highlight w:val="none"/>
          <w:lang w:bidi="en-US"/>
        </w:rPr>
        <w:t>（七）操作人员</w:t>
      </w:r>
      <w:r>
        <w:rPr>
          <w:rFonts w:hint="eastAsia" w:ascii="宋体" w:hAnsi="宋体" w:cs="宋体"/>
          <w:kern w:val="0"/>
          <w:szCs w:val="21"/>
          <w:highlight w:val="none"/>
          <w:lang w:val="zh-CN" w:bidi="en-US"/>
        </w:rPr>
        <w:t>上岗.</w:t>
      </w:r>
      <w:r>
        <w:rPr>
          <w:rFonts w:hint="eastAsia" w:ascii="宋体" w:hAnsi="宋体" w:cs="宋体"/>
          <w:kern w:val="0"/>
          <w:szCs w:val="21"/>
          <w:highlight w:val="none"/>
          <w:lang w:bidi="en-US"/>
        </w:rPr>
        <w:t>必须按规定穿戴防护用品。施工负责人和安全检査员应随时检査劳动防护用品的穿戴情况，不按规定穿戴防护用品的人员不得上岗。</w:t>
      </w:r>
    </w:p>
    <w:p w14:paraId="5B8F5940">
      <w:pPr>
        <w:spacing w:line="360" w:lineRule="auto"/>
        <w:ind w:firstLine="420" w:firstLineChars="200"/>
        <w:jc w:val="left"/>
        <w:rPr>
          <w:rFonts w:hint="eastAsia" w:ascii="宋体" w:hAnsi="宋体" w:cs="宋体"/>
          <w:kern w:val="0"/>
          <w:szCs w:val="21"/>
          <w:highlight w:val="none"/>
          <w:lang w:bidi="en-US"/>
        </w:rPr>
      </w:pPr>
      <w:r>
        <w:rPr>
          <w:rFonts w:hint="eastAsia" w:ascii="宋体" w:hAnsi="宋体" w:cs="宋体"/>
          <w:kern w:val="0"/>
          <w:szCs w:val="21"/>
          <w:highlight w:val="none"/>
          <w:lang w:bidi="en-US"/>
        </w:rPr>
        <w:t>（八）所有施工机具设备和高空作业的设备均应定期检查，并有安全员的签字记录，保证其经常处于完好状态；不合格的机具、设备和劳动保护用品严禁使用。</w:t>
      </w:r>
    </w:p>
    <w:p w14:paraId="1CDCC796">
      <w:pPr>
        <w:spacing w:line="360" w:lineRule="auto"/>
        <w:ind w:firstLine="420" w:firstLineChars="200"/>
        <w:jc w:val="left"/>
        <w:rPr>
          <w:rFonts w:hint="eastAsia" w:ascii="宋体" w:hAnsi="宋体" w:cs="宋体"/>
          <w:kern w:val="0"/>
          <w:szCs w:val="21"/>
          <w:highlight w:val="none"/>
          <w:lang w:bidi="en-US"/>
        </w:rPr>
      </w:pPr>
      <w:r>
        <w:rPr>
          <w:rFonts w:hint="eastAsia" w:ascii="宋体" w:hAnsi="宋体" w:cs="宋体"/>
          <w:kern w:val="0"/>
          <w:szCs w:val="21"/>
          <w:highlight w:val="none"/>
          <w:lang w:bidi="en-US"/>
        </w:rPr>
        <w:t>（九）所有施工中采用新技术，新工艺、新设备、新材料时，必须制定相应的安全技术措施，施工现场必须具有相关的安全标志牌。</w:t>
      </w:r>
    </w:p>
    <w:p w14:paraId="4C9EDEA5">
      <w:pPr>
        <w:spacing w:line="360" w:lineRule="auto"/>
        <w:ind w:firstLine="420" w:firstLineChars="200"/>
        <w:jc w:val="left"/>
        <w:rPr>
          <w:rFonts w:hint="eastAsia" w:ascii="宋体" w:hAnsi="宋体" w:cs="宋体"/>
          <w:kern w:val="0"/>
          <w:szCs w:val="21"/>
          <w:highlight w:val="none"/>
          <w:lang w:bidi="en-US"/>
        </w:rPr>
      </w:pPr>
      <w:r>
        <w:rPr>
          <w:rFonts w:hint="eastAsia" w:ascii="宋体" w:hAnsi="宋体" w:cs="宋体"/>
          <w:kern w:val="0"/>
          <w:szCs w:val="21"/>
          <w:highlight w:val="none"/>
          <w:lang w:bidi="en-US"/>
        </w:rPr>
        <w:t>（十）乙方必须按照本工程项目特点，组织制定本工程实施中的生产安全事故应急救援预案；如果发生安全事故，应按照《国务院关于特大安全事故行政责任追究的规定》以及其他有关规定，及时上报有关部门，并坚持</w:t>
      </w:r>
      <w:r>
        <w:rPr>
          <w:rFonts w:hint="eastAsia" w:ascii="宋体" w:hAnsi="宋体" w:cs="宋体"/>
          <w:kern w:val="0"/>
          <w:szCs w:val="21"/>
          <w:highlight w:val="none"/>
          <w:lang w:val="zh-CN" w:bidi="en-US"/>
        </w:rPr>
        <w:t>“四</w:t>
      </w:r>
      <w:r>
        <w:rPr>
          <w:rFonts w:hint="eastAsia" w:ascii="宋体" w:hAnsi="宋体" w:cs="宋体"/>
          <w:kern w:val="0"/>
          <w:szCs w:val="21"/>
          <w:highlight w:val="none"/>
          <w:lang w:bidi="en-US"/>
        </w:rPr>
        <w:t>不放过”的原则，严肃处理相关责任人。</w:t>
      </w:r>
    </w:p>
    <w:p w14:paraId="6C510128">
      <w:pPr>
        <w:spacing w:line="360" w:lineRule="auto"/>
        <w:ind w:firstLine="420" w:firstLineChars="200"/>
        <w:jc w:val="left"/>
        <w:rPr>
          <w:rFonts w:hint="eastAsia" w:ascii="宋体" w:hAnsi="宋体" w:cs="宋体"/>
          <w:kern w:val="0"/>
          <w:szCs w:val="21"/>
          <w:highlight w:val="none"/>
          <w:lang w:bidi="en-US"/>
        </w:rPr>
      </w:pPr>
      <w:r>
        <w:rPr>
          <w:rFonts w:hint="eastAsia" w:ascii="宋体" w:hAnsi="宋体" w:cs="宋体"/>
          <w:kern w:val="0"/>
          <w:szCs w:val="21"/>
          <w:highlight w:val="none"/>
          <w:lang w:bidi="en-US"/>
        </w:rPr>
        <w:t>第三条违约责任</w:t>
      </w:r>
    </w:p>
    <w:p w14:paraId="212853EF">
      <w:pPr>
        <w:spacing w:line="360" w:lineRule="auto"/>
        <w:ind w:firstLine="420" w:firstLineChars="200"/>
        <w:jc w:val="left"/>
        <w:rPr>
          <w:rFonts w:hint="eastAsia" w:ascii="宋体" w:hAnsi="宋体" w:cs="宋体"/>
          <w:kern w:val="0"/>
          <w:szCs w:val="21"/>
          <w:highlight w:val="none"/>
          <w:lang w:bidi="en-US"/>
        </w:rPr>
      </w:pPr>
      <w:r>
        <w:rPr>
          <w:rFonts w:hint="eastAsia" w:ascii="宋体" w:hAnsi="宋体" w:cs="宋体"/>
          <w:kern w:val="0"/>
          <w:szCs w:val="21"/>
          <w:highlight w:val="none"/>
          <w:lang w:bidi="en-US"/>
        </w:rPr>
        <w:t>如因甲方或乙方违约造成安全事故，将依法追究责任，并视事故轻重承担相应的经济赔偿责任。</w:t>
      </w:r>
    </w:p>
    <w:p w14:paraId="54E6AB12">
      <w:pPr>
        <w:spacing w:line="360" w:lineRule="auto"/>
        <w:ind w:firstLine="420" w:firstLineChars="200"/>
        <w:jc w:val="left"/>
        <w:rPr>
          <w:rFonts w:hint="eastAsia" w:ascii="宋体" w:hAnsi="宋体" w:cs="宋体"/>
          <w:kern w:val="0"/>
          <w:szCs w:val="21"/>
          <w:highlight w:val="none"/>
          <w:lang w:bidi="en-US"/>
        </w:rPr>
        <w:sectPr>
          <w:footerReference r:id="rId4" w:type="even"/>
          <w:pgSz w:w="11900" w:h="16840"/>
          <w:pgMar w:top="1440" w:right="1800" w:bottom="1440" w:left="1800" w:header="850" w:footer="992" w:gutter="0"/>
          <w:pgNumType w:fmt="decimal"/>
          <w:cols w:space="720" w:num="1"/>
          <w:docGrid w:linePitch="360" w:charSpace="0"/>
        </w:sectPr>
      </w:pPr>
      <w:r>
        <w:rPr>
          <w:rFonts w:hint="eastAsia" w:ascii="宋体" w:hAnsi="宋体" w:cs="宋体"/>
          <w:kern w:val="0"/>
          <w:szCs w:val="21"/>
          <w:highlight w:val="none"/>
          <w:lang w:bidi="en-US"/>
        </w:rPr>
        <w:t>本合同正本一式两份，副本八份，合同双方各执正本一份，副本四份。由双方法定代表人或其授权的代理人签署与加盖公章后生效，全部工程竣工验收后失效。</w:t>
      </w:r>
    </w:p>
    <w:p w14:paraId="77849FA2">
      <w:pPr>
        <w:spacing w:line="360" w:lineRule="auto"/>
        <w:ind w:firstLine="420" w:firstLineChars="200"/>
        <w:jc w:val="left"/>
        <w:rPr>
          <w:rFonts w:hint="eastAsia" w:ascii="宋体" w:hAnsi="宋体" w:cs="宋体"/>
          <w:kern w:val="0"/>
          <w:szCs w:val="21"/>
          <w:highlight w:val="none"/>
          <w:lang w:bidi="en-US"/>
        </w:rPr>
      </w:pPr>
    </w:p>
    <w:p w14:paraId="606ED751">
      <w:pPr>
        <w:spacing w:line="360" w:lineRule="auto"/>
        <w:ind w:firstLine="420" w:firstLineChars="200"/>
        <w:jc w:val="left"/>
        <w:rPr>
          <w:rFonts w:hint="eastAsia" w:ascii="宋体" w:hAnsi="宋体" w:cs="宋体"/>
          <w:kern w:val="0"/>
          <w:szCs w:val="21"/>
          <w:highlight w:val="none"/>
          <w:lang w:bidi="en-US"/>
        </w:rPr>
        <w:sectPr>
          <w:type w:val="continuous"/>
          <w:pgSz w:w="11900" w:h="16840"/>
          <w:pgMar w:top="1440" w:right="1800" w:bottom="1440" w:left="1800" w:header="731" w:footer="567" w:gutter="0"/>
          <w:pgNumType w:fmt="decimal"/>
          <w:cols w:space="720" w:num="1"/>
          <w:docGrid w:linePitch="360" w:charSpace="0"/>
        </w:sectPr>
      </w:pPr>
    </w:p>
    <w:p w14:paraId="0D0CFCE4">
      <w:pPr>
        <w:spacing w:line="360" w:lineRule="auto"/>
        <w:jc w:val="left"/>
        <w:rPr>
          <w:rFonts w:hint="eastAsia" w:ascii="宋体" w:hAnsi="宋体" w:cs="宋体"/>
          <w:kern w:val="0"/>
          <w:szCs w:val="21"/>
          <w:highlight w:val="none"/>
          <w:lang w:bidi="en-US"/>
        </w:rPr>
      </w:pPr>
      <w:r>
        <w:rPr>
          <w:rFonts w:hint="eastAsia" w:ascii="宋体" w:hAnsi="宋体" w:cs="宋体"/>
          <w:kern w:val="0"/>
          <w:szCs w:val="21"/>
          <w:highlight w:val="none"/>
          <w:lang w:bidi="en-US"/>
        </w:rPr>
        <w:t>甲方：</w:t>
      </w:r>
      <w:r>
        <w:rPr>
          <w:rFonts w:hint="eastAsia" w:ascii="宋体" w:hAnsi="宋体" w:cs="宋体"/>
          <w:kern w:val="0"/>
          <w:szCs w:val="21"/>
          <w:highlight w:val="none"/>
          <w:u w:val="single"/>
          <w:lang w:bidi="en-US"/>
        </w:rPr>
        <w:t>（盖单位章）</w:t>
      </w:r>
    </w:p>
    <w:p w14:paraId="32E6E754">
      <w:pPr>
        <w:spacing w:line="360" w:lineRule="auto"/>
        <w:jc w:val="left"/>
        <w:rPr>
          <w:rFonts w:hint="eastAsia" w:ascii="宋体" w:hAnsi="宋体" w:cs="宋体"/>
          <w:kern w:val="0"/>
          <w:szCs w:val="21"/>
          <w:highlight w:val="none"/>
          <w:lang w:bidi="en-US"/>
        </w:rPr>
      </w:pPr>
      <w:bookmarkStart w:id="66" w:name="_Toc11710"/>
      <w:r>
        <w:rPr>
          <w:rFonts w:hint="eastAsia" w:ascii="宋体" w:hAnsi="宋体" w:cs="宋体"/>
          <w:kern w:val="0"/>
          <w:szCs w:val="21"/>
          <w:highlight w:val="none"/>
          <w:lang w:bidi="en-US"/>
        </w:rPr>
        <w:t>法定代表人或其委托代理人：</w:t>
      </w:r>
      <w:r>
        <w:rPr>
          <w:rFonts w:hint="eastAsia" w:ascii="宋体" w:hAnsi="宋体" w:cs="宋体"/>
          <w:kern w:val="0"/>
          <w:szCs w:val="21"/>
          <w:highlight w:val="none"/>
          <w:u w:val="single"/>
          <w:lang w:bidi="en-US"/>
        </w:rPr>
        <w:t>（签字）</w:t>
      </w:r>
      <w:bookmarkEnd w:id="66"/>
    </w:p>
    <w:p w14:paraId="43A4079B">
      <w:pPr>
        <w:spacing w:line="360" w:lineRule="auto"/>
        <w:ind w:firstLine="2310" w:firstLineChars="1100"/>
        <w:jc w:val="left"/>
        <w:rPr>
          <w:rFonts w:hint="eastAsia" w:ascii="宋体" w:hAnsi="宋体" w:cs="宋体"/>
          <w:kern w:val="0"/>
          <w:szCs w:val="21"/>
          <w:highlight w:val="none"/>
          <w:lang w:bidi="en-US"/>
        </w:rPr>
      </w:pPr>
      <w:r>
        <w:rPr>
          <w:rFonts w:hint="eastAsia" w:ascii="宋体" w:hAnsi="宋体" w:cs="宋体"/>
          <w:kern w:val="0"/>
          <w:szCs w:val="21"/>
          <w:highlight w:val="none"/>
          <w:lang w:bidi="en-US"/>
        </w:rPr>
        <w:t>年</w:t>
      </w:r>
      <w:r>
        <w:rPr>
          <w:rFonts w:hint="eastAsia" w:ascii="宋体" w:hAnsi="宋体" w:cs="宋体"/>
          <w:kern w:val="0"/>
          <w:szCs w:val="21"/>
          <w:highlight w:val="none"/>
          <w:u w:val="single"/>
          <w:lang w:bidi="en-US"/>
        </w:rPr>
        <w:t xml:space="preserve">   </w:t>
      </w:r>
      <w:r>
        <w:rPr>
          <w:rFonts w:hint="eastAsia" w:ascii="宋体" w:hAnsi="宋体" w:cs="宋体"/>
          <w:kern w:val="0"/>
          <w:szCs w:val="21"/>
          <w:highlight w:val="none"/>
          <w:lang w:bidi="en-US"/>
        </w:rPr>
        <w:t>月</w:t>
      </w:r>
      <w:r>
        <w:rPr>
          <w:rFonts w:hint="eastAsia" w:ascii="宋体" w:hAnsi="宋体" w:cs="宋体"/>
          <w:kern w:val="0"/>
          <w:szCs w:val="21"/>
          <w:highlight w:val="none"/>
          <w:u w:val="single"/>
          <w:lang w:bidi="en-US"/>
        </w:rPr>
        <w:t xml:space="preserve">    </w:t>
      </w:r>
      <w:r>
        <w:rPr>
          <w:rFonts w:hint="eastAsia" w:ascii="宋体" w:hAnsi="宋体" w:cs="宋体"/>
          <w:kern w:val="0"/>
          <w:szCs w:val="21"/>
          <w:highlight w:val="none"/>
          <w:lang w:bidi="en-US"/>
        </w:rPr>
        <w:t>日</w:t>
      </w:r>
    </w:p>
    <w:p w14:paraId="3A6C7105">
      <w:pPr>
        <w:spacing w:after="156" w:afterLines="50"/>
        <w:jc w:val="left"/>
        <w:rPr>
          <w:rFonts w:hint="eastAsia" w:ascii="宋体" w:hAnsi="宋体" w:cs="宋体"/>
          <w:kern w:val="0"/>
          <w:szCs w:val="21"/>
          <w:highlight w:val="none"/>
          <w:lang w:bidi="en-US"/>
        </w:rPr>
      </w:pPr>
    </w:p>
    <w:p w14:paraId="19804E2F">
      <w:pPr>
        <w:spacing w:after="156" w:afterLines="50"/>
        <w:jc w:val="left"/>
        <w:rPr>
          <w:rFonts w:hint="eastAsia" w:ascii="宋体" w:hAnsi="宋体" w:cs="宋体"/>
          <w:kern w:val="0"/>
          <w:szCs w:val="21"/>
          <w:highlight w:val="none"/>
          <w:lang w:bidi="en-US"/>
        </w:rPr>
      </w:pPr>
    </w:p>
    <w:p w14:paraId="64FAFF13">
      <w:pPr>
        <w:spacing w:after="156" w:afterLines="50"/>
        <w:jc w:val="left"/>
        <w:rPr>
          <w:rFonts w:hint="eastAsia" w:ascii="宋体" w:hAnsi="宋体" w:cs="宋体"/>
          <w:kern w:val="0"/>
          <w:szCs w:val="21"/>
          <w:highlight w:val="none"/>
          <w:u w:val="single"/>
          <w:lang w:bidi="en-US"/>
        </w:rPr>
      </w:pPr>
      <w:r>
        <w:rPr>
          <w:rFonts w:hint="eastAsia" w:ascii="宋体" w:hAnsi="宋体" w:cs="宋体"/>
          <w:kern w:val="0"/>
          <w:szCs w:val="21"/>
          <w:highlight w:val="none"/>
          <w:lang w:bidi="en-US"/>
        </w:rPr>
        <w:t>乙方：</w:t>
      </w:r>
      <w:r>
        <w:rPr>
          <w:rFonts w:hint="eastAsia" w:ascii="宋体" w:hAnsi="宋体" w:cs="宋体"/>
          <w:kern w:val="0"/>
          <w:szCs w:val="21"/>
          <w:highlight w:val="none"/>
          <w:u w:val="single"/>
          <w:lang w:bidi="en-US"/>
        </w:rPr>
        <w:t>（盖单位章）</w:t>
      </w:r>
    </w:p>
    <w:p w14:paraId="26D6346B">
      <w:pPr>
        <w:spacing w:line="360" w:lineRule="auto"/>
        <w:jc w:val="left"/>
        <w:rPr>
          <w:rFonts w:hint="eastAsia" w:ascii="宋体" w:hAnsi="宋体" w:cs="宋体"/>
          <w:kern w:val="0"/>
          <w:szCs w:val="21"/>
          <w:highlight w:val="none"/>
          <w:u w:val="single"/>
          <w:lang w:bidi="en-US"/>
        </w:rPr>
      </w:pPr>
      <w:r>
        <w:rPr>
          <w:rFonts w:hint="eastAsia" w:ascii="宋体" w:hAnsi="宋体" w:cs="宋体"/>
          <w:kern w:val="0"/>
          <w:szCs w:val="21"/>
          <w:highlight w:val="none"/>
          <w:lang w:bidi="en-US"/>
        </w:rPr>
        <w:t>法定代表人或其委托代理人：</w:t>
      </w:r>
      <w:r>
        <w:rPr>
          <w:rFonts w:hint="eastAsia" w:ascii="宋体" w:hAnsi="宋体" w:cs="宋体"/>
          <w:kern w:val="0"/>
          <w:szCs w:val="21"/>
          <w:highlight w:val="none"/>
          <w:u w:val="single"/>
          <w:lang w:bidi="en-US"/>
        </w:rPr>
        <w:t>（签字）</w:t>
      </w:r>
    </w:p>
    <w:p w14:paraId="610DB6B7">
      <w:pPr>
        <w:spacing w:line="360" w:lineRule="auto"/>
        <w:rPr>
          <w:rFonts w:hint="eastAsia" w:ascii="宋体" w:hAnsi="宋体"/>
          <w:sz w:val="24"/>
          <w:highlight w:val="none"/>
        </w:rPr>
      </w:pPr>
      <w:r>
        <w:rPr>
          <w:rFonts w:hint="eastAsia" w:ascii="宋体" w:hAnsi="宋体" w:cs="宋体"/>
          <w:kern w:val="0"/>
          <w:szCs w:val="21"/>
          <w:highlight w:val="none"/>
          <w:lang w:bidi="en-US"/>
        </w:rPr>
        <w:t>年</w:t>
      </w:r>
      <w:r>
        <w:rPr>
          <w:rFonts w:hint="eastAsia" w:ascii="宋体" w:hAnsi="宋体" w:cs="宋体"/>
          <w:kern w:val="0"/>
          <w:szCs w:val="21"/>
          <w:highlight w:val="none"/>
          <w:u w:val="single"/>
          <w:lang w:bidi="en-US"/>
        </w:rPr>
        <w:t xml:space="preserve">     </w:t>
      </w:r>
      <w:r>
        <w:rPr>
          <w:rFonts w:hint="eastAsia" w:ascii="宋体" w:hAnsi="宋体" w:cs="宋体"/>
          <w:kern w:val="0"/>
          <w:szCs w:val="21"/>
          <w:highlight w:val="none"/>
          <w:lang w:bidi="en-US"/>
        </w:rPr>
        <w:t>月</w:t>
      </w:r>
      <w:r>
        <w:rPr>
          <w:rFonts w:hint="eastAsia" w:ascii="宋体" w:hAnsi="宋体" w:cs="宋体"/>
          <w:kern w:val="0"/>
          <w:szCs w:val="21"/>
          <w:highlight w:val="none"/>
          <w:u w:val="single"/>
          <w:lang w:bidi="en-US"/>
        </w:rPr>
        <w:t xml:space="preserve">     </w:t>
      </w:r>
      <w:r>
        <w:rPr>
          <w:rFonts w:hint="eastAsia" w:ascii="宋体" w:hAnsi="宋体" w:cs="宋体"/>
          <w:kern w:val="0"/>
          <w:szCs w:val="21"/>
          <w:highlight w:val="none"/>
          <w:lang w:bidi="en-US"/>
        </w:rPr>
        <w:t>日</w:t>
      </w:r>
    </w:p>
    <w:p w14:paraId="3562A864">
      <w:pPr>
        <w:spacing w:line="360" w:lineRule="auto"/>
        <w:rPr>
          <w:rFonts w:ascii="宋体" w:hAnsi="宋体" w:eastAsia="宋体"/>
          <w:color w:val="auto"/>
          <w:sz w:val="24"/>
          <w:highlight w:val="none"/>
        </w:rPr>
      </w:pPr>
    </w:p>
    <w:p w14:paraId="28859D18">
      <w:pPr>
        <w:autoSpaceDE w:val="0"/>
        <w:autoSpaceDN w:val="0"/>
        <w:adjustRightInd w:val="0"/>
        <w:spacing w:line="360" w:lineRule="auto"/>
        <w:ind w:right="210" w:rightChars="100"/>
        <w:jc w:val="right"/>
        <w:rPr>
          <w:rFonts w:hint="eastAsia" w:ascii="宋体" w:hAnsi="宋体" w:cs="宋体"/>
          <w:color w:val="auto"/>
          <w:sz w:val="24"/>
          <w:highlight w:val="none"/>
        </w:rPr>
      </w:pPr>
    </w:p>
    <w:p w14:paraId="2F35A160">
      <w:pPr>
        <w:pStyle w:val="23"/>
        <w:rPr>
          <w:rFonts w:hint="eastAsia" w:ascii="宋体" w:hAnsi="宋体" w:cs="宋体"/>
          <w:color w:val="auto"/>
          <w:sz w:val="24"/>
          <w:highlight w:val="none"/>
        </w:rPr>
      </w:pPr>
    </w:p>
    <w:p w14:paraId="76D9A520">
      <w:pPr>
        <w:spacing w:line="360" w:lineRule="auto"/>
        <w:rPr>
          <w:rFonts w:ascii="宋体" w:hAnsi="宋体" w:cs="宋体"/>
          <w:color w:val="auto"/>
          <w:sz w:val="24"/>
          <w:highlight w:val="none"/>
        </w:rPr>
      </w:pPr>
      <w:r>
        <w:rPr>
          <w:rFonts w:hint="eastAsia" w:ascii="宋体" w:hAnsi="宋体"/>
          <w:b/>
          <w:color w:val="auto"/>
          <w:sz w:val="36"/>
          <w:szCs w:val="36"/>
          <w:highlight w:val="none"/>
        </w:rPr>
        <w:br w:type="page"/>
      </w:r>
    </w:p>
    <w:p w14:paraId="5736274E">
      <w:pPr>
        <w:pStyle w:val="34"/>
        <w:spacing w:before="120"/>
        <w:jc w:val="center"/>
        <w:rPr>
          <w:rFonts w:asciiTheme="minorEastAsia" w:hAnsiTheme="minorEastAsia" w:eastAsiaTheme="minorEastAsia"/>
          <w:b/>
          <w:color w:val="auto"/>
          <w:sz w:val="36"/>
          <w:szCs w:val="36"/>
          <w:highlight w:val="none"/>
        </w:rPr>
      </w:pPr>
      <w:r>
        <w:rPr>
          <w:rFonts w:hint="eastAsia" w:asciiTheme="minorEastAsia" w:hAnsiTheme="minorEastAsia" w:eastAsiaTheme="minorEastAsia"/>
          <w:b/>
          <w:color w:val="auto"/>
          <w:sz w:val="36"/>
          <w:szCs w:val="36"/>
          <w:highlight w:val="none"/>
        </w:rPr>
        <w:t>第六章 投标文件格式</w:t>
      </w:r>
      <w:bookmarkEnd w:id="42"/>
    </w:p>
    <w:p w14:paraId="4524B166">
      <w:pPr>
        <w:jc w:val="center"/>
        <w:outlineLvl w:val="0"/>
        <w:rPr>
          <w:rFonts w:hint="eastAsia" w:ascii="宋体" w:hAnsi="宋体"/>
          <w:color w:val="000000" w:themeColor="text1"/>
          <w:w w:val="90"/>
          <w:sz w:val="36"/>
          <w:szCs w:val="36"/>
          <w:highlight w:val="none"/>
          <w:lang w:eastAsia="zh-CN"/>
          <w14:textFill>
            <w14:solidFill>
              <w14:schemeClr w14:val="tx1"/>
            </w14:solidFill>
          </w14:textFill>
        </w:rPr>
      </w:pPr>
      <w:r>
        <w:rPr>
          <w:rFonts w:hint="eastAsia" w:ascii="宋体" w:hAnsi="宋体"/>
          <w:color w:val="000000" w:themeColor="text1"/>
          <w:w w:val="90"/>
          <w:sz w:val="36"/>
          <w:szCs w:val="36"/>
          <w:highlight w:val="none"/>
          <w:lang w:eastAsia="zh-CN"/>
          <w14:textFill>
            <w14:solidFill>
              <w14:schemeClr w14:val="tx1"/>
            </w14:solidFill>
          </w14:textFill>
        </w:rPr>
        <w:t>台州市椒江区前所街道椒北南渠（大树岙村段）综合整治工程</w:t>
      </w:r>
    </w:p>
    <w:p w14:paraId="4DFE1EC9">
      <w:pPr>
        <w:pStyle w:val="6"/>
        <w:rPr>
          <w:rFonts w:hint="eastAsia" w:ascii="宋体" w:hAnsi="宋体"/>
          <w:color w:val="000000" w:themeColor="text1"/>
          <w:sz w:val="36"/>
          <w:szCs w:val="36"/>
          <w:highlight w:val="none"/>
          <w14:textFill>
            <w14:solidFill>
              <w14:schemeClr w14:val="tx1"/>
            </w14:solidFill>
          </w14:textFill>
        </w:rPr>
      </w:pPr>
      <w:r>
        <w:rPr>
          <w:rFonts w:hint="eastAsia" w:ascii="宋体" w:hAnsi="宋体"/>
          <w:color w:val="000000" w:themeColor="text1"/>
          <w:sz w:val="36"/>
          <w:szCs w:val="36"/>
          <w:highlight w:val="none"/>
          <w14:textFill>
            <w14:solidFill>
              <w14:schemeClr w14:val="tx1"/>
            </w14:solidFill>
          </w14:textFill>
        </w:rPr>
        <w:t>项目编号：</w:t>
      </w:r>
      <w:r>
        <w:rPr>
          <w:rFonts w:hint="eastAsia" w:ascii="宋体" w:hAnsi="宋体"/>
          <w:color w:val="000000" w:themeColor="text1"/>
          <w:sz w:val="36"/>
          <w:szCs w:val="36"/>
          <w:highlight w:val="none"/>
          <w:lang w:val="en-US" w:eastAsia="zh-CN"/>
          <w14:textFill>
            <w14:solidFill>
              <w14:schemeClr w14:val="tx1"/>
            </w14:solidFill>
          </w14:textFill>
        </w:rPr>
        <w:t>椒财采确临[2025]308号</w:t>
      </w:r>
    </w:p>
    <w:p w14:paraId="4877F510">
      <w:pPr>
        <w:pStyle w:val="6"/>
        <w:rPr>
          <w:color w:val="auto"/>
          <w:highlight w:val="none"/>
        </w:rPr>
      </w:pPr>
    </w:p>
    <w:p w14:paraId="7EE2100D">
      <w:pPr>
        <w:jc w:val="center"/>
        <w:rPr>
          <w:color w:val="auto"/>
          <w:sz w:val="84"/>
          <w:szCs w:val="84"/>
          <w:highlight w:val="none"/>
          <w:lang w:val="zh-CN"/>
        </w:rPr>
      </w:pPr>
      <w:r>
        <w:rPr>
          <w:rFonts w:hint="eastAsia"/>
          <w:color w:val="auto"/>
          <w:sz w:val="84"/>
          <w:szCs w:val="84"/>
          <w:highlight w:val="none"/>
          <w:lang w:val="zh-CN"/>
        </w:rPr>
        <w:t>磋</w:t>
      </w:r>
    </w:p>
    <w:p w14:paraId="21900A20">
      <w:pPr>
        <w:jc w:val="center"/>
        <w:rPr>
          <w:color w:val="auto"/>
          <w:sz w:val="84"/>
          <w:szCs w:val="84"/>
          <w:highlight w:val="none"/>
          <w:lang w:val="zh-CN"/>
        </w:rPr>
      </w:pPr>
      <w:r>
        <w:rPr>
          <w:rFonts w:hint="eastAsia"/>
          <w:color w:val="auto"/>
          <w:sz w:val="84"/>
          <w:szCs w:val="84"/>
          <w:highlight w:val="none"/>
          <w:lang w:val="zh-CN"/>
        </w:rPr>
        <w:t>商</w:t>
      </w:r>
    </w:p>
    <w:p w14:paraId="31853ED3">
      <w:pPr>
        <w:jc w:val="center"/>
        <w:rPr>
          <w:color w:val="auto"/>
          <w:sz w:val="84"/>
          <w:szCs w:val="84"/>
          <w:highlight w:val="none"/>
          <w:lang w:val="zh-CN"/>
        </w:rPr>
      </w:pPr>
      <w:r>
        <w:rPr>
          <w:rFonts w:hint="eastAsia"/>
          <w:color w:val="auto"/>
          <w:sz w:val="84"/>
          <w:szCs w:val="84"/>
          <w:highlight w:val="none"/>
          <w:lang w:val="zh-CN"/>
        </w:rPr>
        <w:t>响</w:t>
      </w:r>
    </w:p>
    <w:p w14:paraId="142CA856">
      <w:pPr>
        <w:jc w:val="center"/>
        <w:rPr>
          <w:color w:val="auto"/>
          <w:sz w:val="84"/>
          <w:szCs w:val="84"/>
          <w:highlight w:val="none"/>
          <w:lang w:val="zh-CN"/>
        </w:rPr>
      </w:pPr>
      <w:r>
        <w:rPr>
          <w:rFonts w:hint="eastAsia"/>
          <w:color w:val="auto"/>
          <w:sz w:val="84"/>
          <w:szCs w:val="84"/>
          <w:highlight w:val="none"/>
          <w:lang w:val="zh-CN"/>
        </w:rPr>
        <w:t>应</w:t>
      </w:r>
    </w:p>
    <w:p w14:paraId="70B18888">
      <w:pPr>
        <w:jc w:val="center"/>
        <w:rPr>
          <w:color w:val="auto"/>
          <w:sz w:val="84"/>
          <w:szCs w:val="84"/>
          <w:highlight w:val="none"/>
        </w:rPr>
      </w:pPr>
      <w:r>
        <w:rPr>
          <w:rFonts w:hint="eastAsia"/>
          <w:color w:val="auto"/>
          <w:sz w:val="84"/>
          <w:szCs w:val="84"/>
          <w:highlight w:val="none"/>
          <w:lang w:val="zh-CN"/>
        </w:rPr>
        <w:t>文</w:t>
      </w:r>
    </w:p>
    <w:p w14:paraId="7F4D1B63">
      <w:pPr>
        <w:jc w:val="center"/>
        <w:rPr>
          <w:color w:val="auto"/>
          <w:sz w:val="84"/>
          <w:szCs w:val="84"/>
          <w:highlight w:val="none"/>
          <w:lang w:val="zh-CN"/>
        </w:rPr>
      </w:pPr>
      <w:r>
        <w:rPr>
          <w:rFonts w:hint="eastAsia"/>
          <w:color w:val="auto"/>
          <w:sz w:val="84"/>
          <w:szCs w:val="84"/>
          <w:highlight w:val="none"/>
          <w:lang w:val="zh-CN"/>
        </w:rPr>
        <w:t>件</w:t>
      </w:r>
    </w:p>
    <w:p w14:paraId="75A752F5">
      <w:pPr>
        <w:pStyle w:val="6"/>
        <w:rPr>
          <w:rFonts w:ascii="宋体" w:hAnsi="宋体" w:cs="宋体"/>
          <w:color w:val="auto"/>
          <w:sz w:val="28"/>
          <w:szCs w:val="28"/>
          <w:highlight w:val="none"/>
        </w:rPr>
      </w:pPr>
    </w:p>
    <w:p w14:paraId="493B9177">
      <w:pPr>
        <w:pStyle w:val="6"/>
        <w:rPr>
          <w:rFonts w:ascii="宋体" w:hAnsi="宋体" w:cs="宋体"/>
          <w:color w:val="auto"/>
          <w:sz w:val="28"/>
          <w:szCs w:val="28"/>
          <w:highlight w:val="none"/>
        </w:rPr>
      </w:pPr>
    </w:p>
    <w:p w14:paraId="6D90F284">
      <w:pPr>
        <w:spacing w:line="360" w:lineRule="auto"/>
        <w:ind w:right="532" w:firstLine="640" w:firstLineChars="200"/>
        <w:rPr>
          <w:rFonts w:ascii="宋体" w:hAnsi="宋体"/>
          <w:color w:val="auto"/>
          <w:sz w:val="32"/>
          <w:szCs w:val="32"/>
          <w:highlight w:val="none"/>
        </w:rPr>
      </w:pPr>
      <w:r>
        <w:rPr>
          <w:rFonts w:hint="eastAsia" w:ascii="宋体" w:hAnsi="宋体"/>
          <w:color w:val="auto"/>
          <w:sz w:val="32"/>
          <w:szCs w:val="32"/>
          <w:highlight w:val="none"/>
        </w:rPr>
        <w:t>供应商全称（电子印章）：</w:t>
      </w:r>
    </w:p>
    <w:p w14:paraId="6AC0FE7F">
      <w:pPr>
        <w:spacing w:line="360" w:lineRule="auto"/>
        <w:ind w:right="532" w:firstLine="640" w:firstLineChars="200"/>
        <w:rPr>
          <w:rFonts w:ascii="宋体" w:hAnsi="宋体"/>
          <w:color w:val="auto"/>
          <w:sz w:val="32"/>
          <w:szCs w:val="32"/>
          <w:highlight w:val="none"/>
        </w:rPr>
      </w:pPr>
      <w:r>
        <w:rPr>
          <w:rFonts w:hint="eastAsia" w:ascii="宋体" w:hAnsi="宋体"/>
          <w:color w:val="auto"/>
          <w:sz w:val="32"/>
          <w:szCs w:val="32"/>
          <w:highlight w:val="none"/>
        </w:rPr>
        <w:t>地    址：</w:t>
      </w:r>
    </w:p>
    <w:p w14:paraId="5F3D944C">
      <w:pPr>
        <w:spacing w:line="360" w:lineRule="auto"/>
        <w:ind w:right="532" w:firstLine="640" w:firstLineChars="200"/>
        <w:rPr>
          <w:rFonts w:ascii="宋体" w:hAnsi="宋体"/>
          <w:color w:val="auto"/>
          <w:sz w:val="32"/>
          <w:szCs w:val="32"/>
          <w:highlight w:val="none"/>
        </w:rPr>
      </w:pPr>
      <w:r>
        <w:rPr>
          <w:rFonts w:hint="eastAsia" w:ascii="宋体" w:hAnsi="宋体"/>
          <w:color w:val="auto"/>
          <w:sz w:val="32"/>
          <w:szCs w:val="32"/>
          <w:highlight w:val="none"/>
        </w:rPr>
        <w:t>时    间：</w:t>
      </w:r>
    </w:p>
    <w:p w14:paraId="4DB5B52B">
      <w:pPr>
        <w:rPr>
          <w:rFonts w:hint="eastAsia"/>
          <w:b/>
          <w:bCs/>
          <w:color w:val="000000" w:themeColor="text1"/>
          <w:sz w:val="36"/>
          <w:szCs w:val="36"/>
          <w:highlight w:val="none"/>
          <w14:textFill>
            <w14:solidFill>
              <w14:schemeClr w14:val="tx1"/>
            </w14:solidFill>
          </w14:textFill>
        </w:rPr>
      </w:pPr>
      <w:r>
        <w:rPr>
          <w:rFonts w:hint="eastAsia"/>
          <w:b/>
          <w:bCs/>
          <w:color w:val="000000" w:themeColor="text1"/>
          <w:sz w:val="36"/>
          <w:szCs w:val="36"/>
          <w:highlight w:val="none"/>
          <w14:textFill>
            <w14:solidFill>
              <w14:schemeClr w14:val="tx1"/>
            </w14:solidFill>
          </w14:textFill>
        </w:rPr>
        <w:br w:type="page"/>
      </w:r>
    </w:p>
    <w:p w14:paraId="68975702">
      <w:pPr>
        <w:spacing w:line="360" w:lineRule="auto"/>
        <w:jc w:val="center"/>
        <w:rPr>
          <w:b/>
          <w:bCs/>
          <w:color w:val="000000" w:themeColor="text1"/>
          <w:sz w:val="36"/>
          <w:szCs w:val="36"/>
          <w:highlight w:val="none"/>
          <w14:textFill>
            <w14:solidFill>
              <w14:schemeClr w14:val="tx1"/>
            </w14:solidFill>
          </w14:textFill>
        </w:rPr>
      </w:pPr>
      <w:r>
        <w:rPr>
          <w:rFonts w:hint="eastAsia"/>
          <w:b/>
          <w:bCs/>
          <w:color w:val="000000" w:themeColor="text1"/>
          <w:sz w:val="36"/>
          <w:szCs w:val="36"/>
          <w:highlight w:val="none"/>
          <w14:textFill>
            <w14:solidFill>
              <w14:schemeClr w14:val="tx1"/>
            </w14:solidFill>
          </w14:textFill>
        </w:rPr>
        <w:t>资格证明文件目录</w:t>
      </w:r>
    </w:p>
    <w:p w14:paraId="1CEC8C5E">
      <w:pPr>
        <w:pStyle w:val="19"/>
        <w:ind w:left="0" w:leftChars="0" w:firstLine="470"/>
        <w:rPr>
          <w:rStyle w:val="29"/>
          <w:b w:val="0"/>
          <w:color w:val="auto"/>
          <w:highlight w:val="none"/>
          <w:u w:val="none"/>
        </w:rPr>
      </w:pPr>
      <w:r>
        <w:rPr>
          <w:rStyle w:val="29"/>
          <w:rFonts w:hint="eastAsia"/>
          <w:b w:val="0"/>
          <w:color w:val="auto"/>
          <w:highlight w:val="none"/>
          <w:u w:val="none"/>
        </w:rPr>
        <w:t>（1）磋商声明书（附件1）；</w:t>
      </w:r>
    </w:p>
    <w:p w14:paraId="4DB8A007">
      <w:pPr>
        <w:snapToGrid w:val="0"/>
        <w:spacing w:line="360" w:lineRule="auto"/>
        <w:ind w:firstLine="480" w:firstLineChars="200"/>
        <w:rPr>
          <w:rFonts w:hint="eastAsia" w:ascii="宋体" w:hAnsi="宋体"/>
          <w:bCs/>
          <w:color w:val="auto"/>
          <w:sz w:val="24"/>
          <w:highlight w:val="none"/>
          <w:lang w:val="en-US" w:eastAsia="zh-CN"/>
        </w:rPr>
      </w:pPr>
      <w:r>
        <w:rPr>
          <w:rFonts w:hint="eastAsia" w:ascii="宋体" w:hAnsi="宋体"/>
          <w:bCs/>
          <w:color w:val="auto"/>
          <w:sz w:val="24"/>
          <w:highlight w:val="none"/>
          <w:lang w:val="en-US" w:eastAsia="zh-CN"/>
        </w:rPr>
        <w:t>（2）授权委托书（法定代表人亲自办理投标事宜的，则无需提交；附件2）；</w:t>
      </w:r>
    </w:p>
    <w:p w14:paraId="72514FFA">
      <w:pPr>
        <w:snapToGrid w:val="0"/>
        <w:spacing w:line="360" w:lineRule="auto"/>
        <w:ind w:firstLine="480" w:firstLineChars="200"/>
        <w:rPr>
          <w:rFonts w:hint="eastAsia" w:ascii="宋体" w:hAnsi="宋体"/>
          <w:bCs/>
          <w:color w:val="auto"/>
          <w:sz w:val="24"/>
          <w:highlight w:val="none"/>
          <w:lang w:val="en-US" w:eastAsia="zh-CN"/>
        </w:rPr>
      </w:pPr>
      <w:r>
        <w:rPr>
          <w:rFonts w:hint="eastAsia" w:ascii="宋体" w:hAnsi="宋体"/>
          <w:bCs/>
          <w:color w:val="auto"/>
          <w:sz w:val="24"/>
          <w:highlight w:val="none"/>
          <w:lang w:val="en-US" w:eastAsia="zh-CN"/>
        </w:rPr>
        <w:t>（3）法人或者其他组织的营业执照等证明文件，自然人的身份证明；</w:t>
      </w:r>
    </w:p>
    <w:p w14:paraId="461A263D">
      <w:pPr>
        <w:snapToGrid w:val="0"/>
        <w:spacing w:line="360" w:lineRule="auto"/>
        <w:ind w:firstLine="480" w:firstLineChars="200"/>
        <w:rPr>
          <w:rFonts w:hint="eastAsia" w:ascii="宋体" w:hAnsi="宋体"/>
          <w:bCs/>
          <w:color w:val="auto"/>
          <w:sz w:val="24"/>
          <w:highlight w:val="none"/>
          <w:lang w:val="en-US" w:eastAsia="zh-CN"/>
        </w:rPr>
      </w:pPr>
      <w:r>
        <w:rPr>
          <w:rFonts w:hint="eastAsia" w:ascii="宋体" w:hAnsi="宋体"/>
          <w:bCs/>
          <w:color w:val="auto"/>
          <w:sz w:val="24"/>
          <w:highlight w:val="none"/>
          <w:lang w:val="en-US" w:eastAsia="zh-CN"/>
        </w:rPr>
        <w:t>（4）具有依法缴纳税收和社会保障资金证明的承诺函（附件3）；</w:t>
      </w:r>
    </w:p>
    <w:p w14:paraId="1D222ED3">
      <w:pPr>
        <w:snapToGrid w:val="0"/>
        <w:spacing w:line="360" w:lineRule="auto"/>
        <w:ind w:firstLine="480" w:firstLineChars="200"/>
        <w:rPr>
          <w:rFonts w:hint="eastAsia" w:ascii="宋体" w:hAnsi="宋体"/>
          <w:bCs/>
          <w:color w:val="auto"/>
          <w:sz w:val="24"/>
          <w:highlight w:val="none"/>
          <w:lang w:val="en-US" w:eastAsia="zh-CN"/>
        </w:rPr>
      </w:pPr>
      <w:r>
        <w:rPr>
          <w:rFonts w:hint="eastAsia" w:ascii="宋体" w:hAnsi="宋体"/>
          <w:bCs/>
          <w:color w:val="auto"/>
          <w:sz w:val="24"/>
          <w:highlight w:val="none"/>
          <w:lang w:val="en-US" w:eastAsia="zh-CN"/>
        </w:rPr>
        <w:t>（5）具有良好的商业信誉和健全的财务会计制度的承诺函（附件4）；</w:t>
      </w:r>
    </w:p>
    <w:p w14:paraId="614CC757">
      <w:pPr>
        <w:snapToGrid w:val="0"/>
        <w:spacing w:line="360" w:lineRule="auto"/>
        <w:ind w:firstLine="480" w:firstLineChars="200"/>
        <w:rPr>
          <w:rFonts w:hint="eastAsia" w:ascii="宋体" w:hAnsi="宋体"/>
          <w:bCs/>
          <w:color w:val="auto"/>
          <w:sz w:val="24"/>
          <w:highlight w:val="none"/>
          <w:lang w:val="en-US" w:eastAsia="zh-CN"/>
        </w:rPr>
      </w:pPr>
      <w:r>
        <w:rPr>
          <w:rFonts w:hint="eastAsia" w:ascii="宋体" w:hAnsi="宋体"/>
          <w:bCs/>
          <w:color w:val="auto"/>
          <w:sz w:val="24"/>
          <w:highlight w:val="none"/>
          <w:lang w:val="en-US" w:eastAsia="zh-CN"/>
        </w:rPr>
        <w:t>（6）</w:t>
      </w:r>
      <w:r>
        <w:rPr>
          <w:rFonts w:hint="eastAsia" w:ascii="宋体" w:hAnsi="宋体"/>
          <w:kern w:val="0"/>
          <w:sz w:val="24"/>
          <w:highlight w:val="none"/>
        </w:rPr>
        <w:t>投标人没有失信记录承诺函</w:t>
      </w:r>
      <w:r>
        <w:rPr>
          <w:rFonts w:hint="eastAsia" w:ascii="宋体" w:hAnsi="宋体"/>
          <w:bCs/>
          <w:color w:val="auto"/>
          <w:sz w:val="24"/>
          <w:highlight w:val="none"/>
          <w:lang w:val="en-US" w:eastAsia="zh-CN"/>
        </w:rPr>
        <w:t>（附件5）；</w:t>
      </w:r>
    </w:p>
    <w:p w14:paraId="27B10EF4">
      <w:pPr>
        <w:snapToGrid w:val="0"/>
        <w:spacing w:line="360" w:lineRule="auto"/>
        <w:ind w:firstLine="480" w:firstLineChars="200"/>
        <w:rPr>
          <w:rFonts w:hint="eastAsia" w:ascii="宋体" w:hAnsi="宋体"/>
          <w:bCs/>
          <w:color w:val="auto"/>
          <w:sz w:val="24"/>
          <w:highlight w:val="none"/>
          <w:lang w:val="en-US" w:eastAsia="zh-CN"/>
        </w:rPr>
      </w:pPr>
      <w:r>
        <w:rPr>
          <w:rFonts w:hint="eastAsia" w:ascii="宋体" w:hAnsi="宋体"/>
          <w:bCs/>
          <w:color w:val="auto"/>
          <w:sz w:val="24"/>
          <w:highlight w:val="none"/>
          <w:lang w:val="en-US" w:eastAsia="zh-CN"/>
        </w:rPr>
        <w:t>（7）</w:t>
      </w:r>
      <w:r>
        <w:rPr>
          <w:rFonts w:hint="eastAsia" w:ascii="宋体" w:hAnsi="宋体"/>
          <w:kern w:val="0"/>
          <w:sz w:val="24"/>
          <w:highlight w:val="none"/>
        </w:rPr>
        <w:t>提供采购公告中符合供应商特定资格条件的有效资质证书（供应商特定条件中有要求的必须提供）</w:t>
      </w:r>
    </w:p>
    <w:p w14:paraId="6AF4EF18">
      <w:pPr>
        <w:snapToGrid w:val="0"/>
        <w:spacing w:line="360" w:lineRule="auto"/>
        <w:ind w:firstLine="480" w:firstLineChars="200"/>
        <w:rPr>
          <w:rFonts w:hint="eastAsia" w:ascii="宋体" w:hAnsi="宋体"/>
          <w:bCs/>
          <w:color w:val="auto"/>
          <w:sz w:val="24"/>
          <w:highlight w:val="none"/>
          <w:lang w:val="en-US" w:eastAsia="zh-CN"/>
        </w:rPr>
      </w:pPr>
      <w:r>
        <w:rPr>
          <w:rFonts w:hint="eastAsia" w:ascii="宋体" w:hAnsi="宋体"/>
          <w:bCs/>
          <w:color w:val="auto"/>
          <w:sz w:val="24"/>
          <w:highlight w:val="none"/>
          <w:lang w:val="en-US" w:eastAsia="zh-CN"/>
        </w:rPr>
        <w:t>（8）</w:t>
      </w:r>
      <w:r>
        <w:rPr>
          <w:rFonts w:hint="eastAsia" w:ascii="宋体" w:hAnsi="宋体" w:cs="宋体"/>
          <w:color w:val="auto"/>
          <w:kern w:val="0"/>
          <w:sz w:val="24"/>
          <w:highlight w:val="none"/>
        </w:rPr>
        <w:t>中小企业等声明函或</w:t>
      </w:r>
      <w:r>
        <w:rPr>
          <w:rFonts w:hint="eastAsia" w:ascii="宋体" w:hAnsi="宋体" w:cs="宋体"/>
          <w:color w:val="auto"/>
          <w:kern w:val="0"/>
          <w:sz w:val="24"/>
          <w:highlight w:val="none"/>
          <w:lang w:val="en-GB"/>
        </w:rPr>
        <w:t>残疾人福利性单位声明函</w:t>
      </w:r>
      <w:r>
        <w:rPr>
          <w:rFonts w:hint="eastAsia" w:ascii="宋体" w:hAnsi="宋体" w:cs="宋体"/>
          <w:color w:val="auto"/>
          <w:kern w:val="0"/>
          <w:sz w:val="24"/>
          <w:highlight w:val="none"/>
        </w:rPr>
        <w:t>（</w:t>
      </w:r>
      <w:r>
        <w:rPr>
          <w:rFonts w:hint="eastAsia" w:ascii="宋体" w:hAnsi="宋体"/>
          <w:color w:val="auto"/>
          <w:kern w:val="0"/>
          <w:sz w:val="24"/>
          <w:highlight w:val="none"/>
        </w:rPr>
        <w:t>附件</w:t>
      </w:r>
      <w:r>
        <w:rPr>
          <w:rFonts w:hint="eastAsia" w:ascii="宋体" w:hAnsi="宋体"/>
          <w:color w:val="auto"/>
          <w:kern w:val="0"/>
          <w:sz w:val="24"/>
          <w:highlight w:val="none"/>
          <w:lang w:val="en-US" w:eastAsia="zh-CN"/>
        </w:rPr>
        <w:t>11</w:t>
      </w:r>
      <w:r>
        <w:rPr>
          <w:rFonts w:hint="eastAsia" w:ascii="宋体" w:hAnsi="宋体" w:eastAsia="宋体" w:cs="宋体"/>
          <w:color w:val="auto"/>
          <w:kern w:val="0"/>
          <w:sz w:val="24"/>
          <w:highlight w:val="none"/>
        </w:rPr>
        <w:t>）</w:t>
      </w:r>
    </w:p>
    <w:p w14:paraId="330C8E37">
      <w:pPr>
        <w:snapToGrid w:val="0"/>
        <w:spacing w:line="360" w:lineRule="auto"/>
        <w:ind w:firstLine="480" w:firstLineChars="200"/>
        <w:rPr>
          <w:rFonts w:hint="default" w:eastAsia="宋体"/>
          <w:color w:val="auto"/>
          <w:highlight w:val="none"/>
          <w:lang w:val="en-US" w:eastAsia="zh-CN"/>
        </w:rPr>
      </w:pPr>
      <w:r>
        <w:rPr>
          <w:rFonts w:hint="eastAsia" w:ascii="宋体" w:hAnsi="宋体"/>
          <w:bCs/>
          <w:color w:val="auto"/>
          <w:sz w:val="24"/>
          <w:highlight w:val="none"/>
          <w:lang w:val="en-US" w:eastAsia="zh-CN"/>
        </w:rPr>
        <w:t>（9）需要说明的其他资料（如有）。</w:t>
      </w:r>
    </w:p>
    <w:p w14:paraId="474408A8">
      <w:pPr>
        <w:spacing w:line="360" w:lineRule="auto"/>
        <w:ind w:left="420"/>
        <w:rPr>
          <w:rFonts w:ascii="宋体" w:hAnsi="宋体"/>
          <w:b/>
          <w:color w:val="auto"/>
          <w:sz w:val="28"/>
          <w:highlight w:val="none"/>
        </w:rPr>
      </w:pPr>
    </w:p>
    <w:p w14:paraId="3E235A32">
      <w:pPr>
        <w:pStyle w:val="35"/>
        <w:rPr>
          <w:rFonts w:ascii="宋体" w:hAnsi="宋体"/>
          <w:b/>
          <w:color w:val="auto"/>
          <w:sz w:val="28"/>
          <w:highlight w:val="none"/>
        </w:rPr>
      </w:pPr>
    </w:p>
    <w:p w14:paraId="04A67DDC">
      <w:pPr>
        <w:pStyle w:val="35"/>
        <w:rPr>
          <w:rFonts w:ascii="宋体" w:hAnsi="宋体"/>
          <w:b/>
          <w:color w:val="auto"/>
          <w:sz w:val="28"/>
          <w:highlight w:val="none"/>
        </w:rPr>
      </w:pPr>
    </w:p>
    <w:p w14:paraId="2AF342DB">
      <w:pPr>
        <w:spacing w:line="360" w:lineRule="auto"/>
        <w:ind w:left="420"/>
        <w:rPr>
          <w:rFonts w:ascii="宋体" w:hAnsi="宋体"/>
          <w:b/>
          <w:color w:val="auto"/>
          <w:sz w:val="28"/>
          <w:highlight w:val="none"/>
        </w:rPr>
      </w:pPr>
    </w:p>
    <w:p w14:paraId="467A1E26">
      <w:pPr>
        <w:spacing w:line="360" w:lineRule="auto"/>
        <w:ind w:left="420"/>
        <w:rPr>
          <w:rFonts w:ascii="宋体" w:hAnsi="宋体"/>
          <w:b/>
          <w:color w:val="auto"/>
          <w:sz w:val="28"/>
          <w:highlight w:val="none"/>
        </w:rPr>
      </w:pPr>
    </w:p>
    <w:p w14:paraId="57181B25">
      <w:pPr>
        <w:spacing w:line="360" w:lineRule="auto"/>
        <w:ind w:left="420"/>
        <w:rPr>
          <w:rFonts w:ascii="宋体" w:hAnsi="宋体"/>
          <w:b/>
          <w:color w:val="auto"/>
          <w:sz w:val="28"/>
          <w:highlight w:val="none"/>
        </w:rPr>
      </w:pPr>
    </w:p>
    <w:p w14:paraId="24F65530">
      <w:pPr>
        <w:pStyle w:val="6"/>
        <w:ind w:left="0" w:leftChars="0" w:firstLine="0" w:firstLineChars="0"/>
        <w:rPr>
          <w:rFonts w:ascii="宋体" w:hAnsi="宋体"/>
          <w:b/>
          <w:color w:val="auto"/>
          <w:sz w:val="28"/>
          <w:highlight w:val="none"/>
        </w:rPr>
      </w:pPr>
    </w:p>
    <w:p w14:paraId="50057F8C">
      <w:pPr>
        <w:pStyle w:val="6"/>
        <w:rPr>
          <w:rFonts w:ascii="宋体" w:hAnsi="宋体"/>
          <w:b/>
          <w:color w:val="auto"/>
          <w:sz w:val="28"/>
          <w:highlight w:val="none"/>
        </w:rPr>
      </w:pPr>
    </w:p>
    <w:p w14:paraId="7EF87157">
      <w:pPr>
        <w:rPr>
          <w:rFonts w:hint="eastAsia" w:ascii="宋体" w:hAnsi="宋体"/>
          <w:b/>
          <w:color w:val="auto"/>
          <w:sz w:val="28"/>
          <w:highlight w:val="none"/>
        </w:rPr>
      </w:pPr>
      <w:r>
        <w:rPr>
          <w:rFonts w:hint="eastAsia" w:ascii="宋体" w:hAnsi="宋体"/>
          <w:b/>
          <w:color w:val="auto"/>
          <w:sz w:val="28"/>
          <w:highlight w:val="none"/>
        </w:rPr>
        <w:br w:type="page"/>
      </w:r>
    </w:p>
    <w:p w14:paraId="17A1798D">
      <w:pPr>
        <w:spacing w:line="312" w:lineRule="auto"/>
        <w:rPr>
          <w:rFonts w:ascii="宋体" w:hAnsi="宋体"/>
          <w:b/>
          <w:color w:val="auto"/>
          <w:sz w:val="28"/>
          <w:highlight w:val="none"/>
        </w:rPr>
      </w:pPr>
      <w:r>
        <w:rPr>
          <w:rFonts w:hint="eastAsia" w:ascii="宋体" w:hAnsi="宋体"/>
          <w:b/>
          <w:color w:val="auto"/>
          <w:sz w:val="28"/>
          <w:highlight w:val="none"/>
        </w:rPr>
        <w:t>附件1</w:t>
      </w:r>
    </w:p>
    <w:p w14:paraId="45852093">
      <w:pPr>
        <w:adjustRightInd w:val="0"/>
        <w:snapToGrid w:val="0"/>
        <w:spacing w:line="312" w:lineRule="auto"/>
        <w:ind w:right="480"/>
        <w:jc w:val="center"/>
        <w:rPr>
          <w:rFonts w:ascii="宋体" w:hAnsi="宋体"/>
          <w:b/>
          <w:color w:val="auto"/>
          <w:kern w:val="0"/>
          <w:sz w:val="32"/>
          <w:szCs w:val="32"/>
          <w:highlight w:val="none"/>
          <w:lang w:val="zh-CN"/>
        </w:rPr>
      </w:pPr>
      <w:bookmarkStart w:id="67" w:name="_Toc30723_WPSOffice_Level1"/>
      <w:bookmarkStart w:id="68" w:name="_Toc31708_WPSOffice_Level1"/>
      <w:r>
        <w:rPr>
          <w:rFonts w:hint="eastAsia" w:ascii="宋体" w:hAnsi="宋体"/>
          <w:b/>
          <w:color w:val="auto"/>
          <w:kern w:val="0"/>
          <w:sz w:val="32"/>
          <w:szCs w:val="32"/>
          <w:highlight w:val="none"/>
        </w:rPr>
        <w:t>磋商</w:t>
      </w:r>
      <w:r>
        <w:rPr>
          <w:rFonts w:hint="eastAsia" w:ascii="宋体" w:hAnsi="宋体"/>
          <w:b/>
          <w:color w:val="auto"/>
          <w:kern w:val="0"/>
          <w:sz w:val="32"/>
          <w:szCs w:val="32"/>
          <w:highlight w:val="none"/>
          <w:lang w:val="zh-CN"/>
        </w:rPr>
        <w:t>声明书</w:t>
      </w:r>
      <w:bookmarkEnd w:id="67"/>
      <w:bookmarkEnd w:id="68"/>
    </w:p>
    <w:p w14:paraId="15C9E8D1">
      <w:pPr>
        <w:snapToGrid w:val="0"/>
        <w:spacing w:beforeLines="50" w:after="50" w:line="312" w:lineRule="auto"/>
        <w:rPr>
          <w:rFonts w:ascii="宋体" w:hAnsi="宋体" w:cs="宋体"/>
          <w:color w:val="auto"/>
          <w:kern w:val="0"/>
          <w:sz w:val="24"/>
          <w:highlight w:val="none"/>
        </w:rPr>
      </w:pPr>
      <w:r>
        <w:rPr>
          <w:rFonts w:hint="eastAsia" w:ascii="宋体" w:hAnsi="宋体"/>
          <w:color w:val="auto"/>
          <w:kern w:val="0"/>
          <w:sz w:val="24"/>
          <w:highlight w:val="none"/>
          <w:u w:val="single"/>
          <w:lang w:eastAsia="zh-CN"/>
        </w:rPr>
        <w:t>台州市椒江区人民政府前所街道办事处</w:t>
      </w:r>
      <w:r>
        <w:rPr>
          <w:rFonts w:hint="eastAsia" w:ascii="宋体" w:hAnsi="宋体" w:cs="宋体"/>
          <w:color w:val="auto"/>
          <w:kern w:val="0"/>
          <w:sz w:val="24"/>
          <w:highlight w:val="none"/>
        </w:rPr>
        <w:t>：</w:t>
      </w:r>
    </w:p>
    <w:p w14:paraId="100BB015">
      <w:pPr>
        <w:snapToGrid w:val="0"/>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（供应商名称）系中华人民共和国合法企业，经营地址。</w:t>
      </w:r>
    </w:p>
    <w:p w14:paraId="1B003225">
      <w:pPr>
        <w:snapToGrid w:val="0"/>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我（</w:t>
      </w:r>
      <w:r>
        <w:rPr>
          <w:rFonts w:hint="eastAsia" w:ascii="宋体" w:hAnsi="宋体" w:cs="宋体"/>
          <w:color w:val="auto"/>
          <w:kern w:val="0"/>
          <w:sz w:val="24"/>
          <w:highlight w:val="none"/>
          <w:u w:val="single"/>
        </w:rPr>
        <w:t xml:space="preserve"> 姓名 </w:t>
      </w:r>
      <w:r>
        <w:rPr>
          <w:rFonts w:hint="eastAsia" w:ascii="宋体" w:hAnsi="宋体" w:cs="宋体"/>
          <w:color w:val="auto"/>
          <w:kern w:val="0"/>
          <w:sz w:val="24"/>
          <w:highlight w:val="none"/>
        </w:rPr>
        <w:t>）系（</w:t>
      </w:r>
      <w:r>
        <w:rPr>
          <w:rFonts w:hint="eastAsia" w:ascii="宋体" w:hAnsi="宋体" w:cs="宋体"/>
          <w:color w:val="auto"/>
          <w:kern w:val="0"/>
          <w:sz w:val="24"/>
          <w:highlight w:val="none"/>
          <w:u w:val="single"/>
        </w:rPr>
        <w:t xml:space="preserve"> 供应商名称 </w:t>
      </w:r>
      <w:r>
        <w:rPr>
          <w:rFonts w:hint="eastAsia" w:ascii="宋体" w:hAnsi="宋体" w:cs="宋体"/>
          <w:color w:val="auto"/>
          <w:kern w:val="0"/>
          <w:sz w:val="24"/>
          <w:highlight w:val="none"/>
        </w:rPr>
        <w:t>）的法定代表人，我公司自愿参加贵方组织的（</w:t>
      </w:r>
      <w:r>
        <w:rPr>
          <w:rFonts w:hint="eastAsia" w:ascii="宋体" w:hAnsi="宋体" w:cs="宋体"/>
          <w:color w:val="auto"/>
          <w:kern w:val="0"/>
          <w:sz w:val="24"/>
          <w:highlight w:val="none"/>
          <w:u w:val="single"/>
        </w:rPr>
        <w:t>招标项目名称</w:t>
      </w:r>
      <w:r>
        <w:rPr>
          <w:rFonts w:hint="eastAsia" w:ascii="宋体" w:hAnsi="宋体" w:cs="宋体"/>
          <w:color w:val="auto"/>
          <w:kern w:val="0"/>
          <w:sz w:val="24"/>
          <w:highlight w:val="none"/>
        </w:rPr>
        <w:t>）（编号为）的投标，为此，我公司就本次投标有关事项郑重声明如下：</w:t>
      </w:r>
    </w:p>
    <w:p w14:paraId="55A92EF7">
      <w:pPr>
        <w:numPr>
          <w:ilvl w:val="0"/>
          <w:numId w:val="9"/>
        </w:numPr>
        <w:snapToGrid w:val="0"/>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我公司声明截止投标时间近三年以来：未被列入失信被执行人、重大税收违法案件当事人名单、政府采购严重违法失信行为记录名单，以及不存在其他不符合《中华人民共和国政府采购法》第二十二条规定的条件。【说明：供应商在截止投标时间近三年以来，如有上述所列情形，但限制期届满的，可按实陈述，并提供相应证明文件。】</w:t>
      </w:r>
    </w:p>
    <w:p w14:paraId="3526801B">
      <w:pPr>
        <w:numPr>
          <w:ilvl w:val="0"/>
          <w:numId w:val="9"/>
        </w:numPr>
        <w:snapToGrid w:val="0"/>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我公司在参与投标前已详细审查了采购文件和所有相关资料，我方完全知悉并认为此采购文件没有倾向性，也没有存在排斥潜在供应商的内容，我方对采购文件的所有内容没有任何异议，不申请澄清和质疑。</w:t>
      </w:r>
    </w:p>
    <w:p w14:paraId="17647108">
      <w:pPr>
        <w:numPr>
          <w:ilvl w:val="0"/>
          <w:numId w:val="9"/>
        </w:numPr>
        <w:snapToGrid w:val="0"/>
        <w:spacing w:line="360" w:lineRule="auto"/>
        <w:ind w:firstLine="480" w:firstLineChars="200"/>
        <w:rPr>
          <w:rFonts w:ascii="宋体" w:hAnsi="宋体"/>
          <w:color w:val="auto"/>
          <w:sz w:val="24"/>
          <w:highlight w:val="none"/>
        </w:rPr>
      </w:pPr>
      <w:r>
        <w:rPr>
          <w:rFonts w:hint="eastAsia" w:ascii="宋体" w:hAnsi="宋体" w:cs="宋体"/>
          <w:color w:val="auto"/>
          <w:kern w:val="0"/>
          <w:sz w:val="24"/>
          <w:highlight w:val="none"/>
        </w:rPr>
        <w:t>我</w:t>
      </w:r>
      <w:r>
        <w:rPr>
          <w:rFonts w:hint="eastAsia" w:ascii="宋体" w:hAnsi="宋体" w:cs="宋体"/>
          <w:color w:val="auto"/>
          <w:kern w:val="0"/>
          <w:sz w:val="24"/>
          <w:highlight w:val="none"/>
          <w:lang w:val="zh-CN"/>
        </w:rPr>
        <w:t>公司</w:t>
      </w:r>
      <w:r>
        <w:rPr>
          <w:rFonts w:hint="eastAsia" w:ascii="宋体" w:hAnsi="宋体" w:cs="宋体"/>
          <w:color w:val="auto"/>
          <w:kern w:val="0"/>
          <w:sz w:val="24"/>
          <w:highlight w:val="none"/>
        </w:rPr>
        <w:t>不是采购人的附属机构；</w:t>
      </w:r>
      <w:r>
        <w:rPr>
          <w:rFonts w:hint="eastAsia" w:ascii="宋体" w:hAnsi="宋体"/>
          <w:color w:val="auto"/>
          <w:sz w:val="24"/>
          <w:highlight w:val="none"/>
        </w:rPr>
        <w:t>在获知本项目采购信息后，与采购人聘请的为此项目提供咨询服务的公司及其附属机构没有任何联系。</w:t>
      </w:r>
    </w:p>
    <w:p w14:paraId="5AC84EA0">
      <w:pPr>
        <w:snapToGrid w:val="0"/>
        <w:spacing w:line="360" w:lineRule="auto"/>
        <w:ind w:firstLine="480" w:firstLineChars="200"/>
        <w:rPr>
          <w:rFonts w:ascii="宋体" w:hAnsi="宋体"/>
          <w:color w:val="auto"/>
          <w:kern w:val="0"/>
          <w:sz w:val="24"/>
          <w:highlight w:val="none"/>
          <w:lang w:val="af-ZA"/>
        </w:rPr>
      </w:pPr>
      <w:r>
        <w:rPr>
          <w:rFonts w:hint="eastAsia" w:ascii="宋体" w:hAnsi="宋体"/>
          <w:color w:val="auto"/>
          <w:sz w:val="24"/>
          <w:highlight w:val="none"/>
        </w:rPr>
        <w:t>4、</w:t>
      </w:r>
      <w:r>
        <w:rPr>
          <w:rFonts w:hint="eastAsia" w:ascii="宋体" w:hAnsi="宋体" w:cs="宋体"/>
          <w:color w:val="auto"/>
          <w:kern w:val="0"/>
          <w:sz w:val="24"/>
          <w:highlight w:val="none"/>
        </w:rPr>
        <w:t>我</w:t>
      </w:r>
      <w:r>
        <w:rPr>
          <w:rFonts w:hint="eastAsia" w:ascii="宋体" w:hAnsi="宋体" w:cs="仿宋_GB2312"/>
          <w:color w:val="auto"/>
          <w:kern w:val="0"/>
          <w:sz w:val="24"/>
          <w:highlight w:val="none"/>
          <w:lang w:val="zh-CN"/>
        </w:rPr>
        <w:t>公司</w:t>
      </w:r>
      <w:r>
        <w:rPr>
          <w:rFonts w:hint="eastAsia" w:ascii="宋体" w:hAnsi="宋体" w:cs="宋体"/>
          <w:color w:val="auto"/>
          <w:kern w:val="0"/>
          <w:sz w:val="24"/>
          <w:highlight w:val="none"/>
        </w:rPr>
        <w:t>保证，</w:t>
      </w:r>
      <w:r>
        <w:rPr>
          <w:rFonts w:hint="eastAsia" w:ascii="宋体" w:hAnsi="宋体"/>
          <w:color w:val="auto"/>
          <w:kern w:val="0"/>
          <w:sz w:val="24"/>
          <w:highlight w:val="none"/>
          <w:lang w:val="af-ZA"/>
        </w:rPr>
        <w:t>采购人在中华人民共和国境内使用</w:t>
      </w:r>
      <w:r>
        <w:rPr>
          <w:rFonts w:hint="eastAsia" w:ascii="宋体" w:hAnsi="宋体" w:cs="宋体"/>
          <w:color w:val="auto"/>
          <w:kern w:val="0"/>
          <w:sz w:val="24"/>
          <w:highlight w:val="none"/>
        </w:rPr>
        <w:t>我</w:t>
      </w:r>
      <w:r>
        <w:rPr>
          <w:rFonts w:hint="eastAsia" w:ascii="宋体" w:hAnsi="宋体" w:cs="仿宋_GB2312"/>
          <w:color w:val="auto"/>
          <w:kern w:val="0"/>
          <w:sz w:val="24"/>
          <w:highlight w:val="none"/>
          <w:lang w:val="zh-CN"/>
        </w:rPr>
        <w:t>公司</w:t>
      </w:r>
      <w:r>
        <w:rPr>
          <w:rFonts w:hint="eastAsia" w:ascii="宋体" w:hAnsi="宋体"/>
          <w:color w:val="auto"/>
          <w:kern w:val="0"/>
          <w:sz w:val="24"/>
          <w:highlight w:val="none"/>
          <w:lang w:val="af-ZA"/>
        </w:rPr>
        <w:t>投标货物、资料、技术、服务或其任何一部分时，享有不受限制的无偿使用权，如有第三方向采购人提出侵犯其专利权、商标权或其它知识产权的主张，该责任由</w:t>
      </w:r>
      <w:r>
        <w:rPr>
          <w:rFonts w:hint="eastAsia" w:ascii="宋体" w:hAnsi="宋体" w:cs="宋体"/>
          <w:color w:val="auto"/>
          <w:kern w:val="0"/>
          <w:sz w:val="24"/>
          <w:highlight w:val="none"/>
          <w:lang w:val="af-ZA"/>
        </w:rPr>
        <w:t>我方</w:t>
      </w:r>
      <w:r>
        <w:rPr>
          <w:rFonts w:hint="eastAsia" w:ascii="宋体" w:hAnsi="宋体"/>
          <w:color w:val="auto"/>
          <w:kern w:val="0"/>
          <w:sz w:val="24"/>
          <w:highlight w:val="none"/>
          <w:lang w:val="af-ZA"/>
        </w:rPr>
        <w:t>承担。</w:t>
      </w:r>
      <w:r>
        <w:rPr>
          <w:rFonts w:hint="eastAsia" w:ascii="宋体" w:hAnsi="宋体" w:cs="宋体"/>
          <w:color w:val="auto"/>
          <w:kern w:val="0"/>
          <w:sz w:val="24"/>
          <w:highlight w:val="none"/>
          <w:lang w:val="af-ZA"/>
        </w:rPr>
        <w:t>我方的</w:t>
      </w:r>
      <w:r>
        <w:rPr>
          <w:rFonts w:hint="eastAsia" w:ascii="宋体" w:hAnsi="宋体"/>
          <w:color w:val="auto"/>
          <w:kern w:val="0"/>
          <w:sz w:val="24"/>
          <w:highlight w:val="none"/>
          <w:lang w:val="af-ZA"/>
        </w:rPr>
        <w:t>投标报价</w:t>
      </w:r>
      <w:r>
        <w:rPr>
          <w:rFonts w:hint="eastAsia" w:ascii="宋体" w:hAnsi="宋体" w:cs="宋体"/>
          <w:color w:val="auto"/>
          <w:kern w:val="0"/>
          <w:sz w:val="24"/>
          <w:highlight w:val="none"/>
          <w:lang w:val="af-ZA"/>
        </w:rPr>
        <w:t>已</w:t>
      </w:r>
      <w:r>
        <w:rPr>
          <w:rFonts w:hint="eastAsia" w:ascii="宋体" w:hAnsi="宋体"/>
          <w:color w:val="auto"/>
          <w:kern w:val="0"/>
          <w:sz w:val="24"/>
          <w:highlight w:val="none"/>
          <w:lang w:val="af-ZA"/>
        </w:rPr>
        <w:t>包含所有应向所有权人支付的专利权、商标权或其它知识产权的一切相关费用。</w:t>
      </w:r>
    </w:p>
    <w:p w14:paraId="35B0436C">
      <w:pPr>
        <w:snapToGrid w:val="0"/>
        <w:spacing w:line="360" w:lineRule="auto"/>
        <w:ind w:firstLine="480" w:firstLineChars="200"/>
        <w:rPr>
          <w:rFonts w:ascii="仿宋_GB2312" w:hAnsi="仿宋_GB2312" w:eastAsia="仿宋_GB2312" w:cs="仿宋_GB2312"/>
          <w:color w:val="auto"/>
          <w:sz w:val="24"/>
          <w:highlight w:val="none"/>
        </w:rPr>
      </w:pPr>
      <w:r>
        <w:rPr>
          <w:rFonts w:hint="eastAsia" w:ascii="宋体" w:hAnsi="宋体" w:cs="宋体"/>
          <w:color w:val="auto"/>
          <w:kern w:val="0"/>
          <w:sz w:val="24"/>
          <w:highlight w:val="none"/>
          <w:lang w:val="af-ZA"/>
        </w:rPr>
        <w:t>5、我</w:t>
      </w:r>
      <w:r>
        <w:rPr>
          <w:rFonts w:hint="eastAsia" w:ascii="宋体" w:hAnsi="宋体" w:cs="宋体"/>
          <w:color w:val="auto"/>
          <w:kern w:val="0"/>
          <w:sz w:val="24"/>
          <w:highlight w:val="none"/>
          <w:lang w:val="zh-CN"/>
        </w:rPr>
        <w:t>公司</w:t>
      </w:r>
      <w:r>
        <w:rPr>
          <w:rFonts w:hint="eastAsia" w:ascii="宋体" w:hAnsi="宋体" w:cs="宋体"/>
          <w:color w:val="auto"/>
          <w:kern w:val="0"/>
          <w:sz w:val="24"/>
          <w:highlight w:val="none"/>
          <w:lang w:val="af-ZA"/>
        </w:rPr>
        <w:t>严格履行政府采购合同，不降低合同约定的产品质量和服务，不擅自变更、中止、终止合同，或拒绝履行合同义务；</w:t>
      </w:r>
    </w:p>
    <w:p w14:paraId="32DBC61C">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6、以上事项如有虚假或隐瞒，我</w:t>
      </w:r>
      <w:r>
        <w:rPr>
          <w:rFonts w:hint="eastAsia" w:ascii="宋体" w:hAnsi="宋体" w:cs="仿宋_GB2312"/>
          <w:color w:val="auto"/>
          <w:kern w:val="0"/>
          <w:sz w:val="24"/>
          <w:highlight w:val="none"/>
          <w:lang w:val="zh-CN"/>
        </w:rPr>
        <w:t>公司</w:t>
      </w:r>
      <w:r>
        <w:rPr>
          <w:rFonts w:hint="eastAsia" w:ascii="宋体" w:hAnsi="宋体"/>
          <w:color w:val="auto"/>
          <w:sz w:val="24"/>
          <w:highlight w:val="none"/>
        </w:rPr>
        <w:t>愿意承担一切后果，并不再寻求任何旨在减轻或免除法律责任的辩解。</w:t>
      </w:r>
    </w:p>
    <w:p w14:paraId="11CA2A11">
      <w:pPr>
        <w:adjustRightInd w:val="0"/>
        <w:snapToGrid w:val="0"/>
        <w:spacing w:line="360" w:lineRule="auto"/>
        <w:ind w:firstLine="200"/>
        <w:rPr>
          <w:rFonts w:ascii="宋体" w:hAnsi="宋体" w:cs="仿宋_GB2312"/>
          <w:color w:val="auto"/>
          <w:kern w:val="0"/>
          <w:sz w:val="24"/>
          <w:highlight w:val="none"/>
        </w:rPr>
      </w:pPr>
    </w:p>
    <w:p w14:paraId="4629B10F">
      <w:pPr>
        <w:adjustRightInd w:val="0"/>
        <w:snapToGrid w:val="0"/>
        <w:spacing w:line="360" w:lineRule="auto"/>
        <w:ind w:firstLine="4680" w:firstLineChars="1950"/>
        <w:rPr>
          <w:rFonts w:ascii="宋体" w:hAnsi="宋体" w:cs="仿宋_GB2312"/>
          <w:color w:val="auto"/>
          <w:kern w:val="0"/>
          <w:sz w:val="24"/>
          <w:highlight w:val="none"/>
          <w:lang w:val="zh-CN"/>
        </w:rPr>
      </w:pPr>
      <w:r>
        <w:rPr>
          <w:rFonts w:hint="eastAsia" w:ascii="宋体" w:hAnsi="宋体" w:cs="仿宋_GB2312"/>
          <w:color w:val="auto"/>
          <w:kern w:val="0"/>
          <w:sz w:val="24"/>
          <w:highlight w:val="none"/>
          <w:lang w:val="zh-CN"/>
        </w:rPr>
        <w:t xml:space="preserve"> </w:t>
      </w:r>
      <w:r>
        <w:rPr>
          <w:rFonts w:hint="eastAsia" w:ascii="宋体"/>
          <w:color w:val="auto"/>
          <w:sz w:val="24"/>
          <w:highlight w:val="none"/>
        </w:rPr>
        <w:t>供应商全称（电子印章）</w:t>
      </w:r>
      <w:r>
        <w:rPr>
          <w:rFonts w:hint="eastAsia" w:ascii="宋体" w:hAnsi="宋体" w:cs="仿宋_GB2312"/>
          <w:color w:val="auto"/>
          <w:kern w:val="0"/>
          <w:sz w:val="24"/>
          <w:highlight w:val="none"/>
          <w:lang w:val="zh-CN"/>
        </w:rPr>
        <w:t>：</w:t>
      </w:r>
    </w:p>
    <w:p w14:paraId="323C088A">
      <w:pPr>
        <w:adjustRightInd w:val="0"/>
        <w:snapToGrid w:val="0"/>
        <w:spacing w:line="360" w:lineRule="auto"/>
        <w:ind w:left="5281" w:leftChars="114" w:hanging="5042" w:hangingChars="2101"/>
        <w:rPr>
          <w:rFonts w:ascii="宋体" w:hAnsi="宋体" w:cs="仿宋_GB2312"/>
          <w:color w:val="auto"/>
          <w:kern w:val="0"/>
          <w:sz w:val="24"/>
          <w:highlight w:val="none"/>
          <w:lang w:val="zh-CN"/>
        </w:rPr>
      </w:pPr>
      <w:r>
        <w:rPr>
          <w:rFonts w:hint="eastAsia" w:ascii="宋体" w:hAnsi="宋体" w:cs="仿宋_GB2312"/>
          <w:color w:val="auto"/>
          <w:kern w:val="0"/>
          <w:sz w:val="24"/>
          <w:highlight w:val="none"/>
          <w:lang w:val="zh-CN"/>
        </w:rPr>
        <w:t xml:space="preserve">                                     法定代表人或授权委托人签字</w:t>
      </w:r>
      <w:r>
        <w:rPr>
          <w:rFonts w:hint="eastAsia" w:ascii="宋体" w:hAnsi="宋体" w:cs="仿宋_GB2312"/>
          <w:color w:val="auto"/>
          <w:kern w:val="0"/>
          <w:sz w:val="24"/>
          <w:highlight w:val="none"/>
        </w:rPr>
        <w:t>或盖章</w:t>
      </w:r>
      <w:r>
        <w:rPr>
          <w:rFonts w:hint="eastAsia" w:ascii="宋体" w:hAnsi="宋体" w:cs="仿宋_GB2312"/>
          <w:color w:val="auto"/>
          <w:kern w:val="0"/>
          <w:sz w:val="24"/>
          <w:highlight w:val="none"/>
          <w:lang w:val="zh-CN"/>
        </w:rPr>
        <w:t>：                                       日期：</w:t>
      </w:r>
      <w:r>
        <w:rPr>
          <w:rFonts w:hint="eastAsia" w:ascii="宋体" w:hAnsi="宋体" w:cstheme="minorBidi"/>
          <w:color w:val="auto"/>
          <w:sz w:val="24"/>
          <w:highlight w:val="none"/>
        </w:rPr>
        <w:t>××</w:t>
      </w:r>
      <w:r>
        <w:rPr>
          <w:rFonts w:hint="eastAsia" w:ascii="宋体" w:hAnsi="宋体" w:cs="仿宋_GB2312"/>
          <w:color w:val="auto"/>
          <w:kern w:val="0"/>
          <w:sz w:val="24"/>
          <w:highlight w:val="none"/>
          <w:lang w:val="zh-CN"/>
        </w:rPr>
        <w:t xml:space="preserve">年 </w:t>
      </w:r>
      <w:r>
        <w:rPr>
          <w:rFonts w:hint="eastAsia" w:ascii="宋体" w:hAnsi="宋体" w:cstheme="minorBidi"/>
          <w:color w:val="auto"/>
          <w:sz w:val="24"/>
          <w:highlight w:val="none"/>
        </w:rPr>
        <w:t>××</w:t>
      </w:r>
      <w:r>
        <w:rPr>
          <w:rFonts w:hint="eastAsia" w:ascii="宋体" w:hAnsi="宋体" w:cs="仿宋_GB2312"/>
          <w:color w:val="auto"/>
          <w:kern w:val="0"/>
          <w:sz w:val="24"/>
          <w:highlight w:val="none"/>
          <w:lang w:val="zh-CN"/>
        </w:rPr>
        <w:t xml:space="preserve"> 月 </w:t>
      </w:r>
      <w:r>
        <w:rPr>
          <w:rFonts w:hint="eastAsia" w:ascii="宋体" w:hAnsi="宋体" w:cstheme="minorBidi"/>
          <w:color w:val="auto"/>
          <w:sz w:val="24"/>
          <w:highlight w:val="none"/>
        </w:rPr>
        <w:t>××</w:t>
      </w:r>
      <w:r>
        <w:rPr>
          <w:rFonts w:hint="eastAsia" w:ascii="宋体" w:hAnsi="宋体" w:cs="仿宋_GB2312"/>
          <w:color w:val="auto"/>
          <w:kern w:val="0"/>
          <w:sz w:val="24"/>
          <w:highlight w:val="none"/>
          <w:lang w:val="zh-CN"/>
        </w:rPr>
        <w:t xml:space="preserve"> 日</w:t>
      </w:r>
    </w:p>
    <w:p w14:paraId="58F5B247">
      <w:pPr>
        <w:adjustRightInd w:val="0"/>
        <w:snapToGrid w:val="0"/>
        <w:spacing w:line="360" w:lineRule="auto"/>
        <w:ind w:right="480"/>
        <w:rPr>
          <w:rFonts w:ascii="宋体" w:hAnsi="宋体"/>
          <w:b/>
          <w:color w:val="auto"/>
          <w:sz w:val="28"/>
          <w:highlight w:val="none"/>
        </w:rPr>
      </w:pPr>
    </w:p>
    <w:p w14:paraId="0C2CE993">
      <w:pPr>
        <w:pStyle w:val="6"/>
        <w:rPr>
          <w:rFonts w:ascii="宋体" w:hAnsi="宋体"/>
          <w:b/>
          <w:color w:val="auto"/>
          <w:sz w:val="28"/>
          <w:highlight w:val="none"/>
        </w:rPr>
      </w:pPr>
    </w:p>
    <w:p w14:paraId="5BA527A4">
      <w:pPr>
        <w:rPr>
          <w:rFonts w:hint="eastAsia" w:ascii="宋体" w:hAnsi="宋体"/>
          <w:b/>
          <w:color w:val="auto"/>
          <w:sz w:val="28"/>
          <w:highlight w:val="none"/>
        </w:rPr>
      </w:pPr>
      <w:r>
        <w:rPr>
          <w:rFonts w:hint="eastAsia" w:ascii="宋体" w:hAnsi="宋体"/>
          <w:b/>
          <w:color w:val="auto"/>
          <w:sz w:val="28"/>
          <w:highlight w:val="none"/>
        </w:rPr>
        <w:br w:type="page"/>
      </w:r>
    </w:p>
    <w:p w14:paraId="5591CA00">
      <w:pPr>
        <w:adjustRightInd w:val="0"/>
        <w:snapToGrid w:val="0"/>
        <w:spacing w:line="360" w:lineRule="auto"/>
        <w:ind w:right="480"/>
        <w:rPr>
          <w:rFonts w:ascii="宋体"/>
          <w:b/>
          <w:color w:val="auto"/>
          <w:sz w:val="30"/>
          <w:szCs w:val="30"/>
          <w:highlight w:val="none"/>
        </w:rPr>
      </w:pPr>
      <w:r>
        <w:rPr>
          <w:rFonts w:hint="eastAsia" w:ascii="宋体" w:hAnsi="宋体"/>
          <w:b/>
          <w:color w:val="auto"/>
          <w:sz w:val="28"/>
          <w:highlight w:val="none"/>
        </w:rPr>
        <w:t>附件2</w:t>
      </w:r>
    </w:p>
    <w:p w14:paraId="070C978A">
      <w:pPr>
        <w:spacing w:line="360" w:lineRule="auto"/>
        <w:ind w:firstLine="321" w:firstLineChars="100"/>
        <w:jc w:val="center"/>
        <w:rPr>
          <w:rFonts w:hAnsi="宋体"/>
          <w:b/>
          <w:color w:val="auto"/>
          <w:sz w:val="32"/>
          <w:szCs w:val="32"/>
          <w:highlight w:val="none"/>
          <w:u w:val="single"/>
        </w:rPr>
      </w:pPr>
      <w:bookmarkStart w:id="69" w:name="_Toc6870_WPSOffice_Level1"/>
      <w:bookmarkStart w:id="70" w:name="_Toc24373_WPSOffice_Level1"/>
      <w:bookmarkStart w:id="71" w:name="_Toc11308_WPSOffice_Level1"/>
      <w:bookmarkStart w:id="72" w:name="_Toc5889_WPSOffice_Level1"/>
      <w:r>
        <w:rPr>
          <w:b/>
          <w:color w:val="auto"/>
          <w:sz w:val="32"/>
          <w:szCs w:val="32"/>
          <w:highlight w:val="none"/>
        </w:rPr>
        <w:t>授权</w:t>
      </w:r>
      <w:r>
        <w:rPr>
          <w:rFonts w:hint="eastAsia"/>
          <w:b/>
          <w:color w:val="auto"/>
          <w:sz w:val="32"/>
          <w:szCs w:val="32"/>
          <w:highlight w:val="none"/>
        </w:rPr>
        <w:t>委托</w:t>
      </w:r>
      <w:r>
        <w:rPr>
          <w:b/>
          <w:color w:val="auto"/>
          <w:sz w:val="32"/>
          <w:szCs w:val="32"/>
          <w:highlight w:val="none"/>
        </w:rPr>
        <w:t>书</w:t>
      </w:r>
      <w:bookmarkEnd w:id="69"/>
      <w:bookmarkEnd w:id="70"/>
    </w:p>
    <w:p w14:paraId="088AD2BF">
      <w:pPr>
        <w:snapToGrid w:val="0"/>
        <w:spacing w:beforeLines="50" w:after="50" w:line="360" w:lineRule="auto"/>
        <w:rPr>
          <w:rFonts w:ascii="宋体" w:hAnsi="宋体" w:cs="宋体"/>
          <w:color w:val="auto"/>
          <w:kern w:val="0"/>
          <w:sz w:val="24"/>
          <w:highlight w:val="none"/>
        </w:rPr>
      </w:pPr>
      <w:r>
        <w:rPr>
          <w:rFonts w:hint="eastAsia" w:cs="宋体"/>
          <w:b w:val="0"/>
          <w:color w:val="auto"/>
          <w:sz w:val="24"/>
          <w:szCs w:val="24"/>
          <w:highlight w:val="none"/>
          <w:u w:val="single"/>
          <w:lang w:eastAsia="zh-CN"/>
        </w:rPr>
        <w:t>台州市椒江区人民政府前所街道办事处</w:t>
      </w:r>
      <w:r>
        <w:rPr>
          <w:rFonts w:hint="eastAsia" w:ascii="宋体" w:hAnsi="宋体" w:cs="宋体"/>
          <w:color w:val="auto"/>
          <w:kern w:val="0"/>
          <w:sz w:val="24"/>
          <w:highlight w:val="none"/>
        </w:rPr>
        <w:t>（采购代理机构名称）：</w:t>
      </w:r>
    </w:p>
    <w:p w14:paraId="7074A085">
      <w:pPr>
        <w:pStyle w:val="11"/>
        <w:spacing w:line="360" w:lineRule="auto"/>
        <w:ind w:firstLine="480" w:firstLineChars="200"/>
        <w:rPr>
          <w:rFonts w:hAnsi="宋体"/>
          <w:color w:val="auto"/>
          <w:sz w:val="24"/>
          <w:highlight w:val="none"/>
        </w:rPr>
      </w:pPr>
      <w:r>
        <w:rPr>
          <w:rFonts w:hAnsi="宋体"/>
          <w:color w:val="auto"/>
          <w:sz w:val="24"/>
          <w:highlight w:val="none"/>
          <w:u w:val="single"/>
        </w:rPr>
        <w:t xml:space="preserve">  （</w:t>
      </w:r>
      <w:r>
        <w:rPr>
          <w:rFonts w:hint="eastAsia" w:hAnsi="宋体"/>
          <w:color w:val="auto"/>
          <w:sz w:val="24"/>
          <w:highlight w:val="none"/>
          <w:u w:val="single"/>
        </w:rPr>
        <w:t>供应商</w:t>
      </w:r>
      <w:r>
        <w:rPr>
          <w:rFonts w:hAnsi="宋体"/>
          <w:color w:val="auto"/>
          <w:sz w:val="24"/>
          <w:highlight w:val="none"/>
          <w:u w:val="single"/>
        </w:rPr>
        <w:t xml:space="preserve">全称）  </w:t>
      </w:r>
      <w:r>
        <w:rPr>
          <w:rFonts w:hAnsi="宋体"/>
          <w:color w:val="auto"/>
          <w:sz w:val="24"/>
          <w:highlight w:val="none"/>
        </w:rPr>
        <w:t>法定代表人</w:t>
      </w:r>
      <w:r>
        <w:rPr>
          <w:rFonts w:hint="eastAsia" w:ascii="Arial" w:hAnsi="Arial" w:cs="Arial"/>
          <w:color w:val="auto"/>
          <w:sz w:val="24"/>
          <w:highlight w:val="none"/>
        </w:rPr>
        <w:t>（或营业执照中单位负责人）</w:t>
      </w:r>
      <w:r>
        <w:rPr>
          <w:rFonts w:hAnsi="宋体"/>
          <w:color w:val="auto"/>
          <w:sz w:val="24"/>
          <w:highlight w:val="none"/>
          <w:u w:val="single"/>
        </w:rPr>
        <w:tab/>
      </w:r>
      <w:r>
        <w:rPr>
          <w:rFonts w:hAnsi="宋体"/>
          <w:color w:val="auto"/>
          <w:sz w:val="24"/>
          <w:highlight w:val="none"/>
          <w:u w:val="single"/>
        </w:rPr>
        <w:t>（法定代表</w:t>
      </w:r>
      <w:r>
        <w:rPr>
          <w:rFonts w:hint="eastAsia" w:hAnsi="宋体"/>
          <w:color w:val="auto"/>
          <w:sz w:val="24"/>
          <w:highlight w:val="none"/>
          <w:u w:val="single"/>
        </w:rPr>
        <w:t>人</w:t>
      </w:r>
      <w:r>
        <w:rPr>
          <w:rFonts w:hint="eastAsia" w:ascii="Arial" w:hAnsi="Arial" w:cs="Arial"/>
          <w:color w:val="auto"/>
          <w:sz w:val="24"/>
          <w:highlight w:val="none"/>
          <w:u w:val="single"/>
        </w:rPr>
        <w:t>或营业执照中单位负责人</w:t>
      </w:r>
      <w:r>
        <w:rPr>
          <w:rFonts w:hAnsi="宋体"/>
          <w:color w:val="auto"/>
          <w:sz w:val="24"/>
          <w:highlight w:val="none"/>
          <w:u w:val="single"/>
        </w:rPr>
        <w:t xml:space="preserve">姓名） </w:t>
      </w:r>
      <w:r>
        <w:rPr>
          <w:rFonts w:hAnsi="宋体"/>
          <w:color w:val="auto"/>
          <w:sz w:val="24"/>
          <w:highlight w:val="none"/>
        </w:rPr>
        <w:t>授权</w:t>
      </w:r>
      <w:r>
        <w:rPr>
          <w:rFonts w:hint="eastAsia" w:hAnsi="宋体"/>
          <w:color w:val="auto"/>
          <w:sz w:val="24"/>
          <w:highlight w:val="none"/>
          <w:u w:val="single"/>
        </w:rPr>
        <w:t xml:space="preserve">   （全权代表</w:t>
      </w:r>
      <w:r>
        <w:rPr>
          <w:rFonts w:hAnsi="宋体"/>
          <w:color w:val="auto"/>
          <w:sz w:val="24"/>
          <w:highlight w:val="none"/>
          <w:u w:val="single"/>
        </w:rPr>
        <w:t>姓名</w:t>
      </w:r>
      <w:r>
        <w:rPr>
          <w:rFonts w:hint="eastAsia" w:hAnsi="宋体"/>
          <w:color w:val="auto"/>
          <w:sz w:val="24"/>
          <w:highlight w:val="none"/>
          <w:u w:val="single"/>
        </w:rPr>
        <w:t xml:space="preserve">） </w:t>
      </w:r>
      <w:r>
        <w:rPr>
          <w:rFonts w:hAnsi="宋体"/>
          <w:color w:val="auto"/>
          <w:sz w:val="24"/>
          <w:highlight w:val="none"/>
        </w:rPr>
        <w:t>为</w:t>
      </w:r>
      <w:r>
        <w:rPr>
          <w:rFonts w:hint="eastAsia" w:hAnsi="宋体"/>
          <w:color w:val="auto"/>
          <w:sz w:val="24"/>
          <w:highlight w:val="none"/>
        </w:rPr>
        <w:t>全权代表</w:t>
      </w:r>
      <w:r>
        <w:rPr>
          <w:rFonts w:hAnsi="宋体"/>
          <w:color w:val="auto"/>
          <w:sz w:val="24"/>
          <w:highlight w:val="none"/>
        </w:rPr>
        <w:t>，参加贵单位组织的</w:t>
      </w:r>
      <w:r>
        <w:rPr>
          <w:rFonts w:hint="eastAsia" w:hAnsi="宋体"/>
          <w:color w:val="auto"/>
          <w:sz w:val="24"/>
          <w:highlight w:val="none"/>
          <w:u w:val="single"/>
          <w:lang w:eastAsia="zh-CN"/>
        </w:rPr>
        <w:t xml:space="preserve">台州市椒江区前所街道椒北南渠（大树岙村段）综合整治工程 </w:t>
      </w:r>
      <w:r>
        <w:rPr>
          <w:rFonts w:hAnsi="宋体"/>
          <w:color w:val="auto"/>
          <w:sz w:val="24"/>
          <w:highlight w:val="none"/>
        </w:rPr>
        <w:t>的采购活动，并代表我方全权办理针对上述项目的投标、开标、评标、签约等具体事务和签署相关文件。</w:t>
      </w:r>
      <w:r>
        <w:rPr>
          <w:rFonts w:hint="eastAsia" w:hAnsi="宋体"/>
          <w:color w:val="auto"/>
          <w:sz w:val="24"/>
          <w:highlight w:val="none"/>
        </w:rPr>
        <w:t>我方对全权代表的签字事项负全部责任。</w:t>
      </w:r>
    </w:p>
    <w:p w14:paraId="130A3F16">
      <w:pPr>
        <w:pStyle w:val="11"/>
        <w:spacing w:line="360" w:lineRule="auto"/>
        <w:ind w:firstLine="480" w:firstLineChars="200"/>
        <w:rPr>
          <w:rFonts w:hAnsi="宋体"/>
          <w:color w:val="auto"/>
          <w:sz w:val="24"/>
          <w:highlight w:val="none"/>
        </w:rPr>
      </w:pPr>
      <w:r>
        <w:rPr>
          <w:rFonts w:hint="eastAsia" w:hAnsi="宋体"/>
          <w:color w:val="auto"/>
          <w:sz w:val="24"/>
          <w:highlight w:val="none"/>
        </w:rPr>
        <w:t>在撤销授权的书面通知以前，本授权书一直有效。全权代表在授权委托书有效期内签署的所有文件不因授权的撤销而失效。</w:t>
      </w:r>
    </w:p>
    <w:p w14:paraId="3738B859">
      <w:pPr>
        <w:pStyle w:val="11"/>
        <w:spacing w:line="360" w:lineRule="auto"/>
        <w:ind w:firstLine="480" w:firstLineChars="200"/>
        <w:rPr>
          <w:rFonts w:hAnsi="宋体"/>
          <w:color w:val="auto"/>
          <w:sz w:val="24"/>
          <w:highlight w:val="none"/>
        </w:rPr>
      </w:pPr>
      <w:r>
        <w:rPr>
          <w:rFonts w:hint="eastAsia" w:hAnsi="宋体"/>
          <w:color w:val="auto"/>
          <w:sz w:val="24"/>
          <w:highlight w:val="none"/>
        </w:rPr>
        <w:t>全权代表无转委托权，特此委托。</w:t>
      </w:r>
    </w:p>
    <w:p w14:paraId="35E824EF">
      <w:pPr>
        <w:spacing w:line="360" w:lineRule="auto"/>
        <w:rPr>
          <w:color w:val="auto"/>
          <w:sz w:val="24"/>
          <w:highlight w:val="none"/>
        </w:rPr>
      </w:pPr>
    </w:p>
    <w:p w14:paraId="5317FAB5">
      <w:pPr>
        <w:spacing w:line="360" w:lineRule="auto"/>
        <w:rPr>
          <w:rFonts w:hint="eastAsia" w:ascii="宋体"/>
          <w:color w:val="auto"/>
          <w:sz w:val="24"/>
          <w:highlight w:val="none"/>
        </w:rPr>
      </w:pPr>
      <w:r>
        <w:rPr>
          <w:rFonts w:hint="eastAsia" w:ascii="宋体" w:hAnsi="宋体" w:cs="仿宋_GB2312"/>
          <w:color w:val="auto"/>
          <w:kern w:val="0"/>
          <w:sz w:val="24"/>
          <w:highlight w:val="none"/>
          <w:lang w:val="zh-CN"/>
        </w:rPr>
        <w:t>供应商名称（</w:t>
      </w:r>
      <w:r>
        <w:rPr>
          <w:rFonts w:hint="eastAsia" w:ascii="宋体" w:hAnsi="宋体"/>
          <w:color w:val="auto"/>
          <w:sz w:val="24"/>
          <w:highlight w:val="none"/>
        </w:rPr>
        <w:t>公章/电子章</w:t>
      </w:r>
      <w:r>
        <w:rPr>
          <w:rFonts w:hint="eastAsia" w:ascii="宋体" w:hAnsi="宋体" w:cs="仿宋_GB2312"/>
          <w:color w:val="auto"/>
          <w:kern w:val="0"/>
          <w:sz w:val="24"/>
          <w:highlight w:val="none"/>
          <w:lang w:val="zh-CN"/>
        </w:rPr>
        <w:t>）</w:t>
      </w:r>
      <w:r>
        <w:rPr>
          <w:rFonts w:hint="eastAsia" w:ascii="宋体"/>
          <w:color w:val="auto"/>
          <w:sz w:val="24"/>
          <w:highlight w:val="none"/>
        </w:rPr>
        <w:t xml:space="preserve"> </w:t>
      </w:r>
    </w:p>
    <w:p w14:paraId="445E4DDC">
      <w:pPr>
        <w:spacing w:line="360" w:lineRule="auto"/>
        <w:rPr>
          <w:color w:val="auto"/>
          <w:sz w:val="24"/>
          <w:highlight w:val="none"/>
        </w:rPr>
      </w:pPr>
      <w:r>
        <w:rPr>
          <w:rFonts w:hint="eastAsia" w:ascii="宋体"/>
          <w:color w:val="auto"/>
          <w:sz w:val="24"/>
          <w:highlight w:val="none"/>
        </w:rPr>
        <w:t xml:space="preserve">法定代表人签字或盖章： </w:t>
      </w:r>
      <w:r>
        <w:rPr>
          <w:rFonts w:hint="eastAsia" w:ascii="宋体"/>
          <w:color w:val="auto"/>
          <w:sz w:val="24"/>
          <w:highlight w:val="none"/>
          <w:lang w:val="en-US" w:eastAsia="zh-CN"/>
        </w:rPr>
        <w:t xml:space="preserve">                             </w:t>
      </w:r>
      <w:r>
        <w:rPr>
          <w:rFonts w:hint="eastAsia" w:ascii="宋体"/>
          <w:color w:val="auto"/>
          <w:sz w:val="24"/>
          <w:highlight w:val="none"/>
        </w:rPr>
        <w:t>日期：</w:t>
      </w:r>
    </w:p>
    <w:p w14:paraId="3013B820">
      <w:pPr>
        <w:spacing w:line="360" w:lineRule="auto"/>
        <w:rPr>
          <w:color w:val="auto"/>
          <w:sz w:val="24"/>
          <w:highlight w:val="none"/>
        </w:rPr>
      </w:pPr>
    </w:p>
    <w:p w14:paraId="55F91EA8">
      <w:pPr>
        <w:spacing w:line="360" w:lineRule="auto"/>
        <w:rPr>
          <w:b/>
          <w:color w:val="auto"/>
          <w:sz w:val="24"/>
          <w:highlight w:val="none"/>
        </w:rPr>
      </w:pPr>
      <w:r>
        <w:rPr>
          <w:rFonts w:hint="eastAsia" w:ascii="宋体"/>
          <w:b/>
          <w:color w:val="auto"/>
          <w:sz w:val="24"/>
          <w:highlight w:val="none"/>
        </w:rPr>
        <w:t>附：</w:t>
      </w:r>
    </w:p>
    <w:tbl>
      <w:tblPr>
        <w:tblStyle w:val="24"/>
        <w:tblpPr w:leftFromText="180" w:rightFromText="180" w:vertAnchor="text" w:tblpX="4209" w:tblpY="32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80"/>
      </w:tblGrid>
      <w:tr w14:paraId="29EC0D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0" w:hRule="atLeast"/>
        </w:trPr>
        <w:tc>
          <w:tcPr>
            <w:tcW w:w="4080" w:type="dxa"/>
            <w:noWrap w:val="0"/>
            <w:vAlign w:val="top"/>
          </w:tcPr>
          <w:p w14:paraId="55EEE00E">
            <w:pPr>
              <w:spacing w:line="360" w:lineRule="auto"/>
              <w:rPr>
                <w:rFonts w:ascii="宋体"/>
                <w:b/>
                <w:color w:val="auto"/>
                <w:sz w:val="24"/>
                <w:highlight w:val="none"/>
              </w:rPr>
            </w:pPr>
          </w:p>
          <w:p w14:paraId="0E9E4585">
            <w:pPr>
              <w:spacing w:line="360" w:lineRule="auto"/>
              <w:ind w:firstLine="361" w:firstLineChars="150"/>
              <w:rPr>
                <w:rFonts w:ascii="宋体"/>
                <w:b/>
                <w:color w:val="auto"/>
                <w:sz w:val="24"/>
                <w:highlight w:val="none"/>
              </w:rPr>
            </w:pPr>
            <w:r>
              <w:rPr>
                <w:rFonts w:hint="eastAsia" w:ascii="宋体"/>
                <w:b/>
                <w:color w:val="auto"/>
                <w:sz w:val="24"/>
                <w:highlight w:val="none"/>
              </w:rPr>
              <w:t>法定代表身份证复印件粘贴处</w:t>
            </w:r>
          </w:p>
        </w:tc>
      </w:tr>
    </w:tbl>
    <w:p w14:paraId="4FED1A63">
      <w:pPr>
        <w:spacing w:line="360" w:lineRule="auto"/>
        <w:rPr>
          <w:color w:val="auto"/>
          <w:sz w:val="24"/>
          <w:highlight w:val="none"/>
        </w:rPr>
      </w:pPr>
      <w:r>
        <w:rPr>
          <w:rFonts w:hint="eastAsia" w:ascii="宋体"/>
          <w:color w:val="auto"/>
          <w:sz w:val="24"/>
          <w:highlight w:val="none"/>
        </w:rPr>
        <w:t xml:space="preserve">法定代表人姓名：                                 </w:t>
      </w:r>
    </w:p>
    <w:p w14:paraId="0AC9A108">
      <w:pPr>
        <w:spacing w:line="360" w:lineRule="auto"/>
        <w:rPr>
          <w:color w:val="auto"/>
          <w:sz w:val="24"/>
          <w:highlight w:val="none"/>
        </w:rPr>
      </w:pPr>
      <w:r>
        <w:rPr>
          <w:rFonts w:hint="eastAsia" w:ascii="宋体"/>
          <w:color w:val="auto"/>
          <w:sz w:val="24"/>
          <w:highlight w:val="none"/>
        </w:rPr>
        <w:t>传真：</w:t>
      </w:r>
    </w:p>
    <w:p w14:paraId="71A7B850">
      <w:pPr>
        <w:spacing w:line="360" w:lineRule="auto"/>
        <w:rPr>
          <w:rFonts w:ascii="宋体"/>
          <w:color w:val="auto"/>
          <w:sz w:val="24"/>
          <w:highlight w:val="none"/>
        </w:rPr>
      </w:pPr>
      <w:r>
        <w:rPr>
          <w:rFonts w:hint="eastAsia" w:ascii="宋体"/>
          <w:color w:val="auto"/>
          <w:sz w:val="24"/>
          <w:highlight w:val="none"/>
        </w:rPr>
        <w:t>电话：</w:t>
      </w:r>
    </w:p>
    <w:p w14:paraId="7D2C6C1E">
      <w:pPr>
        <w:spacing w:line="360" w:lineRule="auto"/>
        <w:rPr>
          <w:color w:val="auto"/>
          <w:sz w:val="24"/>
          <w:highlight w:val="none"/>
        </w:rPr>
      </w:pPr>
      <w:r>
        <w:rPr>
          <w:rFonts w:hint="eastAsia" w:ascii="宋体"/>
          <w:color w:val="auto"/>
          <w:sz w:val="24"/>
          <w:highlight w:val="none"/>
        </w:rPr>
        <w:t>详细通讯地址：</w:t>
      </w:r>
    </w:p>
    <w:p w14:paraId="5A3A442F">
      <w:pPr>
        <w:spacing w:line="360" w:lineRule="auto"/>
        <w:rPr>
          <w:rFonts w:ascii="宋体"/>
          <w:color w:val="auto"/>
          <w:sz w:val="24"/>
          <w:highlight w:val="none"/>
        </w:rPr>
      </w:pPr>
      <w:r>
        <w:rPr>
          <w:rFonts w:hint="eastAsia" w:ascii="宋体"/>
          <w:color w:val="auto"/>
          <w:sz w:val="24"/>
          <w:highlight w:val="none"/>
        </w:rPr>
        <w:t>邮政编码：</w:t>
      </w:r>
    </w:p>
    <w:p w14:paraId="11B58566">
      <w:pPr>
        <w:spacing w:line="360" w:lineRule="auto"/>
        <w:rPr>
          <w:b/>
          <w:color w:val="auto"/>
          <w:sz w:val="24"/>
          <w:highlight w:val="none"/>
        </w:rPr>
      </w:pPr>
    </w:p>
    <w:tbl>
      <w:tblPr>
        <w:tblStyle w:val="24"/>
        <w:tblpPr w:leftFromText="180" w:rightFromText="180" w:vertAnchor="text" w:tblpX="4209" w:tblpY="32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80"/>
      </w:tblGrid>
      <w:tr w14:paraId="5E8645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0" w:hRule="atLeast"/>
        </w:trPr>
        <w:tc>
          <w:tcPr>
            <w:tcW w:w="4080" w:type="dxa"/>
            <w:noWrap w:val="0"/>
            <w:vAlign w:val="top"/>
          </w:tcPr>
          <w:p w14:paraId="3FC1583B">
            <w:pPr>
              <w:spacing w:line="360" w:lineRule="auto"/>
              <w:rPr>
                <w:rFonts w:ascii="宋体"/>
                <w:b/>
                <w:color w:val="auto"/>
                <w:sz w:val="24"/>
                <w:highlight w:val="none"/>
              </w:rPr>
            </w:pPr>
          </w:p>
          <w:p w14:paraId="6620276B">
            <w:pPr>
              <w:spacing w:line="360" w:lineRule="auto"/>
              <w:ind w:firstLine="361" w:firstLineChars="150"/>
              <w:rPr>
                <w:rFonts w:ascii="宋体"/>
                <w:b/>
                <w:color w:val="auto"/>
                <w:sz w:val="24"/>
                <w:highlight w:val="none"/>
              </w:rPr>
            </w:pPr>
            <w:r>
              <w:rPr>
                <w:rFonts w:hint="eastAsia" w:ascii="宋体"/>
                <w:b/>
                <w:color w:val="auto"/>
                <w:sz w:val="24"/>
                <w:highlight w:val="none"/>
              </w:rPr>
              <w:t>全权代表身份证复印件粘贴处</w:t>
            </w:r>
          </w:p>
        </w:tc>
      </w:tr>
    </w:tbl>
    <w:p w14:paraId="1AC388EE">
      <w:pPr>
        <w:spacing w:line="360" w:lineRule="auto"/>
        <w:rPr>
          <w:rFonts w:ascii="宋体"/>
          <w:color w:val="auto"/>
          <w:sz w:val="24"/>
          <w:highlight w:val="none"/>
        </w:rPr>
      </w:pPr>
      <w:r>
        <w:rPr>
          <w:rFonts w:hint="eastAsia" w:ascii="宋体"/>
          <w:color w:val="auto"/>
          <w:sz w:val="24"/>
          <w:highlight w:val="none"/>
        </w:rPr>
        <w:t xml:space="preserve">全权代表姓名：       </w:t>
      </w:r>
    </w:p>
    <w:p w14:paraId="2EAF9F43">
      <w:pPr>
        <w:spacing w:line="360" w:lineRule="auto"/>
        <w:rPr>
          <w:color w:val="auto"/>
          <w:sz w:val="24"/>
          <w:highlight w:val="none"/>
        </w:rPr>
      </w:pPr>
      <w:r>
        <w:rPr>
          <w:rFonts w:hint="eastAsia" w:ascii="宋体"/>
          <w:color w:val="auto"/>
          <w:sz w:val="24"/>
          <w:highlight w:val="none"/>
        </w:rPr>
        <w:t xml:space="preserve">职务：                           </w:t>
      </w:r>
    </w:p>
    <w:p w14:paraId="2D3CA1BF">
      <w:pPr>
        <w:spacing w:line="360" w:lineRule="auto"/>
        <w:rPr>
          <w:color w:val="auto"/>
          <w:sz w:val="24"/>
          <w:highlight w:val="none"/>
        </w:rPr>
      </w:pPr>
      <w:r>
        <w:rPr>
          <w:rFonts w:hint="eastAsia" w:ascii="宋体"/>
          <w:color w:val="auto"/>
          <w:sz w:val="24"/>
          <w:highlight w:val="none"/>
        </w:rPr>
        <w:t>传真：</w:t>
      </w:r>
    </w:p>
    <w:p w14:paraId="03958B56">
      <w:pPr>
        <w:spacing w:line="360" w:lineRule="auto"/>
        <w:rPr>
          <w:rFonts w:ascii="宋体"/>
          <w:color w:val="auto"/>
          <w:sz w:val="24"/>
          <w:highlight w:val="none"/>
        </w:rPr>
      </w:pPr>
      <w:r>
        <w:rPr>
          <w:rFonts w:hint="eastAsia" w:ascii="宋体"/>
          <w:color w:val="auto"/>
          <w:sz w:val="24"/>
          <w:highlight w:val="none"/>
        </w:rPr>
        <w:t>电话：</w:t>
      </w:r>
    </w:p>
    <w:p w14:paraId="06FDF04D">
      <w:pPr>
        <w:spacing w:line="360" w:lineRule="auto"/>
        <w:rPr>
          <w:color w:val="auto"/>
          <w:sz w:val="24"/>
          <w:highlight w:val="none"/>
        </w:rPr>
      </w:pPr>
      <w:r>
        <w:rPr>
          <w:rFonts w:hint="eastAsia" w:ascii="宋体"/>
          <w:color w:val="auto"/>
          <w:sz w:val="24"/>
          <w:highlight w:val="none"/>
        </w:rPr>
        <w:t>详细通讯地址：</w:t>
      </w:r>
    </w:p>
    <w:p w14:paraId="6D48AEDA">
      <w:pPr>
        <w:spacing w:line="360" w:lineRule="auto"/>
        <w:rPr>
          <w:rFonts w:ascii="宋体" w:hAnsi="宋体"/>
          <w:b/>
          <w:color w:val="auto"/>
          <w:sz w:val="28"/>
          <w:highlight w:val="none"/>
        </w:rPr>
      </w:pPr>
      <w:r>
        <w:rPr>
          <w:rFonts w:hint="eastAsia" w:ascii="宋体"/>
          <w:color w:val="auto"/>
          <w:sz w:val="24"/>
          <w:highlight w:val="none"/>
        </w:rPr>
        <w:t>邮政编码：</w:t>
      </w:r>
    </w:p>
    <w:p w14:paraId="7370852C">
      <w:pPr>
        <w:rPr>
          <w:rFonts w:ascii="宋体" w:hAnsi="宋体"/>
          <w:b/>
          <w:color w:val="auto"/>
          <w:sz w:val="28"/>
          <w:highlight w:val="none"/>
        </w:rPr>
      </w:pPr>
      <w:r>
        <w:rPr>
          <w:rFonts w:hint="eastAsia" w:ascii="宋体" w:hAnsi="宋体"/>
          <w:b/>
          <w:color w:val="auto"/>
          <w:sz w:val="28"/>
          <w:highlight w:val="none"/>
        </w:rPr>
        <w:br w:type="page"/>
      </w:r>
      <w:r>
        <w:rPr>
          <w:rFonts w:hint="eastAsia" w:ascii="宋体" w:hAnsi="宋体"/>
          <w:b/>
          <w:color w:val="auto"/>
          <w:sz w:val="28"/>
          <w:highlight w:val="none"/>
        </w:rPr>
        <w:t>附件3</w:t>
      </w:r>
    </w:p>
    <w:p w14:paraId="6B53A731">
      <w:pPr>
        <w:widowControl/>
        <w:adjustRightInd w:val="0"/>
        <w:snapToGrid w:val="0"/>
        <w:jc w:val="center"/>
        <w:rPr>
          <w:rFonts w:hint="eastAsia" w:ascii="宋体" w:hAnsi="宋体"/>
          <w:b/>
          <w:color w:val="auto"/>
          <w:kern w:val="0"/>
          <w:sz w:val="32"/>
          <w:szCs w:val="32"/>
          <w:highlight w:val="none"/>
        </w:rPr>
      </w:pPr>
    </w:p>
    <w:p w14:paraId="5B971EC5">
      <w:pPr>
        <w:widowControl/>
        <w:adjustRightInd w:val="0"/>
        <w:snapToGrid w:val="0"/>
        <w:jc w:val="center"/>
        <w:rPr>
          <w:rFonts w:ascii="宋体" w:hAnsi="宋体"/>
          <w:b/>
          <w:color w:val="auto"/>
          <w:kern w:val="0"/>
          <w:sz w:val="32"/>
          <w:szCs w:val="32"/>
          <w:highlight w:val="none"/>
        </w:rPr>
      </w:pPr>
      <w:r>
        <w:rPr>
          <w:rFonts w:hint="eastAsia" w:ascii="宋体" w:hAnsi="宋体"/>
          <w:b/>
          <w:color w:val="auto"/>
          <w:kern w:val="0"/>
          <w:sz w:val="32"/>
          <w:szCs w:val="32"/>
          <w:highlight w:val="none"/>
        </w:rPr>
        <w:t>具有</w:t>
      </w:r>
      <w:r>
        <w:rPr>
          <w:rFonts w:ascii="宋体" w:hAnsi="宋体"/>
          <w:b/>
          <w:color w:val="auto"/>
          <w:kern w:val="0"/>
          <w:sz w:val="32"/>
          <w:szCs w:val="32"/>
          <w:highlight w:val="none"/>
        </w:rPr>
        <w:t>依法缴纳税收和</w:t>
      </w:r>
      <w:r>
        <w:rPr>
          <w:rFonts w:hint="eastAsia" w:ascii="宋体" w:hAnsi="宋体"/>
          <w:b/>
          <w:color w:val="auto"/>
          <w:kern w:val="0"/>
          <w:sz w:val="32"/>
          <w:szCs w:val="32"/>
          <w:highlight w:val="none"/>
        </w:rPr>
        <w:t>社会保障资金证明</w:t>
      </w:r>
      <w:r>
        <w:rPr>
          <w:rFonts w:ascii="宋体" w:hAnsi="宋体"/>
          <w:b/>
          <w:color w:val="auto"/>
          <w:kern w:val="0"/>
          <w:sz w:val="32"/>
          <w:szCs w:val="32"/>
          <w:highlight w:val="none"/>
        </w:rPr>
        <w:t>的承诺函</w:t>
      </w:r>
    </w:p>
    <w:p w14:paraId="7A733463">
      <w:pPr>
        <w:widowControl/>
        <w:adjustRightInd w:val="0"/>
        <w:snapToGrid w:val="0"/>
        <w:jc w:val="center"/>
        <w:rPr>
          <w:rFonts w:ascii="宋体" w:hAnsi="宋体"/>
          <w:b/>
          <w:color w:val="auto"/>
          <w:kern w:val="0"/>
          <w:sz w:val="32"/>
          <w:szCs w:val="32"/>
          <w:highlight w:val="none"/>
        </w:rPr>
      </w:pPr>
    </w:p>
    <w:p w14:paraId="5623A1DA">
      <w:pPr>
        <w:widowControl/>
        <w:adjustRightInd w:val="0"/>
        <w:snapToGrid w:val="0"/>
        <w:jc w:val="left"/>
        <w:rPr>
          <w:rFonts w:ascii="宋体" w:hAnsi="宋体"/>
          <w:color w:val="auto"/>
          <w:kern w:val="0"/>
          <w:sz w:val="28"/>
          <w:szCs w:val="32"/>
          <w:highlight w:val="none"/>
        </w:rPr>
      </w:pPr>
      <w:r>
        <w:rPr>
          <w:rFonts w:hint="eastAsia" w:ascii="宋体" w:hAnsi="宋体"/>
          <w:color w:val="auto"/>
          <w:kern w:val="0"/>
          <w:sz w:val="28"/>
          <w:szCs w:val="32"/>
          <w:highlight w:val="none"/>
        </w:rPr>
        <w:t>（如依法免税的，应提供相应文件证明其依法免税；如依法不需要缴纳社会保障资金的，应提供相应文件证明其依法不需要缴纳社会保障资金。）</w:t>
      </w:r>
    </w:p>
    <w:p w14:paraId="2345D130">
      <w:pPr>
        <w:adjustRightInd w:val="0"/>
        <w:snapToGrid w:val="0"/>
        <w:jc w:val="left"/>
        <w:rPr>
          <w:rFonts w:ascii="宋体" w:hAnsi="宋体"/>
          <w:b/>
          <w:color w:val="auto"/>
          <w:kern w:val="0"/>
          <w:sz w:val="32"/>
          <w:szCs w:val="32"/>
          <w:highlight w:val="none"/>
        </w:rPr>
      </w:pPr>
    </w:p>
    <w:p w14:paraId="59337914">
      <w:pPr>
        <w:widowControl/>
        <w:shd w:val="clear" w:color="auto" w:fill="FFFFFF"/>
        <w:spacing w:before="100" w:beforeAutospacing="1" w:after="100" w:afterAutospacing="1" w:line="480" w:lineRule="auto"/>
        <w:jc w:val="left"/>
        <w:rPr>
          <w:rFonts w:ascii="宋体" w:hAnsi="宋体"/>
          <w:color w:val="auto"/>
          <w:kern w:val="0"/>
          <w:sz w:val="24"/>
          <w:highlight w:val="none"/>
        </w:rPr>
      </w:pPr>
      <w:r>
        <w:rPr>
          <w:rFonts w:hint="eastAsia" w:cs="宋体"/>
          <w:b w:val="0"/>
          <w:color w:val="auto"/>
          <w:sz w:val="24"/>
          <w:szCs w:val="24"/>
          <w:highlight w:val="none"/>
          <w:u w:val="single"/>
          <w:lang w:eastAsia="zh-CN"/>
        </w:rPr>
        <w:t>台州市椒江区人民政府前所街道办事处</w:t>
      </w:r>
      <w:r>
        <w:rPr>
          <w:rFonts w:ascii="宋体" w:hAnsi="宋体"/>
          <w:color w:val="auto"/>
          <w:kern w:val="0"/>
          <w:sz w:val="24"/>
          <w:highlight w:val="none"/>
        </w:rPr>
        <w:t>：</w:t>
      </w:r>
    </w:p>
    <w:p w14:paraId="7F51A523">
      <w:pPr>
        <w:widowControl/>
        <w:shd w:val="clear" w:color="auto" w:fill="FFFFFF"/>
        <w:spacing w:before="100" w:beforeAutospacing="1" w:after="100" w:afterAutospacing="1" w:line="480" w:lineRule="auto"/>
        <w:ind w:firstLine="480" w:firstLineChars="200"/>
        <w:jc w:val="left"/>
        <w:rPr>
          <w:rFonts w:ascii="宋体" w:hAnsi="宋体"/>
          <w:color w:val="auto"/>
          <w:kern w:val="0"/>
          <w:sz w:val="24"/>
          <w:highlight w:val="none"/>
        </w:rPr>
      </w:pPr>
      <w:r>
        <w:rPr>
          <w:rFonts w:ascii="宋体" w:hAnsi="宋体"/>
          <w:color w:val="auto"/>
          <w:kern w:val="0"/>
          <w:sz w:val="24"/>
          <w:highlight w:val="none"/>
        </w:rPr>
        <w:t>我单位</w:t>
      </w:r>
      <w:r>
        <w:rPr>
          <w:rFonts w:hint="eastAsia" w:ascii="宋体" w:hAnsi="宋体"/>
          <w:color w:val="auto"/>
          <w:kern w:val="0"/>
          <w:sz w:val="24"/>
          <w:highlight w:val="none"/>
        </w:rPr>
        <w:t>具有</w:t>
      </w:r>
      <w:r>
        <w:rPr>
          <w:rFonts w:ascii="宋体" w:hAnsi="宋体"/>
          <w:color w:val="auto"/>
          <w:kern w:val="0"/>
          <w:sz w:val="24"/>
          <w:highlight w:val="none"/>
        </w:rPr>
        <w:t>依法缴纳税收和</w:t>
      </w:r>
      <w:r>
        <w:rPr>
          <w:rFonts w:hint="eastAsia" w:ascii="宋体" w:hAnsi="宋体"/>
          <w:color w:val="auto"/>
          <w:kern w:val="0"/>
          <w:sz w:val="24"/>
          <w:highlight w:val="none"/>
        </w:rPr>
        <w:t>社会保障资金</w:t>
      </w:r>
      <w:r>
        <w:rPr>
          <w:rFonts w:ascii="宋体" w:hAnsi="宋体"/>
          <w:color w:val="auto"/>
          <w:kern w:val="0"/>
          <w:sz w:val="24"/>
          <w:highlight w:val="none"/>
        </w:rPr>
        <w:t>。如本声明失实，我单位自愿承担被取消成交资格等责任。</w:t>
      </w:r>
    </w:p>
    <w:p w14:paraId="7F89367F">
      <w:pPr>
        <w:widowControl/>
        <w:shd w:val="clear" w:color="auto" w:fill="FFFFFF"/>
        <w:spacing w:before="100" w:beforeAutospacing="1" w:after="100" w:afterAutospacing="1" w:line="480" w:lineRule="auto"/>
        <w:ind w:firstLine="480" w:firstLineChars="200"/>
        <w:jc w:val="left"/>
        <w:rPr>
          <w:rFonts w:ascii="宋体" w:hAnsi="宋体"/>
          <w:color w:val="auto"/>
          <w:kern w:val="0"/>
          <w:sz w:val="24"/>
          <w:highlight w:val="none"/>
        </w:rPr>
      </w:pPr>
      <w:r>
        <w:rPr>
          <w:rFonts w:ascii="宋体" w:hAnsi="宋体"/>
          <w:color w:val="auto"/>
          <w:kern w:val="0"/>
          <w:sz w:val="24"/>
          <w:highlight w:val="none"/>
        </w:rPr>
        <w:t>特此声明</w:t>
      </w:r>
      <w:r>
        <w:rPr>
          <w:rFonts w:hint="eastAsia" w:ascii="宋体" w:hAnsi="宋体"/>
          <w:color w:val="auto"/>
          <w:kern w:val="0"/>
          <w:sz w:val="24"/>
          <w:highlight w:val="none"/>
        </w:rPr>
        <w:t>。</w:t>
      </w:r>
    </w:p>
    <w:p w14:paraId="04F5D447">
      <w:pPr>
        <w:adjustRightInd w:val="0"/>
        <w:snapToGrid w:val="0"/>
        <w:spacing w:line="360" w:lineRule="auto"/>
        <w:ind w:firstLine="4838" w:firstLineChars="2016"/>
        <w:rPr>
          <w:rFonts w:ascii="宋体" w:hAnsi="宋体" w:cs="仿宋_GB2312"/>
          <w:color w:val="auto"/>
          <w:kern w:val="0"/>
          <w:sz w:val="24"/>
          <w:highlight w:val="none"/>
          <w:lang w:val="zh-CN"/>
        </w:rPr>
      </w:pPr>
      <w:r>
        <w:rPr>
          <w:rFonts w:hint="eastAsia" w:ascii="宋体" w:hAnsi="宋体" w:cs="仿宋_GB2312"/>
          <w:color w:val="auto"/>
          <w:kern w:val="0"/>
          <w:sz w:val="24"/>
          <w:highlight w:val="none"/>
          <w:lang w:val="zh-CN"/>
        </w:rPr>
        <w:t>供应商名称（</w:t>
      </w:r>
      <w:r>
        <w:rPr>
          <w:rFonts w:hint="eastAsia" w:ascii="宋体" w:hAnsi="宋体"/>
          <w:color w:val="auto"/>
          <w:sz w:val="24"/>
          <w:highlight w:val="none"/>
        </w:rPr>
        <w:t>公章/电子章</w:t>
      </w:r>
      <w:r>
        <w:rPr>
          <w:rFonts w:hint="eastAsia" w:ascii="宋体" w:hAnsi="宋体" w:cs="仿宋_GB2312"/>
          <w:color w:val="auto"/>
          <w:kern w:val="0"/>
          <w:sz w:val="24"/>
          <w:highlight w:val="none"/>
          <w:lang w:val="zh-CN"/>
        </w:rPr>
        <w:t>）：</w:t>
      </w:r>
    </w:p>
    <w:p w14:paraId="5AD285D3">
      <w:pPr>
        <w:adjustRightInd w:val="0"/>
        <w:snapToGrid w:val="0"/>
        <w:spacing w:line="360" w:lineRule="auto"/>
        <w:ind w:firstLine="4838" w:firstLineChars="2016"/>
        <w:rPr>
          <w:rFonts w:ascii="宋体" w:hAnsi="宋体" w:cs="仿宋_GB2312"/>
          <w:color w:val="auto"/>
          <w:kern w:val="0"/>
          <w:sz w:val="24"/>
          <w:highlight w:val="none"/>
          <w:lang w:val="zh-CN"/>
        </w:rPr>
      </w:pPr>
      <w:r>
        <w:rPr>
          <w:rFonts w:hint="eastAsia" w:ascii="宋体" w:hAnsi="宋体" w:cs="仿宋_GB2312"/>
          <w:color w:val="auto"/>
          <w:kern w:val="0"/>
          <w:sz w:val="24"/>
          <w:highlight w:val="none"/>
          <w:lang w:val="zh-CN"/>
        </w:rPr>
        <w:t>法定代表人或授权委托人签字</w:t>
      </w:r>
      <w:r>
        <w:rPr>
          <w:rFonts w:hint="eastAsia" w:ascii="宋体" w:hAnsi="宋体" w:cs="仿宋_GB2312"/>
          <w:color w:val="auto"/>
          <w:kern w:val="0"/>
          <w:sz w:val="24"/>
          <w:highlight w:val="none"/>
        </w:rPr>
        <w:t>或盖章</w:t>
      </w:r>
      <w:r>
        <w:rPr>
          <w:rFonts w:hint="eastAsia" w:ascii="宋体" w:hAnsi="宋体" w:cs="仿宋_GB2312"/>
          <w:color w:val="auto"/>
          <w:kern w:val="0"/>
          <w:sz w:val="24"/>
          <w:highlight w:val="none"/>
          <w:lang w:val="zh-CN"/>
        </w:rPr>
        <w:t>：</w:t>
      </w:r>
    </w:p>
    <w:p w14:paraId="7400200C">
      <w:pPr>
        <w:adjustRightInd w:val="0"/>
        <w:snapToGrid w:val="0"/>
        <w:spacing w:line="360" w:lineRule="auto"/>
        <w:ind w:firstLine="4838" w:firstLineChars="2016"/>
        <w:rPr>
          <w:rFonts w:ascii="宋体" w:hAnsi="宋体" w:cs="仿宋_GB2312"/>
          <w:color w:val="auto"/>
          <w:kern w:val="0"/>
          <w:sz w:val="24"/>
          <w:highlight w:val="none"/>
          <w:lang w:val="zh-CN"/>
        </w:rPr>
      </w:pPr>
      <w:r>
        <w:rPr>
          <w:rFonts w:hint="eastAsia" w:ascii="宋体" w:hAnsi="宋体" w:cs="仿宋_GB2312"/>
          <w:color w:val="auto"/>
          <w:kern w:val="0"/>
          <w:sz w:val="24"/>
          <w:highlight w:val="none"/>
          <w:lang w:val="zh-CN"/>
        </w:rPr>
        <w:t>日期：</w:t>
      </w:r>
      <w:r>
        <w:rPr>
          <w:rFonts w:hint="eastAsia" w:ascii="宋体" w:hAnsi="宋体" w:cs="宋体"/>
          <w:color w:val="auto"/>
          <w:sz w:val="24"/>
          <w:highlight w:val="none"/>
        </w:rPr>
        <w:t>××</w:t>
      </w:r>
      <w:r>
        <w:rPr>
          <w:rFonts w:hint="eastAsia" w:ascii="宋体" w:hAnsi="宋体" w:cs="仿宋_GB2312"/>
          <w:color w:val="auto"/>
          <w:kern w:val="0"/>
          <w:sz w:val="24"/>
          <w:highlight w:val="none"/>
          <w:lang w:val="zh-CN"/>
        </w:rPr>
        <w:t xml:space="preserve">年 </w:t>
      </w:r>
      <w:r>
        <w:rPr>
          <w:rFonts w:hint="eastAsia" w:ascii="宋体" w:hAnsi="宋体" w:cs="宋体"/>
          <w:color w:val="auto"/>
          <w:sz w:val="24"/>
          <w:highlight w:val="none"/>
        </w:rPr>
        <w:t>××</w:t>
      </w:r>
      <w:r>
        <w:rPr>
          <w:rFonts w:hint="eastAsia" w:ascii="宋体" w:hAnsi="宋体" w:cs="仿宋_GB2312"/>
          <w:color w:val="auto"/>
          <w:kern w:val="0"/>
          <w:sz w:val="24"/>
          <w:highlight w:val="none"/>
          <w:lang w:val="zh-CN"/>
        </w:rPr>
        <w:t xml:space="preserve"> 月 </w:t>
      </w:r>
      <w:r>
        <w:rPr>
          <w:rFonts w:hint="eastAsia" w:ascii="宋体" w:hAnsi="宋体" w:cs="宋体"/>
          <w:color w:val="auto"/>
          <w:sz w:val="24"/>
          <w:highlight w:val="none"/>
        </w:rPr>
        <w:t>××</w:t>
      </w:r>
      <w:r>
        <w:rPr>
          <w:rFonts w:hint="eastAsia" w:ascii="宋体" w:hAnsi="宋体" w:cs="仿宋_GB2312"/>
          <w:color w:val="auto"/>
          <w:kern w:val="0"/>
          <w:sz w:val="24"/>
          <w:highlight w:val="none"/>
          <w:lang w:val="zh-CN"/>
        </w:rPr>
        <w:t xml:space="preserve"> 日</w:t>
      </w:r>
    </w:p>
    <w:p w14:paraId="743B5773">
      <w:pPr>
        <w:rPr>
          <w:rFonts w:ascii="宋体" w:hAnsi="宋体"/>
          <w:b/>
          <w:color w:val="auto"/>
          <w:sz w:val="28"/>
          <w:highlight w:val="none"/>
        </w:rPr>
      </w:pPr>
      <w:r>
        <w:rPr>
          <w:rFonts w:hint="eastAsia" w:ascii="宋体" w:hAnsi="宋体"/>
          <w:b/>
          <w:color w:val="auto"/>
          <w:sz w:val="28"/>
          <w:highlight w:val="none"/>
        </w:rPr>
        <w:br w:type="page"/>
      </w:r>
      <w:r>
        <w:rPr>
          <w:rFonts w:hint="eastAsia" w:ascii="宋体" w:hAnsi="宋体"/>
          <w:b/>
          <w:color w:val="auto"/>
          <w:sz w:val="28"/>
          <w:highlight w:val="none"/>
        </w:rPr>
        <w:t>附件4</w:t>
      </w:r>
    </w:p>
    <w:p w14:paraId="31F81B00">
      <w:pPr>
        <w:jc w:val="center"/>
        <w:rPr>
          <w:rFonts w:ascii="宋体" w:hAnsi="宋体"/>
          <w:b/>
          <w:color w:val="auto"/>
          <w:kern w:val="0"/>
          <w:sz w:val="32"/>
          <w:szCs w:val="32"/>
          <w:highlight w:val="none"/>
        </w:rPr>
      </w:pPr>
    </w:p>
    <w:p w14:paraId="336A7BF6">
      <w:pPr>
        <w:jc w:val="center"/>
        <w:rPr>
          <w:rFonts w:ascii="宋体" w:hAnsi="宋体"/>
          <w:b/>
          <w:color w:val="auto"/>
          <w:kern w:val="0"/>
          <w:sz w:val="32"/>
          <w:szCs w:val="32"/>
          <w:highlight w:val="none"/>
        </w:rPr>
      </w:pPr>
      <w:r>
        <w:rPr>
          <w:rFonts w:ascii="宋体" w:hAnsi="宋体"/>
          <w:b/>
          <w:color w:val="auto"/>
          <w:kern w:val="0"/>
          <w:sz w:val="32"/>
          <w:szCs w:val="32"/>
          <w:highlight w:val="none"/>
        </w:rPr>
        <w:t>具有良好的商业信誉和健全的财务会计制度的承诺函</w:t>
      </w:r>
    </w:p>
    <w:p w14:paraId="4218514C">
      <w:pPr>
        <w:jc w:val="center"/>
        <w:rPr>
          <w:rFonts w:ascii="宋体" w:hAnsi="宋体"/>
          <w:b/>
          <w:color w:val="auto"/>
          <w:kern w:val="0"/>
          <w:sz w:val="32"/>
          <w:szCs w:val="32"/>
          <w:highlight w:val="none"/>
        </w:rPr>
      </w:pPr>
    </w:p>
    <w:p w14:paraId="751B088D">
      <w:pPr>
        <w:widowControl/>
        <w:shd w:val="clear" w:color="auto" w:fill="FFFFFF"/>
        <w:spacing w:before="100" w:beforeAutospacing="1" w:after="100" w:afterAutospacing="1" w:line="480" w:lineRule="auto"/>
        <w:jc w:val="left"/>
        <w:rPr>
          <w:rFonts w:ascii="宋体" w:hAnsi="宋体"/>
          <w:color w:val="auto"/>
          <w:kern w:val="0"/>
          <w:sz w:val="24"/>
          <w:highlight w:val="none"/>
        </w:rPr>
      </w:pPr>
      <w:r>
        <w:rPr>
          <w:rFonts w:hint="eastAsia" w:cs="宋体"/>
          <w:b w:val="0"/>
          <w:color w:val="auto"/>
          <w:sz w:val="24"/>
          <w:szCs w:val="24"/>
          <w:highlight w:val="none"/>
          <w:u w:val="single"/>
          <w:lang w:eastAsia="zh-CN"/>
        </w:rPr>
        <w:t>台州市椒江区人民政府前所街道办事处</w:t>
      </w:r>
      <w:r>
        <w:rPr>
          <w:rFonts w:ascii="宋体" w:hAnsi="宋体"/>
          <w:color w:val="auto"/>
          <w:kern w:val="0"/>
          <w:sz w:val="24"/>
          <w:highlight w:val="none"/>
        </w:rPr>
        <w:t>：</w:t>
      </w:r>
    </w:p>
    <w:p w14:paraId="6D0A8DDE">
      <w:pPr>
        <w:widowControl/>
        <w:shd w:val="clear" w:color="auto" w:fill="FFFFFF"/>
        <w:spacing w:before="100" w:beforeAutospacing="1" w:after="100" w:afterAutospacing="1" w:line="480" w:lineRule="auto"/>
        <w:ind w:firstLine="480" w:firstLineChars="200"/>
        <w:jc w:val="left"/>
        <w:rPr>
          <w:rFonts w:ascii="宋体" w:hAnsi="宋体"/>
          <w:color w:val="auto"/>
          <w:kern w:val="0"/>
          <w:sz w:val="24"/>
          <w:highlight w:val="none"/>
        </w:rPr>
      </w:pPr>
      <w:r>
        <w:rPr>
          <w:rFonts w:ascii="宋体" w:hAnsi="宋体"/>
          <w:color w:val="auto"/>
          <w:kern w:val="0"/>
          <w:sz w:val="24"/>
          <w:highlight w:val="none"/>
        </w:rPr>
        <w:t>我单位具有良好的商业信誉和健全的财务会计制度。如本声明失实，我单位自愿承担被取消成交资格等责任。</w:t>
      </w:r>
    </w:p>
    <w:p w14:paraId="4996B40C">
      <w:pPr>
        <w:widowControl/>
        <w:shd w:val="clear" w:color="auto" w:fill="FFFFFF"/>
        <w:spacing w:before="100" w:beforeAutospacing="1" w:after="100" w:afterAutospacing="1" w:line="480" w:lineRule="auto"/>
        <w:ind w:firstLine="480" w:firstLineChars="200"/>
        <w:jc w:val="left"/>
        <w:rPr>
          <w:rFonts w:ascii="宋体" w:hAnsi="宋体"/>
          <w:color w:val="auto"/>
          <w:kern w:val="0"/>
          <w:sz w:val="24"/>
          <w:highlight w:val="none"/>
        </w:rPr>
      </w:pPr>
      <w:r>
        <w:rPr>
          <w:rFonts w:ascii="宋体" w:hAnsi="宋体"/>
          <w:color w:val="auto"/>
          <w:kern w:val="0"/>
          <w:sz w:val="24"/>
          <w:highlight w:val="none"/>
        </w:rPr>
        <w:t>特此声明</w:t>
      </w:r>
      <w:r>
        <w:rPr>
          <w:rFonts w:hint="eastAsia" w:ascii="宋体" w:hAnsi="宋体"/>
          <w:color w:val="auto"/>
          <w:kern w:val="0"/>
          <w:sz w:val="24"/>
          <w:highlight w:val="none"/>
        </w:rPr>
        <w:t>。</w:t>
      </w:r>
    </w:p>
    <w:p w14:paraId="0249F9B0">
      <w:pPr>
        <w:adjustRightInd w:val="0"/>
        <w:snapToGrid w:val="0"/>
        <w:spacing w:line="360" w:lineRule="auto"/>
        <w:ind w:firstLine="4838" w:firstLineChars="2016"/>
        <w:rPr>
          <w:rFonts w:ascii="宋体" w:hAnsi="宋体" w:cs="仿宋_GB2312"/>
          <w:color w:val="auto"/>
          <w:kern w:val="0"/>
          <w:sz w:val="24"/>
          <w:highlight w:val="none"/>
          <w:lang w:val="zh-CN"/>
        </w:rPr>
      </w:pPr>
      <w:r>
        <w:rPr>
          <w:rFonts w:hint="eastAsia" w:ascii="宋体" w:hAnsi="宋体" w:cs="仿宋_GB2312"/>
          <w:color w:val="auto"/>
          <w:kern w:val="0"/>
          <w:sz w:val="24"/>
          <w:highlight w:val="none"/>
          <w:lang w:val="zh-CN"/>
        </w:rPr>
        <w:t>供应商名称（</w:t>
      </w:r>
      <w:r>
        <w:rPr>
          <w:rFonts w:hint="eastAsia" w:ascii="宋体" w:hAnsi="宋体"/>
          <w:color w:val="auto"/>
          <w:sz w:val="24"/>
          <w:highlight w:val="none"/>
        </w:rPr>
        <w:t>公章/电子章</w:t>
      </w:r>
      <w:r>
        <w:rPr>
          <w:rFonts w:hint="eastAsia" w:ascii="宋体" w:hAnsi="宋体" w:cs="仿宋_GB2312"/>
          <w:color w:val="auto"/>
          <w:kern w:val="0"/>
          <w:sz w:val="24"/>
          <w:highlight w:val="none"/>
          <w:lang w:val="zh-CN"/>
        </w:rPr>
        <w:t>）：</w:t>
      </w:r>
    </w:p>
    <w:p w14:paraId="7E2DC16C">
      <w:pPr>
        <w:adjustRightInd w:val="0"/>
        <w:snapToGrid w:val="0"/>
        <w:spacing w:line="360" w:lineRule="auto"/>
        <w:ind w:firstLine="4838" w:firstLineChars="2016"/>
        <w:rPr>
          <w:rFonts w:ascii="宋体" w:hAnsi="宋体" w:cs="仿宋_GB2312"/>
          <w:color w:val="auto"/>
          <w:kern w:val="0"/>
          <w:sz w:val="24"/>
          <w:highlight w:val="none"/>
          <w:lang w:val="zh-CN"/>
        </w:rPr>
      </w:pPr>
      <w:r>
        <w:rPr>
          <w:rFonts w:hint="eastAsia" w:ascii="宋体" w:hAnsi="宋体" w:cs="仿宋_GB2312"/>
          <w:color w:val="auto"/>
          <w:kern w:val="0"/>
          <w:sz w:val="24"/>
          <w:highlight w:val="none"/>
          <w:lang w:val="zh-CN"/>
        </w:rPr>
        <w:t>法定代表人或授权委托人签字</w:t>
      </w:r>
      <w:r>
        <w:rPr>
          <w:rFonts w:hint="eastAsia" w:ascii="宋体" w:hAnsi="宋体" w:cs="仿宋_GB2312"/>
          <w:color w:val="auto"/>
          <w:kern w:val="0"/>
          <w:sz w:val="24"/>
          <w:highlight w:val="none"/>
        </w:rPr>
        <w:t>或盖章</w:t>
      </w:r>
      <w:r>
        <w:rPr>
          <w:rFonts w:hint="eastAsia" w:ascii="宋体" w:hAnsi="宋体" w:cs="仿宋_GB2312"/>
          <w:color w:val="auto"/>
          <w:kern w:val="0"/>
          <w:sz w:val="24"/>
          <w:highlight w:val="none"/>
          <w:lang w:val="zh-CN"/>
        </w:rPr>
        <w:t>：</w:t>
      </w:r>
    </w:p>
    <w:p w14:paraId="41D5333C">
      <w:pPr>
        <w:adjustRightInd w:val="0"/>
        <w:snapToGrid w:val="0"/>
        <w:spacing w:line="360" w:lineRule="auto"/>
        <w:ind w:firstLine="4838" w:firstLineChars="2016"/>
        <w:rPr>
          <w:rFonts w:ascii="宋体" w:hAnsi="宋体" w:cs="仿宋_GB2312"/>
          <w:color w:val="auto"/>
          <w:kern w:val="0"/>
          <w:sz w:val="24"/>
          <w:highlight w:val="none"/>
          <w:lang w:val="zh-CN"/>
        </w:rPr>
      </w:pPr>
      <w:r>
        <w:rPr>
          <w:rFonts w:hint="eastAsia" w:ascii="宋体" w:hAnsi="宋体" w:cs="仿宋_GB2312"/>
          <w:color w:val="auto"/>
          <w:kern w:val="0"/>
          <w:sz w:val="24"/>
          <w:highlight w:val="none"/>
          <w:lang w:val="zh-CN"/>
        </w:rPr>
        <w:t>日期：</w:t>
      </w:r>
      <w:r>
        <w:rPr>
          <w:rFonts w:hint="eastAsia" w:ascii="宋体" w:hAnsi="宋体" w:cs="宋体"/>
          <w:color w:val="auto"/>
          <w:sz w:val="24"/>
          <w:highlight w:val="none"/>
        </w:rPr>
        <w:t>××</w:t>
      </w:r>
      <w:r>
        <w:rPr>
          <w:rFonts w:hint="eastAsia" w:ascii="宋体" w:hAnsi="宋体" w:cs="仿宋_GB2312"/>
          <w:color w:val="auto"/>
          <w:kern w:val="0"/>
          <w:sz w:val="24"/>
          <w:highlight w:val="none"/>
          <w:lang w:val="zh-CN"/>
        </w:rPr>
        <w:t xml:space="preserve">年 </w:t>
      </w:r>
      <w:r>
        <w:rPr>
          <w:rFonts w:hint="eastAsia" w:ascii="宋体" w:hAnsi="宋体" w:cs="宋体"/>
          <w:color w:val="auto"/>
          <w:sz w:val="24"/>
          <w:highlight w:val="none"/>
        </w:rPr>
        <w:t>××</w:t>
      </w:r>
      <w:r>
        <w:rPr>
          <w:rFonts w:hint="eastAsia" w:ascii="宋体" w:hAnsi="宋体" w:cs="仿宋_GB2312"/>
          <w:color w:val="auto"/>
          <w:kern w:val="0"/>
          <w:sz w:val="24"/>
          <w:highlight w:val="none"/>
          <w:lang w:val="zh-CN"/>
        </w:rPr>
        <w:t xml:space="preserve"> 月 </w:t>
      </w:r>
      <w:r>
        <w:rPr>
          <w:rFonts w:hint="eastAsia" w:ascii="宋体" w:hAnsi="宋体" w:cs="宋体"/>
          <w:color w:val="auto"/>
          <w:sz w:val="24"/>
          <w:highlight w:val="none"/>
        </w:rPr>
        <w:t>××</w:t>
      </w:r>
      <w:r>
        <w:rPr>
          <w:rFonts w:hint="eastAsia" w:ascii="宋体" w:hAnsi="宋体" w:cs="仿宋_GB2312"/>
          <w:color w:val="auto"/>
          <w:kern w:val="0"/>
          <w:sz w:val="24"/>
          <w:highlight w:val="none"/>
          <w:lang w:val="zh-CN"/>
        </w:rPr>
        <w:t xml:space="preserve"> 日</w:t>
      </w:r>
    </w:p>
    <w:p w14:paraId="095206E7">
      <w:pPr>
        <w:jc w:val="center"/>
        <w:rPr>
          <w:rFonts w:ascii="宋体" w:hAnsi="宋体"/>
          <w:b/>
          <w:color w:val="auto"/>
          <w:kern w:val="0"/>
          <w:sz w:val="32"/>
          <w:szCs w:val="32"/>
          <w:highlight w:val="none"/>
        </w:rPr>
      </w:pPr>
    </w:p>
    <w:p w14:paraId="72F9E710">
      <w:pPr>
        <w:jc w:val="center"/>
        <w:rPr>
          <w:rFonts w:ascii="宋体" w:hAnsi="宋体"/>
          <w:b/>
          <w:color w:val="auto"/>
          <w:kern w:val="0"/>
          <w:sz w:val="32"/>
          <w:szCs w:val="32"/>
          <w:highlight w:val="none"/>
        </w:rPr>
      </w:pPr>
    </w:p>
    <w:p w14:paraId="11D41E74">
      <w:pPr>
        <w:rPr>
          <w:rFonts w:ascii="宋体" w:hAnsi="宋体"/>
          <w:b/>
          <w:color w:val="auto"/>
          <w:kern w:val="0"/>
          <w:sz w:val="32"/>
          <w:szCs w:val="32"/>
          <w:highlight w:val="none"/>
        </w:rPr>
      </w:pPr>
      <w:r>
        <w:rPr>
          <w:rFonts w:ascii="宋体" w:hAnsi="宋体"/>
          <w:b/>
          <w:color w:val="auto"/>
          <w:kern w:val="0"/>
          <w:sz w:val="32"/>
          <w:szCs w:val="32"/>
          <w:highlight w:val="none"/>
        </w:rPr>
        <w:br w:type="page"/>
      </w:r>
      <w:r>
        <w:rPr>
          <w:rFonts w:hint="eastAsia" w:ascii="宋体" w:hAnsi="宋体"/>
          <w:b/>
          <w:color w:val="auto"/>
          <w:kern w:val="0"/>
          <w:sz w:val="32"/>
          <w:szCs w:val="32"/>
          <w:highlight w:val="none"/>
        </w:rPr>
        <w:t>附件5</w:t>
      </w:r>
    </w:p>
    <w:p w14:paraId="30836222">
      <w:pPr>
        <w:jc w:val="center"/>
        <w:rPr>
          <w:rFonts w:ascii="宋体" w:hAnsi="宋体"/>
          <w:b/>
          <w:color w:val="auto"/>
          <w:kern w:val="0"/>
          <w:sz w:val="32"/>
          <w:szCs w:val="32"/>
          <w:highlight w:val="none"/>
        </w:rPr>
      </w:pPr>
    </w:p>
    <w:p w14:paraId="1C57FB15">
      <w:pPr>
        <w:ind w:left="74" w:leftChars="-150" w:right="-296" w:rightChars="-141" w:hanging="389" w:hangingChars="121"/>
        <w:jc w:val="center"/>
        <w:rPr>
          <w:rFonts w:ascii="宋体" w:hAnsi="宋体"/>
          <w:b/>
          <w:bCs/>
          <w:sz w:val="32"/>
          <w:szCs w:val="32"/>
          <w:highlight w:val="none"/>
        </w:rPr>
      </w:pPr>
      <w:r>
        <w:rPr>
          <w:rFonts w:hint="eastAsia" w:ascii="宋体" w:hAnsi="宋体"/>
          <w:b/>
          <w:bCs/>
          <w:sz w:val="32"/>
          <w:szCs w:val="32"/>
          <w:highlight w:val="none"/>
        </w:rPr>
        <w:t>投标人没有失信记录承诺函</w:t>
      </w:r>
    </w:p>
    <w:p w14:paraId="7BA25F16">
      <w:pPr>
        <w:spacing w:line="600" w:lineRule="exact"/>
        <w:ind w:firstLine="480" w:firstLineChars="200"/>
        <w:jc w:val="left"/>
        <w:rPr>
          <w:rFonts w:hint="eastAsia" w:ascii="宋体" w:hAnsi="宋体" w:cs="宋体"/>
          <w:sz w:val="24"/>
          <w:highlight w:val="none"/>
        </w:rPr>
      </w:pPr>
      <w:r>
        <w:rPr>
          <w:rFonts w:hint="eastAsia" w:ascii="宋体" w:hAnsi="宋体" w:cs="宋体"/>
          <w:sz w:val="24"/>
          <w:highlight w:val="none"/>
        </w:rPr>
        <w:t>致：</w:t>
      </w:r>
      <w:r>
        <w:rPr>
          <w:rFonts w:hint="eastAsia" w:ascii="宋体" w:hAnsi="宋体"/>
          <w:sz w:val="24"/>
          <w:highlight w:val="none"/>
          <w:u w:val="single"/>
        </w:rPr>
        <w:t>台州市椒江区人民政府前所街道办事处</w:t>
      </w:r>
    </w:p>
    <w:p w14:paraId="2917E322">
      <w:pPr>
        <w:spacing w:line="600" w:lineRule="exact"/>
        <w:ind w:firstLine="480" w:firstLineChars="200"/>
        <w:jc w:val="left"/>
        <w:rPr>
          <w:rFonts w:hint="eastAsia" w:ascii="宋体" w:hAnsi="宋体" w:cs="宋体"/>
          <w:sz w:val="24"/>
          <w:highlight w:val="none"/>
        </w:rPr>
      </w:pPr>
      <w:r>
        <w:rPr>
          <w:rFonts w:hint="eastAsia" w:ascii="宋体" w:hAnsi="宋体" w:cs="宋体"/>
          <w:sz w:val="24"/>
          <w:highlight w:val="none"/>
        </w:rPr>
        <w:t>我公司参加</w:t>
      </w:r>
      <w:r>
        <w:rPr>
          <w:rFonts w:hint="eastAsia" w:ascii="宋体" w:hAnsi="宋体"/>
          <w:color w:val="auto"/>
          <w:kern w:val="0"/>
          <w:sz w:val="24"/>
          <w:highlight w:val="none"/>
          <w:u w:val="single"/>
          <w:lang w:eastAsia="zh-CN"/>
        </w:rPr>
        <w:t xml:space="preserve">台州市椒江区前所街道椒北南渠（大树岙村段）综合整治工程 </w:t>
      </w:r>
      <w:r>
        <w:rPr>
          <w:rFonts w:hint="eastAsia" w:hAnsi="宋体"/>
          <w:color w:val="auto"/>
          <w:sz w:val="24"/>
          <w:highlight w:val="none"/>
        </w:rPr>
        <w:t>（</w:t>
      </w:r>
      <w:r>
        <w:rPr>
          <w:rFonts w:hint="eastAsia" w:ascii="宋体" w:hAnsi="宋体" w:cs="宋体"/>
          <w:color w:val="auto"/>
          <w:kern w:val="0"/>
          <w:sz w:val="24"/>
          <w:highlight w:val="none"/>
        </w:rPr>
        <w:t>编号为</w:t>
      </w:r>
      <w:r>
        <w:rPr>
          <w:rFonts w:hint="eastAsia" w:ascii="宋体" w:hAnsi="宋体" w:cs="宋体"/>
          <w:color w:val="auto"/>
          <w:kern w:val="0"/>
          <w:sz w:val="24"/>
          <w:highlight w:val="none"/>
          <w:u w:val="single"/>
          <w:lang w:val="en-US" w:eastAsia="zh-CN"/>
        </w:rPr>
        <w:t xml:space="preserve"> 椒财采确临[2025]308号</w:t>
      </w:r>
      <w:r>
        <w:rPr>
          <w:rFonts w:hint="eastAsia" w:hAnsi="宋体" w:cs="宋体"/>
          <w:color w:val="auto"/>
          <w:kern w:val="0"/>
          <w:sz w:val="24"/>
          <w:highlight w:val="none"/>
        </w:rPr>
        <w:t>）</w:t>
      </w:r>
      <w:r>
        <w:rPr>
          <w:rFonts w:hint="eastAsia" w:ascii="宋体" w:hAnsi="宋体" w:cs="宋体"/>
          <w:sz w:val="24"/>
          <w:highlight w:val="none"/>
        </w:rPr>
        <w:t>的投标活动，作如下承诺：</w:t>
      </w:r>
    </w:p>
    <w:p w14:paraId="67E29129">
      <w:pPr>
        <w:spacing w:line="360" w:lineRule="auto"/>
        <w:ind w:firstLine="456" w:firstLineChars="200"/>
        <w:rPr>
          <w:rFonts w:ascii="宋体" w:hAnsi="宋体" w:cs="宋体"/>
          <w:spacing w:val="-6"/>
          <w:sz w:val="24"/>
          <w:highlight w:val="none"/>
        </w:rPr>
      </w:pPr>
      <w:r>
        <w:rPr>
          <w:rFonts w:hint="eastAsia" w:ascii="宋体" w:hAnsi="宋体" w:cs="宋体"/>
          <w:spacing w:val="-6"/>
          <w:sz w:val="24"/>
          <w:highlight w:val="none"/>
        </w:rPr>
        <w:t>我公司郑重承诺在参加本项目政府采购活动前三年内，在经营活动中没有重大违法（失信）记录，重大违法（失信）记录是指供应商因违法经营受到刑事处罚或者责令停产停业、吊销许可证或者执照、较大数额罚款等行政处罚。</w:t>
      </w:r>
    </w:p>
    <w:p w14:paraId="69342604">
      <w:pPr>
        <w:spacing w:line="360" w:lineRule="auto"/>
        <w:ind w:firstLine="456" w:firstLineChars="200"/>
        <w:rPr>
          <w:rFonts w:ascii="宋体" w:hAnsi="宋体" w:cs="宋体"/>
          <w:spacing w:val="-6"/>
          <w:sz w:val="24"/>
          <w:highlight w:val="none"/>
        </w:rPr>
      </w:pPr>
      <w:r>
        <w:rPr>
          <w:rFonts w:hint="eastAsia" w:ascii="宋体" w:hAnsi="宋体" w:cs="宋体"/>
          <w:spacing w:val="-6"/>
          <w:sz w:val="24"/>
          <w:highlight w:val="none"/>
        </w:rPr>
        <w:t>以上事项如有虚假或隐瞒，我方愿意承担一切后果和责任。</w:t>
      </w:r>
    </w:p>
    <w:p w14:paraId="78F2D8A4">
      <w:pPr>
        <w:spacing w:line="600" w:lineRule="exact"/>
        <w:ind w:firstLine="456" w:firstLineChars="200"/>
        <w:jc w:val="left"/>
        <w:rPr>
          <w:rFonts w:hint="eastAsia" w:ascii="宋体" w:hAnsi="宋体" w:cs="宋体"/>
          <w:sz w:val="24"/>
          <w:highlight w:val="none"/>
        </w:rPr>
      </w:pPr>
      <w:r>
        <w:rPr>
          <w:rFonts w:hint="eastAsia" w:ascii="宋体" w:hAnsi="宋体" w:cs="宋体"/>
          <w:spacing w:val="-6"/>
          <w:sz w:val="24"/>
          <w:highlight w:val="none"/>
        </w:rPr>
        <w:t>特此声明。</w:t>
      </w:r>
    </w:p>
    <w:p w14:paraId="3D7974C1">
      <w:pPr>
        <w:spacing w:line="600" w:lineRule="exact"/>
        <w:ind w:firstLine="480" w:firstLineChars="200"/>
        <w:jc w:val="left"/>
        <w:rPr>
          <w:rFonts w:hint="eastAsia" w:ascii="宋体" w:hAnsi="宋体" w:cs="宋体"/>
          <w:sz w:val="24"/>
          <w:highlight w:val="none"/>
          <w:lang w:val="zh-CN"/>
        </w:rPr>
      </w:pPr>
    </w:p>
    <w:p w14:paraId="7DE53A78">
      <w:pPr>
        <w:adjustRightInd w:val="0"/>
        <w:snapToGrid w:val="0"/>
        <w:spacing w:line="360" w:lineRule="auto"/>
        <w:ind w:firstLine="4838" w:firstLineChars="2016"/>
        <w:rPr>
          <w:rFonts w:hint="eastAsia" w:ascii="宋体" w:hAnsi="宋体" w:cs="仿宋_GB2312"/>
          <w:color w:val="auto"/>
          <w:kern w:val="0"/>
          <w:sz w:val="24"/>
          <w:highlight w:val="none"/>
          <w:lang w:val="zh-CN"/>
        </w:rPr>
      </w:pPr>
    </w:p>
    <w:p w14:paraId="73072F8D">
      <w:pPr>
        <w:adjustRightInd w:val="0"/>
        <w:snapToGrid w:val="0"/>
        <w:spacing w:line="360" w:lineRule="auto"/>
        <w:ind w:firstLine="4838" w:firstLineChars="2016"/>
        <w:rPr>
          <w:rFonts w:ascii="宋体" w:hAnsi="宋体" w:cs="仿宋_GB2312"/>
          <w:color w:val="auto"/>
          <w:kern w:val="0"/>
          <w:sz w:val="24"/>
          <w:highlight w:val="none"/>
          <w:lang w:val="zh-CN"/>
        </w:rPr>
      </w:pPr>
      <w:r>
        <w:rPr>
          <w:rFonts w:hint="eastAsia" w:ascii="宋体" w:hAnsi="宋体" w:cs="仿宋_GB2312"/>
          <w:color w:val="auto"/>
          <w:kern w:val="0"/>
          <w:sz w:val="24"/>
          <w:highlight w:val="none"/>
          <w:lang w:val="zh-CN"/>
        </w:rPr>
        <w:t>供应商名称（</w:t>
      </w:r>
      <w:r>
        <w:rPr>
          <w:rFonts w:hint="eastAsia" w:ascii="宋体" w:hAnsi="宋体"/>
          <w:color w:val="auto"/>
          <w:sz w:val="24"/>
          <w:highlight w:val="none"/>
        </w:rPr>
        <w:t>公章/电子章</w:t>
      </w:r>
      <w:r>
        <w:rPr>
          <w:rFonts w:hint="eastAsia" w:ascii="宋体" w:hAnsi="宋体" w:cs="仿宋_GB2312"/>
          <w:color w:val="auto"/>
          <w:kern w:val="0"/>
          <w:sz w:val="24"/>
          <w:highlight w:val="none"/>
          <w:lang w:val="zh-CN"/>
        </w:rPr>
        <w:t>）：</w:t>
      </w:r>
    </w:p>
    <w:p w14:paraId="7FE09D1D">
      <w:pPr>
        <w:adjustRightInd w:val="0"/>
        <w:snapToGrid w:val="0"/>
        <w:spacing w:line="360" w:lineRule="auto"/>
        <w:ind w:firstLine="4838" w:firstLineChars="2016"/>
        <w:rPr>
          <w:rFonts w:ascii="宋体" w:hAnsi="宋体" w:cs="仿宋_GB2312"/>
          <w:color w:val="auto"/>
          <w:kern w:val="0"/>
          <w:sz w:val="24"/>
          <w:highlight w:val="none"/>
          <w:lang w:val="zh-CN"/>
        </w:rPr>
      </w:pPr>
      <w:r>
        <w:rPr>
          <w:rFonts w:hint="eastAsia" w:ascii="宋体" w:hAnsi="宋体" w:cs="仿宋_GB2312"/>
          <w:color w:val="auto"/>
          <w:kern w:val="0"/>
          <w:sz w:val="24"/>
          <w:highlight w:val="none"/>
          <w:lang w:val="zh-CN"/>
        </w:rPr>
        <w:t>法定代表人或授权委托人签字</w:t>
      </w:r>
      <w:r>
        <w:rPr>
          <w:rFonts w:hint="eastAsia" w:ascii="宋体" w:hAnsi="宋体" w:cs="仿宋_GB2312"/>
          <w:color w:val="auto"/>
          <w:kern w:val="0"/>
          <w:sz w:val="24"/>
          <w:highlight w:val="none"/>
        </w:rPr>
        <w:t>或盖章</w:t>
      </w:r>
      <w:r>
        <w:rPr>
          <w:rFonts w:hint="eastAsia" w:ascii="宋体" w:hAnsi="宋体" w:cs="仿宋_GB2312"/>
          <w:color w:val="auto"/>
          <w:kern w:val="0"/>
          <w:sz w:val="24"/>
          <w:highlight w:val="none"/>
          <w:lang w:val="zh-CN"/>
        </w:rPr>
        <w:t>：</w:t>
      </w:r>
    </w:p>
    <w:p w14:paraId="28ADE81A">
      <w:pPr>
        <w:adjustRightInd w:val="0"/>
        <w:snapToGrid w:val="0"/>
        <w:spacing w:line="360" w:lineRule="auto"/>
        <w:ind w:firstLine="4838" w:firstLineChars="2016"/>
        <w:rPr>
          <w:rFonts w:ascii="宋体" w:hAnsi="宋体" w:cs="仿宋_GB2312"/>
          <w:color w:val="auto"/>
          <w:kern w:val="0"/>
          <w:sz w:val="24"/>
          <w:highlight w:val="none"/>
          <w:lang w:val="zh-CN"/>
        </w:rPr>
      </w:pPr>
      <w:r>
        <w:rPr>
          <w:rFonts w:hint="eastAsia" w:ascii="宋体" w:hAnsi="宋体" w:cs="仿宋_GB2312"/>
          <w:color w:val="auto"/>
          <w:kern w:val="0"/>
          <w:sz w:val="24"/>
          <w:highlight w:val="none"/>
          <w:lang w:val="zh-CN"/>
        </w:rPr>
        <w:t>日期：</w:t>
      </w:r>
      <w:r>
        <w:rPr>
          <w:rFonts w:hint="eastAsia" w:ascii="宋体" w:hAnsi="宋体" w:cs="宋体"/>
          <w:color w:val="auto"/>
          <w:sz w:val="24"/>
          <w:highlight w:val="none"/>
        </w:rPr>
        <w:t>××</w:t>
      </w:r>
      <w:r>
        <w:rPr>
          <w:rFonts w:hint="eastAsia" w:ascii="宋体" w:hAnsi="宋体" w:cs="仿宋_GB2312"/>
          <w:color w:val="auto"/>
          <w:kern w:val="0"/>
          <w:sz w:val="24"/>
          <w:highlight w:val="none"/>
          <w:lang w:val="zh-CN"/>
        </w:rPr>
        <w:t xml:space="preserve">年 </w:t>
      </w:r>
      <w:r>
        <w:rPr>
          <w:rFonts w:hint="eastAsia" w:ascii="宋体" w:hAnsi="宋体" w:cs="宋体"/>
          <w:color w:val="auto"/>
          <w:sz w:val="24"/>
          <w:highlight w:val="none"/>
        </w:rPr>
        <w:t>××</w:t>
      </w:r>
      <w:r>
        <w:rPr>
          <w:rFonts w:hint="eastAsia" w:ascii="宋体" w:hAnsi="宋体" w:cs="仿宋_GB2312"/>
          <w:color w:val="auto"/>
          <w:kern w:val="0"/>
          <w:sz w:val="24"/>
          <w:highlight w:val="none"/>
          <w:lang w:val="zh-CN"/>
        </w:rPr>
        <w:t xml:space="preserve"> 月 </w:t>
      </w:r>
      <w:r>
        <w:rPr>
          <w:rFonts w:hint="eastAsia" w:ascii="宋体" w:hAnsi="宋体" w:cs="宋体"/>
          <w:color w:val="auto"/>
          <w:sz w:val="24"/>
          <w:highlight w:val="none"/>
        </w:rPr>
        <w:t>××</w:t>
      </w:r>
      <w:r>
        <w:rPr>
          <w:rFonts w:hint="eastAsia" w:ascii="宋体" w:hAnsi="宋体" w:cs="仿宋_GB2312"/>
          <w:color w:val="auto"/>
          <w:kern w:val="0"/>
          <w:sz w:val="24"/>
          <w:highlight w:val="none"/>
          <w:lang w:val="zh-CN"/>
        </w:rPr>
        <w:t xml:space="preserve"> 日</w:t>
      </w:r>
    </w:p>
    <w:p w14:paraId="51D25CEF">
      <w:pPr>
        <w:jc w:val="center"/>
        <w:rPr>
          <w:color w:val="auto"/>
          <w:sz w:val="52"/>
          <w:szCs w:val="52"/>
          <w:highlight w:val="none"/>
        </w:rPr>
      </w:pPr>
    </w:p>
    <w:p w14:paraId="37233508">
      <w:pPr>
        <w:rPr>
          <w:rFonts w:hint="eastAsia"/>
          <w:b/>
          <w:bCs/>
          <w:color w:val="auto"/>
          <w:sz w:val="32"/>
          <w:szCs w:val="32"/>
          <w:highlight w:val="none"/>
          <w:lang w:val="zh-CN"/>
        </w:rPr>
      </w:pPr>
      <w:r>
        <w:rPr>
          <w:rFonts w:hint="eastAsia"/>
          <w:b/>
          <w:bCs/>
          <w:color w:val="auto"/>
          <w:sz w:val="32"/>
          <w:szCs w:val="32"/>
          <w:highlight w:val="none"/>
          <w:lang w:val="zh-CN"/>
        </w:rPr>
        <w:br w:type="page"/>
      </w:r>
    </w:p>
    <w:p w14:paraId="63CC0C05">
      <w:pPr>
        <w:jc w:val="center"/>
        <w:rPr>
          <w:b/>
          <w:bCs/>
          <w:color w:val="auto"/>
          <w:sz w:val="32"/>
          <w:szCs w:val="32"/>
          <w:highlight w:val="none"/>
        </w:rPr>
      </w:pPr>
      <w:r>
        <w:rPr>
          <w:rFonts w:hint="eastAsia"/>
          <w:b/>
          <w:bCs/>
          <w:color w:val="auto"/>
          <w:sz w:val="32"/>
          <w:szCs w:val="32"/>
          <w:highlight w:val="none"/>
          <w:lang w:val="zh-CN"/>
        </w:rPr>
        <w:t>商务与技术文件</w:t>
      </w:r>
      <w:r>
        <w:rPr>
          <w:rFonts w:hint="eastAsia"/>
          <w:b/>
          <w:bCs/>
          <w:color w:val="auto"/>
          <w:sz w:val="32"/>
          <w:szCs w:val="32"/>
          <w:highlight w:val="none"/>
        </w:rPr>
        <w:t>目录</w:t>
      </w:r>
      <w:bookmarkEnd w:id="71"/>
      <w:bookmarkEnd w:id="72"/>
    </w:p>
    <w:p w14:paraId="4A02229D">
      <w:pPr>
        <w:snapToGrid w:val="0"/>
        <w:spacing w:line="360" w:lineRule="auto"/>
        <w:ind w:firstLine="480" w:firstLineChars="200"/>
        <w:rPr>
          <w:rFonts w:hint="eastAsia" w:ascii="宋体" w:hAnsi="宋体" w:eastAsia="宋体" w:cs="Times New Roman"/>
          <w:bCs/>
          <w:color w:val="auto"/>
          <w:sz w:val="24"/>
          <w:highlight w:val="none"/>
        </w:rPr>
      </w:pPr>
      <w:r>
        <w:rPr>
          <w:rFonts w:hint="eastAsia" w:ascii="宋体" w:hAnsi="宋体" w:eastAsia="宋体" w:cs="Times New Roman"/>
          <w:bCs/>
          <w:color w:val="auto"/>
          <w:sz w:val="24"/>
          <w:highlight w:val="none"/>
        </w:rPr>
        <w:t>（1）项目组人员一览表（人员配备及提供的证书材料须满足第四章项目需求“人员配备要求”，附件</w:t>
      </w:r>
      <w:r>
        <w:rPr>
          <w:rFonts w:hint="eastAsia" w:ascii="宋体" w:hAnsi="宋体" w:eastAsia="宋体" w:cs="Times New Roman"/>
          <w:bCs/>
          <w:color w:val="auto"/>
          <w:sz w:val="24"/>
          <w:highlight w:val="none"/>
          <w:lang w:val="en-US" w:eastAsia="zh-CN"/>
        </w:rPr>
        <w:t>6</w:t>
      </w:r>
      <w:r>
        <w:rPr>
          <w:rFonts w:hint="eastAsia" w:ascii="宋体" w:hAnsi="宋体" w:eastAsia="宋体" w:cs="Times New Roman"/>
          <w:bCs/>
          <w:color w:val="auto"/>
          <w:sz w:val="24"/>
          <w:highlight w:val="none"/>
        </w:rPr>
        <w:t>）；</w:t>
      </w:r>
    </w:p>
    <w:p w14:paraId="76F76370">
      <w:pPr>
        <w:snapToGrid w:val="0"/>
        <w:spacing w:line="360" w:lineRule="auto"/>
        <w:ind w:firstLine="480" w:firstLineChars="200"/>
        <w:rPr>
          <w:rFonts w:hint="eastAsia" w:ascii="宋体" w:hAnsi="宋体" w:eastAsia="宋体" w:cs="Times New Roman"/>
          <w:bCs/>
          <w:color w:val="auto"/>
          <w:sz w:val="24"/>
          <w:highlight w:val="none"/>
        </w:rPr>
      </w:pPr>
      <w:r>
        <w:rPr>
          <w:rFonts w:hint="eastAsia" w:ascii="宋体" w:hAnsi="宋体" w:eastAsia="宋体" w:cs="Times New Roman"/>
          <w:bCs/>
          <w:color w:val="auto"/>
          <w:sz w:val="24"/>
          <w:highlight w:val="none"/>
        </w:rPr>
        <w:t>（2）项目负责人简历表（附件</w:t>
      </w:r>
      <w:r>
        <w:rPr>
          <w:rFonts w:hint="eastAsia" w:ascii="宋体" w:hAnsi="宋体" w:eastAsia="宋体" w:cs="Times New Roman"/>
          <w:bCs/>
          <w:color w:val="auto"/>
          <w:sz w:val="24"/>
          <w:highlight w:val="none"/>
          <w:lang w:val="en-US" w:eastAsia="zh-CN"/>
        </w:rPr>
        <w:t>7</w:t>
      </w:r>
      <w:r>
        <w:rPr>
          <w:rFonts w:hint="eastAsia" w:ascii="宋体" w:hAnsi="宋体" w:eastAsia="宋体" w:cs="Times New Roman"/>
          <w:bCs/>
          <w:color w:val="auto"/>
          <w:sz w:val="24"/>
          <w:highlight w:val="none"/>
        </w:rPr>
        <w:t>）</w:t>
      </w:r>
    </w:p>
    <w:p w14:paraId="53344333">
      <w:pPr>
        <w:snapToGrid w:val="0"/>
        <w:spacing w:line="360" w:lineRule="auto"/>
        <w:ind w:firstLine="480" w:firstLineChars="200"/>
        <w:rPr>
          <w:rFonts w:hint="eastAsia" w:ascii="宋体" w:hAnsi="宋体" w:eastAsia="宋体" w:cs="Times New Roman"/>
          <w:bCs/>
          <w:color w:val="auto"/>
          <w:sz w:val="24"/>
          <w:highlight w:val="none"/>
        </w:rPr>
      </w:pPr>
      <w:r>
        <w:rPr>
          <w:rFonts w:hint="eastAsia" w:ascii="宋体" w:hAnsi="宋体" w:eastAsia="宋体" w:cs="Times New Roman"/>
          <w:bCs/>
          <w:color w:val="auto"/>
          <w:sz w:val="24"/>
          <w:highlight w:val="none"/>
        </w:rPr>
        <w:t>（</w:t>
      </w:r>
      <w:r>
        <w:rPr>
          <w:rFonts w:hint="eastAsia" w:ascii="宋体" w:hAnsi="宋体" w:eastAsia="宋体" w:cs="Times New Roman"/>
          <w:bCs/>
          <w:color w:val="auto"/>
          <w:sz w:val="24"/>
          <w:highlight w:val="none"/>
          <w:lang w:val="en-US" w:eastAsia="zh-CN"/>
        </w:rPr>
        <w:t>3</w:t>
      </w:r>
      <w:r>
        <w:rPr>
          <w:rFonts w:hint="eastAsia" w:ascii="宋体" w:hAnsi="宋体" w:eastAsia="宋体" w:cs="Times New Roman"/>
          <w:bCs/>
          <w:color w:val="auto"/>
          <w:sz w:val="24"/>
          <w:highlight w:val="none"/>
        </w:rPr>
        <w:t>）作业机械、设备一览表（附件</w:t>
      </w:r>
      <w:r>
        <w:rPr>
          <w:rFonts w:hint="eastAsia" w:ascii="宋体" w:hAnsi="宋体" w:eastAsia="宋体" w:cs="Times New Roman"/>
          <w:bCs/>
          <w:color w:val="auto"/>
          <w:sz w:val="24"/>
          <w:highlight w:val="none"/>
          <w:lang w:val="en-US" w:eastAsia="zh-CN"/>
        </w:rPr>
        <w:t>8</w:t>
      </w:r>
      <w:r>
        <w:rPr>
          <w:rFonts w:hint="eastAsia" w:ascii="宋体" w:hAnsi="宋体" w:eastAsia="宋体" w:cs="Times New Roman"/>
          <w:bCs/>
          <w:color w:val="auto"/>
          <w:sz w:val="24"/>
          <w:highlight w:val="none"/>
        </w:rPr>
        <w:t>）；</w:t>
      </w:r>
    </w:p>
    <w:p w14:paraId="5747580C">
      <w:pPr>
        <w:snapToGrid w:val="0"/>
        <w:spacing w:line="360" w:lineRule="auto"/>
        <w:ind w:firstLine="480" w:firstLineChars="200"/>
        <w:rPr>
          <w:rFonts w:hint="eastAsia" w:ascii="宋体" w:hAnsi="宋体" w:eastAsia="宋体" w:cs="Times New Roman"/>
          <w:bCs/>
          <w:color w:val="auto"/>
          <w:sz w:val="24"/>
          <w:highlight w:val="none"/>
        </w:rPr>
      </w:pPr>
      <w:r>
        <w:rPr>
          <w:rFonts w:hint="eastAsia" w:ascii="宋体" w:hAnsi="宋体" w:eastAsia="宋体" w:cs="Times New Roman"/>
          <w:bCs/>
          <w:color w:val="auto"/>
          <w:sz w:val="24"/>
          <w:highlight w:val="none"/>
        </w:rPr>
        <w:t>（</w:t>
      </w:r>
      <w:r>
        <w:rPr>
          <w:rFonts w:hint="eastAsia" w:ascii="宋体" w:hAnsi="宋体" w:eastAsia="宋体" w:cs="Times New Roman"/>
          <w:bCs/>
          <w:color w:val="auto"/>
          <w:sz w:val="24"/>
          <w:highlight w:val="none"/>
          <w:lang w:val="en-US" w:eastAsia="zh-CN"/>
        </w:rPr>
        <w:t>4</w:t>
      </w:r>
      <w:r>
        <w:rPr>
          <w:rFonts w:hint="eastAsia" w:ascii="宋体" w:hAnsi="宋体" w:eastAsia="宋体" w:cs="Times New Roman"/>
          <w:bCs/>
          <w:color w:val="auto"/>
          <w:sz w:val="24"/>
          <w:highlight w:val="none"/>
        </w:rPr>
        <w:t>）类似项目实施情况一览表（如有，需提供合同</w:t>
      </w:r>
      <w:r>
        <w:rPr>
          <w:rFonts w:hint="eastAsia" w:ascii="宋体" w:hAnsi="宋体" w:eastAsia="宋体" w:cs="Times New Roman"/>
          <w:bCs/>
          <w:color w:val="auto"/>
          <w:sz w:val="24"/>
          <w:highlight w:val="none"/>
          <w:lang w:val="en-US" w:eastAsia="zh-CN"/>
        </w:rPr>
        <w:t>扫描</w:t>
      </w:r>
      <w:r>
        <w:rPr>
          <w:rFonts w:hint="eastAsia" w:ascii="宋体" w:hAnsi="宋体" w:eastAsia="宋体" w:cs="Times New Roman"/>
          <w:bCs/>
          <w:color w:val="auto"/>
          <w:sz w:val="24"/>
          <w:highlight w:val="none"/>
        </w:rPr>
        <w:t>件；附件</w:t>
      </w:r>
      <w:r>
        <w:rPr>
          <w:rFonts w:hint="eastAsia" w:ascii="宋体" w:hAnsi="宋体" w:eastAsia="宋体" w:cs="Times New Roman"/>
          <w:bCs/>
          <w:color w:val="auto"/>
          <w:sz w:val="24"/>
          <w:highlight w:val="none"/>
          <w:lang w:val="en-US" w:eastAsia="zh-CN"/>
        </w:rPr>
        <w:t>9</w:t>
      </w:r>
      <w:r>
        <w:rPr>
          <w:rFonts w:hint="eastAsia" w:ascii="宋体" w:hAnsi="宋体" w:eastAsia="宋体" w:cs="Times New Roman"/>
          <w:bCs/>
          <w:color w:val="auto"/>
          <w:sz w:val="24"/>
          <w:highlight w:val="none"/>
        </w:rPr>
        <w:t>）；</w:t>
      </w:r>
    </w:p>
    <w:p w14:paraId="07011423">
      <w:pPr>
        <w:snapToGrid w:val="0"/>
        <w:spacing w:line="360" w:lineRule="auto"/>
        <w:ind w:firstLine="480" w:firstLineChars="200"/>
        <w:rPr>
          <w:rFonts w:hint="eastAsia" w:ascii="宋体" w:hAnsi="宋体" w:eastAsia="宋体" w:cs="Times New Roman"/>
          <w:bCs/>
          <w:color w:val="auto"/>
          <w:sz w:val="24"/>
          <w:highlight w:val="none"/>
        </w:rPr>
      </w:pPr>
      <w:r>
        <w:rPr>
          <w:rFonts w:hint="eastAsia" w:ascii="宋体" w:hAnsi="宋体" w:eastAsia="宋体" w:cs="Times New Roman"/>
          <w:bCs/>
          <w:color w:val="auto"/>
          <w:sz w:val="24"/>
          <w:highlight w:val="none"/>
          <w:lang w:eastAsia="zh-CN"/>
        </w:rPr>
        <w:t>（</w:t>
      </w:r>
      <w:r>
        <w:rPr>
          <w:rFonts w:hint="eastAsia" w:ascii="宋体" w:hAnsi="宋体" w:eastAsia="宋体" w:cs="Times New Roman"/>
          <w:bCs/>
          <w:color w:val="auto"/>
          <w:sz w:val="24"/>
          <w:highlight w:val="none"/>
          <w:lang w:val="en-US" w:eastAsia="zh-CN"/>
        </w:rPr>
        <w:t>5</w:t>
      </w:r>
      <w:r>
        <w:rPr>
          <w:rFonts w:hint="eastAsia" w:ascii="宋体" w:hAnsi="宋体" w:eastAsia="宋体" w:cs="Times New Roman"/>
          <w:bCs/>
          <w:color w:val="auto"/>
          <w:sz w:val="24"/>
          <w:highlight w:val="none"/>
          <w:lang w:eastAsia="zh-CN"/>
        </w:rPr>
        <w:t>）</w:t>
      </w:r>
      <w:r>
        <w:rPr>
          <w:rFonts w:hint="eastAsia" w:ascii="宋体" w:hAnsi="宋体" w:eastAsia="宋体" w:cs="Times New Roman"/>
          <w:bCs/>
          <w:color w:val="auto"/>
          <w:sz w:val="24"/>
          <w:highlight w:val="none"/>
        </w:rPr>
        <w:t>符合招标文件规定的其他证明文件及评分标准中涉及的其他材料。</w:t>
      </w:r>
    </w:p>
    <w:p w14:paraId="64ECEE5C">
      <w:pPr>
        <w:rPr>
          <w:rFonts w:hint="eastAsia"/>
          <w:b/>
          <w:color w:val="auto"/>
          <w:sz w:val="28"/>
          <w:highlight w:val="none"/>
        </w:rPr>
      </w:pPr>
      <w:r>
        <w:rPr>
          <w:rFonts w:hint="eastAsia"/>
          <w:b/>
          <w:color w:val="auto"/>
          <w:sz w:val="28"/>
          <w:highlight w:val="none"/>
        </w:rPr>
        <w:br w:type="page"/>
      </w:r>
    </w:p>
    <w:p w14:paraId="7A502646">
      <w:pPr>
        <w:pStyle w:val="39"/>
        <w:shd w:val="clear" w:color="auto" w:fill="FFFFFF"/>
        <w:spacing w:before="0" w:beforeAutospacing="0" w:after="0" w:afterAutospacing="0" w:line="360" w:lineRule="auto"/>
        <w:rPr>
          <w:rFonts w:hint="eastAsia" w:eastAsia="宋体"/>
          <w:b/>
          <w:color w:val="auto"/>
          <w:sz w:val="28"/>
          <w:highlight w:val="none"/>
          <w:lang w:eastAsia="zh-CN"/>
        </w:rPr>
      </w:pPr>
      <w:r>
        <w:rPr>
          <w:rFonts w:hint="eastAsia"/>
          <w:b/>
          <w:color w:val="auto"/>
          <w:sz w:val="28"/>
          <w:highlight w:val="none"/>
        </w:rPr>
        <w:t>附件</w:t>
      </w:r>
      <w:r>
        <w:rPr>
          <w:rFonts w:hint="eastAsia"/>
          <w:b/>
          <w:color w:val="auto"/>
          <w:sz w:val="28"/>
          <w:highlight w:val="none"/>
          <w:lang w:val="en-US" w:eastAsia="zh-CN"/>
        </w:rPr>
        <w:t>6</w:t>
      </w:r>
    </w:p>
    <w:p w14:paraId="0601F80E">
      <w:pPr>
        <w:ind w:right="-296" w:rightChars="-141"/>
        <w:jc w:val="center"/>
        <w:rPr>
          <w:rFonts w:hint="eastAsia" w:ascii="宋体" w:hAnsi="宋体" w:eastAsia="宋体"/>
          <w:bCs/>
          <w:sz w:val="32"/>
          <w:szCs w:val="32"/>
          <w:highlight w:val="none"/>
          <w:lang w:eastAsia="zh-CN"/>
        </w:rPr>
      </w:pPr>
      <w:r>
        <w:rPr>
          <w:rFonts w:hint="eastAsia"/>
          <w:b/>
          <w:color w:val="auto"/>
          <w:sz w:val="32"/>
          <w:szCs w:val="32"/>
          <w:highlight w:val="none"/>
        </w:rPr>
        <w:t xml:space="preserve"> </w:t>
      </w:r>
      <w:r>
        <w:rPr>
          <w:rFonts w:hint="eastAsia" w:ascii="宋体" w:hAnsi="宋体"/>
          <w:bCs/>
          <w:sz w:val="32"/>
          <w:szCs w:val="32"/>
          <w:highlight w:val="none"/>
          <w:lang w:eastAsia="zh-CN"/>
        </w:rPr>
        <w:t>台州市椒江区前所街道椒北南渠（大树岙村段）综合整治工程</w:t>
      </w:r>
    </w:p>
    <w:p w14:paraId="32CE7CC0">
      <w:pPr>
        <w:ind w:right="-296" w:rightChars="-141"/>
        <w:jc w:val="center"/>
        <w:rPr>
          <w:rFonts w:hint="eastAsia" w:ascii="宋体" w:hAnsi="宋体"/>
          <w:bCs/>
          <w:sz w:val="32"/>
          <w:szCs w:val="32"/>
          <w:highlight w:val="none"/>
        </w:rPr>
      </w:pPr>
      <w:r>
        <w:rPr>
          <w:rFonts w:hint="eastAsia" w:ascii="宋体" w:hAnsi="宋体"/>
          <w:bCs/>
          <w:sz w:val="32"/>
          <w:szCs w:val="32"/>
          <w:highlight w:val="none"/>
        </w:rPr>
        <w:t>项目组人员一览表</w:t>
      </w:r>
    </w:p>
    <w:tbl>
      <w:tblPr>
        <w:tblStyle w:val="24"/>
        <w:tblW w:w="893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6"/>
        <w:gridCol w:w="1562"/>
        <w:gridCol w:w="1418"/>
        <w:gridCol w:w="1134"/>
        <w:gridCol w:w="992"/>
        <w:gridCol w:w="992"/>
        <w:gridCol w:w="992"/>
        <w:gridCol w:w="884"/>
      </w:tblGrid>
      <w:tr w14:paraId="4441FC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8" w:hRule="exact"/>
        </w:trPr>
        <w:tc>
          <w:tcPr>
            <w:tcW w:w="0" w:type="auto"/>
            <w:noWrap w:val="0"/>
            <w:vAlign w:val="center"/>
          </w:tcPr>
          <w:p w14:paraId="0E1DDF7B">
            <w:pPr>
              <w:jc w:val="center"/>
              <w:rPr>
                <w:rFonts w:ascii="宋体" w:hAnsi="宋体"/>
                <w:sz w:val="24"/>
                <w:szCs w:val="22"/>
                <w:highlight w:val="none"/>
              </w:rPr>
            </w:pPr>
            <w:r>
              <w:rPr>
                <w:rFonts w:hint="eastAsia" w:ascii="宋体" w:hAnsi="宋体"/>
                <w:sz w:val="24"/>
                <w:szCs w:val="22"/>
                <w:highlight w:val="none"/>
              </w:rPr>
              <w:t>姓名</w:t>
            </w:r>
          </w:p>
        </w:tc>
        <w:tc>
          <w:tcPr>
            <w:tcW w:w="1562" w:type="dxa"/>
            <w:noWrap w:val="0"/>
            <w:vAlign w:val="center"/>
          </w:tcPr>
          <w:p w14:paraId="255D6B77">
            <w:pPr>
              <w:jc w:val="center"/>
              <w:rPr>
                <w:rFonts w:ascii="宋体" w:hAnsi="宋体"/>
                <w:sz w:val="24"/>
                <w:szCs w:val="22"/>
                <w:highlight w:val="none"/>
              </w:rPr>
            </w:pPr>
            <w:r>
              <w:rPr>
                <w:rFonts w:hint="eastAsia" w:ascii="宋体" w:hAnsi="宋体"/>
                <w:sz w:val="24"/>
                <w:szCs w:val="22"/>
                <w:highlight w:val="none"/>
              </w:rPr>
              <w:t>拟任</w:t>
            </w:r>
          </w:p>
          <w:p w14:paraId="0DE299B1">
            <w:pPr>
              <w:jc w:val="center"/>
              <w:rPr>
                <w:rFonts w:ascii="宋体" w:hAnsi="宋体"/>
                <w:sz w:val="24"/>
                <w:szCs w:val="22"/>
                <w:highlight w:val="none"/>
              </w:rPr>
            </w:pPr>
            <w:r>
              <w:rPr>
                <w:rFonts w:hint="eastAsia" w:ascii="宋体" w:hAnsi="宋体"/>
                <w:sz w:val="24"/>
                <w:szCs w:val="22"/>
                <w:highlight w:val="none"/>
              </w:rPr>
              <w:t>岗位</w:t>
            </w:r>
          </w:p>
        </w:tc>
        <w:tc>
          <w:tcPr>
            <w:tcW w:w="1418" w:type="dxa"/>
            <w:noWrap w:val="0"/>
            <w:vAlign w:val="center"/>
          </w:tcPr>
          <w:p w14:paraId="6F15E0C7">
            <w:pPr>
              <w:jc w:val="center"/>
              <w:rPr>
                <w:rFonts w:ascii="宋体" w:hAnsi="宋体"/>
                <w:sz w:val="24"/>
                <w:szCs w:val="22"/>
                <w:highlight w:val="none"/>
              </w:rPr>
            </w:pPr>
            <w:r>
              <w:rPr>
                <w:rFonts w:hint="eastAsia" w:ascii="宋体" w:hAnsi="宋体"/>
                <w:sz w:val="24"/>
                <w:szCs w:val="22"/>
                <w:highlight w:val="none"/>
              </w:rPr>
              <w:t>专业</w:t>
            </w:r>
          </w:p>
        </w:tc>
        <w:tc>
          <w:tcPr>
            <w:tcW w:w="1134" w:type="dxa"/>
            <w:noWrap w:val="0"/>
            <w:vAlign w:val="center"/>
          </w:tcPr>
          <w:p w14:paraId="318AFC12">
            <w:pPr>
              <w:jc w:val="center"/>
              <w:rPr>
                <w:rFonts w:ascii="宋体" w:hAnsi="宋体"/>
                <w:sz w:val="24"/>
                <w:szCs w:val="22"/>
                <w:highlight w:val="none"/>
              </w:rPr>
            </w:pPr>
            <w:r>
              <w:rPr>
                <w:rFonts w:ascii="宋体" w:hAnsi="宋体"/>
                <w:sz w:val="24"/>
                <w:szCs w:val="22"/>
                <w:highlight w:val="none"/>
              </w:rPr>
              <w:t>证书</w:t>
            </w:r>
          </w:p>
        </w:tc>
        <w:tc>
          <w:tcPr>
            <w:tcW w:w="992" w:type="dxa"/>
            <w:noWrap w:val="0"/>
            <w:vAlign w:val="center"/>
          </w:tcPr>
          <w:p w14:paraId="1E31553B">
            <w:pPr>
              <w:jc w:val="center"/>
              <w:rPr>
                <w:rFonts w:ascii="宋体" w:hAnsi="宋体"/>
                <w:sz w:val="24"/>
                <w:szCs w:val="22"/>
                <w:highlight w:val="none"/>
              </w:rPr>
            </w:pPr>
            <w:r>
              <w:rPr>
                <w:rFonts w:hint="eastAsia" w:ascii="宋体" w:hAnsi="宋体"/>
                <w:sz w:val="24"/>
                <w:szCs w:val="22"/>
                <w:highlight w:val="none"/>
              </w:rPr>
              <w:t>编号</w:t>
            </w:r>
          </w:p>
        </w:tc>
        <w:tc>
          <w:tcPr>
            <w:tcW w:w="992" w:type="dxa"/>
            <w:noWrap w:val="0"/>
            <w:vAlign w:val="center"/>
          </w:tcPr>
          <w:p w14:paraId="4D9D4863">
            <w:pPr>
              <w:jc w:val="center"/>
              <w:rPr>
                <w:rFonts w:ascii="宋体" w:hAnsi="宋体"/>
                <w:sz w:val="24"/>
                <w:szCs w:val="22"/>
                <w:highlight w:val="none"/>
              </w:rPr>
            </w:pPr>
            <w:r>
              <w:rPr>
                <w:rFonts w:hint="eastAsia" w:ascii="宋体" w:hAnsi="宋体"/>
                <w:sz w:val="24"/>
                <w:szCs w:val="22"/>
                <w:highlight w:val="none"/>
              </w:rPr>
              <w:t>职称</w:t>
            </w:r>
          </w:p>
        </w:tc>
        <w:tc>
          <w:tcPr>
            <w:tcW w:w="992" w:type="dxa"/>
            <w:noWrap w:val="0"/>
            <w:vAlign w:val="center"/>
          </w:tcPr>
          <w:p w14:paraId="5207ADAE">
            <w:pPr>
              <w:jc w:val="center"/>
              <w:rPr>
                <w:rFonts w:ascii="宋体" w:hAnsi="宋体"/>
                <w:sz w:val="24"/>
                <w:szCs w:val="22"/>
                <w:highlight w:val="none"/>
              </w:rPr>
            </w:pPr>
            <w:r>
              <w:rPr>
                <w:rFonts w:hint="eastAsia" w:ascii="宋体" w:hAnsi="宋体"/>
                <w:sz w:val="24"/>
                <w:szCs w:val="22"/>
                <w:highlight w:val="none"/>
              </w:rPr>
              <w:t>本岗</w:t>
            </w:r>
          </w:p>
          <w:p w14:paraId="218B65CC">
            <w:pPr>
              <w:jc w:val="center"/>
              <w:rPr>
                <w:rFonts w:ascii="宋体" w:hAnsi="宋体"/>
                <w:sz w:val="24"/>
                <w:szCs w:val="22"/>
                <w:highlight w:val="none"/>
              </w:rPr>
            </w:pPr>
            <w:r>
              <w:rPr>
                <w:rFonts w:hint="eastAsia" w:ascii="宋体" w:hAnsi="宋体"/>
                <w:sz w:val="24"/>
                <w:szCs w:val="22"/>
                <w:highlight w:val="none"/>
              </w:rPr>
              <w:t>工龄</w:t>
            </w:r>
          </w:p>
        </w:tc>
        <w:tc>
          <w:tcPr>
            <w:tcW w:w="884" w:type="dxa"/>
            <w:noWrap w:val="0"/>
            <w:vAlign w:val="center"/>
          </w:tcPr>
          <w:p w14:paraId="4FBEA7EA">
            <w:pPr>
              <w:jc w:val="center"/>
              <w:rPr>
                <w:rFonts w:ascii="宋体" w:hAnsi="宋体"/>
                <w:sz w:val="24"/>
                <w:szCs w:val="22"/>
                <w:highlight w:val="none"/>
              </w:rPr>
            </w:pPr>
            <w:r>
              <w:rPr>
                <w:rFonts w:hint="eastAsia" w:ascii="宋体" w:hAnsi="宋体"/>
                <w:sz w:val="24"/>
                <w:szCs w:val="22"/>
                <w:highlight w:val="none"/>
              </w:rPr>
              <w:t>备注</w:t>
            </w:r>
          </w:p>
        </w:tc>
      </w:tr>
      <w:tr w14:paraId="501C01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1" w:hRule="exact"/>
        </w:trPr>
        <w:tc>
          <w:tcPr>
            <w:tcW w:w="0" w:type="auto"/>
            <w:noWrap w:val="0"/>
            <w:vAlign w:val="center"/>
          </w:tcPr>
          <w:p w14:paraId="549FA821">
            <w:pPr>
              <w:ind w:right="-420" w:rightChars="-200"/>
              <w:rPr>
                <w:rFonts w:ascii="宋体" w:hAnsi="宋体"/>
                <w:sz w:val="28"/>
                <w:highlight w:val="none"/>
              </w:rPr>
            </w:pPr>
          </w:p>
        </w:tc>
        <w:tc>
          <w:tcPr>
            <w:tcW w:w="1562" w:type="dxa"/>
            <w:noWrap w:val="0"/>
            <w:vAlign w:val="center"/>
          </w:tcPr>
          <w:p w14:paraId="71CD070A">
            <w:pPr>
              <w:jc w:val="center"/>
              <w:rPr>
                <w:rFonts w:ascii="宋体" w:hAnsi="宋体"/>
                <w:sz w:val="24"/>
                <w:highlight w:val="none"/>
              </w:rPr>
            </w:pPr>
          </w:p>
        </w:tc>
        <w:tc>
          <w:tcPr>
            <w:tcW w:w="1418" w:type="dxa"/>
            <w:noWrap w:val="0"/>
            <w:vAlign w:val="center"/>
          </w:tcPr>
          <w:p w14:paraId="2355B180">
            <w:pPr>
              <w:jc w:val="center"/>
              <w:rPr>
                <w:rFonts w:ascii="宋体" w:hAnsi="宋体"/>
                <w:highlight w:val="none"/>
              </w:rPr>
            </w:pPr>
          </w:p>
        </w:tc>
        <w:tc>
          <w:tcPr>
            <w:tcW w:w="1134" w:type="dxa"/>
            <w:noWrap w:val="0"/>
            <w:vAlign w:val="center"/>
          </w:tcPr>
          <w:p w14:paraId="1874E37F">
            <w:pPr>
              <w:jc w:val="center"/>
              <w:rPr>
                <w:rFonts w:ascii="宋体" w:hAnsi="宋体"/>
                <w:highlight w:val="none"/>
              </w:rPr>
            </w:pPr>
          </w:p>
        </w:tc>
        <w:tc>
          <w:tcPr>
            <w:tcW w:w="992" w:type="dxa"/>
            <w:noWrap w:val="0"/>
            <w:vAlign w:val="center"/>
          </w:tcPr>
          <w:p w14:paraId="0E9C39EE">
            <w:pPr>
              <w:jc w:val="center"/>
              <w:rPr>
                <w:rFonts w:ascii="宋体" w:hAnsi="宋体"/>
                <w:highlight w:val="none"/>
              </w:rPr>
            </w:pPr>
          </w:p>
        </w:tc>
        <w:tc>
          <w:tcPr>
            <w:tcW w:w="992" w:type="dxa"/>
            <w:noWrap w:val="0"/>
            <w:vAlign w:val="center"/>
          </w:tcPr>
          <w:p w14:paraId="7BE0DD09">
            <w:pPr>
              <w:jc w:val="center"/>
              <w:rPr>
                <w:rFonts w:ascii="宋体" w:hAnsi="宋体"/>
                <w:highlight w:val="none"/>
              </w:rPr>
            </w:pPr>
          </w:p>
        </w:tc>
        <w:tc>
          <w:tcPr>
            <w:tcW w:w="992" w:type="dxa"/>
            <w:noWrap w:val="0"/>
            <w:vAlign w:val="center"/>
          </w:tcPr>
          <w:p w14:paraId="42E3BE04">
            <w:pPr>
              <w:jc w:val="center"/>
              <w:rPr>
                <w:rFonts w:ascii="宋体" w:hAnsi="宋体"/>
                <w:highlight w:val="none"/>
              </w:rPr>
            </w:pPr>
          </w:p>
        </w:tc>
        <w:tc>
          <w:tcPr>
            <w:tcW w:w="884" w:type="dxa"/>
            <w:noWrap w:val="0"/>
            <w:vAlign w:val="center"/>
          </w:tcPr>
          <w:p w14:paraId="3160EFE1">
            <w:pPr>
              <w:jc w:val="center"/>
              <w:rPr>
                <w:rFonts w:ascii="宋体" w:hAnsi="宋体"/>
                <w:highlight w:val="none"/>
              </w:rPr>
            </w:pPr>
          </w:p>
        </w:tc>
      </w:tr>
      <w:tr w14:paraId="4E5311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1" w:hRule="exact"/>
        </w:trPr>
        <w:tc>
          <w:tcPr>
            <w:tcW w:w="0" w:type="auto"/>
            <w:noWrap w:val="0"/>
            <w:vAlign w:val="center"/>
          </w:tcPr>
          <w:p w14:paraId="2A36A917">
            <w:pPr>
              <w:ind w:right="-420" w:rightChars="-200"/>
              <w:rPr>
                <w:rFonts w:ascii="宋体" w:hAnsi="宋体"/>
                <w:sz w:val="28"/>
                <w:highlight w:val="none"/>
              </w:rPr>
            </w:pPr>
          </w:p>
        </w:tc>
        <w:tc>
          <w:tcPr>
            <w:tcW w:w="1562" w:type="dxa"/>
            <w:noWrap w:val="0"/>
            <w:vAlign w:val="center"/>
          </w:tcPr>
          <w:p w14:paraId="28B2D507">
            <w:pPr>
              <w:jc w:val="center"/>
              <w:rPr>
                <w:rFonts w:hint="eastAsia" w:ascii="宋体" w:hAnsi="宋体" w:cs="宋体"/>
                <w:sz w:val="24"/>
                <w:highlight w:val="none"/>
              </w:rPr>
            </w:pPr>
          </w:p>
        </w:tc>
        <w:tc>
          <w:tcPr>
            <w:tcW w:w="1418" w:type="dxa"/>
            <w:noWrap w:val="0"/>
            <w:vAlign w:val="center"/>
          </w:tcPr>
          <w:p w14:paraId="62614B64">
            <w:pPr>
              <w:jc w:val="center"/>
              <w:rPr>
                <w:rFonts w:hint="eastAsia" w:ascii="宋体" w:hAnsi="宋体" w:cs="宋体"/>
                <w:sz w:val="24"/>
                <w:highlight w:val="none"/>
              </w:rPr>
            </w:pPr>
          </w:p>
        </w:tc>
        <w:tc>
          <w:tcPr>
            <w:tcW w:w="1134" w:type="dxa"/>
            <w:noWrap w:val="0"/>
            <w:vAlign w:val="center"/>
          </w:tcPr>
          <w:p w14:paraId="7953F2F6">
            <w:pPr>
              <w:jc w:val="center"/>
              <w:rPr>
                <w:rFonts w:hint="eastAsia" w:ascii="宋体" w:hAnsi="宋体" w:cs="宋体"/>
                <w:sz w:val="24"/>
                <w:highlight w:val="none"/>
              </w:rPr>
            </w:pPr>
          </w:p>
        </w:tc>
        <w:tc>
          <w:tcPr>
            <w:tcW w:w="992" w:type="dxa"/>
            <w:noWrap w:val="0"/>
            <w:vAlign w:val="center"/>
          </w:tcPr>
          <w:p w14:paraId="799A6480">
            <w:pPr>
              <w:jc w:val="center"/>
              <w:rPr>
                <w:rFonts w:hint="eastAsia" w:ascii="宋体" w:hAnsi="宋体" w:cs="宋体"/>
                <w:sz w:val="24"/>
                <w:highlight w:val="none"/>
              </w:rPr>
            </w:pPr>
          </w:p>
        </w:tc>
        <w:tc>
          <w:tcPr>
            <w:tcW w:w="992" w:type="dxa"/>
            <w:noWrap w:val="0"/>
            <w:vAlign w:val="center"/>
          </w:tcPr>
          <w:p w14:paraId="5805B9C4">
            <w:pPr>
              <w:jc w:val="center"/>
              <w:rPr>
                <w:rFonts w:hint="eastAsia" w:ascii="宋体" w:hAnsi="宋体" w:cs="宋体"/>
                <w:sz w:val="24"/>
                <w:highlight w:val="none"/>
              </w:rPr>
            </w:pPr>
          </w:p>
        </w:tc>
        <w:tc>
          <w:tcPr>
            <w:tcW w:w="992" w:type="dxa"/>
            <w:noWrap w:val="0"/>
            <w:vAlign w:val="center"/>
          </w:tcPr>
          <w:p w14:paraId="1E646A78">
            <w:pPr>
              <w:jc w:val="center"/>
              <w:rPr>
                <w:rFonts w:hint="eastAsia" w:ascii="宋体" w:hAnsi="宋体" w:cs="宋体"/>
                <w:sz w:val="24"/>
                <w:highlight w:val="none"/>
              </w:rPr>
            </w:pPr>
          </w:p>
        </w:tc>
        <w:tc>
          <w:tcPr>
            <w:tcW w:w="884" w:type="dxa"/>
            <w:noWrap w:val="0"/>
            <w:vAlign w:val="center"/>
          </w:tcPr>
          <w:p w14:paraId="10C322CA">
            <w:pPr>
              <w:jc w:val="center"/>
              <w:rPr>
                <w:rFonts w:hint="eastAsia" w:ascii="宋体" w:hAnsi="宋体" w:cs="宋体"/>
                <w:sz w:val="24"/>
                <w:highlight w:val="none"/>
              </w:rPr>
            </w:pPr>
          </w:p>
        </w:tc>
      </w:tr>
      <w:tr w14:paraId="5FECAE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exact"/>
        </w:trPr>
        <w:tc>
          <w:tcPr>
            <w:tcW w:w="0" w:type="auto"/>
            <w:noWrap w:val="0"/>
            <w:vAlign w:val="center"/>
          </w:tcPr>
          <w:p w14:paraId="74C0C699">
            <w:pPr>
              <w:rPr>
                <w:rFonts w:ascii="宋体" w:hAnsi="宋体"/>
                <w:sz w:val="28"/>
                <w:highlight w:val="none"/>
              </w:rPr>
            </w:pPr>
          </w:p>
        </w:tc>
        <w:tc>
          <w:tcPr>
            <w:tcW w:w="1562" w:type="dxa"/>
            <w:noWrap w:val="0"/>
            <w:vAlign w:val="center"/>
          </w:tcPr>
          <w:p w14:paraId="2134F011">
            <w:pPr>
              <w:jc w:val="center"/>
              <w:rPr>
                <w:rFonts w:hint="eastAsia" w:ascii="宋体" w:hAnsi="宋体" w:cs="宋体"/>
                <w:sz w:val="24"/>
                <w:highlight w:val="none"/>
              </w:rPr>
            </w:pPr>
          </w:p>
        </w:tc>
        <w:tc>
          <w:tcPr>
            <w:tcW w:w="1418" w:type="dxa"/>
            <w:noWrap w:val="0"/>
            <w:vAlign w:val="center"/>
          </w:tcPr>
          <w:p w14:paraId="07E55C16">
            <w:pPr>
              <w:jc w:val="center"/>
              <w:rPr>
                <w:rFonts w:hint="eastAsia" w:ascii="宋体" w:hAnsi="宋体" w:cs="宋体"/>
                <w:sz w:val="24"/>
                <w:highlight w:val="none"/>
              </w:rPr>
            </w:pPr>
          </w:p>
        </w:tc>
        <w:tc>
          <w:tcPr>
            <w:tcW w:w="1134" w:type="dxa"/>
            <w:noWrap w:val="0"/>
            <w:vAlign w:val="center"/>
          </w:tcPr>
          <w:p w14:paraId="68BC5832">
            <w:pPr>
              <w:jc w:val="center"/>
              <w:rPr>
                <w:rFonts w:hint="eastAsia" w:ascii="宋体" w:hAnsi="宋体" w:cs="宋体"/>
                <w:sz w:val="24"/>
                <w:highlight w:val="none"/>
              </w:rPr>
            </w:pPr>
          </w:p>
        </w:tc>
        <w:tc>
          <w:tcPr>
            <w:tcW w:w="992" w:type="dxa"/>
            <w:noWrap w:val="0"/>
            <w:vAlign w:val="center"/>
          </w:tcPr>
          <w:p w14:paraId="205A9439">
            <w:pPr>
              <w:jc w:val="center"/>
              <w:rPr>
                <w:rFonts w:hint="eastAsia" w:ascii="宋体" w:hAnsi="宋体" w:cs="宋体"/>
                <w:sz w:val="24"/>
                <w:highlight w:val="none"/>
              </w:rPr>
            </w:pPr>
          </w:p>
        </w:tc>
        <w:tc>
          <w:tcPr>
            <w:tcW w:w="992" w:type="dxa"/>
            <w:noWrap w:val="0"/>
            <w:vAlign w:val="center"/>
          </w:tcPr>
          <w:p w14:paraId="57CB9A83">
            <w:pPr>
              <w:jc w:val="center"/>
              <w:rPr>
                <w:rFonts w:hint="eastAsia" w:ascii="宋体" w:hAnsi="宋体" w:cs="宋体"/>
                <w:sz w:val="24"/>
                <w:highlight w:val="none"/>
              </w:rPr>
            </w:pPr>
          </w:p>
        </w:tc>
        <w:tc>
          <w:tcPr>
            <w:tcW w:w="992" w:type="dxa"/>
            <w:noWrap w:val="0"/>
            <w:vAlign w:val="center"/>
          </w:tcPr>
          <w:p w14:paraId="087D1994">
            <w:pPr>
              <w:jc w:val="center"/>
              <w:rPr>
                <w:rFonts w:hint="eastAsia" w:ascii="宋体" w:hAnsi="宋体" w:cs="宋体"/>
                <w:sz w:val="24"/>
                <w:highlight w:val="none"/>
              </w:rPr>
            </w:pPr>
          </w:p>
        </w:tc>
        <w:tc>
          <w:tcPr>
            <w:tcW w:w="884" w:type="dxa"/>
            <w:noWrap w:val="0"/>
            <w:vAlign w:val="center"/>
          </w:tcPr>
          <w:p w14:paraId="3B2D8DED">
            <w:pPr>
              <w:jc w:val="center"/>
              <w:rPr>
                <w:rFonts w:hint="eastAsia" w:ascii="宋体" w:hAnsi="宋体" w:cs="宋体"/>
                <w:sz w:val="24"/>
                <w:highlight w:val="none"/>
              </w:rPr>
            </w:pPr>
          </w:p>
        </w:tc>
      </w:tr>
      <w:tr w14:paraId="64D657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exact"/>
        </w:trPr>
        <w:tc>
          <w:tcPr>
            <w:tcW w:w="0" w:type="auto"/>
            <w:noWrap w:val="0"/>
            <w:vAlign w:val="center"/>
          </w:tcPr>
          <w:p w14:paraId="4375F347">
            <w:pPr>
              <w:rPr>
                <w:rFonts w:ascii="宋体" w:hAnsi="宋体"/>
                <w:sz w:val="28"/>
                <w:highlight w:val="none"/>
              </w:rPr>
            </w:pPr>
          </w:p>
        </w:tc>
        <w:tc>
          <w:tcPr>
            <w:tcW w:w="1562" w:type="dxa"/>
            <w:noWrap w:val="0"/>
            <w:vAlign w:val="center"/>
          </w:tcPr>
          <w:p w14:paraId="06E1D7F9">
            <w:pPr>
              <w:jc w:val="center"/>
              <w:rPr>
                <w:rFonts w:ascii="宋体" w:hAnsi="宋体"/>
                <w:highlight w:val="none"/>
              </w:rPr>
            </w:pPr>
          </w:p>
        </w:tc>
        <w:tc>
          <w:tcPr>
            <w:tcW w:w="1418" w:type="dxa"/>
            <w:noWrap w:val="0"/>
            <w:vAlign w:val="center"/>
          </w:tcPr>
          <w:p w14:paraId="289AD408">
            <w:pPr>
              <w:jc w:val="center"/>
              <w:rPr>
                <w:rFonts w:ascii="宋体" w:hAnsi="宋体"/>
                <w:highlight w:val="none"/>
              </w:rPr>
            </w:pPr>
          </w:p>
        </w:tc>
        <w:tc>
          <w:tcPr>
            <w:tcW w:w="1134" w:type="dxa"/>
            <w:noWrap w:val="0"/>
            <w:vAlign w:val="center"/>
          </w:tcPr>
          <w:p w14:paraId="54F7C4A3">
            <w:pPr>
              <w:jc w:val="center"/>
              <w:rPr>
                <w:rFonts w:ascii="宋体" w:hAnsi="宋体"/>
                <w:highlight w:val="none"/>
              </w:rPr>
            </w:pPr>
          </w:p>
        </w:tc>
        <w:tc>
          <w:tcPr>
            <w:tcW w:w="992" w:type="dxa"/>
            <w:noWrap w:val="0"/>
            <w:vAlign w:val="center"/>
          </w:tcPr>
          <w:p w14:paraId="52F2CF84">
            <w:pPr>
              <w:jc w:val="center"/>
              <w:rPr>
                <w:rFonts w:ascii="宋体" w:hAnsi="宋体"/>
                <w:highlight w:val="none"/>
              </w:rPr>
            </w:pPr>
          </w:p>
        </w:tc>
        <w:tc>
          <w:tcPr>
            <w:tcW w:w="992" w:type="dxa"/>
            <w:noWrap w:val="0"/>
            <w:vAlign w:val="center"/>
          </w:tcPr>
          <w:p w14:paraId="13996339">
            <w:pPr>
              <w:jc w:val="center"/>
              <w:rPr>
                <w:rFonts w:ascii="宋体" w:hAnsi="宋体"/>
                <w:highlight w:val="none"/>
              </w:rPr>
            </w:pPr>
          </w:p>
        </w:tc>
        <w:tc>
          <w:tcPr>
            <w:tcW w:w="992" w:type="dxa"/>
            <w:noWrap w:val="0"/>
            <w:vAlign w:val="center"/>
          </w:tcPr>
          <w:p w14:paraId="24DF5690">
            <w:pPr>
              <w:jc w:val="center"/>
              <w:rPr>
                <w:rFonts w:ascii="宋体" w:hAnsi="宋体"/>
                <w:highlight w:val="none"/>
              </w:rPr>
            </w:pPr>
          </w:p>
        </w:tc>
        <w:tc>
          <w:tcPr>
            <w:tcW w:w="884" w:type="dxa"/>
            <w:noWrap w:val="0"/>
            <w:vAlign w:val="top"/>
          </w:tcPr>
          <w:p w14:paraId="7E510CB7">
            <w:pPr>
              <w:jc w:val="center"/>
              <w:rPr>
                <w:rFonts w:ascii="宋体" w:hAnsi="宋体"/>
                <w:sz w:val="24"/>
                <w:highlight w:val="none"/>
              </w:rPr>
            </w:pPr>
          </w:p>
        </w:tc>
      </w:tr>
      <w:tr w14:paraId="68D4DB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exact"/>
        </w:trPr>
        <w:tc>
          <w:tcPr>
            <w:tcW w:w="0" w:type="auto"/>
            <w:noWrap w:val="0"/>
            <w:vAlign w:val="center"/>
          </w:tcPr>
          <w:p w14:paraId="77DB3FD8">
            <w:pPr>
              <w:rPr>
                <w:rFonts w:ascii="宋体" w:hAnsi="宋体"/>
                <w:sz w:val="28"/>
                <w:highlight w:val="none"/>
              </w:rPr>
            </w:pPr>
          </w:p>
        </w:tc>
        <w:tc>
          <w:tcPr>
            <w:tcW w:w="1562" w:type="dxa"/>
            <w:noWrap w:val="0"/>
            <w:vAlign w:val="center"/>
          </w:tcPr>
          <w:p w14:paraId="420EE3B5">
            <w:pPr>
              <w:jc w:val="center"/>
              <w:rPr>
                <w:rFonts w:ascii="宋体" w:hAnsi="宋体"/>
                <w:sz w:val="24"/>
                <w:highlight w:val="none"/>
              </w:rPr>
            </w:pPr>
            <w:r>
              <w:rPr>
                <w:rFonts w:hint="eastAsia" w:ascii="宋体" w:hAnsi="宋体"/>
                <w:sz w:val="24"/>
                <w:highlight w:val="none"/>
              </w:rPr>
              <w:t>…</w:t>
            </w:r>
          </w:p>
        </w:tc>
        <w:tc>
          <w:tcPr>
            <w:tcW w:w="1418" w:type="dxa"/>
            <w:noWrap w:val="0"/>
            <w:vAlign w:val="center"/>
          </w:tcPr>
          <w:p w14:paraId="31EB9E6D">
            <w:pPr>
              <w:jc w:val="center"/>
              <w:rPr>
                <w:rFonts w:ascii="宋体" w:hAnsi="宋体"/>
                <w:highlight w:val="none"/>
              </w:rPr>
            </w:pPr>
          </w:p>
        </w:tc>
        <w:tc>
          <w:tcPr>
            <w:tcW w:w="1134" w:type="dxa"/>
            <w:noWrap w:val="0"/>
            <w:vAlign w:val="center"/>
          </w:tcPr>
          <w:p w14:paraId="0EF9B8CB">
            <w:pPr>
              <w:jc w:val="center"/>
              <w:rPr>
                <w:rFonts w:ascii="宋体" w:hAnsi="宋体"/>
                <w:highlight w:val="none"/>
              </w:rPr>
            </w:pPr>
          </w:p>
        </w:tc>
        <w:tc>
          <w:tcPr>
            <w:tcW w:w="992" w:type="dxa"/>
            <w:noWrap w:val="0"/>
            <w:vAlign w:val="center"/>
          </w:tcPr>
          <w:p w14:paraId="7A41A35D">
            <w:pPr>
              <w:jc w:val="center"/>
              <w:rPr>
                <w:rFonts w:ascii="宋体" w:hAnsi="宋体"/>
                <w:highlight w:val="none"/>
              </w:rPr>
            </w:pPr>
          </w:p>
        </w:tc>
        <w:tc>
          <w:tcPr>
            <w:tcW w:w="992" w:type="dxa"/>
            <w:noWrap w:val="0"/>
            <w:vAlign w:val="center"/>
          </w:tcPr>
          <w:p w14:paraId="62C3CBC5">
            <w:pPr>
              <w:jc w:val="center"/>
              <w:rPr>
                <w:rFonts w:ascii="宋体" w:hAnsi="宋体"/>
                <w:highlight w:val="none"/>
              </w:rPr>
            </w:pPr>
          </w:p>
        </w:tc>
        <w:tc>
          <w:tcPr>
            <w:tcW w:w="992" w:type="dxa"/>
            <w:noWrap w:val="0"/>
            <w:vAlign w:val="center"/>
          </w:tcPr>
          <w:p w14:paraId="4165B903">
            <w:pPr>
              <w:jc w:val="center"/>
              <w:rPr>
                <w:rFonts w:ascii="宋体" w:hAnsi="宋体"/>
                <w:highlight w:val="none"/>
              </w:rPr>
            </w:pPr>
          </w:p>
        </w:tc>
        <w:tc>
          <w:tcPr>
            <w:tcW w:w="884" w:type="dxa"/>
            <w:noWrap w:val="0"/>
            <w:vAlign w:val="top"/>
          </w:tcPr>
          <w:p w14:paraId="5B76B172">
            <w:pPr>
              <w:jc w:val="center"/>
              <w:rPr>
                <w:rFonts w:ascii="宋体" w:hAnsi="宋体"/>
                <w:sz w:val="24"/>
                <w:highlight w:val="none"/>
              </w:rPr>
            </w:pPr>
          </w:p>
        </w:tc>
      </w:tr>
      <w:tr w14:paraId="42FCB4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exact"/>
        </w:trPr>
        <w:tc>
          <w:tcPr>
            <w:tcW w:w="0" w:type="auto"/>
            <w:noWrap w:val="0"/>
            <w:vAlign w:val="center"/>
          </w:tcPr>
          <w:p w14:paraId="4C7B646A">
            <w:pPr>
              <w:rPr>
                <w:rFonts w:ascii="宋体" w:hAnsi="宋体"/>
                <w:sz w:val="28"/>
                <w:highlight w:val="none"/>
              </w:rPr>
            </w:pPr>
          </w:p>
        </w:tc>
        <w:tc>
          <w:tcPr>
            <w:tcW w:w="1562" w:type="dxa"/>
            <w:noWrap w:val="0"/>
            <w:vAlign w:val="center"/>
          </w:tcPr>
          <w:p w14:paraId="16573750">
            <w:pPr>
              <w:jc w:val="center"/>
              <w:rPr>
                <w:rFonts w:ascii="宋体" w:hAnsi="宋体"/>
                <w:sz w:val="24"/>
                <w:highlight w:val="none"/>
              </w:rPr>
            </w:pPr>
          </w:p>
        </w:tc>
        <w:tc>
          <w:tcPr>
            <w:tcW w:w="1418" w:type="dxa"/>
            <w:noWrap w:val="0"/>
            <w:vAlign w:val="center"/>
          </w:tcPr>
          <w:p w14:paraId="2A0CC066">
            <w:pPr>
              <w:jc w:val="center"/>
              <w:rPr>
                <w:rFonts w:ascii="宋体" w:hAnsi="宋体"/>
                <w:highlight w:val="none"/>
              </w:rPr>
            </w:pPr>
          </w:p>
        </w:tc>
        <w:tc>
          <w:tcPr>
            <w:tcW w:w="1134" w:type="dxa"/>
            <w:noWrap w:val="0"/>
            <w:vAlign w:val="center"/>
          </w:tcPr>
          <w:p w14:paraId="28CBD82E">
            <w:pPr>
              <w:jc w:val="center"/>
              <w:rPr>
                <w:rFonts w:ascii="宋体" w:hAnsi="宋体"/>
                <w:highlight w:val="none"/>
              </w:rPr>
            </w:pPr>
          </w:p>
        </w:tc>
        <w:tc>
          <w:tcPr>
            <w:tcW w:w="992" w:type="dxa"/>
            <w:noWrap w:val="0"/>
            <w:vAlign w:val="center"/>
          </w:tcPr>
          <w:p w14:paraId="1EB46C0D">
            <w:pPr>
              <w:jc w:val="center"/>
              <w:rPr>
                <w:rFonts w:ascii="宋体" w:hAnsi="宋体"/>
                <w:highlight w:val="none"/>
              </w:rPr>
            </w:pPr>
          </w:p>
        </w:tc>
        <w:tc>
          <w:tcPr>
            <w:tcW w:w="992" w:type="dxa"/>
            <w:noWrap w:val="0"/>
            <w:vAlign w:val="center"/>
          </w:tcPr>
          <w:p w14:paraId="2ADAA394">
            <w:pPr>
              <w:jc w:val="center"/>
              <w:rPr>
                <w:rFonts w:ascii="宋体" w:hAnsi="宋体"/>
                <w:highlight w:val="none"/>
              </w:rPr>
            </w:pPr>
          </w:p>
        </w:tc>
        <w:tc>
          <w:tcPr>
            <w:tcW w:w="992" w:type="dxa"/>
            <w:noWrap w:val="0"/>
            <w:vAlign w:val="center"/>
          </w:tcPr>
          <w:p w14:paraId="1960E6F9">
            <w:pPr>
              <w:jc w:val="center"/>
              <w:rPr>
                <w:rFonts w:ascii="宋体" w:hAnsi="宋体"/>
                <w:highlight w:val="none"/>
              </w:rPr>
            </w:pPr>
          </w:p>
        </w:tc>
        <w:tc>
          <w:tcPr>
            <w:tcW w:w="884" w:type="dxa"/>
            <w:noWrap w:val="0"/>
            <w:vAlign w:val="top"/>
          </w:tcPr>
          <w:p w14:paraId="64D39F80">
            <w:pPr>
              <w:jc w:val="center"/>
              <w:rPr>
                <w:rFonts w:ascii="宋体" w:hAnsi="宋体"/>
                <w:sz w:val="24"/>
                <w:highlight w:val="none"/>
              </w:rPr>
            </w:pPr>
          </w:p>
        </w:tc>
      </w:tr>
      <w:tr w14:paraId="4326CD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exact"/>
        </w:trPr>
        <w:tc>
          <w:tcPr>
            <w:tcW w:w="0" w:type="auto"/>
            <w:noWrap w:val="0"/>
            <w:vAlign w:val="center"/>
          </w:tcPr>
          <w:p w14:paraId="2AC62A46">
            <w:pPr>
              <w:rPr>
                <w:rFonts w:ascii="宋体" w:hAnsi="宋体"/>
                <w:sz w:val="28"/>
                <w:highlight w:val="none"/>
              </w:rPr>
            </w:pPr>
          </w:p>
        </w:tc>
        <w:tc>
          <w:tcPr>
            <w:tcW w:w="1562" w:type="dxa"/>
            <w:noWrap w:val="0"/>
            <w:vAlign w:val="center"/>
          </w:tcPr>
          <w:p w14:paraId="507DAFF5">
            <w:pPr>
              <w:jc w:val="center"/>
              <w:rPr>
                <w:rFonts w:ascii="宋体" w:hAnsi="宋体"/>
                <w:sz w:val="24"/>
                <w:highlight w:val="none"/>
              </w:rPr>
            </w:pPr>
          </w:p>
        </w:tc>
        <w:tc>
          <w:tcPr>
            <w:tcW w:w="1418" w:type="dxa"/>
            <w:noWrap w:val="0"/>
            <w:vAlign w:val="center"/>
          </w:tcPr>
          <w:p w14:paraId="1D0CBFA7">
            <w:pPr>
              <w:jc w:val="center"/>
              <w:rPr>
                <w:rFonts w:ascii="宋体" w:hAnsi="宋体"/>
                <w:highlight w:val="none"/>
              </w:rPr>
            </w:pPr>
          </w:p>
        </w:tc>
        <w:tc>
          <w:tcPr>
            <w:tcW w:w="1134" w:type="dxa"/>
            <w:noWrap w:val="0"/>
            <w:vAlign w:val="center"/>
          </w:tcPr>
          <w:p w14:paraId="7283CA6D">
            <w:pPr>
              <w:jc w:val="center"/>
              <w:rPr>
                <w:rFonts w:ascii="宋体" w:hAnsi="宋体"/>
                <w:highlight w:val="none"/>
              </w:rPr>
            </w:pPr>
          </w:p>
        </w:tc>
        <w:tc>
          <w:tcPr>
            <w:tcW w:w="992" w:type="dxa"/>
            <w:noWrap w:val="0"/>
            <w:vAlign w:val="center"/>
          </w:tcPr>
          <w:p w14:paraId="42352C19">
            <w:pPr>
              <w:jc w:val="center"/>
              <w:rPr>
                <w:rFonts w:ascii="宋体" w:hAnsi="宋体"/>
                <w:highlight w:val="none"/>
              </w:rPr>
            </w:pPr>
          </w:p>
        </w:tc>
        <w:tc>
          <w:tcPr>
            <w:tcW w:w="992" w:type="dxa"/>
            <w:noWrap w:val="0"/>
            <w:vAlign w:val="center"/>
          </w:tcPr>
          <w:p w14:paraId="3041D562">
            <w:pPr>
              <w:jc w:val="center"/>
              <w:rPr>
                <w:rFonts w:ascii="宋体" w:hAnsi="宋体"/>
                <w:highlight w:val="none"/>
              </w:rPr>
            </w:pPr>
          </w:p>
        </w:tc>
        <w:tc>
          <w:tcPr>
            <w:tcW w:w="992" w:type="dxa"/>
            <w:noWrap w:val="0"/>
            <w:vAlign w:val="center"/>
          </w:tcPr>
          <w:p w14:paraId="5765FCFD">
            <w:pPr>
              <w:jc w:val="center"/>
              <w:rPr>
                <w:rFonts w:ascii="宋体" w:hAnsi="宋体"/>
                <w:highlight w:val="none"/>
              </w:rPr>
            </w:pPr>
          </w:p>
        </w:tc>
        <w:tc>
          <w:tcPr>
            <w:tcW w:w="884" w:type="dxa"/>
            <w:noWrap w:val="0"/>
            <w:vAlign w:val="top"/>
          </w:tcPr>
          <w:p w14:paraId="3BAC098C">
            <w:pPr>
              <w:jc w:val="center"/>
              <w:rPr>
                <w:rFonts w:ascii="宋体" w:hAnsi="宋体"/>
                <w:sz w:val="24"/>
                <w:highlight w:val="none"/>
              </w:rPr>
            </w:pPr>
          </w:p>
        </w:tc>
      </w:tr>
      <w:tr w14:paraId="318D2E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exact"/>
        </w:trPr>
        <w:tc>
          <w:tcPr>
            <w:tcW w:w="0" w:type="auto"/>
            <w:tcBorders>
              <w:top w:val="single" w:color="auto" w:sz="4" w:space="0"/>
              <w:left w:val="single" w:color="auto" w:sz="4" w:space="0"/>
              <w:bottom w:val="single" w:color="auto" w:sz="4" w:space="0"/>
              <w:right w:val="single" w:color="auto" w:sz="4" w:space="0"/>
            </w:tcBorders>
            <w:noWrap w:val="0"/>
            <w:vAlign w:val="top"/>
          </w:tcPr>
          <w:p w14:paraId="70300973">
            <w:pPr>
              <w:rPr>
                <w:rFonts w:ascii="宋体" w:hAnsi="宋体"/>
                <w:highlight w:val="none"/>
              </w:rPr>
            </w:pPr>
          </w:p>
        </w:tc>
        <w:tc>
          <w:tcPr>
            <w:tcW w:w="1562" w:type="dxa"/>
            <w:tcBorders>
              <w:top w:val="single" w:color="auto" w:sz="4" w:space="0"/>
              <w:left w:val="single" w:color="auto" w:sz="4" w:space="0"/>
              <w:bottom w:val="single" w:color="auto" w:sz="4" w:space="0"/>
              <w:right w:val="single" w:color="auto" w:sz="4" w:space="0"/>
            </w:tcBorders>
            <w:noWrap w:val="0"/>
            <w:vAlign w:val="center"/>
          </w:tcPr>
          <w:p w14:paraId="14FF4E25">
            <w:pPr>
              <w:jc w:val="center"/>
              <w:rPr>
                <w:rFonts w:ascii="宋体" w:hAnsi="宋体"/>
                <w:sz w:val="24"/>
                <w:highlight w:val="none"/>
              </w:rPr>
            </w:pPr>
          </w:p>
        </w:tc>
        <w:tc>
          <w:tcPr>
            <w:tcW w:w="1418" w:type="dxa"/>
            <w:tcBorders>
              <w:top w:val="single" w:color="auto" w:sz="4" w:space="0"/>
              <w:left w:val="single" w:color="auto" w:sz="4" w:space="0"/>
              <w:bottom w:val="single" w:color="auto" w:sz="4" w:space="0"/>
              <w:right w:val="single" w:color="auto" w:sz="4" w:space="0"/>
            </w:tcBorders>
            <w:noWrap w:val="0"/>
            <w:vAlign w:val="top"/>
          </w:tcPr>
          <w:p w14:paraId="01103803">
            <w:pPr>
              <w:jc w:val="center"/>
              <w:rPr>
                <w:rFonts w:ascii="宋体" w:hAnsi="宋体"/>
                <w:sz w:val="24"/>
                <w:highlight w:val="none"/>
              </w:rPr>
            </w:pPr>
          </w:p>
        </w:tc>
        <w:tc>
          <w:tcPr>
            <w:tcW w:w="1134" w:type="dxa"/>
            <w:tcBorders>
              <w:top w:val="single" w:color="auto" w:sz="4" w:space="0"/>
              <w:left w:val="single" w:color="auto" w:sz="4" w:space="0"/>
              <w:bottom w:val="single" w:color="auto" w:sz="4" w:space="0"/>
              <w:right w:val="single" w:color="auto" w:sz="4" w:space="0"/>
            </w:tcBorders>
            <w:noWrap w:val="0"/>
            <w:vAlign w:val="top"/>
          </w:tcPr>
          <w:p w14:paraId="7173B11C">
            <w:pPr>
              <w:jc w:val="center"/>
              <w:rPr>
                <w:rFonts w:ascii="宋体" w:hAnsi="宋体"/>
                <w:sz w:val="24"/>
                <w:highlight w:val="none"/>
              </w:rPr>
            </w:pPr>
          </w:p>
        </w:tc>
        <w:tc>
          <w:tcPr>
            <w:tcW w:w="992" w:type="dxa"/>
            <w:tcBorders>
              <w:top w:val="single" w:color="auto" w:sz="4" w:space="0"/>
              <w:left w:val="single" w:color="auto" w:sz="4" w:space="0"/>
              <w:bottom w:val="single" w:color="auto" w:sz="4" w:space="0"/>
              <w:right w:val="single" w:color="auto" w:sz="4" w:space="0"/>
            </w:tcBorders>
            <w:noWrap w:val="0"/>
            <w:vAlign w:val="top"/>
          </w:tcPr>
          <w:p w14:paraId="2B34FBB1">
            <w:pPr>
              <w:jc w:val="center"/>
              <w:rPr>
                <w:rFonts w:ascii="宋体" w:hAnsi="宋体"/>
                <w:sz w:val="24"/>
                <w:highlight w:val="none"/>
              </w:rPr>
            </w:pPr>
          </w:p>
        </w:tc>
        <w:tc>
          <w:tcPr>
            <w:tcW w:w="992" w:type="dxa"/>
            <w:tcBorders>
              <w:top w:val="single" w:color="auto" w:sz="4" w:space="0"/>
              <w:left w:val="single" w:color="auto" w:sz="4" w:space="0"/>
              <w:bottom w:val="single" w:color="auto" w:sz="4" w:space="0"/>
              <w:right w:val="single" w:color="auto" w:sz="4" w:space="0"/>
            </w:tcBorders>
            <w:noWrap w:val="0"/>
            <w:vAlign w:val="top"/>
          </w:tcPr>
          <w:p w14:paraId="5342DD64">
            <w:pPr>
              <w:jc w:val="center"/>
              <w:rPr>
                <w:rFonts w:ascii="宋体" w:hAnsi="宋体"/>
                <w:sz w:val="24"/>
                <w:highlight w:val="none"/>
              </w:rPr>
            </w:pPr>
          </w:p>
        </w:tc>
        <w:tc>
          <w:tcPr>
            <w:tcW w:w="992" w:type="dxa"/>
            <w:tcBorders>
              <w:top w:val="single" w:color="auto" w:sz="4" w:space="0"/>
              <w:left w:val="single" w:color="auto" w:sz="4" w:space="0"/>
              <w:bottom w:val="single" w:color="auto" w:sz="4" w:space="0"/>
              <w:right w:val="single" w:color="auto" w:sz="4" w:space="0"/>
            </w:tcBorders>
            <w:noWrap w:val="0"/>
            <w:vAlign w:val="top"/>
          </w:tcPr>
          <w:p w14:paraId="17F56569">
            <w:pPr>
              <w:jc w:val="center"/>
              <w:rPr>
                <w:rFonts w:ascii="宋体" w:hAnsi="宋体"/>
                <w:sz w:val="24"/>
                <w:highlight w:val="none"/>
              </w:rPr>
            </w:pPr>
          </w:p>
        </w:tc>
        <w:tc>
          <w:tcPr>
            <w:tcW w:w="884" w:type="dxa"/>
            <w:tcBorders>
              <w:top w:val="single" w:color="auto" w:sz="4" w:space="0"/>
              <w:left w:val="single" w:color="auto" w:sz="4" w:space="0"/>
              <w:bottom w:val="single" w:color="auto" w:sz="4" w:space="0"/>
              <w:right w:val="single" w:color="auto" w:sz="4" w:space="0"/>
            </w:tcBorders>
            <w:noWrap w:val="0"/>
            <w:vAlign w:val="top"/>
          </w:tcPr>
          <w:p w14:paraId="49600AEC">
            <w:pPr>
              <w:jc w:val="center"/>
              <w:rPr>
                <w:rFonts w:ascii="宋体" w:hAnsi="宋体"/>
                <w:sz w:val="24"/>
                <w:highlight w:val="none"/>
              </w:rPr>
            </w:pPr>
          </w:p>
        </w:tc>
      </w:tr>
    </w:tbl>
    <w:p w14:paraId="7EE5C8E9">
      <w:pPr>
        <w:pStyle w:val="72"/>
        <w:rPr>
          <w:rFonts w:ascii="宋体" w:hAnsi="宋体" w:eastAsia="宋体"/>
          <w:sz w:val="24"/>
          <w:highlight w:val="none"/>
        </w:rPr>
      </w:pPr>
      <w:r>
        <w:rPr>
          <w:rFonts w:hint="eastAsia" w:ascii="宋体" w:hAnsi="宋体" w:eastAsia="宋体"/>
          <w:sz w:val="24"/>
          <w:highlight w:val="none"/>
        </w:rPr>
        <w:t>须满足第</w:t>
      </w:r>
      <w:r>
        <w:rPr>
          <w:rFonts w:hint="eastAsia" w:ascii="宋体" w:hAnsi="宋体" w:eastAsia="宋体"/>
          <w:sz w:val="24"/>
          <w:highlight w:val="none"/>
          <w:lang w:val="en-US" w:eastAsia="zh-CN"/>
        </w:rPr>
        <w:t>三</w:t>
      </w:r>
      <w:r>
        <w:rPr>
          <w:rFonts w:hint="eastAsia" w:ascii="宋体" w:hAnsi="宋体" w:eastAsia="宋体"/>
          <w:sz w:val="24"/>
          <w:highlight w:val="none"/>
        </w:rPr>
        <w:t>章项目需求“人员配备要求”，并在本表后附证明材料</w:t>
      </w:r>
    </w:p>
    <w:p w14:paraId="47212910">
      <w:pPr>
        <w:pStyle w:val="39"/>
        <w:shd w:val="clear" w:color="auto" w:fill="FFFFFF"/>
        <w:spacing w:before="0" w:beforeAutospacing="0" w:after="0" w:afterAutospacing="0" w:line="360" w:lineRule="auto"/>
        <w:ind w:firstLine="424" w:firstLineChars="202"/>
        <w:rPr>
          <w:color w:val="auto"/>
          <w:sz w:val="21"/>
          <w:szCs w:val="21"/>
          <w:highlight w:val="none"/>
        </w:rPr>
      </w:pPr>
    </w:p>
    <w:p w14:paraId="056F9073">
      <w:pPr>
        <w:spacing w:line="360" w:lineRule="auto"/>
        <w:rPr>
          <w:rFonts w:ascii="宋体" w:hAnsi="宋体"/>
          <w:color w:val="auto"/>
          <w:sz w:val="24"/>
          <w:highlight w:val="none"/>
        </w:rPr>
      </w:pPr>
    </w:p>
    <w:p w14:paraId="3CAFF251">
      <w:pPr>
        <w:spacing w:line="360" w:lineRule="auto"/>
        <w:rPr>
          <w:rFonts w:ascii="宋体" w:hAnsi="宋体"/>
          <w:color w:val="auto"/>
          <w:sz w:val="24"/>
          <w:highlight w:val="none"/>
        </w:rPr>
      </w:pPr>
    </w:p>
    <w:p w14:paraId="2D5575BC">
      <w:pPr>
        <w:adjustRightInd w:val="0"/>
        <w:snapToGrid w:val="0"/>
        <w:spacing w:line="360" w:lineRule="auto"/>
        <w:ind w:firstLine="4838" w:firstLineChars="2016"/>
        <w:rPr>
          <w:rFonts w:ascii="宋体" w:hAnsi="宋体" w:cs="仿宋_GB2312"/>
          <w:color w:val="auto"/>
          <w:kern w:val="0"/>
          <w:sz w:val="24"/>
          <w:highlight w:val="none"/>
          <w:lang w:val="zh-CN"/>
        </w:rPr>
      </w:pPr>
      <w:r>
        <w:rPr>
          <w:rFonts w:hint="eastAsia" w:ascii="宋体" w:hAnsi="宋体" w:cs="仿宋_GB2312"/>
          <w:color w:val="auto"/>
          <w:kern w:val="0"/>
          <w:sz w:val="24"/>
          <w:highlight w:val="none"/>
          <w:lang w:val="zh-CN"/>
        </w:rPr>
        <w:t>供应商名称（</w:t>
      </w:r>
      <w:r>
        <w:rPr>
          <w:rFonts w:hint="eastAsia" w:ascii="宋体" w:hAnsi="宋体"/>
          <w:color w:val="auto"/>
          <w:sz w:val="24"/>
          <w:highlight w:val="none"/>
        </w:rPr>
        <w:t>公章/电子章</w:t>
      </w:r>
      <w:r>
        <w:rPr>
          <w:rFonts w:hint="eastAsia" w:ascii="宋体" w:hAnsi="宋体" w:cs="仿宋_GB2312"/>
          <w:color w:val="auto"/>
          <w:kern w:val="0"/>
          <w:sz w:val="24"/>
          <w:highlight w:val="none"/>
          <w:lang w:val="zh-CN"/>
        </w:rPr>
        <w:t>）：</w:t>
      </w:r>
    </w:p>
    <w:p w14:paraId="385995CA">
      <w:pPr>
        <w:adjustRightInd w:val="0"/>
        <w:snapToGrid w:val="0"/>
        <w:spacing w:line="360" w:lineRule="auto"/>
        <w:ind w:firstLine="240" w:firstLineChars="100"/>
        <w:jc w:val="right"/>
        <w:rPr>
          <w:rFonts w:ascii="宋体" w:hAnsi="宋体" w:cs="仿宋_GB2312"/>
          <w:color w:val="auto"/>
          <w:kern w:val="0"/>
          <w:sz w:val="24"/>
          <w:highlight w:val="none"/>
          <w:lang w:val="zh-CN"/>
        </w:rPr>
      </w:pPr>
      <w:r>
        <w:rPr>
          <w:rFonts w:hint="eastAsia" w:ascii="宋体" w:hAnsi="宋体" w:cs="仿宋_GB2312"/>
          <w:color w:val="auto"/>
          <w:kern w:val="0"/>
          <w:sz w:val="24"/>
          <w:highlight w:val="none"/>
          <w:lang w:val="zh-CN"/>
        </w:rPr>
        <w:t>法定代表人或授权委托人签字</w:t>
      </w:r>
      <w:r>
        <w:rPr>
          <w:rFonts w:hint="eastAsia" w:ascii="宋体" w:hAnsi="宋体" w:cs="仿宋_GB2312"/>
          <w:color w:val="auto"/>
          <w:kern w:val="0"/>
          <w:sz w:val="24"/>
          <w:highlight w:val="none"/>
        </w:rPr>
        <w:t>或盖章</w:t>
      </w:r>
      <w:r>
        <w:rPr>
          <w:rFonts w:hint="eastAsia" w:ascii="宋体" w:hAnsi="宋体" w:cs="仿宋_GB2312"/>
          <w:color w:val="auto"/>
          <w:kern w:val="0"/>
          <w:sz w:val="24"/>
          <w:highlight w:val="none"/>
          <w:lang w:val="zh-CN"/>
        </w:rPr>
        <w:t>：</w:t>
      </w:r>
    </w:p>
    <w:p w14:paraId="10C08E4A">
      <w:pPr>
        <w:adjustRightInd w:val="0"/>
        <w:snapToGrid w:val="0"/>
        <w:spacing w:line="360" w:lineRule="auto"/>
        <w:ind w:firstLine="4838" w:firstLineChars="2016"/>
        <w:rPr>
          <w:rFonts w:ascii="宋体" w:hAnsi="宋体" w:cs="仿宋_GB2312"/>
          <w:color w:val="auto"/>
          <w:kern w:val="0"/>
          <w:sz w:val="24"/>
          <w:highlight w:val="none"/>
          <w:lang w:val="zh-CN"/>
        </w:rPr>
      </w:pPr>
      <w:r>
        <w:rPr>
          <w:rFonts w:hint="eastAsia" w:ascii="宋体" w:hAnsi="宋体" w:cs="仿宋_GB2312"/>
          <w:color w:val="auto"/>
          <w:kern w:val="0"/>
          <w:sz w:val="24"/>
          <w:highlight w:val="none"/>
          <w:lang w:val="zh-CN"/>
        </w:rPr>
        <w:t>日期：</w:t>
      </w:r>
      <w:r>
        <w:rPr>
          <w:rFonts w:hint="eastAsia" w:ascii="宋体" w:hAnsi="宋体" w:cs="宋体"/>
          <w:color w:val="auto"/>
          <w:sz w:val="24"/>
          <w:highlight w:val="none"/>
        </w:rPr>
        <w:t>××</w:t>
      </w:r>
      <w:r>
        <w:rPr>
          <w:rFonts w:hint="eastAsia" w:ascii="宋体" w:hAnsi="宋体" w:cs="仿宋_GB2312"/>
          <w:color w:val="auto"/>
          <w:kern w:val="0"/>
          <w:sz w:val="24"/>
          <w:highlight w:val="none"/>
          <w:lang w:val="zh-CN"/>
        </w:rPr>
        <w:t xml:space="preserve">年 </w:t>
      </w:r>
      <w:r>
        <w:rPr>
          <w:rFonts w:hint="eastAsia" w:ascii="宋体" w:hAnsi="宋体" w:cs="宋体"/>
          <w:color w:val="auto"/>
          <w:sz w:val="24"/>
          <w:highlight w:val="none"/>
        </w:rPr>
        <w:t>××</w:t>
      </w:r>
      <w:r>
        <w:rPr>
          <w:rFonts w:hint="eastAsia" w:ascii="宋体" w:hAnsi="宋体" w:cs="仿宋_GB2312"/>
          <w:color w:val="auto"/>
          <w:kern w:val="0"/>
          <w:sz w:val="24"/>
          <w:highlight w:val="none"/>
          <w:lang w:val="zh-CN"/>
        </w:rPr>
        <w:t xml:space="preserve"> 月 </w:t>
      </w:r>
      <w:r>
        <w:rPr>
          <w:rFonts w:hint="eastAsia" w:ascii="宋体" w:hAnsi="宋体" w:cs="宋体"/>
          <w:color w:val="auto"/>
          <w:sz w:val="24"/>
          <w:highlight w:val="none"/>
        </w:rPr>
        <w:t>××</w:t>
      </w:r>
      <w:r>
        <w:rPr>
          <w:rFonts w:hint="eastAsia" w:ascii="宋体" w:hAnsi="宋体" w:cs="仿宋_GB2312"/>
          <w:color w:val="auto"/>
          <w:kern w:val="0"/>
          <w:sz w:val="24"/>
          <w:highlight w:val="none"/>
          <w:lang w:val="zh-CN"/>
        </w:rPr>
        <w:t xml:space="preserve"> 日</w:t>
      </w:r>
    </w:p>
    <w:p w14:paraId="53B9C8F6">
      <w:pPr>
        <w:rPr>
          <w:color w:val="auto"/>
          <w:highlight w:val="none"/>
        </w:rPr>
      </w:pPr>
    </w:p>
    <w:p w14:paraId="12DFD421">
      <w:pPr>
        <w:jc w:val="left"/>
        <w:rPr>
          <w:rFonts w:hint="eastAsia" w:ascii="宋体" w:hAnsi="宋体" w:eastAsia="宋体"/>
          <w:b/>
          <w:bCs/>
          <w:color w:val="auto"/>
          <w:kern w:val="0"/>
          <w:sz w:val="32"/>
          <w:szCs w:val="32"/>
          <w:highlight w:val="none"/>
          <w:lang w:eastAsia="zh-CN"/>
        </w:rPr>
      </w:pPr>
      <w:bookmarkStart w:id="73" w:name="_Toc26601_WPSOffice_Level1"/>
      <w:bookmarkStart w:id="74" w:name="_Toc12856_WPSOffice_Level1"/>
      <w:r>
        <w:rPr>
          <w:rFonts w:hint="eastAsia" w:ascii="宋体" w:hAnsi="宋体"/>
          <w:b/>
          <w:bCs/>
          <w:color w:val="auto"/>
          <w:kern w:val="0"/>
          <w:sz w:val="32"/>
          <w:szCs w:val="32"/>
          <w:highlight w:val="none"/>
        </w:rPr>
        <w:br w:type="page"/>
      </w:r>
      <w:r>
        <w:rPr>
          <w:rFonts w:hint="eastAsia" w:ascii="宋体" w:hAnsi="宋体"/>
          <w:b/>
          <w:bCs/>
          <w:color w:val="auto"/>
          <w:kern w:val="0"/>
          <w:sz w:val="32"/>
          <w:szCs w:val="32"/>
          <w:highlight w:val="none"/>
        </w:rPr>
        <w:t>附件</w:t>
      </w:r>
      <w:r>
        <w:rPr>
          <w:rFonts w:hint="eastAsia" w:ascii="宋体" w:hAnsi="宋体"/>
          <w:b/>
          <w:bCs/>
          <w:color w:val="auto"/>
          <w:kern w:val="0"/>
          <w:sz w:val="32"/>
          <w:szCs w:val="32"/>
          <w:highlight w:val="none"/>
          <w:lang w:val="en-US" w:eastAsia="zh-CN"/>
        </w:rPr>
        <w:t>7</w:t>
      </w:r>
    </w:p>
    <w:bookmarkEnd w:id="73"/>
    <w:bookmarkEnd w:id="74"/>
    <w:p w14:paraId="23D66DF9">
      <w:pPr>
        <w:ind w:left="72" w:leftChars="-150" w:right="-296" w:rightChars="-141" w:hanging="387" w:hangingChars="121"/>
        <w:jc w:val="center"/>
        <w:rPr>
          <w:rFonts w:hint="eastAsia" w:ascii="宋体" w:hAnsi="宋体" w:eastAsia="宋体"/>
          <w:bCs/>
          <w:sz w:val="32"/>
          <w:szCs w:val="32"/>
          <w:highlight w:val="none"/>
          <w:lang w:eastAsia="zh-CN"/>
        </w:rPr>
      </w:pPr>
      <w:r>
        <w:rPr>
          <w:rFonts w:hint="eastAsia" w:ascii="宋体" w:hAnsi="宋体"/>
          <w:bCs/>
          <w:sz w:val="32"/>
          <w:szCs w:val="32"/>
          <w:highlight w:val="none"/>
          <w:lang w:eastAsia="zh-CN"/>
        </w:rPr>
        <w:t>台州市椒江区前所街道椒北南渠（大树岙村段）综合整治工程</w:t>
      </w:r>
    </w:p>
    <w:p w14:paraId="74522B8C">
      <w:pPr>
        <w:ind w:left="72" w:leftChars="-150" w:right="-296" w:rightChars="-141" w:hanging="387" w:hangingChars="121"/>
        <w:jc w:val="center"/>
        <w:rPr>
          <w:rFonts w:hint="eastAsia" w:ascii="宋体" w:hAnsi="宋体"/>
          <w:bCs/>
          <w:sz w:val="32"/>
          <w:szCs w:val="32"/>
          <w:highlight w:val="none"/>
        </w:rPr>
      </w:pPr>
      <w:r>
        <w:rPr>
          <w:rFonts w:hint="eastAsia" w:ascii="宋体" w:hAnsi="宋体"/>
          <w:bCs/>
          <w:sz w:val="32"/>
          <w:szCs w:val="32"/>
          <w:highlight w:val="none"/>
        </w:rPr>
        <w:t>项目负责人简历表</w:t>
      </w:r>
    </w:p>
    <w:tbl>
      <w:tblPr>
        <w:tblStyle w:val="24"/>
        <w:tblW w:w="0" w:type="auto"/>
        <w:tblInd w:w="108" w:type="dxa"/>
        <w:tblLayout w:type="fixed"/>
        <w:tblCellMar>
          <w:top w:w="0" w:type="dxa"/>
          <w:left w:w="108" w:type="dxa"/>
          <w:bottom w:w="0" w:type="dxa"/>
          <w:right w:w="108" w:type="dxa"/>
        </w:tblCellMar>
      </w:tblPr>
      <w:tblGrid>
        <w:gridCol w:w="1077"/>
        <w:gridCol w:w="276"/>
        <w:gridCol w:w="657"/>
        <w:gridCol w:w="884"/>
        <w:gridCol w:w="1077"/>
        <w:gridCol w:w="1104"/>
        <w:gridCol w:w="923"/>
        <w:gridCol w:w="961"/>
        <w:gridCol w:w="1337"/>
      </w:tblGrid>
      <w:tr w14:paraId="1B2BC089">
        <w:tblPrEx>
          <w:tblCellMar>
            <w:top w:w="0" w:type="dxa"/>
            <w:left w:w="108" w:type="dxa"/>
            <w:bottom w:w="0" w:type="dxa"/>
            <w:right w:w="108" w:type="dxa"/>
          </w:tblCellMar>
        </w:tblPrEx>
        <w:trPr>
          <w:trHeight w:val="447" w:hRule="atLeast"/>
        </w:trPr>
        <w:tc>
          <w:tcPr>
            <w:tcW w:w="107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68D2BCA">
            <w:pPr>
              <w:widowControl/>
              <w:jc w:val="center"/>
              <w:rPr>
                <w:rFonts w:cs="宋体"/>
                <w:kern w:val="0"/>
                <w:sz w:val="24"/>
                <w:highlight w:val="none"/>
              </w:rPr>
            </w:pPr>
            <w:r>
              <w:rPr>
                <w:rFonts w:hint="eastAsia" w:cs="宋体"/>
                <w:kern w:val="0"/>
                <w:sz w:val="24"/>
                <w:highlight w:val="none"/>
              </w:rPr>
              <w:t>姓名</w:t>
            </w:r>
          </w:p>
        </w:tc>
        <w:tc>
          <w:tcPr>
            <w:tcW w:w="933" w:type="dxa"/>
            <w:gridSpan w:val="2"/>
            <w:tcBorders>
              <w:top w:val="single" w:color="000000" w:sz="4" w:space="0"/>
              <w:left w:val="nil"/>
              <w:bottom w:val="single" w:color="000000" w:sz="4" w:space="0"/>
              <w:right w:val="single" w:color="000000" w:sz="4" w:space="0"/>
            </w:tcBorders>
            <w:shd w:val="clear" w:color="auto" w:fill="FFFFFF"/>
            <w:noWrap w:val="0"/>
            <w:vAlign w:val="center"/>
          </w:tcPr>
          <w:p w14:paraId="1E7C3A06">
            <w:pPr>
              <w:widowControl/>
              <w:jc w:val="center"/>
              <w:rPr>
                <w:rFonts w:cs="宋体"/>
                <w:kern w:val="0"/>
                <w:sz w:val="24"/>
                <w:highlight w:val="none"/>
              </w:rPr>
            </w:pPr>
            <w:r>
              <w:rPr>
                <w:rFonts w:hint="eastAsia" w:cs="宋体"/>
                <w:kern w:val="0"/>
                <w:sz w:val="24"/>
                <w:highlight w:val="none"/>
              </w:rPr>
              <w:t>　</w:t>
            </w:r>
          </w:p>
        </w:tc>
        <w:tc>
          <w:tcPr>
            <w:tcW w:w="884" w:type="dxa"/>
            <w:tcBorders>
              <w:top w:val="single" w:color="000000" w:sz="4" w:space="0"/>
              <w:left w:val="nil"/>
              <w:bottom w:val="single" w:color="000000" w:sz="4" w:space="0"/>
              <w:right w:val="single" w:color="000000" w:sz="4" w:space="0"/>
            </w:tcBorders>
            <w:shd w:val="clear" w:color="auto" w:fill="FFFFFF"/>
            <w:noWrap w:val="0"/>
            <w:vAlign w:val="center"/>
          </w:tcPr>
          <w:p w14:paraId="402CD69B">
            <w:pPr>
              <w:widowControl/>
              <w:jc w:val="center"/>
              <w:rPr>
                <w:rFonts w:cs="宋体"/>
                <w:kern w:val="0"/>
                <w:sz w:val="24"/>
                <w:highlight w:val="none"/>
              </w:rPr>
            </w:pPr>
            <w:r>
              <w:rPr>
                <w:rFonts w:hint="eastAsia" w:cs="宋体"/>
                <w:kern w:val="0"/>
                <w:sz w:val="24"/>
                <w:highlight w:val="none"/>
              </w:rPr>
              <w:t>性别</w:t>
            </w:r>
          </w:p>
        </w:tc>
        <w:tc>
          <w:tcPr>
            <w:tcW w:w="1077" w:type="dxa"/>
            <w:tcBorders>
              <w:top w:val="single" w:color="000000" w:sz="4" w:space="0"/>
              <w:left w:val="nil"/>
              <w:bottom w:val="single" w:color="000000" w:sz="4" w:space="0"/>
              <w:right w:val="single" w:color="000000" w:sz="4" w:space="0"/>
            </w:tcBorders>
            <w:shd w:val="clear" w:color="auto" w:fill="FFFFFF"/>
            <w:noWrap w:val="0"/>
            <w:vAlign w:val="center"/>
          </w:tcPr>
          <w:p w14:paraId="0BEE96B4">
            <w:pPr>
              <w:widowControl/>
              <w:jc w:val="center"/>
              <w:rPr>
                <w:rFonts w:cs="宋体"/>
                <w:kern w:val="0"/>
                <w:sz w:val="24"/>
                <w:highlight w:val="none"/>
              </w:rPr>
            </w:pPr>
            <w:r>
              <w:rPr>
                <w:rFonts w:hint="eastAsia" w:cs="宋体"/>
                <w:kern w:val="0"/>
                <w:sz w:val="24"/>
                <w:highlight w:val="none"/>
              </w:rPr>
              <w:t>　</w:t>
            </w:r>
          </w:p>
        </w:tc>
        <w:tc>
          <w:tcPr>
            <w:tcW w:w="1104" w:type="dxa"/>
            <w:tcBorders>
              <w:top w:val="single" w:color="000000" w:sz="4" w:space="0"/>
              <w:left w:val="nil"/>
              <w:bottom w:val="single" w:color="000000" w:sz="4" w:space="0"/>
              <w:right w:val="single" w:color="000000" w:sz="4" w:space="0"/>
            </w:tcBorders>
            <w:shd w:val="clear" w:color="auto" w:fill="FFFFFF"/>
            <w:noWrap w:val="0"/>
            <w:vAlign w:val="center"/>
          </w:tcPr>
          <w:p w14:paraId="2C7CF4B9">
            <w:pPr>
              <w:widowControl/>
              <w:jc w:val="center"/>
              <w:rPr>
                <w:rFonts w:cs="宋体"/>
                <w:kern w:val="0"/>
                <w:sz w:val="24"/>
                <w:highlight w:val="none"/>
              </w:rPr>
            </w:pPr>
            <w:r>
              <w:rPr>
                <w:rFonts w:hint="eastAsia" w:cs="宋体"/>
                <w:kern w:val="0"/>
                <w:sz w:val="24"/>
                <w:highlight w:val="none"/>
              </w:rPr>
              <w:t>年龄</w:t>
            </w:r>
          </w:p>
        </w:tc>
        <w:tc>
          <w:tcPr>
            <w:tcW w:w="923" w:type="dxa"/>
            <w:tcBorders>
              <w:top w:val="single" w:color="000000" w:sz="4" w:space="0"/>
              <w:left w:val="nil"/>
              <w:bottom w:val="single" w:color="000000" w:sz="4" w:space="0"/>
              <w:right w:val="single" w:color="000000" w:sz="4" w:space="0"/>
            </w:tcBorders>
            <w:shd w:val="clear" w:color="auto" w:fill="FFFFFF"/>
            <w:noWrap w:val="0"/>
            <w:vAlign w:val="center"/>
          </w:tcPr>
          <w:p w14:paraId="1E25C55F">
            <w:pPr>
              <w:widowControl/>
              <w:jc w:val="center"/>
              <w:rPr>
                <w:rFonts w:cs="宋体"/>
                <w:kern w:val="0"/>
                <w:sz w:val="24"/>
                <w:highlight w:val="none"/>
              </w:rPr>
            </w:pPr>
            <w:r>
              <w:rPr>
                <w:rFonts w:hint="eastAsia" w:cs="宋体"/>
                <w:kern w:val="0"/>
                <w:sz w:val="24"/>
                <w:highlight w:val="none"/>
              </w:rPr>
              <w:t>　</w:t>
            </w:r>
          </w:p>
        </w:tc>
        <w:tc>
          <w:tcPr>
            <w:tcW w:w="961" w:type="dxa"/>
            <w:tcBorders>
              <w:top w:val="single" w:color="000000" w:sz="4" w:space="0"/>
              <w:left w:val="nil"/>
              <w:bottom w:val="single" w:color="000000" w:sz="4" w:space="0"/>
              <w:right w:val="single" w:color="000000" w:sz="4" w:space="0"/>
            </w:tcBorders>
            <w:shd w:val="clear" w:color="auto" w:fill="FFFFFF"/>
            <w:noWrap w:val="0"/>
            <w:vAlign w:val="center"/>
          </w:tcPr>
          <w:p w14:paraId="77AA17E4">
            <w:pPr>
              <w:widowControl/>
              <w:jc w:val="center"/>
              <w:rPr>
                <w:rFonts w:cs="宋体"/>
                <w:kern w:val="0"/>
                <w:sz w:val="24"/>
                <w:highlight w:val="none"/>
              </w:rPr>
            </w:pPr>
            <w:r>
              <w:rPr>
                <w:rFonts w:hint="eastAsia" w:cs="宋体"/>
                <w:kern w:val="0"/>
                <w:sz w:val="24"/>
                <w:highlight w:val="none"/>
              </w:rPr>
              <w:t>专业</w:t>
            </w:r>
          </w:p>
        </w:tc>
        <w:tc>
          <w:tcPr>
            <w:tcW w:w="1337" w:type="dxa"/>
            <w:tcBorders>
              <w:top w:val="single" w:color="000000" w:sz="4" w:space="0"/>
              <w:left w:val="nil"/>
              <w:bottom w:val="single" w:color="000000" w:sz="4" w:space="0"/>
              <w:right w:val="single" w:color="000000" w:sz="4" w:space="0"/>
            </w:tcBorders>
            <w:shd w:val="clear" w:color="auto" w:fill="FFFFFF"/>
            <w:noWrap w:val="0"/>
            <w:vAlign w:val="center"/>
          </w:tcPr>
          <w:p w14:paraId="4E0E9B70">
            <w:pPr>
              <w:widowControl/>
              <w:jc w:val="center"/>
              <w:rPr>
                <w:rFonts w:cs="宋体"/>
                <w:kern w:val="0"/>
                <w:sz w:val="24"/>
                <w:highlight w:val="none"/>
              </w:rPr>
            </w:pPr>
            <w:r>
              <w:rPr>
                <w:rFonts w:hint="eastAsia" w:cs="宋体"/>
                <w:kern w:val="0"/>
                <w:sz w:val="24"/>
                <w:highlight w:val="none"/>
              </w:rPr>
              <w:t>　</w:t>
            </w:r>
          </w:p>
        </w:tc>
      </w:tr>
      <w:tr w14:paraId="1B44C2ED">
        <w:tblPrEx>
          <w:tblCellMar>
            <w:top w:w="0" w:type="dxa"/>
            <w:left w:w="108" w:type="dxa"/>
            <w:bottom w:w="0" w:type="dxa"/>
            <w:right w:w="108" w:type="dxa"/>
          </w:tblCellMar>
        </w:tblPrEx>
        <w:trPr>
          <w:trHeight w:val="460" w:hRule="atLeast"/>
        </w:trPr>
        <w:tc>
          <w:tcPr>
            <w:tcW w:w="1353" w:type="dxa"/>
            <w:gridSpan w:val="2"/>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6F380A8">
            <w:pPr>
              <w:widowControl/>
              <w:jc w:val="center"/>
              <w:rPr>
                <w:rFonts w:cs="宋体"/>
                <w:kern w:val="0"/>
                <w:sz w:val="24"/>
                <w:highlight w:val="none"/>
              </w:rPr>
            </w:pPr>
            <w:r>
              <w:rPr>
                <w:rFonts w:hint="eastAsia" w:cs="宋体"/>
                <w:kern w:val="0"/>
                <w:sz w:val="24"/>
                <w:highlight w:val="none"/>
              </w:rPr>
              <w:t>资质等级</w:t>
            </w:r>
          </w:p>
        </w:tc>
        <w:tc>
          <w:tcPr>
            <w:tcW w:w="1541" w:type="dxa"/>
            <w:gridSpan w:val="2"/>
            <w:tcBorders>
              <w:top w:val="single" w:color="000000" w:sz="4" w:space="0"/>
              <w:left w:val="nil"/>
              <w:bottom w:val="single" w:color="000000" w:sz="4" w:space="0"/>
              <w:right w:val="single" w:color="000000" w:sz="4" w:space="0"/>
            </w:tcBorders>
            <w:shd w:val="clear" w:color="auto" w:fill="FFFFFF"/>
            <w:noWrap w:val="0"/>
            <w:vAlign w:val="center"/>
          </w:tcPr>
          <w:p w14:paraId="345A45F8">
            <w:pPr>
              <w:widowControl/>
              <w:jc w:val="center"/>
              <w:rPr>
                <w:rFonts w:cs="宋体"/>
                <w:kern w:val="0"/>
                <w:sz w:val="24"/>
                <w:highlight w:val="none"/>
              </w:rPr>
            </w:pPr>
            <w:r>
              <w:rPr>
                <w:rFonts w:hint="eastAsia" w:cs="宋体"/>
                <w:kern w:val="0"/>
                <w:sz w:val="24"/>
                <w:highlight w:val="none"/>
              </w:rPr>
              <w:t>　</w:t>
            </w:r>
          </w:p>
        </w:tc>
        <w:tc>
          <w:tcPr>
            <w:tcW w:w="1077" w:type="dxa"/>
            <w:tcBorders>
              <w:top w:val="nil"/>
              <w:left w:val="nil"/>
              <w:bottom w:val="single" w:color="000000" w:sz="4" w:space="0"/>
              <w:right w:val="single" w:color="000000" w:sz="4" w:space="0"/>
            </w:tcBorders>
            <w:shd w:val="clear" w:color="auto" w:fill="FFFFFF"/>
            <w:noWrap w:val="0"/>
            <w:vAlign w:val="center"/>
          </w:tcPr>
          <w:p w14:paraId="3262F415">
            <w:pPr>
              <w:widowControl/>
              <w:jc w:val="center"/>
              <w:rPr>
                <w:rFonts w:cs="宋体"/>
                <w:kern w:val="0"/>
                <w:sz w:val="24"/>
                <w:highlight w:val="none"/>
              </w:rPr>
            </w:pPr>
            <w:r>
              <w:rPr>
                <w:rFonts w:hint="eastAsia" w:cs="宋体"/>
                <w:kern w:val="0"/>
                <w:sz w:val="24"/>
                <w:highlight w:val="none"/>
              </w:rPr>
              <w:t>职称</w:t>
            </w:r>
          </w:p>
        </w:tc>
        <w:tc>
          <w:tcPr>
            <w:tcW w:w="2027" w:type="dxa"/>
            <w:gridSpan w:val="2"/>
            <w:tcBorders>
              <w:top w:val="single" w:color="000000" w:sz="4" w:space="0"/>
              <w:left w:val="nil"/>
              <w:bottom w:val="single" w:color="000000" w:sz="4" w:space="0"/>
              <w:right w:val="single" w:color="000000" w:sz="4" w:space="0"/>
            </w:tcBorders>
            <w:shd w:val="clear" w:color="auto" w:fill="FFFFFF"/>
            <w:noWrap w:val="0"/>
            <w:vAlign w:val="center"/>
          </w:tcPr>
          <w:p w14:paraId="16702AE1">
            <w:pPr>
              <w:widowControl/>
              <w:jc w:val="center"/>
              <w:rPr>
                <w:rFonts w:cs="宋体"/>
                <w:kern w:val="0"/>
                <w:sz w:val="24"/>
                <w:highlight w:val="none"/>
              </w:rPr>
            </w:pPr>
            <w:r>
              <w:rPr>
                <w:rFonts w:hint="eastAsia" w:cs="宋体"/>
                <w:kern w:val="0"/>
                <w:sz w:val="24"/>
                <w:highlight w:val="none"/>
              </w:rPr>
              <w:t>　</w:t>
            </w:r>
          </w:p>
        </w:tc>
        <w:tc>
          <w:tcPr>
            <w:tcW w:w="961" w:type="dxa"/>
            <w:tcBorders>
              <w:top w:val="nil"/>
              <w:left w:val="nil"/>
              <w:bottom w:val="single" w:color="000000" w:sz="4" w:space="0"/>
              <w:right w:val="single" w:color="000000" w:sz="4" w:space="0"/>
            </w:tcBorders>
            <w:shd w:val="clear" w:color="auto" w:fill="FFFFFF"/>
            <w:noWrap w:val="0"/>
            <w:vAlign w:val="center"/>
          </w:tcPr>
          <w:p w14:paraId="5318BEB7">
            <w:pPr>
              <w:widowControl/>
              <w:jc w:val="center"/>
              <w:rPr>
                <w:rFonts w:cs="宋体"/>
                <w:kern w:val="0"/>
                <w:sz w:val="24"/>
                <w:highlight w:val="none"/>
              </w:rPr>
            </w:pPr>
            <w:r>
              <w:rPr>
                <w:rFonts w:hint="eastAsia" w:cs="宋体"/>
                <w:kern w:val="0"/>
                <w:sz w:val="24"/>
                <w:highlight w:val="none"/>
              </w:rPr>
              <w:t>学历</w:t>
            </w:r>
          </w:p>
        </w:tc>
        <w:tc>
          <w:tcPr>
            <w:tcW w:w="1337" w:type="dxa"/>
            <w:tcBorders>
              <w:top w:val="nil"/>
              <w:left w:val="nil"/>
              <w:bottom w:val="single" w:color="000000" w:sz="4" w:space="0"/>
              <w:right w:val="single" w:color="000000" w:sz="4" w:space="0"/>
            </w:tcBorders>
            <w:shd w:val="clear" w:color="auto" w:fill="FFFFFF"/>
            <w:noWrap w:val="0"/>
            <w:vAlign w:val="center"/>
          </w:tcPr>
          <w:p w14:paraId="7C42A12E">
            <w:pPr>
              <w:widowControl/>
              <w:jc w:val="center"/>
              <w:rPr>
                <w:rFonts w:cs="宋体"/>
                <w:kern w:val="0"/>
                <w:sz w:val="24"/>
                <w:highlight w:val="none"/>
              </w:rPr>
            </w:pPr>
            <w:r>
              <w:rPr>
                <w:rFonts w:hint="eastAsia" w:cs="宋体"/>
                <w:kern w:val="0"/>
                <w:sz w:val="24"/>
                <w:highlight w:val="none"/>
              </w:rPr>
              <w:t>　</w:t>
            </w:r>
          </w:p>
        </w:tc>
      </w:tr>
      <w:tr w14:paraId="2860DE19">
        <w:tblPrEx>
          <w:tblCellMar>
            <w:top w:w="0" w:type="dxa"/>
            <w:left w:w="108" w:type="dxa"/>
            <w:bottom w:w="0" w:type="dxa"/>
            <w:right w:w="108" w:type="dxa"/>
          </w:tblCellMar>
        </w:tblPrEx>
        <w:trPr>
          <w:trHeight w:val="471" w:hRule="atLeast"/>
        </w:trPr>
        <w:tc>
          <w:tcPr>
            <w:tcW w:w="2010" w:type="dxa"/>
            <w:gridSpan w:val="3"/>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FE08B8B">
            <w:pPr>
              <w:widowControl/>
              <w:jc w:val="center"/>
              <w:rPr>
                <w:rFonts w:cs="宋体"/>
                <w:kern w:val="0"/>
                <w:sz w:val="24"/>
                <w:highlight w:val="none"/>
              </w:rPr>
            </w:pPr>
            <w:r>
              <w:rPr>
                <w:rFonts w:hint="eastAsia" w:cs="宋体"/>
                <w:kern w:val="0"/>
                <w:sz w:val="24"/>
                <w:highlight w:val="none"/>
              </w:rPr>
              <w:t>参加工作时间</w:t>
            </w:r>
          </w:p>
        </w:tc>
        <w:tc>
          <w:tcPr>
            <w:tcW w:w="1961" w:type="dxa"/>
            <w:gridSpan w:val="2"/>
            <w:tcBorders>
              <w:top w:val="single" w:color="000000" w:sz="4" w:space="0"/>
              <w:left w:val="nil"/>
              <w:bottom w:val="single" w:color="000000" w:sz="4" w:space="0"/>
              <w:right w:val="single" w:color="000000" w:sz="4" w:space="0"/>
            </w:tcBorders>
            <w:shd w:val="clear" w:color="auto" w:fill="FFFFFF"/>
            <w:noWrap w:val="0"/>
            <w:vAlign w:val="center"/>
          </w:tcPr>
          <w:p w14:paraId="3376DFAD">
            <w:pPr>
              <w:widowControl/>
              <w:ind w:leftChars="-137" w:hanging="288" w:hangingChars="120"/>
              <w:jc w:val="left"/>
              <w:rPr>
                <w:rFonts w:cs="宋体"/>
                <w:kern w:val="0"/>
                <w:sz w:val="24"/>
                <w:highlight w:val="none"/>
              </w:rPr>
            </w:pPr>
            <w:r>
              <w:rPr>
                <w:rFonts w:hint="eastAsia" w:cs="宋体"/>
                <w:kern w:val="0"/>
                <w:sz w:val="24"/>
                <w:highlight w:val="none"/>
              </w:rPr>
              <w:t>　</w:t>
            </w:r>
          </w:p>
        </w:tc>
        <w:tc>
          <w:tcPr>
            <w:tcW w:w="2988" w:type="dxa"/>
            <w:gridSpan w:val="3"/>
            <w:tcBorders>
              <w:top w:val="single" w:color="000000" w:sz="4" w:space="0"/>
              <w:left w:val="nil"/>
              <w:bottom w:val="single" w:color="000000" w:sz="4" w:space="0"/>
              <w:right w:val="single" w:color="000000" w:sz="4" w:space="0"/>
            </w:tcBorders>
            <w:shd w:val="clear" w:color="auto" w:fill="FFFFFF"/>
            <w:noWrap w:val="0"/>
            <w:vAlign w:val="center"/>
          </w:tcPr>
          <w:p w14:paraId="0229DB92">
            <w:pPr>
              <w:widowControl/>
              <w:jc w:val="center"/>
              <w:rPr>
                <w:rFonts w:cs="宋体"/>
                <w:kern w:val="0"/>
                <w:sz w:val="24"/>
                <w:highlight w:val="none"/>
              </w:rPr>
            </w:pPr>
            <w:r>
              <w:rPr>
                <w:rFonts w:hint="eastAsia" w:cs="宋体"/>
                <w:kern w:val="0"/>
                <w:sz w:val="24"/>
                <w:highlight w:val="none"/>
              </w:rPr>
              <w:t>从事项目负责人年限</w:t>
            </w:r>
          </w:p>
        </w:tc>
        <w:tc>
          <w:tcPr>
            <w:tcW w:w="1337" w:type="dxa"/>
            <w:tcBorders>
              <w:top w:val="nil"/>
              <w:left w:val="nil"/>
              <w:bottom w:val="single" w:color="000000" w:sz="4" w:space="0"/>
              <w:right w:val="single" w:color="000000" w:sz="4" w:space="0"/>
            </w:tcBorders>
            <w:shd w:val="clear" w:color="auto" w:fill="FFFFFF"/>
            <w:noWrap w:val="0"/>
            <w:vAlign w:val="center"/>
          </w:tcPr>
          <w:p w14:paraId="44C2B60E">
            <w:pPr>
              <w:widowControl/>
              <w:jc w:val="left"/>
              <w:rPr>
                <w:rFonts w:cs="宋体"/>
                <w:kern w:val="0"/>
                <w:sz w:val="24"/>
                <w:highlight w:val="none"/>
              </w:rPr>
            </w:pPr>
            <w:r>
              <w:rPr>
                <w:rFonts w:hint="eastAsia" w:cs="宋体"/>
                <w:kern w:val="0"/>
                <w:sz w:val="24"/>
                <w:highlight w:val="none"/>
              </w:rPr>
              <w:t>　</w:t>
            </w:r>
          </w:p>
        </w:tc>
      </w:tr>
      <w:tr w14:paraId="2A3114C4">
        <w:tblPrEx>
          <w:tblCellMar>
            <w:top w:w="0" w:type="dxa"/>
            <w:left w:w="108" w:type="dxa"/>
            <w:bottom w:w="0" w:type="dxa"/>
            <w:right w:w="108" w:type="dxa"/>
          </w:tblCellMar>
        </w:tblPrEx>
        <w:trPr>
          <w:trHeight w:val="483" w:hRule="atLeast"/>
        </w:trPr>
        <w:tc>
          <w:tcPr>
            <w:tcW w:w="1353" w:type="dxa"/>
            <w:gridSpan w:val="2"/>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4702B8">
            <w:pPr>
              <w:widowControl/>
              <w:jc w:val="center"/>
              <w:rPr>
                <w:rFonts w:cs="宋体"/>
                <w:kern w:val="0"/>
                <w:sz w:val="24"/>
                <w:highlight w:val="none"/>
              </w:rPr>
            </w:pPr>
            <w:r>
              <w:rPr>
                <w:rFonts w:hint="eastAsia" w:cs="宋体"/>
                <w:kern w:val="0"/>
                <w:sz w:val="24"/>
                <w:highlight w:val="none"/>
              </w:rPr>
              <w:t>证书号</w:t>
            </w:r>
          </w:p>
        </w:tc>
        <w:tc>
          <w:tcPr>
            <w:tcW w:w="2618" w:type="dxa"/>
            <w:gridSpan w:val="3"/>
            <w:tcBorders>
              <w:top w:val="single" w:color="000000" w:sz="4" w:space="0"/>
              <w:left w:val="nil"/>
              <w:bottom w:val="single" w:color="000000" w:sz="4" w:space="0"/>
              <w:right w:val="single" w:color="000000" w:sz="4" w:space="0"/>
            </w:tcBorders>
            <w:shd w:val="clear" w:color="auto" w:fill="FFFFFF"/>
            <w:noWrap w:val="0"/>
            <w:vAlign w:val="center"/>
          </w:tcPr>
          <w:p w14:paraId="4DC2AD87">
            <w:pPr>
              <w:widowControl/>
              <w:jc w:val="center"/>
              <w:rPr>
                <w:rFonts w:cs="宋体"/>
                <w:kern w:val="0"/>
                <w:sz w:val="24"/>
                <w:highlight w:val="none"/>
              </w:rPr>
            </w:pPr>
            <w:r>
              <w:rPr>
                <w:rFonts w:hint="eastAsia" w:cs="宋体"/>
                <w:kern w:val="0"/>
                <w:sz w:val="24"/>
                <w:highlight w:val="none"/>
              </w:rPr>
              <w:t>　</w:t>
            </w:r>
          </w:p>
        </w:tc>
        <w:tc>
          <w:tcPr>
            <w:tcW w:w="1104" w:type="dxa"/>
            <w:tcBorders>
              <w:top w:val="nil"/>
              <w:left w:val="nil"/>
              <w:bottom w:val="single" w:color="000000" w:sz="4" w:space="0"/>
              <w:right w:val="single" w:color="000000" w:sz="4" w:space="0"/>
            </w:tcBorders>
            <w:shd w:val="clear" w:color="auto" w:fill="FFFFFF"/>
            <w:noWrap w:val="0"/>
            <w:vAlign w:val="center"/>
          </w:tcPr>
          <w:p w14:paraId="348EF6F3">
            <w:pPr>
              <w:widowControl/>
              <w:jc w:val="center"/>
              <w:rPr>
                <w:rFonts w:cs="宋体"/>
                <w:kern w:val="0"/>
                <w:sz w:val="24"/>
                <w:highlight w:val="none"/>
              </w:rPr>
            </w:pPr>
            <w:r>
              <w:rPr>
                <w:rFonts w:hint="eastAsia" w:cs="宋体"/>
                <w:kern w:val="0"/>
                <w:sz w:val="24"/>
                <w:highlight w:val="none"/>
              </w:rPr>
              <w:t>身份证</w:t>
            </w:r>
          </w:p>
        </w:tc>
        <w:tc>
          <w:tcPr>
            <w:tcW w:w="3221" w:type="dxa"/>
            <w:gridSpan w:val="3"/>
            <w:tcBorders>
              <w:top w:val="single" w:color="000000" w:sz="4" w:space="0"/>
              <w:left w:val="nil"/>
              <w:bottom w:val="single" w:color="000000" w:sz="4" w:space="0"/>
              <w:right w:val="single" w:color="000000" w:sz="4" w:space="0"/>
            </w:tcBorders>
            <w:shd w:val="clear" w:color="auto" w:fill="FFFFFF"/>
            <w:noWrap w:val="0"/>
            <w:vAlign w:val="center"/>
          </w:tcPr>
          <w:p w14:paraId="74E6A517">
            <w:pPr>
              <w:widowControl/>
              <w:jc w:val="center"/>
              <w:rPr>
                <w:rFonts w:cs="宋体"/>
                <w:kern w:val="0"/>
                <w:sz w:val="24"/>
                <w:highlight w:val="none"/>
              </w:rPr>
            </w:pPr>
            <w:r>
              <w:rPr>
                <w:rFonts w:hint="eastAsia" w:cs="宋体"/>
                <w:kern w:val="0"/>
                <w:sz w:val="24"/>
                <w:highlight w:val="none"/>
              </w:rPr>
              <w:t>　</w:t>
            </w:r>
          </w:p>
        </w:tc>
      </w:tr>
      <w:tr w14:paraId="497F2E49">
        <w:tblPrEx>
          <w:tblCellMar>
            <w:top w:w="0" w:type="dxa"/>
            <w:left w:w="108" w:type="dxa"/>
            <w:bottom w:w="0" w:type="dxa"/>
            <w:right w:w="108" w:type="dxa"/>
          </w:tblCellMar>
        </w:tblPrEx>
        <w:trPr>
          <w:trHeight w:val="6970" w:hRule="atLeast"/>
        </w:trPr>
        <w:tc>
          <w:tcPr>
            <w:tcW w:w="1077" w:type="dxa"/>
            <w:tcBorders>
              <w:top w:val="nil"/>
              <w:left w:val="single" w:color="000000" w:sz="4" w:space="0"/>
              <w:bottom w:val="single" w:color="000000" w:sz="4" w:space="0"/>
              <w:right w:val="single" w:color="000000" w:sz="4" w:space="0"/>
            </w:tcBorders>
            <w:shd w:val="clear" w:color="auto" w:fill="FFFFFF"/>
            <w:noWrap w:val="0"/>
            <w:vAlign w:val="center"/>
          </w:tcPr>
          <w:p w14:paraId="70976B64">
            <w:pPr>
              <w:widowControl/>
              <w:jc w:val="center"/>
              <w:rPr>
                <w:rFonts w:hint="eastAsia" w:cs="宋体"/>
                <w:kern w:val="0"/>
                <w:sz w:val="24"/>
                <w:highlight w:val="none"/>
              </w:rPr>
            </w:pPr>
            <w:r>
              <w:rPr>
                <w:rFonts w:hint="eastAsia" w:cs="宋体"/>
                <w:kern w:val="0"/>
                <w:sz w:val="24"/>
                <w:highlight w:val="none"/>
              </w:rPr>
              <w:t>简</w:t>
            </w:r>
          </w:p>
          <w:p w14:paraId="4DCD140E">
            <w:pPr>
              <w:widowControl/>
              <w:jc w:val="center"/>
              <w:rPr>
                <w:rFonts w:hint="eastAsia" w:cs="宋体"/>
                <w:kern w:val="0"/>
                <w:sz w:val="24"/>
                <w:highlight w:val="none"/>
              </w:rPr>
            </w:pPr>
          </w:p>
          <w:p w14:paraId="0E70EC22">
            <w:pPr>
              <w:widowControl/>
              <w:jc w:val="center"/>
              <w:rPr>
                <w:rFonts w:hint="eastAsia" w:cs="宋体"/>
                <w:kern w:val="0"/>
                <w:sz w:val="24"/>
                <w:highlight w:val="none"/>
              </w:rPr>
            </w:pPr>
          </w:p>
          <w:p w14:paraId="33596E36">
            <w:pPr>
              <w:widowControl/>
              <w:jc w:val="center"/>
              <w:rPr>
                <w:rFonts w:hint="eastAsia" w:cs="宋体"/>
                <w:kern w:val="0"/>
                <w:sz w:val="24"/>
                <w:highlight w:val="none"/>
              </w:rPr>
            </w:pPr>
          </w:p>
          <w:p w14:paraId="1C085523">
            <w:pPr>
              <w:widowControl/>
              <w:jc w:val="center"/>
              <w:rPr>
                <w:rFonts w:hint="eastAsia" w:cs="宋体"/>
                <w:kern w:val="0"/>
                <w:sz w:val="24"/>
                <w:highlight w:val="none"/>
              </w:rPr>
            </w:pPr>
          </w:p>
          <w:p w14:paraId="4EDD743E">
            <w:pPr>
              <w:widowControl/>
              <w:jc w:val="center"/>
              <w:rPr>
                <w:rFonts w:hint="eastAsia" w:cs="宋体"/>
                <w:kern w:val="0"/>
                <w:sz w:val="24"/>
                <w:highlight w:val="none"/>
              </w:rPr>
            </w:pPr>
          </w:p>
          <w:p w14:paraId="2575BDCB">
            <w:pPr>
              <w:widowControl/>
              <w:jc w:val="center"/>
              <w:rPr>
                <w:rFonts w:cs="宋体"/>
                <w:kern w:val="0"/>
                <w:sz w:val="24"/>
                <w:highlight w:val="none"/>
              </w:rPr>
            </w:pPr>
            <w:r>
              <w:rPr>
                <w:rFonts w:hint="eastAsia" w:cs="宋体"/>
                <w:kern w:val="0"/>
                <w:sz w:val="24"/>
                <w:highlight w:val="none"/>
              </w:rPr>
              <w:t>历</w:t>
            </w:r>
          </w:p>
        </w:tc>
        <w:tc>
          <w:tcPr>
            <w:tcW w:w="7219" w:type="dxa"/>
            <w:gridSpan w:val="8"/>
            <w:tcBorders>
              <w:top w:val="single" w:color="000000" w:sz="4" w:space="0"/>
              <w:left w:val="single" w:color="000000" w:sz="4" w:space="0"/>
              <w:bottom w:val="single" w:color="000000" w:sz="4" w:space="0"/>
              <w:right w:val="single" w:color="000000" w:sz="4" w:space="0"/>
            </w:tcBorders>
            <w:shd w:val="clear" w:color="auto" w:fill="FFFFFF"/>
            <w:noWrap w:val="0"/>
            <w:vAlign w:val="top"/>
          </w:tcPr>
          <w:p w14:paraId="67F24D4B">
            <w:pPr>
              <w:widowControl/>
              <w:jc w:val="left"/>
              <w:rPr>
                <w:rFonts w:cs="宋体"/>
                <w:kern w:val="0"/>
                <w:sz w:val="24"/>
                <w:highlight w:val="none"/>
              </w:rPr>
            </w:pPr>
          </w:p>
        </w:tc>
      </w:tr>
    </w:tbl>
    <w:p w14:paraId="290F9134">
      <w:pPr>
        <w:spacing w:line="360" w:lineRule="auto"/>
        <w:rPr>
          <w:rFonts w:ascii="宋体" w:hAnsi="宋体"/>
          <w:color w:val="auto"/>
          <w:sz w:val="24"/>
          <w:highlight w:val="none"/>
        </w:rPr>
      </w:pPr>
    </w:p>
    <w:p w14:paraId="74B30A3C">
      <w:pPr>
        <w:adjustRightInd w:val="0"/>
        <w:snapToGrid w:val="0"/>
        <w:spacing w:line="360" w:lineRule="auto"/>
        <w:ind w:firstLine="4838" w:firstLineChars="2016"/>
        <w:rPr>
          <w:rFonts w:ascii="宋体" w:hAnsi="宋体" w:cs="仿宋_GB2312"/>
          <w:color w:val="auto"/>
          <w:kern w:val="0"/>
          <w:sz w:val="24"/>
          <w:highlight w:val="none"/>
          <w:lang w:val="zh-CN"/>
        </w:rPr>
      </w:pPr>
      <w:r>
        <w:rPr>
          <w:rFonts w:hint="eastAsia" w:ascii="宋体" w:hAnsi="宋体" w:cs="仿宋_GB2312"/>
          <w:color w:val="auto"/>
          <w:kern w:val="0"/>
          <w:sz w:val="24"/>
          <w:highlight w:val="none"/>
          <w:lang w:val="zh-CN"/>
        </w:rPr>
        <w:t>供应商名称（</w:t>
      </w:r>
      <w:r>
        <w:rPr>
          <w:rFonts w:hint="eastAsia" w:ascii="宋体" w:hAnsi="宋体"/>
          <w:color w:val="auto"/>
          <w:sz w:val="24"/>
          <w:highlight w:val="none"/>
        </w:rPr>
        <w:t>公章/电子章</w:t>
      </w:r>
      <w:r>
        <w:rPr>
          <w:rFonts w:hint="eastAsia" w:ascii="宋体" w:hAnsi="宋体" w:cs="仿宋_GB2312"/>
          <w:color w:val="auto"/>
          <w:kern w:val="0"/>
          <w:sz w:val="24"/>
          <w:highlight w:val="none"/>
          <w:lang w:val="zh-CN"/>
        </w:rPr>
        <w:t>）：</w:t>
      </w:r>
    </w:p>
    <w:p w14:paraId="1B4C5AEA">
      <w:pPr>
        <w:adjustRightInd w:val="0"/>
        <w:snapToGrid w:val="0"/>
        <w:spacing w:line="360" w:lineRule="auto"/>
        <w:jc w:val="right"/>
        <w:rPr>
          <w:rFonts w:ascii="宋体" w:hAnsi="宋体" w:cs="仿宋_GB2312"/>
          <w:color w:val="auto"/>
          <w:kern w:val="0"/>
          <w:sz w:val="24"/>
          <w:highlight w:val="none"/>
          <w:lang w:val="zh-CN"/>
        </w:rPr>
      </w:pPr>
      <w:r>
        <w:rPr>
          <w:rFonts w:hint="eastAsia" w:ascii="宋体" w:hAnsi="宋体" w:cs="仿宋_GB2312"/>
          <w:color w:val="auto"/>
          <w:kern w:val="0"/>
          <w:sz w:val="24"/>
          <w:highlight w:val="none"/>
          <w:lang w:val="zh-CN"/>
        </w:rPr>
        <w:t>法定代表人或授权委托人签字</w:t>
      </w:r>
      <w:r>
        <w:rPr>
          <w:rFonts w:hint="eastAsia" w:ascii="宋体" w:hAnsi="宋体" w:cs="仿宋_GB2312"/>
          <w:color w:val="auto"/>
          <w:kern w:val="0"/>
          <w:sz w:val="24"/>
          <w:highlight w:val="none"/>
        </w:rPr>
        <w:t>或盖章</w:t>
      </w:r>
      <w:r>
        <w:rPr>
          <w:rFonts w:hint="eastAsia" w:ascii="宋体" w:hAnsi="宋体" w:cs="仿宋_GB2312"/>
          <w:color w:val="auto"/>
          <w:kern w:val="0"/>
          <w:sz w:val="24"/>
          <w:highlight w:val="none"/>
          <w:lang w:val="zh-CN"/>
        </w:rPr>
        <w:t>：</w:t>
      </w:r>
    </w:p>
    <w:p w14:paraId="00CFAF95">
      <w:pPr>
        <w:adjustRightInd w:val="0"/>
        <w:snapToGrid w:val="0"/>
        <w:spacing w:line="360" w:lineRule="auto"/>
        <w:ind w:firstLine="4838" w:firstLineChars="2016"/>
        <w:rPr>
          <w:rFonts w:hint="eastAsia" w:ascii="宋体" w:hAnsi="宋体" w:cs="仿宋_GB2312"/>
          <w:color w:val="auto"/>
          <w:kern w:val="0"/>
          <w:sz w:val="24"/>
          <w:highlight w:val="none"/>
          <w:lang w:val="zh-CN"/>
        </w:rPr>
      </w:pPr>
      <w:r>
        <w:rPr>
          <w:rFonts w:hint="eastAsia" w:ascii="宋体" w:hAnsi="宋体" w:cs="仿宋_GB2312"/>
          <w:color w:val="auto"/>
          <w:kern w:val="0"/>
          <w:sz w:val="24"/>
          <w:highlight w:val="none"/>
          <w:lang w:val="zh-CN"/>
        </w:rPr>
        <w:t>日期：</w:t>
      </w:r>
      <w:r>
        <w:rPr>
          <w:rFonts w:hint="eastAsia" w:ascii="宋体" w:hAnsi="宋体" w:cs="宋体"/>
          <w:color w:val="auto"/>
          <w:sz w:val="24"/>
          <w:highlight w:val="none"/>
        </w:rPr>
        <w:t>××</w:t>
      </w:r>
      <w:r>
        <w:rPr>
          <w:rFonts w:hint="eastAsia" w:ascii="宋体" w:hAnsi="宋体" w:cs="仿宋_GB2312"/>
          <w:color w:val="auto"/>
          <w:kern w:val="0"/>
          <w:sz w:val="24"/>
          <w:highlight w:val="none"/>
          <w:lang w:val="zh-CN"/>
        </w:rPr>
        <w:t xml:space="preserve">年 </w:t>
      </w:r>
      <w:r>
        <w:rPr>
          <w:rFonts w:hint="eastAsia" w:ascii="宋体" w:hAnsi="宋体" w:cs="宋体"/>
          <w:color w:val="auto"/>
          <w:sz w:val="24"/>
          <w:highlight w:val="none"/>
        </w:rPr>
        <w:t>××</w:t>
      </w:r>
      <w:r>
        <w:rPr>
          <w:rFonts w:hint="eastAsia" w:ascii="宋体" w:hAnsi="宋体" w:cs="仿宋_GB2312"/>
          <w:color w:val="auto"/>
          <w:kern w:val="0"/>
          <w:sz w:val="24"/>
          <w:highlight w:val="none"/>
          <w:lang w:val="zh-CN"/>
        </w:rPr>
        <w:t xml:space="preserve"> 月 </w:t>
      </w:r>
      <w:r>
        <w:rPr>
          <w:rFonts w:hint="eastAsia" w:ascii="宋体" w:hAnsi="宋体" w:cs="宋体"/>
          <w:color w:val="auto"/>
          <w:sz w:val="24"/>
          <w:highlight w:val="none"/>
        </w:rPr>
        <w:t>××</w:t>
      </w:r>
      <w:r>
        <w:rPr>
          <w:rFonts w:hint="eastAsia" w:ascii="宋体" w:hAnsi="宋体" w:cs="仿宋_GB2312"/>
          <w:color w:val="auto"/>
          <w:kern w:val="0"/>
          <w:sz w:val="24"/>
          <w:highlight w:val="none"/>
          <w:lang w:val="zh-CN"/>
        </w:rPr>
        <w:t xml:space="preserve"> 日</w:t>
      </w:r>
    </w:p>
    <w:p w14:paraId="0FFC83E2">
      <w:pPr>
        <w:rPr>
          <w:rFonts w:hint="eastAsia" w:ascii="宋体" w:hAnsi="宋体"/>
          <w:b/>
          <w:color w:val="auto"/>
          <w:sz w:val="28"/>
          <w:highlight w:val="none"/>
        </w:rPr>
      </w:pPr>
      <w:r>
        <w:rPr>
          <w:rFonts w:hint="eastAsia" w:ascii="宋体" w:hAnsi="宋体"/>
          <w:b/>
          <w:color w:val="auto"/>
          <w:sz w:val="28"/>
          <w:highlight w:val="none"/>
        </w:rPr>
        <w:br w:type="page"/>
      </w:r>
    </w:p>
    <w:p w14:paraId="6682DB4F">
      <w:pPr>
        <w:spacing w:line="360" w:lineRule="auto"/>
        <w:rPr>
          <w:rFonts w:hint="eastAsia" w:ascii="宋体" w:hAnsi="宋体" w:eastAsia="宋体"/>
          <w:b/>
          <w:color w:val="auto"/>
          <w:sz w:val="28"/>
          <w:highlight w:val="none"/>
          <w:lang w:eastAsia="zh-CN"/>
        </w:rPr>
      </w:pPr>
      <w:r>
        <w:rPr>
          <w:rFonts w:hint="eastAsia" w:ascii="宋体" w:hAnsi="宋体"/>
          <w:b/>
          <w:color w:val="auto"/>
          <w:sz w:val="28"/>
          <w:highlight w:val="none"/>
        </w:rPr>
        <w:t>附件</w:t>
      </w:r>
      <w:r>
        <w:rPr>
          <w:rFonts w:hint="eastAsia" w:ascii="宋体" w:hAnsi="宋体"/>
          <w:b/>
          <w:color w:val="auto"/>
          <w:sz w:val="28"/>
          <w:highlight w:val="none"/>
          <w:lang w:val="en-US" w:eastAsia="zh-CN"/>
        </w:rPr>
        <w:t>8</w:t>
      </w:r>
    </w:p>
    <w:p w14:paraId="6D71AA9E">
      <w:pPr>
        <w:ind w:right="-296" w:rightChars="-141"/>
        <w:jc w:val="center"/>
        <w:rPr>
          <w:rFonts w:hint="eastAsia" w:ascii="宋体" w:hAnsi="宋体" w:eastAsia="宋体"/>
          <w:bCs/>
          <w:sz w:val="32"/>
          <w:szCs w:val="32"/>
          <w:highlight w:val="none"/>
          <w:lang w:eastAsia="zh-CN"/>
        </w:rPr>
      </w:pPr>
      <w:r>
        <w:rPr>
          <w:rFonts w:hint="eastAsia" w:ascii="宋体" w:hAnsi="宋体"/>
          <w:bCs/>
          <w:sz w:val="32"/>
          <w:szCs w:val="32"/>
          <w:highlight w:val="none"/>
          <w:lang w:eastAsia="zh-CN"/>
        </w:rPr>
        <w:t>台州市椒江区前所街道椒北南渠（大树岙村段）综合整治工程</w:t>
      </w:r>
    </w:p>
    <w:p w14:paraId="365ACC92">
      <w:pPr>
        <w:ind w:right="-296" w:rightChars="-141"/>
        <w:jc w:val="center"/>
        <w:rPr>
          <w:rFonts w:hint="eastAsia" w:ascii="宋体" w:hAnsi="宋体"/>
          <w:bCs/>
          <w:sz w:val="32"/>
          <w:szCs w:val="32"/>
          <w:highlight w:val="none"/>
        </w:rPr>
      </w:pPr>
      <w:r>
        <w:rPr>
          <w:rFonts w:hint="eastAsia" w:ascii="宋体" w:hAnsi="宋体"/>
          <w:bCs/>
          <w:sz w:val="32"/>
          <w:szCs w:val="32"/>
          <w:highlight w:val="none"/>
        </w:rPr>
        <w:t>作业机械、设备一览表</w:t>
      </w:r>
    </w:p>
    <w:tbl>
      <w:tblPr>
        <w:tblStyle w:val="24"/>
        <w:tblW w:w="0" w:type="auto"/>
        <w:tblInd w:w="0" w:type="dxa"/>
        <w:tblLayout w:type="fixed"/>
        <w:tblCellMar>
          <w:top w:w="0" w:type="dxa"/>
          <w:left w:w="108" w:type="dxa"/>
          <w:bottom w:w="0" w:type="dxa"/>
          <w:right w:w="108" w:type="dxa"/>
        </w:tblCellMar>
      </w:tblPr>
      <w:tblGrid>
        <w:gridCol w:w="828"/>
        <w:gridCol w:w="1440"/>
        <w:gridCol w:w="1440"/>
        <w:gridCol w:w="1060"/>
        <w:gridCol w:w="1420"/>
        <w:gridCol w:w="1340"/>
        <w:gridCol w:w="920"/>
      </w:tblGrid>
      <w:tr w14:paraId="1EA928DB">
        <w:tblPrEx>
          <w:tblCellMar>
            <w:top w:w="0" w:type="dxa"/>
            <w:left w:w="108" w:type="dxa"/>
            <w:bottom w:w="0" w:type="dxa"/>
            <w:right w:w="108" w:type="dxa"/>
          </w:tblCellMar>
        </w:tblPrEx>
        <w:trPr>
          <w:trHeight w:val="642" w:hRule="atLeast"/>
        </w:trPr>
        <w:tc>
          <w:tcPr>
            <w:tcW w:w="82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46E33B0">
            <w:pPr>
              <w:widowControl/>
              <w:jc w:val="center"/>
              <w:rPr>
                <w:rFonts w:cs="宋体"/>
                <w:kern w:val="0"/>
                <w:sz w:val="22"/>
                <w:szCs w:val="22"/>
                <w:highlight w:val="none"/>
              </w:rPr>
            </w:pPr>
            <w:r>
              <w:rPr>
                <w:rFonts w:hint="eastAsia" w:cs="宋体"/>
                <w:kern w:val="0"/>
                <w:sz w:val="22"/>
                <w:szCs w:val="22"/>
                <w:highlight w:val="none"/>
              </w:rPr>
              <w:t>序号</w:t>
            </w:r>
          </w:p>
        </w:tc>
        <w:tc>
          <w:tcPr>
            <w:tcW w:w="1440" w:type="dxa"/>
            <w:tcBorders>
              <w:top w:val="single" w:color="000000" w:sz="4" w:space="0"/>
              <w:left w:val="nil"/>
              <w:bottom w:val="single" w:color="000000" w:sz="4" w:space="0"/>
              <w:right w:val="single" w:color="000000" w:sz="4" w:space="0"/>
            </w:tcBorders>
            <w:shd w:val="clear" w:color="auto" w:fill="FFFFFF"/>
            <w:noWrap w:val="0"/>
            <w:vAlign w:val="center"/>
          </w:tcPr>
          <w:p w14:paraId="724C56B7">
            <w:pPr>
              <w:widowControl/>
              <w:jc w:val="center"/>
              <w:rPr>
                <w:rFonts w:cs="宋体"/>
                <w:kern w:val="0"/>
                <w:sz w:val="22"/>
                <w:szCs w:val="22"/>
                <w:highlight w:val="none"/>
              </w:rPr>
            </w:pPr>
            <w:r>
              <w:rPr>
                <w:rFonts w:hint="eastAsia" w:cs="宋体"/>
                <w:kern w:val="0"/>
                <w:sz w:val="22"/>
                <w:szCs w:val="22"/>
                <w:highlight w:val="none"/>
              </w:rPr>
              <w:t>设备名称</w:t>
            </w:r>
          </w:p>
        </w:tc>
        <w:tc>
          <w:tcPr>
            <w:tcW w:w="1440" w:type="dxa"/>
            <w:tcBorders>
              <w:top w:val="single" w:color="000000" w:sz="4" w:space="0"/>
              <w:left w:val="nil"/>
              <w:bottom w:val="single" w:color="000000" w:sz="4" w:space="0"/>
              <w:right w:val="single" w:color="000000" w:sz="4" w:space="0"/>
            </w:tcBorders>
            <w:shd w:val="clear" w:color="auto" w:fill="FFFFFF"/>
            <w:noWrap w:val="0"/>
            <w:vAlign w:val="center"/>
          </w:tcPr>
          <w:p w14:paraId="2C1B5484">
            <w:pPr>
              <w:widowControl/>
              <w:jc w:val="center"/>
              <w:rPr>
                <w:rFonts w:cs="宋体"/>
                <w:kern w:val="0"/>
                <w:sz w:val="22"/>
                <w:szCs w:val="22"/>
                <w:highlight w:val="none"/>
              </w:rPr>
            </w:pPr>
            <w:r>
              <w:rPr>
                <w:rFonts w:hint="eastAsia" w:cs="宋体"/>
                <w:kern w:val="0"/>
                <w:sz w:val="22"/>
                <w:szCs w:val="22"/>
                <w:highlight w:val="none"/>
              </w:rPr>
              <w:t>规格型号</w:t>
            </w:r>
          </w:p>
        </w:tc>
        <w:tc>
          <w:tcPr>
            <w:tcW w:w="1060" w:type="dxa"/>
            <w:tcBorders>
              <w:top w:val="single" w:color="000000" w:sz="4" w:space="0"/>
              <w:left w:val="nil"/>
              <w:bottom w:val="single" w:color="000000" w:sz="4" w:space="0"/>
              <w:right w:val="single" w:color="000000" w:sz="4" w:space="0"/>
            </w:tcBorders>
            <w:shd w:val="clear" w:color="auto" w:fill="FFFFFF"/>
            <w:noWrap w:val="0"/>
            <w:vAlign w:val="center"/>
          </w:tcPr>
          <w:p w14:paraId="305FF229">
            <w:pPr>
              <w:widowControl/>
              <w:jc w:val="center"/>
              <w:rPr>
                <w:rFonts w:cs="宋体"/>
                <w:kern w:val="0"/>
                <w:sz w:val="22"/>
                <w:szCs w:val="22"/>
                <w:highlight w:val="none"/>
              </w:rPr>
            </w:pPr>
            <w:r>
              <w:rPr>
                <w:rFonts w:hint="eastAsia" w:cs="宋体"/>
                <w:kern w:val="0"/>
                <w:sz w:val="22"/>
                <w:szCs w:val="22"/>
                <w:highlight w:val="none"/>
              </w:rPr>
              <w:t>数量</w:t>
            </w:r>
          </w:p>
        </w:tc>
        <w:tc>
          <w:tcPr>
            <w:tcW w:w="1420" w:type="dxa"/>
            <w:tcBorders>
              <w:top w:val="single" w:color="000000" w:sz="4" w:space="0"/>
              <w:left w:val="nil"/>
              <w:bottom w:val="single" w:color="000000" w:sz="4" w:space="0"/>
              <w:right w:val="single" w:color="000000" w:sz="4" w:space="0"/>
            </w:tcBorders>
            <w:shd w:val="clear" w:color="auto" w:fill="FFFFFF"/>
            <w:noWrap w:val="0"/>
            <w:vAlign w:val="center"/>
          </w:tcPr>
          <w:p w14:paraId="1DC61D72">
            <w:pPr>
              <w:widowControl/>
              <w:jc w:val="center"/>
              <w:rPr>
                <w:rFonts w:cs="宋体"/>
                <w:kern w:val="0"/>
                <w:sz w:val="22"/>
                <w:szCs w:val="22"/>
                <w:highlight w:val="none"/>
              </w:rPr>
            </w:pPr>
            <w:r>
              <w:rPr>
                <w:rFonts w:hint="eastAsia" w:cs="宋体"/>
                <w:kern w:val="0"/>
                <w:sz w:val="22"/>
                <w:szCs w:val="22"/>
                <w:highlight w:val="none"/>
              </w:rPr>
              <w:t>设备能力</w:t>
            </w:r>
          </w:p>
        </w:tc>
        <w:tc>
          <w:tcPr>
            <w:tcW w:w="1340" w:type="dxa"/>
            <w:tcBorders>
              <w:top w:val="single" w:color="000000" w:sz="4" w:space="0"/>
              <w:left w:val="nil"/>
              <w:bottom w:val="single" w:color="000000" w:sz="4" w:space="0"/>
              <w:right w:val="single" w:color="000000" w:sz="4" w:space="0"/>
            </w:tcBorders>
            <w:shd w:val="clear" w:color="auto" w:fill="FFFFFF"/>
            <w:noWrap w:val="0"/>
            <w:vAlign w:val="center"/>
          </w:tcPr>
          <w:p w14:paraId="76450DCA">
            <w:pPr>
              <w:widowControl/>
              <w:jc w:val="center"/>
              <w:rPr>
                <w:rFonts w:cs="宋体"/>
                <w:kern w:val="0"/>
                <w:sz w:val="22"/>
                <w:szCs w:val="22"/>
                <w:highlight w:val="none"/>
              </w:rPr>
            </w:pPr>
            <w:r>
              <w:rPr>
                <w:rFonts w:hint="eastAsia" w:cs="宋体"/>
                <w:kern w:val="0"/>
                <w:sz w:val="22"/>
                <w:szCs w:val="22"/>
                <w:highlight w:val="none"/>
              </w:rPr>
              <w:t>进场时间</w:t>
            </w:r>
          </w:p>
        </w:tc>
        <w:tc>
          <w:tcPr>
            <w:tcW w:w="920" w:type="dxa"/>
            <w:tcBorders>
              <w:top w:val="single" w:color="000000" w:sz="4" w:space="0"/>
              <w:left w:val="nil"/>
              <w:bottom w:val="single" w:color="000000" w:sz="4" w:space="0"/>
              <w:right w:val="single" w:color="000000" w:sz="4" w:space="0"/>
            </w:tcBorders>
            <w:shd w:val="clear" w:color="auto" w:fill="FFFFFF"/>
            <w:noWrap w:val="0"/>
            <w:vAlign w:val="center"/>
          </w:tcPr>
          <w:p w14:paraId="1689FCD5">
            <w:pPr>
              <w:widowControl/>
              <w:jc w:val="center"/>
              <w:rPr>
                <w:rFonts w:cs="宋体"/>
                <w:kern w:val="0"/>
                <w:sz w:val="22"/>
                <w:szCs w:val="22"/>
                <w:highlight w:val="none"/>
              </w:rPr>
            </w:pPr>
            <w:r>
              <w:rPr>
                <w:rFonts w:hint="eastAsia" w:cs="宋体"/>
                <w:kern w:val="0"/>
                <w:sz w:val="22"/>
                <w:szCs w:val="22"/>
                <w:highlight w:val="none"/>
              </w:rPr>
              <w:t>备注</w:t>
            </w:r>
          </w:p>
        </w:tc>
      </w:tr>
      <w:tr w14:paraId="570AE21C">
        <w:tblPrEx>
          <w:tblCellMar>
            <w:top w:w="0" w:type="dxa"/>
            <w:left w:w="108" w:type="dxa"/>
            <w:bottom w:w="0" w:type="dxa"/>
            <w:right w:w="108" w:type="dxa"/>
          </w:tblCellMar>
        </w:tblPrEx>
        <w:trPr>
          <w:trHeight w:val="642" w:hRule="atLeast"/>
        </w:trPr>
        <w:tc>
          <w:tcPr>
            <w:tcW w:w="82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A3F7ACF">
            <w:pPr>
              <w:widowControl/>
              <w:jc w:val="center"/>
              <w:rPr>
                <w:rFonts w:cs="宋体"/>
                <w:kern w:val="0"/>
                <w:sz w:val="22"/>
                <w:szCs w:val="22"/>
                <w:highlight w:val="none"/>
              </w:rPr>
            </w:pPr>
          </w:p>
        </w:tc>
        <w:tc>
          <w:tcPr>
            <w:tcW w:w="1440" w:type="dxa"/>
            <w:tcBorders>
              <w:top w:val="single" w:color="000000" w:sz="4" w:space="0"/>
              <w:left w:val="nil"/>
              <w:bottom w:val="single" w:color="000000" w:sz="4" w:space="0"/>
              <w:right w:val="single" w:color="000000" w:sz="4" w:space="0"/>
            </w:tcBorders>
            <w:shd w:val="clear" w:color="auto" w:fill="FFFFFF"/>
            <w:noWrap w:val="0"/>
            <w:vAlign w:val="center"/>
          </w:tcPr>
          <w:p w14:paraId="6268548E">
            <w:pPr>
              <w:widowControl/>
              <w:jc w:val="center"/>
              <w:rPr>
                <w:rFonts w:cs="宋体"/>
                <w:kern w:val="0"/>
                <w:sz w:val="22"/>
                <w:szCs w:val="22"/>
                <w:highlight w:val="none"/>
              </w:rPr>
            </w:pPr>
          </w:p>
        </w:tc>
        <w:tc>
          <w:tcPr>
            <w:tcW w:w="1440" w:type="dxa"/>
            <w:tcBorders>
              <w:top w:val="single" w:color="000000" w:sz="4" w:space="0"/>
              <w:left w:val="nil"/>
              <w:bottom w:val="single" w:color="000000" w:sz="4" w:space="0"/>
              <w:right w:val="single" w:color="000000" w:sz="4" w:space="0"/>
            </w:tcBorders>
            <w:shd w:val="clear" w:color="auto" w:fill="FFFFFF"/>
            <w:noWrap w:val="0"/>
            <w:vAlign w:val="center"/>
          </w:tcPr>
          <w:p w14:paraId="25EB770E">
            <w:pPr>
              <w:widowControl/>
              <w:jc w:val="center"/>
              <w:rPr>
                <w:rFonts w:cs="宋体"/>
                <w:kern w:val="0"/>
                <w:sz w:val="22"/>
                <w:szCs w:val="22"/>
                <w:highlight w:val="none"/>
              </w:rPr>
            </w:pPr>
          </w:p>
        </w:tc>
        <w:tc>
          <w:tcPr>
            <w:tcW w:w="1060" w:type="dxa"/>
            <w:tcBorders>
              <w:top w:val="single" w:color="000000" w:sz="4" w:space="0"/>
              <w:left w:val="nil"/>
              <w:bottom w:val="single" w:color="000000" w:sz="4" w:space="0"/>
              <w:right w:val="single" w:color="000000" w:sz="4" w:space="0"/>
            </w:tcBorders>
            <w:shd w:val="clear" w:color="auto" w:fill="FFFFFF"/>
            <w:noWrap w:val="0"/>
            <w:vAlign w:val="center"/>
          </w:tcPr>
          <w:p w14:paraId="50063D11">
            <w:pPr>
              <w:widowControl/>
              <w:jc w:val="center"/>
              <w:rPr>
                <w:rFonts w:cs="宋体"/>
                <w:kern w:val="0"/>
                <w:sz w:val="22"/>
                <w:szCs w:val="22"/>
                <w:highlight w:val="none"/>
              </w:rPr>
            </w:pPr>
          </w:p>
        </w:tc>
        <w:tc>
          <w:tcPr>
            <w:tcW w:w="1420" w:type="dxa"/>
            <w:tcBorders>
              <w:top w:val="single" w:color="000000" w:sz="4" w:space="0"/>
              <w:left w:val="nil"/>
              <w:bottom w:val="single" w:color="000000" w:sz="4" w:space="0"/>
              <w:right w:val="single" w:color="000000" w:sz="4" w:space="0"/>
            </w:tcBorders>
            <w:shd w:val="clear" w:color="auto" w:fill="FFFFFF"/>
            <w:noWrap w:val="0"/>
            <w:vAlign w:val="center"/>
          </w:tcPr>
          <w:p w14:paraId="0DDAF440">
            <w:pPr>
              <w:widowControl/>
              <w:jc w:val="center"/>
              <w:rPr>
                <w:rFonts w:cs="宋体"/>
                <w:kern w:val="0"/>
                <w:sz w:val="22"/>
                <w:szCs w:val="22"/>
                <w:highlight w:val="none"/>
              </w:rPr>
            </w:pPr>
          </w:p>
        </w:tc>
        <w:tc>
          <w:tcPr>
            <w:tcW w:w="1340" w:type="dxa"/>
            <w:tcBorders>
              <w:top w:val="single" w:color="000000" w:sz="4" w:space="0"/>
              <w:left w:val="nil"/>
              <w:bottom w:val="single" w:color="000000" w:sz="4" w:space="0"/>
              <w:right w:val="single" w:color="000000" w:sz="4" w:space="0"/>
            </w:tcBorders>
            <w:shd w:val="clear" w:color="auto" w:fill="FFFFFF"/>
            <w:noWrap w:val="0"/>
            <w:vAlign w:val="center"/>
          </w:tcPr>
          <w:p w14:paraId="016060BB">
            <w:pPr>
              <w:widowControl/>
              <w:jc w:val="center"/>
              <w:rPr>
                <w:rFonts w:cs="宋体"/>
                <w:kern w:val="0"/>
                <w:sz w:val="22"/>
                <w:szCs w:val="22"/>
                <w:highlight w:val="none"/>
              </w:rPr>
            </w:pPr>
          </w:p>
        </w:tc>
        <w:tc>
          <w:tcPr>
            <w:tcW w:w="920" w:type="dxa"/>
            <w:tcBorders>
              <w:top w:val="single" w:color="000000" w:sz="4" w:space="0"/>
              <w:left w:val="nil"/>
              <w:bottom w:val="single" w:color="000000" w:sz="4" w:space="0"/>
              <w:right w:val="single" w:color="000000" w:sz="4" w:space="0"/>
            </w:tcBorders>
            <w:shd w:val="clear" w:color="auto" w:fill="FFFFFF"/>
            <w:noWrap w:val="0"/>
            <w:vAlign w:val="center"/>
          </w:tcPr>
          <w:p w14:paraId="4F265528">
            <w:pPr>
              <w:widowControl/>
              <w:jc w:val="center"/>
              <w:rPr>
                <w:rFonts w:cs="宋体"/>
                <w:kern w:val="0"/>
                <w:sz w:val="22"/>
                <w:szCs w:val="22"/>
                <w:highlight w:val="none"/>
              </w:rPr>
            </w:pPr>
          </w:p>
        </w:tc>
      </w:tr>
      <w:tr w14:paraId="20F8EE67">
        <w:tblPrEx>
          <w:tblCellMar>
            <w:top w:w="0" w:type="dxa"/>
            <w:left w:w="108" w:type="dxa"/>
            <w:bottom w:w="0" w:type="dxa"/>
            <w:right w:w="108" w:type="dxa"/>
          </w:tblCellMar>
        </w:tblPrEx>
        <w:trPr>
          <w:trHeight w:val="642" w:hRule="atLeast"/>
        </w:trPr>
        <w:tc>
          <w:tcPr>
            <w:tcW w:w="82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2FAB1F">
            <w:pPr>
              <w:widowControl/>
              <w:jc w:val="center"/>
              <w:rPr>
                <w:rFonts w:cs="宋体"/>
                <w:kern w:val="0"/>
                <w:sz w:val="22"/>
                <w:szCs w:val="22"/>
                <w:highlight w:val="none"/>
              </w:rPr>
            </w:pPr>
          </w:p>
        </w:tc>
        <w:tc>
          <w:tcPr>
            <w:tcW w:w="1440" w:type="dxa"/>
            <w:tcBorders>
              <w:top w:val="single" w:color="000000" w:sz="4" w:space="0"/>
              <w:left w:val="nil"/>
              <w:bottom w:val="single" w:color="000000" w:sz="4" w:space="0"/>
              <w:right w:val="single" w:color="000000" w:sz="4" w:space="0"/>
            </w:tcBorders>
            <w:shd w:val="clear" w:color="auto" w:fill="FFFFFF"/>
            <w:noWrap w:val="0"/>
            <w:vAlign w:val="center"/>
          </w:tcPr>
          <w:p w14:paraId="1F8C14AF">
            <w:pPr>
              <w:widowControl/>
              <w:jc w:val="center"/>
              <w:rPr>
                <w:rFonts w:cs="宋体"/>
                <w:kern w:val="0"/>
                <w:sz w:val="22"/>
                <w:szCs w:val="22"/>
                <w:highlight w:val="none"/>
              </w:rPr>
            </w:pPr>
          </w:p>
        </w:tc>
        <w:tc>
          <w:tcPr>
            <w:tcW w:w="1440" w:type="dxa"/>
            <w:tcBorders>
              <w:top w:val="single" w:color="000000" w:sz="4" w:space="0"/>
              <w:left w:val="nil"/>
              <w:bottom w:val="single" w:color="000000" w:sz="4" w:space="0"/>
              <w:right w:val="single" w:color="000000" w:sz="4" w:space="0"/>
            </w:tcBorders>
            <w:shd w:val="clear" w:color="auto" w:fill="FFFFFF"/>
            <w:noWrap w:val="0"/>
            <w:vAlign w:val="center"/>
          </w:tcPr>
          <w:p w14:paraId="1643B61C">
            <w:pPr>
              <w:widowControl/>
              <w:jc w:val="center"/>
              <w:rPr>
                <w:rFonts w:cs="宋体"/>
                <w:kern w:val="0"/>
                <w:sz w:val="22"/>
                <w:szCs w:val="22"/>
                <w:highlight w:val="none"/>
              </w:rPr>
            </w:pPr>
          </w:p>
        </w:tc>
        <w:tc>
          <w:tcPr>
            <w:tcW w:w="1060" w:type="dxa"/>
            <w:tcBorders>
              <w:top w:val="single" w:color="000000" w:sz="4" w:space="0"/>
              <w:left w:val="nil"/>
              <w:bottom w:val="single" w:color="000000" w:sz="4" w:space="0"/>
              <w:right w:val="single" w:color="000000" w:sz="4" w:space="0"/>
            </w:tcBorders>
            <w:shd w:val="clear" w:color="auto" w:fill="FFFFFF"/>
            <w:noWrap w:val="0"/>
            <w:vAlign w:val="center"/>
          </w:tcPr>
          <w:p w14:paraId="65426DFD">
            <w:pPr>
              <w:widowControl/>
              <w:jc w:val="center"/>
              <w:rPr>
                <w:rFonts w:cs="宋体"/>
                <w:kern w:val="0"/>
                <w:sz w:val="22"/>
                <w:szCs w:val="22"/>
                <w:highlight w:val="none"/>
              </w:rPr>
            </w:pPr>
          </w:p>
        </w:tc>
        <w:tc>
          <w:tcPr>
            <w:tcW w:w="1420" w:type="dxa"/>
            <w:tcBorders>
              <w:top w:val="single" w:color="000000" w:sz="4" w:space="0"/>
              <w:left w:val="nil"/>
              <w:bottom w:val="single" w:color="000000" w:sz="4" w:space="0"/>
              <w:right w:val="single" w:color="000000" w:sz="4" w:space="0"/>
            </w:tcBorders>
            <w:shd w:val="clear" w:color="auto" w:fill="FFFFFF"/>
            <w:noWrap w:val="0"/>
            <w:vAlign w:val="center"/>
          </w:tcPr>
          <w:p w14:paraId="0E20C5FA">
            <w:pPr>
              <w:widowControl/>
              <w:jc w:val="center"/>
              <w:rPr>
                <w:rFonts w:cs="宋体"/>
                <w:kern w:val="0"/>
                <w:sz w:val="22"/>
                <w:szCs w:val="22"/>
                <w:highlight w:val="none"/>
              </w:rPr>
            </w:pPr>
          </w:p>
        </w:tc>
        <w:tc>
          <w:tcPr>
            <w:tcW w:w="1340" w:type="dxa"/>
            <w:tcBorders>
              <w:top w:val="single" w:color="000000" w:sz="4" w:space="0"/>
              <w:left w:val="nil"/>
              <w:bottom w:val="single" w:color="000000" w:sz="4" w:space="0"/>
              <w:right w:val="single" w:color="000000" w:sz="4" w:space="0"/>
            </w:tcBorders>
            <w:shd w:val="clear" w:color="auto" w:fill="FFFFFF"/>
            <w:noWrap w:val="0"/>
            <w:vAlign w:val="center"/>
          </w:tcPr>
          <w:p w14:paraId="65BAD8B9">
            <w:pPr>
              <w:widowControl/>
              <w:jc w:val="center"/>
              <w:rPr>
                <w:rFonts w:cs="宋体"/>
                <w:kern w:val="0"/>
                <w:sz w:val="22"/>
                <w:szCs w:val="22"/>
                <w:highlight w:val="none"/>
              </w:rPr>
            </w:pPr>
          </w:p>
        </w:tc>
        <w:tc>
          <w:tcPr>
            <w:tcW w:w="920" w:type="dxa"/>
            <w:tcBorders>
              <w:top w:val="single" w:color="000000" w:sz="4" w:space="0"/>
              <w:left w:val="nil"/>
              <w:bottom w:val="single" w:color="000000" w:sz="4" w:space="0"/>
              <w:right w:val="single" w:color="000000" w:sz="4" w:space="0"/>
            </w:tcBorders>
            <w:shd w:val="clear" w:color="auto" w:fill="FFFFFF"/>
            <w:noWrap w:val="0"/>
            <w:vAlign w:val="center"/>
          </w:tcPr>
          <w:p w14:paraId="4050159F">
            <w:pPr>
              <w:widowControl/>
              <w:jc w:val="center"/>
              <w:rPr>
                <w:rFonts w:cs="宋体"/>
                <w:kern w:val="0"/>
                <w:sz w:val="22"/>
                <w:szCs w:val="22"/>
                <w:highlight w:val="none"/>
              </w:rPr>
            </w:pPr>
          </w:p>
        </w:tc>
      </w:tr>
      <w:tr w14:paraId="49D5D83E">
        <w:tblPrEx>
          <w:tblCellMar>
            <w:top w:w="0" w:type="dxa"/>
            <w:left w:w="108" w:type="dxa"/>
            <w:bottom w:w="0" w:type="dxa"/>
            <w:right w:w="108" w:type="dxa"/>
          </w:tblCellMar>
        </w:tblPrEx>
        <w:trPr>
          <w:trHeight w:val="642" w:hRule="atLeast"/>
        </w:trPr>
        <w:tc>
          <w:tcPr>
            <w:tcW w:w="82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473B097">
            <w:pPr>
              <w:widowControl/>
              <w:jc w:val="center"/>
              <w:rPr>
                <w:rFonts w:cs="宋体"/>
                <w:kern w:val="0"/>
                <w:sz w:val="22"/>
                <w:szCs w:val="22"/>
                <w:highlight w:val="none"/>
              </w:rPr>
            </w:pPr>
          </w:p>
        </w:tc>
        <w:tc>
          <w:tcPr>
            <w:tcW w:w="1440" w:type="dxa"/>
            <w:tcBorders>
              <w:top w:val="single" w:color="000000" w:sz="4" w:space="0"/>
              <w:left w:val="nil"/>
              <w:bottom w:val="single" w:color="000000" w:sz="4" w:space="0"/>
              <w:right w:val="single" w:color="000000" w:sz="4" w:space="0"/>
            </w:tcBorders>
            <w:shd w:val="clear" w:color="auto" w:fill="FFFFFF"/>
            <w:noWrap w:val="0"/>
            <w:vAlign w:val="center"/>
          </w:tcPr>
          <w:p w14:paraId="1066C599">
            <w:pPr>
              <w:widowControl/>
              <w:jc w:val="center"/>
              <w:rPr>
                <w:rFonts w:cs="宋体"/>
                <w:kern w:val="0"/>
                <w:sz w:val="22"/>
                <w:szCs w:val="22"/>
                <w:highlight w:val="none"/>
              </w:rPr>
            </w:pPr>
          </w:p>
        </w:tc>
        <w:tc>
          <w:tcPr>
            <w:tcW w:w="1440" w:type="dxa"/>
            <w:tcBorders>
              <w:top w:val="single" w:color="000000" w:sz="4" w:space="0"/>
              <w:left w:val="nil"/>
              <w:bottom w:val="single" w:color="000000" w:sz="4" w:space="0"/>
              <w:right w:val="single" w:color="000000" w:sz="4" w:space="0"/>
            </w:tcBorders>
            <w:shd w:val="clear" w:color="auto" w:fill="FFFFFF"/>
            <w:noWrap w:val="0"/>
            <w:vAlign w:val="center"/>
          </w:tcPr>
          <w:p w14:paraId="50F48367">
            <w:pPr>
              <w:widowControl/>
              <w:jc w:val="center"/>
              <w:rPr>
                <w:rFonts w:cs="宋体"/>
                <w:kern w:val="0"/>
                <w:sz w:val="22"/>
                <w:szCs w:val="22"/>
                <w:highlight w:val="none"/>
              </w:rPr>
            </w:pPr>
          </w:p>
        </w:tc>
        <w:tc>
          <w:tcPr>
            <w:tcW w:w="1060" w:type="dxa"/>
            <w:tcBorders>
              <w:top w:val="single" w:color="000000" w:sz="4" w:space="0"/>
              <w:left w:val="nil"/>
              <w:bottom w:val="single" w:color="000000" w:sz="4" w:space="0"/>
              <w:right w:val="single" w:color="000000" w:sz="4" w:space="0"/>
            </w:tcBorders>
            <w:shd w:val="clear" w:color="auto" w:fill="FFFFFF"/>
            <w:noWrap w:val="0"/>
            <w:vAlign w:val="center"/>
          </w:tcPr>
          <w:p w14:paraId="01949546">
            <w:pPr>
              <w:widowControl/>
              <w:jc w:val="center"/>
              <w:rPr>
                <w:rFonts w:cs="宋体"/>
                <w:kern w:val="0"/>
                <w:sz w:val="22"/>
                <w:szCs w:val="22"/>
                <w:highlight w:val="none"/>
              </w:rPr>
            </w:pPr>
          </w:p>
        </w:tc>
        <w:tc>
          <w:tcPr>
            <w:tcW w:w="1420" w:type="dxa"/>
            <w:tcBorders>
              <w:top w:val="single" w:color="000000" w:sz="4" w:space="0"/>
              <w:left w:val="nil"/>
              <w:bottom w:val="single" w:color="000000" w:sz="4" w:space="0"/>
              <w:right w:val="single" w:color="000000" w:sz="4" w:space="0"/>
            </w:tcBorders>
            <w:shd w:val="clear" w:color="auto" w:fill="FFFFFF"/>
            <w:noWrap w:val="0"/>
            <w:vAlign w:val="center"/>
          </w:tcPr>
          <w:p w14:paraId="1A492C3A">
            <w:pPr>
              <w:widowControl/>
              <w:jc w:val="center"/>
              <w:rPr>
                <w:rFonts w:cs="宋体"/>
                <w:kern w:val="0"/>
                <w:sz w:val="22"/>
                <w:szCs w:val="22"/>
                <w:highlight w:val="none"/>
              </w:rPr>
            </w:pPr>
          </w:p>
        </w:tc>
        <w:tc>
          <w:tcPr>
            <w:tcW w:w="1340" w:type="dxa"/>
            <w:tcBorders>
              <w:top w:val="single" w:color="000000" w:sz="4" w:space="0"/>
              <w:left w:val="nil"/>
              <w:bottom w:val="single" w:color="000000" w:sz="4" w:space="0"/>
              <w:right w:val="single" w:color="000000" w:sz="4" w:space="0"/>
            </w:tcBorders>
            <w:shd w:val="clear" w:color="auto" w:fill="FFFFFF"/>
            <w:noWrap w:val="0"/>
            <w:vAlign w:val="center"/>
          </w:tcPr>
          <w:p w14:paraId="738F1CE5">
            <w:pPr>
              <w:widowControl/>
              <w:jc w:val="center"/>
              <w:rPr>
                <w:rFonts w:cs="宋体"/>
                <w:kern w:val="0"/>
                <w:sz w:val="22"/>
                <w:szCs w:val="22"/>
                <w:highlight w:val="none"/>
              </w:rPr>
            </w:pPr>
          </w:p>
        </w:tc>
        <w:tc>
          <w:tcPr>
            <w:tcW w:w="920" w:type="dxa"/>
            <w:tcBorders>
              <w:top w:val="single" w:color="000000" w:sz="4" w:space="0"/>
              <w:left w:val="nil"/>
              <w:bottom w:val="single" w:color="000000" w:sz="4" w:space="0"/>
              <w:right w:val="single" w:color="000000" w:sz="4" w:space="0"/>
            </w:tcBorders>
            <w:shd w:val="clear" w:color="auto" w:fill="FFFFFF"/>
            <w:noWrap w:val="0"/>
            <w:vAlign w:val="center"/>
          </w:tcPr>
          <w:p w14:paraId="79F77AA8">
            <w:pPr>
              <w:widowControl/>
              <w:jc w:val="center"/>
              <w:rPr>
                <w:rFonts w:cs="宋体"/>
                <w:kern w:val="0"/>
                <w:sz w:val="22"/>
                <w:szCs w:val="22"/>
                <w:highlight w:val="none"/>
              </w:rPr>
            </w:pPr>
          </w:p>
        </w:tc>
      </w:tr>
      <w:tr w14:paraId="53AEE25D">
        <w:tblPrEx>
          <w:tblCellMar>
            <w:top w:w="0" w:type="dxa"/>
            <w:left w:w="108" w:type="dxa"/>
            <w:bottom w:w="0" w:type="dxa"/>
            <w:right w:w="108" w:type="dxa"/>
          </w:tblCellMar>
        </w:tblPrEx>
        <w:trPr>
          <w:trHeight w:val="642" w:hRule="atLeast"/>
        </w:trPr>
        <w:tc>
          <w:tcPr>
            <w:tcW w:w="82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EC7CBDF">
            <w:pPr>
              <w:widowControl/>
              <w:jc w:val="center"/>
              <w:rPr>
                <w:rFonts w:cs="宋体"/>
                <w:kern w:val="0"/>
                <w:sz w:val="22"/>
                <w:szCs w:val="22"/>
                <w:highlight w:val="none"/>
              </w:rPr>
            </w:pPr>
          </w:p>
        </w:tc>
        <w:tc>
          <w:tcPr>
            <w:tcW w:w="1440" w:type="dxa"/>
            <w:tcBorders>
              <w:top w:val="single" w:color="000000" w:sz="4" w:space="0"/>
              <w:left w:val="nil"/>
              <w:bottom w:val="single" w:color="000000" w:sz="4" w:space="0"/>
              <w:right w:val="single" w:color="000000" w:sz="4" w:space="0"/>
            </w:tcBorders>
            <w:shd w:val="clear" w:color="auto" w:fill="FFFFFF"/>
            <w:noWrap w:val="0"/>
            <w:vAlign w:val="center"/>
          </w:tcPr>
          <w:p w14:paraId="4844C670">
            <w:pPr>
              <w:widowControl/>
              <w:jc w:val="center"/>
              <w:rPr>
                <w:rFonts w:cs="宋体"/>
                <w:kern w:val="0"/>
                <w:sz w:val="22"/>
                <w:szCs w:val="22"/>
                <w:highlight w:val="none"/>
              </w:rPr>
            </w:pPr>
          </w:p>
        </w:tc>
        <w:tc>
          <w:tcPr>
            <w:tcW w:w="1440" w:type="dxa"/>
            <w:tcBorders>
              <w:top w:val="single" w:color="000000" w:sz="4" w:space="0"/>
              <w:left w:val="nil"/>
              <w:bottom w:val="single" w:color="000000" w:sz="4" w:space="0"/>
              <w:right w:val="single" w:color="000000" w:sz="4" w:space="0"/>
            </w:tcBorders>
            <w:shd w:val="clear" w:color="auto" w:fill="FFFFFF"/>
            <w:noWrap w:val="0"/>
            <w:vAlign w:val="center"/>
          </w:tcPr>
          <w:p w14:paraId="0F9D5A64">
            <w:pPr>
              <w:widowControl/>
              <w:jc w:val="center"/>
              <w:rPr>
                <w:rFonts w:cs="宋体"/>
                <w:kern w:val="0"/>
                <w:sz w:val="22"/>
                <w:szCs w:val="22"/>
                <w:highlight w:val="none"/>
              </w:rPr>
            </w:pPr>
          </w:p>
        </w:tc>
        <w:tc>
          <w:tcPr>
            <w:tcW w:w="1060" w:type="dxa"/>
            <w:tcBorders>
              <w:top w:val="single" w:color="000000" w:sz="4" w:space="0"/>
              <w:left w:val="nil"/>
              <w:bottom w:val="single" w:color="000000" w:sz="4" w:space="0"/>
              <w:right w:val="single" w:color="000000" w:sz="4" w:space="0"/>
            </w:tcBorders>
            <w:shd w:val="clear" w:color="auto" w:fill="FFFFFF"/>
            <w:noWrap w:val="0"/>
            <w:vAlign w:val="center"/>
          </w:tcPr>
          <w:p w14:paraId="0DFE119E">
            <w:pPr>
              <w:widowControl/>
              <w:jc w:val="center"/>
              <w:rPr>
                <w:rFonts w:cs="宋体"/>
                <w:kern w:val="0"/>
                <w:sz w:val="22"/>
                <w:szCs w:val="22"/>
                <w:highlight w:val="none"/>
              </w:rPr>
            </w:pPr>
          </w:p>
        </w:tc>
        <w:tc>
          <w:tcPr>
            <w:tcW w:w="1420" w:type="dxa"/>
            <w:tcBorders>
              <w:top w:val="single" w:color="000000" w:sz="4" w:space="0"/>
              <w:left w:val="nil"/>
              <w:bottom w:val="single" w:color="000000" w:sz="4" w:space="0"/>
              <w:right w:val="single" w:color="000000" w:sz="4" w:space="0"/>
            </w:tcBorders>
            <w:shd w:val="clear" w:color="auto" w:fill="FFFFFF"/>
            <w:noWrap w:val="0"/>
            <w:vAlign w:val="center"/>
          </w:tcPr>
          <w:p w14:paraId="14F97212">
            <w:pPr>
              <w:widowControl/>
              <w:jc w:val="center"/>
              <w:rPr>
                <w:rFonts w:cs="宋体"/>
                <w:kern w:val="0"/>
                <w:sz w:val="22"/>
                <w:szCs w:val="22"/>
                <w:highlight w:val="none"/>
              </w:rPr>
            </w:pPr>
          </w:p>
        </w:tc>
        <w:tc>
          <w:tcPr>
            <w:tcW w:w="1340" w:type="dxa"/>
            <w:tcBorders>
              <w:top w:val="single" w:color="000000" w:sz="4" w:space="0"/>
              <w:left w:val="nil"/>
              <w:bottom w:val="single" w:color="000000" w:sz="4" w:space="0"/>
              <w:right w:val="single" w:color="000000" w:sz="4" w:space="0"/>
            </w:tcBorders>
            <w:shd w:val="clear" w:color="auto" w:fill="FFFFFF"/>
            <w:noWrap w:val="0"/>
            <w:vAlign w:val="center"/>
          </w:tcPr>
          <w:p w14:paraId="54F49DDD">
            <w:pPr>
              <w:widowControl/>
              <w:jc w:val="center"/>
              <w:rPr>
                <w:rFonts w:cs="宋体"/>
                <w:kern w:val="0"/>
                <w:sz w:val="22"/>
                <w:szCs w:val="22"/>
                <w:highlight w:val="none"/>
              </w:rPr>
            </w:pPr>
          </w:p>
        </w:tc>
        <w:tc>
          <w:tcPr>
            <w:tcW w:w="920" w:type="dxa"/>
            <w:tcBorders>
              <w:top w:val="single" w:color="000000" w:sz="4" w:space="0"/>
              <w:left w:val="nil"/>
              <w:bottom w:val="single" w:color="000000" w:sz="4" w:space="0"/>
              <w:right w:val="single" w:color="000000" w:sz="4" w:space="0"/>
            </w:tcBorders>
            <w:shd w:val="clear" w:color="auto" w:fill="FFFFFF"/>
            <w:noWrap w:val="0"/>
            <w:vAlign w:val="center"/>
          </w:tcPr>
          <w:p w14:paraId="0DFA7078">
            <w:pPr>
              <w:widowControl/>
              <w:jc w:val="center"/>
              <w:rPr>
                <w:rFonts w:cs="宋体"/>
                <w:kern w:val="0"/>
                <w:sz w:val="22"/>
                <w:szCs w:val="22"/>
                <w:highlight w:val="none"/>
              </w:rPr>
            </w:pPr>
          </w:p>
        </w:tc>
      </w:tr>
      <w:tr w14:paraId="435FEF10">
        <w:tblPrEx>
          <w:tblCellMar>
            <w:top w:w="0" w:type="dxa"/>
            <w:left w:w="108" w:type="dxa"/>
            <w:bottom w:w="0" w:type="dxa"/>
            <w:right w:w="108" w:type="dxa"/>
          </w:tblCellMar>
        </w:tblPrEx>
        <w:trPr>
          <w:trHeight w:val="642" w:hRule="atLeast"/>
        </w:trPr>
        <w:tc>
          <w:tcPr>
            <w:tcW w:w="82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76666FD">
            <w:pPr>
              <w:widowControl/>
              <w:jc w:val="center"/>
              <w:rPr>
                <w:rFonts w:cs="宋体"/>
                <w:kern w:val="0"/>
                <w:sz w:val="22"/>
                <w:szCs w:val="22"/>
                <w:highlight w:val="none"/>
              </w:rPr>
            </w:pPr>
          </w:p>
        </w:tc>
        <w:tc>
          <w:tcPr>
            <w:tcW w:w="1440" w:type="dxa"/>
            <w:tcBorders>
              <w:top w:val="single" w:color="000000" w:sz="4" w:space="0"/>
              <w:left w:val="nil"/>
              <w:bottom w:val="single" w:color="000000" w:sz="4" w:space="0"/>
              <w:right w:val="single" w:color="000000" w:sz="4" w:space="0"/>
            </w:tcBorders>
            <w:shd w:val="clear" w:color="auto" w:fill="FFFFFF"/>
            <w:noWrap w:val="0"/>
            <w:vAlign w:val="center"/>
          </w:tcPr>
          <w:p w14:paraId="7A89519D">
            <w:pPr>
              <w:widowControl/>
              <w:jc w:val="center"/>
              <w:rPr>
                <w:rFonts w:cs="宋体"/>
                <w:kern w:val="0"/>
                <w:sz w:val="22"/>
                <w:szCs w:val="22"/>
                <w:highlight w:val="none"/>
              </w:rPr>
            </w:pPr>
          </w:p>
        </w:tc>
        <w:tc>
          <w:tcPr>
            <w:tcW w:w="1440" w:type="dxa"/>
            <w:tcBorders>
              <w:top w:val="single" w:color="000000" w:sz="4" w:space="0"/>
              <w:left w:val="nil"/>
              <w:bottom w:val="single" w:color="000000" w:sz="4" w:space="0"/>
              <w:right w:val="single" w:color="000000" w:sz="4" w:space="0"/>
            </w:tcBorders>
            <w:shd w:val="clear" w:color="auto" w:fill="FFFFFF"/>
            <w:noWrap w:val="0"/>
            <w:vAlign w:val="center"/>
          </w:tcPr>
          <w:p w14:paraId="49CF444C">
            <w:pPr>
              <w:widowControl/>
              <w:jc w:val="center"/>
              <w:rPr>
                <w:rFonts w:cs="宋体"/>
                <w:kern w:val="0"/>
                <w:sz w:val="22"/>
                <w:szCs w:val="22"/>
                <w:highlight w:val="none"/>
              </w:rPr>
            </w:pPr>
          </w:p>
        </w:tc>
        <w:tc>
          <w:tcPr>
            <w:tcW w:w="1060" w:type="dxa"/>
            <w:tcBorders>
              <w:top w:val="single" w:color="000000" w:sz="4" w:space="0"/>
              <w:left w:val="nil"/>
              <w:bottom w:val="single" w:color="000000" w:sz="4" w:space="0"/>
              <w:right w:val="single" w:color="000000" w:sz="4" w:space="0"/>
            </w:tcBorders>
            <w:shd w:val="clear" w:color="auto" w:fill="FFFFFF"/>
            <w:noWrap w:val="0"/>
            <w:vAlign w:val="center"/>
          </w:tcPr>
          <w:p w14:paraId="6ECE579A">
            <w:pPr>
              <w:widowControl/>
              <w:jc w:val="center"/>
              <w:rPr>
                <w:rFonts w:cs="宋体"/>
                <w:kern w:val="0"/>
                <w:sz w:val="22"/>
                <w:szCs w:val="22"/>
                <w:highlight w:val="none"/>
              </w:rPr>
            </w:pPr>
          </w:p>
        </w:tc>
        <w:tc>
          <w:tcPr>
            <w:tcW w:w="1420" w:type="dxa"/>
            <w:tcBorders>
              <w:top w:val="single" w:color="000000" w:sz="4" w:space="0"/>
              <w:left w:val="nil"/>
              <w:bottom w:val="single" w:color="000000" w:sz="4" w:space="0"/>
              <w:right w:val="single" w:color="000000" w:sz="4" w:space="0"/>
            </w:tcBorders>
            <w:shd w:val="clear" w:color="auto" w:fill="FFFFFF"/>
            <w:noWrap w:val="0"/>
            <w:vAlign w:val="center"/>
          </w:tcPr>
          <w:p w14:paraId="2290406D">
            <w:pPr>
              <w:widowControl/>
              <w:jc w:val="center"/>
              <w:rPr>
                <w:rFonts w:cs="宋体"/>
                <w:kern w:val="0"/>
                <w:sz w:val="22"/>
                <w:szCs w:val="22"/>
                <w:highlight w:val="none"/>
              </w:rPr>
            </w:pPr>
          </w:p>
        </w:tc>
        <w:tc>
          <w:tcPr>
            <w:tcW w:w="1340" w:type="dxa"/>
            <w:tcBorders>
              <w:top w:val="single" w:color="000000" w:sz="4" w:space="0"/>
              <w:left w:val="nil"/>
              <w:bottom w:val="single" w:color="000000" w:sz="4" w:space="0"/>
              <w:right w:val="single" w:color="000000" w:sz="4" w:space="0"/>
            </w:tcBorders>
            <w:shd w:val="clear" w:color="auto" w:fill="FFFFFF"/>
            <w:noWrap w:val="0"/>
            <w:vAlign w:val="center"/>
          </w:tcPr>
          <w:p w14:paraId="1EF77CE9">
            <w:pPr>
              <w:widowControl/>
              <w:jc w:val="center"/>
              <w:rPr>
                <w:rFonts w:cs="宋体"/>
                <w:kern w:val="0"/>
                <w:sz w:val="22"/>
                <w:szCs w:val="22"/>
                <w:highlight w:val="none"/>
              </w:rPr>
            </w:pPr>
          </w:p>
        </w:tc>
        <w:tc>
          <w:tcPr>
            <w:tcW w:w="920" w:type="dxa"/>
            <w:tcBorders>
              <w:top w:val="single" w:color="000000" w:sz="4" w:space="0"/>
              <w:left w:val="nil"/>
              <w:bottom w:val="single" w:color="000000" w:sz="4" w:space="0"/>
              <w:right w:val="single" w:color="000000" w:sz="4" w:space="0"/>
            </w:tcBorders>
            <w:shd w:val="clear" w:color="auto" w:fill="FFFFFF"/>
            <w:noWrap w:val="0"/>
            <w:vAlign w:val="center"/>
          </w:tcPr>
          <w:p w14:paraId="7BDF2192">
            <w:pPr>
              <w:widowControl/>
              <w:jc w:val="center"/>
              <w:rPr>
                <w:rFonts w:cs="宋体"/>
                <w:kern w:val="0"/>
                <w:sz w:val="22"/>
                <w:szCs w:val="22"/>
                <w:highlight w:val="none"/>
              </w:rPr>
            </w:pPr>
          </w:p>
        </w:tc>
      </w:tr>
      <w:tr w14:paraId="17C624BF">
        <w:tblPrEx>
          <w:tblCellMar>
            <w:top w:w="0" w:type="dxa"/>
            <w:left w:w="108" w:type="dxa"/>
            <w:bottom w:w="0" w:type="dxa"/>
            <w:right w:w="108" w:type="dxa"/>
          </w:tblCellMar>
        </w:tblPrEx>
        <w:trPr>
          <w:trHeight w:val="642" w:hRule="atLeast"/>
        </w:trPr>
        <w:tc>
          <w:tcPr>
            <w:tcW w:w="82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D95D509">
            <w:pPr>
              <w:widowControl/>
              <w:jc w:val="center"/>
              <w:rPr>
                <w:rFonts w:cs="宋体"/>
                <w:kern w:val="0"/>
                <w:sz w:val="22"/>
                <w:szCs w:val="22"/>
                <w:highlight w:val="none"/>
              </w:rPr>
            </w:pPr>
          </w:p>
        </w:tc>
        <w:tc>
          <w:tcPr>
            <w:tcW w:w="1440" w:type="dxa"/>
            <w:tcBorders>
              <w:top w:val="single" w:color="000000" w:sz="4" w:space="0"/>
              <w:left w:val="nil"/>
              <w:bottom w:val="single" w:color="000000" w:sz="4" w:space="0"/>
              <w:right w:val="single" w:color="000000" w:sz="4" w:space="0"/>
            </w:tcBorders>
            <w:shd w:val="clear" w:color="auto" w:fill="FFFFFF"/>
            <w:noWrap w:val="0"/>
            <w:vAlign w:val="center"/>
          </w:tcPr>
          <w:p w14:paraId="273C8F12">
            <w:pPr>
              <w:widowControl/>
              <w:jc w:val="center"/>
              <w:rPr>
                <w:rFonts w:cs="宋体"/>
                <w:kern w:val="0"/>
                <w:sz w:val="22"/>
                <w:szCs w:val="22"/>
                <w:highlight w:val="none"/>
              </w:rPr>
            </w:pPr>
          </w:p>
        </w:tc>
        <w:tc>
          <w:tcPr>
            <w:tcW w:w="1440" w:type="dxa"/>
            <w:tcBorders>
              <w:top w:val="single" w:color="000000" w:sz="4" w:space="0"/>
              <w:left w:val="nil"/>
              <w:bottom w:val="single" w:color="000000" w:sz="4" w:space="0"/>
              <w:right w:val="single" w:color="000000" w:sz="4" w:space="0"/>
            </w:tcBorders>
            <w:shd w:val="clear" w:color="auto" w:fill="FFFFFF"/>
            <w:noWrap w:val="0"/>
            <w:vAlign w:val="center"/>
          </w:tcPr>
          <w:p w14:paraId="4919E05F">
            <w:pPr>
              <w:widowControl/>
              <w:jc w:val="center"/>
              <w:rPr>
                <w:rFonts w:cs="宋体"/>
                <w:kern w:val="0"/>
                <w:sz w:val="22"/>
                <w:szCs w:val="22"/>
                <w:highlight w:val="none"/>
              </w:rPr>
            </w:pPr>
          </w:p>
        </w:tc>
        <w:tc>
          <w:tcPr>
            <w:tcW w:w="1060" w:type="dxa"/>
            <w:tcBorders>
              <w:top w:val="single" w:color="000000" w:sz="4" w:space="0"/>
              <w:left w:val="nil"/>
              <w:bottom w:val="single" w:color="000000" w:sz="4" w:space="0"/>
              <w:right w:val="single" w:color="000000" w:sz="4" w:space="0"/>
            </w:tcBorders>
            <w:shd w:val="clear" w:color="auto" w:fill="FFFFFF"/>
            <w:noWrap w:val="0"/>
            <w:vAlign w:val="center"/>
          </w:tcPr>
          <w:p w14:paraId="439DF57B">
            <w:pPr>
              <w:widowControl/>
              <w:jc w:val="center"/>
              <w:rPr>
                <w:rFonts w:cs="宋体"/>
                <w:kern w:val="0"/>
                <w:sz w:val="22"/>
                <w:szCs w:val="22"/>
                <w:highlight w:val="none"/>
              </w:rPr>
            </w:pPr>
          </w:p>
        </w:tc>
        <w:tc>
          <w:tcPr>
            <w:tcW w:w="1420" w:type="dxa"/>
            <w:tcBorders>
              <w:top w:val="single" w:color="000000" w:sz="4" w:space="0"/>
              <w:left w:val="nil"/>
              <w:bottom w:val="single" w:color="000000" w:sz="4" w:space="0"/>
              <w:right w:val="single" w:color="000000" w:sz="4" w:space="0"/>
            </w:tcBorders>
            <w:shd w:val="clear" w:color="auto" w:fill="FFFFFF"/>
            <w:noWrap w:val="0"/>
            <w:vAlign w:val="center"/>
          </w:tcPr>
          <w:p w14:paraId="3276EFEB">
            <w:pPr>
              <w:widowControl/>
              <w:jc w:val="center"/>
              <w:rPr>
                <w:rFonts w:cs="宋体"/>
                <w:kern w:val="0"/>
                <w:sz w:val="22"/>
                <w:szCs w:val="22"/>
                <w:highlight w:val="none"/>
              </w:rPr>
            </w:pPr>
          </w:p>
        </w:tc>
        <w:tc>
          <w:tcPr>
            <w:tcW w:w="1340" w:type="dxa"/>
            <w:tcBorders>
              <w:top w:val="single" w:color="000000" w:sz="4" w:space="0"/>
              <w:left w:val="nil"/>
              <w:bottom w:val="single" w:color="000000" w:sz="4" w:space="0"/>
              <w:right w:val="single" w:color="000000" w:sz="4" w:space="0"/>
            </w:tcBorders>
            <w:shd w:val="clear" w:color="auto" w:fill="FFFFFF"/>
            <w:noWrap w:val="0"/>
            <w:vAlign w:val="center"/>
          </w:tcPr>
          <w:p w14:paraId="24AC2FE0">
            <w:pPr>
              <w:widowControl/>
              <w:jc w:val="center"/>
              <w:rPr>
                <w:rFonts w:cs="宋体"/>
                <w:kern w:val="0"/>
                <w:sz w:val="22"/>
                <w:szCs w:val="22"/>
                <w:highlight w:val="none"/>
              </w:rPr>
            </w:pPr>
          </w:p>
        </w:tc>
        <w:tc>
          <w:tcPr>
            <w:tcW w:w="920" w:type="dxa"/>
            <w:tcBorders>
              <w:top w:val="single" w:color="000000" w:sz="4" w:space="0"/>
              <w:left w:val="nil"/>
              <w:bottom w:val="single" w:color="000000" w:sz="4" w:space="0"/>
              <w:right w:val="single" w:color="000000" w:sz="4" w:space="0"/>
            </w:tcBorders>
            <w:shd w:val="clear" w:color="auto" w:fill="FFFFFF"/>
            <w:noWrap w:val="0"/>
            <w:vAlign w:val="center"/>
          </w:tcPr>
          <w:p w14:paraId="31078EC2">
            <w:pPr>
              <w:widowControl/>
              <w:jc w:val="center"/>
              <w:rPr>
                <w:rFonts w:cs="宋体"/>
                <w:kern w:val="0"/>
                <w:sz w:val="22"/>
                <w:szCs w:val="22"/>
                <w:highlight w:val="none"/>
              </w:rPr>
            </w:pPr>
          </w:p>
        </w:tc>
      </w:tr>
      <w:tr w14:paraId="4EA9AE5D">
        <w:tblPrEx>
          <w:tblCellMar>
            <w:top w:w="0" w:type="dxa"/>
            <w:left w:w="108" w:type="dxa"/>
            <w:bottom w:w="0" w:type="dxa"/>
            <w:right w:w="108" w:type="dxa"/>
          </w:tblCellMar>
        </w:tblPrEx>
        <w:trPr>
          <w:trHeight w:val="642" w:hRule="atLeast"/>
        </w:trPr>
        <w:tc>
          <w:tcPr>
            <w:tcW w:w="82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419C4E8">
            <w:pPr>
              <w:widowControl/>
              <w:jc w:val="center"/>
              <w:rPr>
                <w:rFonts w:cs="宋体"/>
                <w:kern w:val="0"/>
                <w:sz w:val="22"/>
                <w:szCs w:val="22"/>
                <w:highlight w:val="none"/>
              </w:rPr>
            </w:pPr>
          </w:p>
        </w:tc>
        <w:tc>
          <w:tcPr>
            <w:tcW w:w="1440" w:type="dxa"/>
            <w:tcBorders>
              <w:top w:val="single" w:color="000000" w:sz="4" w:space="0"/>
              <w:left w:val="nil"/>
              <w:bottom w:val="single" w:color="000000" w:sz="4" w:space="0"/>
              <w:right w:val="single" w:color="000000" w:sz="4" w:space="0"/>
            </w:tcBorders>
            <w:shd w:val="clear" w:color="auto" w:fill="FFFFFF"/>
            <w:noWrap w:val="0"/>
            <w:vAlign w:val="center"/>
          </w:tcPr>
          <w:p w14:paraId="2905137D">
            <w:pPr>
              <w:widowControl/>
              <w:jc w:val="center"/>
              <w:rPr>
                <w:rFonts w:cs="宋体"/>
                <w:kern w:val="0"/>
                <w:sz w:val="22"/>
                <w:szCs w:val="22"/>
                <w:highlight w:val="none"/>
              </w:rPr>
            </w:pPr>
          </w:p>
        </w:tc>
        <w:tc>
          <w:tcPr>
            <w:tcW w:w="1440" w:type="dxa"/>
            <w:tcBorders>
              <w:top w:val="single" w:color="000000" w:sz="4" w:space="0"/>
              <w:left w:val="nil"/>
              <w:bottom w:val="single" w:color="000000" w:sz="4" w:space="0"/>
              <w:right w:val="single" w:color="000000" w:sz="4" w:space="0"/>
            </w:tcBorders>
            <w:shd w:val="clear" w:color="auto" w:fill="FFFFFF"/>
            <w:noWrap w:val="0"/>
            <w:vAlign w:val="center"/>
          </w:tcPr>
          <w:p w14:paraId="0B3B0F1E">
            <w:pPr>
              <w:widowControl/>
              <w:jc w:val="center"/>
              <w:rPr>
                <w:rFonts w:cs="宋体"/>
                <w:kern w:val="0"/>
                <w:sz w:val="22"/>
                <w:szCs w:val="22"/>
                <w:highlight w:val="none"/>
              </w:rPr>
            </w:pPr>
          </w:p>
        </w:tc>
        <w:tc>
          <w:tcPr>
            <w:tcW w:w="1060" w:type="dxa"/>
            <w:tcBorders>
              <w:top w:val="single" w:color="000000" w:sz="4" w:space="0"/>
              <w:left w:val="nil"/>
              <w:bottom w:val="single" w:color="000000" w:sz="4" w:space="0"/>
              <w:right w:val="single" w:color="000000" w:sz="4" w:space="0"/>
            </w:tcBorders>
            <w:shd w:val="clear" w:color="auto" w:fill="FFFFFF"/>
            <w:noWrap w:val="0"/>
            <w:vAlign w:val="center"/>
          </w:tcPr>
          <w:p w14:paraId="7AF2904A">
            <w:pPr>
              <w:widowControl/>
              <w:jc w:val="center"/>
              <w:rPr>
                <w:rFonts w:cs="宋体"/>
                <w:kern w:val="0"/>
                <w:sz w:val="22"/>
                <w:szCs w:val="22"/>
                <w:highlight w:val="none"/>
              </w:rPr>
            </w:pPr>
          </w:p>
        </w:tc>
        <w:tc>
          <w:tcPr>
            <w:tcW w:w="1420" w:type="dxa"/>
            <w:tcBorders>
              <w:top w:val="single" w:color="000000" w:sz="4" w:space="0"/>
              <w:left w:val="nil"/>
              <w:bottom w:val="single" w:color="000000" w:sz="4" w:space="0"/>
              <w:right w:val="single" w:color="000000" w:sz="4" w:space="0"/>
            </w:tcBorders>
            <w:shd w:val="clear" w:color="auto" w:fill="FFFFFF"/>
            <w:noWrap w:val="0"/>
            <w:vAlign w:val="center"/>
          </w:tcPr>
          <w:p w14:paraId="13C7C521">
            <w:pPr>
              <w:widowControl/>
              <w:jc w:val="center"/>
              <w:rPr>
                <w:rFonts w:cs="宋体"/>
                <w:kern w:val="0"/>
                <w:sz w:val="22"/>
                <w:szCs w:val="22"/>
                <w:highlight w:val="none"/>
              </w:rPr>
            </w:pPr>
          </w:p>
        </w:tc>
        <w:tc>
          <w:tcPr>
            <w:tcW w:w="1340" w:type="dxa"/>
            <w:tcBorders>
              <w:top w:val="single" w:color="000000" w:sz="4" w:space="0"/>
              <w:left w:val="nil"/>
              <w:bottom w:val="single" w:color="000000" w:sz="4" w:space="0"/>
              <w:right w:val="single" w:color="000000" w:sz="4" w:space="0"/>
            </w:tcBorders>
            <w:shd w:val="clear" w:color="auto" w:fill="FFFFFF"/>
            <w:noWrap w:val="0"/>
            <w:vAlign w:val="center"/>
          </w:tcPr>
          <w:p w14:paraId="02C9118B">
            <w:pPr>
              <w:widowControl/>
              <w:jc w:val="center"/>
              <w:rPr>
                <w:rFonts w:cs="宋体"/>
                <w:kern w:val="0"/>
                <w:sz w:val="22"/>
                <w:szCs w:val="22"/>
                <w:highlight w:val="none"/>
              </w:rPr>
            </w:pPr>
          </w:p>
        </w:tc>
        <w:tc>
          <w:tcPr>
            <w:tcW w:w="920" w:type="dxa"/>
            <w:tcBorders>
              <w:top w:val="single" w:color="000000" w:sz="4" w:space="0"/>
              <w:left w:val="nil"/>
              <w:bottom w:val="single" w:color="000000" w:sz="4" w:space="0"/>
              <w:right w:val="single" w:color="000000" w:sz="4" w:space="0"/>
            </w:tcBorders>
            <w:shd w:val="clear" w:color="auto" w:fill="FFFFFF"/>
            <w:noWrap w:val="0"/>
            <w:vAlign w:val="center"/>
          </w:tcPr>
          <w:p w14:paraId="235037FB">
            <w:pPr>
              <w:widowControl/>
              <w:jc w:val="center"/>
              <w:rPr>
                <w:rFonts w:cs="宋体"/>
                <w:kern w:val="0"/>
                <w:sz w:val="22"/>
                <w:szCs w:val="22"/>
                <w:highlight w:val="none"/>
              </w:rPr>
            </w:pPr>
          </w:p>
        </w:tc>
      </w:tr>
      <w:tr w14:paraId="586F436E">
        <w:tblPrEx>
          <w:tblCellMar>
            <w:top w:w="0" w:type="dxa"/>
            <w:left w:w="108" w:type="dxa"/>
            <w:bottom w:w="0" w:type="dxa"/>
            <w:right w:w="108" w:type="dxa"/>
          </w:tblCellMar>
        </w:tblPrEx>
        <w:trPr>
          <w:trHeight w:val="642" w:hRule="atLeast"/>
        </w:trPr>
        <w:tc>
          <w:tcPr>
            <w:tcW w:w="82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0BA8040">
            <w:pPr>
              <w:widowControl/>
              <w:jc w:val="center"/>
              <w:rPr>
                <w:rFonts w:cs="宋体"/>
                <w:kern w:val="0"/>
                <w:sz w:val="22"/>
                <w:szCs w:val="22"/>
                <w:highlight w:val="none"/>
              </w:rPr>
            </w:pPr>
          </w:p>
        </w:tc>
        <w:tc>
          <w:tcPr>
            <w:tcW w:w="1440" w:type="dxa"/>
            <w:tcBorders>
              <w:top w:val="single" w:color="000000" w:sz="4" w:space="0"/>
              <w:left w:val="nil"/>
              <w:bottom w:val="single" w:color="000000" w:sz="4" w:space="0"/>
              <w:right w:val="single" w:color="000000" w:sz="4" w:space="0"/>
            </w:tcBorders>
            <w:shd w:val="clear" w:color="auto" w:fill="FFFFFF"/>
            <w:noWrap w:val="0"/>
            <w:vAlign w:val="center"/>
          </w:tcPr>
          <w:p w14:paraId="4FA37C24">
            <w:pPr>
              <w:widowControl/>
              <w:jc w:val="center"/>
              <w:rPr>
                <w:rFonts w:cs="宋体"/>
                <w:kern w:val="0"/>
                <w:sz w:val="22"/>
                <w:szCs w:val="22"/>
                <w:highlight w:val="none"/>
              </w:rPr>
            </w:pPr>
          </w:p>
        </w:tc>
        <w:tc>
          <w:tcPr>
            <w:tcW w:w="1440" w:type="dxa"/>
            <w:tcBorders>
              <w:top w:val="single" w:color="000000" w:sz="4" w:space="0"/>
              <w:left w:val="nil"/>
              <w:bottom w:val="single" w:color="000000" w:sz="4" w:space="0"/>
              <w:right w:val="single" w:color="000000" w:sz="4" w:space="0"/>
            </w:tcBorders>
            <w:shd w:val="clear" w:color="auto" w:fill="FFFFFF"/>
            <w:noWrap w:val="0"/>
            <w:vAlign w:val="center"/>
          </w:tcPr>
          <w:p w14:paraId="6055542F">
            <w:pPr>
              <w:widowControl/>
              <w:jc w:val="center"/>
              <w:rPr>
                <w:rFonts w:cs="宋体"/>
                <w:kern w:val="0"/>
                <w:sz w:val="22"/>
                <w:szCs w:val="22"/>
                <w:highlight w:val="none"/>
              </w:rPr>
            </w:pPr>
          </w:p>
        </w:tc>
        <w:tc>
          <w:tcPr>
            <w:tcW w:w="1060" w:type="dxa"/>
            <w:tcBorders>
              <w:top w:val="single" w:color="000000" w:sz="4" w:space="0"/>
              <w:left w:val="nil"/>
              <w:bottom w:val="single" w:color="000000" w:sz="4" w:space="0"/>
              <w:right w:val="single" w:color="000000" w:sz="4" w:space="0"/>
            </w:tcBorders>
            <w:shd w:val="clear" w:color="auto" w:fill="FFFFFF"/>
            <w:noWrap w:val="0"/>
            <w:vAlign w:val="center"/>
          </w:tcPr>
          <w:p w14:paraId="5C38DEAF">
            <w:pPr>
              <w:widowControl/>
              <w:jc w:val="center"/>
              <w:rPr>
                <w:rFonts w:cs="宋体"/>
                <w:kern w:val="0"/>
                <w:sz w:val="22"/>
                <w:szCs w:val="22"/>
                <w:highlight w:val="none"/>
              </w:rPr>
            </w:pPr>
          </w:p>
        </w:tc>
        <w:tc>
          <w:tcPr>
            <w:tcW w:w="1420" w:type="dxa"/>
            <w:tcBorders>
              <w:top w:val="single" w:color="000000" w:sz="4" w:space="0"/>
              <w:left w:val="nil"/>
              <w:bottom w:val="single" w:color="000000" w:sz="4" w:space="0"/>
              <w:right w:val="single" w:color="000000" w:sz="4" w:space="0"/>
            </w:tcBorders>
            <w:shd w:val="clear" w:color="auto" w:fill="FFFFFF"/>
            <w:noWrap w:val="0"/>
            <w:vAlign w:val="center"/>
          </w:tcPr>
          <w:p w14:paraId="6343E0F7">
            <w:pPr>
              <w:widowControl/>
              <w:jc w:val="center"/>
              <w:rPr>
                <w:rFonts w:cs="宋体"/>
                <w:kern w:val="0"/>
                <w:sz w:val="22"/>
                <w:szCs w:val="22"/>
                <w:highlight w:val="none"/>
              </w:rPr>
            </w:pPr>
          </w:p>
        </w:tc>
        <w:tc>
          <w:tcPr>
            <w:tcW w:w="1340" w:type="dxa"/>
            <w:tcBorders>
              <w:top w:val="single" w:color="000000" w:sz="4" w:space="0"/>
              <w:left w:val="nil"/>
              <w:bottom w:val="single" w:color="000000" w:sz="4" w:space="0"/>
              <w:right w:val="single" w:color="000000" w:sz="4" w:space="0"/>
            </w:tcBorders>
            <w:shd w:val="clear" w:color="auto" w:fill="FFFFFF"/>
            <w:noWrap w:val="0"/>
            <w:vAlign w:val="center"/>
          </w:tcPr>
          <w:p w14:paraId="037E2CCC">
            <w:pPr>
              <w:widowControl/>
              <w:jc w:val="center"/>
              <w:rPr>
                <w:rFonts w:cs="宋体"/>
                <w:kern w:val="0"/>
                <w:sz w:val="22"/>
                <w:szCs w:val="22"/>
                <w:highlight w:val="none"/>
              </w:rPr>
            </w:pPr>
          </w:p>
        </w:tc>
        <w:tc>
          <w:tcPr>
            <w:tcW w:w="920" w:type="dxa"/>
            <w:tcBorders>
              <w:top w:val="single" w:color="000000" w:sz="4" w:space="0"/>
              <w:left w:val="nil"/>
              <w:bottom w:val="single" w:color="000000" w:sz="4" w:space="0"/>
              <w:right w:val="single" w:color="000000" w:sz="4" w:space="0"/>
            </w:tcBorders>
            <w:shd w:val="clear" w:color="auto" w:fill="FFFFFF"/>
            <w:noWrap w:val="0"/>
            <w:vAlign w:val="center"/>
          </w:tcPr>
          <w:p w14:paraId="632558AE">
            <w:pPr>
              <w:widowControl/>
              <w:jc w:val="center"/>
              <w:rPr>
                <w:rFonts w:cs="宋体"/>
                <w:kern w:val="0"/>
                <w:sz w:val="22"/>
                <w:szCs w:val="22"/>
                <w:highlight w:val="none"/>
              </w:rPr>
            </w:pPr>
          </w:p>
        </w:tc>
      </w:tr>
      <w:tr w14:paraId="3A610B0A">
        <w:tblPrEx>
          <w:tblCellMar>
            <w:top w:w="0" w:type="dxa"/>
            <w:left w:w="108" w:type="dxa"/>
            <w:bottom w:w="0" w:type="dxa"/>
            <w:right w:w="108" w:type="dxa"/>
          </w:tblCellMar>
        </w:tblPrEx>
        <w:trPr>
          <w:trHeight w:val="642" w:hRule="atLeast"/>
        </w:trPr>
        <w:tc>
          <w:tcPr>
            <w:tcW w:w="82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137E2FC">
            <w:pPr>
              <w:widowControl/>
              <w:jc w:val="center"/>
              <w:rPr>
                <w:rFonts w:cs="宋体"/>
                <w:kern w:val="0"/>
                <w:sz w:val="22"/>
                <w:szCs w:val="22"/>
                <w:highlight w:val="none"/>
              </w:rPr>
            </w:pPr>
          </w:p>
        </w:tc>
        <w:tc>
          <w:tcPr>
            <w:tcW w:w="1440" w:type="dxa"/>
            <w:tcBorders>
              <w:top w:val="single" w:color="000000" w:sz="4" w:space="0"/>
              <w:left w:val="nil"/>
              <w:bottom w:val="single" w:color="000000" w:sz="4" w:space="0"/>
              <w:right w:val="single" w:color="000000" w:sz="4" w:space="0"/>
            </w:tcBorders>
            <w:shd w:val="clear" w:color="auto" w:fill="FFFFFF"/>
            <w:noWrap w:val="0"/>
            <w:vAlign w:val="center"/>
          </w:tcPr>
          <w:p w14:paraId="099772D4">
            <w:pPr>
              <w:widowControl/>
              <w:jc w:val="center"/>
              <w:rPr>
                <w:rFonts w:cs="宋体"/>
                <w:kern w:val="0"/>
                <w:sz w:val="22"/>
                <w:szCs w:val="22"/>
                <w:highlight w:val="none"/>
              </w:rPr>
            </w:pPr>
          </w:p>
        </w:tc>
        <w:tc>
          <w:tcPr>
            <w:tcW w:w="1440" w:type="dxa"/>
            <w:tcBorders>
              <w:top w:val="single" w:color="000000" w:sz="4" w:space="0"/>
              <w:left w:val="nil"/>
              <w:bottom w:val="single" w:color="000000" w:sz="4" w:space="0"/>
              <w:right w:val="single" w:color="000000" w:sz="4" w:space="0"/>
            </w:tcBorders>
            <w:shd w:val="clear" w:color="auto" w:fill="FFFFFF"/>
            <w:noWrap w:val="0"/>
            <w:vAlign w:val="center"/>
          </w:tcPr>
          <w:p w14:paraId="1F2721E7">
            <w:pPr>
              <w:widowControl/>
              <w:jc w:val="center"/>
              <w:rPr>
                <w:rFonts w:cs="宋体"/>
                <w:kern w:val="0"/>
                <w:sz w:val="22"/>
                <w:szCs w:val="22"/>
                <w:highlight w:val="none"/>
              </w:rPr>
            </w:pPr>
          </w:p>
        </w:tc>
        <w:tc>
          <w:tcPr>
            <w:tcW w:w="1060" w:type="dxa"/>
            <w:tcBorders>
              <w:top w:val="single" w:color="000000" w:sz="4" w:space="0"/>
              <w:left w:val="nil"/>
              <w:bottom w:val="single" w:color="000000" w:sz="4" w:space="0"/>
              <w:right w:val="single" w:color="000000" w:sz="4" w:space="0"/>
            </w:tcBorders>
            <w:shd w:val="clear" w:color="auto" w:fill="FFFFFF"/>
            <w:noWrap w:val="0"/>
            <w:vAlign w:val="center"/>
          </w:tcPr>
          <w:p w14:paraId="2F934CB2">
            <w:pPr>
              <w:widowControl/>
              <w:jc w:val="center"/>
              <w:rPr>
                <w:rFonts w:cs="宋体"/>
                <w:kern w:val="0"/>
                <w:sz w:val="22"/>
                <w:szCs w:val="22"/>
                <w:highlight w:val="none"/>
              </w:rPr>
            </w:pPr>
          </w:p>
        </w:tc>
        <w:tc>
          <w:tcPr>
            <w:tcW w:w="1420" w:type="dxa"/>
            <w:tcBorders>
              <w:top w:val="single" w:color="000000" w:sz="4" w:space="0"/>
              <w:left w:val="nil"/>
              <w:bottom w:val="single" w:color="000000" w:sz="4" w:space="0"/>
              <w:right w:val="single" w:color="000000" w:sz="4" w:space="0"/>
            </w:tcBorders>
            <w:shd w:val="clear" w:color="auto" w:fill="FFFFFF"/>
            <w:noWrap w:val="0"/>
            <w:vAlign w:val="center"/>
          </w:tcPr>
          <w:p w14:paraId="2C9E0083">
            <w:pPr>
              <w:widowControl/>
              <w:jc w:val="center"/>
              <w:rPr>
                <w:rFonts w:cs="宋体"/>
                <w:kern w:val="0"/>
                <w:sz w:val="22"/>
                <w:szCs w:val="22"/>
                <w:highlight w:val="none"/>
              </w:rPr>
            </w:pPr>
          </w:p>
        </w:tc>
        <w:tc>
          <w:tcPr>
            <w:tcW w:w="1340" w:type="dxa"/>
            <w:tcBorders>
              <w:top w:val="single" w:color="000000" w:sz="4" w:space="0"/>
              <w:left w:val="nil"/>
              <w:bottom w:val="single" w:color="000000" w:sz="4" w:space="0"/>
              <w:right w:val="single" w:color="000000" w:sz="4" w:space="0"/>
            </w:tcBorders>
            <w:shd w:val="clear" w:color="auto" w:fill="FFFFFF"/>
            <w:noWrap w:val="0"/>
            <w:vAlign w:val="center"/>
          </w:tcPr>
          <w:p w14:paraId="7C156581">
            <w:pPr>
              <w:widowControl/>
              <w:jc w:val="center"/>
              <w:rPr>
                <w:rFonts w:cs="宋体"/>
                <w:kern w:val="0"/>
                <w:sz w:val="22"/>
                <w:szCs w:val="22"/>
                <w:highlight w:val="none"/>
              </w:rPr>
            </w:pPr>
          </w:p>
        </w:tc>
        <w:tc>
          <w:tcPr>
            <w:tcW w:w="920" w:type="dxa"/>
            <w:tcBorders>
              <w:top w:val="single" w:color="000000" w:sz="4" w:space="0"/>
              <w:left w:val="nil"/>
              <w:bottom w:val="single" w:color="000000" w:sz="4" w:space="0"/>
              <w:right w:val="single" w:color="000000" w:sz="4" w:space="0"/>
            </w:tcBorders>
            <w:shd w:val="clear" w:color="auto" w:fill="FFFFFF"/>
            <w:noWrap w:val="0"/>
            <w:vAlign w:val="center"/>
          </w:tcPr>
          <w:p w14:paraId="09142DAD">
            <w:pPr>
              <w:widowControl/>
              <w:jc w:val="center"/>
              <w:rPr>
                <w:rFonts w:cs="宋体"/>
                <w:kern w:val="0"/>
                <w:sz w:val="22"/>
                <w:szCs w:val="22"/>
                <w:highlight w:val="none"/>
              </w:rPr>
            </w:pPr>
          </w:p>
        </w:tc>
      </w:tr>
      <w:tr w14:paraId="30FC305A">
        <w:tblPrEx>
          <w:tblCellMar>
            <w:top w:w="0" w:type="dxa"/>
            <w:left w:w="108" w:type="dxa"/>
            <w:bottom w:w="0" w:type="dxa"/>
            <w:right w:w="108" w:type="dxa"/>
          </w:tblCellMar>
        </w:tblPrEx>
        <w:trPr>
          <w:trHeight w:val="642" w:hRule="atLeast"/>
        </w:trPr>
        <w:tc>
          <w:tcPr>
            <w:tcW w:w="82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1A106D4">
            <w:pPr>
              <w:widowControl/>
              <w:jc w:val="center"/>
              <w:rPr>
                <w:rFonts w:cs="宋体"/>
                <w:kern w:val="0"/>
                <w:sz w:val="22"/>
                <w:szCs w:val="22"/>
                <w:highlight w:val="none"/>
              </w:rPr>
            </w:pPr>
          </w:p>
        </w:tc>
        <w:tc>
          <w:tcPr>
            <w:tcW w:w="1440" w:type="dxa"/>
            <w:tcBorders>
              <w:top w:val="single" w:color="000000" w:sz="4" w:space="0"/>
              <w:left w:val="nil"/>
              <w:bottom w:val="single" w:color="000000" w:sz="4" w:space="0"/>
              <w:right w:val="single" w:color="000000" w:sz="4" w:space="0"/>
            </w:tcBorders>
            <w:shd w:val="clear" w:color="auto" w:fill="FFFFFF"/>
            <w:noWrap w:val="0"/>
            <w:vAlign w:val="center"/>
          </w:tcPr>
          <w:p w14:paraId="406C7766">
            <w:pPr>
              <w:widowControl/>
              <w:jc w:val="center"/>
              <w:rPr>
                <w:rFonts w:cs="宋体"/>
                <w:kern w:val="0"/>
                <w:sz w:val="22"/>
                <w:szCs w:val="22"/>
                <w:highlight w:val="none"/>
              </w:rPr>
            </w:pPr>
          </w:p>
        </w:tc>
        <w:tc>
          <w:tcPr>
            <w:tcW w:w="1440" w:type="dxa"/>
            <w:tcBorders>
              <w:top w:val="single" w:color="000000" w:sz="4" w:space="0"/>
              <w:left w:val="nil"/>
              <w:bottom w:val="single" w:color="000000" w:sz="4" w:space="0"/>
              <w:right w:val="single" w:color="000000" w:sz="4" w:space="0"/>
            </w:tcBorders>
            <w:shd w:val="clear" w:color="auto" w:fill="FFFFFF"/>
            <w:noWrap w:val="0"/>
            <w:vAlign w:val="center"/>
          </w:tcPr>
          <w:p w14:paraId="2886B283">
            <w:pPr>
              <w:widowControl/>
              <w:jc w:val="center"/>
              <w:rPr>
                <w:rFonts w:cs="宋体"/>
                <w:kern w:val="0"/>
                <w:sz w:val="22"/>
                <w:szCs w:val="22"/>
                <w:highlight w:val="none"/>
              </w:rPr>
            </w:pPr>
          </w:p>
        </w:tc>
        <w:tc>
          <w:tcPr>
            <w:tcW w:w="1060" w:type="dxa"/>
            <w:tcBorders>
              <w:top w:val="single" w:color="000000" w:sz="4" w:space="0"/>
              <w:left w:val="nil"/>
              <w:bottom w:val="single" w:color="000000" w:sz="4" w:space="0"/>
              <w:right w:val="single" w:color="000000" w:sz="4" w:space="0"/>
            </w:tcBorders>
            <w:shd w:val="clear" w:color="auto" w:fill="FFFFFF"/>
            <w:noWrap w:val="0"/>
            <w:vAlign w:val="center"/>
          </w:tcPr>
          <w:p w14:paraId="38B419F3">
            <w:pPr>
              <w:widowControl/>
              <w:jc w:val="center"/>
              <w:rPr>
                <w:rFonts w:cs="宋体"/>
                <w:kern w:val="0"/>
                <w:sz w:val="22"/>
                <w:szCs w:val="22"/>
                <w:highlight w:val="none"/>
              </w:rPr>
            </w:pPr>
          </w:p>
        </w:tc>
        <w:tc>
          <w:tcPr>
            <w:tcW w:w="1420" w:type="dxa"/>
            <w:tcBorders>
              <w:top w:val="single" w:color="000000" w:sz="4" w:space="0"/>
              <w:left w:val="nil"/>
              <w:bottom w:val="single" w:color="000000" w:sz="4" w:space="0"/>
              <w:right w:val="single" w:color="000000" w:sz="4" w:space="0"/>
            </w:tcBorders>
            <w:shd w:val="clear" w:color="auto" w:fill="FFFFFF"/>
            <w:noWrap w:val="0"/>
            <w:vAlign w:val="center"/>
          </w:tcPr>
          <w:p w14:paraId="123D7A89">
            <w:pPr>
              <w:widowControl/>
              <w:jc w:val="center"/>
              <w:rPr>
                <w:rFonts w:cs="宋体"/>
                <w:kern w:val="0"/>
                <w:sz w:val="22"/>
                <w:szCs w:val="22"/>
                <w:highlight w:val="none"/>
              </w:rPr>
            </w:pPr>
          </w:p>
        </w:tc>
        <w:tc>
          <w:tcPr>
            <w:tcW w:w="1340" w:type="dxa"/>
            <w:tcBorders>
              <w:top w:val="single" w:color="000000" w:sz="4" w:space="0"/>
              <w:left w:val="nil"/>
              <w:bottom w:val="single" w:color="000000" w:sz="4" w:space="0"/>
              <w:right w:val="single" w:color="000000" w:sz="4" w:space="0"/>
            </w:tcBorders>
            <w:shd w:val="clear" w:color="auto" w:fill="FFFFFF"/>
            <w:noWrap w:val="0"/>
            <w:vAlign w:val="center"/>
          </w:tcPr>
          <w:p w14:paraId="022F4032">
            <w:pPr>
              <w:widowControl/>
              <w:jc w:val="center"/>
              <w:rPr>
                <w:rFonts w:cs="宋体"/>
                <w:kern w:val="0"/>
                <w:sz w:val="22"/>
                <w:szCs w:val="22"/>
                <w:highlight w:val="none"/>
              </w:rPr>
            </w:pPr>
          </w:p>
        </w:tc>
        <w:tc>
          <w:tcPr>
            <w:tcW w:w="920" w:type="dxa"/>
            <w:tcBorders>
              <w:top w:val="single" w:color="000000" w:sz="4" w:space="0"/>
              <w:left w:val="nil"/>
              <w:bottom w:val="single" w:color="000000" w:sz="4" w:space="0"/>
              <w:right w:val="single" w:color="000000" w:sz="4" w:space="0"/>
            </w:tcBorders>
            <w:shd w:val="clear" w:color="auto" w:fill="FFFFFF"/>
            <w:noWrap w:val="0"/>
            <w:vAlign w:val="center"/>
          </w:tcPr>
          <w:p w14:paraId="251A7E2D">
            <w:pPr>
              <w:widowControl/>
              <w:jc w:val="center"/>
              <w:rPr>
                <w:rFonts w:cs="宋体"/>
                <w:kern w:val="0"/>
                <w:sz w:val="22"/>
                <w:szCs w:val="22"/>
                <w:highlight w:val="none"/>
              </w:rPr>
            </w:pPr>
          </w:p>
        </w:tc>
      </w:tr>
      <w:tr w14:paraId="077E4AD0">
        <w:tblPrEx>
          <w:tblCellMar>
            <w:top w:w="0" w:type="dxa"/>
            <w:left w:w="108" w:type="dxa"/>
            <w:bottom w:w="0" w:type="dxa"/>
            <w:right w:w="108" w:type="dxa"/>
          </w:tblCellMar>
        </w:tblPrEx>
        <w:trPr>
          <w:trHeight w:val="642" w:hRule="atLeast"/>
        </w:trPr>
        <w:tc>
          <w:tcPr>
            <w:tcW w:w="82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A2D0DA4">
            <w:pPr>
              <w:widowControl/>
              <w:jc w:val="center"/>
              <w:rPr>
                <w:rFonts w:cs="宋体"/>
                <w:kern w:val="0"/>
                <w:sz w:val="22"/>
                <w:szCs w:val="22"/>
                <w:highlight w:val="none"/>
              </w:rPr>
            </w:pPr>
          </w:p>
        </w:tc>
        <w:tc>
          <w:tcPr>
            <w:tcW w:w="1440" w:type="dxa"/>
            <w:tcBorders>
              <w:top w:val="single" w:color="000000" w:sz="4" w:space="0"/>
              <w:left w:val="nil"/>
              <w:bottom w:val="single" w:color="000000" w:sz="4" w:space="0"/>
              <w:right w:val="single" w:color="000000" w:sz="4" w:space="0"/>
            </w:tcBorders>
            <w:shd w:val="clear" w:color="auto" w:fill="FFFFFF"/>
            <w:noWrap w:val="0"/>
            <w:vAlign w:val="center"/>
          </w:tcPr>
          <w:p w14:paraId="2D8D5A49">
            <w:pPr>
              <w:widowControl/>
              <w:jc w:val="center"/>
              <w:rPr>
                <w:rFonts w:cs="宋体"/>
                <w:kern w:val="0"/>
                <w:sz w:val="22"/>
                <w:szCs w:val="22"/>
                <w:highlight w:val="none"/>
              </w:rPr>
            </w:pPr>
          </w:p>
        </w:tc>
        <w:tc>
          <w:tcPr>
            <w:tcW w:w="1440" w:type="dxa"/>
            <w:tcBorders>
              <w:top w:val="single" w:color="000000" w:sz="4" w:space="0"/>
              <w:left w:val="nil"/>
              <w:bottom w:val="single" w:color="000000" w:sz="4" w:space="0"/>
              <w:right w:val="single" w:color="000000" w:sz="4" w:space="0"/>
            </w:tcBorders>
            <w:shd w:val="clear" w:color="auto" w:fill="FFFFFF"/>
            <w:noWrap w:val="0"/>
            <w:vAlign w:val="center"/>
          </w:tcPr>
          <w:p w14:paraId="2477F61C">
            <w:pPr>
              <w:widowControl/>
              <w:jc w:val="center"/>
              <w:rPr>
                <w:rFonts w:cs="宋体"/>
                <w:kern w:val="0"/>
                <w:sz w:val="22"/>
                <w:szCs w:val="22"/>
                <w:highlight w:val="none"/>
              </w:rPr>
            </w:pPr>
          </w:p>
        </w:tc>
        <w:tc>
          <w:tcPr>
            <w:tcW w:w="1060" w:type="dxa"/>
            <w:tcBorders>
              <w:top w:val="single" w:color="000000" w:sz="4" w:space="0"/>
              <w:left w:val="nil"/>
              <w:bottom w:val="single" w:color="000000" w:sz="4" w:space="0"/>
              <w:right w:val="single" w:color="000000" w:sz="4" w:space="0"/>
            </w:tcBorders>
            <w:shd w:val="clear" w:color="auto" w:fill="FFFFFF"/>
            <w:noWrap w:val="0"/>
            <w:vAlign w:val="center"/>
          </w:tcPr>
          <w:p w14:paraId="3999158B">
            <w:pPr>
              <w:widowControl/>
              <w:jc w:val="center"/>
              <w:rPr>
                <w:rFonts w:cs="宋体"/>
                <w:kern w:val="0"/>
                <w:sz w:val="22"/>
                <w:szCs w:val="22"/>
                <w:highlight w:val="none"/>
              </w:rPr>
            </w:pPr>
          </w:p>
        </w:tc>
        <w:tc>
          <w:tcPr>
            <w:tcW w:w="1420" w:type="dxa"/>
            <w:tcBorders>
              <w:top w:val="single" w:color="000000" w:sz="4" w:space="0"/>
              <w:left w:val="nil"/>
              <w:bottom w:val="single" w:color="000000" w:sz="4" w:space="0"/>
              <w:right w:val="single" w:color="000000" w:sz="4" w:space="0"/>
            </w:tcBorders>
            <w:shd w:val="clear" w:color="auto" w:fill="FFFFFF"/>
            <w:noWrap w:val="0"/>
            <w:vAlign w:val="center"/>
          </w:tcPr>
          <w:p w14:paraId="4F32781F">
            <w:pPr>
              <w:widowControl/>
              <w:jc w:val="center"/>
              <w:rPr>
                <w:rFonts w:cs="宋体"/>
                <w:kern w:val="0"/>
                <w:sz w:val="22"/>
                <w:szCs w:val="22"/>
                <w:highlight w:val="none"/>
              </w:rPr>
            </w:pPr>
          </w:p>
        </w:tc>
        <w:tc>
          <w:tcPr>
            <w:tcW w:w="1340" w:type="dxa"/>
            <w:tcBorders>
              <w:top w:val="single" w:color="000000" w:sz="4" w:space="0"/>
              <w:left w:val="nil"/>
              <w:bottom w:val="single" w:color="000000" w:sz="4" w:space="0"/>
              <w:right w:val="single" w:color="000000" w:sz="4" w:space="0"/>
            </w:tcBorders>
            <w:shd w:val="clear" w:color="auto" w:fill="FFFFFF"/>
            <w:noWrap w:val="0"/>
            <w:vAlign w:val="center"/>
          </w:tcPr>
          <w:p w14:paraId="37666BAB">
            <w:pPr>
              <w:widowControl/>
              <w:jc w:val="center"/>
              <w:rPr>
                <w:rFonts w:cs="宋体"/>
                <w:kern w:val="0"/>
                <w:sz w:val="22"/>
                <w:szCs w:val="22"/>
                <w:highlight w:val="none"/>
              </w:rPr>
            </w:pPr>
          </w:p>
        </w:tc>
        <w:tc>
          <w:tcPr>
            <w:tcW w:w="920" w:type="dxa"/>
            <w:tcBorders>
              <w:top w:val="single" w:color="000000" w:sz="4" w:space="0"/>
              <w:left w:val="nil"/>
              <w:bottom w:val="single" w:color="000000" w:sz="4" w:space="0"/>
              <w:right w:val="single" w:color="000000" w:sz="4" w:space="0"/>
            </w:tcBorders>
            <w:shd w:val="clear" w:color="auto" w:fill="FFFFFF"/>
            <w:noWrap w:val="0"/>
            <w:vAlign w:val="center"/>
          </w:tcPr>
          <w:p w14:paraId="391BE5F8">
            <w:pPr>
              <w:widowControl/>
              <w:jc w:val="center"/>
              <w:rPr>
                <w:rFonts w:cs="宋体"/>
                <w:kern w:val="0"/>
                <w:sz w:val="22"/>
                <w:szCs w:val="22"/>
                <w:highlight w:val="none"/>
              </w:rPr>
            </w:pPr>
          </w:p>
        </w:tc>
      </w:tr>
      <w:tr w14:paraId="72B7F65D">
        <w:tblPrEx>
          <w:tblCellMar>
            <w:top w:w="0" w:type="dxa"/>
            <w:left w:w="108" w:type="dxa"/>
            <w:bottom w:w="0" w:type="dxa"/>
            <w:right w:w="108" w:type="dxa"/>
          </w:tblCellMar>
        </w:tblPrEx>
        <w:trPr>
          <w:trHeight w:val="642" w:hRule="atLeast"/>
        </w:trPr>
        <w:tc>
          <w:tcPr>
            <w:tcW w:w="82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793C75">
            <w:pPr>
              <w:widowControl/>
              <w:jc w:val="center"/>
              <w:rPr>
                <w:rFonts w:cs="宋体"/>
                <w:kern w:val="0"/>
                <w:sz w:val="22"/>
                <w:szCs w:val="22"/>
                <w:highlight w:val="none"/>
              </w:rPr>
            </w:pPr>
          </w:p>
        </w:tc>
        <w:tc>
          <w:tcPr>
            <w:tcW w:w="1440" w:type="dxa"/>
            <w:tcBorders>
              <w:top w:val="single" w:color="000000" w:sz="4" w:space="0"/>
              <w:left w:val="nil"/>
              <w:bottom w:val="single" w:color="000000" w:sz="4" w:space="0"/>
              <w:right w:val="single" w:color="000000" w:sz="4" w:space="0"/>
            </w:tcBorders>
            <w:shd w:val="clear" w:color="auto" w:fill="FFFFFF"/>
            <w:noWrap w:val="0"/>
            <w:vAlign w:val="center"/>
          </w:tcPr>
          <w:p w14:paraId="4CCAB30D">
            <w:pPr>
              <w:widowControl/>
              <w:jc w:val="center"/>
              <w:rPr>
                <w:rFonts w:cs="宋体"/>
                <w:kern w:val="0"/>
                <w:sz w:val="22"/>
                <w:szCs w:val="22"/>
                <w:highlight w:val="none"/>
              </w:rPr>
            </w:pPr>
          </w:p>
        </w:tc>
        <w:tc>
          <w:tcPr>
            <w:tcW w:w="1440" w:type="dxa"/>
            <w:tcBorders>
              <w:top w:val="single" w:color="000000" w:sz="4" w:space="0"/>
              <w:left w:val="nil"/>
              <w:bottom w:val="single" w:color="000000" w:sz="4" w:space="0"/>
              <w:right w:val="single" w:color="000000" w:sz="4" w:space="0"/>
            </w:tcBorders>
            <w:shd w:val="clear" w:color="auto" w:fill="FFFFFF"/>
            <w:noWrap w:val="0"/>
            <w:vAlign w:val="center"/>
          </w:tcPr>
          <w:p w14:paraId="58A8CB20">
            <w:pPr>
              <w:widowControl/>
              <w:jc w:val="center"/>
              <w:rPr>
                <w:rFonts w:cs="宋体"/>
                <w:kern w:val="0"/>
                <w:sz w:val="22"/>
                <w:szCs w:val="22"/>
                <w:highlight w:val="none"/>
              </w:rPr>
            </w:pPr>
          </w:p>
        </w:tc>
        <w:tc>
          <w:tcPr>
            <w:tcW w:w="1060" w:type="dxa"/>
            <w:tcBorders>
              <w:top w:val="single" w:color="000000" w:sz="4" w:space="0"/>
              <w:left w:val="nil"/>
              <w:bottom w:val="single" w:color="000000" w:sz="4" w:space="0"/>
              <w:right w:val="single" w:color="000000" w:sz="4" w:space="0"/>
            </w:tcBorders>
            <w:shd w:val="clear" w:color="auto" w:fill="FFFFFF"/>
            <w:noWrap w:val="0"/>
            <w:vAlign w:val="center"/>
          </w:tcPr>
          <w:p w14:paraId="5DE3657D">
            <w:pPr>
              <w:widowControl/>
              <w:jc w:val="center"/>
              <w:rPr>
                <w:rFonts w:cs="宋体"/>
                <w:kern w:val="0"/>
                <w:sz w:val="22"/>
                <w:szCs w:val="22"/>
                <w:highlight w:val="none"/>
              </w:rPr>
            </w:pPr>
          </w:p>
        </w:tc>
        <w:tc>
          <w:tcPr>
            <w:tcW w:w="1420" w:type="dxa"/>
            <w:tcBorders>
              <w:top w:val="single" w:color="000000" w:sz="4" w:space="0"/>
              <w:left w:val="nil"/>
              <w:bottom w:val="single" w:color="000000" w:sz="4" w:space="0"/>
              <w:right w:val="single" w:color="000000" w:sz="4" w:space="0"/>
            </w:tcBorders>
            <w:shd w:val="clear" w:color="auto" w:fill="FFFFFF"/>
            <w:noWrap w:val="0"/>
            <w:vAlign w:val="center"/>
          </w:tcPr>
          <w:p w14:paraId="3D56374D">
            <w:pPr>
              <w:widowControl/>
              <w:jc w:val="center"/>
              <w:rPr>
                <w:rFonts w:cs="宋体"/>
                <w:kern w:val="0"/>
                <w:sz w:val="22"/>
                <w:szCs w:val="22"/>
                <w:highlight w:val="none"/>
              </w:rPr>
            </w:pPr>
          </w:p>
        </w:tc>
        <w:tc>
          <w:tcPr>
            <w:tcW w:w="1340" w:type="dxa"/>
            <w:tcBorders>
              <w:top w:val="single" w:color="000000" w:sz="4" w:space="0"/>
              <w:left w:val="nil"/>
              <w:bottom w:val="single" w:color="000000" w:sz="4" w:space="0"/>
              <w:right w:val="single" w:color="000000" w:sz="4" w:space="0"/>
            </w:tcBorders>
            <w:shd w:val="clear" w:color="auto" w:fill="FFFFFF"/>
            <w:noWrap w:val="0"/>
            <w:vAlign w:val="center"/>
          </w:tcPr>
          <w:p w14:paraId="73D81D43">
            <w:pPr>
              <w:widowControl/>
              <w:jc w:val="center"/>
              <w:rPr>
                <w:rFonts w:cs="宋体"/>
                <w:kern w:val="0"/>
                <w:sz w:val="22"/>
                <w:szCs w:val="22"/>
                <w:highlight w:val="none"/>
              </w:rPr>
            </w:pPr>
          </w:p>
        </w:tc>
        <w:tc>
          <w:tcPr>
            <w:tcW w:w="920" w:type="dxa"/>
            <w:tcBorders>
              <w:top w:val="single" w:color="000000" w:sz="4" w:space="0"/>
              <w:left w:val="nil"/>
              <w:bottom w:val="single" w:color="000000" w:sz="4" w:space="0"/>
              <w:right w:val="single" w:color="000000" w:sz="4" w:space="0"/>
            </w:tcBorders>
            <w:shd w:val="clear" w:color="auto" w:fill="FFFFFF"/>
            <w:noWrap w:val="0"/>
            <w:vAlign w:val="center"/>
          </w:tcPr>
          <w:p w14:paraId="3F044CB9">
            <w:pPr>
              <w:widowControl/>
              <w:jc w:val="center"/>
              <w:rPr>
                <w:rFonts w:cs="宋体"/>
                <w:kern w:val="0"/>
                <w:sz w:val="22"/>
                <w:szCs w:val="22"/>
                <w:highlight w:val="none"/>
              </w:rPr>
            </w:pPr>
          </w:p>
        </w:tc>
      </w:tr>
    </w:tbl>
    <w:p w14:paraId="11B69FD3">
      <w:pPr>
        <w:spacing w:line="320" w:lineRule="exact"/>
        <w:ind w:left="420"/>
        <w:rPr>
          <w:rFonts w:hint="eastAsia" w:ascii="宋体" w:hAnsi="宋体"/>
          <w:sz w:val="24"/>
          <w:highlight w:val="none"/>
        </w:rPr>
      </w:pPr>
    </w:p>
    <w:p w14:paraId="210F57B5">
      <w:pPr>
        <w:adjustRightInd w:val="0"/>
        <w:snapToGrid w:val="0"/>
        <w:spacing w:line="360" w:lineRule="auto"/>
        <w:ind w:firstLine="4838" w:firstLineChars="2016"/>
        <w:rPr>
          <w:rFonts w:ascii="宋体" w:hAnsi="宋体" w:cs="仿宋_GB2312"/>
          <w:color w:val="auto"/>
          <w:kern w:val="0"/>
          <w:sz w:val="24"/>
          <w:highlight w:val="none"/>
          <w:lang w:val="zh-CN"/>
        </w:rPr>
      </w:pPr>
      <w:r>
        <w:rPr>
          <w:rFonts w:hint="eastAsia" w:ascii="宋体" w:hAnsi="宋体" w:cs="仿宋_GB2312"/>
          <w:color w:val="auto"/>
          <w:kern w:val="0"/>
          <w:sz w:val="24"/>
          <w:highlight w:val="none"/>
          <w:lang w:val="zh-CN"/>
        </w:rPr>
        <w:t>供应商名称（</w:t>
      </w:r>
      <w:r>
        <w:rPr>
          <w:rFonts w:hint="eastAsia" w:ascii="宋体" w:hAnsi="宋体"/>
          <w:color w:val="auto"/>
          <w:sz w:val="24"/>
          <w:highlight w:val="none"/>
        </w:rPr>
        <w:t>公章/电子章</w:t>
      </w:r>
      <w:r>
        <w:rPr>
          <w:rFonts w:hint="eastAsia" w:ascii="宋体" w:hAnsi="宋体" w:cs="仿宋_GB2312"/>
          <w:color w:val="auto"/>
          <w:kern w:val="0"/>
          <w:sz w:val="24"/>
          <w:highlight w:val="none"/>
          <w:lang w:val="zh-CN"/>
        </w:rPr>
        <w:t>）：</w:t>
      </w:r>
    </w:p>
    <w:p w14:paraId="4C6C147A">
      <w:pPr>
        <w:adjustRightInd w:val="0"/>
        <w:snapToGrid w:val="0"/>
        <w:spacing w:line="360" w:lineRule="auto"/>
        <w:jc w:val="right"/>
        <w:rPr>
          <w:rFonts w:ascii="宋体" w:hAnsi="宋体" w:cs="仿宋_GB2312"/>
          <w:color w:val="auto"/>
          <w:kern w:val="0"/>
          <w:sz w:val="24"/>
          <w:highlight w:val="none"/>
          <w:lang w:val="zh-CN"/>
        </w:rPr>
      </w:pPr>
      <w:r>
        <w:rPr>
          <w:rFonts w:hint="eastAsia" w:ascii="宋体" w:hAnsi="宋体" w:cs="仿宋_GB2312"/>
          <w:color w:val="auto"/>
          <w:kern w:val="0"/>
          <w:sz w:val="24"/>
          <w:highlight w:val="none"/>
          <w:lang w:val="zh-CN"/>
        </w:rPr>
        <w:t>法定代表人或授权委托人签字</w:t>
      </w:r>
      <w:r>
        <w:rPr>
          <w:rFonts w:hint="eastAsia" w:ascii="宋体" w:hAnsi="宋体" w:cs="仿宋_GB2312"/>
          <w:color w:val="auto"/>
          <w:kern w:val="0"/>
          <w:sz w:val="24"/>
          <w:highlight w:val="none"/>
        </w:rPr>
        <w:t>或盖章</w:t>
      </w:r>
      <w:r>
        <w:rPr>
          <w:rFonts w:hint="eastAsia" w:ascii="宋体" w:hAnsi="宋体" w:cs="仿宋_GB2312"/>
          <w:color w:val="auto"/>
          <w:kern w:val="0"/>
          <w:sz w:val="24"/>
          <w:highlight w:val="none"/>
          <w:lang w:val="zh-CN"/>
        </w:rPr>
        <w:t>：</w:t>
      </w:r>
    </w:p>
    <w:p w14:paraId="6CFCC8AB">
      <w:pPr>
        <w:adjustRightInd w:val="0"/>
        <w:snapToGrid w:val="0"/>
        <w:spacing w:line="360" w:lineRule="auto"/>
        <w:ind w:firstLine="4838" w:firstLineChars="2016"/>
        <w:rPr>
          <w:rFonts w:hint="eastAsia" w:ascii="宋体" w:hAnsi="宋体" w:cs="仿宋_GB2312"/>
          <w:color w:val="auto"/>
          <w:kern w:val="0"/>
          <w:sz w:val="24"/>
          <w:highlight w:val="none"/>
          <w:lang w:val="zh-CN"/>
        </w:rPr>
      </w:pPr>
      <w:r>
        <w:rPr>
          <w:rFonts w:hint="eastAsia" w:ascii="宋体" w:hAnsi="宋体" w:cs="仿宋_GB2312"/>
          <w:color w:val="auto"/>
          <w:kern w:val="0"/>
          <w:sz w:val="24"/>
          <w:highlight w:val="none"/>
          <w:lang w:val="zh-CN"/>
        </w:rPr>
        <w:t>日期：</w:t>
      </w:r>
      <w:r>
        <w:rPr>
          <w:rFonts w:hint="eastAsia" w:ascii="宋体" w:hAnsi="宋体" w:cs="宋体"/>
          <w:color w:val="auto"/>
          <w:sz w:val="24"/>
          <w:highlight w:val="none"/>
        </w:rPr>
        <w:t>××</w:t>
      </w:r>
      <w:r>
        <w:rPr>
          <w:rFonts w:hint="eastAsia" w:ascii="宋体" w:hAnsi="宋体" w:cs="仿宋_GB2312"/>
          <w:color w:val="auto"/>
          <w:kern w:val="0"/>
          <w:sz w:val="24"/>
          <w:highlight w:val="none"/>
          <w:lang w:val="zh-CN"/>
        </w:rPr>
        <w:t xml:space="preserve">年 </w:t>
      </w:r>
      <w:r>
        <w:rPr>
          <w:rFonts w:hint="eastAsia" w:ascii="宋体" w:hAnsi="宋体" w:cs="宋体"/>
          <w:color w:val="auto"/>
          <w:sz w:val="24"/>
          <w:highlight w:val="none"/>
        </w:rPr>
        <w:t>××</w:t>
      </w:r>
      <w:r>
        <w:rPr>
          <w:rFonts w:hint="eastAsia" w:ascii="宋体" w:hAnsi="宋体" w:cs="仿宋_GB2312"/>
          <w:color w:val="auto"/>
          <w:kern w:val="0"/>
          <w:sz w:val="24"/>
          <w:highlight w:val="none"/>
          <w:lang w:val="zh-CN"/>
        </w:rPr>
        <w:t xml:space="preserve"> 月 </w:t>
      </w:r>
      <w:r>
        <w:rPr>
          <w:rFonts w:hint="eastAsia" w:ascii="宋体" w:hAnsi="宋体" w:cs="宋体"/>
          <w:color w:val="auto"/>
          <w:sz w:val="24"/>
          <w:highlight w:val="none"/>
        </w:rPr>
        <w:t>××</w:t>
      </w:r>
      <w:r>
        <w:rPr>
          <w:rFonts w:hint="eastAsia" w:ascii="宋体" w:hAnsi="宋体" w:cs="仿宋_GB2312"/>
          <w:color w:val="auto"/>
          <w:kern w:val="0"/>
          <w:sz w:val="24"/>
          <w:highlight w:val="none"/>
          <w:lang w:val="zh-CN"/>
        </w:rPr>
        <w:t xml:space="preserve"> 日</w:t>
      </w:r>
    </w:p>
    <w:p w14:paraId="385C736C">
      <w:pPr>
        <w:adjustRightInd w:val="0"/>
        <w:snapToGrid w:val="0"/>
        <w:spacing w:line="360" w:lineRule="auto"/>
        <w:ind w:firstLine="4838" w:firstLineChars="2016"/>
        <w:rPr>
          <w:rFonts w:hint="eastAsia" w:ascii="宋体" w:hAnsi="宋体" w:cs="仿宋_GB2312"/>
          <w:color w:val="auto"/>
          <w:kern w:val="0"/>
          <w:sz w:val="24"/>
          <w:highlight w:val="none"/>
          <w:lang w:val="zh-CN"/>
        </w:rPr>
      </w:pPr>
    </w:p>
    <w:p w14:paraId="23BB8C32">
      <w:pPr>
        <w:adjustRightInd w:val="0"/>
        <w:snapToGrid w:val="0"/>
        <w:spacing w:line="360" w:lineRule="auto"/>
        <w:ind w:firstLine="4838" w:firstLineChars="2016"/>
        <w:rPr>
          <w:rFonts w:hint="eastAsia" w:ascii="宋体" w:hAnsi="宋体" w:cs="仿宋_GB2312"/>
          <w:color w:val="auto"/>
          <w:kern w:val="0"/>
          <w:sz w:val="24"/>
          <w:highlight w:val="none"/>
          <w:lang w:val="zh-CN"/>
        </w:rPr>
      </w:pPr>
    </w:p>
    <w:p w14:paraId="08980C2E">
      <w:pPr>
        <w:adjustRightInd w:val="0"/>
        <w:snapToGrid w:val="0"/>
        <w:spacing w:line="360" w:lineRule="auto"/>
        <w:ind w:firstLine="4838" w:firstLineChars="2016"/>
        <w:rPr>
          <w:rFonts w:hint="eastAsia" w:ascii="宋体" w:hAnsi="宋体" w:cs="仿宋_GB2312"/>
          <w:color w:val="auto"/>
          <w:kern w:val="0"/>
          <w:sz w:val="24"/>
          <w:highlight w:val="none"/>
          <w:lang w:val="zh-CN"/>
        </w:rPr>
      </w:pPr>
    </w:p>
    <w:p w14:paraId="02D1EF93">
      <w:pPr>
        <w:adjustRightInd w:val="0"/>
        <w:snapToGrid w:val="0"/>
        <w:spacing w:line="360" w:lineRule="auto"/>
        <w:ind w:firstLine="4838" w:firstLineChars="2016"/>
        <w:rPr>
          <w:rFonts w:hint="eastAsia" w:ascii="宋体" w:hAnsi="宋体" w:cs="仿宋_GB2312"/>
          <w:color w:val="auto"/>
          <w:kern w:val="0"/>
          <w:sz w:val="24"/>
          <w:highlight w:val="none"/>
          <w:lang w:val="zh-CN"/>
        </w:rPr>
      </w:pPr>
    </w:p>
    <w:p w14:paraId="5C8C948C">
      <w:pPr>
        <w:rPr>
          <w:rFonts w:hint="eastAsia" w:ascii="宋体" w:hAnsi="宋体"/>
          <w:b/>
          <w:color w:val="auto"/>
          <w:sz w:val="28"/>
          <w:highlight w:val="none"/>
        </w:rPr>
      </w:pPr>
      <w:r>
        <w:rPr>
          <w:rFonts w:hint="eastAsia" w:ascii="宋体" w:hAnsi="宋体"/>
          <w:b/>
          <w:color w:val="auto"/>
          <w:sz w:val="28"/>
          <w:highlight w:val="none"/>
        </w:rPr>
        <w:br w:type="page"/>
      </w:r>
    </w:p>
    <w:p w14:paraId="3D4F6310">
      <w:pPr>
        <w:spacing w:line="360" w:lineRule="auto"/>
        <w:rPr>
          <w:rFonts w:hint="default" w:ascii="宋体" w:hAnsi="宋体" w:eastAsia="宋体"/>
          <w:b/>
          <w:color w:val="auto"/>
          <w:sz w:val="28"/>
          <w:highlight w:val="none"/>
          <w:lang w:val="en-US" w:eastAsia="zh-CN"/>
        </w:rPr>
      </w:pPr>
      <w:r>
        <w:rPr>
          <w:rFonts w:hint="eastAsia" w:ascii="宋体" w:hAnsi="宋体"/>
          <w:b/>
          <w:color w:val="auto"/>
          <w:sz w:val="28"/>
          <w:highlight w:val="none"/>
        </w:rPr>
        <w:t>附件</w:t>
      </w:r>
      <w:r>
        <w:rPr>
          <w:rFonts w:hint="eastAsia" w:ascii="宋体" w:hAnsi="宋体"/>
          <w:b/>
          <w:color w:val="auto"/>
          <w:sz w:val="28"/>
          <w:highlight w:val="none"/>
          <w:lang w:val="en-US" w:eastAsia="zh-CN"/>
        </w:rPr>
        <w:t>9</w:t>
      </w:r>
    </w:p>
    <w:p w14:paraId="285C3287">
      <w:pPr>
        <w:pStyle w:val="42"/>
        <w:spacing w:line="360" w:lineRule="auto"/>
        <w:jc w:val="center"/>
        <w:rPr>
          <w:rFonts w:ascii="宋体" w:hAnsi="宋体"/>
          <w:b/>
          <w:sz w:val="32"/>
          <w:szCs w:val="32"/>
          <w:highlight w:val="none"/>
        </w:rPr>
      </w:pPr>
      <w:r>
        <w:rPr>
          <w:rFonts w:hint="eastAsia" w:ascii="宋体" w:hAnsi="宋体"/>
          <w:b/>
          <w:sz w:val="32"/>
          <w:szCs w:val="32"/>
          <w:highlight w:val="none"/>
        </w:rPr>
        <w:t>类似项目实施情况一览表</w:t>
      </w:r>
    </w:p>
    <w:p w14:paraId="6183D7D6">
      <w:pPr>
        <w:pStyle w:val="42"/>
        <w:spacing w:line="360" w:lineRule="auto"/>
        <w:jc w:val="center"/>
        <w:rPr>
          <w:rFonts w:ascii="仿宋_GB2312" w:eastAsia="仿宋_GB2312"/>
          <w:b/>
          <w:sz w:val="28"/>
          <w:szCs w:val="28"/>
          <w:highlight w:val="none"/>
        </w:rPr>
      </w:pPr>
    </w:p>
    <w:tbl>
      <w:tblPr>
        <w:tblStyle w:val="24"/>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40"/>
        <w:gridCol w:w="1293"/>
        <w:gridCol w:w="1575"/>
        <w:gridCol w:w="1260"/>
        <w:gridCol w:w="1452"/>
        <w:gridCol w:w="1383"/>
        <w:gridCol w:w="2037"/>
      </w:tblGrid>
      <w:tr w14:paraId="704B40D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40" w:type="dxa"/>
            <w:tcBorders>
              <w:top w:val="single" w:color="auto" w:sz="6" w:space="0"/>
              <w:left w:val="single" w:color="auto" w:sz="6" w:space="0"/>
              <w:bottom w:val="single" w:color="auto" w:sz="6" w:space="0"/>
              <w:right w:val="single" w:color="auto" w:sz="6" w:space="0"/>
            </w:tcBorders>
            <w:noWrap w:val="0"/>
            <w:vAlign w:val="center"/>
          </w:tcPr>
          <w:p w14:paraId="1C787D09">
            <w:pPr>
              <w:pStyle w:val="42"/>
              <w:spacing w:line="360" w:lineRule="auto"/>
              <w:jc w:val="center"/>
              <w:rPr>
                <w:rFonts w:ascii="宋体" w:hAnsi="宋体" w:cs="Arial"/>
                <w:b/>
                <w:bCs/>
                <w:sz w:val="24"/>
                <w:highlight w:val="none"/>
              </w:rPr>
            </w:pPr>
            <w:r>
              <w:rPr>
                <w:rFonts w:hint="eastAsia" w:ascii="宋体" w:hAnsi="宋体" w:cs="Arial"/>
                <w:b/>
                <w:bCs/>
                <w:sz w:val="24"/>
                <w:highlight w:val="none"/>
              </w:rPr>
              <w:t>序号</w:t>
            </w:r>
          </w:p>
        </w:tc>
        <w:tc>
          <w:tcPr>
            <w:tcW w:w="1293" w:type="dxa"/>
            <w:tcBorders>
              <w:top w:val="single" w:color="auto" w:sz="6" w:space="0"/>
              <w:left w:val="single" w:color="auto" w:sz="6" w:space="0"/>
              <w:bottom w:val="single" w:color="auto" w:sz="6" w:space="0"/>
              <w:right w:val="single" w:color="auto" w:sz="6" w:space="0"/>
            </w:tcBorders>
            <w:noWrap w:val="0"/>
            <w:vAlign w:val="center"/>
          </w:tcPr>
          <w:p w14:paraId="510E6BEF">
            <w:pPr>
              <w:pStyle w:val="42"/>
              <w:spacing w:line="360" w:lineRule="auto"/>
              <w:jc w:val="center"/>
              <w:rPr>
                <w:rFonts w:ascii="宋体" w:hAnsi="宋体" w:cs="Arial"/>
                <w:b/>
                <w:bCs/>
                <w:sz w:val="24"/>
                <w:highlight w:val="none"/>
              </w:rPr>
            </w:pPr>
            <w:r>
              <w:rPr>
                <w:rFonts w:hint="eastAsia" w:ascii="宋体" w:hAnsi="宋体" w:cs="Arial"/>
                <w:b/>
                <w:bCs/>
                <w:sz w:val="24"/>
                <w:highlight w:val="none"/>
              </w:rPr>
              <w:t>项目名称</w:t>
            </w:r>
          </w:p>
        </w:tc>
        <w:tc>
          <w:tcPr>
            <w:tcW w:w="1575" w:type="dxa"/>
            <w:tcBorders>
              <w:top w:val="single" w:color="auto" w:sz="6" w:space="0"/>
              <w:left w:val="single" w:color="auto" w:sz="6" w:space="0"/>
              <w:bottom w:val="single" w:color="auto" w:sz="6" w:space="0"/>
              <w:right w:val="single" w:color="auto" w:sz="6" w:space="0"/>
            </w:tcBorders>
            <w:noWrap w:val="0"/>
            <w:vAlign w:val="center"/>
          </w:tcPr>
          <w:p w14:paraId="510A8515">
            <w:pPr>
              <w:pStyle w:val="42"/>
              <w:spacing w:line="360" w:lineRule="auto"/>
              <w:jc w:val="center"/>
              <w:rPr>
                <w:rFonts w:ascii="宋体" w:hAnsi="宋体" w:cs="Arial"/>
                <w:b/>
                <w:bCs/>
                <w:sz w:val="24"/>
                <w:highlight w:val="none"/>
              </w:rPr>
            </w:pPr>
            <w:r>
              <w:rPr>
                <w:rFonts w:hint="eastAsia" w:ascii="宋体" w:hAnsi="宋体" w:cs="Arial"/>
                <w:b/>
                <w:bCs/>
                <w:sz w:val="24"/>
                <w:highlight w:val="none"/>
              </w:rPr>
              <w:t>项目地址</w:t>
            </w:r>
          </w:p>
        </w:tc>
        <w:tc>
          <w:tcPr>
            <w:tcW w:w="1260" w:type="dxa"/>
            <w:tcBorders>
              <w:top w:val="single" w:color="auto" w:sz="6" w:space="0"/>
              <w:left w:val="single" w:color="auto" w:sz="6" w:space="0"/>
              <w:bottom w:val="single" w:color="auto" w:sz="6" w:space="0"/>
              <w:right w:val="single" w:color="auto" w:sz="6" w:space="0"/>
            </w:tcBorders>
            <w:noWrap w:val="0"/>
            <w:vAlign w:val="center"/>
          </w:tcPr>
          <w:p w14:paraId="66D38D5F">
            <w:pPr>
              <w:pStyle w:val="42"/>
              <w:spacing w:line="360" w:lineRule="auto"/>
              <w:jc w:val="center"/>
              <w:rPr>
                <w:rFonts w:ascii="宋体" w:hAnsi="宋体" w:cs="Arial"/>
                <w:b/>
                <w:bCs/>
                <w:sz w:val="24"/>
                <w:highlight w:val="none"/>
              </w:rPr>
            </w:pPr>
            <w:r>
              <w:rPr>
                <w:rFonts w:hint="eastAsia" w:ascii="宋体" w:hAnsi="宋体" w:cs="Arial"/>
                <w:b/>
                <w:bCs/>
                <w:sz w:val="24"/>
                <w:highlight w:val="none"/>
              </w:rPr>
              <w:t>合同总价</w:t>
            </w:r>
          </w:p>
        </w:tc>
        <w:tc>
          <w:tcPr>
            <w:tcW w:w="1452" w:type="dxa"/>
            <w:tcBorders>
              <w:top w:val="single" w:color="auto" w:sz="6" w:space="0"/>
              <w:left w:val="single" w:color="auto" w:sz="6" w:space="0"/>
              <w:bottom w:val="single" w:color="auto" w:sz="6" w:space="0"/>
              <w:right w:val="single" w:color="auto" w:sz="6" w:space="0"/>
            </w:tcBorders>
            <w:noWrap w:val="0"/>
            <w:vAlign w:val="center"/>
          </w:tcPr>
          <w:p w14:paraId="41854DE8">
            <w:pPr>
              <w:pStyle w:val="42"/>
              <w:spacing w:line="360" w:lineRule="auto"/>
              <w:jc w:val="center"/>
              <w:rPr>
                <w:rFonts w:ascii="宋体" w:hAnsi="宋体" w:cs="Arial"/>
                <w:b/>
                <w:bCs/>
                <w:sz w:val="24"/>
                <w:highlight w:val="none"/>
              </w:rPr>
            </w:pPr>
            <w:r>
              <w:rPr>
                <w:rFonts w:hint="eastAsia" w:ascii="宋体" w:hAnsi="宋体" w:cs="Arial"/>
                <w:b/>
                <w:bCs/>
                <w:sz w:val="24"/>
                <w:highlight w:val="none"/>
              </w:rPr>
              <w:t>实施时间</w:t>
            </w:r>
          </w:p>
        </w:tc>
        <w:tc>
          <w:tcPr>
            <w:tcW w:w="1383" w:type="dxa"/>
            <w:tcBorders>
              <w:top w:val="single" w:color="auto" w:sz="6" w:space="0"/>
              <w:left w:val="single" w:color="auto" w:sz="6" w:space="0"/>
              <w:bottom w:val="single" w:color="auto" w:sz="6" w:space="0"/>
              <w:right w:val="single" w:color="auto" w:sz="6" w:space="0"/>
            </w:tcBorders>
            <w:noWrap w:val="0"/>
            <w:vAlign w:val="center"/>
          </w:tcPr>
          <w:p w14:paraId="2344FE16">
            <w:pPr>
              <w:pStyle w:val="42"/>
              <w:spacing w:line="360" w:lineRule="auto"/>
              <w:jc w:val="center"/>
              <w:rPr>
                <w:rFonts w:ascii="宋体" w:hAnsi="宋体" w:cs="Arial"/>
                <w:b/>
                <w:bCs/>
                <w:sz w:val="24"/>
                <w:highlight w:val="none"/>
              </w:rPr>
            </w:pPr>
            <w:r>
              <w:rPr>
                <w:rFonts w:hint="eastAsia" w:ascii="宋体" w:hAnsi="宋体" w:cs="Arial"/>
                <w:b/>
                <w:bCs/>
                <w:sz w:val="24"/>
                <w:highlight w:val="none"/>
              </w:rPr>
              <w:t>项目质量</w:t>
            </w:r>
          </w:p>
        </w:tc>
        <w:tc>
          <w:tcPr>
            <w:tcW w:w="2037" w:type="dxa"/>
            <w:tcBorders>
              <w:top w:val="single" w:color="auto" w:sz="6" w:space="0"/>
              <w:left w:val="single" w:color="auto" w:sz="6" w:space="0"/>
              <w:bottom w:val="single" w:color="auto" w:sz="6" w:space="0"/>
              <w:right w:val="single" w:color="auto" w:sz="6" w:space="0"/>
            </w:tcBorders>
            <w:noWrap w:val="0"/>
            <w:vAlign w:val="center"/>
          </w:tcPr>
          <w:p w14:paraId="5AB19491">
            <w:pPr>
              <w:pStyle w:val="42"/>
              <w:spacing w:line="360" w:lineRule="auto"/>
              <w:jc w:val="center"/>
              <w:rPr>
                <w:rFonts w:ascii="宋体" w:hAnsi="宋体" w:cs="Arial"/>
                <w:b/>
                <w:bCs/>
                <w:sz w:val="24"/>
                <w:highlight w:val="none"/>
              </w:rPr>
            </w:pPr>
            <w:r>
              <w:rPr>
                <w:rFonts w:hint="eastAsia" w:ascii="宋体" w:hAnsi="宋体" w:cs="Arial"/>
                <w:b/>
                <w:bCs/>
                <w:sz w:val="24"/>
                <w:highlight w:val="none"/>
              </w:rPr>
              <w:t>项目单位名称及其联系人电话</w:t>
            </w:r>
          </w:p>
        </w:tc>
      </w:tr>
      <w:tr w14:paraId="2620DB7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1" w:hRule="atLeast"/>
          <w:jc w:val="center"/>
        </w:trPr>
        <w:tc>
          <w:tcPr>
            <w:tcW w:w="540" w:type="dxa"/>
            <w:tcBorders>
              <w:top w:val="single" w:color="auto" w:sz="6" w:space="0"/>
              <w:left w:val="single" w:color="auto" w:sz="6" w:space="0"/>
              <w:bottom w:val="single" w:color="auto" w:sz="6" w:space="0"/>
              <w:right w:val="single" w:color="auto" w:sz="6" w:space="0"/>
            </w:tcBorders>
            <w:noWrap w:val="0"/>
            <w:vAlign w:val="top"/>
          </w:tcPr>
          <w:p w14:paraId="7A1EDFC1">
            <w:pPr>
              <w:pStyle w:val="42"/>
              <w:spacing w:line="360" w:lineRule="auto"/>
              <w:jc w:val="center"/>
              <w:rPr>
                <w:rFonts w:ascii="宋体" w:hAnsi="宋体" w:cs="Arial"/>
                <w:sz w:val="24"/>
                <w:highlight w:val="none"/>
              </w:rPr>
            </w:pPr>
            <w:r>
              <w:rPr>
                <w:rFonts w:hint="eastAsia" w:ascii="宋体" w:hAnsi="宋体" w:cs="Arial"/>
                <w:sz w:val="24"/>
                <w:highlight w:val="none"/>
              </w:rPr>
              <w:t>1</w:t>
            </w:r>
          </w:p>
        </w:tc>
        <w:tc>
          <w:tcPr>
            <w:tcW w:w="1293" w:type="dxa"/>
            <w:tcBorders>
              <w:top w:val="single" w:color="auto" w:sz="6" w:space="0"/>
              <w:left w:val="single" w:color="auto" w:sz="6" w:space="0"/>
              <w:bottom w:val="single" w:color="auto" w:sz="6" w:space="0"/>
              <w:right w:val="single" w:color="auto" w:sz="6" w:space="0"/>
            </w:tcBorders>
            <w:noWrap w:val="0"/>
            <w:vAlign w:val="top"/>
          </w:tcPr>
          <w:p w14:paraId="66122EAA">
            <w:pPr>
              <w:pStyle w:val="42"/>
              <w:spacing w:line="360" w:lineRule="auto"/>
              <w:rPr>
                <w:rFonts w:ascii="宋体" w:hAnsi="宋体" w:cs="Arial"/>
                <w:sz w:val="24"/>
                <w:highlight w:val="none"/>
              </w:rPr>
            </w:pPr>
          </w:p>
        </w:tc>
        <w:tc>
          <w:tcPr>
            <w:tcW w:w="1575" w:type="dxa"/>
            <w:tcBorders>
              <w:top w:val="single" w:color="auto" w:sz="6" w:space="0"/>
              <w:left w:val="single" w:color="auto" w:sz="6" w:space="0"/>
              <w:bottom w:val="single" w:color="auto" w:sz="6" w:space="0"/>
              <w:right w:val="single" w:color="auto" w:sz="6" w:space="0"/>
            </w:tcBorders>
            <w:noWrap w:val="0"/>
            <w:vAlign w:val="top"/>
          </w:tcPr>
          <w:p w14:paraId="02D6615A">
            <w:pPr>
              <w:pStyle w:val="42"/>
              <w:spacing w:line="360" w:lineRule="auto"/>
              <w:rPr>
                <w:rFonts w:ascii="宋体" w:hAnsi="宋体" w:cs="Arial"/>
                <w:sz w:val="24"/>
                <w:highlight w:val="none"/>
              </w:rPr>
            </w:pPr>
          </w:p>
        </w:tc>
        <w:tc>
          <w:tcPr>
            <w:tcW w:w="1260" w:type="dxa"/>
            <w:tcBorders>
              <w:top w:val="single" w:color="auto" w:sz="6" w:space="0"/>
              <w:left w:val="single" w:color="auto" w:sz="6" w:space="0"/>
              <w:bottom w:val="single" w:color="auto" w:sz="6" w:space="0"/>
              <w:right w:val="single" w:color="auto" w:sz="6" w:space="0"/>
            </w:tcBorders>
            <w:noWrap w:val="0"/>
            <w:vAlign w:val="top"/>
          </w:tcPr>
          <w:p w14:paraId="004A42F5">
            <w:pPr>
              <w:pStyle w:val="42"/>
              <w:spacing w:line="360" w:lineRule="auto"/>
              <w:rPr>
                <w:rFonts w:ascii="宋体" w:hAnsi="宋体" w:cs="Arial"/>
                <w:sz w:val="24"/>
                <w:highlight w:val="none"/>
              </w:rPr>
            </w:pPr>
          </w:p>
        </w:tc>
        <w:tc>
          <w:tcPr>
            <w:tcW w:w="1452" w:type="dxa"/>
            <w:tcBorders>
              <w:top w:val="single" w:color="auto" w:sz="6" w:space="0"/>
              <w:left w:val="single" w:color="auto" w:sz="6" w:space="0"/>
              <w:bottom w:val="single" w:color="auto" w:sz="6" w:space="0"/>
              <w:right w:val="single" w:color="auto" w:sz="6" w:space="0"/>
            </w:tcBorders>
            <w:noWrap w:val="0"/>
            <w:vAlign w:val="top"/>
          </w:tcPr>
          <w:p w14:paraId="10A2F2AF">
            <w:pPr>
              <w:pStyle w:val="42"/>
              <w:spacing w:line="360" w:lineRule="auto"/>
              <w:rPr>
                <w:rFonts w:ascii="宋体" w:hAnsi="宋体" w:cs="Arial"/>
                <w:sz w:val="24"/>
                <w:highlight w:val="none"/>
              </w:rPr>
            </w:pPr>
          </w:p>
        </w:tc>
        <w:tc>
          <w:tcPr>
            <w:tcW w:w="1383" w:type="dxa"/>
            <w:tcBorders>
              <w:top w:val="single" w:color="auto" w:sz="6" w:space="0"/>
              <w:left w:val="single" w:color="auto" w:sz="6" w:space="0"/>
              <w:bottom w:val="single" w:color="auto" w:sz="6" w:space="0"/>
              <w:right w:val="single" w:color="auto" w:sz="6" w:space="0"/>
            </w:tcBorders>
            <w:noWrap w:val="0"/>
            <w:vAlign w:val="top"/>
          </w:tcPr>
          <w:p w14:paraId="317E7665">
            <w:pPr>
              <w:pStyle w:val="42"/>
              <w:spacing w:line="360" w:lineRule="auto"/>
              <w:rPr>
                <w:rFonts w:ascii="宋体" w:hAnsi="宋体" w:cs="Arial"/>
                <w:sz w:val="24"/>
                <w:highlight w:val="none"/>
              </w:rPr>
            </w:pPr>
          </w:p>
        </w:tc>
        <w:tc>
          <w:tcPr>
            <w:tcW w:w="2037" w:type="dxa"/>
            <w:tcBorders>
              <w:top w:val="single" w:color="auto" w:sz="6" w:space="0"/>
              <w:left w:val="single" w:color="auto" w:sz="6" w:space="0"/>
              <w:bottom w:val="single" w:color="auto" w:sz="6" w:space="0"/>
              <w:right w:val="single" w:color="auto" w:sz="6" w:space="0"/>
            </w:tcBorders>
            <w:noWrap w:val="0"/>
            <w:vAlign w:val="top"/>
          </w:tcPr>
          <w:p w14:paraId="60F6E4E4">
            <w:pPr>
              <w:pStyle w:val="42"/>
              <w:spacing w:line="360" w:lineRule="auto"/>
              <w:rPr>
                <w:rFonts w:ascii="宋体" w:hAnsi="宋体" w:cs="Arial"/>
                <w:sz w:val="24"/>
                <w:highlight w:val="none"/>
              </w:rPr>
            </w:pPr>
          </w:p>
        </w:tc>
      </w:tr>
      <w:tr w14:paraId="38F600B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9" w:hRule="atLeast"/>
          <w:jc w:val="center"/>
        </w:trPr>
        <w:tc>
          <w:tcPr>
            <w:tcW w:w="540" w:type="dxa"/>
            <w:tcBorders>
              <w:top w:val="single" w:color="auto" w:sz="6" w:space="0"/>
              <w:left w:val="single" w:color="auto" w:sz="6" w:space="0"/>
              <w:bottom w:val="single" w:color="auto" w:sz="6" w:space="0"/>
              <w:right w:val="single" w:color="auto" w:sz="6" w:space="0"/>
            </w:tcBorders>
            <w:noWrap w:val="0"/>
            <w:vAlign w:val="top"/>
          </w:tcPr>
          <w:p w14:paraId="021B342C">
            <w:pPr>
              <w:pStyle w:val="42"/>
              <w:spacing w:line="360" w:lineRule="auto"/>
              <w:jc w:val="center"/>
              <w:rPr>
                <w:rFonts w:ascii="宋体" w:hAnsi="宋体" w:cs="Arial"/>
                <w:sz w:val="24"/>
                <w:highlight w:val="none"/>
              </w:rPr>
            </w:pPr>
            <w:r>
              <w:rPr>
                <w:rFonts w:hint="eastAsia" w:ascii="宋体" w:hAnsi="宋体" w:cs="Arial"/>
                <w:sz w:val="24"/>
                <w:highlight w:val="none"/>
              </w:rPr>
              <w:t>2</w:t>
            </w:r>
          </w:p>
        </w:tc>
        <w:tc>
          <w:tcPr>
            <w:tcW w:w="1293" w:type="dxa"/>
            <w:tcBorders>
              <w:top w:val="single" w:color="auto" w:sz="6" w:space="0"/>
              <w:left w:val="single" w:color="auto" w:sz="6" w:space="0"/>
              <w:bottom w:val="single" w:color="auto" w:sz="6" w:space="0"/>
              <w:right w:val="single" w:color="auto" w:sz="6" w:space="0"/>
            </w:tcBorders>
            <w:noWrap w:val="0"/>
            <w:vAlign w:val="top"/>
          </w:tcPr>
          <w:p w14:paraId="4A83CA26">
            <w:pPr>
              <w:pStyle w:val="42"/>
              <w:spacing w:line="360" w:lineRule="auto"/>
              <w:rPr>
                <w:rFonts w:ascii="宋体" w:hAnsi="宋体" w:cs="Arial"/>
                <w:sz w:val="24"/>
                <w:highlight w:val="none"/>
              </w:rPr>
            </w:pPr>
          </w:p>
        </w:tc>
        <w:tc>
          <w:tcPr>
            <w:tcW w:w="1575" w:type="dxa"/>
            <w:tcBorders>
              <w:top w:val="single" w:color="auto" w:sz="6" w:space="0"/>
              <w:left w:val="single" w:color="auto" w:sz="6" w:space="0"/>
              <w:bottom w:val="single" w:color="auto" w:sz="6" w:space="0"/>
              <w:right w:val="single" w:color="auto" w:sz="6" w:space="0"/>
            </w:tcBorders>
            <w:noWrap w:val="0"/>
            <w:vAlign w:val="top"/>
          </w:tcPr>
          <w:p w14:paraId="7211A642">
            <w:pPr>
              <w:pStyle w:val="42"/>
              <w:spacing w:line="360" w:lineRule="auto"/>
              <w:rPr>
                <w:rFonts w:ascii="宋体" w:hAnsi="宋体" w:cs="Arial"/>
                <w:sz w:val="24"/>
                <w:highlight w:val="none"/>
              </w:rPr>
            </w:pPr>
          </w:p>
        </w:tc>
        <w:tc>
          <w:tcPr>
            <w:tcW w:w="1260" w:type="dxa"/>
            <w:tcBorders>
              <w:top w:val="single" w:color="auto" w:sz="6" w:space="0"/>
              <w:left w:val="single" w:color="auto" w:sz="6" w:space="0"/>
              <w:bottom w:val="single" w:color="auto" w:sz="6" w:space="0"/>
              <w:right w:val="single" w:color="auto" w:sz="6" w:space="0"/>
            </w:tcBorders>
            <w:noWrap w:val="0"/>
            <w:vAlign w:val="top"/>
          </w:tcPr>
          <w:p w14:paraId="18DD129E">
            <w:pPr>
              <w:pStyle w:val="42"/>
              <w:spacing w:line="360" w:lineRule="auto"/>
              <w:rPr>
                <w:rFonts w:ascii="宋体" w:hAnsi="宋体" w:cs="Arial"/>
                <w:sz w:val="24"/>
                <w:highlight w:val="none"/>
              </w:rPr>
            </w:pPr>
          </w:p>
        </w:tc>
        <w:tc>
          <w:tcPr>
            <w:tcW w:w="1452" w:type="dxa"/>
            <w:tcBorders>
              <w:top w:val="single" w:color="auto" w:sz="6" w:space="0"/>
              <w:left w:val="single" w:color="auto" w:sz="6" w:space="0"/>
              <w:bottom w:val="single" w:color="auto" w:sz="6" w:space="0"/>
              <w:right w:val="single" w:color="auto" w:sz="6" w:space="0"/>
            </w:tcBorders>
            <w:noWrap w:val="0"/>
            <w:vAlign w:val="top"/>
          </w:tcPr>
          <w:p w14:paraId="3B8EB281">
            <w:pPr>
              <w:pStyle w:val="42"/>
              <w:spacing w:line="360" w:lineRule="auto"/>
              <w:rPr>
                <w:rFonts w:ascii="宋体" w:hAnsi="宋体" w:cs="Arial"/>
                <w:sz w:val="24"/>
                <w:highlight w:val="none"/>
              </w:rPr>
            </w:pPr>
          </w:p>
        </w:tc>
        <w:tc>
          <w:tcPr>
            <w:tcW w:w="1383" w:type="dxa"/>
            <w:tcBorders>
              <w:top w:val="single" w:color="auto" w:sz="6" w:space="0"/>
              <w:left w:val="single" w:color="auto" w:sz="6" w:space="0"/>
              <w:bottom w:val="single" w:color="auto" w:sz="6" w:space="0"/>
              <w:right w:val="single" w:color="auto" w:sz="6" w:space="0"/>
            </w:tcBorders>
            <w:noWrap w:val="0"/>
            <w:vAlign w:val="top"/>
          </w:tcPr>
          <w:p w14:paraId="1E285EBC">
            <w:pPr>
              <w:pStyle w:val="42"/>
              <w:spacing w:line="360" w:lineRule="auto"/>
              <w:rPr>
                <w:rFonts w:ascii="宋体" w:hAnsi="宋体" w:cs="Arial"/>
                <w:sz w:val="24"/>
                <w:highlight w:val="none"/>
              </w:rPr>
            </w:pPr>
          </w:p>
        </w:tc>
        <w:tc>
          <w:tcPr>
            <w:tcW w:w="2037" w:type="dxa"/>
            <w:tcBorders>
              <w:top w:val="single" w:color="auto" w:sz="6" w:space="0"/>
              <w:left w:val="single" w:color="auto" w:sz="6" w:space="0"/>
              <w:bottom w:val="single" w:color="auto" w:sz="6" w:space="0"/>
              <w:right w:val="single" w:color="auto" w:sz="6" w:space="0"/>
            </w:tcBorders>
            <w:noWrap w:val="0"/>
            <w:vAlign w:val="top"/>
          </w:tcPr>
          <w:p w14:paraId="14E404A7">
            <w:pPr>
              <w:pStyle w:val="42"/>
              <w:spacing w:line="360" w:lineRule="auto"/>
              <w:rPr>
                <w:rFonts w:ascii="宋体" w:hAnsi="宋体" w:cs="Arial"/>
                <w:sz w:val="24"/>
                <w:highlight w:val="none"/>
              </w:rPr>
            </w:pPr>
          </w:p>
        </w:tc>
      </w:tr>
      <w:tr w14:paraId="7AF2041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3" w:hRule="atLeast"/>
          <w:jc w:val="center"/>
        </w:trPr>
        <w:tc>
          <w:tcPr>
            <w:tcW w:w="540" w:type="dxa"/>
            <w:tcBorders>
              <w:top w:val="single" w:color="auto" w:sz="6" w:space="0"/>
              <w:left w:val="single" w:color="auto" w:sz="6" w:space="0"/>
              <w:bottom w:val="single" w:color="auto" w:sz="6" w:space="0"/>
              <w:right w:val="single" w:color="auto" w:sz="6" w:space="0"/>
            </w:tcBorders>
            <w:noWrap w:val="0"/>
            <w:vAlign w:val="top"/>
          </w:tcPr>
          <w:p w14:paraId="783661F3">
            <w:pPr>
              <w:pStyle w:val="42"/>
              <w:spacing w:line="360" w:lineRule="auto"/>
              <w:jc w:val="center"/>
              <w:rPr>
                <w:rFonts w:ascii="宋体" w:hAnsi="宋体" w:cs="Arial"/>
                <w:sz w:val="24"/>
                <w:highlight w:val="none"/>
              </w:rPr>
            </w:pPr>
            <w:r>
              <w:rPr>
                <w:rFonts w:hint="eastAsia" w:ascii="宋体" w:hAnsi="宋体" w:cs="Arial"/>
                <w:sz w:val="24"/>
                <w:highlight w:val="none"/>
              </w:rPr>
              <w:t>3</w:t>
            </w:r>
          </w:p>
        </w:tc>
        <w:tc>
          <w:tcPr>
            <w:tcW w:w="1293" w:type="dxa"/>
            <w:tcBorders>
              <w:top w:val="single" w:color="auto" w:sz="6" w:space="0"/>
              <w:left w:val="single" w:color="auto" w:sz="6" w:space="0"/>
              <w:bottom w:val="single" w:color="auto" w:sz="6" w:space="0"/>
              <w:right w:val="single" w:color="auto" w:sz="6" w:space="0"/>
            </w:tcBorders>
            <w:noWrap w:val="0"/>
            <w:vAlign w:val="top"/>
          </w:tcPr>
          <w:p w14:paraId="140E8B70">
            <w:pPr>
              <w:pStyle w:val="42"/>
              <w:spacing w:line="360" w:lineRule="auto"/>
              <w:rPr>
                <w:rFonts w:ascii="宋体" w:hAnsi="宋体" w:cs="Arial"/>
                <w:sz w:val="24"/>
                <w:highlight w:val="none"/>
              </w:rPr>
            </w:pPr>
          </w:p>
        </w:tc>
        <w:tc>
          <w:tcPr>
            <w:tcW w:w="1575" w:type="dxa"/>
            <w:tcBorders>
              <w:top w:val="single" w:color="auto" w:sz="6" w:space="0"/>
              <w:left w:val="single" w:color="auto" w:sz="6" w:space="0"/>
              <w:bottom w:val="single" w:color="auto" w:sz="6" w:space="0"/>
              <w:right w:val="single" w:color="auto" w:sz="6" w:space="0"/>
            </w:tcBorders>
            <w:noWrap w:val="0"/>
            <w:vAlign w:val="top"/>
          </w:tcPr>
          <w:p w14:paraId="5541211A">
            <w:pPr>
              <w:pStyle w:val="42"/>
              <w:spacing w:line="360" w:lineRule="auto"/>
              <w:rPr>
                <w:rFonts w:ascii="宋体" w:hAnsi="宋体" w:cs="Arial"/>
                <w:sz w:val="24"/>
                <w:highlight w:val="none"/>
              </w:rPr>
            </w:pPr>
          </w:p>
        </w:tc>
        <w:tc>
          <w:tcPr>
            <w:tcW w:w="1260" w:type="dxa"/>
            <w:tcBorders>
              <w:top w:val="single" w:color="auto" w:sz="6" w:space="0"/>
              <w:left w:val="single" w:color="auto" w:sz="6" w:space="0"/>
              <w:bottom w:val="single" w:color="auto" w:sz="6" w:space="0"/>
              <w:right w:val="single" w:color="auto" w:sz="6" w:space="0"/>
            </w:tcBorders>
            <w:noWrap w:val="0"/>
            <w:vAlign w:val="top"/>
          </w:tcPr>
          <w:p w14:paraId="241A40F6">
            <w:pPr>
              <w:pStyle w:val="42"/>
              <w:spacing w:line="360" w:lineRule="auto"/>
              <w:rPr>
                <w:rFonts w:ascii="宋体" w:hAnsi="宋体" w:cs="Arial"/>
                <w:sz w:val="24"/>
                <w:highlight w:val="none"/>
              </w:rPr>
            </w:pPr>
          </w:p>
        </w:tc>
        <w:tc>
          <w:tcPr>
            <w:tcW w:w="1452" w:type="dxa"/>
            <w:tcBorders>
              <w:top w:val="single" w:color="auto" w:sz="6" w:space="0"/>
              <w:left w:val="single" w:color="auto" w:sz="6" w:space="0"/>
              <w:bottom w:val="single" w:color="auto" w:sz="6" w:space="0"/>
              <w:right w:val="single" w:color="auto" w:sz="6" w:space="0"/>
            </w:tcBorders>
            <w:noWrap w:val="0"/>
            <w:vAlign w:val="top"/>
          </w:tcPr>
          <w:p w14:paraId="670A190D">
            <w:pPr>
              <w:pStyle w:val="42"/>
              <w:spacing w:line="360" w:lineRule="auto"/>
              <w:rPr>
                <w:rFonts w:ascii="宋体" w:hAnsi="宋体" w:cs="Arial"/>
                <w:sz w:val="24"/>
                <w:highlight w:val="none"/>
              </w:rPr>
            </w:pPr>
          </w:p>
        </w:tc>
        <w:tc>
          <w:tcPr>
            <w:tcW w:w="1383" w:type="dxa"/>
            <w:tcBorders>
              <w:top w:val="single" w:color="auto" w:sz="6" w:space="0"/>
              <w:left w:val="single" w:color="auto" w:sz="6" w:space="0"/>
              <w:bottom w:val="single" w:color="auto" w:sz="6" w:space="0"/>
              <w:right w:val="single" w:color="auto" w:sz="6" w:space="0"/>
            </w:tcBorders>
            <w:noWrap w:val="0"/>
            <w:vAlign w:val="top"/>
          </w:tcPr>
          <w:p w14:paraId="654700FC">
            <w:pPr>
              <w:pStyle w:val="42"/>
              <w:spacing w:line="360" w:lineRule="auto"/>
              <w:rPr>
                <w:rFonts w:ascii="宋体" w:hAnsi="宋体" w:cs="Arial"/>
                <w:sz w:val="24"/>
                <w:highlight w:val="none"/>
              </w:rPr>
            </w:pPr>
          </w:p>
        </w:tc>
        <w:tc>
          <w:tcPr>
            <w:tcW w:w="2037" w:type="dxa"/>
            <w:tcBorders>
              <w:top w:val="single" w:color="auto" w:sz="6" w:space="0"/>
              <w:left w:val="single" w:color="auto" w:sz="6" w:space="0"/>
              <w:bottom w:val="single" w:color="auto" w:sz="6" w:space="0"/>
              <w:right w:val="single" w:color="auto" w:sz="6" w:space="0"/>
            </w:tcBorders>
            <w:noWrap w:val="0"/>
            <w:vAlign w:val="top"/>
          </w:tcPr>
          <w:p w14:paraId="07BBD955">
            <w:pPr>
              <w:pStyle w:val="42"/>
              <w:spacing w:line="360" w:lineRule="auto"/>
              <w:rPr>
                <w:rFonts w:ascii="宋体" w:hAnsi="宋体" w:cs="Arial"/>
                <w:sz w:val="24"/>
                <w:highlight w:val="none"/>
              </w:rPr>
            </w:pPr>
          </w:p>
        </w:tc>
      </w:tr>
      <w:tr w14:paraId="14A14C1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noWrap w:val="0"/>
            <w:vAlign w:val="top"/>
          </w:tcPr>
          <w:p w14:paraId="6DA3985A">
            <w:pPr>
              <w:pStyle w:val="42"/>
              <w:spacing w:line="360" w:lineRule="auto"/>
              <w:rPr>
                <w:rFonts w:ascii="宋体" w:hAnsi="宋体" w:cs="Arial"/>
                <w:sz w:val="24"/>
                <w:highlight w:val="none"/>
              </w:rPr>
            </w:pPr>
            <w:r>
              <w:rPr>
                <w:rFonts w:hint="eastAsia" w:ascii="宋体" w:hAnsi="宋体" w:cs="Arial"/>
                <w:sz w:val="24"/>
                <w:highlight w:val="none"/>
              </w:rPr>
              <w:t>…</w:t>
            </w:r>
          </w:p>
        </w:tc>
        <w:tc>
          <w:tcPr>
            <w:tcW w:w="1293" w:type="dxa"/>
            <w:tcBorders>
              <w:top w:val="single" w:color="auto" w:sz="6" w:space="0"/>
              <w:left w:val="single" w:color="auto" w:sz="6" w:space="0"/>
              <w:bottom w:val="single" w:color="auto" w:sz="6" w:space="0"/>
              <w:right w:val="single" w:color="auto" w:sz="6" w:space="0"/>
            </w:tcBorders>
            <w:noWrap w:val="0"/>
            <w:vAlign w:val="top"/>
          </w:tcPr>
          <w:p w14:paraId="004ABEA7">
            <w:pPr>
              <w:pStyle w:val="42"/>
              <w:spacing w:line="360" w:lineRule="auto"/>
              <w:rPr>
                <w:rFonts w:ascii="宋体" w:hAnsi="宋体" w:cs="Arial"/>
                <w:sz w:val="24"/>
                <w:highlight w:val="none"/>
              </w:rPr>
            </w:pPr>
          </w:p>
        </w:tc>
        <w:tc>
          <w:tcPr>
            <w:tcW w:w="1575" w:type="dxa"/>
            <w:tcBorders>
              <w:top w:val="single" w:color="auto" w:sz="6" w:space="0"/>
              <w:left w:val="single" w:color="auto" w:sz="6" w:space="0"/>
              <w:bottom w:val="single" w:color="auto" w:sz="6" w:space="0"/>
              <w:right w:val="single" w:color="auto" w:sz="6" w:space="0"/>
            </w:tcBorders>
            <w:noWrap w:val="0"/>
            <w:vAlign w:val="top"/>
          </w:tcPr>
          <w:p w14:paraId="1D1437D3">
            <w:pPr>
              <w:pStyle w:val="42"/>
              <w:spacing w:line="360" w:lineRule="auto"/>
              <w:rPr>
                <w:rFonts w:ascii="宋体" w:hAnsi="宋体" w:cs="Arial"/>
                <w:sz w:val="24"/>
                <w:highlight w:val="none"/>
              </w:rPr>
            </w:pPr>
          </w:p>
        </w:tc>
        <w:tc>
          <w:tcPr>
            <w:tcW w:w="1260" w:type="dxa"/>
            <w:tcBorders>
              <w:top w:val="single" w:color="auto" w:sz="6" w:space="0"/>
              <w:left w:val="single" w:color="auto" w:sz="6" w:space="0"/>
              <w:bottom w:val="single" w:color="auto" w:sz="6" w:space="0"/>
              <w:right w:val="single" w:color="auto" w:sz="6" w:space="0"/>
            </w:tcBorders>
            <w:noWrap w:val="0"/>
            <w:vAlign w:val="top"/>
          </w:tcPr>
          <w:p w14:paraId="40E2CC69">
            <w:pPr>
              <w:pStyle w:val="42"/>
              <w:spacing w:line="360" w:lineRule="auto"/>
              <w:rPr>
                <w:rFonts w:ascii="宋体" w:hAnsi="宋体" w:cs="Arial"/>
                <w:sz w:val="24"/>
                <w:highlight w:val="none"/>
              </w:rPr>
            </w:pPr>
          </w:p>
        </w:tc>
        <w:tc>
          <w:tcPr>
            <w:tcW w:w="1452" w:type="dxa"/>
            <w:tcBorders>
              <w:top w:val="single" w:color="auto" w:sz="6" w:space="0"/>
              <w:left w:val="single" w:color="auto" w:sz="6" w:space="0"/>
              <w:bottom w:val="single" w:color="auto" w:sz="6" w:space="0"/>
              <w:right w:val="single" w:color="auto" w:sz="6" w:space="0"/>
            </w:tcBorders>
            <w:noWrap w:val="0"/>
            <w:vAlign w:val="top"/>
          </w:tcPr>
          <w:p w14:paraId="2CBCD4B0">
            <w:pPr>
              <w:pStyle w:val="42"/>
              <w:spacing w:line="360" w:lineRule="auto"/>
              <w:rPr>
                <w:rFonts w:ascii="宋体" w:hAnsi="宋体" w:cs="Arial"/>
                <w:sz w:val="24"/>
                <w:highlight w:val="none"/>
              </w:rPr>
            </w:pPr>
          </w:p>
        </w:tc>
        <w:tc>
          <w:tcPr>
            <w:tcW w:w="1383" w:type="dxa"/>
            <w:tcBorders>
              <w:top w:val="single" w:color="auto" w:sz="6" w:space="0"/>
              <w:left w:val="single" w:color="auto" w:sz="6" w:space="0"/>
              <w:bottom w:val="single" w:color="auto" w:sz="6" w:space="0"/>
              <w:right w:val="single" w:color="auto" w:sz="6" w:space="0"/>
            </w:tcBorders>
            <w:noWrap w:val="0"/>
            <w:vAlign w:val="top"/>
          </w:tcPr>
          <w:p w14:paraId="4D975375">
            <w:pPr>
              <w:pStyle w:val="42"/>
              <w:spacing w:line="360" w:lineRule="auto"/>
              <w:rPr>
                <w:rFonts w:ascii="宋体" w:hAnsi="宋体" w:cs="Arial"/>
                <w:sz w:val="24"/>
                <w:highlight w:val="none"/>
              </w:rPr>
            </w:pPr>
          </w:p>
        </w:tc>
        <w:tc>
          <w:tcPr>
            <w:tcW w:w="2037" w:type="dxa"/>
            <w:tcBorders>
              <w:top w:val="single" w:color="auto" w:sz="6" w:space="0"/>
              <w:left w:val="single" w:color="auto" w:sz="6" w:space="0"/>
              <w:bottom w:val="single" w:color="auto" w:sz="6" w:space="0"/>
              <w:right w:val="single" w:color="auto" w:sz="6" w:space="0"/>
            </w:tcBorders>
            <w:noWrap w:val="0"/>
            <w:vAlign w:val="top"/>
          </w:tcPr>
          <w:p w14:paraId="11A29C17">
            <w:pPr>
              <w:pStyle w:val="42"/>
              <w:spacing w:line="360" w:lineRule="auto"/>
              <w:rPr>
                <w:rFonts w:ascii="宋体" w:hAnsi="宋体" w:cs="Arial"/>
                <w:sz w:val="24"/>
                <w:highlight w:val="none"/>
              </w:rPr>
            </w:pPr>
          </w:p>
        </w:tc>
      </w:tr>
      <w:tr w14:paraId="31382C5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noWrap w:val="0"/>
            <w:vAlign w:val="top"/>
          </w:tcPr>
          <w:p w14:paraId="43692A8E">
            <w:pPr>
              <w:pStyle w:val="42"/>
              <w:spacing w:line="360" w:lineRule="auto"/>
              <w:rPr>
                <w:rFonts w:ascii="宋体" w:hAnsi="宋体" w:cs="Arial"/>
                <w:sz w:val="24"/>
                <w:highlight w:val="none"/>
              </w:rPr>
            </w:pPr>
          </w:p>
        </w:tc>
        <w:tc>
          <w:tcPr>
            <w:tcW w:w="1293" w:type="dxa"/>
            <w:tcBorders>
              <w:top w:val="single" w:color="auto" w:sz="6" w:space="0"/>
              <w:left w:val="single" w:color="auto" w:sz="6" w:space="0"/>
              <w:bottom w:val="single" w:color="auto" w:sz="6" w:space="0"/>
              <w:right w:val="single" w:color="auto" w:sz="6" w:space="0"/>
            </w:tcBorders>
            <w:noWrap w:val="0"/>
            <w:vAlign w:val="top"/>
          </w:tcPr>
          <w:p w14:paraId="2CFEC0F6">
            <w:pPr>
              <w:pStyle w:val="42"/>
              <w:spacing w:line="360" w:lineRule="auto"/>
              <w:rPr>
                <w:rFonts w:ascii="宋体" w:hAnsi="宋体" w:cs="Arial"/>
                <w:sz w:val="24"/>
                <w:highlight w:val="none"/>
              </w:rPr>
            </w:pPr>
          </w:p>
        </w:tc>
        <w:tc>
          <w:tcPr>
            <w:tcW w:w="1575" w:type="dxa"/>
            <w:tcBorders>
              <w:top w:val="single" w:color="auto" w:sz="6" w:space="0"/>
              <w:left w:val="single" w:color="auto" w:sz="6" w:space="0"/>
              <w:bottom w:val="single" w:color="auto" w:sz="6" w:space="0"/>
              <w:right w:val="single" w:color="auto" w:sz="6" w:space="0"/>
            </w:tcBorders>
            <w:noWrap w:val="0"/>
            <w:vAlign w:val="top"/>
          </w:tcPr>
          <w:p w14:paraId="46444556">
            <w:pPr>
              <w:pStyle w:val="42"/>
              <w:spacing w:line="360" w:lineRule="auto"/>
              <w:rPr>
                <w:rFonts w:ascii="宋体" w:hAnsi="宋体" w:cs="Arial"/>
                <w:sz w:val="24"/>
                <w:highlight w:val="none"/>
              </w:rPr>
            </w:pPr>
          </w:p>
        </w:tc>
        <w:tc>
          <w:tcPr>
            <w:tcW w:w="1260" w:type="dxa"/>
            <w:tcBorders>
              <w:top w:val="single" w:color="auto" w:sz="6" w:space="0"/>
              <w:left w:val="single" w:color="auto" w:sz="6" w:space="0"/>
              <w:bottom w:val="single" w:color="auto" w:sz="6" w:space="0"/>
              <w:right w:val="single" w:color="auto" w:sz="6" w:space="0"/>
            </w:tcBorders>
            <w:noWrap w:val="0"/>
            <w:vAlign w:val="top"/>
          </w:tcPr>
          <w:p w14:paraId="32408651">
            <w:pPr>
              <w:pStyle w:val="42"/>
              <w:spacing w:line="360" w:lineRule="auto"/>
              <w:rPr>
                <w:rFonts w:ascii="宋体" w:hAnsi="宋体" w:cs="Arial"/>
                <w:sz w:val="24"/>
                <w:highlight w:val="none"/>
              </w:rPr>
            </w:pPr>
          </w:p>
        </w:tc>
        <w:tc>
          <w:tcPr>
            <w:tcW w:w="1452" w:type="dxa"/>
            <w:tcBorders>
              <w:top w:val="single" w:color="auto" w:sz="6" w:space="0"/>
              <w:left w:val="single" w:color="auto" w:sz="6" w:space="0"/>
              <w:bottom w:val="single" w:color="auto" w:sz="6" w:space="0"/>
              <w:right w:val="single" w:color="auto" w:sz="6" w:space="0"/>
            </w:tcBorders>
            <w:noWrap w:val="0"/>
            <w:vAlign w:val="top"/>
          </w:tcPr>
          <w:p w14:paraId="300EB762">
            <w:pPr>
              <w:pStyle w:val="42"/>
              <w:spacing w:line="360" w:lineRule="auto"/>
              <w:rPr>
                <w:rFonts w:ascii="宋体" w:hAnsi="宋体" w:cs="Arial"/>
                <w:sz w:val="24"/>
                <w:highlight w:val="none"/>
              </w:rPr>
            </w:pPr>
          </w:p>
        </w:tc>
        <w:tc>
          <w:tcPr>
            <w:tcW w:w="1383" w:type="dxa"/>
            <w:tcBorders>
              <w:top w:val="single" w:color="auto" w:sz="6" w:space="0"/>
              <w:left w:val="single" w:color="auto" w:sz="6" w:space="0"/>
              <w:bottom w:val="single" w:color="auto" w:sz="6" w:space="0"/>
              <w:right w:val="single" w:color="auto" w:sz="6" w:space="0"/>
            </w:tcBorders>
            <w:noWrap w:val="0"/>
            <w:vAlign w:val="top"/>
          </w:tcPr>
          <w:p w14:paraId="0038D3FD">
            <w:pPr>
              <w:pStyle w:val="42"/>
              <w:spacing w:line="360" w:lineRule="auto"/>
              <w:rPr>
                <w:rFonts w:ascii="宋体" w:hAnsi="宋体" w:cs="Arial"/>
                <w:sz w:val="24"/>
                <w:highlight w:val="none"/>
              </w:rPr>
            </w:pPr>
          </w:p>
        </w:tc>
        <w:tc>
          <w:tcPr>
            <w:tcW w:w="2037" w:type="dxa"/>
            <w:tcBorders>
              <w:top w:val="single" w:color="auto" w:sz="6" w:space="0"/>
              <w:left w:val="single" w:color="auto" w:sz="6" w:space="0"/>
              <w:bottom w:val="single" w:color="auto" w:sz="6" w:space="0"/>
              <w:right w:val="single" w:color="auto" w:sz="6" w:space="0"/>
            </w:tcBorders>
            <w:noWrap w:val="0"/>
            <w:vAlign w:val="top"/>
          </w:tcPr>
          <w:p w14:paraId="62A12D20">
            <w:pPr>
              <w:pStyle w:val="42"/>
              <w:spacing w:line="360" w:lineRule="auto"/>
              <w:rPr>
                <w:rFonts w:ascii="宋体" w:hAnsi="宋体" w:cs="Arial"/>
                <w:sz w:val="24"/>
                <w:highlight w:val="none"/>
              </w:rPr>
            </w:pPr>
          </w:p>
        </w:tc>
      </w:tr>
      <w:tr w14:paraId="425FB89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noWrap w:val="0"/>
            <w:vAlign w:val="top"/>
          </w:tcPr>
          <w:p w14:paraId="599896D3">
            <w:pPr>
              <w:pStyle w:val="42"/>
              <w:spacing w:line="360" w:lineRule="auto"/>
              <w:rPr>
                <w:rFonts w:ascii="宋体" w:hAnsi="宋体" w:cs="Arial"/>
                <w:sz w:val="24"/>
                <w:highlight w:val="none"/>
              </w:rPr>
            </w:pPr>
          </w:p>
        </w:tc>
        <w:tc>
          <w:tcPr>
            <w:tcW w:w="1293" w:type="dxa"/>
            <w:tcBorders>
              <w:top w:val="single" w:color="auto" w:sz="6" w:space="0"/>
              <w:left w:val="single" w:color="auto" w:sz="6" w:space="0"/>
              <w:bottom w:val="single" w:color="auto" w:sz="6" w:space="0"/>
              <w:right w:val="single" w:color="auto" w:sz="6" w:space="0"/>
            </w:tcBorders>
            <w:noWrap w:val="0"/>
            <w:vAlign w:val="top"/>
          </w:tcPr>
          <w:p w14:paraId="169F1F2C">
            <w:pPr>
              <w:pStyle w:val="42"/>
              <w:spacing w:line="360" w:lineRule="auto"/>
              <w:rPr>
                <w:rFonts w:ascii="宋体" w:hAnsi="宋体" w:cs="Arial"/>
                <w:sz w:val="24"/>
                <w:highlight w:val="none"/>
              </w:rPr>
            </w:pPr>
          </w:p>
        </w:tc>
        <w:tc>
          <w:tcPr>
            <w:tcW w:w="1575" w:type="dxa"/>
            <w:tcBorders>
              <w:top w:val="single" w:color="auto" w:sz="6" w:space="0"/>
              <w:left w:val="single" w:color="auto" w:sz="6" w:space="0"/>
              <w:bottom w:val="single" w:color="auto" w:sz="6" w:space="0"/>
              <w:right w:val="single" w:color="auto" w:sz="6" w:space="0"/>
            </w:tcBorders>
            <w:noWrap w:val="0"/>
            <w:vAlign w:val="top"/>
          </w:tcPr>
          <w:p w14:paraId="38701404">
            <w:pPr>
              <w:pStyle w:val="42"/>
              <w:spacing w:line="360" w:lineRule="auto"/>
              <w:rPr>
                <w:rFonts w:ascii="宋体" w:hAnsi="宋体" w:cs="Arial"/>
                <w:sz w:val="24"/>
                <w:highlight w:val="none"/>
              </w:rPr>
            </w:pPr>
          </w:p>
        </w:tc>
        <w:tc>
          <w:tcPr>
            <w:tcW w:w="1260" w:type="dxa"/>
            <w:tcBorders>
              <w:top w:val="single" w:color="auto" w:sz="6" w:space="0"/>
              <w:left w:val="single" w:color="auto" w:sz="6" w:space="0"/>
              <w:bottom w:val="single" w:color="auto" w:sz="6" w:space="0"/>
              <w:right w:val="single" w:color="auto" w:sz="6" w:space="0"/>
            </w:tcBorders>
            <w:noWrap w:val="0"/>
            <w:vAlign w:val="top"/>
          </w:tcPr>
          <w:p w14:paraId="1CF15C30">
            <w:pPr>
              <w:pStyle w:val="42"/>
              <w:spacing w:line="360" w:lineRule="auto"/>
              <w:rPr>
                <w:rFonts w:ascii="宋体" w:hAnsi="宋体" w:cs="Arial"/>
                <w:sz w:val="24"/>
                <w:highlight w:val="none"/>
              </w:rPr>
            </w:pPr>
          </w:p>
        </w:tc>
        <w:tc>
          <w:tcPr>
            <w:tcW w:w="1452" w:type="dxa"/>
            <w:tcBorders>
              <w:top w:val="single" w:color="auto" w:sz="6" w:space="0"/>
              <w:left w:val="single" w:color="auto" w:sz="6" w:space="0"/>
              <w:bottom w:val="single" w:color="auto" w:sz="6" w:space="0"/>
              <w:right w:val="single" w:color="auto" w:sz="6" w:space="0"/>
            </w:tcBorders>
            <w:noWrap w:val="0"/>
            <w:vAlign w:val="top"/>
          </w:tcPr>
          <w:p w14:paraId="4820AF5E">
            <w:pPr>
              <w:pStyle w:val="42"/>
              <w:spacing w:line="360" w:lineRule="auto"/>
              <w:rPr>
                <w:rFonts w:ascii="宋体" w:hAnsi="宋体" w:cs="Arial"/>
                <w:sz w:val="24"/>
                <w:highlight w:val="none"/>
              </w:rPr>
            </w:pPr>
          </w:p>
        </w:tc>
        <w:tc>
          <w:tcPr>
            <w:tcW w:w="1383" w:type="dxa"/>
            <w:tcBorders>
              <w:top w:val="single" w:color="auto" w:sz="6" w:space="0"/>
              <w:left w:val="single" w:color="auto" w:sz="6" w:space="0"/>
              <w:bottom w:val="single" w:color="auto" w:sz="6" w:space="0"/>
              <w:right w:val="single" w:color="auto" w:sz="6" w:space="0"/>
            </w:tcBorders>
            <w:noWrap w:val="0"/>
            <w:vAlign w:val="top"/>
          </w:tcPr>
          <w:p w14:paraId="754A8720">
            <w:pPr>
              <w:pStyle w:val="42"/>
              <w:spacing w:line="360" w:lineRule="auto"/>
              <w:rPr>
                <w:rFonts w:ascii="宋体" w:hAnsi="宋体" w:cs="Arial"/>
                <w:sz w:val="24"/>
                <w:highlight w:val="none"/>
              </w:rPr>
            </w:pPr>
          </w:p>
        </w:tc>
        <w:tc>
          <w:tcPr>
            <w:tcW w:w="2037" w:type="dxa"/>
            <w:tcBorders>
              <w:top w:val="single" w:color="auto" w:sz="6" w:space="0"/>
              <w:left w:val="single" w:color="auto" w:sz="6" w:space="0"/>
              <w:bottom w:val="single" w:color="auto" w:sz="6" w:space="0"/>
              <w:right w:val="single" w:color="auto" w:sz="6" w:space="0"/>
            </w:tcBorders>
            <w:noWrap w:val="0"/>
            <w:vAlign w:val="top"/>
          </w:tcPr>
          <w:p w14:paraId="40324DBE">
            <w:pPr>
              <w:pStyle w:val="42"/>
              <w:spacing w:line="360" w:lineRule="auto"/>
              <w:rPr>
                <w:rFonts w:ascii="宋体" w:hAnsi="宋体" w:cs="Arial"/>
                <w:sz w:val="24"/>
                <w:highlight w:val="none"/>
              </w:rPr>
            </w:pPr>
          </w:p>
        </w:tc>
      </w:tr>
      <w:tr w14:paraId="4291CEB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noWrap w:val="0"/>
            <w:vAlign w:val="top"/>
          </w:tcPr>
          <w:p w14:paraId="1B83B70C">
            <w:pPr>
              <w:pStyle w:val="42"/>
              <w:spacing w:line="360" w:lineRule="auto"/>
              <w:rPr>
                <w:rFonts w:ascii="宋体" w:hAnsi="宋体" w:cs="Arial"/>
                <w:sz w:val="24"/>
                <w:highlight w:val="none"/>
              </w:rPr>
            </w:pPr>
          </w:p>
        </w:tc>
        <w:tc>
          <w:tcPr>
            <w:tcW w:w="1293" w:type="dxa"/>
            <w:tcBorders>
              <w:top w:val="single" w:color="auto" w:sz="6" w:space="0"/>
              <w:left w:val="single" w:color="auto" w:sz="6" w:space="0"/>
              <w:bottom w:val="single" w:color="auto" w:sz="6" w:space="0"/>
              <w:right w:val="single" w:color="auto" w:sz="6" w:space="0"/>
            </w:tcBorders>
            <w:noWrap w:val="0"/>
            <w:vAlign w:val="top"/>
          </w:tcPr>
          <w:p w14:paraId="5CB0F35A">
            <w:pPr>
              <w:pStyle w:val="42"/>
              <w:spacing w:line="360" w:lineRule="auto"/>
              <w:rPr>
                <w:rFonts w:ascii="宋体" w:hAnsi="宋体" w:cs="Arial"/>
                <w:sz w:val="24"/>
                <w:highlight w:val="none"/>
              </w:rPr>
            </w:pPr>
          </w:p>
        </w:tc>
        <w:tc>
          <w:tcPr>
            <w:tcW w:w="1575" w:type="dxa"/>
            <w:tcBorders>
              <w:top w:val="single" w:color="auto" w:sz="6" w:space="0"/>
              <w:left w:val="single" w:color="auto" w:sz="6" w:space="0"/>
              <w:bottom w:val="single" w:color="auto" w:sz="6" w:space="0"/>
              <w:right w:val="single" w:color="auto" w:sz="6" w:space="0"/>
            </w:tcBorders>
            <w:noWrap w:val="0"/>
            <w:vAlign w:val="top"/>
          </w:tcPr>
          <w:p w14:paraId="317110A3">
            <w:pPr>
              <w:pStyle w:val="42"/>
              <w:spacing w:line="360" w:lineRule="auto"/>
              <w:rPr>
                <w:rFonts w:ascii="宋体" w:hAnsi="宋体" w:cs="Arial"/>
                <w:sz w:val="24"/>
                <w:highlight w:val="none"/>
              </w:rPr>
            </w:pPr>
          </w:p>
        </w:tc>
        <w:tc>
          <w:tcPr>
            <w:tcW w:w="1260" w:type="dxa"/>
            <w:tcBorders>
              <w:top w:val="single" w:color="auto" w:sz="6" w:space="0"/>
              <w:left w:val="single" w:color="auto" w:sz="6" w:space="0"/>
              <w:bottom w:val="single" w:color="auto" w:sz="6" w:space="0"/>
              <w:right w:val="single" w:color="auto" w:sz="6" w:space="0"/>
            </w:tcBorders>
            <w:noWrap w:val="0"/>
            <w:vAlign w:val="top"/>
          </w:tcPr>
          <w:p w14:paraId="3A660C5F">
            <w:pPr>
              <w:pStyle w:val="42"/>
              <w:spacing w:line="360" w:lineRule="auto"/>
              <w:rPr>
                <w:rFonts w:ascii="宋体" w:hAnsi="宋体" w:cs="Arial"/>
                <w:sz w:val="24"/>
                <w:highlight w:val="none"/>
              </w:rPr>
            </w:pPr>
          </w:p>
        </w:tc>
        <w:tc>
          <w:tcPr>
            <w:tcW w:w="1452" w:type="dxa"/>
            <w:tcBorders>
              <w:top w:val="single" w:color="auto" w:sz="6" w:space="0"/>
              <w:left w:val="single" w:color="auto" w:sz="6" w:space="0"/>
              <w:bottom w:val="single" w:color="auto" w:sz="6" w:space="0"/>
              <w:right w:val="single" w:color="auto" w:sz="6" w:space="0"/>
            </w:tcBorders>
            <w:noWrap w:val="0"/>
            <w:vAlign w:val="top"/>
          </w:tcPr>
          <w:p w14:paraId="693F1154">
            <w:pPr>
              <w:pStyle w:val="42"/>
              <w:spacing w:line="360" w:lineRule="auto"/>
              <w:rPr>
                <w:rFonts w:ascii="宋体" w:hAnsi="宋体" w:cs="Arial"/>
                <w:sz w:val="24"/>
                <w:highlight w:val="none"/>
              </w:rPr>
            </w:pPr>
          </w:p>
        </w:tc>
        <w:tc>
          <w:tcPr>
            <w:tcW w:w="1383" w:type="dxa"/>
            <w:tcBorders>
              <w:top w:val="single" w:color="auto" w:sz="6" w:space="0"/>
              <w:left w:val="single" w:color="auto" w:sz="6" w:space="0"/>
              <w:bottom w:val="single" w:color="auto" w:sz="6" w:space="0"/>
              <w:right w:val="single" w:color="auto" w:sz="6" w:space="0"/>
            </w:tcBorders>
            <w:noWrap w:val="0"/>
            <w:vAlign w:val="top"/>
          </w:tcPr>
          <w:p w14:paraId="383F2CF9">
            <w:pPr>
              <w:pStyle w:val="42"/>
              <w:spacing w:line="360" w:lineRule="auto"/>
              <w:rPr>
                <w:rFonts w:ascii="宋体" w:hAnsi="宋体" w:cs="Arial"/>
                <w:sz w:val="24"/>
                <w:highlight w:val="none"/>
              </w:rPr>
            </w:pPr>
          </w:p>
        </w:tc>
        <w:tc>
          <w:tcPr>
            <w:tcW w:w="2037" w:type="dxa"/>
            <w:tcBorders>
              <w:top w:val="single" w:color="auto" w:sz="6" w:space="0"/>
              <w:left w:val="single" w:color="auto" w:sz="6" w:space="0"/>
              <w:bottom w:val="single" w:color="auto" w:sz="6" w:space="0"/>
              <w:right w:val="single" w:color="auto" w:sz="6" w:space="0"/>
            </w:tcBorders>
            <w:noWrap w:val="0"/>
            <w:vAlign w:val="top"/>
          </w:tcPr>
          <w:p w14:paraId="3F53591A">
            <w:pPr>
              <w:pStyle w:val="42"/>
              <w:spacing w:line="360" w:lineRule="auto"/>
              <w:rPr>
                <w:rFonts w:ascii="宋体" w:hAnsi="宋体" w:cs="Arial"/>
                <w:sz w:val="24"/>
                <w:highlight w:val="none"/>
              </w:rPr>
            </w:pPr>
          </w:p>
        </w:tc>
      </w:tr>
    </w:tbl>
    <w:p w14:paraId="784E4E57">
      <w:pPr>
        <w:autoSpaceDE w:val="0"/>
        <w:autoSpaceDN w:val="0"/>
        <w:adjustRightInd w:val="0"/>
        <w:spacing w:before="156" w:beforeLines="50" w:line="360" w:lineRule="auto"/>
        <w:rPr>
          <w:rFonts w:ascii="宋体" w:hAnsi="宋体" w:cs="Arial"/>
          <w:b/>
          <w:szCs w:val="21"/>
          <w:highlight w:val="none"/>
        </w:rPr>
      </w:pPr>
      <w:r>
        <w:rPr>
          <w:rFonts w:hint="eastAsia" w:ascii="宋体" w:hAnsi="宋体" w:cs="Arial"/>
          <w:b/>
          <w:szCs w:val="21"/>
          <w:highlight w:val="none"/>
        </w:rPr>
        <w:t>要求</w:t>
      </w:r>
      <w:r>
        <w:rPr>
          <w:rFonts w:ascii="宋体" w:hAnsi="宋体" w:cs="Arial"/>
          <w:b/>
          <w:szCs w:val="21"/>
          <w:highlight w:val="none"/>
        </w:rPr>
        <w:t>：</w:t>
      </w:r>
    </w:p>
    <w:p w14:paraId="1E08DFAA">
      <w:pPr>
        <w:autoSpaceDE w:val="0"/>
        <w:autoSpaceDN w:val="0"/>
        <w:adjustRightInd w:val="0"/>
        <w:spacing w:before="156" w:beforeLines="50" w:line="360" w:lineRule="auto"/>
        <w:ind w:firstLine="424" w:firstLineChars="202"/>
        <w:rPr>
          <w:rFonts w:ascii="宋体" w:hAnsi="宋体" w:cs="Arial"/>
          <w:b/>
          <w:szCs w:val="21"/>
          <w:highlight w:val="none"/>
        </w:rPr>
      </w:pPr>
      <w:r>
        <w:rPr>
          <w:rFonts w:ascii="宋体" w:hAnsi="宋体" w:cs="Arial"/>
          <w:szCs w:val="21"/>
          <w:highlight w:val="none"/>
        </w:rPr>
        <w:t>1</w:t>
      </w:r>
      <w:r>
        <w:rPr>
          <w:rFonts w:hint="eastAsia" w:ascii="宋体" w:hAnsi="宋体" w:cs="Arial"/>
          <w:szCs w:val="21"/>
          <w:highlight w:val="none"/>
        </w:rPr>
        <w:t>.</w:t>
      </w:r>
      <w:r>
        <w:rPr>
          <w:rFonts w:ascii="宋体" w:hAnsi="宋体" w:cs="Arial"/>
          <w:szCs w:val="21"/>
          <w:highlight w:val="none"/>
        </w:rPr>
        <w:t>业绩证明应提供证明材料（合同</w:t>
      </w:r>
      <w:r>
        <w:rPr>
          <w:rFonts w:hint="eastAsia" w:ascii="宋体" w:hAnsi="宋体" w:cs="Arial"/>
          <w:szCs w:val="21"/>
          <w:highlight w:val="none"/>
        </w:rPr>
        <w:t>可只提供首页、含金额页、盖章页并加盖供应商公章</w:t>
      </w:r>
      <w:r>
        <w:rPr>
          <w:rFonts w:ascii="宋体" w:hAnsi="宋体" w:cs="Arial"/>
          <w:szCs w:val="21"/>
          <w:highlight w:val="none"/>
        </w:rPr>
        <w:t>）；</w:t>
      </w:r>
    </w:p>
    <w:p w14:paraId="6412EE9C">
      <w:pPr>
        <w:spacing w:line="360" w:lineRule="auto"/>
        <w:ind w:firstLine="424" w:firstLineChars="202"/>
        <w:jc w:val="left"/>
        <w:rPr>
          <w:rFonts w:hint="eastAsia" w:ascii="宋体" w:hAnsi="宋体" w:cs="宋体"/>
          <w:color w:val="auto"/>
          <w:sz w:val="24"/>
          <w:highlight w:val="none"/>
        </w:rPr>
      </w:pPr>
      <w:r>
        <w:rPr>
          <w:rFonts w:ascii="宋体" w:hAnsi="宋体" w:cs="Arial"/>
          <w:szCs w:val="21"/>
          <w:highlight w:val="none"/>
        </w:rPr>
        <w:t>2</w:t>
      </w:r>
      <w:r>
        <w:rPr>
          <w:rFonts w:hint="eastAsia" w:ascii="宋体" w:hAnsi="宋体" w:cs="Arial"/>
          <w:szCs w:val="21"/>
          <w:highlight w:val="none"/>
        </w:rPr>
        <w:t>.供应商</w:t>
      </w:r>
      <w:r>
        <w:rPr>
          <w:rFonts w:ascii="宋体" w:hAnsi="宋体" w:cs="Arial"/>
          <w:szCs w:val="21"/>
          <w:highlight w:val="none"/>
        </w:rPr>
        <w:t>可按此表格式复制</w:t>
      </w:r>
      <w:r>
        <w:rPr>
          <w:rFonts w:hint="eastAsia" w:ascii="宋体" w:hAnsi="宋体" w:cs="Arial"/>
          <w:szCs w:val="21"/>
          <w:highlight w:val="none"/>
        </w:rPr>
        <w:t>。</w:t>
      </w:r>
    </w:p>
    <w:p w14:paraId="7E8CD87A">
      <w:pPr>
        <w:adjustRightInd w:val="0"/>
        <w:spacing w:line="360" w:lineRule="auto"/>
        <w:ind w:firstLine="284"/>
        <w:rPr>
          <w:rFonts w:hint="eastAsia" w:ascii="宋体" w:hAnsi="宋体" w:cs="宋体"/>
          <w:color w:val="auto"/>
          <w:sz w:val="24"/>
          <w:highlight w:val="none"/>
        </w:rPr>
      </w:pPr>
    </w:p>
    <w:p w14:paraId="45F443BD">
      <w:pPr>
        <w:adjustRightInd w:val="0"/>
        <w:spacing w:line="360" w:lineRule="auto"/>
        <w:ind w:firstLine="284"/>
        <w:rPr>
          <w:rFonts w:hint="eastAsia" w:ascii="宋体" w:hAnsi="宋体" w:cs="宋体"/>
          <w:color w:val="auto"/>
          <w:sz w:val="24"/>
          <w:highlight w:val="none"/>
        </w:rPr>
      </w:pPr>
    </w:p>
    <w:p w14:paraId="4FC677E8">
      <w:pPr>
        <w:adjustRightInd w:val="0"/>
        <w:snapToGrid w:val="0"/>
        <w:spacing w:line="360" w:lineRule="auto"/>
        <w:ind w:firstLine="4838" w:firstLineChars="2016"/>
        <w:rPr>
          <w:rFonts w:ascii="宋体" w:hAnsi="宋体" w:cs="仿宋_GB2312"/>
          <w:color w:val="auto"/>
          <w:kern w:val="0"/>
          <w:sz w:val="24"/>
          <w:highlight w:val="none"/>
          <w:lang w:val="zh-CN"/>
        </w:rPr>
      </w:pPr>
      <w:r>
        <w:rPr>
          <w:rFonts w:hint="eastAsia" w:ascii="宋体" w:hAnsi="宋体" w:cs="仿宋_GB2312"/>
          <w:color w:val="auto"/>
          <w:kern w:val="0"/>
          <w:sz w:val="24"/>
          <w:highlight w:val="none"/>
          <w:lang w:val="zh-CN"/>
        </w:rPr>
        <w:t>供应商名称（</w:t>
      </w:r>
      <w:r>
        <w:rPr>
          <w:rFonts w:hint="eastAsia" w:ascii="宋体" w:hAnsi="宋体"/>
          <w:color w:val="auto"/>
          <w:sz w:val="24"/>
          <w:highlight w:val="none"/>
        </w:rPr>
        <w:t>公章/电子章</w:t>
      </w:r>
      <w:r>
        <w:rPr>
          <w:rFonts w:hint="eastAsia" w:ascii="宋体" w:hAnsi="宋体" w:cs="仿宋_GB2312"/>
          <w:color w:val="auto"/>
          <w:kern w:val="0"/>
          <w:sz w:val="24"/>
          <w:highlight w:val="none"/>
          <w:lang w:val="zh-CN"/>
        </w:rPr>
        <w:t>）：</w:t>
      </w:r>
    </w:p>
    <w:p w14:paraId="51269773">
      <w:pPr>
        <w:adjustRightInd w:val="0"/>
        <w:snapToGrid w:val="0"/>
        <w:spacing w:line="360" w:lineRule="auto"/>
        <w:jc w:val="right"/>
        <w:rPr>
          <w:rFonts w:ascii="宋体" w:hAnsi="宋体" w:cs="仿宋_GB2312"/>
          <w:color w:val="auto"/>
          <w:kern w:val="0"/>
          <w:sz w:val="24"/>
          <w:highlight w:val="none"/>
          <w:lang w:val="zh-CN"/>
        </w:rPr>
      </w:pPr>
      <w:r>
        <w:rPr>
          <w:rFonts w:hint="eastAsia" w:ascii="宋体" w:hAnsi="宋体" w:cs="仿宋_GB2312"/>
          <w:color w:val="auto"/>
          <w:kern w:val="0"/>
          <w:sz w:val="24"/>
          <w:highlight w:val="none"/>
          <w:lang w:val="zh-CN"/>
        </w:rPr>
        <w:t>法定代表人或授权委托人签字</w:t>
      </w:r>
      <w:r>
        <w:rPr>
          <w:rFonts w:hint="eastAsia" w:ascii="宋体" w:hAnsi="宋体" w:cs="仿宋_GB2312"/>
          <w:color w:val="auto"/>
          <w:kern w:val="0"/>
          <w:sz w:val="24"/>
          <w:highlight w:val="none"/>
        </w:rPr>
        <w:t>或盖章</w:t>
      </w:r>
      <w:r>
        <w:rPr>
          <w:rFonts w:hint="eastAsia" w:ascii="宋体" w:hAnsi="宋体" w:cs="仿宋_GB2312"/>
          <w:color w:val="auto"/>
          <w:kern w:val="0"/>
          <w:sz w:val="24"/>
          <w:highlight w:val="none"/>
          <w:lang w:val="zh-CN"/>
        </w:rPr>
        <w:t>：</w:t>
      </w:r>
    </w:p>
    <w:p w14:paraId="69E92984">
      <w:pPr>
        <w:adjustRightInd w:val="0"/>
        <w:snapToGrid w:val="0"/>
        <w:spacing w:line="360" w:lineRule="auto"/>
        <w:ind w:firstLine="4838" w:firstLineChars="2016"/>
        <w:rPr>
          <w:rFonts w:ascii="宋体" w:hAnsi="宋体" w:cs="仿宋_GB2312"/>
          <w:color w:val="auto"/>
          <w:kern w:val="0"/>
          <w:sz w:val="24"/>
          <w:highlight w:val="none"/>
          <w:lang w:val="zh-CN"/>
        </w:rPr>
      </w:pPr>
      <w:r>
        <w:rPr>
          <w:rFonts w:hint="eastAsia" w:ascii="宋体" w:hAnsi="宋体" w:cs="仿宋_GB2312"/>
          <w:color w:val="auto"/>
          <w:kern w:val="0"/>
          <w:sz w:val="24"/>
          <w:highlight w:val="none"/>
          <w:lang w:val="zh-CN"/>
        </w:rPr>
        <w:t>日期：</w:t>
      </w:r>
      <w:r>
        <w:rPr>
          <w:rFonts w:hint="eastAsia" w:ascii="宋体" w:hAnsi="宋体" w:cs="宋体"/>
          <w:color w:val="auto"/>
          <w:sz w:val="24"/>
          <w:highlight w:val="none"/>
        </w:rPr>
        <w:t>××</w:t>
      </w:r>
      <w:r>
        <w:rPr>
          <w:rFonts w:hint="eastAsia" w:ascii="宋体" w:hAnsi="宋体" w:cs="仿宋_GB2312"/>
          <w:color w:val="auto"/>
          <w:kern w:val="0"/>
          <w:sz w:val="24"/>
          <w:highlight w:val="none"/>
          <w:lang w:val="zh-CN"/>
        </w:rPr>
        <w:t xml:space="preserve">年 </w:t>
      </w:r>
      <w:r>
        <w:rPr>
          <w:rFonts w:hint="eastAsia" w:ascii="宋体" w:hAnsi="宋体" w:cs="宋体"/>
          <w:color w:val="auto"/>
          <w:sz w:val="24"/>
          <w:highlight w:val="none"/>
        </w:rPr>
        <w:t>××</w:t>
      </w:r>
      <w:r>
        <w:rPr>
          <w:rFonts w:hint="eastAsia" w:ascii="宋体" w:hAnsi="宋体" w:cs="仿宋_GB2312"/>
          <w:color w:val="auto"/>
          <w:kern w:val="0"/>
          <w:sz w:val="24"/>
          <w:highlight w:val="none"/>
          <w:lang w:val="zh-CN"/>
        </w:rPr>
        <w:t xml:space="preserve"> 月 </w:t>
      </w:r>
      <w:r>
        <w:rPr>
          <w:rFonts w:hint="eastAsia" w:ascii="宋体" w:hAnsi="宋体" w:cs="宋体"/>
          <w:color w:val="auto"/>
          <w:sz w:val="24"/>
          <w:highlight w:val="none"/>
        </w:rPr>
        <w:t>××</w:t>
      </w:r>
      <w:r>
        <w:rPr>
          <w:rFonts w:hint="eastAsia" w:ascii="宋体" w:hAnsi="宋体" w:cs="仿宋_GB2312"/>
          <w:color w:val="auto"/>
          <w:kern w:val="0"/>
          <w:sz w:val="24"/>
          <w:highlight w:val="none"/>
          <w:lang w:val="zh-CN"/>
        </w:rPr>
        <w:t xml:space="preserve"> 日</w:t>
      </w:r>
    </w:p>
    <w:p w14:paraId="345BE40B">
      <w:pPr>
        <w:pStyle w:val="42"/>
        <w:spacing w:line="360" w:lineRule="auto"/>
        <w:jc w:val="left"/>
        <w:rPr>
          <w:rFonts w:hint="eastAsia" w:ascii="宋体" w:hAnsi="宋体"/>
          <w:b/>
          <w:color w:val="auto"/>
          <w:sz w:val="28"/>
          <w:highlight w:val="none"/>
        </w:rPr>
      </w:pPr>
    </w:p>
    <w:p w14:paraId="2CE67AD7">
      <w:pPr>
        <w:rPr>
          <w:rFonts w:hint="eastAsia" w:ascii="宋体" w:hAnsi="宋体"/>
          <w:b/>
          <w:color w:val="auto"/>
          <w:sz w:val="28"/>
          <w:highlight w:val="none"/>
        </w:rPr>
      </w:pPr>
      <w:r>
        <w:rPr>
          <w:rFonts w:hint="eastAsia" w:ascii="宋体" w:hAnsi="宋体"/>
          <w:b/>
          <w:color w:val="auto"/>
          <w:sz w:val="28"/>
          <w:highlight w:val="none"/>
        </w:rPr>
        <w:br w:type="page"/>
      </w:r>
    </w:p>
    <w:p w14:paraId="5DBC8621">
      <w:pPr>
        <w:jc w:val="center"/>
        <w:rPr>
          <w:color w:val="auto"/>
          <w:sz w:val="52"/>
          <w:szCs w:val="52"/>
          <w:highlight w:val="none"/>
        </w:rPr>
      </w:pPr>
      <w:r>
        <w:rPr>
          <w:rFonts w:hint="eastAsia" w:ascii="宋体" w:hAnsi="宋体"/>
          <w:color w:val="000000" w:themeColor="text1"/>
          <w:w w:val="90"/>
          <w:sz w:val="36"/>
          <w:szCs w:val="36"/>
          <w:highlight w:val="none"/>
          <w:lang w:eastAsia="zh-CN"/>
          <w14:textFill>
            <w14:solidFill>
              <w14:schemeClr w14:val="tx1"/>
            </w14:solidFill>
          </w14:textFill>
        </w:rPr>
        <w:t xml:space="preserve">台州市椒江区前所街道椒北南渠（大树岙村段）综合整治工程 </w:t>
      </w:r>
    </w:p>
    <w:p w14:paraId="446608A9">
      <w:pPr>
        <w:spacing w:beforeLines="100" w:line="360" w:lineRule="auto"/>
        <w:ind w:right="-108"/>
        <w:jc w:val="center"/>
        <w:rPr>
          <w:rFonts w:hint="eastAsia" w:ascii="宋体" w:hAnsi="宋体"/>
          <w:color w:val="auto"/>
          <w:sz w:val="36"/>
          <w:szCs w:val="36"/>
          <w:highlight w:val="none"/>
        </w:rPr>
      </w:pPr>
      <w:r>
        <w:rPr>
          <w:rFonts w:hint="eastAsia" w:ascii="宋体" w:hAnsi="宋体"/>
          <w:color w:val="auto"/>
          <w:sz w:val="36"/>
          <w:szCs w:val="36"/>
          <w:highlight w:val="none"/>
        </w:rPr>
        <w:t>项目编号：</w:t>
      </w:r>
      <w:r>
        <w:rPr>
          <w:rFonts w:hint="eastAsia" w:ascii="宋体" w:hAnsi="宋体"/>
          <w:color w:val="auto"/>
          <w:sz w:val="36"/>
          <w:szCs w:val="36"/>
          <w:highlight w:val="none"/>
          <w:lang w:val="en-US" w:eastAsia="zh-CN"/>
        </w:rPr>
        <w:t>椒财采确临[2025]308号</w:t>
      </w:r>
    </w:p>
    <w:p w14:paraId="643E7A4F">
      <w:pPr>
        <w:spacing w:beforeLines="100" w:line="360" w:lineRule="auto"/>
        <w:ind w:right="-108"/>
        <w:jc w:val="center"/>
        <w:rPr>
          <w:rFonts w:ascii="宋体" w:hAnsi="宋体"/>
          <w:color w:val="auto"/>
          <w:sz w:val="36"/>
          <w:szCs w:val="36"/>
          <w:highlight w:val="none"/>
        </w:rPr>
      </w:pPr>
    </w:p>
    <w:p w14:paraId="07FD59C1">
      <w:pPr>
        <w:pStyle w:val="23"/>
        <w:rPr>
          <w:color w:val="auto"/>
          <w:highlight w:val="none"/>
        </w:rPr>
      </w:pPr>
    </w:p>
    <w:p w14:paraId="23EB197C">
      <w:pPr>
        <w:jc w:val="center"/>
        <w:rPr>
          <w:color w:val="auto"/>
          <w:sz w:val="84"/>
          <w:szCs w:val="84"/>
          <w:highlight w:val="none"/>
        </w:rPr>
      </w:pPr>
      <w:bookmarkStart w:id="75" w:name="_Toc9453_WPSOffice_Level1"/>
      <w:bookmarkStart w:id="76" w:name="_Toc8885_WPSOffice_Level1"/>
      <w:r>
        <w:rPr>
          <w:rFonts w:hint="eastAsia"/>
          <w:color w:val="auto"/>
          <w:sz w:val="84"/>
          <w:szCs w:val="84"/>
          <w:highlight w:val="none"/>
        </w:rPr>
        <w:t>报</w:t>
      </w:r>
      <w:bookmarkEnd w:id="75"/>
      <w:bookmarkEnd w:id="76"/>
    </w:p>
    <w:p w14:paraId="17CD97BE">
      <w:pPr>
        <w:jc w:val="center"/>
        <w:rPr>
          <w:color w:val="auto"/>
          <w:sz w:val="84"/>
          <w:szCs w:val="84"/>
          <w:highlight w:val="none"/>
        </w:rPr>
      </w:pPr>
      <w:bookmarkStart w:id="77" w:name="_Toc7485_WPSOffice_Level1"/>
      <w:bookmarkStart w:id="78" w:name="_Toc10910_WPSOffice_Level1"/>
      <w:r>
        <w:rPr>
          <w:rFonts w:hint="eastAsia"/>
          <w:color w:val="auto"/>
          <w:sz w:val="84"/>
          <w:szCs w:val="84"/>
          <w:highlight w:val="none"/>
        </w:rPr>
        <w:t>价</w:t>
      </w:r>
      <w:bookmarkEnd w:id="77"/>
      <w:bookmarkEnd w:id="78"/>
    </w:p>
    <w:p w14:paraId="406F9CC0">
      <w:pPr>
        <w:jc w:val="center"/>
        <w:rPr>
          <w:color w:val="auto"/>
          <w:sz w:val="84"/>
          <w:szCs w:val="84"/>
          <w:highlight w:val="none"/>
        </w:rPr>
      </w:pPr>
      <w:bookmarkStart w:id="79" w:name="_Toc3932_WPSOffice_Level1"/>
      <w:bookmarkStart w:id="80" w:name="_Toc14572_WPSOffice_Level1"/>
      <w:r>
        <w:rPr>
          <w:rFonts w:hint="eastAsia"/>
          <w:color w:val="auto"/>
          <w:sz w:val="84"/>
          <w:szCs w:val="84"/>
          <w:highlight w:val="none"/>
        </w:rPr>
        <w:t>文</w:t>
      </w:r>
      <w:bookmarkEnd w:id="79"/>
      <w:bookmarkEnd w:id="80"/>
    </w:p>
    <w:p w14:paraId="5F7BCD8A">
      <w:pPr>
        <w:jc w:val="center"/>
        <w:rPr>
          <w:color w:val="auto"/>
          <w:sz w:val="84"/>
          <w:szCs w:val="84"/>
          <w:highlight w:val="none"/>
        </w:rPr>
      </w:pPr>
      <w:bookmarkStart w:id="81" w:name="_Toc7562_WPSOffice_Level1"/>
      <w:bookmarkStart w:id="82" w:name="_Toc16973_WPSOffice_Level1"/>
      <w:r>
        <w:rPr>
          <w:rFonts w:hint="eastAsia"/>
          <w:color w:val="auto"/>
          <w:sz w:val="84"/>
          <w:szCs w:val="84"/>
          <w:highlight w:val="none"/>
        </w:rPr>
        <w:t>件</w:t>
      </w:r>
      <w:bookmarkEnd w:id="81"/>
      <w:bookmarkEnd w:id="82"/>
    </w:p>
    <w:p w14:paraId="541DC0A6">
      <w:pPr>
        <w:pStyle w:val="30"/>
        <w:rPr>
          <w:rFonts w:hint="eastAsia" w:ascii="宋体" w:hAnsi="宋体" w:eastAsia="宋体"/>
          <w:color w:val="auto"/>
          <w:sz w:val="36"/>
          <w:szCs w:val="36"/>
          <w:highlight w:val="none"/>
          <w:lang w:val="en-US" w:eastAsia="zh-CN"/>
        </w:rPr>
      </w:pPr>
    </w:p>
    <w:p w14:paraId="25950B99">
      <w:pPr>
        <w:pStyle w:val="30"/>
        <w:rPr>
          <w:rFonts w:hint="eastAsia" w:ascii="宋体" w:hAnsi="宋体" w:eastAsia="宋体"/>
          <w:color w:val="auto"/>
          <w:sz w:val="36"/>
          <w:szCs w:val="36"/>
          <w:highlight w:val="none"/>
          <w:lang w:val="en-US" w:eastAsia="zh-CN"/>
        </w:rPr>
      </w:pPr>
    </w:p>
    <w:p w14:paraId="17AEF279">
      <w:pPr>
        <w:spacing w:line="360" w:lineRule="auto"/>
        <w:ind w:right="532" w:firstLine="720" w:firstLineChars="200"/>
        <w:rPr>
          <w:rFonts w:ascii="宋体" w:hAnsi="宋体"/>
          <w:color w:val="auto"/>
          <w:sz w:val="36"/>
          <w:szCs w:val="36"/>
          <w:highlight w:val="none"/>
        </w:rPr>
      </w:pPr>
      <w:bookmarkStart w:id="83" w:name="_Toc26700_WPSOffice_Level1"/>
      <w:bookmarkStart w:id="84" w:name="_Toc4603_WPSOffice_Level1"/>
      <w:r>
        <w:rPr>
          <w:rFonts w:hint="eastAsia" w:ascii="宋体" w:hAnsi="宋体"/>
          <w:color w:val="auto"/>
          <w:sz w:val="36"/>
          <w:szCs w:val="36"/>
          <w:highlight w:val="none"/>
        </w:rPr>
        <w:t>供应商全称（电子印章）：</w:t>
      </w:r>
      <w:bookmarkEnd w:id="83"/>
      <w:bookmarkEnd w:id="84"/>
    </w:p>
    <w:p w14:paraId="3DC573C8">
      <w:pPr>
        <w:spacing w:line="360" w:lineRule="auto"/>
        <w:ind w:right="-108" w:firstLine="720" w:firstLineChars="200"/>
        <w:rPr>
          <w:rFonts w:ascii="宋体" w:hAnsi="宋体"/>
          <w:color w:val="auto"/>
          <w:sz w:val="36"/>
          <w:szCs w:val="36"/>
          <w:highlight w:val="none"/>
        </w:rPr>
      </w:pPr>
      <w:bookmarkStart w:id="85" w:name="_Toc1391_WPSOffice_Level1"/>
      <w:bookmarkStart w:id="86" w:name="_Toc32593_WPSOffice_Level1"/>
      <w:r>
        <w:rPr>
          <w:rFonts w:hint="eastAsia" w:ascii="宋体" w:hAnsi="宋体"/>
          <w:color w:val="auto"/>
          <w:sz w:val="36"/>
          <w:szCs w:val="36"/>
          <w:highlight w:val="none"/>
        </w:rPr>
        <w:t>地    址：</w:t>
      </w:r>
      <w:bookmarkEnd w:id="85"/>
      <w:bookmarkEnd w:id="86"/>
    </w:p>
    <w:p w14:paraId="7E387DF6">
      <w:pPr>
        <w:spacing w:line="360" w:lineRule="auto"/>
        <w:ind w:right="-108" w:firstLine="720" w:firstLineChars="200"/>
        <w:rPr>
          <w:rFonts w:ascii="宋体" w:hAnsi="宋体"/>
          <w:color w:val="auto"/>
          <w:sz w:val="36"/>
          <w:szCs w:val="36"/>
          <w:highlight w:val="none"/>
        </w:rPr>
      </w:pPr>
      <w:bookmarkStart w:id="87" w:name="_Toc20938_WPSOffice_Level1"/>
      <w:bookmarkStart w:id="88" w:name="_Toc3791_WPSOffice_Level1"/>
      <w:r>
        <w:rPr>
          <w:rFonts w:hint="eastAsia" w:ascii="宋体" w:hAnsi="宋体"/>
          <w:color w:val="auto"/>
          <w:sz w:val="36"/>
          <w:szCs w:val="36"/>
          <w:highlight w:val="none"/>
        </w:rPr>
        <w:t>时    间：</w:t>
      </w:r>
      <w:bookmarkEnd w:id="87"/>
      <w:bookmarkEnd w:id="88"/>
    </w:p>
    <w:p w14:paraId="3260A653">
      <w:pPr>
        <w:tabs>
          <w:tab w:val="left" w:pos="2460"/>
        </w:tabs>
        <w:spacing w:line="360" w:lineRule="auto"/>
        <w:ind w:firstLine="435"/>
        <w:rPr>
          <w:rFonts w:ascii="宋体" w:hAnsi="宋体"/>
          <w:b/>
          <w:color w:val="auto"/>
          <w:sz w:val="28"/>
          <w:highlight w:val="none"/>
        </w:rPr>
      </w:pPr>
    </w:p>
    <w:p w14:paraId="332EAD28">
      <w:pPr>
        <w:rPr>
          <w:rFonts w:ascii="宋体" w:hAnsi="宋体"/>
          <w:b/>
          <w:color w:val="auto"/>
          <w:sz w:val="28"/>
          <w:highlight w:val="none"/>
        </w:rPr>
      </w:pPr>
      <w:r>
        <w:rPr>
          <w:rFonts w:ascii="宋体" w:hAnsi="宋体"/>
          <w:b/>
          <w:color w:val="auto"/>
          <w:sz w:val="28"/>
          <w:highlight w:val="none"/>
        </w:rPr>
        <w:br w:type="page"/>
      </w:r>
    </w:p>
    <w:p w14:paraId="7B37736D">
      <w:pPr>
        <w:jc w:val="center"/>
        <w:rPr>
          <w:b/>
          <w:bCs/>
          <w:color w:val="auto"/>
          <w:sz w:val="32"/>
          <w:szCs w:val="32"/>
          <w:highlight w:val="none"/>
        </w:rPr>
      </w:pPr>
      <w:bookmarkStart w:id="89" w:name="_Toc19972_WPSOffice_Level1"/>
      <w:bookmarkStart w:id="90" w:name="_Toc29537_WPSOffice_Level1"/>
      <w:r>
        <w:rPr>
          <w:rFonts w:hint="eastAsia"/>
          <w:b/>
          <w:bCs/>
          <w:color w:val="auto"/>
          <w:sz w:val="32"/>
          <w:szCs w:val="32"/>
          <w:highlight w:val="none"/>
        </w:rPr>
        <w:t>报价内容目录</w:t>
      </w:r>
      <w:bookmarkEnd w:id="89"/>
      <w:bookmarkEnd w:id="90"/>
    </w:p>
    <w:p w14:paraId="14DEE12E">
      <w:pPr>
        <w:autoSpaceDE w:val="0"/>
        <w:autoSpaceDN w:val="0"/>
        <w:adjustRightInd w:val="0"/>
        <w:spacing w:line="360" w:lineRule="auto"/>
        <w:ind w:firstLine="480" w:firstLineChars="200"/>
        <w:rPr>
          <w:rFonts w:asciiTheme="minorEastAsia" w:hAnsiTheme="minorEastAsia" w:eastAsiaTheme="minorEastAsia"/>
          <w:color w:val="auto"/>
          <w:kern w:val="0"/>
          <w:sz w:val="24"/>
          <w:highlight w:val="none"/>
        </w:rPr>
      </w:pPr>
      <w:r>
        <w:rPr>
          <w:rFonts w:hint="eastAsia" w:asciiTheme="minorEastAsia" w:hAnsiTheme="minorEastAsia" w:eastAsiaTheme="minorEastAsia"/>
          <w:color w:val="auto"/>
          <w:kern w:val="0"/>
          <w:sz w:val="24"/>
          <w:highlight w:val="none"/>
        </w:rPr>
        <w:t>（1）首次磋商一览表（附件1</w:t>
      </w:r>
      <w:r>
        <w:rPr>
          <w:rFonts w:hint="eastAsia" w:asciiTheme="minorEastAsia" w:hAnsiTheme="minorEastAsia" w:eastAsiaTheme="minorEastAsia"/>
          <w:color w:val="auto"/>
          <w:kern w:val="0"/>
          <w:sz w:val="24"/>
          <w:highlight w:val="none"/>
          <w:lang w:val="en-US" w:eastAsia="zh-CN"/>
        </w:rPr>
        <w:t>0</w:t>
      </w:r>
      <w:r>
        <w:rPr>
          <w:rFonts w:hint="eastAsia" w:asciiTheme="minorEastAsia" w:hAnsiTheme="minorEastAsia" w:eastAsiaTheme="minorEastAsia"/>
          <w:color w:val="auto"/>
          <w:kern w:val="0"/>
          <w:sz w:val="24"/>
          <w:highlight w:val="none"/>
        </w:rPr>
        <w:t>）；</w:t>
      </w:r>
    </w:p>
    <w:p w14:paraId="51AC337F">
      <w:pPr>
        <w:snapToGrid w:val="0"/>
        <w:spacing w:line="360" w:lineRule="auto"/>
        <w:ind w:firstLine="480" w:firstLineChars="200"/>
        <w:rPr>
          <w:rFonts w:ascii="宋体" w:hAnsi="宋体"/>
          <w:color w:val="auto"/>
          <w:kern w:val="0"/>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w:t>
      </w:r>
      <w:r>
        <w:rPr>
          <w:rFonts w:hint="eastAsia" w:ascii="宋体" w:hAnsi="宋体"/>
          <w:color w:val="auto"/>
          <w:kern w:val="0"/>
          <w:sz w:val="24"/>
          <w:highlight w:val="none"/>
        </w:rPr>
        <w:t>针对报价供应商认为其他需要说明的</w:t>
      </w: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lang w:val="en-US" w:eastAsia="zh-CN"/>
        </w:rPr>
        <w:t>如有</w:t>
      </w:r>
      <w:r>
        <w:rPr>
          <w:rFonts w:hint="eastAsia" w:ascii="宋体" w:hAnsi="宋体" w:eastAsia="宋体" w:cs="宋体"/>
          <w:color w:val="auto"/>
          <w:kern w:val="0"/>
          <w:sz w:val="24"/>
          <w:highlight w:val="none"/>
          <w:lang w:eastAsia="zh-CN"/>
        </w:rPr>
        <w:t>）</w:t>
      </w:r>
      <w:r>
        <w:rPr>
          <w:rFonts w:hint="eastAsia" w:ascii="宋体" w:hAnsi="宋体"/>
          <w:color w:val="auto"/>
          <w:kern w:val="0"/>
          <w:sz w:val="24"/>
          <w:highlight w:val="none"/>
        </w:rPr>
        <w:t>。</w:t>
      </w:r>
    </w:p>
    <w:p w14:paraId="1F87F9AD">
      <w:pPr>
        <w:spacing w:line="360" w:lineRule="auto"/>
        <w:ind w:firstLine="480" w:firstLineChars="200"/>
        <w:rPr>
          <w:color w:val="auto"/>
          <w:sz w:val="24"/>
          <w:highlight w:val="none"/>
        </w:rPr>
      </w:pPr>
    </w:p>
    <w:p w14:paraId="7BE885B1">
      <w:pPr>
        <w:spacing w:line="360" w:lineRule="auto"/>
        <w:ind w:left="480"/>
        <w:rPr>
          <w:rFonts w:ascii="宋体" w:hAnsi="宋体"/>
          <w:b/>
          <w:color w:val="auto"/>
          <w:sz w:val="28"/>
          <w:highlight w:val="none"/>
        </w:rPr>
      </w:pPr>
    </w:p>
    <w:p w14:paraId="7508E6A4">
      <w:pPr>
        <w:spacing w:line="360" w:lineRule="auto"/>
        <w:ind w:left="480"/>
        <w:rPr>
          <w:rFonts w:ascii="宋体" w:hAnsi="宋体"/>
          <w:b/>
          <w:color w:val="auto"/>
          <w:sz w:val="28"/>
          <w:highlight w:val="none"/>
        </w:rPr>
      </w:pPr>
    </w:p>
    <w:p w14:paraId="273FA361">
      <w:pPr>
        <w:pStyle w:val="6"/>
        <w:rPr>
          <w:rFonts w:ascii="宋体" w:hAnsi="宋体"/>
          <w:b/>
          <w:color w:val="auto"/>
          <w:sz w:val="28"/>
          <w:highlight w:val="none"/>
        </w:rPr>
      </w:pPr>
    </w:p>
    <w:p w14:paraId="33B77620">
      <w:pPr>
        <w:pStyle w:val="6"/>
        <w:rPr>
          <w:rFonts w:ascii="宋体" w:hAnsi="宋体"/>
          <w:b/>
          <w:color w:val="auto"/>
          <w:sz w:val="28"/>
          <w:highlight w:val="none"/>
        </w:rPr>
      </w:pPr>
    </w:p>
    <w:p w14:paraId="2ED2AA52">
      <w:pPr>
        <w:rPr>
          <w:color w:val="auto"/>
          <w:highlight w:val="none"/>
        </w:rPr>
      </w:pPr>
    </w:p>
    <w:p w14:paraId="74BEE19A">
      <w:pPr>
        <w:pStyle w:val="6"/>
        <w:rPr>
          <w:rFonts w:ascii="宋体" w:hAnsi="宋体"/>
          <w:b/>
          <w:color w:val="auto"/>
          <w:sz w:val="28"/>
          <w:highlight w:val="none"/>
        </w:rPr>
      </w:pPr>
    </w:p>
    <w:p w14:paraId="520FC2DA">
      <w:pPr>
        <w:pStyle w:val="6"/>
        <w:ind w:firstLine="0"/>
        <w:rPr>
          <w:rFonts w:ascii="宋体" w:hAnsi="宋体"/>
          <w:b/>
          <w:color w:val="auto"/>
          <w:sz w:val="28"/>
          <w:highlight w:val="none"/>
        </w:rPr>
      </w:pPr>
    </w:p>
    <w:p w14:paraId="340DBE40">
      <w:pPr>
        <w:spacing w:line="360" w:lineRule="auto"/>
        <w:rPr>
          <w:rFonts w:hint="eastAsia" w:ascii="宋体" w:hAnsi="宋体"/>
          <w:b/>
          <w:color w:val="auto"/>
          <w:sz w:val="28"/>
          <w:highlight w:val="none"/>
        </w:rPr>
      </w:pPr>
    </w:p>
    <w:p w14:paraId="6E04F8E3">
      <w:pPr>
        <w:rPr>
          <w:rFonts w:hint="eastAsia" w:ascii="宋体" w:hAnsi="宋体"/>
          <w:b/>
          <w:color w:val="auto"/>
          <w:sz w:val="28"/>
          <w:highlight w:val="none"/>
        </w:rPr>
      </w:pPr>
      <w:r>
        <w:rPr>
          <w:rFonts w:hint="eastAsia" w:ascii="宋体" w:hAnsi="宋体"/>
          <w:b/>
          <w:color w:val="auto"/>
          <w:sz w:val="28"/>
          <w:highlight w:val="none"/>
        </w:rPr>
        <w:br w:type="page"/>
      </w:r>
    </w:p>
    <w:p w14:paraId="7A518744">
      <w:pPr>
        <w:spacing w:line="360" w:lineRule="auto"/>
        <w:rPr>
          <w:rFonts w:hint="eastAsia" w:ascii="宋体" w:hAnsi="宋体" w:eastAsia="宋体"/>
          <w:b/>
          <w:color w:val="auto"/>
          <w:sz w:val="28"/>
          <w:highlight w:val="none"/>
          <w:lang w:eastAsia="zh-CN"/>
        </w:rPr>
      </w:pPr>
      <w:r>
        <w:rPr>
          <w:rFonts w:hint="eastAsia" w:ascii="宋体" w:hAnsi="宋体"/>
          <w:b/>
          <w:color w:val="auto"/>
          <w:sz w:val="28"/>
          <w:highlight w:val="none"/>
        </w:rPr>
        <w:t>附件1</w:t>
      </w:r>
      <w:r>
        <w:rPr>
          <w:rFonts w:hint="eastAsia" w:ascii="宋体" w:hAnsi="宋体"/>
          <w:b/>
          <w:color w:val="auto"/>
          <w:sz w:val="28"/>
          <w:highlight w:val="none"/>
          <w:lang w:val="en-US" w:eastAsia="zh-CN"/>
        </w:rPr>
        <w:t>0</w:t>
      </w:r>
    </w:p>
    <w:p w14:paraId="277CB37D">
      <w:pPr>
        <w:spacing w:line="360" w:lineRule="auto"/>
        <w:ind w:left="-2" w:hanging="2"/>
        <w:jc w:val="center"/>
        <w:rPr>
          <w:rFonts w:ascii="宋体" w:hAnsi="宋体"/>
          <w:b/>
          <w:color w:val="auto"/>
          <w:sz w:val="32"/>
          <w:szCs w:val="32"/>
          <w:highlight w:val="none"/>
        </w:rPr>
      </w:pPr>
      <w:bookmarkStart w:id="91" w:name="_Toc30363_WPSOffice_Level1"/>
      <w:bookmarkStart w:id="92" w:name="_Toc16144_WPSOffice_Level1"/>
      <w:r>
        <w:rPr>
          <w:rFonts w:hint="eastAsia" w:ascii="宋体" w:hAnsi="宋体"/>
          <w:b/>
          <w:color w:val="auto"/>
          <w:sz w:val="32"/>
          <w:szCs w:val="32"/>
          <w:highlight w:val="none"/>
        </w:rPr>
        <w:t>首次磋商一览表</w:t>
      </w:r>
      <w:bookmarkEnd w:id="91"/>
      <w:bookmarkEnd w:id="92"/>
    </w:p>
    <w:p w14:paraId="388A9ED4">
      <w:pPr>
        <w:spacing w:line="312" w:lineRule="auto"/>
        <w:rPr>
          <w:rFonts w:hint="eastAsia" w:ascii="宋体" w:hAnsi="宋体"/>
          <w:bCs/>
          <w:sz w:val="24"/>
          <w:highlight w:val="none"/>
          <w:u w:val="single"/>
        </w:rPr>
      </w:pPr>
      <w:r>
        <w:rPr>
          <w:rFonts w:hint="eastAsia" w:ascii="宋体" w:hAnsi="宋体"/>
          <w:sz w:val="24"/>
          <w:highlight w:val="none"/>
        </w:rPr>
        <w:t>致：</w:t>
      </w:r>
      <w:r>
        <w:rPr>
          <w:rFonts w:hint="eastAsia" w:ascii="宋体" w:hAnsi="宋体"/>
          <w:sz w:val="24"/>
          <w:highlight w:val="none"/>
          <w:u w:val="single"/>
        </w:rPr>
        <w:t>台州市椒江区人民政府前所街道办事处</w:t>
      </w:r>
      <w:r>
        <w:rPr>
          <w:rFonts w:hint="eastAsia" w:ascii="宋体" w:hAnsi="宋体"/>
          <w:bCs/>
          <w:sz w:val="24"/>
          <w:highlight w:val="none"/>
          <w:u w:val="single"/>
        </w:rPr>
        <w:t>：</w:t>
      </w:r>
    </w:p>
    <w:p w14:paraId="1703382A">
      <w:pPr>
        <w:spacing w:line="312" w:lineRule="auto"/>
        <w:ind w:firstLine="420" w:firstLineChars="175"/>
        <w:rPr>
          <w:rFonts w:hint="eastAsia" w:ascii="宋体" w:hAnsi="宋体"/>
          <w:sz w:val="24"/>
          <w:highlight w:val="none"/>
        </w:rPr>
      </w:pPr>
      <w:r>
        <w:rPr>
          <w:rFonts w:hint="eastAsia" w:ascii="宋体" w:hAnsi="宋体"/>
          <w:sz w:val="24"/>
          <w:highlight w:val="none"/>
        </w:rPr>
        <w:t xml:space="preserve">   我单位参加</w:t>
      </w:r>
      <w:r>
        <w:rPr>
          <w:rFonts w:hint="eastAsia" w:ascii="宋体" w:hAnsi="宋体"/>
          <w:sz w:val="24"/>
          <w:highlight w:val="none"/>
          <w:u w:val="single"/>
          <w:lang w:eastAsia="zh-CN"/>
        </w:rPr>
        <w:t xml:space="preserve">台州市椒江区前所街道椒北南渠（大树岙村段）综合整治工程 </w:t>
      </w:r>
      <w:r>
        <w:rPr>
          <w:rFonts w:hint="eastAsia" w:ascii="宋体" w:hAnsi="宋体"/>
          <w:sz w:val="24"/>
          <w:highlight w:val="none"/>
        </w:rPr>
        <w:t>（招标编号：</w:t>
      </w:r>
      <w:r>
        <w:rPr>
          <w:rFonts w:hint="eastAsia" w:ascii="宋体" w:hAnsi="宋体"/>
          <w:sz w:val="24"/>
          <w:highlight w:val="none"/>
          <w:lang w:val="en-US" w:eastAsia="zh-CN"/>
        </w:rPr>
        <w:t>椒财采确临[2025]308号</w:t>
      </w:r>
      <w:r>
        <w:rPr>
          <w:rFonts w:hint="eastAsia" w:ascii="宋体" w:hAnsi="宋体"/>
          <w:sz w:val="24"/>
          <w:highlight w:val="none"/>
        </w:rPr>
        <w:t>）的有关活动，并对此进行投标，在全部同意采购文件及合同条款的前提下，为此承诺：</w:t>
      </w:r>
    </w:p>
    <w:p w14:paraId="5ACBD8C9">
      <w:pPr>
        <w:widowControl/>
        <w:overflowPunct w:val="0"/>
        <w:autoSpaceDE w:val="0"/>
        <w:autoSpaceDN w:val="0"/>
        <w:adjustRightInd w:val="0"/>
        <w:spacing w:line="312" w:lineRule="auto"/>
        <w:ind w:firstLine="420" w:firstLineChars="175"/>
        <w:jc w:val="left"/>
        <w:textAlignment w:val="baseline"/>
        <w:rPr>
          <w:rFonts w:hint="eastAsia" w:ascii="宋体" w:hAnsi="宋体"/>
          <w:sz w:val="24"/>
          <w:highlight w:val="none"/>
        </w:rPr>
      </w:pPr>
      <w:r>
        <w:rPr>
          <w:rFonts w:hint="eastAsia" w:ascii="宋体" w:hAnsi="宋体"/>
          <w:sz w:val="24"/>
          <w:highlight w:val="none"/>
        </w:rPr>
        <w:t>1、提供采购供应商须知规定的全部采购响应文件。</w:t>
      </w:r>
    </w:p>
    <w:p w14:paraId="529D8F07">
      <w:pPr>
        <w:widowControl/>
        <w:overflowPunct w:val="0"/>
        <w:autoSpaceDE w:val="0"/>
        <w:autoSpaceDN w:val="0"/>
        <w:adjustRightInd w:val="0"/>
        <w:spacing w:line="312" w:lineRule="auto"/>
        <w:ind w:firstLine="420" w:firstLineChars="175"/>
        <w:jc w:val="left"/>
        <w:textAlignment w:val="baseline"/>
        <w:rPr>
          <w:rFonts w:hint="eastAsia" w:ascii="宋体" w:hAnsi="宋体"/>
          <w:sz w:val="24"/>
          <w:highlight w:val="none"/>
        </w:rPr>
      </w:pPr>
      <w:r>
        <w:rPr>
          <w:rFonts w:hint="eastAsia" w:ascii="宋体" w:hAnsi="宋体"/>
          <w:sz w:val="24"/>
          <w:highlight w:val="none"/>
        </w:rPr>
        <w:t>2、投标总报价 （大写）：</w:t>
      </w:r>
      <w:r>
        <w:rPr>
          <w:rFonts w:hint="eastAsia" w:ascii="宋体" w:hAnsi="宋体"/>
          <w:sz w:val="24"/>
          <w:highlight w:val="none"/>
          <w:u w:val="single"/>
        </w:rPr>
        <w:t xml:space="preserve">            </w:t>
      </w:r>
      <w:r>
        <w:rPr>
          <w:rFonts w:hint="eastAsia" w:ascii="宋体" w:hAnsi="宋体"/>
          <w:sz w:val="24"/>
          <w:highlight w:val="none"/>
        </w:rPr>
        <w:t>元人民币；</w:t>
      </w:r>
    </w:p>
    <w:p w14:paraId="092A471F">
      <w:pPr>
        <w:widowControl/>
        <w:overflowPunct w:val="0"/>
        <w:autoSpaceDE w:val="0"/>
        <w:autoSpaceDN w:val="0"/>
        <w:adjustRightInd w:val="0"/>
        <w:spacing w:line="312" w:lineRule="auto"/>
        <w:ind w:firstLine="2100" w:firstLineChars="875"/>
        <w:jc w:val="left"/>
        <w:textAlignment w:val="baseline"/>
        <w:rPr>
          <w:rFonts w:hint="eastAsia" w:ascii="宋体" w:hAnsi="宋体"/>
          <w:sz w:val="24"/>
          <w:highlight w:val="none"/>
        </w:rPr>
      </w:pPr>
      <w:r>
        <w:rPr>
          <w:rFonts w:hint="eastAsia" w:ascii="宋体" w:hAnsi="宋体"/>
          <w:sz w:val="24"/>
          <w:highlight w:val="none"/>
        </w:rPr>
        <w:t>（小写）：</w:t>
      </w:r>
      <w:r>
        <w:rPr>
          <w:rFonts w:hint="eastAsia" w:ascii="宋体" w:hAnsi="宋体"/>
          <w:sz w:val="24"/>
          <w:highlight w:val="none"/>
          <w:u w:val="single"/>
        </w:rPr>
        <w:t xml:space="preserve">                       </w:t>
      </w:r>
      <w:r>
        <w:rPr>
          <w:rFonts w:hint="eastAsia" w:ascii="宋体" w:hAnsi="宋体"/>
          <w:sz w:val="24"/>
          <w:highlight w:val="none"/>
        </w:rPr>
        <w:t>元人民币。</w:t>
      </w:r>
    </w:p>
    <w:p w14:paraId="66671B0C">
      <w:pPr>
        <w:widowControl/>
        <w:overflowPunct w:val="0"/>
        <w:autoSpaceDE w:val="0"/>
        <w:autoSpaceDN w:val="0"/>
        <w:adjustRightInd w:val="0"/>
        <w:spacing w:line="312" w:lineRule="auto"/>
        <w:ind w:firstLine="420" w:firstLineChars="175"/>
        <w:jc w:val="left"/>
        <w:textAlignment w:val="baseline"/>
        <w:rPr>
          <w:rFonts w:ascii="宋体" w:hAnsi="宋体"/>
          <w:sz w:val="24"/>
          <w:highlight w:val="none"/>
          <w:u w:val="single"/>
        </w:rPr>
      </w:pPr>
      <w:r>
        <w:rPr>
          <w:rFonts w:hint="eastAsia" w:ascii="宋体" w:hAnsi="宋体"/>
          <w:sz w:val="24"/>
          <w:highlight w:val="none"/>
        </w:rPr>
        <w:t xml:space="preserve">工期： </w:t>
      </w:r>
      <w:r>
        <w:rPr>
          <w:rFonts w:hint="eastAsia" w:ascii="宋体" w:hAnsi="宋体"/>
          <w:sz w:val="24"/>
          <w:highlight w:val="none"/>
          <w:u w:val="single"/>
        </w:rPr>
        <w:t xml:space="preserve">               日历天。</w:t>
      </w:r>
    </w:p>
    <w:p w14:paraId="4AD1D9B6">
      <w:pPr>
        <w:pStyle w:val="6"/>
        <w:spacing w:line="360" w:lineRule="auto"/>
        <w:rPr>
          <w:rFonts w:ascii="宋体" w:hAnsi="宋体" w:cs="宋体"/>
          <w:sz w:val="24"/>
          <w:highlight w:val="none"/>
        </w:rPr>
      </w:pPr>
      <w:r>
        <w:rPr>
          <w:rFonts w:hint="eastAsia" w:ascii="宋体" w:hAnsi="宋体"/>
          <w:sz w:val="24"/>
          <w:highlight w:val="none"/>
        </w:rPr>
        <w:t>我方已详细审查全部采购文件。我方完全理解并接受采购文件的各项规定和要求，对采购文件的合理性、合法性没有异议。</w:t>
      </w:r>
      <w:r>
        <w:rPr>
          <w:rFonts w:hint="eastAsia" w:ascii="宋体" w:hAnsi="宋体"/>
          <w:b/>
          <w:kern w:val="0"/>
          <w:sz w:val="24"/>
          <w:highlight w:val="none"/>
          <w:lang w:val="zh-CN"/>
        </w:rPr>
        <w:t>投标总报价应是招标文件文件所确定的招标范围内全部工作内容的价格表现。包括但不限于完成项目内容所需的一切人工费、材料费、机械费、措施费、管理费、规费、利润、税金、施工安全生产责任保险等政策性文件规定及合同明示或暗示的所有风险、责任、义务等各项应有的费用，具体内容详见具体详见招标人提供的工程量清单及编制说明。各投标人应根据招标人提供的全套施工图纸、工程量清单，以及本工程实际情况和自身的综合实力，竞报投标报价。</w:t>
      </w:r>
    </w:p>
    <w:p w14:paraId="76BD5C05">
      <w:pPr>
        <w:widowControl/>
        <w:overflowPunct w:val="0"/>
        <w:autoSpaceDE w:val="0"/>
        <w:autoSpaceDN w:val="0"/>
        <w:adjustRightInd w:val="0"/>
        <w:spacing w:line="312" w:lineRule="auto"/>
        <w:ind w:firstLine="420" w:firstLineChars="175"/>
        <w:jc w:val="left"/>
        <w:textAlignment w:val="baseline"/>
        <w:rPr>
          <w:rFonts w:hint="eastAsia" w:ascii="宋体" w:hAnsi="宋体"/>
          <w:sz w:val="24"/>
          <w:highlight w:val="none"/>
        </w:rPr>
      </w:pPr>
      <w:r>
        <w:rPr>
          <w:rFonts w:hint="eastAsia" w:ascii="宋体" w:hAnsi="宋体"/>
          <w:sz w:val="24"/>
          <w:highlight w:val="none"/>
        </w:rPr>
        <w:t>4、本投标有效期为开标之日起90天。</w:t>
      </w:r>
    </w:p>
    <w:p w14:paraId="5001FB96">
      <w:pPr>
        <w:widowControl/>
        <w:overflowPunct w:val="0"/>
        <w:autoSpaceDE w:val="0"/>
        <w:autoSpaceDN w:val="0"/>
        <w:adjustRightInd w:val="0"/>
        <w:spacing w:line="312" w:lineRule="auto"/>
        <w:ind w:firstLine="420" w:firstLineChars="175"/>
        <w:jc w:val="left"/>
        <w:textAlignment w:val="baseline"/>
        <w:rPr>
          <w:rFonts w:ascii="宋体" w:hAnsi="宋体"/>
          <w:sz w:val="24"/>
          <w:highlight w:val="none"/>
          <w:lang w:eastAsia="zh-Hans"/>
        </w:rPr>
      </w:pPr>
      <w:r>
        <w:rPr>
          <w:rFonts w:hint="eastAsia" w:ascii="宋体" w:hAnsi="宋体"/>
          <w:sz w:val="24"/>
          <w:highlight w:val="none"/>
        </w:rPr>
        <w:t>5、若中标，我方将按采购文件规定履行合同责任和义务；本采购响应文件至本项目合同履行完毕止均保持有效。</w:t>
      </w:r>
    </w:p>
    <w:p w14:paraId="16C5F326">
      <w:pPr>
        <w:widowControl/>
        <w:overflowPunct w:val="0"/>
        <w:autoSpaceDE w:val="0"/>
        <w:autoSpaceDN w:val="0"/>
        <w:adjustRightInd w:val="0"/>
        <w:spacing w:line="312" w:lineRule="auto"/>
        <w:ind w:firstLine="420" w:firstLineChars="175"/>
        <w:jc w:val="left"/>
        <w:textAlignment w:val="baseline"/>
        <w:rPr>
          <w:rFonts w:hint="eastAsia" w:ascii="宋体" w:hAnsi="宋体"/>
          <w:sz w:val="24"/>
          <w:highlight w:val="none"/>
        </w:rPr>
      </w:pPr>
      <w:r>
        <w:rPr>
          <w:rFonts w:hint="eastAsia" w:ascii="宋体" w:hAnsi="宋体"/>
          <w:sz w:val="24"/>
          <w:highlight w:val="none"/>
        </w:rPr>
        <w:t>6、我方同意提供按照贵方可能要求的与本项投标有关的一切数据或资料，并保证其真实性、合法性。</w:t>
      </w:r>
    </w:p>
    <w:p w14:paraId="5109DFEA">
      <w:pPr>
        <w:rPr>
          <w:rFonts w:hint="default"/>
          <w:color w:val="auto"/>
          <w:highlight w:val="none"/>
          <w:lang w:val="en-US" w:eastAsia="zh-CN"/>
        </w:rPr>
      </w:pPr>
    </w:p>
    <w:p w14:paraId="2F7A1F9A">
      <w:pPr>
        <w:adjustRightInd w:val="0"/>
        <w:snapToGrid w:val="0"/>
        <w:spacing w:line="360" w:lineRule="auto"/>
        <w:ind w:firstLine="4838" w:firstLineChars="2016"/>
        <w:rPr>
          <w:rFonts w:ascii="宋体" w:hAnsi="宋体" w:cs="仿宋_GB2312"/>
          <w:color w:val="auto"/>
          <w:kern w:val="0"/>
          <w:sz w:val="24"/>
          <w:highlight w:val="none"/>
          <w:lang w:val="zh-CN"/>
        </w:rPr>
      </w:pPr>
      <w:r>
        <w:rPr>
          <w:rFonts w:hint="eastAsia" w:ascii="宋体" w:hAnsi="宋体" w:cs="仿宋_GB2312"/>
          <w:color w:val="auto"/>
          <w:kern w:val="0"/>
          <w:sz w:val="24"/>
          <w:highlight w:val="none"/>
          <w:lang w:val="zh-CN"/>
        </w:rPr>
        <w:t>供应商名称（</w:t>
      </w:r>
      <w:r>
        <w:rPr>
          <w:rFonts w:hint="eastAsia" w:ascii="宋体" w:hAnsi="宋体"/>
          <w:color w:val="auto"/>
          <w:sz w:val="24"/>
          <w:highlight w:val="none"/>
        </w:rPr>
        <w:t>公章/电子章</w:t>
      </w:r>
      <w:r>
        <w:rPr>
          <w:rFonts w:hint="eastAsia" w:ascii="宋体" w:hAnsi="宋体" w:cs="仿宋_GB2312"/>
          <w:color w:val="auto"/>
          <w:kern w:val="0"/>
          <w:sz w:val="24"/>
          <w:highlight w:val="none"/>
          <w:lang w:val="zh-CN"/>
        </w:rPr>
        <w:t>）：</w:t>
      </w:r>
    </w:p>
    <w:p w14:paraId="33F52E39">
      <w:pPr>
        <w:adjustRightInd w:val="0"/>
        <w:snapToGrid w:val="0"/>
        <w:spacing w:line="360" w:lineRule="auto"/>
        <w:jc w:val="right"/>
        <w:rPr>
          <w:rFonts w:ascii="宋体" w:hAnsi="宋体" w:cs="仿宋_GB2312"/>
          <w:color w:val="auto"/>
          <w:kern w:val="0"/>
          <w:sz w:val="24"/>
          <w:highlight w:val="none"/>
          <w:lang w:val="zh-CN"/>
        </w:rPr>
      </w:pPr>
      <w:r>
        <w:rPr>
          <w:rFonts w:hint="eastAsia" w:ascii="宋体" w:hAnsi="宋体" w:cs="仿宋_GB2312"/>
          <w:color w:val="auto"/>
          <w:kern w:val="0"/>
          <w:sz w:val="24"/>
          <w:highlight w:val="none"/>
          <w:lang w:val="zh-CN"/>
        </w:rPr>
        <w:t>法定代表人或授权委托人签字</w:t>
      </w:r>
      <w:r>
        <w:rPr>
          <w:rFonts w:hint="eastAsia" w:ascii="宋体" w:hAnsi="宋体" w:cs="仿宋_GB2312"/>
          <w:color w:val="auto"/>
          <w:kern w:val="0"/>
          <w:sz w:val="24"/>
          <w:highlight w:val="none"/>
        </w:rPr>
        <w:t>或盖章</w:t>
      </w:r>
      <w:r>
        <w:rPr>
          <w:rFonts w:hint="eastAsia" w:ascii="宋体" w:hAnsi="宋体" w:cs="仿宋_GB2312"/>
          <w:color w:val="auto"/>
          <w:kern w:val="0"/>
          <w:sz w:val="24"/>
          <w:highlight w:val="none"/>
          <w:lang w:val="zh-CN"/>
        </w:rPr>
        <w:t>：</w:t>
      </w:r>
    </w:p>
    <w:p w14:paraId="0DC0A2B9">
      <w:pPr>
        <w:adjustRightInd w:val="0"/>
        <w:snapToGrid w:val="0"/>
        <w:spacing w:line="360" w:lineRule="auto"/>
        <w:ind w:firstLine="4838" w:firstLineChars="2016"/>
        <w:rPr>
          <w:rFonts w:ascii="宋体" w:hAnsi="宋体" w:cs="仿宋_GB2312"/>
          <w:color w:val="auto"/>
          <w:kern w:val="0"/>
          <w:sz w:val="24"/>
          <w:highlight w:val="none"/>
          <w:lang w:val="zh-CN"/>
        </w:rPr>
      </w:pPr>
      <w:r>
        <w:rPr>
          <w:rFonts w:hint="eastAsia" w:ascii="宋体" w:hAnsi="宋体" w:cs="仿宋_GB2312"/>
          <w:color w:val="auto"/>
          <w:kern w:val="0"/>
          <w:sz w:val="24"/>
          <w:highlight w:val="none"/>
          <w:lang w:val="zh-CN"/>
        </w:rPr>
        <w:t>日期：</w:t>
      </w:r>
      <w:r>
        <w:rPr>
          <w:rFonts w:hint="eastAsia" w:ascii="宋体" w:hAnsi="宋体" w:cs="宋体"/>
          <w:color w:val="auto"/>
          <w:sz w:val="24"/>
          <w:highlight w:val="none"/>
        </w:rPr>
        <w:t>××</w:t>
      </w:r>
      <w:r>
        <w:rPr>
          <w:rFonts w:hint="eastAsia" w:ascii="宋体" w:hAnsi="宋体" w:cs="仿宋_GB2312"/>
          <w:color w:val="auto"/>
          <w:kern w:val="0"/>
          <w:sz w:val="24"/>
          <w:highlight w:val="none"/>
          <w:lang w:val="zh-CN"/>
        </w:rPr>
        <w:t xml:space="preserve">年 </w:t>
      </w:r>
      <w:r>
        <w:rPr>
          <w:rFonts w:hint="eastAsia" w:ascii="宋体" w:hAnsi="宋体" w:cs="宋体"/>
          <w:color w:val="auto"/>
          <w:sz w:val="24"/>
          <w:highlight w:val="none"/>
        </w:rPr>
        <w:t>××</w:t>
      </w:r>
      <w:r>
        <w:rPr>
          <w:rFonts w:hint="eastAsia" w:ascii="宋体" w:hAnsi="宋体" w:cs="仿宋_GB2312"/>
          <w:color w:val="auto"/>
          <w:kern w:val="0"/>
          <w:sz w:val="24"/>
          <w:highlight w:val="none"/>
          <w:lang w:val="zh-CN"/>
        </w:rPr>
        <w:t xml:space="preserve"> 月 </w:t>
      </w:r>
      <w:r>
        <w:rPr>
          <w:rFonts w:hint="eastAsia" w:ascii="宋体" w:hAnsi="宋体" w:cs="宋体"/>
          <w:color w:val="auto"/>
          <w:sz w:val="24"/>
          <w:highlight w:val="none"/>
        </w:rPr>
        <w:t>××</w:t>
      </w:r>
      <w:r>
        <w:rPr>
          <w:rFonts w:hint="eastAsia" w:ascii="宋体" w:hAnsi="宋体" w:cs="仿宋_GB2312"/>
          <w:color w:val="auto"/>
          <w:kern w:val="0"/>
          <w:sz w:val="24"/>
          <w:highlight w:val="none"/>
          <w:lang w:val="zh-CN"/>
        </w:rPr>
        <w:t xml:space="preserve"> 日</w:t>
      </w:r>
    </w:p>
    <w:p w14:paraId="52E44C79">
      <w:pPr>
        <w:snapToGrid w:val="0"/>
        <w:spacing w:beforeLines="50" w:after="50" w:line="360" w:lineRule="auto"/>
        <w:rPr>
          <w:rFonts w:hint="eastAsia" w:ascii="宋体" w:hAnsi="宋体"/>
          <w:b/>
          <w:color w:val="auto"/>
          <w:sz w:val="28"/>
          <w:highlight w:val="none"/>
        </w:rPr>
      </w:pPr>
    </w:p>
    <w:p w14:paraId="01F5DFDC">
      <w:pPr>
        <w:snapToGrid w:val="0"/>
        <w:spacing w:beforeLines="50" w:after="50" w:line="360" w:lineRule="auto"/>
        <w:rPr>
          <w:rFonts w:hint="eastAsia" w:ascii="宋体" w:hAnsi="宋体"/>
          <w:b/>
          <w:color w:val="auto"/>
          <w:sz w:val="28"/>
          <w:highlight w:val="none"/>
        </w:rPr>
      </w:pPr>
    </w:p>
    <w:p w14:paraId="50878895">
      <w:pPr>
        <w:snapToGrid w:val="0"/>
        <w:spacing w:beforeLines="50" w:after="50" w:line="360" w:lineRule="auto"/>
        <w:rPr>
          <w:rFonts w:hint="eastAsia" w:ascii="宋体" w:hAnsi="宋体"/>
          <w:b/>
          <w:color w:val="auto"/>
          <w:sz w:val="28"/>
          <w:highlight w:val="none"/>
        </w:rPr>
      </w:pPr>
    </w:p>
    <w:p w14:paraId="78F5F3AE">
      <w:pPr>
        <w:snapToGrid w:val="0"/>
        <w:spacing w:beforeLines="50" w:after="50" w:line="360" w:lineRule="auto"/>
        <w:rPr>
          <w:rFonts w:hint="default" w:ascii="宋体" w:hAnsi="宋体" w:eastAsia="宋体"/>
          <w:b/>
          <w:color w:val="auto"/>
          <w:sz w:val="28"/>
          <w:szCs w:val="28"/>
          <w:highlight w:val="none"/>
          <w:lang w:val="en-US" w:eastAsia="zh-CN"/>
        </w:rPr>
      </w:pPr>
      <w:r>
        <w:rPr>
          <w:rFonts w:hint="eastAsia" w:ascii="宋体" w:hAnsi="宋体"/>
          <w:b/>
          <w:color w:val="auto"/>
          <w:sz w:val="28"/>
          <w:highlight w:val="none"/>
        </w:rPr>
        <w:t>附件</w:t>
      </w:r>
      <w:r>
        <w:rPr>
          <w:rFonts w:hint="eastAsia" w:ascii="宋体" w:hAnsi="宋体"/>
          <w:b/>
          <w:color w:val="auto"/>
          <w:sz w:val="28"/>
          <w:highlight w:val="none"/>
          <w:lang w:val="en-US" w:eastAsia="zh-CN"/>
        </w:rPr>
        <w:t>11</w:t>
      </w:r>
    </w:p>
    <w:p w14:paraId="55396ECB">
      <w:pPr>
        <w:pStyle w:val="49"/>
        <w:spacing w:line="360" w:lineRule="auto"/>
        <w:jc w:val="center"/>
        <w:rPr>
          <w:rFonts w:ascii="宋体" w:hAnsi="宋体" w:cs="宋体"/>
          <w:b/>
          <w:color w:val="auto"/>
          <w:sz w:val="24"/>
          <w:highlight w:val="none"/>
          <w:lang w:val="en-GB"/>
        </w:rPr>
      </w:pPr>
      <w:bookmarkStart w:id="93" w:name="_Toc27483_WPSOffice_Level1"/>
      <w:bookmarkStart w:id="94" w:name="_Toc17646_WPSOffice_Level1"/>
      <w:r>
        <w:rPr>
          <w:rFonts w:hint="eastAsia" w:ascii="宋体" w:hAnsi="宋体" w:cs="宋体"/>
          <w:b/>
          <w:color w:val="auto"/>
          <w:sz w:val="24"/>
          <w:highlight w:val="none"/>
          <w:lang w:val="en-GB"/>
        </w:rPr>
        <w:t>中小企业声明函</w:t>
      </w:r>
    </w:p>
    <w:p w14:paraId="3F5DD846">
      <w:pPr>
        <w:pStyle w:val="49"/>
        <w:spacing w:line="360" w:lineRule="auto"/>
        <w:jc w:val="center"/>
        <w:rPr>
          <w:rFonts w:ascii="宋体" w:hAnsi="宋体" w:cs="宋体"/>
          <w:b/>
          <w:color w:val="auto"/>
          <w:sz w:val="24"/>
          <w:highlight w:val="none"/>
          <w:lang w:val="en-GB"/>
        </w:rPr>
      </w:pPr>
    </w:p>
    <w:p w14:paraId="6E8E4E26">
      <w:pPr>
        <w:pStyle w:val="49"/>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公司（联合体）郑重声明，根据《政府采购促进中小企业发展管理办法》（财库﹝2020﹞46号）的规定，本公司（联合体）参加（单位名称）的（项目名称）采购活动，服务全部由符合政策要求的中小企业承接）。相关企业（含联合体中的中小企业、签订分包意向协议的中小企业）的具体情况如下：</w:t>
      </w:r>
    </w:p>
    <w:p w14:paraId="0AD4CD10">
      <w:pPr>
        <w:pStyle w:val="49"/>
        <w:numPr>
          <w:ilvl w:val="0"/>
          <w:numId w:val="10"/>
        </w:num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（标的名称），属于（招标文件中明确的所属行业）；承建（承接）企业为（企业名称），从业人员人，营业收入为万元，资产总额为万元</w:t>
      </w:r>
      <w:r>
        <w:rPr>
          <w:rFonts w:hint="eastAsia" w:ascii="宋体" w:hAnsi="宋体" w:cs="宋体"/>
          <w:color w:val="auto"/>
          <w:sz w:val="24"/>
          <w:highlight w:val="none"/>
        </w:rPr>
        <w:fldChar w:fldCharType="begin"/>
      </w:r>
      <w:r>
        <w:rPr>
          <w:rFonts w:hint="eastAsia" w:ascii="宋体" w:hAnsi="宋体" w:cs="宋体"/>
          <w:color w:val="auto"/>
          <w:sz w:val="24"/>
          <w:highlight w:val="none"/>
        </w:rPr>
        <w:instrText xml:space="preserve"> = 1 \* GB3 </w:instrText>
      </w:r>
      <w:r>
        <w:rPr>
          <w:rFonts w:hint="eastAsia" w:ascii="宋体" w:hAnsi="宋体" w:cs="宋体"/>
          <w:color w:val="auto"/>
          <w:sz w:val="24"/>
          <w:highlight w:val="none"/>
        </w:rPr>
        <w:fldChar w:fldCharType="separate"/>
      </w:r>
      <w:r>
        <w:rPr>
          <w:rFonts w:hint="eastAsia" w:ascii="宋体" w:hAnsi="宋体" w:cs="宋体"/>
          <w:color w:val="auto"/>
          <w:sz w:val="24"/>
          <w:highlight w:val="none"/>
        </w:rPr>
        <w:t>①</w:t>
      </w:r>
      <w:r>
        <w:rPr>
          <w:rFonts w:hint="eastAsia" w:ascii="宋体" w:hAnsi="宋体" w:cs="宋体"/>
          <w:color w:val="auto"/>
          <w:sz w:val="24"/>
          <w:highlight w:val="none"/>
        </w:rPr>
        <w:fldChar w:fldCharType="end"/>
      </w:r>
      <w:r>
        <w:rPr>
          <w:rFonts w:hint="eastAsia" w:ascii="宋体" w:hAnsi="宋体" w:cs="宋体"/>
          <w:color w:val="auto"/>
          <w:sz w:val="24"/>
          <w:highlight w:val="none"/>
        </w:rPr>
        <w:t>，属于（中型企业、小型企业、微型企业）；</w:t>
      </w:r>
    </w:p>
    <w:p w14:paraId="2527AFBA">
      <w:pPr>
        <w:pStyle w:val="49"/>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2.（标的名称），属于（招标文件中明确的所属行业）；承建（承接）企业为（企业名称），从业人员人，营业收入为万元，资产总额为万元，属于（中型企业、小型企业、微型企业）；</w:t>
      </w:r>
    </w:p>
    <w:p w14:paraId="1FF1823B">
      <w:pPr>
        <w:pStyle w:val="49"/>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……以上企业，不属于大企业的分支机构，不存在控股股东为大企业的情形，也不存在与大企业的负责人为同一人的情形。</w:t>
      </w:r>
    </w:p>
    <w:p w14:paraId="43513FF2">
      <w:pPr>
        <w:pStyle w:val="49"/>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本企业对上述声明内容的真实性负责。如有虚假，将依法承担相应责任。</w:t>
      </w:r>
    </w:p>
    <w:p w14:paraId="3A29AD17">
      <w:pPr>
        <w:pStyle w:val="49"/>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信息查询网址为：</w:t>
      </w:r>
    </w:p>
    <w:p w14:paraId="7FE3CDB8">
      <w:pPr>
        <w:spacing w:line="360" w:lineRule="auto"/>
        <w:rPr>
          <w:rFonts w:ascii="宋体" w:hAnsi="宋体" w:cs="宋体"/>
          <w:b/>
          <w:color w:val="auto"/>
          <w:sz w:val="24"/>
          <w:highlight w:val="none"/>
        </w:rPr>
      </w:pPr>
      <w:r>
        <w:rPr>
          <w:rFonts w:hint="eastAsia" w:ascii="宋体" w:hAnsi="宋体" w:cs="宋体"/>
          <w:b/>
          <w:color w:val="auto"/>
          <w:sz w:val="24"/>
          <w:highlight w:val="none"/>
        </w:rPr>
        <w:t>要求：</w:t>
      </w:r>
    </w:p>
    <w:p w14:paraId="4448A2C5">
      <w:pPr>
        <w:numPr>
          <w:ilvl w:val="0"/>
          <w:numId w:val="11"/>
        </w:numPr>
        <w:spacing w:line="360" w:lineRule="auto"/>
        <w:ind w:left="435"/>
        <w:rPr>
          <w:rFonts w:ascii="宋体" w:hAnsi="宋体" w:cs="宋体"/>
          <w:color w:val="auto"/>
          <w:sz w:val="24"/>
          <w:highlight w:val="none"/>
        </w:rPr>
      </w:pPr>
      <w:r>
        <w:rPr>
          <w:rFonts w:hint="eastAsia" w:ascii="宋体" w:hAnsi="宋体" w:cs="宋体"/>
          <w:color w:val="auto"/>
          <w:sz w:val="24"/>
          <w:highlight w:val="none"/>
        </w:rPr>
        <w:t>如响应产品由小微企业生产，则需提供中小企业声明函。</w:t>
      </w:r>
    </w:p>
    <w:p w14:paraId="48B4D403">
      <w:pPr>
        <w:numPr>
          <w:ilvl w:val="0"/>
          <w:numId w:val="11"/>
        </w:numPr>
        <w:spacing w:line="360" w:lineRule="auto"/>
        <w:ind w:left="435"/>
        <w:rPr>
          <w:rFonts w:ascii="宋体" w:hAnsi="宋体" w:cs="宋体"/>
          <w:color w:val="auto"/>
          <w:sz w:val="24"/>
          <w:highlight w:val="none"/>
        </w:rPr>
      </w:pPr>
      <w:r>
        <w:rPr>
          <w:rFonts w:hint="eastAsia" w:ascii="宋体" w:hAnsi="宋体" w:cs="宋体"/>
          <w:color w:val="auto"/>
          <w:sz w:val="24"/>
          <w:highlight w:val="none"/>
        </w:rPr>
        <w:t>如成交人声明为小微企业，本声明函将随成交结果同时公告，接受社会监督。</w:t>
      </w:r>
    </w:p>
    <w:p w14:paraId="7DEA9CAD">
      <w:pPr>
        <w:pStyle w:val="49"/>
        <w:spacing w:line="360" w:lineRule="auto"/>
        <w:rPr>
          <w:rFonts w:ascii="宋体" w:hAnsi="宋体" w:cs="宋体"/>
          <w:color w:val="auto"/>
          <w:sz w:val="24"/>
          <w:highlight w:val="none"/>
        </w:rPr>
      </w:pPr>
    </w:p>
    <w:p w14:paraId="1B807043">
      <w:pPr>
        <w:pStyle w:val="49"/>
        <w:spacing w:line="360" w:lineRule="auto"/>
        <w:ind w:firstLine="4800" w:firstLineChars="2000"/>
        <w:rPr>
          <w:rFonts w:ascii="宋体" w:hAnsi="宋体" w:cs="宋体"/>
          <w:color w:val="auto"/>
          <w:sz w:val="24"/>
          <w:highlight w:val="none"/>
        </w:rPr>
      </w:pPr>
      <w:r>
        <w:rPr>
          <w:rFonts w:hint="eastAsia" w:ascii="宋体" w:hAnsi="宋体" w:cs="宋体"/>
          <w:color w:val="auto"/>
          <w:sz w:val="24"/>
          <w:highlight w:val="none"/>
        </w:rPr>
        <w:t>企业名称（盖章）：</w:t>
      </w:r>
    </w:p>
    <w:p w14:paraId="48215952">
      <w:pPr>
        <w:pStyle w:val="49"/>
        <w:spacing w:line="360" w:lineRule="auto"/>
        <w:ind w:firstLine="4800" w:firstLineChars="2000"/>
        <w:rPr>
          <w:rFonts w:ascii="宋体" w:hAnsi="宋体" w:cs="宋体"/>
          <w:color w:val="auto"/>
          <w:sz w:val="24"/>
          <w:highlight w:val="none"/>
        </w:rPr>
      </w:pPr>
      <w:r>
        <w:rPr>
          <w:rFonts w:hint="eastAsia" w:ascii="宋体" w:hAnsi="宋体" w:cs="宋体"/>
          <w:color w:val="auto"/>
          <w:sz w:val="24"/>
          <w:highlight w:val="none"/>
        </w:rPr>
        <w:t>日期：××年××月××日</w:t>
      </w:r>
    </w:p>
    <w:p w14:paraId="5FE71696">
      <w:pPr>
        <w:pStyle w:val="6"/>
        <w:rPr>
          <w:rFonts w:ascii="宋体" w:hAnsi="宋体" w:cs="宋体"/>
          <w:color w:val="auto"/>
          <w:sz w:val="24"/>
          <w:szCs w:val="24"/>
          <w:highlight w:val="none"/>
        </w:rPr>
      </w:pPr>
    </w:p>
    <w:p w14:paraId="0FE8A55A">
      <w:pPr>
        <w:pStyle w:val="6"/>
        <w:rPr>
          <w:rFonts w:ascii="宋体" w:hAnsi="宋体" w:cs="宋体"/>
          <w:color w:val="auto"/>
          <w:sz w:val="24"/>
          <w:szCs w:val="24"/>
          <w:highlight w:val="none"/>
        </w:rPr>
      </w:pPr>
    </w:p>
    <w:p w14:paraId="6E596E80">
      <w:pPr>
        <w:spacing w:line="360" w:lineRule="auto"/>
        <w:rPr>
          <w:rFonts w:ascii="宋体" w:hAnsi="宋体" w:cs="宋体"/>
          <w:color w:val="auto"/>
          <w:sz w:val="24"/>
          <w:highlight w:val="none"/>
        </w:rPr>
      </w:pPr>
      <w:r>
        <w:rPr>
          <w:rFonts w:hint="eastAsia" w:ascii="宋体" w:hAnsi="宋体" w:cs="宋体"/>
          <w:color w:val="auto"/>
          <w:sz w:val="24"/>
          <w:highlight w:val="none"/>
        </w:rPr>
        <mc:AlternateContent>
          <mc:Choice Requires="wps">
            <w:drawing>
              <wp:anchor distT="0" distB="0" distL="114300" distR="114300" simplePos="0" relativeHeight="251659264" behindDoc="0" locked="0" layoutInCell="1" allowOverlap="1">
                <wp:simplePos x="0" y="0"/>
                <wp:positionH relativeFrom="column">
                  <wp:posOffset>5080</wp:posOffset>
                </wp:positionH>
                <wp:positionV relativeFrom="paragraph">
                  <wp:posOffset>209550</wp:posOffset>
                </wp:positionV>
                <wp:extent cx="2984500" cy="0"/>
                <wp:effectExtent l="0" t="7620" r="0" b="8255"/>
                <wp:wrapNone/>
                <wp:docPr id="1" name="直接连接符 1"/>
                <wp:cNvGraphicFramePr/>
                <a:graphic xmlns:a="http://schemas.openxmlformats.org/drawingml/2006/main">
                  <a:graphicData uri="http://schemas.microsoft.com/office/word/2010/wordprocessingShape">
                    <wps:wsp>
                      <wps:cNvCnPr/>
                      <wps:spPr>
                        <a:xfrm>
                          <a:off x="0" y="0"/>
                          <a:ext cx="2984500" cy="0"/>
                        </a:xfrm>
                        <a:prstGeom prst="line">
                          <a:avLst/>
                        </a:prstGeom>
                        <a:ln w="15875" cap="flat" cmpd="sng">
                          <a:solidFill>
                            <a:srgbClr val="000000"/>
                          </a:solidFill>
                          <a:prstDash val="solid"/>
                          <a:miter/>
                        </a:ln>
                        <a:effectLst/>
                      </wps:spPr>
                      <wps:bodyPr/>
                    </wps:wsp>
                  </a:graphicData>
                </a:graphic>
              </wp:anchor>
            </w:drawing>
          </mc:Choice>
          <mc:Fallback>
            <w:pict>
              <v:line id="_x0000_s1026" o:spid="_x0000_s1026" o:spt="20" style="position:absolute;left:0pt;margin-left:0.4pt;margin-top:16.5pt;height:0pt;width:235pt;z-index:251659264;mso-width-relative:page;mso-height-relative:page;" filled="f" stroked="t" coordsize="21600,21600" o:gfxdata="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">
                <v:fill on="f" focussize="0,0"/>
                <v:stroke weight="1.25pt" color="#000000" joinstyle="miter"/>
                <v:imagedata o:title=""/>
                <o:lock v:ext="edit" aspectratio="f"/>
              </v:line>
            </w:pict>
          </mc:Fallback>
        </mc:AlternateContent>
      </w:r>
    </w:p>
    <w:p w14:paraId="4DA1F514">
      <w:pPr>
        <w:spacing w:line="360" w:lineRule="auto"/>
        <w:rPr>
          <w:rFonts w:ascii="宋体" w:hAnsi="宋体" w:cs="宋体"/>
          <w:color w:val="auto"/>
          <w:sz w:val="24"/>
          <w:highlight w:val="none"/>
        </w:rPr>
      </w:pPr>
      <w:r>
        <w:rPr>
          <w:rFonts w:hint="eastAsia" w:ascii="宋体" w:hAnsi="宋体" w:cs="宋体"/>
          <w:color w:val="auto"/>
          <w:sz w:val="24"/>
          <w:highlight w:val="none"/>
        </w:rPr>
        <w:fldChar w:fldCharType="begin"/>
      </w:r>
      <w:r>
        <w:rPr>
          <w:rFonts w:hint="eastAsia" w:ascii="宋体" w:hAnsi="宋体" w:cs="宋体"/>
          <w:color w:val="auto"/>
          <w:sz w:val="24"/>
          <w:highlight w:val="none"/>
        </w:rPr>
        <w:instrText xml:space="preserve"> = 1 \* GB3 </w:instrText>
      </w:r>
      <w:r>
        <w:rPr>
          <w:rFonts w:hint="eastAsia" w:ascii="宋体" w:hAnsi="宋体" w:cs="宋体"/>
          <w:color w:val="auto"/>
          <w:sz w:val="24"/>
          <w:highlight w:val="none"/>
        </w:rPr>
        <w:fldChar w:fldCharType="separate"/>
      </w:r>
      <w:r>
        <w:rPr>
          <w:rFonts w:hint="eastAsia" w:ascii="宋体" w:hAnsi="宋体" w:cs="宋体"/>
          <w:color w:val="auto"/>
          <w:sz w:val="24"/>
          <w:highlight w:val="none"/>
        </w:rPr>
        <w:t>①</w:t>
      </w:r>
      <w:r>
        <w:rPr>
          <w:rFonts w:hint="eastAsia" w:ascii="宋体" w:hAnsi="宋体" w:cs="宋体"/>
          <w:color w:val="auto"/>
          <w:sz w:val="24"/>
          <w:highlight w:val="none"/>
        </w:rPr>
        <w:fldChar w:fldCharType="end"/>
      </w:r>
      <w:r>
        <w:rPr>
          <w:rFonts w:hint="eastAsia" w:ascii="宋体" w:hAnsi="宋体" w:cs="宋体"/>
          <w:color w:val="auto"/>
          <w:sz w:val="24"/>
          <w:highlight w:val="none"/>
        </w:rPr>
        <w:t>从业人员、营业收入、资产总额填报上一年度数据，无上一年度数据的新成立企业可不填报。</w:t>
      </w:r>
    </w:p>
    <w:p w14:paraId="1EF9379A">
      <w:pPr>
        <w:pStyle w:val="11"/>
        <w:spacing w:line="360" w:lineRule="auto"/>
        <w:jc w:val="center"/>
        <w:rPr>
          <w:rFonts w:hAnsi="宋体"/>
          <w:b/>
          <w:color w:val="auto"/>
          <w:sz w:val="32"/>
          <w:szCs w:val="32"/>
          <w:highlight w:val="none"/>
          <w:lang w:val="en-GB"/>
        </w:rPr>
      </w:pPr>
      <w:r>
        <w:rPr>
          <w:rFonts w:hint="eastAsia" w:hAnsi="宋体"/>
          <w:b/>
          <w:color w:val="auto"/>
          <w:sz w:val="32"/>
          <w:szCs w:val="32"/>
          <w:highlight w:val="none"/>
          <w:lang w:val="en-GB"/>
        </w:rPr>
        <w:br w:type="page"/>
      </w:r>
      <w:r>
        <w:rPr>
          <w:rFonts w:hint="eastAsia" w:hAnsi="宋体"/>
          <w:b/>
          <w:color w:val="auto"/>
          <w:sz w:val="32"/>
          <w:szCs w:val="32"/>
          <w:highlight w:val="none"/>
          <w:lang w:val="en-GB"/>
        </w:rPr>
        <w:t>残疾人福利性单位声明函</w:t>
      </w:r>
      <w:bookmarkEnd w:id="93"/>
      <w:bookmarkEnd w:id="94"/>
    </w:p>
    <w:p w14:paraId="1A0D1C55">
      <w:pPr>
        <w:spacing w:line="360" w:lineRule="auto"/>
        <w:ind w:firstLine="480" w:firstLineChars="200"/>
        <w:rPr>
          <w:rFonts w:ascii="宋体" w:hAnsi="宋体" w:cs="宋体"/>
          <w:color w:val="auto"/>
          <w:sz w:val="24"/>
          <w:highlight w:val="none"/>
        </w:rPr>
      </w:pPr>
    </w:p>
    <w:p w14:paraId="4AED6CD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本单位郑重声明，根据《财政部 民政部 中国残疾人联合会关于促进残疾人就业政府采购政策的通知》（财库〔2017〕141号）的规定，本单位为符合条件的残疾人福利性单位，且本单位参加</w:t>
      </w:r>
      <w:r>
        <w:rPr>
          <w:rFonts w:hint="eastAsia" w:cs="宋体"/>
          <w:b w:val="0"/>
          <w:color w:val="auto"/>
          <w:sz w:val="24"/>
          <w:szCs w:val="24"/>
          <w:highlight w:val="none"/>
          <w:u w:val="single"/>
          <w:lang w:eastAsia="zh-CN"/>
        </w:rPr>
        <w:t>台州市椒江区人民政府前所街道办事处</w:t>
      </w:r>
      <w:r>
        <w:rPr>
          <w:rFonts w:hint="eastAsia" w:ascii="宋体" w:hAnsi="宋体" w:cs="宋体"/>
          <w:color w:val="auto"/>
          <w:sz w:val="24"/>
          <w:highlight w:val="none"/>
        </w:rPr>
        <w:t>的</w:t>
      </w:r>
      <w:r>
        <w:rPr>
          <w:rFonts w:hint="eastAsia" w:ascii="宋体" w:hAnsi="宋体" w:cs="宋体"/>
          <w:color w:val="auto"/>
          <w:sz w:val="24"/>
          <w:highlight w:val="none"/>
          <w:u w:val="single"/>
          <w:lang w:eastAsia="zh-CN"/>
        </w:rPr>
        <w:t xml:space="preserve">台州市椒江区前所街道椒北南渠（大树岙村段）综合整治工程 </w:t>
      </w:r>
      <w:r>
        <w:rPr>
          <w:rFonts w:hint="eastAsia" w:ascii="宋体" w:hAnsi="宋体" w:cs="宋体"/>
          <w:color w:val="auto"/>
          <w:sz w:val="24"/>
          <w:highlight w:val="none"/>
          <w:u w:val="single"/>
        </w:rPr>
        <w:t xml:space="preserve"> </w:t>
      </w:r>
      <w:r>
        <w:rPr>
          <w:rFonts w:hint="eastAsia" w:hAnsi="宋体"/>
          <w:color w:val="auto"/>
          <w:sz w:val="24"/>
          <w:highlight w:val="none"/>
          <w:u w:val="single"/>
        </w:rPr>
        <w:t>（</w:t>
      </w:r>
      <w:r>
        <w:rPr>
          <w:rFonts w:hint="eastAsia" w:ascii="宋体" w:hAnsi="宋体" w:cs="宋体"/>
          <w:color w:val="auto"/>
          <w:kern w:val="0"/>
          <w:sz w:val="24"/>
          <w:highlight w:val="none"/>
          <w:u w:val="single"/>
        </w:rPr>
        <w:t>编号为</w:t>
      </w:r>
      <w:r>
        <w:rPr>
          <w:rFonts w:hint="eastAsia" w:ascii="宋体" w:hAnsi="宋体" w:cs="宋体"/>
          <w:color w:val="auto"/>
          <w:kern w:val="0"/>
          <w:sz w:val="24"/>
          <w:highlight w:val="none"/>
          <w:u w:val="single"/>
          <w:lang w:val="en-US" w:eastAsia="zh-CN"/>
        </w:rPr>
        <w:t>椒财采确临[2025]308号</w:t>
      </w:r>
      <w:r>
        <w:rPr>
          <w:rFonts w:hint="eastAsia" w:hAnsi="宋体" w:cs="宋体"/>
          <w:color w:val="auto"/>
          <w:kern w:val="0"/>
          <w:sz w:val="24"/>
          <w:highlight w:val="none"/>
          <w:u w:val="single"/>
        </w:rPr>
        <w:t>）</w:t>
      </w:r>
      <w:r>
        <w:rPr>
          <w:rFonts w:hint="eastAsia" w:ascii="宋体" w:hAnsi="宋体" w:cs="宋体"/>
          <w:color w:val="auto"/>
          <w:sz w:val="24"/>
          <w:highlight w:val="none"/>
        </w:rPr>
        <w:t>采购活动提供本单位制造的货物（由本单位承担工程/提供服务），或者提供其他残疾人福利性单位制造的货物（不包括使用非残疾人福利性单位注册商标的货物）。</w:t>
      </w:r>
    </w:p>
    <w:p w14:paraId="477D741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本单位对上述声明的真实性负责。如有虚假，将依法承担相应责任。</w:t>
      </w:r>
    </w:p>
    <w:p w14:paraId="067D9B47">
      <w:pPr>
        <w:pStyle w:val="23"/>
        <w:rPr>
          <w:color w:val="auto"/>
          <w:highlight w:val="none"/>
        </w:rPr>
      </w:pPr>
    </w:p>
    <w:p w14:paraId="47E2AD12">
      <w:pPr>
        <w:tabs>
          <w:tab w:val="left" w:pos="4860"/>
        </w:tabs>
        <w:spacing w:line="588" w:lineRule="exact"/>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w:t>
      </w:r>
    </w:p>
    <w:p w14:paraId="35247E76">
      <w:pPr>
        <w:pStyle w:val="49"/>
        <w:spacing w:line="360" w:lineRule="auto"/>
        <w:ind w:left="4788" w:leftChars="2280"/>
        <w:rPr>
          <w:rFonts w:ascii="宋体" w:hAnsi="宋体" w:cs="宋体"/>
          <w:color w:val="auto"/>
          <w:sz w:val="24"/>
          <w:highlight w:val="none"/>
        </w:rPr>
      </w:pPr>
      <w:r>
        <w:rPr>
          <w:rFonts w:hint="eastAsia" w:ascii="宋体" w:hAnsi="宋体" w:cs="宋体"/>
          <w:color w:val="auto"/>
          <w:sz w:val="24"/>
          <w:highlight w:val="none"/>
        </w:rPr>
        <w:t xml:space="preserve">       </w:t>
      </w:r>
    </w:p>
    <w:p w14:paraId="6B895A92">
      <w:pPr>
        <w:pStyle w:val="49"/>
        <w:spacing w:line="360" w:lineRule="auto"/>
        <w:ind w:firstLine="4800" w:firstLineChars="2000"/>
        <w:rPr>
          <w:rFonts w:ascii="宋体" w:hAnsi="宋体"/>
          <w:color w:val="auto"/>
          <w:sz w:val="24"/>
          <w:highlight w:val="none"/>
        </w:rPr>
      </w:pPr>
      <w:r>
        <w:rPr>
          <w:rFonts w:hint="eastAsia" w:ascii="宋体" w:hAnsi="宋体" w:cs="仿宋_GB2312"/>
          <w:color w:val="auto"/>
          <w:kern w:val="0"/>
          <w:sz w:val="24"/>
          <w:highlight w:val="none"/>
          <w:lang w:val="zh-CN"/>
        </w:rPr>
        <w:t>供应商名称（</w:t>
      </w:r>
      <w:r>
        <w:rPr>
          <w:rFonts w:hint="eastAsia" w:ascii="宋体" w:hAnsi="宋体"/>
          <w:color w:val="auto"/>
          <w:sz w:val="24"/>
          <w:highlight w:val="none"/>
        </w:rPr>
        <w:t>公章/电子章</w:t>
      </w:r>
      <w:r>
        <w:rPr>
          <w:rFonts w:hint="eastAsia" w:ascii="宋体" w:hAnsi="宋体" w:cs="仿宋_GB2312"/>
          <w:color w:val="auto"/>
          <w:kern w:val="0"/>
          <w:sz w:val="24"/>
          <w:highlight w:val="none"/>
          <w:lang w:val="zh-CN"/>
        </w:rPr>
        <w:t>）：</w:t>
      </w:r>
      <w:r>
        <w:rPr>
          <w:rFonts w:hint="eastAsia" w:ascii="宋体" w:hAnsi="宋体"/>
          <w:color w:val="auto"/>
          <w:sz w:val="24"/>
          <w:highlight w:val="none"/>
        </w:rPr>
        <w:t xml:space="preserve">       </w:t>
      </w:r>
    </w:p>
    <w:p w14:paraId="442352A9">
      <w:pPr>
        <w:wordWrap w:val="0"/>
        <w:spacing w:line="360" w:lineRule="auto"/>
        <w:jc w:val="right"/>
        <w:rPr>
          <w:rFonts w:hint="default"/>
          <w:color w:val="auto"/>
          <w:highlight w:val="none"/>
          <w:lang w:val="en-US"/>
        </w:rPr>
      </w:pPr>
      <w:r>
        <w:rPr>
          <w:rFonts w:hint="eastAsia" w:ascii="宋体" w:hAnsi="宋体" w:cs="仿宋_GB2312"/>
          <w:color w:val="auto"/>
          <w:kern w:val="0"/>
          <w:sz w:val="24"/>
          <w:highlight w:val="none"/>
          <w:lang w:val="en-US" w:eastAsia="zh-CN"/>
        </w:rPr>
        <w:t xml:space="preserve">     </w:t>
      </w:r>
      <w:r>
        <w:rPr>
          <w:rFonts w:hint="eastAsia" w:ascii="宋体" w:hAnsi="宋体" w:cs="仿宋_GB2312"/>
          <w:color w:val="auto"/>
          <w:kern w:val="0"/>
          <w:sz w:val="24"/>
          <w:highlight w:val="none"/>
          <w:lang w:val="zh-CN"/>
        </w:rPr>
        <w:t>日期：</w:t>
      </w:r>
      <w:r>
        <w:rPr>
          <w:rFonts w:hint="eastAsia" w:ascii="宋体" w:hAnsi="宋体" w:cs="宋体"/>
          <w:color w:val="auto"/>
          <w:sz w:val="24"/>
          <w:highlight w:val="none"/>
        </w:rPr>
        <w:t>××</w:t>
      </w:r>
      <w:r>
        <w:rPr>
          <w:rFonts w:hint="eastAsia" w:ascii="宋体" w:hAnsi="宋体" w:cs="仿宋_GB2312"/>
          <w:color w:val="auto"/>
          <w:kern w:val="0"/>
          <w:sz w:val="24"/>
          <w:highlight w:val="none"/>
          <w:lang w:val="zh-CN"/>
        </w:rPr>
        <w:t xml:space="preserve">年 </w:t>
      </w:r>
      <w:r>
        <w:rPr>
          <w:rFonts w:hint="eastAsia" w:ascii="宋体" w:hAnsi="宋体" w:cs="宋体"/>
          <w:color w:val="auto"/>
          <w:sz w:val="24"/>
          <w:highlight w:val="none"/>
        </w:rPr>
        <w:t>××</w:t>
      </w:r>
      <w:r>
        <w:rPr>
          <w:rFonts w:hint="eastAsia" w:ascii="宋体" w:hAnsi="宋体" w:cs="仿宋_GB2312"/>
          <w:color w:val="auto"/>
          <w:kern w:val="0"/>
          <w:sz w:val="24"/>
          <w:highlight w:val="none"/>
          <w:lang w:val="zh-CN"/>
        </w:rPr>
        <w:t xml:space="preserve"> 月 </w:t>
      </w:r>
      <w:r>
        <w:rPr>
          <w:rFonts w:hint="eastAsia" w:ascii="宋体" w:hAnsi="宋体" w:cs="宋体"/>
          <w:color w:val="auto"/>
          <w:sz w:val="24"/>
          <w:highlight w:val="none"/>
        </w:rPr>
        <w:t>××</w:t>
      </w:r>
      <w:r>
        <w:rPr>
          <w:rFonts w:hint="eastAsia" w:ascii="宋体" w:hAnsi="宋体" w:cs="仿宋_GB2312"/>
          <w:color w:val="auto"/>
          <w:kern w:val="0"/>
          <w:sz w:val="24"/>
          <w:highlight w:val="none"/>
          <w:lang w:val="zh-CN"/>
        </w:rPr>
        <w:t xml:space="preserve"> 日</w:t>
      </w:r>
      <w:r>
        <w:rPr>
          <w:rFonts w:hint="eastAsia" w:ascii="宋体" w:hAnsi="宋体" w:cs="仿宋_GB2312"/>
          <w:color w:val="auto"/>
          <w:kern w:val="0"/>
          <w:sz w:val="24"/>
          <w:highlight w:val="none"/>
          <w:lang w:val="en-US" w:eastAsia="zh-CN"/>
        </w:rPr>
        <w:t xml:space="preserve"> </w:t>
      </w:r>
    </w:p>
    <w:p w14:paraId="4DCB7BD1">
      <w:pPr>
        <w:pStyle w:val="9"/>
        <w:rPr>
          <w:color w:val="auto"/>
          <w:highlight w:val="none"/>
        </w:rPr>
      </w:pPr>
    </w:p>
    <w:p w14:paraId="5CB74BF8">
      <w:pPr>
        <w:rPr>
          <w:color w:val="auto"/>
          <w:highlight w:val="none"/>
        </w:rPr>
      </w:pPr>
    </w:p>
    <w:sectPr>
      <w:headerReference r:id="rId5" w:type="default"/>
      <w:footerReference r:id="rId6"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auto"/>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Helvetica">
    <w:altName w:val="Arial"/>
    <w:panose1 w:val="020B0604020202020204"/>
    <w:charset w:val="00"/>
    <w:family w:val="swiss"/>
    <w:pitch w:val="default"/>
    <w:sig w:usb0="00000000" w:usb1="00000000" w:usb2="00000000" w:usb3="00000000" w:csb0="00000000"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libri Light">
    <w:panose1 w:val="020F0302020204030204"/>
    <w:charset w:val="00"/>
    <w:family w:val="swiss"/>
    <w:pitch w:val="default"/>
    <w:sig w:usb0="E4002EFF" w:usb1="C000247B" w:usb2="00000009" w:usb3="00000000" w:csb0="200001FF" w:csb1="00000000"/>
  </w:font>
  <w:font w:name="新宋体">
    <w:panose1 w:val="02010609030101010101"/>
    <w:charset w:val="86"/>
    <w:family w:val="modern"/>
    <w:pitch w:val="default"/>
    <w:sig w:usb0="00000203" w:usb1="288F0000" w:usb2="00000006" w:usb3="00000000" w:csb0="00040001" w:csb1="00000000"/>
  </w:font>
  <w:font w:name="MS Mincho">
    <w:altName w:val="Yu Gothic UI"/>
    <w:panose1 w:val="02020609040205080304"/>
    <w:charset w:val="80"/>
    <w:family w:val="roman"/>
    <w:pitch w:val="default"/>
    <w:sig w:usb0="00000000" w:usb1="00000000" w:usb2="00000010" w:usb3="00000000" w:csb0="00020000" w:csb1="00000000"/>
  </w:font>
  <w:font w:name="Yu Gothic UI">
    <w:panose1 w:val="020B0500000000000000"/>
    <w:charset w:val="80"/>
    <w:family w:val="auto"/>
    <w:pitch w:val="default"/>
    <w:sig w:usb0="E00002FF" w:usb1="2AC7FDFF" w:usb2="00000016" w:usb3="00000000" w:csb0="2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3DC971">
    <w:pPr>
      <w:pStyle w:val="15"/>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21285" cy="137795"/>
              <wp:effectExtent l="0" t="0" r="0" b="0"/>
              <wp:wrapNone/>
              <wp:docPr id="7" name="文本框 7"/>
              <wp:cNvGraphicFramePr/>
              <a:graphic xmlns:a="http://schemas.openxmlformats.org/drawingml/2006/main">
                <a:graphicData uri="http://schemas.microsoft.com/office/word/2010/wordprocessingShape">
                  <wps:wsp>
                    <wps:cNvSpPr txBox="1"/>
                    <wps:spPr>
                      <a:xfrm>
                        <a:off x="0" y="0"/>
                        <a:ext cx="121285" cy="137795"/>
                      </a:xfrm>
                      <a:prstGeom prst="rect">
                        <a:avLst/>
                      </a:prstGeom>
                      <a:noFill/>
                      <a:ln w="6350">
                        <a:noFill/>
                      </a:ln>
                      <a:effectLst/>
                    </wps:spPr>
                    <wps:txbx>
                      <w:txbxContent>
                        <w:p w14:paraId="1A005C48">
                          <w:pPr>
                            <w:pStyle w:val="15"/>
                          </w:pPr>
                          <w:r>
                            <w:fldChar w:fldCharType="begin"/>
                          </w:r>
                          <w:r>
                            <w:instrText xml:space="preserve"> PAGE  \* MERGEFORMAT </w:instrText>
                          </w:r>
                          <w:r>
                            <w:fldChar w:fldCharType="separate"/>
                          </w:r>
                          <w:r>
                            <w:t>31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0.85pt;width:9.55pt;mso-position-horizontal:center;mso-position-horizontal-relative:margin;mso-wrap-style:none;z-index:251660288;mso-width-relative:page;mso-height-relative:page;" filled="f" stroked="f" coordsize="21600,21600" o:gfxdata="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hqzEdIAAAADAQAADwAAAAAAAAABACAAAAAiAAAAZHJzL2Rvd25yZXYueG1s&#10;UEsBAhQAFAAAAAgAh07iQEz0dNg3AgAAYQQAAA4AAAAAAAAAAQAgAAAAIQEAAGRycy9lMm9Eb2Mu&#10;eG1sUEsFBgAAAAAGAAYAWQEAAMoFAAAAAA==&#10;">
              <v:fill on="f" focussize="0,0"/>
              <v:stroke on="f" weight="0.5pt"/>
              <v:imagedata o:title=""/>
              <o:lock v:ext="edit" aspectratio="f"/>
              <v:textbox inset="0mm,0mm,0mm,0mm" style="mso-fit-shape-to-text:t;">
                <w:txbxContent>
                  <w:p w14:paraId="1A005C48">
                    <w:pPr>
                      <w:pStyle w:val="15"/>
                    </w:pPr>
                    <w:r>
                      <w:fldChar w:fldCharType="begin"/>
                    </w:r>
                    <w:r>
                      <w:instrText xml:space="preserve"> PAGE  \* MERGEFORMAT </w:instrText>
                    </w:r>
                    <w:r>
                      <w:fldChar w:fldCharType="separate"/>
                    </w:r>
                    <w:r>
                      <w:t>31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8D99FC">
    <w:pPr>
      <w:spacing w:line="1" w:lineRule="exact"/>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2A2AEA">
    <w:pPr>
      <w:pStyle w:val="15"/>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21285" cy="137795"/>
              <wp:effectExtent l="0" t="0" r="0" b="0"/>
              <wp:wrapNone/>
              <wp:docPr id="8" name="文本框 8"/>
              <wp:cNvGraphicFramePr/>
              <a:graphic xmlns:a="http://schemas.openxmlformats.org/drawingml/2006/main">
                <a:graphicData uri="http://schemas.microsoft.com/office/word/2010/wordprocessingShape">
                  <wps:wsp>
                    <wps:cNvSpPr txBox="1"/>
                    <wps:spPr>
                      <a:xfrm>
                        <a:off x="0" y="0"/>
                        <a:ext cx="121285" cy="137795"/>
                      </a:xfrm>
                      <a:prstGeom prst="rect">
                        <a:avLst/>
                      </a:prstGeom>
                      <a:noFill/>
                      <a:ln w="6350">
                        <a:noFill/>
                      </a:ln>
                      <a:effectLst/>
                    </wps:spPr>
                    <wps:txbx>
                      <w:txbxContent>
                        <w:p w14:paraId="785209B6">
                          <w:pPr>
                            <w:pStyle w:val="15"/>
                          </w:pPr>
                          <w:r>
                            <w:fldChar w:fldCharType="begin"/>
                          </w:r>
                          <w:r>
                            <w:instrText xml:space="preserve"> PAGE  \* MERGEFORMAT </w:instrText>
                          </w:r>
                          <w:r>
                            <w:fldChar w:fldCharType="separate"/>
                          </w:r>
                          <w:r>
                            <w:t>51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0.85pt;width:9.55pt;mso-position-horizontal:center;mso-position-horizontal-relative:margin;mso-wrap-style:none;z-index:251661312;mso-width-relative:page;mso-height-relative:page;" filled="f" stroked="f" coordsize="21600,21600" o:gfxdata="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hqzEdIAAAADAQAADwAAAAAAAAABACAAAAAiAAAAZHJzL2Rvd25yZXYueG1s&#10;UEsBAhQAFAAAAAgAh07iQH7oRnI3AgAAYQQAAA4AAAAAAAAAAQAgAAAAIQEAAGRycy9lMm9Eb2Mu&#10;eG1sUEsFBgAAAAAGAAYAWQEAAMoFAAAAAA==&#10;">
              <v:fill on="f" focussize="0,0"/>
              <v:stroke on="f" weight="0.5pt"/>
              <v:imagedata o:title=""/>
              <o:lock v:ext="edit" aspectratio="f"/>
              <v:textbox inset="0mm,0mm,0mm,0mm" style="mso-fit-shape-to-text:t;">
                <w:txbxContent>
                  <w:p w14:paraId="785209B6">
                    <w:pPr>
                      <w:pStyle w:val="15"/>
                    </w:pPr>
                    <w:r>
                      <w:fldChar w:fldCharType="begin"/>
                    </w:r>
                    <w:r>
                      <w:instrText xml:space="preserve"> PAGE  \* MERGEFORMAT </w:instrText>
                    </w:r>
                    <w:r>
                      <w:fldChar w:fldCharType="separate"/>
                    </w:r>
                    <w:r>
                      <w:t>51</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C12088">
    <w:pPr>
      <w:spacing w:line="20" w:lineRule="atLeast"/>
      <w:rPr>
        <w:b/>
        <w:color w:val="000000" w:themeColor="text1"/>
        <w:sz w:val="10"/>
        <w:u w:val="single"/>
        <w14:textFill>
          <w14:solidFill>
            <w14:schemeClr w14:val="tx1"/>
          </w14:solidFill>
        </w14:textFill>
      </w:rPr>
    </w:pPr>
    <w:r>
      <w:rPr>
        <w:rFonts w:hint="eastAsia"/>
        <w:b/>
        <w:i/>
        <w:color w:val="000000" w:themeColor="text1"/>
        <w:kern w:val="0"/>
        <w:sz w:val="18"/>
        <w:u w:val="single"/>
        <w14:textFill>
          <w14:solidFill>
            <w14:schemeClr w14:val="tx1"/>
          </w14:solidFill>
        </w14:textFill>
      </w:rPr>
      <w:t xml:space="preserve">Xxx政府采购采购文件                                                            </w:t>
    </w:r>
    <w:r>
      <w:rPr>
        <w:rFonts w:hint="eastAsia"/>
        <w:b/>
        <w:i/>
        <w:color w:val="000000" w:themeColor="text1"/>
        <w:spacing w:val="-20"/>
        <w:kern w:val="0"/>
        <w:sz w:val="18"/>
        <w:u w:val="single"/>
        <w14:textFill>
          <w14:solidFill>
            <w14:schemeClr w14:val="tx1"/>
          </w14:solidFill>
        </w14:textFill>
      </w:rPr>
      <w:t>第</w:t>
    </w:r>
    <w:r>
      <w:rPr>
        <w:b/>
        <w:i/>
        <w:color w:val="000000" w:themeColor="text1"/>
        <w:spacing w:val="-20"/>
        <w:kern w:val="0"/>
        <w:sz w:val="18"/>
        <w:u w:val="single"/>
        <w14:textFill>
          <w14:solidFill>
            <w14:schemeClr w14:val="tx1"/>
          </w14:solidFill>
        </w14:textFill>
      </w:rPr>
      <w:fldChar w:fldCharType="begin"/>
    </w:r>
    <w:r>
      <w:rPr>
        <w:b/>
        <w:i/>
        <w:color w:val="000000" w:themeColor="text1"/>
        <w:spacing w:val="-20"/>
        <w:kern w:val="0"/>
        <w:sz w:val="18"/>
        <w:u w:val="single"/>
        <w14:textFill>
          <w14:solidFill>
            <w14:schemeClr w14:val="tx1"/>
          </w14:solidFill>
        </w14:textFill>
      </w:rPr>
      <w:instrText xml:space="preserve"> PAGE </w:instrText>
    </w:r>
    <w:r>
      <w:rPr>
        <w:b/>
        <w:i/>
        <w:color w:val="000000" w:themeColor="text1"/>
        <w:spacing w:val="-20"/>
        <w:kern w:val="0"/>
        <w:sz w:val="18"/>
        <w:u w:val="single"/>
        <w14:textFill>
          <w14:solidFill>
            <w14:schemeClr w14:val="tx1"/>
          </w14:solidFill>
        </w14:textFill>
      </w:rPr>
      <w:fldChar w:fldCharType="separate"/>
    </w:r>
    <w:r>
      <w:rPr>
        <w:b/>
        <w:i/>
        <w:color w:val="000000" w:themeColor="text1"/>
        <w:spacing w:val="-20"/>
        <w:kern w:val="0"/>
        <w:sz w:val="18"/>
        <w:u w:val="single"/>
        <w14:textFill>
          <w14:solidFill>
            <w14:schemeClr w14:val="tx1"/>
          </w14:solidFill>
        </w14:textFill>
      </w:rPr>
      <w:t>51</w:t>
    </w:r>
    <w:r>
      <w:rPr>
        <w:b/>
        <w:i/>
        <w:color w:val="000000" w:themeColor="text1"/>
        <w:spacing w:val="-20"/>
        <w:kern w:val="0"/>
        <w:sz w:val="18"/>
        <w:u w:val="single"/>
        <w14:textFill>
          <w14:solidFill>
            <w14:schemeClr w14:val="tx1"/>
          </w14:solidFill>
        </w14:textFill>
      </w:rPr>
      <w:fldChar w:fldCharType="end"/>
    </w:r>
    <w:r>
      <w:rPr>
        <w:rFonts w:hint="eastAsia"/>
        <w:b/>
        <w:i/>
        <w:color w:val="000000" w:themeColor="text1"/>
        <w:spacing w:val="-20"/>
        <w:kern w:val="0"/>
        <w:sz w:val="18"/>
        <w:u w:val="single"/>
        <w14:textFill>
          <w14:solidFill>
            <w14:schemeClr w14:val="tx1"/>
          </w14:solidFill>
        </w14:textFill>
      </w:rPr>
      <w:t>页共</w:t>
    </w:r>
    <w:r>
      <w:rPr>
        <w:b/>
        <w:i/>
        <w:color w:val="000000" w:themeColor="text1"/>
        <w:spacing w:val="-20"/>
        <w:kern w:val="0"/>
        <w:sz w:val="18"/>
        <w:u w:val="single"/>
        <w14:textFill>
          <w14:solidFill>
            <w14:schemeClr w14:val="tx1"/>
          </w14:solidFill>
        </w14:textFill>
      </w:rPr>
      <w:fldChar w:fldCharType="begin"/>
    </w:r>
    <w:r>
      <w:rPr>
        <w:b/>
        <w:i/>
        <w:color w:val="000000" w:themeColor="text1"/>
        <w:spacing w:val="-20"/>
        <w:kern w:val="0"/>
        <w:sz w:val="18"/>
        <w:u w:val="single"/>
        <w14:textFill>
          <w14:solidFill>
            <w14:schemeClr w14:val="tx1"/>
          </w14:solidFill>
        </w14:textFill>
      </w:rPr>
      <w:instrText xml:space="preserve"> NUMPAGES </w:instrText>
    </w:r>
    <w:r>
      <w:rPr>
        <w:b/>
        <w:i/>
        <w:color w:val="000000" w:themeColor="text1"/>
        <w:spacing w:val="-20"/>
        <w:kern w:val="0"/>
        <w:sz w:val="18"/>
        <w:u w:val="single"/>
        <w14:textFill>
          <w14:solidFill>
            <w14:schemeClr w14:val="tx1"/>
          </w14:solidFill>
        </w14:textFill>
      </w:rPr>
      <w:fldChar w:fldCharType="separate"/>
    </w:r>
    <w:r>
      <w:rPr>
        <w:b/>
        <w:i/>
        <w:color w:val="000000" w:themeColor="text1"/>
        <w:spacing w:val="-20"/>
        <w:kern w:val="0"/>
        <w:sz w:val="18"/>
        <w:u w:val="single"/>
        <w14:textFill>
          <w14:solidFill>
            <w14:schemeClr w14:val="tx1"/>
          </w14:solidFill>
        </w14:textFill>
      </w:rPr>
      <w:t>51</w:t>
    </w:r>
    <w:r>
      <w:rPr>
        <w:b/>
        <w:i/>
        <w:color w:val="000000" w:themeColor="text1"/>
        <w:spacing w:val="-20"/>
        <w:kern w:val="0"/>
        <w:sz w:val="18"/>
        <w:u w:val="single"/>
        <w14:textFill>
          <w14:solidFill>
            <w14:schemeClr w14:val="tx1"/>
          </w14:solidFill>
        </w14:textFill>
      </w:rPr>
      <w:fldChar w:fldCharType="end"/>
    </w:r>
    <w:r>
      <w:rPr>
        <w:rFonts w:hint="eastAsia"/>
        <w:b/>
        <w:i/>
        <w:color w:val="000000" w:themeColor="text1"/>
        <w:spacing w:val="-20"/>
        <w:kern w:val="0"/>
        <w:sz w:val="18"/>
        <w:u w:val="single"/>
        <w14:textFill>
          <w14:solidFill>
            <w14:schemeClr w14:val="tx1"/>
          </w14:solidFill>
        </w14:textFill>
      </w:rPr>
      <w:t>页</w:t>
    </w:r>
  </w:p>
  <w:p w14:paraId="2DEAED31">
    <w:pPr>
      <w:pStyle w:val="1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5CFA382"/>
    <w:multiLevelType w:val="singleLevel"/>
    <w:tmpl w:val="95CFA382"/>
    <w:lvl w:ilvl="0" w:tentative="0">
      <w:start w:val="1"/>
      <w:numFmt w:val="decimal"/>
      <w:suff w:val="nothing"/>
      <w:lvlText w:val="%1、"/>
      <w:lvlJc w:val="left"/>
    </w:lvl>
  </w:abstractNum>
  <w:abstractNum w:abstractNumId="1">
    <w:nsid w:val="DF48CB86"/>
    <w:multiLevelType w:val="singleLevel"/>
    <w:tmpl w:val="DF48CB86"/>
    <w:lvl w:ilvl="0" w:tentative="0">
      <w:start w:val="1"/>
      <w:numFmt w:val="chineseCounting"/>
      <w:suff w:val="nothing"/>
      <w:lvlText w:val="（%1）"/>
      <w:lvlJc w:val="left"/>
      <w:rPr>
        <w:rFonts w:hint="eastAsia"/>
      </w:rPr>
    </w:lvl>
  </w:abstractNum>
  <w:abstractNum w:abstractNumId="2">
    <w:nsid w:val="E84E01E9"/>
    <w:multiLevelType w:val="singleLevel"/>
    <w:tmpl w:val="E84E01E9"/>
    <w:lvl w:ilvl="0" w:tentative="0">
      <w:start w:val="1"/>
      <w:numFmt w:val="decimal"/>
      <w:lvlText w:val="%1."/>
      <w:lvlJc w:val="left"/>
      <w:pPr>
        <w:tabs>
          <w:tab w:val="left" w:pos="312"/>
        </w:tabs>
      </w:pPr>
    </w:lvl>
  </w:abstractNum>
  <w:abstractNum w:abstractNumId="3">
    <w:nsid w:val="0000000C"/>
    <w:multiLevelType w:val="singleLevel"/>
    <w:tmpl w:val="0000000C"/>
    <w:lvl w:ilvl="0" w:tentative="0">
      <w:start w:val="1"/>
      <w:numFmt w:val="decimal"/>
      <w:suff w:val="nothing"/>
      <w:lvlText w:val="%1、"/>
      <w:lvlJc w:val="left"/>
    </w:lvl>
  </w:abstractNum>
  <w:abstractNum w:abstractNumId="4">
    <w:nsid w:val="0000000D"/>
    <w:multiLevelType w:val="singleLevel"/>
    <w:tmpl w:val="0000000D"/>
    <w:lvl w:ilvl="0" w:tentative="0">
      <w:start w:val="1"/>
      <w:numFmt w:val="decimal"/>
      <w:lvlText w:val="%1."/>
      <w:lvlJc w:val="left"/>
      <w:pPr>
        <w:tabs>
          <w:tab w:val="left" w:pos="312"/>
        </w:tabs>
      </w:pPr>
    </w:lvl>
  </w:abstractNum>
  <w:abstractNum w:abstractNumId="5">
    <w:nsid w:val="0ED2C79B"/>
    <w:multiLevelType w:val="singleLevel"/>
    <w:tmpl w:val="0ED2C79B"/>
    <w:lvl w:ilvl="0" w:tentative="0">
      <w:start w:val="1"/>
      <w:numFmt w:val="decimal"/>
      <w:pStyle w:val="5"/>
      <w:lvlText w:val="%1."/>
      <w:lvlJc w:val="left"/>
      <w:pPr>
        <w:tabs>
          <w:tab w:val="left" w:pos="360"/>
        </w:tabs>
        <w:ind w:left="360" w:hanging="360"/>
      </w:pPr>
    </w:lvl>
  </w:abstractNum>
  <w:abstractNum w:abstractNumId="6">
    <w:nsid w:val="10513862"/>
    <w:multiLevelType w:val="singleLevel"/>
    <w:tmpl w:val="10513862"/>
    <w:lvl w:ilvl="0" w:tentative="0">
      <w:start w:val="1"/>
      <w:numFmt w:val="chineseCounting"/>
      <w:suff w:val="nothing"/>
      <w:lvlText w:val="%1、"/>
      <w:lvlJc w:val="left"/>
      <w:rPr>
        <w:rFonts w:hint="eastAsia"/>
      </w:rPr>
    </w:lvl>
  </w:abstractNum>
  <w:abstractNum w:abstractNumId="7">
    <w:nsid w:val="46102FE6"/>
    <w:multiLevelType w:val="singleLevel"/>
    <w:tmpl w:val="46102FE6"/>
    <w:lvl w:ilvl="0" w:tentative="0">
      <w:start w:val="3"/>
      <w:numFmt w:val="decimal"/>
      <w:suff w:val="nothing"/>
      <w:lvlText w:val="%1、"/>
      <w:lvlJc w:val="left"/>
    </w:lvl>
  </w:abstractNum>
  <w:abstractNum w:abstractNumId="8">
    <w:nsid w:val="461E5E94"/>
    <w:multiLevelType w:val="singleLevel"/>
    <w:tmpl w:val="461E5E94"/>
    <w:lvl w:ilvl="0" w:tentative="0">
      <w:start w:val="2"/>
      <w:numFmt w:val="chineseCounting"/>
      <w:suff w:val="space"/>
      <w:lvlText w:val="第%1章"/>
      <w:lvlJc w:val="left"/>
      <w:rPr>
        <w:rFonts w:hint="eastAsia"/>
      </w:rPr>
    </w:lvl>
  </w:abstractNum>
  <w:abstractNum w:abstractNumId="9">
    <w:nsid w:val="636567A2"/>
    <w:multiLevelType w:val="multilevel"/>
    <w:tmpl w:val="636567A2"/>
    <w:lvl w:ilvl="0" w:tentative="0">
      <w:start w:val="1"/>
      <w:numFmt w:val="decimal"/>
      <w:pStyle w:val="2"/>
      <w:lvlText w:val="第%1章"/>
      <w:lvlJc w:val="left"/>
      <w:pPr>
        <w:ind w:left="425" w:hanging="425"/>
      </w:pPr>
      <w:rPr>
        <w:rFonts w:hint="eastAsia"/>
        <w:sz w:val="44"/>
        <w:szCs w:val="44"/>
      </w:rPr>
    </w:lvl>
    <w:lvl w:ilvl="1" w:tentative="0">
      <w:start w:val="1"/>
      <w:numFmt w:val="decimal"/>
      <w:isLgl/>
      <w:suff w:val="nothing"/>
      <w:lvlText w:val="%1.%2  "/>
      <w:lvlJc w:val="left"/>
      <w:pPr>
        <w:ind w:left="851" w:hanging="284"/>
      </w:pPr>
      <w:rPr>
        <w:rFonts w:hint="eastAsia"/>
      </w:rPr>
    </w:lvl>
    <w:lvl w:ilvl="2" w:tentative="0">
      <w:start w:val="1"/>
      <w:numFmt w:val="decimal"/>
      <w:isLgl/>
      <w:lvlText w:val="%1.%2.%3"/>
      <w:lvlJc w:val="left"/>
      <w:pPr>
        <w:ind w:left="0" w:firstLine="0"/>
      </w:pPr>
      <w:rPr>
        <w:rFonts w:hint="eastAsia"/>
      </w:rPr>
    </w:lvl>
    <w:lvl w:ilvl="3" w:tentative="0">
      <w:start w:val="1"/>
      <w:numFmt w:val="decimal"/>
      <w:isLgl/>
      <w:lvlText w:val="%1.%2.%3.%4"/>
      <w:lvlJc w:val="left"/>
      <w:pPr>
        <w:ind w:left="1984" w:hanging="708"/>
      </w:pPr>
      <w:rPr>
        <w:rFonts w:hint="eastAsia"/>
      </w:rPr>
    </w:lvl>
    <w:lvl w:ilvl="4" w:tentative="0">
      <w:start w:val="1"/>
      <w:numFmt w:val="decimal"/>
      <w:lvlText w:val="%1.%2.%3.%4.%5"/>
      <w:lvlJc w:val="left"/>
      <w:pPr>
        <w:tabs>
          <w:tab w:val="left" w:pos="1009"/>
        </w:tabs>
        <w:ind w:left="1009" w:hanging="442"/>
      </w:pPr>
      <w:rPr>
        <w:rFonts w:hint="eastAsia"/>
      </w:rPr>
    </w:lvl>
    <w:lvl w:ilvl="5" w:tentative="0">
      <w:start w:val="1"/>
      <w:numFmt w:val="decimal"/>
      <w:lvlText w:val="%1.%2.%3.%4.%5.%6"/>
      <w:lvlJc w:val="left"/>
      <w:pPr>
        <w:ind w:left="1151" w:hanging="584"/>
      </w:pPr>
      <w:rPr>
        <w:rFonts w:hint="eastAsia"/>
      </w:rPr>
    </w:lvl>
    <w:lvl w:ilvl="6" w:tentative="0">
      <w:start w:val="1"/>
      <w:numFmt w:val="decimal"/>
      <w:lvlRestart w:val="1"/>
      <w:lvlText w:val="%1.%2.%3.%4.%5.%6.%7"/>
      <w:lvlJc w:val="left"/>
      <w:pPr>
        <w:ind w:left="5109" w:hanging="851"/>
      </w:pPr>
      <w:rPr>
        <w:rFonts w:hint="eastAsia"/>
      </w:rPr>
    </w:lvl>
    <w:lvl w:ilvl="7" w:tentative="0">
      <w:start w:val="1"/>
      <w:numFmt w:val="decimal"/>
      <w:lvlRestart w:val="1"/>
      <w:suff w:val="nothing"/>
      <w:lvlText w:val="表%1-%8  "/>
      <w:lvlJc w:val="left"/>
      <w:pPr>
        <w:ind w:left="4820" w:hanging="1417"/>
      </w:pPr>
      <w:rPr>
        <w:rFonts w:hint="eastAsia" w:ascii="Times New Roman" w:hAnsi="Times New Roman" w:cs="Times New Roman"/>
        <w:bCs w:val="0"/>
        <w:i w:val="0"/>
        <w:iCs w:val="0"/>
        <w:caps w:val="0"/>
        <w:smallCaps w:val="0"/>
        <w:strike w:val="0"/>
        <w:dstrike w:val="0"/>
        <w:vanish w:val="0"/>
        <w:spacing w:val="0"/>
        <w:position w:val="0"/>
        <w:u w:val="none"/>
        <w:vertAlign w:val="baseline"/>
      </w:rPr>
    </w:lvl>
    <w:lvl w:ilvl="8" w:tentative="0">
      <w:start w:val="1"/>
      <w:numFmt w:val="decimal"/>
      <w:lvlRestart w:val="1"/>
      <w:suff w:val="nothing"/>
      <w:lvlText w:val="图%1-%9  "/>
      <w:lvlJc w:val="left"/>
      <w:pPr>
        <w:ind w:left="5102" w:hanging="1700"/>
      </w:pPr>
      <w:rPr>
        <w:rFonts w:hint="eastAsia"/>
      </w:rPr>
    </w:lvl>
  </w:abstractNum>
  <w:abstractNum w:abstractNumId="10">
    <w:nsid w:val="66DDD653"/>
    <w:multiLevelType w:val="singleLevel"/>
    <w:tmpl w:val="66DDD653"/>
    <w:lvl w:ilvl="0" w:tentative="0">
      <w:start w:val="1"/>
      <w:numFmt w:val="chineseCounting"/>
      <w:suff w:val="space"/>
      <w:lvlText w:val="第%1章"/>
      <w:lvlJc w:val="left"/>
      <w:rPr>
        <w:rFonts w:hint="eastAsia"/>
      </w:rPr>
    </w:lvl>
  </w:abstractNum>
  <w:num w:numId="1">
    <w:abstractNumId w:val="9"/>
  </w:num>
  <w:num w:numId="2">
    <w:abstractNumId w:val="5"/>
  </w:num>
  <w:num w:numId="3">
    <w:abstractNumId w:val="10"/>
  </w:num>
  <w:num w:numId="4">
    <w:abstractNumId w:val="8"/>
  </w:num>
  <w:num w:numId="5">
    <w:abstractNumId w:val="6"/>
  </w:num>
  <w:num w:numId="6">
    <w:abstractNumId w:val="1"/>
  </w:num>
  <w:num w:numId="7">
    <w:abstractNumId w:val="7"/>
  </w:num>
  <w:num w:numId="8">
    <w:abstractNumId w:val="2"/>
  </w:num>
  <w:num w:numId="9">
    <w:abstractNumId w:val="0"/>
  </w:num>
  <w:num w:numId="10">
    <w:abstractNumId w:val="4"/>
  </w:num>
  <w:num w:numId="1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trackRevisions w:val="1"/>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3"/>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QwMWQzOTAxZWNiN2UyNTZkODY5Zjk2NjVmMTdjODkifQ=="/>
  </w:docVars>
  <w:rsids>
    <w:rsidRoot w:val="685F2B0C"/>
    <w:rsid w:val="00027374"/>
    <w:rsid w:val="0007403C"/>
    <w:rsid w:val="00081E1A"/>
    <w:rsid w:val="000B2796"/>
    <w:rsid w:val="000B72D1"/>
    <w:rsid w:val="000C4402"/>
    <w:rsid w:val="000C7668"/>
    <w:rsid w:val="000D1046"/>
    <w:rsid w:val="000E159B"/>
    <w:rsid w:val="00104467"/>
    <w:rsid w:val="001419ED"/>
    <w:rsid w:val="00155877"/>
    <w:rsid w:val="00192140"/>
    <w:rsid w:val="001941AC"/>
    <w:rsid w:val="001B7489"/>
    <w:rsid w:val="001C5AB2"/>
    <w:rsid w:val="00217499"/>
    <w:rsid w:val="00221CA4"/>
    <w:rsid w:val="0023468B"/>
    <w:rsid w:val="002467A6"/>
    <w:rsid w:val="002600D0"/>
    <w:rsid w:val="002676CF"/>
    <w:rsid w:val="00267F83"/>
    <w:rsid w:val="002836A7"/>
    <w:rsid w:val="00296F73"/>
    <w:rsid w:val="002D298A"/>
    <w:rsid w:val="002F43CF"/>
    <w:rsid w:val="00305856"/>
    <w:rsid w:val="00315916"/>
    <w:rsid w:val="00333B35"/>
    <w:rsid w:val="00350521"/>
    <w:rsid w:val="003577EE"/>
    <w:rsid w:val="00366FA4"/>
    <w:rsid w:val="00377AE1"/>
    <w:rsid w:val="00386FCB"/>
    <w:rsid w:val="003B3897"/>
    <w:rsid w:val="003B7B17"/>
    <w:rsid w:val="003E41A8"/>
    <w:rsid w:val="003F332D"/>
    <w:rsid w:val="004052EA"/>
    <w:rsid w:val="004335DE"/>
    <w:rsid w:val="00463B70"/>
    <w:rsid w:val="00471EF0"/>
    <w:rsid w:val="00480FD3"/>
    <w:rsid w:val="004A4341"/>
    <w:rsid w:val="004D2505"/>
    <w:rsid w:val="00553621"/>
    <w:rsid w:val="00580522"/>
    <w:rsid w:val="005A5509"/>
    <w:rsid w:val="005A5EDC"/>
    <w:rsid w:val="005A671E"/>
    <w:rsid w:val="005B1C12"/>
    <w:rsid w:val="005D451E"/>
    <w:rsid w:val="006A3AB3"/>
    <w:rsid w:val="006F2372"/>
    <w:rsid w:val="0073607F"/>
    <w:rsid w:val="00770EC7"/>
    <w:rsid w:val="00791044"/>
    <w:rsid w:val="007A069B"/>
    <w:rsid w:val="007B2263"/>
    <w:rsid w:val="007B3E3E"/>
    <w:rsid w:val="007B51ED"/>
    <w:rsid w:val="007B6F4D"/>
    <w:rsid w:val="007C1AD0"/>
    <w:rsid w:val="007C4012"/>
    <w:rsid w:val="007D7379"/>
    <w:rsid w:val="00824D38"/>
    <w:rsid w:val="00855072"/>
    <w:rsid w:val="008935AF"/>
    <w:rsid w:val="008B434D"/>
    <w:rsid w:val="008D2153"/>
    <w:rsid w:val="008D7564"/>
    <w:rsid w:val="008E3A17"/>
    <w:rsid w:val="008E4CC2"/>
    <w:rsid w:val="00911A3E"/>
    <w:rsid w:val="0092016A"/>
    <w:rsid w:val="009210FF"/>
    <w:rsid w:val="00932D08"/>
    <w:rsid w:val="00987EDA"/>
    <w:rsid w:val="009903E3"/>
    <w:rsid w:val="009B106E"/>
    <w:rsid w:val="009E6079"/>
    <w:rsid w:val="009E781B"/>
    <w:rsid w:val="00A04722"/>
    <w:rsid w:val="00A34AA1"/>
    <w:rsid w:val="00A71B65"/>
    <w:rsid w:val="00A87AA8"/>
    <w:rsid w:val="00A921FD"/>
    <w:rsid w:val="00A96D55"/>
    <w:rsid w:val="00A979AB"/>
    <w:rsid w:val="00AA0052"/>
    <w:rsid w:val="00AB49B7"/>
    <w:rsid w:val="00AB49C5"/>
    <w:rsid w:val="00AC2EE8"/>
    <w:rsid w:val="00AE24AF"/>
    <w:rsid w:val="00B76650"/>
    <w:rsid w:val="00B818F7"/>
    <w:rsid w:val="00BA0B90"/>
    <w:rsid w:val="00BB21ED"/>
    <w:rsid w:val="00BD36E0"/>
    <w:rsid w:val="00BD54D8"/>
    <w:rsid w:val="00BF2995"/>
    <w:rsid w:val="00C04262"/>
    <w:rsid w:val="00C326B9"/>
    <w:rsid w:val="00C36F2E"/>
    <w:rsid w:val="00C4286B"/>
    <w:rsid w:val="00C44749"/>
    <w:rsid w:val="00C66741"/>
    <w:rsid w:val="00C72988"/>
    <w:rsid w:val="00CA445E"/>
    <w:rsid w:val="00CA4AD5"/>
    <w:rsid w:val="00D0490A"/>
    <w:rsid w:val="00D11FE8"/>
    <w:rsid w:val="00D12D7C"/>
    <w:rsid w:val="00D138B9"/>
    <w:rsid w:val="00D15EB2"/>
    <w:rsid w:val="00D347B0"/>
    <w:rsid w:val="00D90E3C"/>
    <w:rsid w:val="00D91C09"/>
    <w:rsid w:val="00D96F57"/>
    <w:rsid w:val="00DC2ACC"/>
    <w:rsid w:val="00DD32D9"/>
    <w:rsid w:val="00DD4A79"/>
    <w:rsid w:val="00E02247"/>
    <w:rsid w:val="00E22ADC"/>
    <w:rsid w:val="00EA6889"/>
    <w:rsid w:val="00EC0D4A"/>
    <w:rsid w:val="00ED13E1"/>
    <w:rsid w:val="00F27C47"/>
    <w:rsid w:val="00F30117"/>
    <w:rsid w:val="00F318C7"/>
    <w:rsid w:val="00F351C7"/>
    <w:rsid w:val="00F547A1"/>
    <w:rsid w:val="00F55781"/>
    <w:rsid w:val="00F67942"/>
    <w:rsid w:val="00F731CE"/>
    <w:rsid w:val="00F93C8D"/>
    <w:rsid w:val="00FE6575"/>
    <w:rsid w:val="010742D5"/>
    <w:rsid w:val="011F460A"/>
    <w:rsid w:val="012375FA"/>
    <w:rsid w:val="012B64AF"/>
    <w:rsid w:val="013D69DB"/>
    <w:rsid w:val="01514167"/>
    <w:rsid w:val="01851778"/>
    <w:rsid w:val="01967DCC"/>
    <w:rsid w:val="01AE11E6"/>
    <w:rsid w:val="01C3757A"/>
    <w:rsid w:val="01F53A09"/>
    <w:rsid w:val="01F80A87"/>
    <w:rsid w:val="02072CC8"/>
    <w:rsid w:val="02220C8A"/>
    <w:rsid w:val="026954E1"/>
    <w:rsid w:val="02E32A3D"/>
    <w:rsid w:val="02FA6A29"/>
    <w:rsid w:val="033D3B0D"/>
    <w:rsid w:val="03400DD0"/>
    <w:rsid w:val="035E2B6B"/>
    <w:rsid w:val="03994759"/>
    <w:rsid w:val="03AE165D"/>
    <w:rsid w:val="03B1713F"/>
    <w:rsid w:val="03B92608"/>
    <w:rsid w:val="03E6762D"/>
    <w:rsid w:val="045C047C"/>
    <w:rsid w:val="046041A0"/>
    <w:rsid w:val="04604D98"/>
    <w:rsid w:val="04926F71"/>
    <w:rsid w:val="049D3746"/>
    <w:rsid w:val="04A0717A"/>
    <w:rsid w:val="04AB28AB"/>
    <w:rsid w:val="04D80590"/>
    <w:rsid w:val="05A87DBC"/>
    <w:rsid w:val="05B01B1D"/>
    <w:rsid w:val="06653EC4"/>
    <w:rsid w:val="06744624"/>
    <w:rsid w:val="0699402C"/>
    <w:rsid w:val="069C64C8"/>
    <w:rsid w:val="06A0112C"/>
    <w:rsid w:val="06C00E8D"/>
    <w:rsid w:val="06EE255D"/>
    <w:rsid w:val="07222AB0"/>
    <w:rsid w:val="072A48E8"/>
    <w:rsid w:val="073A45DA"/>
    <w:rsid w:val="074273EB"/>
    <w:rsid w:val="0743404F"/>
    <w:rsid w:val="07473237"/>
    <w:rsid w:val="075A1545"/>
    <w:rsid w:val="07725029"/>
    <w:rsid w:val="07754928"/>
    <w:rsid w:val="079F3EE7"/>
    <w:rsid w:val="07A9604A"/>
    <w:rsid w:val="07C86BAA"/>
    <w:rsid w:val="07C95D06"/>
    <w:rsid w:val="07DA6FC5"/>
    <w:rsid w:val="07DF5164"/>
    <w:rsid w:val="07E50580"/>
    <w:rsid w:val="07FA0FC2"/>
    <w:rsid w:val="08142FA0"/>
    <w:rsid w:val="081717A6"/>
    <w:rsid w:val="081911AD"/>
    <w:rsid w:val="081F2FCD"/>
    <w:rsid w:val="084B5CBA"/>
    <w:rsid w:val="08597429"/>
    <w:rsid w:val="08696EDC"/>
    <w:rsid w:val="089A1A2B"/>
    <w:rsid w:val="08CE1EA3"/>
    <w:rsid w:val="08DC3175"/>
    <w:rsid w:val="08E44D18"/>
    <w:rsid w:val="09023BFE"/>
    <w:rsid w:val="092F5773"/>
    <w:rsid w:val="093D2D0F"/>
    <w:rsid w:val="0975564E"/>
    <w:rsid w:val="09E70A54"/>
    <w:rsid w:val="09F15703"/>
    <w:rsid w:val="09FA5669"/>
    <w:rsid w:val="0A150902"/>
    <w:rsid w:val="0A431CC0"/>
    <w:rsid w:val="0A79028B"/>
    <w:rsid w:val="0A8528D5"/>
    <w:rsid w:val="0AD56F1F"/>
    <w:rsid w:val="0AEA3C8C"/>
    <w:rsid w:val="0AF65D7F"/>
    <w:rsid w:val="0B0B6625"/>
    <w:rsid w:val="0B1E0CF0"/>
    <w:rsid w:val="0B416FFB"/>
    <w:rsid w:val="0B4C5010"/>
    <w:rsid w:val="0B7F5105"/>
    <w:rsid w:val="0BE83010"/>
    <w:rsid w:val="0BF55127"/>
    <w:rsid w:val="0C1A784C"/>
    <w:rsid w:val="0C4369A5"/>
    <w:rsid w:val="0C5612B6"/>
    <w:rsid w:val="0C7E2237"/>
    <w:rsid w:val="0C8A3153"/>
    <w:rsid w:val="0C991BD9"/>
    <w:rsid w:val="0CD24D60"/>
    <w:rsid w:val="0D3F7F2E"/>
    <w:rsid w:val="0D49488C"/>
    <w:rsid w:val="0D705EC6"/>
    <w:rsid w:val="0D7558BB"/>
    <w:rsid w:val="0D860895"/>
    <w:rsid w:val="0DB757B9"/>
    <w:rsid w:val="0DE7555E"/>
    <w:rsid w:val="0DF10A71"/>
    <w:rsid w:val="0E0052EB"/>
    <w:rsid w:val="0E027424"/>
    <w:rsid w:val="0E1844B4"/>
    <w:rsid w:val="0E1D3528"/>
    <w:rsid w:val="0E2B3C80"/>
    <w:rsid w:val="0E310B9F"/>
    <w:rsid w:val="0E9F0BC2"/>
    <w:rsid w:val="0EFA552A"/>
    <w:rsid w:val="0F0C5B71"/>
    <w:rsid w:val="0F731A9E"/>
    <w:rsid w:val="0F7B3C45"/>
    <w:rsid w:val="0F833EF8"/>
    <w:rsid w:val="0F965542"/>
    <w:rsid w:val="0FAC1122"/>
    <w:rsid w:val="0FC27645"/>
    <w:rsid w:val="0FE801DA"/>
    <w:rsid w:val="0FF61066"/>
    <w:rsid w:val="100E1453"/>
    <w:rsid w:val="102C4232"/>
    <w:rsid w:val="10401AB4"/>
    <w:rsid w:val="107C2AAE"/>
    <w:rsid w:val="109E446F"/>
    <w:rsid w:val="10A122E9"/>
    <w:rsid w:val="10BE1B05"/>
    <w:rsid w:val="115C632A"/>
    <w:rsid w:val="1161667C"/>
    <w:rsid w:val="11847C41"/>
    <w:rsid w:val="11875983"/>
    <w:rsid w:val="118A244C"/>
    <w:rsid w:val="11914905"/>
    <w:rsid w:val="11A2124C"/>
    <w:rsid w:val="11B330FF"/>
    <w:rsid w:val="11C20C82"/>
    <w:rsid w:val="11DA3B8F"/>
    <w:rsid w:val="12101447"/>
    <w:rsid w:val="12543D89"/>
    <w:rsid w:val="12563546"/>
    <w:rsid w:val="125F1817"/>
    <w:rsid w:val="12A14823"/>
    <w:rsid w:val="12BB2C5B"/>
    <w:rsid w:val="12CF4115"/>
    <w:rsid w:val="130B6440"/>
    <w:rsid w:val="134C77A5"/>
    <w:rsid w:val="13731B39"/>
    <w:rsid w:val="13815663"/>
    <w:rsid w:val="13C30E6E"/>
    <w:rsid w:val="13CE1647"/>
    <w:rsid w:val="14131750"/>
    <w:rsid w:val="14230C67"/>
    <w:rsid w:val="144D2E15"/>
    <w:rsid w:val="1466198A"/>
    <w:rsid w:val="146B4F18"/>
    <w:rsid w:val="14EA3450"/>
    <w:rsid w:val="14F767B6"/>
    <w:rsid w:val="152201E5"/>
    <w:rsid w:val="153C7B00"/>
    <w:rsid w:val="15543DCE"/>
    <w:rsid w:val="155E782B"/>
    <w:rsid w:val="158D19C4"/>
    <w:rsid w:val="15A7636A"/>
    <w:rsid w:val="15B1120C"/>
    <w:rsid w:val="15B65685"/>
    <w:rsid w:val="15F35395"/>
    <w:rsid w:val="16031113"/>
    <w:rsid w:val="160B5D7C"/>
    <w:rsid w:val="16625C32"/>
    <w:rsid w:val="16725D01"/>
    <w:rsid w:val="168F227C"/>
    <w:rsid w:val="16F02A1F"/>
    <w:rsid w:val="171F0861"/>
    <w:rsid w:val="173D243C"/>
    <w:rsid w:val="17534ECF"/>
    <w:rsid w:val="175E1889"/>
    <w:rsid w:val="178B17FC"/>
    <w:rsid w:val="17A40203"/>
    <w:rsid w:val="17AC754E"/>
    <w:rsid w:val="17D47161"/>
    <w:rsid w:val="180D3C08"/>
    <w:rsid w:val="181011F1"/>
    <w:rsid w:val="1827115F"/>
    <w:rsid w:val="18537282"/>
    <w:rsid w:val="187529D9"/>
    <w:rsid w:val="18954E2A"/>
    <w:rsid w:val="19075792"/>
    <w:rsid w:val="1924523C"/>
    <w:rsid w:val="192A06DB"/>
    <w:rsid w:val="19657BF3"/>
    <w:rsid w:val="198218DD"/>
    <w:rsid w:val="19D659A9"/>
    <w:rsid w:val="19DA05DB"/>
    <w:rsid w:val="19EB475E"/>
    <w:rsid w:val="19EE41FA"/>
    <w:rsid w:val="1A447D15"/>
    <w:rsid w:val="1A5A6066"/>
    <w:rsid w:val="1A777345"/>
    <w:rsid w:val="1A79400F"/>
    <w:rsid w:val="1A904036"/>
    <w:rsid w:val="1ABE0A6A"/>
    <w:rsid w:val="1AFF3C05"/>
    <w:rsid w:val="1B0079CB"/>
    <w:rsid w:val="1B305FC7"/>
    <w:rsid w:val="1B486897"/>
    <w:rsid w:val="1B6A0B90"/>
    <w:rsid w:val="1B8465ED"/>
    <w:rsid w:val="1B8C6B7B"/>
    <w:rsid w:val="1B930815"/>
    <w:rsid w:val="1BA66CC3"/>
    <w:rsid w:val="1BB91038"/>
    <w:rsid w:val="1BBF65FB"/>
    <w:rsid w:val="1BD17EB2"/>
    <w:rsid w:val="1BE658B0"/>
    <w:rsid w:val="1BF657FB"/>
    <w:rsid w:val="1BF968C4"/>
    <w:rsid w:val="1C3F5A00"/>
    <w:rsid w:val="1C494C47"/>
    <w:rsid w:val="1C7E5112"/>
    <w:rsid w:val="1CC868AA"/>
    <w:rsid w:val="1CCE7342"/>
    <w:rsid w:val="1CEF0717"/>
    <w:rsid w:val="1CFA7EEF"/>
    <w:rsid w:val="1CFB1146"/>
    <w:rsid w:val="1CFE6504"/>
    <w:rsid w:val="1D2E0D77"/>
    <w:rsid w:val="1D37062D"/>
    <w:rsid w:val="1D3A1AFC"/>
    <w:rsid w:val="1D3D753B"/>
    <w:rsid w:val="1D437336"/>
    <w:rsid w:val="1D532C22"/>
    <w:rsid w:val="1D9308B3"/>
    <w:rsid w:val="1DD515F9"/>
    <w:rsid w:val="1E004AF3"/>
    <w:rsid w:val="1E0D0FBE"/>
    <w:rsid w:val="1E331E3B"/>
    <w:rsid w:val="1E4D682E"/>
    <w:rsid w:val="1E561B49"/>
    <w:rsid w:val="1E5B5B74"/>
    <w:rsid w:val="1E7D1B4B"/>
    <w:rsid w:val="1E8140C5"/>
    <w:rsid w:val="1ED36885"/>
    <w:rsid w:val="1EDB21B2"/>
    <w:rsid w:val="1EE21D29"/>
    <w:rsid w:val="1EFA6533"/>
    <w:rsid w:val="1F2A4B47"/>
    <w:rsid w:val="1F2E2C97"/>
    <w:rsid w:val="1F3E1D5D"/>
    <w:rsid w:val="1F6E3177"/>
    <w:rsid w:val="1F6F04BA"/>
    <w:rsid w:val="1F721520"/>
    <w:rsid w:val="1F786F59"/>
    <w:rsid w:val="1F870ADE"/>
    <w:rsid w:val="1FEE47F4"/>
    <w:rsid w:val="20027E74"/>
    <w:rsid w:val="2024650C"/>
    <w:rsid w:val="20380E59"/>
    <w:rsid w:val="20464321"/>
    <w:rsid w:val="20505BF4"/>
    <w:rsid w:val="205D6C3D"/>
    <w:rsid w:val="206C4B4F"/>
    <w:rsid w:val="20797189"/>
    <w:rsid w:val="20835E3C"/>
    <w:rsid w:val="20875058"/>
    <w:rsid w:val="20B07511"/>
    <w:rsid w:val="20CE2C87"/>
    <w:rsid w:val="20D93FE0"/>
    <w:rsid w:val="215C6880"/>
    <w:rsid w:val="218F0080"/>
    <w:rsid w:val="21A5390F"/>
    <w:rsid w:val="21AD66DD"/>
    <w:rsid w:val="21D4253C"/>
    <w:rsid w:val="21D86594"/>
    <w:rsid w:val="21EE760E"/>
    <w:rsid w:val="21F83EB4"/>
    <w:rsid w:val="220F17A9"/>
    <w:rsid w:val="223631D9"/>
    <w:rsid w:val="22547C58"/>
    <w:rsid w:val="22734646"/>
    <w:rsid w:val="228D0920"/>
    <w:rsid w:val="22963494"/>
    <w:rsid w:val="22AA16E5"/>
    <w:rsid w:val="22B371B5"/>
    <w:rsid w:val="22C23296"/>
    <w:rsid w:val="22CC461B"/>
    <w:rsid w:val="22D13B65"/>
    <w:rsid w:val="230E2F31"/>
    <w:rsid w:val="233E4105"/>
    <w:rsid w:val="23666663"/>
    <w:rsid w:val="23693289"/>
    <w:rsid w:val="239147E1"/>
    <w:rsid w:val="23BB34F7"/>
    <w:rsid w:val="23E822B1"/>
    <w:rsid w:val="243B4C5D"/>
    <w:rsid w:val="245B6F27"/>
    <w:rsid w:val="247C0C4C"/>
    <w:rsid w:val="24FD6DFA"/>
    <w:rsid w:val="24FE0E05"/>
    <w:rsid w:val="25300AD6"/>
    <w:rsid w:val="25736F0D"/>
    <w:rsid w:val="25A9590D"/>
    <w:rsid w:val="25AF3989"/>
    <w:rsid w:val="25B303CF"/>
    <w:rsid w:val="25C73339"/>
    <w:rsid w:val="25D43D29"/>
    <w:rsid w:val="25D62822"/>
    <w:rsid w:val="25FC409C"/>
    <w:rsid w:val="26037DA0"/>
    <w:rsid w:val="260544D2"/>
    <w:rsid w:val="266A24B5"/>
    <w:rsid w:val="266C7CA7"/>
    <w:rsid w:val="26B424FB"/>
    <w:rsid w:val="26C14018"/>
    <w:rsid w:val="26CB7802"/>
    <w:rsid w:val="27116F14"/>
    <w:rsid w:val="27881ACA"/>
    <w:rsid w:val="27F30C40"/>
    <w:rsid w:val="284303FE"/>
    <w:rsid w:val="28482C7C"/>
    <w:rsid w:val="285E15A9"/>
    <w:rsid w:val="289A255F"/>
    <w:rsid w:val="28B54BEB"/>
    <w:rsid w:val="28B9246E"/>
    <w:rsid w:val="28D9203E"/>
    <w:rsid w:val="28E80E13"/>
    <w:rsid w:val="29127BE0"/>
    <w:rsid w:val="29196245"/>
    <w:rsid w:val="29554B42"/>
    <w:rsid w:val="295A4D29"/>
    <w:rsid w:val="29606A91"/>
    <w:rsid w:val="29807B6C"/>
    <w:rsid w:val="29B661A7"/>
    <w:rsid w:val="29FA460F"/>
    <w:rsid w:val="2A084E42"/>
    <w:rsid w:val="2A1A5CBC"/>
    <w:rsid w:val="2AC017A8"/>
    <w:rsid w:val="2B492F53"/>
    <w:rsid w:val="2B7F0BDE"/>
    <w:rsid w:val="2BDE00CD"/>
    <w:rsid w:val="2C232160"/>
    <w:rsid w:val="2C235700"/>
    <w:rsid w:val="2C3C763E"/>
    <w:rsid w:val="2C517394"/>
    <w:rsid w:val="2C587AD3"/>
    <w:rsid w:val="2C7E6429"/>
    <w:rsid w:val="2C8206F9"/>
    <w:rsid w:val="2C963671"/>
    <w:rsid w:val="2C972AC7"/>
    <w:rsid w:val="2C9D4F34"/>
    <w:rsid w:val="2C9F7276"/>
    <w:rsid w:val="2CA2073A"/>
    <w:rsid w:val="2CB57537"/>
    <w:rsid w:val="2D1C1443"/>
    <w:rsid w:val="2D35408E"/>
    <w:rsid w:val="2D84410B"/>
    <w:rsid w:val="2D8C3A4E"/>
    <w:rsid w:val="2DAB174B"/>
    <w:rsid w:val="2DAC3053"/>
    <w:rsid w:val="2DFA6640"/>
    <w:rsid w:val="2E0320EB"/>
    <w:rsid w:val="2E125FC1"/>
    <w:rsid w:val="2E1B69A2"/>
    <w:rsid w:val="2E354929"/>
    <w:rsid w:val="2E383E35"/>
    <w:rsid w:val="2E7B072C"/>
    <w:rsid w:val="2EF410B7"/>
    <w:rsid w:val="2F011E82"/>
    <w:rsid w:val="2F631DFD"/>
    <w:rsid w:val="2F6858EF"/>
    <w:rsid w:val="2F8F12D1"/>
    <w:rsid w:val="2F9C03F4"/>
    <w:rsid w:val="2FA71114"/>
    <w:rsid w:val="2FBD3EFE"/>
    <w:rsid w:val="2FE06B43"/>
    <w:rsid w:val="2FF93253"/>
    <w:rsid w:val="3046030C"/>
    <w:rsid w:val="304D28E8"/>
    <w:rsid w:val="30576C83"/>
    <w:rsid w:val="30670F4B"/>
    <w:rsid w:val="307770A8"/>
    <w:rsid w:val="30C23E8A"/>
    <w:rsid w:val="30D72609"/>
    <w:rsid w:val="30FD1799"/>
    <w:rsid w:val="30FD4EC2"/>
    <w:rsid w:val="31AB540D"/>
    <w:rsid w:val="31B57A67"/>
    <w:rsid w:val="31DB5204"/>
    <w:rsid w:val="31F436E7"/>
    <w:rsid w:val="32146967"/>
    <w:rsid w:val="32195D2C"/>
    <w:rsid w:val="32413B97"/>
    <w:rsid w:val="324C0B81"/>
    <w:rsid w:val="326C0551"/>
    <w:rsid w:val="328D576F"/>
    <w:rsid w:val="32972910"/>
    <w:rsid w:val="329D67D2"/>
    <w:rsid w:val="33091096"/>
    <w:rsid w:val="331C15B8"/>
    <w:rsid w:val="33232830"/>
    <w:rsid w:val="33566686"/>
    <w:rsid w:val="337230AE"/>
    <w:rsid w:val="33781EF4"/>
    <w:rsid w:val="33843CA1"/>
    <w:rsid w:val="33A45B5A"/>
    <w:rsid w:val="33DD4134"/>
    <w:rsid w:val="33E47B88"/>
    <w:rsid w:val="33FA723C"/>
    <w:rsid w:val="341C55A4"/>
    <w:rsid w:val="341E587B"/>
    <w:rsid w:val="343828C2"/>
    <w:rsid w:val="345E036E"/>
    <w:rsid w:val="346500C7"/>
    <w:rsid w:val="34A13A37"/>
    <w:rsid w:val="34F31FF7"/>
    <w:rsid w:val="34F5177C"/>
    <w:rsid w:val="35043821"/>
    <w:rsid w:val="355C4178"/>
    <w:rsid w:val="3562042D"/>
    <w:rsid w:val="35850AE6"/>
    <w:rsid w:val="35867C30"/>
    <w:rsid w:val="35975A7A"/>
    <w:rsid w:val="35DE1818"/>
    <w:rsid w:val="35FA5E74"/>
    <w:rsid w:val="362D36E4"/>
    <w:rsid w:val="36655148"/>
    <w:rsid w:val="36787E34"/>
    <w:rsid w:val="367F3517"/>
    <w:rsid w:val="36A24542"/>
    <w:rsid w:val="36A52258"/>
    <w:rsid w:val="36B77A33"/>
    <w:rsid w:val="36C54300"/>
    <w:rsid w:val="36FC06E4"/>
    <w:rsid w:val="372D27B8"/>
    <w:rsid w:val="37533A9C"/>
    <w:rsid w:val="37907B88"/>
    <w:rsid w:val="37930872"/>
    <w:rsid w:val="37AC0A3F"/>
    <w:rsid w:val="37DB78A9"/>
    <w:rsid w:val="37EE6B00"/>
    <w:rsid w:val="38053C44"/>
    <w:rsid w:val="383C4522"/>
    <w:rsid w:val="383F153C"/>
    <w:rsid w:val="384910F0"/>
    <w:rsid w:val="38B03176"/>
    <w:rsid w:val="38B36EDA"/>
    <w:rsid w:val="38D123DD"/>
    <w:rsid w:val="38D23055"/>
    <w:rsid w:val="38E075A3"/>
    <w:rsid w:val="390169CA"/>
    <w:rsid w:val="39150581"/>
    <w:rsid w:val="392F5095"/>
    <w:rsid w:val="39465433"/>
    <w:rsid w:val="39561D5A"/>
    <w:rsid w:val="395B6912"/>
    <w:rsid w:val="395D6E46"/>
    <w:rsid w:val="397F2D08"/>
    <w:rsid w:val="3A3F6C87"/>
    <w:rsid w:val="3A4275D3"/>
    <w:rsid w:val="3A9A511E"/>
    <w:rsid w:val="3A9B108B"/>
    <w:rsid w:val="3AC55D59"/>
    <w:rsid w:val="3ACE2337"/>
    <w:rsid w:val="3ADF4EC5"/>
    <w:rsid w:val="3B175B2E"/>
    <w:rsid w:val="3B625CA9"/>
    <w:rsid w:val="3BC431AC"/>
    <w:rsid w:val="3BC5147E"/>
    <w:rsid w:val="3BDF7BFD"/>
    <w:rsid w:val="3BE90506"/>
    <w:rsid w:val="3BEB1160"/>
    <w:rsid w:val="3BEB6832"/>
    <w:rsid w:val="3C3667CF"/>
    <w:rsid w:val="3C40766B"/>
    <w:rsid w:val="3C692C22"/>
    <w:rsid w:val="3C7E41BE"/>
    <w:rsid w:val="3C9854C3"/>
    <w:rsid w:val="3CB16103"/>
    <w:rsid w:val="3CB2101F"/>
    <w:rsid w:val="3CBD35C8"/>
    <w:rsid w:val="3CBF1A99"/>
    <w:rsid w:val="3CC764A1"/>
    <w:rsid w:val="3D097312"/>
    <w:rsid w:val="3D1001E1"/>
    <w:rsid w:val="3D2F6909"/>
    <w:rsid w:val="3D8113A3"/>
    <w:rsid w:val="3DAE0624"/>
    <w:rsid w:val="3DE113F3"/>
    <w:rsid w:val="3DF110BE"/>
    <w:rsid w:val="3DFFFD7C"/>
    <w:rsid w:val="3E1E7238"/>
    <w:rsid w:val="3E2762E0"/>
    <w:rsid w:val="3EA22DB9"/>
    <w:rsid w:val="3EB648CC"/>
    <w:rsid w:val="3EBD28B3"/>
    <w:rsid w:val="3ED1419A"/>
    <w:rsid w:val="3EEA117C"/>
    <w:rsid w:val="3EF93A2D"/>
    <w:rsid w:val="3F506818"/>
    <w:rsid w:val="3F6F342F"/>
    <w:rsid w:val="3FBA0B0F"/>
    <w:rsid w:val="3FD91FD6"/>
    <w:rsid w:val="3FE36C1C"/>
    <w:rsid w:val="3FEB19D5"/>
    <w:rsid w:val="401818C2"/>
    <w:rsid w:val="40225416"/>
    <w:rsid w:val="40323D4B"/>
    <w:rsid w:val="4036153F"/>
    <w:rsid w:val="403F4FF6"/>
    <w:rsid w:val="40532D51"/>
    <w:rsid w:val="40A30A33"/>
    <w:rsid w:val="4142704D"/>
    <w:rsid w:val="415E2B2E"/>
    <w:rsid w:val="419959F4"/>
    <w:rsid w:val="419E3E89"/>
    <w:rsid w:val="41DF073B"/>
    <w:rsid w:val="420F1D94"/>
    <w:rsid w:val="4213506F"/>
    <w:rsid w:val="42261DAF"/>
    <w:rsid w:val="422952A9"/>
    <w:rsid w:val="424741EF"/>
    <w:rsid w:val="428611BC"/>
    <w:rsid w:val="42B8170C"/>
    <w:rsid w:val="42E64A63"/>
    <w:rsid w:val="430D4AC0"/>
    <w:rsid w:val="431E047F"/>
    <w:rsid w:val="431E65EF"/>
    <w:rsid w:val="432D1A78"/>
    <w:rsid w:val="434B2DCF"/>
    <w:rsid w:val="43B17155"/>
    <w:rsid w:val="43D40729"/>
    <w:rsid w:val="43F16D43"/>
    <w:rsid w:val="43F87E97"/>
    <w:rsid w:val="4400649E"/>
    <w:rsid w:val="440305EA"/>
    <w:rsid w:val="446D1F66"/>
    <w:rsid w:val="44763517"/>
    <w:rsid w:val="4478624B"/>
    <w:rsid w:val="4493367B"/>
    <w:rsid w:val="44A26554"/>
    <w:rsid w:val="44AB74B4"/>
    <w:rsid w:val="44BD1B0F"/>
    <w:rsid w:val="44D64ABE"/>
    <w:rsid w:val="45040706"/>
    <w:rsid w:val="451446FC"/>
    <w:rsid w:val="451553B3"/>
    <w:rsid w:val="452905F3"/>
    <w:rsid w:val="4579070F"/>
    <w:rsid w:val="457E6F7B"/>
    <w:rsid w:val="45AC78E9"/>
    <w:rsid w:val="45BC4EF4"/>
    <w:rsid w:val="45FD70DB"/>
    <w:rsid w:val="464C3285"/>
    <w:rsid w:val="467B6B5D"/>
    <w:rsid w:val="468509D2"/>
    <w:rsid w:val="46853538"/>
    <w:rsid w:val="468806E1"/>
    <w:rsid w:val="46977D08"/>
    <w:rsid w:val="46BA6241"/>
    <w:rsid w:val="46BC0687"/>
    <w:rsid w:val="46D14AE8"/>
    <w:rsid w:val="46DA1AD6"/>
    <w:rsid w:val="46DA670B"/>
    <w:rsid w:val="46F40267"/>
    <w:rsid w:val="47105EA9"/>
    <w:rsid w:val="471332ED"/>
    <w:rsid w:val="47CC7D6B"/>
    <w:rsid w:val="47D27940"/>
    <w:rsid w:val="47DE0285"/>
    <w:rsid w:val="47F77566"/>
    <w:rsid w:val="47F90DC6"/>
    <w:rsid w:val="480F670E"/>
    <w:rsid w:val="48124188"/>
    <w:rsid w:val="481C1F20"/>
    <w:rsid w:val="48266AF3"/>
    <w:rsid w:val="485C3CF0"/>
    <w:rsid w:val="48701663"/>
    <w:rsid w:val="48801F0A"/>
    <w:rsid w:val="489C7EA5"/>
    <w:rsid w:val="48AB372A"/>
    <w:rsid w:val="48BA1F20"/>
    <w:rsid w:val="48D75037"/>
    <w:rsid w:val="49267F46"/>
    <w:rsid w:val="493856F5"/>
    <w:rsid w:val="493E3C2D"/>
    <w:rsid w:val="494730DF"/>
    <w:rsid w:val="494B7F85"/>
    <w:rsid w:val="497C5511"/>
    <w:rsid w:val="498C3685"/>
    <w:rsid w:val="49B65DC9"/>
    <w:rsid w:val="49E2412D"/>
    <w:rsid w:val="49E82B6B"/>
    <w:rsid w:val="4A151D89"/>
    <w:rsid w:val="4A176B9D"/>
    <w:rsid w:val="4A2319E6"/>
    <w:rsid w:val="4A7674C1"/>
    <w:rsid w:val="4A7A7858"/>
    <w:rsid w:val="4A812381"/>
    <w:rsid w:val="4B5F395F"/>
    <w:rsid w:val="4BE81CD3"/>
    <w:rsid w:val="4C3B51D7"/>
    <w:rsid w:val="4C735908"/>
    <w:rsid w:val="4C9461E1"/>
    <w:rsid w:val="4C9743B6"/>
    <w:rsid w:val="4CA3296A"/>
    <w:rsid w:val="4CCC503A"/>
    <w:rsid w:val="4CEB6172"/>
    <w:rsid w:val="4D670A85"/>
    <w:rsid w:val="4D756665"/>
    <w:rsid w:val="4D806473"/>
    <w:rsid w:val="4DB87F6B"/>
    <w:rsid w:val="4DC40DEA"/>
    <w:rsid w:val="4DF85FC0"/>
    <w:rsid w:val="4DFE254E"/>
    <w:rsid w:val="4E2D698F"/>
    <w:rsid w:val="4E41523D"/>
    <w:rsid w:val="4E46059D"/>
    <w:rsid w:val="4E50373D"/>
    <w:rsid w:val="4E7B029B"/>
    <w:rsid w:val="4ECC5D80"/>
    <w:rsid w:val="4ED61833"/>
    <w:rsid w:val="4EDA18B9"/>
    <w:rsid w:val="4EDE26E1"/>
    <w:rsid w:val="4F0153DC"/>
    <w:rsid w:val="4F16322F"/>
    <w:rsid w:val="4F1D7796"/>
    <w:rsid w:val="4F4775DA"/>
    <w:rsid w:val="4F573543"/>
    <w:rsid w:val="4F9B4CA9"/>
    <w:rsid w:val="4F9C32FC"/>
    <w:rsid w:val="501C4E89"/>
    <w:rsid w:val="501E6126"/>
    <w:rsid w:val="506A1839"/>
    <w:rsid w:val="50942DAE"/>
    <w:rsid w:val="509A34B5"/>
    <w:rsid w:val="50A93C64"/>
    <w:rsid w:val="50C353BD"/>
    <w:rsid w:val="50CF1F9A"/>
    <w:rsid w:val="50DD3BA3"/>
    <w:rsid w:val="50E61CAB"/>
    <w:rsid w:val="50FB2980"/>
    <w:rsid w:val="511C6CDD"/>
    <w:rsid w:val="517B5E53"/>
    <w:rsid w:val="51835161"/>
    <w:rsid w:val="51F91EC6"/>
    <w:rsid w:val="526405F3"/>
    <w:rsid w:val="526826CB"/>
    <w:rsid w:val="52713ED9"/>
    <w:rsid w:val="52A74C78"/>
    <w:rsid w:val="52E04293"/>
    <w:rsid w:val="52F019E8"/>
    <w:rsid w:val="52F37A7A"/>
    <w:rsid w:val="531E2D03"/>
    <w:rsid w:val="532513E5"/>
    <w:rsid w:val="53394028"/>
    <w:rsid w:val="53477E2E"/>
    <w:rsid w:val="536138D1"/>
    <w:rsid w:val="53852DC9"/>
    <w:rsid w:val="53BC34C4"/>
    <w:rsid w:val="53CE29B7"/>
    <w:rsid w:val="54210DD6"/>
    <w:rsid w:val="543F5D07"/>
    <w:rsid w:val="54451376"/>
    <w:rsid w:val="54654B80"/>
    <w:rsid w:val="5480370F"/>
    <w:rsid w:val="54902752"/>
    <w:rsid w:val="54B0514F"/>
    <w:rsid w:val="54B430EF"/>
    <w:rsid w:val="54DE257B"/>
    <w:rsid w:val="54DF7BD4"/>
    <w:rsid w:val="54E275DE"/>
    <w:rsid w:val="5504461A"/>
    <w:rsid w:val="55122B96"/>
    <w:rsid w:val="553D5A1E"/>
    <w:rsid w:val="557D5456"/>
    <w:rsid w:val="55A0704C"/>
    <w:rsid w:val="55C47D86"/>
    <w:rsid w:val="55DD38ED"/>
    <w:rsid w:val="55FE100D"/>
    <w:rsid w:val="56BA1260"/>
    <w:rsid w:val="56CD1063"/>
    <w:rsid w:val="56EA1F97"/>
    <w:rsid w:val="575D06E1"/>
    <w:rsid w:val="578E5131"/>
    <w:rsid w:val="57913D66"/>
    <w:rsid w:val="57AA5D1A"/>
    <w:rsid w:val="57BB22E7"/>
    <w:rsid w:val="57F16C7F"/>
    <w:rsid w:val="57F64E7F"/>
    <w:rsid w:val="57F67BD6"/>
    <w:rsid w:val="58135758"/>
    <w:rsid w:val="58372026"/>
    <w:rsid w:val="587316C8"/>
    <w:rsid w:val="58800EF9"/>
    <w:rsid w:val="58C6010C"/>
    <w:rsid w:val="58DB09D0"/>
    <w:rsid w:val="5920032E"/>
    <w:rsid w:val="592233B5"/>
    <w:rsid w:val="594E58E1"/>
    <w:rsid w:val="597E3F8E"/>
    <w:rsid w:val="59AF07EA"/>
    <w:rsid w:val="59BA42D4"/>
    <w:rsid w:val="59BB38EE"/>
    <w:rsid w:val="59DC1D4F"/>
    <w:rsid w:val="59FE08FA"/>
    <w:rsid w:val="5A5640E0"/>
    <w:rsid w:val="5A5A2AB2"/>
    <w:rsid w:val="5AC34C92"/>
    <w:rsid w:val="5ACF7403"/>
    <w:rsid w:val="5AD56953"/>
    <w:rsid w:val="5AF01470"/>
    <w:rsid w:val="5B465BFF"/>
    <w:rsid w:val="5B46719F"/>
    <w:rsid w:val="5B523ED9"/>
    <w:rsid w:val="5B5C70B7"/>
    <w:rsid w:val="5BA42A14"/>
    <w:rsid w:val="5BDF212D"/>
    <w:rsid w:val="5BED59B0"/>
    <w:rsid w:val="5BF91159"/>
    <w:rsid w:val="5C2661F8"/>
    <w:rsid w:val="5C2B2C70"/>
    <w:rsid w:val="5C2B5AC7"/>
    <w:rsid w:val="5C342CD9"/>
    <w:rsid w:val="5C352A17"/>
    <w:rsid w:val="5C36681F"/>
    <w:rsid w:val="5C931B3A"/>
    <w:rsid w:val="5CDD461C"/>
    <w:rsid w:val="5CE51647"/>
    <w:rsid w:val="5D027239"/>
    <w:rsid w:val="5D0B0214"/>
    <w:rsid w:val="5D1A0A42"/>
    <w:rsid w:val="5D4F1710"/>
    <w:rsid w:val="5D5D7F5C"/>
    <w:rsid w:val="5D71045F"/>
    <w:rsid w:val="5D8543BA"/>
    <w:rsid w:val="5D8A795A"/>
    <w:rsid w:val="5D9E16C8"/>
    <w:rsid w:val="5DB7371B"/>
    <w:rsid w:val="5DBC7D30"/>
    <w:rsid w:val="5DF04321"/>
    <w:rsid w:val="5E092FDF"/>
    <w:rsid w:val="5E4A015A"/>
    <w:rsid w:val="5E5341F0"/>
    <w:rsid w:val="5E700C18"/>
    <w:rsid w:val="5EC765DC"/>
    <w:rsid w:val="5EF861CE"/>
    <w:rsid w:val="5F0575D1"/>
    <w:rsid w:val="5F2D2E3D"/>
    <w:rsid w:val="5F335DCF"/>
    <w:rsid w:val="5F36490D"/>
    <w:rsid w:val="5F3F6BFF"/>
    <w:rsid w:val="5F5C0DD6"/>
    <w:rsid w:val="5F744EF1"/>
    <w:rsid w:val="5F7B2335"/>
    <w:rsid w:val="5FC16B77"/>
    <w:rsid w:val="5FCF362D"/>
    <w:rsid w:val="5FDA399F"/>
    <w:rsid w:val="5FEB6673"/>
    <w:rsid w:val="5FFA79ED"/>
    <w:rsid w:val="60106671"/>
    <w:rsid w:val="6042348B"/>
    <w:rsid w:val="60441617"/>
    <w:rsid w:val="606D0EF6"/>
    <w:rsid w:val="606F1089"/>
    <w:rsid w:val="60716BAF"/>
    <w:rsid w:val="60835E90"/>
    <w:rsid w:val="608763D3"/>
    <w:rsid w:val="60B85EAE"/>
    <w:rsid w:val="60BE3851"/>
    <w:rsid w:val="60CB1E28"/>
    <w:rsid w:val="60CC64DC"/>
    <w:rsid w:val="60EC443C"/>
    <w:rsid w:val="61013040"/>
    <w:rsid w:val="61107F31"/>
    <w:rsid w:val="611C35B8"/>
    <w:rsid w:val="61456201"/>
    <w:rsid w:val="615D7134"/>
    <w:rsid w:val="61AE7556"/>
    <w:rsid w:val="61B76A82"/>
    <w:rsid w:val="61D41854"/>
    <w:rsid w:val="62282B27"/>
    <w:rsid w:val="623C3740"/>
    <w:rsid w:val="624F63B5"/>
    <w:rsid w:val="625A6442"/>
    <w:rsid w:val="628F2951"/>
    <w:rsid w:val="62D00AD7"/>
    <w:rsid w:val="62F86A67"/>
    <w:rsid w:val="63221256"/>
    <w:rsid w:val="63622C15"/>
    <w:rsid w:val="638B4892"/>
    <w:rsid w:val="639279AF"/>
    <w:rsid w:val="63A4104A"/>
    <w:rsid w:val="63A66A42"/>
    <w:rsid w:val="63E6795E"/>
    <w:rsid w:val="641222ED"/>
    <w:rsid w:val="642B5582"/>
    <w:rsid w:val="642C44FD"/>
    <w:rsid w:val="64486B46"/>
    <w:rsid w:val="64643953"/>
    <w:rsid w:val="64654D54"/>
    <w:rsid w:val="649F75B2"/>
    <w:rsid w:val="64A357A5"/>
    <w:rsid w:val="64FB2F8F"/>
    <w:rsid w:val="650D6333"/>
    <w:rsid w:val="654908E4"/>
    <w:rsid w:val="656A6C63"/>
    <w:rsid w:val="658C66C4"/>
    <w:rsid w:val="65A60D4B"/>
    <w:rsid w:val="65B8738C"/>
    <w:rsid w:val="65DA6FA5"/>
    <w:rsid w:val="65F43065"/>
    <w:rsid w:val="66214EFA"/>
    <w:rsid w:val="666D65E1"/>
    <w:rsid w:val="668405BB"/>
    <w:rsid w:val="66BE059B"/>
    <w:rsid w:val="66C25FFC"/>
    <w:rsid w:val="66EF31C1"/>
    <w:rsid w:val="671A59C6"/>
    <w:rsid w:val="67340A1D"/>
    <w:rsid w:val="67404335"/>
    <w:rsid w:val="674B4232"/>
    <w:rsid w:val="67732F5D"/>
    <w:rsid w:val="678218BC"/>
    <w:rsid w:val="67884607"/>
    <w:rsid w:val="678E3970"/>
    <w:rsid w:val="67905785"/>
    <w:rsid w:val="67A94E81"/>
    <w:rsid w:val="67BB3BBB"/>
    <w:rsid w:val="67C1185E"/>
    <w:rsid w:val="67D547F3"/>
    <w:rsid w:val="67E324DD"/>
    <w:rsid w:val="67EE6D37"/>
    <w:rsid w:val="680C40CD"/>
    <w:rsid w:val="68397183"/>
    <w:rsid w:val="683B3D7E"/>
    <w:rsid w:val="685F2B0C"/>
    <w:rsid w:val="686E4CA0"/>
    <w:rsid w:val="686F6E6A"/>
    <w:rsid w:val="68840F3C"/>
    <w:rsid w:val="68B631F6"/>
    <w:rsid w:val="69520443"/>
    <w:rsid w:val="69B72806"/>
    <w:rsid w:val="69BD41F9"/>
    <w:rsid w:val="69C21FC2"/>
    <w:rsid w:val="69C52477"/>
    <w:rsid w:val="69CB5582"/>
    <w:rsid w:val="69CE3188"/>
    <w:rsid w:val="69E54E74"/>
    <w:rsid w:val="69F431E5"/>
    <w:rsid w:val="6A116D0D"/>
    <w:rsid w:val="6A3A3987"/>
    <w:rsid w:val="6AD5470C"/>
    <w:rsid w:val="6AE7435F"/>
    <w:rsid w:val="6AE944A4"/>
    <w:rsid w:val="6B4E6ABF"/>
    <w:rsid w:val="6B6150FB"/>
    <w:rsid w:val="6BAE2EC2"/>
    <w:rsid w:val="6BBC7D3D"/>
    <w:rsid w:val="6C253A83"/>
    <w:rsid w:val="6C256815"/>
    <w:rsid w:val="6C374C14"/>
    <w:rsid w:val="6C4C1DDE"/>
    <w:rsid w:val="6C526267"/>
    <w:rsid w:val="6C8A3417"/>
    <w:rsid w:val="6C9F2B60"/>
    <w:rsid w:val="6CFD78A4"/>
    <w:rsid w:val="6D272E6C"/>
    <w:rsid w:val="6D73227D"/>
    <w:rsid w:val="6D886D51"/>
    <w:rsid w:val="6D9C39D1"/>
    <w:rsid w:val="6DCC4C0D"/>
    <w:rsid w:val="6E3F617E"/>
    <w:rsid w:val="6E4341AC"/>
    <w:rsid w:val="6E846BDC"/>
    <w:rsid w:val="6E8E457E"/>
    <w:rsid w:val="6E92348F"/>
    <w:rsid w:val="6F0E15C8"/>
    <w:rsid w:val="6F2E3E59"/>
    <w:rsid w:val="6F436F8F"/>
    <w:rsid w:val="6F4E3774"/>
    <w:rsid w:val="6F6816AE"/>
    <w:rsid w:val="6F8E1F31"/>
    <w:rsid w:val="6F93693C"/>
    <w:rsid w:val="6FC9214C"/>
    <w:rsid w:val="6FE16E28"/>
    <w:rsid w:val="705D36AF"/>
    <w:rsid w:val="70C23B62"/>
    <w:rsid w:val="70CC02B3"/>
    <w:rsid w:val="70D53585"/>
    <w:rsid w:val="70F2273C"/>
    <w:rsid w:val="7107296B"/>
    <w:rsid w:val="71115D76"/>
    <w:rsid w:val="71321C7C"/>
    <w:rsid w:val="7170146E"/>
    <w:rsid w:val="717268C8"/>
    <w:rsid w:val="71785FE9"/>
    <w:rsid w:val="71802D0E"/>
    <w:rsid w:val="718F5890"/>
    <w:rsid w:val="720C6738"/>
    <w:rsid w:val="722F3192"/>
    <w:rsid w:val="7235573F"/>
    <w:rsid w:val="726C56B8"/>
    <w:rsid w:val="727E6C9F"/>
    <w:rsid w:val="7288771C"/>
    <w:rsid w:val="728C57EE"/>
    <w:rsid w:val="72A3707A"/>
    <w:rsid w:val="72A458E1"/>
    <w:rsid w:val="72AD500E"/>
    <w:rsid w:val="72CE592F"/>
    <w:rsid w:val="72D57472"/>
    <w:rsid w:val="73197AE0"/>
    <w:rsid w:val="731F2940"/>
    <w:rsid w:val="73221860"/>
    <w:rsid w:val="733A4EF6"/>
    <w:rsid w:val="733D0234"/>
    <w:rsid w:val="73620248"/>
    <w:rsid w:val="73773239"/>
    <w:rsid w:val="73B40BD5"/>
    <w:rsid w:val="73C4175E"/>
    <w:rsid w:val="73E80D98"/>
    <w:rsid w:val="73FA14E3"/>
    <w:rsid w:val="740267E6"/>
    <w:rsid w:val="740A7F35"/>
    <w:rsid w:val="74112A7C"/>
    <w:rsid w:val="743D56C4"/>
    <w:rsid w:val="744A276A"/>
    <w:rsid w:val="74897210"/>
    <w:rsid w:val="74A45A74"/>
    <w:rsid w:val="74E52558"/>
    <w:rsid w:val="751E40FE"/>
    <w:rsid w:val="752E7228"/>
    <w:rsid w:val="755E6626"/>
    <w:rsid w:val="75841DF5"/>
    <w:rsid w:val="758D233C"/>
    <w:rsid w:val="75970A9E"/>
    <w:rsid w:val="75DE7C00"/>
    <w:rsid w:val="761A3089"/>
    <w:rsid w:val="762955DF"/>
    <w:rsid w:val="76373E70"/>
    <w:rsid w:val="764802D8"/>
    <w:rsid w:val="76982C90"/>
    <w:rsid w:val="76C54839"/>
    <w:rsid w:val="76FB601C"/>
    <w:rsid w:val="77081D08"/>
    <w:rsid w:val="77945DEF"/>
    <w:rsid w:val="77AB41A4"/>
    <w:rsid w:val="77B46DA4"/>
    <w:rsid w:val="77EB2D72"/>
    <w:rsid w:val="780776F7"/>
    <w:rsid w:val="78163522"/>
    <w:rsid w:val="785E50A2"/>
    <w:rsid w:val="785E5813"/>
    <w:rsid w:val="78867CFB"/>
    <w:rsid w:val="789F2C29"/>
    <w:rsid w:val="78B418D7"/>
    <w:rsid w:val="78CF2BB4"/>
    <w:rsid w:val="79027FE0"/>
    <w:rsid w:val="79042EE5"/>
    <w:rsid w:val="79210966"/>
    <w:rsid w:val="794321BB"/>
    <w:rsid w:val="794D51CC"/>
    <w:rsid w:val="795F47C4"/>
    <w:rsid w:val="7967171B"/>
    <w:rsid w:val="799447B2"/>
    <w:rsid w:val="79993DEC"/>
    <w:rsid w:val="799B671E"/>
    <w:rsid w:val="79B7238B"/>
    <w:rsid w:val="79F16C5D"/>
    <w:rsid w:val="79F9227E"/>
    <w:rsid w:val="79FE105C"/>
    <w:rsid w:val="7A03141B"/>
    <w:rsid w:val="7A1817A4"/>
    <w:rsid w:val="7A3B22B0"/>
    <w:rsid w:val="7A470DFD"/>
    <w:rsid w:val="7A5E1AFB"/>
    <w:rsid w:val="7A6510DB"/>
    <w:rsid w:val="7A801056"/>
    <w:rsid w:val="7A9E603E"/>
    <w:rsid w:val="7AC64AA5"/>
    <w:rsid w:val="7B0501C8"/>
    <w:rsid w:val="7B225C49"/>
    <w:rsid w:val="7B8340AE"/>
    <w:rsid w:val="7B8F7B53"/>
    <w:rsid w:val="7B9B0B53"/>
    <w:rsid w:val="7B9F467D"/>
    <w:rsid w:val="7BB151BD"/>
    <w:rsid w:val="7BD429C5"/>
    <w:rsid w:val="7BDF0A19"/>
    <w:rsid w:val="7BF60404"/>
    <w:rsid w:val="7C42078B"/>
    <w:rsid w:val="7CA50B86"/>
    <w:rsid w:val="7CD40CD3"/>
    <w:rsid w:val="7D6D40C6"/>
    <w:rsid w:val="7DAA7D03"/>
    <w:rsid w:val="7DAE4568"/>
    <w:rsid w:val="7DF42A4B"/>
    <w:rsid w:val="7EAB2F61"/>
    <w:rsid w:val="7EE626A2"/>
    <w:rsid w:val="7EF1767C"/>
    <w:rsid w:val="7F1747D7"/>
    <w:rsid w:val="7F2F78BB"/>
    <w:rsid w:val="7F370C17"/>
    <w:rsid w:val="7F73429A"/>
    <w:rsid w:val="7FAD0277"/>
    <w:rsid w:val="7FAF5376"/>
    <w:rsid w:val="7FD3551A"/>
    <w:rsid w:val="7FDD00AC"/>
    <w:rsid w:val="7FDE6D39"/>
    <w:rsid w:val="7FE17785"/>
    <w:rsid w:val="7FEC212C"/>
    <w:rsid w:val="FBBAFE20"/>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39"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99"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39"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9"/>
    <w:pPr>
      <w:keepNext/>
      <w:keepLines/>
      <w:numPr>
        <w:ilvl w:val="0"/>
        <w:numId w:val="1"/>
      </w:numPr>
      <w:spacing w:before="60" w:after="60"/>
      <w:ind w:firstLine="0"/>
      <w:jc w:val="center"/>
      <w:outlineLvl w:val="0"/>
    </w:pPr>
    <w:rPr>
      <w:b/>
      <w:bCs/>
      <w:kern w:val="44"/>
      <w:sz w:val="44"/>
      <w:szCs w:val="44"/>
    </w:rPr>
  </w:style>
  <w:style w:type="paragraph" w:styleId="3">
    <w:name w:val="heading 2"/>
    <w:basedOn w:val="1"/>
    <w:next w:val="1"/>
    <w:autoRedefine/>
    <w:qFormat/>
    <w:uiPriority w:val="0"/>
    <w:pPr>
      <w:tabs>
        <w:tab w:val="left" w:pos="8280"/>
      </w:tabs>
      <w:autoSpaceDE w:val="0"/>
      <w:autoSpaceDN w:val="0"/>
      <w:adjustRightInd w:val="0"/>
      <w:spacing w:line="360" w:lineRule="auto"/>
      <w:ind w:right="25"/>
      <w:outlineLvl w:val="1"/>
    </w:pPr>
    <w:rPr>
      <w:rFonts w:ascii="宋体" w:hAnsi="宋体"/>
      <w:b/>
      <w:sz w:val="32"/>
      <w:szCs w:val="28"/>
    </w:rPr>
  </w:style>
  <w:style w:type="paragraph" w:styleId="4">
    <w:name w:val="heading 3"/>
    <w:basedOn w:val="1"/>
    <w:next w:val="1"/>
    <w:autoRedefine/>
    <w:semiHidden/>
    <w:unhideWhenUsed/>
    <w:qFormat/>
    <w:uiPriority w:val="0"/>
    <w:pPr>
      <w:keepNext/>
      <w:keepLines/>
      <w:tabs>
        <w:tab w:val="left" w:pos="8280"/>
      </w:tabs>
      <w:spacing w:before="260" w:after="260" w:line="416" w:lineRule="auto"/>
      <w:outlineLvl w:val="2"/>
    </w:pPr>
    <w:rPr>
      <w:bCs/>
      <w:szCs w:val="32"/>
    </w:rPr>
  </w:style>
  <w:style w:type="character" w:default="1" w:styleId="27">
    <w:name w:val="Default Paragraph Font"/>
    <w:autoRedefine/>
    <w:semiHidden/>
    <w:unhideWhenUsed/>
    <w:qFormat/>
    <w:uiPriority w:val="1"/>
  </w:style>
  <w:style w:type="table" w:default="1" w:styleId="24">
    <w:name w:val="Normal Table"/>
    <w:autoRedefine/>
    <w:semiHidden/>
    <w:unhideWhenUsed/>
    <w:qFormat/>
    <w:uiPriority w:val="99"/>
    <w:tblPr>
      <w:tblCellMar>
        <w:top w:w="0" w:type="dxa"/>
        <w:left w:w="108" w:type="dxa"/>
        <w:bottom w:w="0" w:type="dxa"/>
        <w:right w:w="108" w:type="dxa"/>
      </w:tblCellMar>
    </w:tblPr>
  </w:style>
  <w:style w:type="paragraph" w:styleId="5">
    <w:name w:val="List Number"/>
    <w:basedOn w:val="1"/>
    <w:qFormat/>
    <w:uiPriority w:val="0"/>
    <w:pPr>
      <w:numPr>
        <w:ilvl w:val="0"/>
        <w:numId w:val="2"/>
      </w:numPr>
    </w:pPr>
  </w:style>
  <w:style w:type="paragraph" w:styleId="6">
    <w:name w:val="Normal Indent"/>
    <w:basedOn w:val="1"/>
    <w:next w:val="1"/>
    <w:autoRedefine/>
    <w:qFormat/>
    <w:uiPriority w:val="0"/>
    <w:pPr>
      <w:ind w:firstLine="420"/>
    </w:pPr>
    <w:rPr>
      <w:szCs w:val="20"/>
    </w:rPr>
  </w:style>
  <w:style w:type="paragraph" w:styleId="7">
    <w:name w:val="annotation text"/>
    <w:basedOn w:val="1"/>
    <w:autoRedefine/>
    <w:qFormat/>
    <w:uiPriority w:val="0"/>
    <w:pPr>
      <w:jc w:val="left"/>
    </w:pPr>
  </w:style>
  <w:style w:type="paragraph" w:styleId="8">
    <w:name w:val="Body Text 3"/>
    <w:basedOn w:val="1"/>
    <w:qFormat/>
    <w:uiPriority w:val="0"/>
    <w:pPr>
      <w:spacing w:after="120"/>
    </w:pPr>
    <w:rPr>
      <w:sz w:val="16"/>
      <w:szCs w:val="16"/>
    </w:rPr>
  </w:style>
  <w:style w:type="paragraph" w:styleId="9">
    <w:name w:val="Body Text"/>
    <w:basedOn w:val="1"/>
    <w:next w:val="1"/>
    <w:qFormat/>
    <w:uiPriority w:val="0"/>
    <w:pPr>
      <w:spacing w:line="360" w:lineRule="exact"/>
    </w:pPr>
    <w:rPr>
      <w:sz w:val="24"/>
    </w:rPr>
  </w:style>
  <w:style w:type="paragraph" w:styleId="10">
    <w:name w:val="Body Text Indent"/>
    <w:basedOn w:val="1"/>
    <w:next w:val="1"/>
    <w:autoRedefine/>
    <w:qFormat/>
    <w:uiPriority w:val="0"/>
    <w:pPr>
      <w:spacing w:after="120"/>
      <w:ind w:left="420" w:leftChars="200"/>
    </w:pPr>
  </w:style>
  <w:style w:type="paragraph" w:styleId="11">
    <w:name w:val="Plain Text"/>
    <w:basedOn w:val="1"/>
    <w:next w:val="12"/>
    <w:link w:val="66"/>
    <w:autoRedefine/>
    <w:qFormat/>
    <w:uiPriority w:val="0"/>
    <w:rPr>
      <w:rFonts w:ascii="宋体" w:hAnsi="Courier New" w:cstheme="minorBidi"/>
    </w:rPr>
  </w:style>
  <w:style w:type="paragraph" w:styleId="12">
    <w:name w:val="Date"/>
    <w:basedOn w:val="1"/>
    <w:next w:val="1"/>
    <w:link w:val="67"/>
    <w:qFormat/>
    <w:uiPriority w:val="99"/>
    <w:pPr>
      <w:ind w:left="2500" w:leftChars="2500"/>
    </w:pPr>
    <w:rPr>
      <w:rFonts w:eastAsia="楷体_GB2312" w:asciiTheme="minorHAnsi" w:hAnsiTheme="minorHAnsi" w:cstheme="minorBidi"/>
      <w:sz w:val="32"/>
      <w:szCs w:val="22"/>
    </w:rPr>
  </w:style>
  <w:style w:type="paragraph" w:styleId="13">
    <w:name w:val="Body Text Indent 2"/>
    <w:basedOn w:val="1"/>
    <w:qFormat/>
    <w:uiPriority w:val="0"/>
    <w:pPr>
      <w:widowControl/>
      <w:spacing w:line="480" w:lineRule="atLeast"/>
      <w:ind w:firstLine="480"/>
    </w:pPr>
    <w:rPr>
      <w:rFonts w:ascii="宋体"/>
      <w:kern w:val="0"/>
      <w:sz w:val="24"/>
      <w:szCs w:val="20"/>
    </w:rPr>
  </w:style>
  <w:style w:type="paragraph" w:styleId="14">
    <w:name w:val="Balloon Text"/>
    <w:basedOn w:val="1"/>
    <w:link w:val="58"/>
    <w:autoRedefine/>
    <w:qFormat/>
    <w:uiPriority w:val="0"/>
    <w:rPr>
      <w:sz w:val="18"/>
      <w:szCs w:val="18"/>
    </w:rPr>
  </w:style>
  <w:style w:type="paragraph" w:styleId="15">
    <w:name w:val="footer"/>
    <w:basedOn w:val="1"/>
    <w:link w:val="59"/>
    <w:autoRedefine/>
    <w:qFormat/>
    <w:uiPriority w:val="0"/>
    <w:pPr>
      <w:tabs>
        <w:tab w:val="center" w:pos="4153"/>
        <w:tab w:val="right" w:pos="8306"/>
      </w:tabs>
      <w:snapToGrid w:val="0"/>
      <w:jc w:val="left"/>
    </w:pPr>
    <w:rPr>
      <w:sz w:val="18"/>
    </w:rPr>
  </w:style>
  <w:style w:type="paragraph" w:styleId="16">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7">
    <w:name w:val="toc 6"/>
    <w:basedOn w:val="1"/>
    <w:next w:val="1"/>
    <w:qFormat/>
    <w:uiPriority w:val="39"/>
    <w:pPr>
      <w:widowControl/>
      <w:ind w:left="1000"/>
      <w:jc w:val="left"/>
    </w:pPr>
    <w:rPr>
      <w:kern w:val="0"/>
      <w:sz w:val="18"/>
      <w:szCs w:val="20"/>
    </w:rPr>
  </w:style>
  <w:style w:type="paragraph" w:styleId="18">
    <w:name w:val="Body Text Indent 3"/>
    <w:basedOn w:val="1"/>
    <w:autoRedefine/>
    <w:qFormat/>
    <w:uiPriority w:val="0"/>
    <w:pPr>
      <w:ind w:left="420" w:leftChars="200"/>
    </w:pPr>
    <w:rPr>
      <w:sz w:val="16"/>
      <w:szCs w:val="16"/>
    </w:rPr>
  </w:style>
  <w:style w:type="paragraph" w:styleId="19">
    <w:name w:val="toc 2"/>
    <w:basedOn w:val="1"/>
    <w:next w:val="1"/>
    <w:autoRedefine/>
    <w:qFormat/>
    <w:uiPriority w:val="0"/>
    <w:pPr>
      <w:spacing w:line="360" w:lineRule="auto"/>
      <w:ind w:left="210" w:leftChars="100" w:firstLine="472" w:firstLineChars="196"/>
      <w:jc w:val="left"/>
    </w:pPr>
    <w:rPr>
      <w:rFonts w:ascii="宋体" w:hAnsi="宋体"/>
      <w:b/>
      <w:sz w:val="24"/>
    </w:rPr>
  </w:style>
  <w:style w:type="paragraph" w:styleId="20">
    <w:name w:val="Normal (Web)"/>
    <w:basedOn w:val="1"/>
    <w:autoRedefine/>
    <w:qFormat/>
    <w:uiPriority w:val="0"/>
    <w:pPr>
      <w:widowControl/>
      <w:spacing w:before="100" w:beforeAutospacing="1" w:after="100" w:afterAutospacing="1"/>
      <w:jc w:val="left"/>
    </w:pPr>
    <w:rPr>
      <w:rFonts w:hint="eastAsia" w:ascii="宋体" w:hAnsi="宋体"/>
      <w:kern w:val="0"/>
      <w:sz w:val="24"/>
    </w:rPr>
  </w:style>
  <w:style w:type="paragraph" w:styleId="21">
    <w:name w:val="Title"/>
    <w:basedOn w:val="1"/>
    <w:next w:val="1"/>
    <w:autoRedefine/>
    <w:qFormat/>
    <w:uiPriority w:val="0"/>
    <w:pPr>
      <w:adjustRightInd w:val="0"/>
      <w:spacing w:before="240" w:after="60" w:line="420" w:lineRule="atLeast"/>
      <w:jc w:val="center"/>
      <w:textAlignment w:val="baseline"/>
      <w:outlineLvl w:val="0"/>
    </w:pPr>
    <w:rPr>
      <w:rFonts w:ascii="Arial" w:hAnsi="Arial"/>
      <w:b/>
      <w:kern w:val="0"/>
      <w:sz w:val="32"/>
      <w:szCs w:val="20"/>
    </w:rPr>
  </w:style>
  <w:style w:type="paragraph" w:styleId="22">
    <w:name w:val="Body Text First Indent"/>
    <w:basedOn w:val="9"/>
    <w:next w:val="1"/>
    <w:autoRedefine/>
    <w:qFormat/>
    <w:uiPriority w:val="0"/>
    <w:pPr>
      <w:ind w:firstLine="200" w:firstLineChars="200"/>
    </w:pPr>
  </w:style>
  <w:style w:type="paragraph" w:styleId="23">
    <w:name w:val="Body Text First Indent 2"/>
    <w:basedOn w:val="10"/>
    <w:next w:val="1"/>
    <w:autoRedefine/>
    <w:qFormat/>
    <w:uiPriority w:val="0"/>
    <w:pPr>
      <w:ind w:firstLine="420"/>
    </w:pPr>
  </w:style>
  <w:style w:type="table" w:styleId="25">
    <w:name w:val="Table Grid"/>
    <w:basedOn w:val="24"/>
    <w:autoRedefine/>
    <w:qFormat/>
    <w:uiPriority w:val="39"/>
    <w:pPr>
      <w:jc w:val="both"/>
    </w:pPr>
    <w:rPr>
      <w:rFonts w:ascii="Arial" w:hAnsi="Arial"/>
    </w:rPr>
    <w:tblP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
  </w:style>
  <w:style w:type="table" w:styleId="26">
    <w:name w:val="Table Theme"/>
    <w:basedOn w:val="2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8">
    <w:name w:val="Strong"/>
    <w:basedOn w:val="27"/>
    <w:qFormat/>
    <w:uiPriority w:val="0"/>
    <w:rPr>
      <w:b/>
    </w:rPr>
  </w:style>
  <w:style w:type="character" w:styleId="29">
    <w:name w:val="Hyperlink"/>
    <w:autoRedefine/>
    <w:qFormat/>
    <w:uiPriority w:val="0"/>
    <w:rPr>
      <w:color w:val="0000FF"/>
      <w:u w:val="single"/>
    </w:rPr>
  </w:style>
  <w:style w:type="paragraph" w:customStyle="1" w:styleId="30">
    <w:name w:val="签发人"/>
    <w:basedOn w:val="1"/>
    <w:autoRedefine/>
    <w:qFormat/>
    <w:uiPriority w:val="0"/>
    <w:rPr>
      <w:rFonts w:eastAsia="楷体"/>
      <w:sz w:val="32"/>
    </w:rPr>
  </w:style>
  <w:style w:type="paragraph" w:customStyle="1" w:styleId="31">
    <w:name w:val="BodyText"/>
    <w:basedOn w:val="1"/>
    <w:autoRedefine/>
    <w:qFormat/>
    <w:uiPriority w:val="0"/>
    <w:pPr>
      <w:spacing w:after="120"/>
    </w:pPr>
    <w:rPr>
      <w:sz w:val="24"/>
    </w:rPr>
  </w:style>
  <w:style w:type="paragraph" w:customStyle="1" w:styleId="32">
    <w:name w:val="Default"/>
    <w:autoRedefine/>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33">
    <w:name w:val="目录 71"/>
    <w:next w:val="1"/>
    <w:autoRedefine/>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34">
    <w:name w:val="章正文"/>
    <w:basedOn w:val="1"/>
    <w:autoRedefine/>
    <w:qFormat/>
    <w:uiPriority w:val="0"/>
    <w:pPr>
      <w:spacing w:beforeLines="50" w:after="120" w:line="300" w:lineRule="auto"/>
      <w:ind w:firstLine="480"/>
    </w:pPr>
    <w:rPr>
      <w:rFonts w:ascii="Helvetica" w:hAnsi="Helvetica"/>
      <w:kern w:val="0"/>
      <w:sz w:val="24"/>
    </w:rPr>
  </w:style>
  <w:style w:type="paragraph" w:customStyle="1" w:styleId="35">
    <w:name w:val="无间隔1"/>
    <w:autoRedefine/>
    <w:qFormat/>
    <w:uiPriority w:val="99"/>
    <w:pPr>
      <w:adjustRightInd w:val="0"/>
      <w:snapToGrid w:val="0"/>
    </w:pPr>
    <w:rPr>
      <w:rFonts w:ascii="Tahoma" w:hAnsi="Tahoma" w:eastAsia="微软雅黑" w:cstheme="minorBidi"/>
      <w:sz w:val="22"/>
      <w:szCs w:val="22"/>
      <w:lang w:val="en-US" w:eastAsia="zh-CN" w:bidi="ar-SA"/>
    </w:rPr>
  </w:style>
  <w:style w:type="paragraph" w:styleId="36">
    <w:name w:val="List Paragraph"/>
    <w:basedOn w:val="1"/>
    <w:autoRedefine/>
    <w:qFormat/>
    <w:uiPriority w:val="34"/>
    <w:pPr>
      <w:ind w:firstLine="420" w:firstLineChars="200"/>
    </w:pPr>
    <w:rPr>
      <w:rFonts w:ascii="Calibri" w:hAnsi="Calibri"/>
      <w:szCs w:val="22"/>
    </w:rPr>
  </w:style>
  <w:style w:type="paragraph" w:customStyle="1" w:styleId="37">
    <w:name w:val="_Style 2"/>
    <w:autoRedefine/>
    <w:qFormat/>
    <w:uiPriority w:val="99"/>
    <w:pPr>
      <w:adjustRightInd w:val="0"/>
      <w:snapToGrid w:val="0"/>
    </w:pPr>
    <w:rPr>
      <w:rFonts w:ascii="Tahoma" w:hAnsi="Tahoma" w:eastAsia="微软雅黑" w:cs="Tahoma"/>
      <w:sz w:val="22"/>
      <w:szCs w:val="22"/>
      <w:lang w:val="en-US" w:eastAsia="zh-CN" w:bidi="ar-SA"/>
    </w:rPr>
  </w:style>
  <w:style w:type="paragraph" w:customStyle="1" w:styleId="38">
    <w:name w:val="无间隔11"/>
    <w:autoRedefine/>
    <w:qFormat/>
    <w:uiPriority w:val="0"/>
    <w:pPr>
      <w:adjustRightInd w:val="0"/>
      <w:snapToGrid w:val="0"/>
    </w:pPr>
    <w:rPr>
      <w:rFonts w:ascii="Tahoma" w:hAnsi="Tahoma" w:eastAsia="微软雅黑" w:cstheme="minorBidi"/>
      <w:sz w:val="22"/>
      <w:szCs w:val="22"/>
      <w:lang w:val="en-US" w:eastAsia="zh-CN" w:bidi="ar-SA"/>
    </w:rPr>
  </w:style>
  <w:style w:type="paragraph" w:customStyle="1" w:styleId="39">
    <w:name w:val="reader-word-layer"/>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40">
    <w:name w:val="正文_3_0"/>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1">
    <w:name w:val="正文_14"/>
    <w:autoRedefine/>
    <w:qFormat/>
    <w:uiPriority w:val="0"/>
    <w:rPr>
      <w:rFonts w:ascii="Times New Roman" w:hAnsi="Times New Roman" w:eastAsia="宋体" w:cs="Times New Roman"/>
      <w:sz w:val="21"/>
      <w:szCs w:val="22"/>
      <w:lang w:val="en-US" w:eastAsia="zh-CN" w:bidi="ar-SA"/>
    </w:rPr>
  </w:style>
  <w:style w:type="paragraph" w:customStyle="1" w:styleId="42">
    <w:name w:val="正文_4"/>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3">
    <w:name w:val="正文_5"/>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4">
    <w:name w:val="正文_10"/>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5">
    <w:name w:val="纯文本_3"/>
    <w:basedOn w:val="44"/>
    <w:autoRedefine/>
    <w:qFormat/>
    <w:uiPriority w:val="0"/>
    <w:pPr>
      <w:widowControl/>
      <w:jc w:val="left"/>
    </w:pPr>
    <w:rPr>
      <w:rFonts w:ascii="宋体" w:hAnsi="Courier New" w:eastAsiaTheme="minorEastAsia" w:cstheme="minorBidi"/>
      <w:szCs w:val="21"/>
    </w:rPr>
  </w:style>
  <w:style w:type="paragraph" w:customStyle="1" w:styleId="46">
    <w:name w:val="纯文本_0_1"/>
    <w:basedOn w:val="1"/>
    <w:autoRedefine/>
    <w:qFormat/>
    <w:uiPriority w:val="0"/>
    <w:pPr>
      <w:widowControl/>
      <w:jc w:val="left"/>
    </w:pPr>
    <w:rPr>
      <w:rFonts w:ascii="宋体" w:hAnsi="Courier New" w:eastAsiaTheme="minorEastAsia" w:cstheme="minorBidi"/>
      <w:szCs w:val="21"/>
    </w:rPr>
  </w:style>
  <w:style w:type="paragraph" w:customStyle="1" w:styleId="47">
    <w:name w:val="正文_17"/>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8">
    <w:name w:val="正文_2_0"/>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9">
    <w:name w:val="正文_6"/>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0">
    <w:name w:val="Normal_15"/>
    <w:autoRedefine/>
    <w:qFormat/>
    <w:uiPriority w:val="0"/>
    <w:pPr>
      <w:widowControl w:val="0"/>
      <w:jc w:val="both"/>
    </w:pPr>
    <w:rPr>
      <w:rFonts w:ascii="Calibri" w:hAnsi="Calibri" w:eastAsia="宋体" w:cs="Times New Roman"/>
      <w:kern w:val="2"/>
      <w:sz w:val="21"/>
      <w:szCs w:val="22"/>
      <w:lang w:val="en-US" w:eastAsia="zh-CN" w:bidi="ar-SA"/>
    </w:rPr>
  </w:style>
  <w:style w:type="character" w:customStyle="1" w:styleId="51">
    <w:name w:val="font21"/>
    <w:basedOn w:val="27"/>
    <w:autoRedefine/>
    <w:qFormat/>
    <w:uiPriority w:val="0"/>
    <w:rPr>
      <w:rFonts w:hint="default" w:ascii="Arial" w:hAnsi="Arial" w:cs="Arial"/>
      <w:color w:val="000000"/>
      <w:sz w:val="20"/>
      <w:szCs w:val="20"/>
      <w:u w:val="none"/>
    </w:rPr>
  </w:style>
  <w:style w:type="character" w:customStyle="1" w:styleId="52">
    <w:name w:val="font01"/>
    <w:basedOn w:val="27"/>
    <w:autoRedefine/>
    <w:qFormat/>
    <w:uiPriority w:val="0"/>
    <w:rPr>
      <w:rFonts w:hint="eastAsia" w:ascii="宋体" w:hAnsi="宋体" w:eastAsia="宋体" w:cs="宋体"/>
      <w:color w:val="000000"/>
      <w:sz w:val="20"/>
      <w:szCs w:val="20"/>
      <w:u w:val="none"/>
    </w:rPr>
  </w:style>
  <w:style w:type="paragraph" w:customStyle="1" w:styleId="53">
    <w:name w:val="纯文本1"/>
    <w:basedOn w:val="54"/>
    <w:autoRedefine/>
    <w:qFormat/>
    <w:uiPriority w:val="0"/>
    <w:pPr>
      <w:widowControl/>
      <w:jc w:val="left"/>
    </w:pPr>
    <w:rPr>
      <w:rFonts w:ascii="宋体" w:hAnsi="Courier New"/>
    </w:rPr>
  </w:style>
  <w:style w:type="paragraph" w:customStyle="1" w:styleId="54">
    <w:name w:val="正文1"/>
    <w:autoRedefine/>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55">
    <w:name w:val="Table Paragraph"/>
    <w:basedOn w:val="1"/>
    <w:autoRedefine/>
    <w:qFormat/>
    <w:uiPriority w:val="1"/>
    <w:rPr>
      <w:rFonts w:ascii="宋体" w:hAnsi="宋体" w:cs="宋体"/>
    </w:rPr>
  </w:style>
  <w:style w:type="paragraph" w:customStyle="1" w:styleId="56">
    <w:name w:val="WPSOffice手动目录 1"/>
    <w:autoRedefine/>
    <w:qFormat/>
    <w:uiPriority w:val="0"/>
    <w:rPr>
      <w:rFonts w:ascii="Times New Roman" w:hAnsi="Times New Roman" w:eastAsia="宋体" w:cs="Times New Roman"/>
      <w:lang w:val="en-US" w:eastAsia="zh-CN" w:bidi="ar-SA"/>
    </w:rPr>
  </w:style>
  <w:style w:type="paragraph" w:customStyle="1" w:styleId="57">
    <w:name w:val="默认段落字体 Para Char Char Char Char Char Char Char Char Char1 Char Char Char Char"/>
    <w:basedOn w:val="1"/>
    <w:autoRedefine/>
    <w:qFormat/>
    <w:uiPriority w:val="0"/>
    <w:rPr>
      <w:rFonts w:ascii="Tahoma" w:hAnsi="Tahoma"/>
      <w:sz w:val="24"/>
      <w:szCs w:val="20"/>
    </w:rPr>
  </w:style>
  <w:style w:type="character" w:customStyle="1" w:styleId="58">
    <w:name w:val="批注框文本 Char"/>
    <w:basedOn w:val="27"/>
    <w:link w:val="14"/>
    <w:autoRedefine/>
    <w:qFormat/>
    <w:uiPriority w:val="0"/>
    <w:rPr>
      <w:kern w:val="2"/>
      <w:sz w:val="18"/>
      <w:szCs w:val="18"/>
    </w:rPr>
  </w:style>
  <w:style w:type="character" w:customStyle="1" w:styleId="59">
    <w:name w:val="页脚 Char"/>
    <w:link w:val="15"/>
    <w:autoRedefine/>
    <w:qFormat/>
    <w:uiPriority w:val="0"/>
    <w:rPr>
      <w:kern w:val="2"/>
      <w:sz w:val="18"/>
      <w:szCs w:val="24"/>
    </w:rPr>
  </w:style>
  <w:style w:type="paragraph" w:customStyle="1" w:styleId="60">
    <w:name w:val="p0"/>
    <w:basedOn w:val="1"/>
    <w:unhideWhenUsed/>
    <w:qFormat/>
    <w:uiPriority w:val="0"/>
    <w:pPr>
      <w:widowControl/>
      <w:spacing w:line="324" w:lineRule="auto"/>
    </w:pPr>
    <w:rPr>
      <w:rFonts w:hint="eastAsia" w:eastAsia="仿宋_GB2312"/>
      <w:sz w:val="24"/>
      <w:szCs w:val="20"/>
    </w:rPr>
  </w:style>
  <w:style w:type="paragraph" w:customStyle="1" w:styleId="61">
    <w:name w:val="正文 A"/>
    <w:autoRedefine/>
    <w:qFormat/>
    <w:uiPriority w:val="0"/>
    <w:pPr>
      <w:widowControl w:val="0"/>
      <w:jc w:val="both"/>
    </w:pPr>
    <w:rPr>
      <w:rFonts w:ascii="Times New Roman" w:hAnsi="Times New Roman" w:eastAsia="Times New Roman" w:cs="Times New Roman"/>
      <w:color w:val="000000"/>
      <w:kern w:val="2"/>
      <w:sz w:val="21"/>
      <w:szCs w:val="21"/>
      <w:lang w:val="en-US" w:eastAsia="zh-CN" w:bidi="ar-SA"/>
    </w:rPr>
  </w:style>
  <w:style w:type="paragraph" w:customStyle="1" w:styleId="62">
    <w:name w:val="p15"/>
    <w:basedOn w:val="1"/>
    <w:autoRedefine/>
    <w:qFormat/>
    <w:uiPriority w:val="0"/>
    <w:pPr>
      <w:widowControl/>
      <w:spacing w:line="360" w:lineRule="auto"/>
      <w:ind w:firstLine="403"/>
    </w:pPr>
    <w:rPr>
      <w:rFonts w:ascii="仿宋_GB2312" w:hAnsi="宋体" w:eastAsia="仿宋_GB2312" w:cs="宋体"/>
      <w:kern w:val="0"/>
      <w:szCs w:val="28"/>
    </w:rPr>
  </w:style>
  <w:style w:type="paragraph" w:customStyle="1" w:styleId="63">
    <w:name w:val="列表段落1"/>
    <w:basedOn w:val="1"/>
    <w:autoRedefine/>
    <w:qFormat/>
    <w:uiPriority w:val="34"/>
    <w:pPr>
      <w:ind w:right="238" w:firstLine="420"/>
    </w:pPr>
    <w:rPr>
      <w:rFonts w:ascii="Calibri" w:hAnsi="Calibri"/>
      <w:sz w:val="24"/>
    </w:rPr>
  </w:style>
  <w:style w:type="paragraph" w:customStyle="1" w:styleId="64">
    <w:name w:val="正文缩进1"/>
    <w:basedOn w:val="1"/>
    <w:next w:val="10"/>
    <w:autoRedefine/>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65">
    <w:name w:val="索引 11"/>
    <w:basedOn w:val="1"/>
    <w:next w:val="1"/>
    <w:autoRedefine/>
    <w:qFormat/>
    <w:uiPriority w:val="0"/>
    <w:pPr>
      <w:spacing w:line="360" w:lineRule="auto"/>
    </w:pPr>
    <w:rPr>
      <w:rFonts w:ascii="仿宋_GB2312" w:eastAsia="仿宋_GB2312"/>
      <w:sz w:val="24"/>
      <w:szCs w:val="20"/>
    </w:rPr>
  </w:style>
  <w:style w:type="character" w:customStyle="1" w:styleId="66">
    <w:name w:val="纯文本 Char"/>
    <w:basedOn w:val="27"/>
    <w:link w:val="11"/>
    <w:qFormat/>
    <w:uiPriority w:val="0"/>
    <w:rPr>
      <w:rFonts w:ascii="宋体" w:hAnsi="Courier New" w:cstheme="minorBidi"/>
      <w:kern w:val="2"/>
      <w:sz w:val="21"/>
      <w:szCs w:val="24"/>
    </w:rPr>
  </w:style>
  <w:style w:type="character" w:customStyle="1" w:styleId="67">
    <w:name w:val="日期 Char"/>
    <w:basedOn w:val="27"/>
    <w:link w:val="12"/>
    <w:autoRedefine/>
    <w:qFormat/>
    <w:uiPriority w:val="99"/>
    <w:rPr>
      <w:rFonts w:eastAsia="楷体_GB2312" w:asciiTheme="minorHAnsi" w:hAnsiTheme="minorHAnsi" w:cstheme="minorBidi"/>
      <w:kern w:val="2"/>
      <w:sz w:val="32"/>
      <w:szCs w:val="22"/>
    </w:rPr>
  </w:style>
  <w:style w:type="paragraph" w:customStyle="1" w:styleId="68">
    <w:name w:val="Normal Indent1"/>
    <w:basedOn w:val="1"/>
    <w:autoRedefine/>
    <w:qFormat/>
    <w:uiPriority w:val="0"/>
    <w:pPr>
      <w:ind w:firstLine="420" w:firstLineChars="200"/>
    </w:pPr>
  </w:style>
  <w:style w:type="paragraph" w:customStyle="1" w:styleId="69">
    <w:name w:val="正文段"/>
    <w:basedOn w:val="1"/>
    <w:autoRedefine/>
    <w:qFormat/>
    <w:uiPriority w:val="0"/>
    <w:pPr>
      <w:widowControl/>
      <w:snapToGrid w:val="0"/>
      <w:spacing w:after="50" w:afterLines="50"/>
      <w:ind w:firstLine="200" w:firstLineChars="200"/>
    </w:pPr>
    <w:rPr>
      <w:kern w:val="0"/>
      <w:sz w:val="24"/>
      <w:szCs w:val="20"/>
    </w:rPr>
  </w:style>
  <w:style w:type="paragraph" w:customStyle="1" w:styleId="70">
    <w:name w:val="4、正文"/>
    <w:basedOn w:val="1"/>
    <w:autoRedefine/>
    <w:qFormat/>
    <w:uiPriority w:val="0"/>
    <w:pPr>
      <w:ind w:firstLine="200" w:firstLineChars="200"/>
    </w:pPr>
    <w:rPr>
      <w:rFonts w:ascii="宋体"/>
      <w:sz w:val="24"/>
      <w:szCs w:val="28"/>
    </w:rPr>
  </w:style>
  <w:style w:type="paragraph" w:customStyle="1" w:styleId="71">
    <w:name w:val="样式 样式1 + 首行缩进:  2 字符"/>
    <w:basedOn w:val="1"/>
    <w:qFormat/>
    <w:uiPriority w:val="99"/>
    <w:pPr>
      <w:spacing w:line="360" w:lineRule="exact"/>
      <w:ind w:firstLine="420" w:firstLineChars="200"/>
    </w:pPr>
    <w:rPr>
      <w:rFonts w:ascii="Arial" w:hAnsi="Arial" w:eastAsia="宋体" w:cs="宋体"/>
      <w:szCs w:val="20"/>
    </w:rPr>
  </w:style>
  <w:style w:type="paragraph" w:customStyle="1" w:styleId="72">
    <w:name w:val="标题4"/>
    <w:basedOn w:val="1"/>
    <w:qFormat/>
    <w:uiPriority w:val="99"/>
    <w:rPr>
      <w:rFonts w:eastAsia="仿宋_GB2312"/>
      <w:sz w:val="32"/>
      <w:szCs w:val="20"/>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header" Target="header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TZFT.COM</Company>
  <Pages>65</Pages>
  <Words>31157</Words>
  <Characters>32852</Characters>
  <Lines>208</Lines>
  <Paragraphs>58</Paragraphs>
  <TotalTime>12</TotalTime>
  <ScaleCrop>false</ScaleCrop>
  <LinksUpToDate>false</LinksUpToDate>
  <CharactersWithSpaces>34264</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2023-05-12T17:06:00Z</dcterms:created>
  <dc:creator>Thorpe521</dc:creator>
  <cp:lastModifiedBy>洗尽铅华</cp:lastModifiedBy>
  <cp:lastPrinted>2024-02-02T05:56:00Z</cp:lastPrinted>
  <dcterms:modified xsi:type="dcterms:W3CDTF">2025-04-17T08:58:42Z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26D35B56A49C4F20A80E75272C91FE2B_13</vt:lpwstr>
  </property>
  <property fmtid="{D5CDD505-2E9C-101B-9397-08002B2CF9AE}" pid="4" name="KSOTemplateDocerSaveRecord">
    <vt:lpwstr>eyJoZGlkIjoiNGJkY2UwMDI1NzQxZjZjMTY0NTQwMzMxZjkwZjBmYzEiLCJ1c2VySWQiOiIzMDI0ODg5NDIifQ==</vt:lpwstr>
  </property>
</Properties>
</file>