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BC141">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bookmarkStart w:id="0" w:name="_Toc331502476"/>
      <w:bookmarkStart w:id="1" w:name="_Toc331502477"/>
    </w:p>
    <w:p w14:paraId="3E86C21D">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p>
    <w:p w14:paraId="3EABB875">
      <w:pPr>
        <w:shd w:val="clear" w:color="auto"/>
        <w:spacing w:line="360" w:lineRule="auto"/>
        <w:jc w:val="center"/>
        <w:textAlignment w:val="bottom"/>
        <w:rPr>
          <w:rFonts w:hint="eastAsia" w:asciiTheme="minorEastAsia" w:hAnsiTheme="minorEastAsia" w:eastAsiaTheme="minorEastAsia" w:cstheme="minorEastAsia"/>
          <w:b/>
          <w:color w:val="auto"/>
          <w:kern w:val="0"/>
          <w:sz w:val="52"/>
          <w:szCs w:val="52"/>
          <w:highlight w:val="none"/>
        </w:rPr>
      </w:pPr>
      <w:r>
        <w:rPr>
          <w:rFonts w:hint="eastAsia" w:asciiTheme="minorEastAsia" w:hAnsiTheme="minorEastAsia" w:eastAsiaTheme="minorEastAsia" w:cstheme="minorEastAsia"/>
          <w:b/>
          <w:color w:val="auto"/>
          <w:kern w:val="0"/>
          <w:sz w:val="52"/>
          <w:szCs w:val="52"/>
          <w:highlight w:val="none"/>
        </w:rPr>
        <w:t>政府采购电子招标文件</w:t>
      </w:r>
    </w:p>
    <w:p w14:paraId="6CC56960">
      <w:pPr>
        <w:shd w:val="clear"/>
        <w:wordWrap w:val="0"/>
        <w:ind w:firstLine="2400" w:firstLineChars="750"/>
        <w:jc w:val="left"/>
        <w:rPr>
          <w:rFonts w:hint="eastAsia" w:asciiTheme="minorEastAsia" w:hAnsiTheme="minorEastAsia" w:eastAsiaTheme="minorEastAsia" w:cstheme="minorEastAsia"/>
          <w:color w:val="auto"/>
          <w:sz w:val="32"/>
          <w:szCs w:val="32"/>
          <w:highlight w:val="none"/>
          <w:u w:val="single"/>
          <w:lang w:val="en-US" w:eastAsia="zh-CN"/>
        </w:rPr>
      </w:pPr>
      <w:r>
        <w:rPr>
          <w:rFonts w:hint="eastAsia" w:asciiTheme="minorEastAsia" w:hAnsiTheme="minorEastAsia" w:eastAsiaTheme="minorEastAsia" w:cstheme="minorEastAsia"/>
          <w:color w:val="auto"/>
          <w:sz w:val="32"/>
          <w:szCs w:val="32"/>
          <w:highlight w:val="none"/>
        </w:rPr>
        <w:t>招标编号:</w:t>
      </w:r>
      <w:r>
        <w:rPr>
          <w:rFonts w:hint="eastAsia" w:asciiTheme="minorEastAsia" w:hAnsiTheme="minorEastAsia" w:eastAsiaTheme="minorEastAsia" w:cstheme="minorEastAsia"/>
          <w:color w:val="auto"/>
          <w:sz w:val="32"/>
          <w:szCs w:val="32"/>
          <w:highlight w:val="none"/>
          <w:u w:val="single"/>
          <w:lang w:eastAsia="zh-CN"/>
        </w:rPr>
        <w:t>JJLQ2025-002</w:t>
      </w:r>
    </w:p>
    <w:p w14:paraId="35F1A027">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084" w:firstLineChars="300"/>
        <w:jc w:val="both"/>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color w:val="auto"/>
          <w:sz w:val="36"/>
          <w:highlight w:val="none"/>
        </w:rPr>
        <w:t>（线上电子招投标）</w:t>
      </w:r>
    </w:p>
    <w:p w14:paraId="53D1AEDD">
      <w:pPr>
        <w:shd w:val="clear"/>
        <w:rPr>
          <w:rFonts w:hint="eastAsia" w:asciiTheme="minorEastAsia" w:hAnsiTheme="minorEastAsia" w:eastAsiaTheme="minorEastAsia" w:cstheme="minorEastAsia"/>
          <w:color w:val="auto"/>
          <w:sz w:val="24"/>
          <w:highlight w:val="none"/>
        </w:rPr>
      </w:pPr>
    </w:p>
    <w:p w14:paraId="1B9BB8E7">
      <w:pPr>
        <w:shd w:val="clear"/>
        <w:jc w:val="center"/>
        <w:rPr>
          <w:rFonts w:hint="eastAsia" w:asciiTheme="minorEastAsia" w:hAnsiTheme="minorEastAsia" w:eastAsiaTheme="minorEastAsia" w:cstheme="minorEastAsia"/>
          <w:color w:val="auto"/>
          <w:sz w:val="24"/>
          <w:highlight w:val="none"/>
        </w:rPr>
      </w:pPr>
    </w:p>
    <w:p w14:paraId="5DFDEB39">
      <w:pPr>
        <w:shd w:val="clear"/>
        <w:jc w:val="center"/>
        <w:rPr>
          <w:rFonts w:hint="eastAsia" w:asciiTheme="minorEastAsia" w:hAnsiTheme="minorEastAsia" w:eastAsiaTheme="minorEastAsia" w:cstheme="minorEastAsia"/>
          <w:color w:val="auto"/>
          <w:sz w:val="32"/>
          <w:szCs w:val="32"/>
          <w:highlight w:val="none"/>
        </w:rPr>
      </w:pPr>
    </w:p>
    <w:p w14:paraId="21EE8B4E">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sz w:val="30"/>
          <w:szCs w:val="30"/>
          <w:highlight w:val="none"/>
        </w:rPr>
        <w:t>采购项目</w:t>
      </w:r>
      <w:r>
        <w:rPr>
          <w:rFonts w:hint="eastAsia" w:asciiTheme="minorEastAsia" w:hAnsiTheme="minorEastAsia" w:eastAsiaTheme="minorEastAsia" w:cstheme="minorEastAsia"/>
          <w:color w:val="auto"/>
          <w:sz w:val="30"/>
          <w:szCs w:val="30"/>
          <w:highlight w:val="none"/>
          <w:lang w:eastAsia="zh-CN"/>
        </w:rPr>
        <w:t>：台州市路桥区第二人民医疗服务共同体工会委员会疗休养服务(含金清分院)</w:t>
      </w:r>
    </w:p>
    <w:p w14:paraId="008B6195">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val="en-US" w:eastAsia="zh-CN"/>
        </w:rPr>
      </w:pPr>
      <w:r>
        <w:rPr>
          <w:rFonts w:hint="eastAsia" w:asciiTheme="minorEastAsia" w:hAnsiTheme="minorEastAsia" w:eastAsiaTheme="minorEastAsia" w:cstheme="minorEastAsia"/>
          <w:color w:val="auto"/>
          <w:kern w:val="0"/>
          <w:sz w:val="30"/>
          <w:szCs w:val="30"/>
          <w:highlight w:val="none"/>
          <w:lang w:val="en-US" w:eastAsia="zh-CN"/>
        </w:rPr>
        <w:t xml:space="preserve">          </w:t>
      </w:r>
    </w:p>
    <w:p w14:paraId="365D0167">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color w:val="auto"/>
          <w:kern w:val="0"/>
          <w:sz w:val="30"/>
          <w:szCs w:val="30"/>
          <w:highlight w:val="none"/>
        </w:rPr>
        <w:t>采 购 人：</w:t>
      </w:r>
      <w:r>
        <w:rPr>
          <w:rFonts w:hint="eastAsia" w:asciiTheme="minorEastAsia" w:hAnsiTheme="minorEastAsia" w:eastAsiaTheme="minorEastAsia" w:cstheme="minorEastAsia"/>
          <w:color w:val="auto"/>
          <w:kern w:val="0"/>
          <w:sz w:val="30"/>
          <w:szCs w:val="30"/>
          <w:highlight w:val="none"/>
          <w:lang w:eastAsia="zh-CN"/>
        </w:rPr>
        <w:t>台州市路桥区第二人民医院医疗服务共同体</w:t>
      </w:r>
      <w:r>
        <w:rPr>
          <w:rFonts w:hint="eastAsia" w:asciiTheme="minorEastAsia" w:hAnsiTheme="minorEastAsia" w:eastAsiaTheme="minorEastAsia" w:cstheme="minorEastAsia"/>
          <w:color w:val="auto"/>
          <w:kern w:val="0"/>
          <w:sz w:val="30"/>
          <w:szCs w:val="30"/>
          <w:highlight w:val="none"/>
        </w:rPr>
        <w:t>（盖章）</w:t>
      </w:r>
    </w:p>
    <w:p w14:paraId="39AC2570">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p>
    <w:p w14:paraId="1430B154">
      <w:pPr>
        <w:keepNext w:val="0"/>
        <w:keepLines w:val="0"/>
        <w:pageBreakBefore w:val="0"/>
        <w:widowControl w:val="0"/>
        <w:shd w:val="clear"/>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480" w:lineRule="auto"/>
        <w:ind w:right="-94" w:firstLine="600" w:firstLineChars="200"/>
        <w:textAlignment w:val="auto"/>
        <w:rPr>
          <w:rFonts w:hint="eastAsia" w:asciiTheme="minorEastAsia" w:hAnsiTheme="minorEastAsia" w:eastAsiaTheme="minorEastAsia" w:cstheme="minorEastAsia"/>
          <w:color w:val="auto"/>
          <w:kern w:val="0"/>
          <w:sz w:val="30"/>
          <w:szCs w:val="30"/>
          <w:highlight w:val="none"/>
          <w:lang w:eastAsia="zh-CN"/>
        </w:rPr>
      </w:pPr>
      <w:r>
        <w:rPr>
          <w:rFonts w:hint="eastAsia" w:asciiTheme="minorEastAsia" w:hAnsiTheme="minorEastAsia" w:eastAsiaTheme="minorEastAsia" w:cstheme="minorEastAsia"/>
          <w:color w:val="auto"/>
          <w:kern w:val="0"/>
          <w:sz w:val="30"/>
          <w:szCs w:val="30"/>
          <w:highlight w:val="none"/>
          <w:lang w:eastAsia="zh-CN"/>
        </w:rPr>
        <w:t>采购组织机构：建经投资咨询有限公司（盖章）</w:t>
      </w:r>
    </w:p>
    <w:p w14:paraId="4A790536">
      <w:pPr>
        <w:pStyle w:val="99"/>
        <w:shd w:val="clear"/>
        <w:rPr>
          <w:rFonts w:hint="eastAsia" w:asciiTheme="minorEastAsia" w:hAnsiTheme="minorEastAsia" w:eastAsiaTheme="minorEastAsia" w:cstheme="minorEastAsia"/>
          <w:color w:val="auto"/>
          <w:highlight w:val="none"/>
        </w:rPr>
      </w:pPr>
    </w:p>
    <w:p w14:paraId="57283B28">
      <w:pPr>
        <w:shd w:val="clea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highlight w:val="none"/>
        </w:rPr>
        <w:t>二○二</w:t>
      </w:r>
      <w:r>
        <w:rPr>
          <w:rFonts w:hint="eastAsia" w:asciiTheme="minorEastAsia" w:hAnsiTheme="minorEastAsia" w:eastAsiaTheme="minorEastAsia" w:cstheme="minorEastAsia"/>
          <w:color w:val="auto"/>
          <w:kern w:val="0"/>
          <w:sz w:val="28"/>
          <w:highlight w:val="none"/>
          <w:lang w:val="en-US" w:eastAsia="zh-CN"/>
        </w:rPr>
        <w:t>五</w:t>
      </w:r>
      <w:r>
        <w:rPr>
          <w:rFonts w:hint="eastAsia" w:asciiTheme="minorEastAsia" w:hAnsiTheme="minorEastAsia" w:eastAsiaTheme="minorEastAsia" w:cstheme="minorEastAsia"/>
          <w:color w:val="auto"/>
          <w:kern w:val="0"/>
          <w:sz w:val="28"/>
          <w:highlight w:val="none"/>
        </w:rPr>
        <w:t>年</w:t>
      </w:r>
      <w:r>
        <w:rPr>
          <w:rFonts w:hint="eastAsia" w:asciiTheme="minorEastAsia" w:hAnsiTheme="minorEastAsia" w:eastAsiaTheme="minorEastAsia" w:cstheme="minorEastAsia"/>
          <w:color w:val="auto"/>
          <w:kern w:val="0"/>
          <w:sz w:val="28"/>
          <w:highlight w:val="none"/>
          <w:lang w:val="en-US" w:eastAsia="zh-CN"/>
        </w:rPr>
        <w:t xml:space="preserve"> </w:t>
      </w:r>
    </w:p>
    <w:p w14:paraId="5B5F9CE5">
      <w:pPr>
        <w:shd w:val="clear"/>
        <w:ind w:left="643" w:hanging="643"/>
        <w:jc w:val="center"/>
        <w:rPr>
          <w:rFonts w:hint="eastAsia" w:asciiTheme="minorEastAsia" w:hAnsiTheme="minorEastAsia" w:eastAsiaTheme="minorEastAsia" w:cstheme="minorEastAsia"/>
          <w:b/>
          <w:color w:val="auto"/>
          <w:sz w:val="32"/>
          <w:szCs w:val="32"/>
          <w:highlight w:val="none"/>
        </w:rPr>
      </w:pPr>
    </w:p>
    <w:p w14:paraId="14E70243">
      <w:pPr>
        <w:shd w:val="clear"/>
        <w:ind w:left="643" w:hanging="643"/>
        <w:jc w:val="center"/>
        <w:rPr>
          <w:rFonts w:hint="eastAsia" w:asciiTheme="minorEastAsia" w:hAnsiTheme="minorEastAsia" w:eastAsiaTheme="minorEastAsia" w:cstheme="minorEastAsia"/>
          <w:b/>
          <w:color w:val="auto"/>
          <w:sz w:val="32"/>
          <w:szCs w:val="32"/>
          <w:highlight w:val="none"/>
        </w:rPr>
        <w:sectPr>
          <w:headerReference r:id="rId6" w:type="first"/>
          <w:footerReference r:id="rId7" w:type="first"/>
          <w:headerReference r:id="rId5" w:type="default"/>
          <w:pgSz w:w="11906" w:h="16838"/>
          <w:pgMar w:top="1247" w:right="1417" w:bottom="1474" w:left="1417" w:header="851" w:footer="896" w:gutter="0"/>
          <w:cols w:space="0" w:num="1"/>
          <w:titlePg/>
          <w:rtlGutter w:val="0"/>
          <w:docGrid w:type="lines" w:linePitch="312" w:charSpace="0"/>
        </w:sectPr>
      </w:pPr>
    </w:p>
    <w:p w14:paraId="2E6F6BDF">
      <w:pPr>
        <w:shd w:val="clear"/>
        <w:ind w:left="643" w:hanging="643"/>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1455EB4B">
      <w:pPr>
        <w:shd w:val="clear"/>
        <w:ind w:firstLine="480" w:firstLineChars="200"/>
        <w:rPr>
          <w:rFonts w:hint="eastAsia" w:asciiTheme="minorEastAsia" w:hAnsiTheme="minorEastAsia" w:eastAsiaTheme="minorEastAsia" w:cstheme="minorEastAsia"/>
          <w:color w:val="auto"/>
          <w:sz w:val="24"/>
          <w:highlight w:val="none"/>
        </w:rPr>
      </w:pPr>
    </w:p>
    <w:p w14:paraId="53C4729F">
      <w:pPr>
        <w:pStyle w:val="380"/>
        <w:shd w:val="clear"/>
        <w:ind w:firstLine="56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\f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第一部分    招标公告</w:t>
      </w:r>
      <w:r>
        <w:rPr>
          <w:rFonts w:hint="eastAsia" w:asciiTheme="minorEastAsia" w:hAnsiTheme="minorEastAsia" w:eastAsiaTheme="minorEastAsia" w:cstheme="minorEastAsia"/>
          <w:color w:val="auto"/>
          <w:sz w:val="28"/>
          <w:szCs w:val="28"/>
          <w:highlight w:val="none"/>
          <w:lang w:val="en-US" w:eastAsia="zh-CN"/>
        </w:rPr>
        <w:t xml:space="preserve"> </w:t>
      </w:r>
    </w:p>
    <w:p w14:paraId="6AF3CC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 xml:space="preserve">第二部分    </w:t>
      </w:r>
      <w:r>
        <w:rPr>
          <w:rFonts w:hint="eastAsia" w:asciiTheme="minorEastAsia" w:hAnsiTheme="minorEastAsia" w:eastAsiaTheme="minorEastAsia" w:cstheme="minorEastAsia"/>
          <w:color w:val="auto"/>
          <w:sz w:val="28"/>
          <w:szCs w:val="28"/>
          <w:highlight w:val="none"/>
          <w:lang w:eastAsia="zh-CN"/>
        </w:rPr>
        <w:t>项目需求</w:t>
      </w:r>
    </w:p>
    <w:p w14:paraId="09FBC7D5">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第三部分    投标人须知</w:t>
      </w:r>
    </w:p>
    <w:p w14:paraId="23BD6334">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第四部分    投标文件格式</w:t>
      </w:r>
    </w:p>
    <w:p w14:paraId="5673C86B">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第五部分    采购合同</w:t>
      </w:r>
    </w:p>
    <w:p w14:paraId="44174768">
      <w:pPr>
        <w:pStyle w:val="380"/>
        <w:shd w:val="clear"/>
        <w:ind w:firstLine="56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第六部分    评标办法</w:t>
      </w:r>
    </w:p>
    <w:p w14:paraId="3A031008">
      <w:pPr>
        <w:pStyle w:val="380"/>
        <w:shd w:val="clear"/>
        <w:ind w:firstLine="560"/>
        <w:rPr>
          <w:rFonts w:hint="eastAsia" w:asciiTheme="minorEastAsia" w:hAnsiTheme="minorEastAsia" w:eastAsiaTheme="minorEastAsia" w:cstheme="minorEastAsia"/>
          <w:color w:val="auto"/>
          <w:sz w:val="28"/>
          <w:szCs w:val="28"/>
          <w:highlight w:val="none"/>
        </w:rPr>
        <w:sectPr>
          <w:footerReference r:id="rId9" w:type="first"/>
          <w:footerReference r:id="rId8" w:type="default"/>
          <w:pgSz w:w="11906" w:h="16838"/>
          <w:pgMar w:top="1247" w:right="1417" w:bottom="1474" w:left="1417" w:header="851" w:footer="896" w:gutter="0"/>
          <w:pgNumType w:start="1"/>
          <w:cols w:space="0" w:num="1"/>
          <w:rtlGutter w:val="0"/>
          <w:docGrid w:type="lines" w:linePitch="312" w:charSpace="0"/>
        </w:sectPr>
      </w:pPr>
      <w:r>
        <w:rPr>
          <w:rFonts w:hint="eastAsia" w:asciiTheme="minorEastAsia" w:hAnsiTheme="minorEastAsia" w:eastAsiaTheme="minorEastAsia" w:cstheme="minorEastAsia"/>
          <w:color w:val="auto"/>
          <w:sz w:val="28"/>
          <w:szCs w:val="28"/>
          <w:highlight w:val="none"/>
        </w:rPr>
        <w:fldChar w:fldCharType="end"/>
      </w:r>
    </w:p>
    <w:p w14:paraId="7CDD45CD">
      <w:pPr>
        <w:pStyle w:val="2"/>
        <w:numPr>
          <w:ilvl w:val="0"/>
          <w:numId w:val="0"/>
        </w:numPr>
        <w:shd w:val="clear"/>
        <w:tabs>
          <w:tab w:val="clear" w:pos="432"/>
        </w:tabs>
        <w:spacing w:before="0" w:after="0" w:line="360" w:lineRule="auto"/>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 xml:space="preserve">第一部分  </w:t>
      </w:r>
      <w:bookmarkEnd w:id="0"/>
      <w:r>
        <w:rPr>
          <w:rFonts w:hint="eastAsia" w:asciiTheme="minorEastAsia" w:hAnsiTheme="minorEastAsia" w:eastAsiaTheme="minorEastAsia" w:cstheme="minorEastAsia"/>
          <w:color w:val="auto"/>
          <w:sz w:val="36"/>
          <w:szCs w:val="36"/>
          <w:highlight w:val="none"/>
        </w:rPr>
        <w:t>招标公告</w:t>
      </w:r>
    </w:p>
    <w:p w14:paraId="2AFEF28E">
      <w:pPr>
        <w:pStyle w:val="73"/>
        <w:keepNext w:val="0"/>
        <w:keepLines w:val="0"/>
        <w:pageBreakBefore w:val="0"/>
        <w:shd w:val="clear"/>
        <w:kinsoku/>
        <w:wordWrap/>
        <w:topLinePunct w:val="0"/>
        <w:bidi w:val="0"/>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val="0"/>
          <w:color w:val="auto"/>
          <w:kern w:val="2"/>
          <w:sz w:val="21"/>
          <w:szCs w:val="21"/>
          <w:highlight w:val="none"/>
        </w:rPr>
        <w:t>根据《中华人民共和国政府采购法》</w:t>
      </w:r>
      <w:r>
        <w:rPr>
          <w:rFonts w:hint="eastAsia" w:asciiTheme="minorEastAsia" w:hAnsiTheme="minorEastAsia" w:eastAsiaTheme="minorEastAsia" w:cstheme="minorEastAsia"/>
          <w:b w:val="0"/>
          <w:color w:val="auto"/>
          <w:kern w:val="2"/>
          <w:sz w:val="21"/>
          <w:szCs w:val="21"/>
          <w:highlight w:val="none"/>
          <w:lang w:eastAsia="zh-CN"/>
        </w:rPr>
        <w:t>、</w:t>
      </w:r>
      <w:r>
        <w:rPr>
          <w:rFonts w:hint="eastAsia" w:asciiTheme="minorEastAsia" w:hAnsiTheme="minorEastAsia" w:eastAsiaTheme="minorEastAsia" w:cstheme="minorEastAsia"/>
          <w:b w:val="0"/>
          <w:color w:val="auto"/>
          <w:kern w:val="2"/>
          <w:sz w:val="21"/>
          <w:szCs w:val="21"/>
          <w:highlight w:val="none"/>
        </w:rPr>
        <w:t>《政府采购货物和服务招标投标管理办法（财政部第87号令）》等有关规定，</w:t>
      </w:r>
      <w:r>
        <w:rPr>
          <w:rFonts w:hint="eastAsia" w:asciiTheme="minorEastAsia" w:hAnsiTheme="minorEastAsia" w:eastAsiaTheme="minorEastAsia" w:cstheme="minorEastAsia"/>
          <w:b w:val="0"/>
          <w:color w:val="auto"/>
          <w:kern w:val="2"/>
          <w:sz w:val="21"/>
          <w:szCs w:val="21"/>
          <w:highlight w:val="none"/>
          <w:u w:val="single"/>
          <w:lang w:eastAsia="zh-CN"/>
        </w:rPr>
        <w:t>建经投资咨询有限公司</w:t>
      </w:r>
      <w:r>
        <w:rPr>
          <w:rFonts w:hint="eastAsia" w:asciiTheme="minorEastAsia" w:hAnsiTheme="minorEastAsia" w:eastAsiaTheme="minorEastAsia" w:cstheme="minorEastAsia"/>
          <w:b w:val="0"/>
          <w:color w:val="auto"/>
          <w:kern w:val="2"/>
          <w:sz w:val="21"/>
          <w:szCs w:val="21"/>
          <w:highlight w:val="none"/>
        </w:rPr>
        <w:t>受</w:t>
      </w:r>
      <w:r>
        <w:rPr>
          <w:rFonts w:hint="eastAsia" w:asciiTheme="minorEastAsia" w:hAnsiTheme="minorEastAsia" w:eastAsiaTheme="minorEastAsia" w:cstheme="minorEastAsia"/>
          <w:b w:val="0"/>
          <w:color w:val="auto"/>
          <w:kern w:val="2"/>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 w:val="0"/>
          <w:color w:val="auto"/>
          <w:kern w:val="2"/>
          <w:sz w:val="21"/>
          <w:szCs w:val="21"/>
          <w:highlight w:val="none"/>
        </w:rPr>
        <w:t>委托，就</w:t>
      </w:r>
      <w:r>
        <w:rPr>
          <w:rFonts w:hint="eastAsia" w:asciiTheme="minorEastAsia" w:hAnsiTheme="minorEastAsia" w:eastAsiaTheme="minorEastAsia" w:cstheme="minorEastAsia"/>
          <w:b w:val="0"/>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b w:val="0"/>
          <w:color w:val="auto"/>
          <w:kern w:val="2"/>
          <w:sz w:val="21"/>
          <w:szCs w:val="21"/>
          <w:highlight w:val="none"/>
        </w:rPr>
        <w:t>进行公开招标，欢迎合格供应商前来投标。</w:t>
      </w:r>
    </w:p>
    <w:p w14:paraId="1AFA5E0D">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lang w:eastAsia="zh-CN"/>
        </w:rPr>
        <w:t>招标编号：JJLQ2025-002</w:t>
      </w:r>
    </w:p>
    <w:p w14:paraId="053EBCF7">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二、项目名称：台州市路桥区第二人民医疗服务共同体工会委员会疗休养服务(含金清分院)</w:t>
      </w:r>
    </w:p>
    <w:p w14:paraId="18EDE301">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eastAsia="zh-CN"/>
        </w:rPr>
        <w:t>、采购组织类型：</w:t>
      </w:r>
      <w:r>
        <w:rPr>
          <w:rFonts w:hint="eastAsia" w:asciiTheme="minorEastAsia" w:hAnsiTheme="minorEastAsia" w:eastAsiaTheme="minorEastAsia" w:cstheme="minorEastAsia"/>
          <w:color w:val="auto"/>
          <w:sz w:val="21"/>
          <w:szCs w:val="21"/>
          <w:highlight w:val="none"/>
          <w:lang w:val="en-US" w:eastAsia="zh-CN"/>
        </w:rPr>
        <w:t>公开招标</w:t>
      </w:r>
    </w:p>
    <w:p w14:paraId="118AA022">
      <w:pPr>
        <w:keepNext w:val="0"/>
        <w:keepLines w:val="0"/>
        <w:pageBreakBefore w:val="0"/>
        <w:numPr>
          <w:ilvl w:val="0"/>
          <w:numId w:val="0"/>
        </w:numPr>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lang w:eastAsia="zh-CN"/>
        </w:rPr>
        <w:t>采购内容：</w:t>
      </w:r>
    </w:p>
    <w:tbl>
      <w:tblPr>
        <w:tblStyle w:val="76"/>
        <w:tblW w:w="51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5"/>
        <w:gridCol w:w="2259"/>
        <w:gridCol w:w="1205"/>
        <w:gridCol w:w="932"/>
        <w:gridCol w:w="1888"/>
        <w:gridCol w:w="1692"/>
      </w:tblGrid>
      <w:tr w14:paraId="16CD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35" w:type="pct"/>
            <w:noWrap w:val="0"/>
            <w:vAlign w:val="center"/>
          </w:tcPr>
          <w:p w14:paraId="2FD3809E">
            <w:pPr>
              <w:pStyle w:val="695"/>
              <w:keepNext w:val="0"/>
              <w:keepLines w:val="0"/>
              <w:pageBreakBefore w:val="0"/>
              <w:shd w:val="clear"/>
              <w:kinsoku/>
              <w:wordWrap/>
              <w:topLinePunct w:val="0"/>
              <w:bidi w:val="0"/>
              <w:adjustRightInd w:val="0"/>
              <w:snapToGrid w:val="0"/>
              <w:spacing w:line="360" w:lineRule="auto"/>
              <w:ind w:left="49" w:right="120"/>
              <w:jc w:val="center"/>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lang w:val="en-US" w:eastAsia="zh-CN"/>
              </w:rPr>
              <w:t>标段</w:t>
            </w:r>
          </w:p>
        </w:tc>
        <w:tc>
          <w:tcPr>
            <w:tcW w:w="1207" w:type="pct"/>
            <w:noWrap w:val="0"/>
            <w:vAlign w:val="center"/>
          </w:tcPr>
          <w:p w14:paraId="79F0EAD9">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cs="宋体"/>
                <w:b/>
                <w:bCs/>
                <w:color w:val="auto"/>
                <w:sz w:val="21"/>
                <w:szCs w:val="21"/>
                <w:highlight w:val="none"/>
                <w:shd w:val="clear" w:color="auto" w:fill="auto"/>
                <w:lang w:val="en-US" w:eastAsia="zh-CN"/>
              </w:rPr>
              <w:t>标项内容</w:t>
            </w:r>
          </w:p>
        </w:tc>
        <w:tc>
          <w:tcPr>
            <w:tcW w:w="644" w:type="pct"/>
            <w:noWrap w:val="0"/>
            <w:vAlign w:val="center"/>
          </w:tcPr>
          <w:p w14:paraId="28250881">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shd w:val="clear" w:color="auto" w:fill="auto"/>
              </w:rPr>
              <w:t>数量</w:t>
            </w:r>
          </w:p>
        </w:tc>
        <w:tc>
          <w:tcPr>
            <w:tcW w:w="498" w:type="pct"/>
            <w:noWrap w:val="0"/>
            <w:vAlign w:val="center"/>
          </w:tcPr>
          <w:p w14:paraId="777BD746">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单位</w:t>
            </w:r>
          </w:p>
        </w:tc>
        <w:tc>
          <w:tcPr>
            <w:tcW w:w="1009" w:type="pct"/>
            <w:noWrap w:val="0"/>
            <w:vAlign w:val="center"/>
          </w:tcPr>
          <w:p w14:paraId="29E2C635">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rPr>
              <w:t>预算金额</w:t>
            </w:r>
          </w:p>
        </w:tc>
        <w:tc>
          <w:tcPr>
            <w:tcW w:w="904" w:type="pct"/>
            <w:noWrap w:val="0"/>
            <w:vAlign w:val="center"/>
          </w:tcPr>
          <w:p w14:paraId="4B741B8A">
            <w:pPr>
              <w:keepNext w:val="0"/>
              <w:keepLines w:val="0"/>
              <w:pageBreakBefore w:val="0"/>
              <w:shd w:val="clear"/>
              <w:kinsoku/>
              <w:wordWrap/>
              <w:topLinePunct w:val="0"/>
              <w:bidi w:val="0"/>
              <w:adjustRightInd w:val="0"/>
              <w:snapToGrid w:val="0"/>
              <w:spacing w:line="360" w:lineRule="auto"/>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cs="宋体"/>
                <w:b/>
                <w:bCs/>
                <w:color w:val="auto"/>
                <w:sz w:val="21"/>
                <w:szCs w:val="21"/>
                <w:highlight w:val="none"/>
                <w:shd w:val="clear" w:color="auto" w:fill="auto"/>
                <w:lang w:val="en-US" w:eastAsia="zh-CN"/>
              </w:rPr>
              <w:t>备注</w:t>
            </w:r>
          </w:p>
        </w:tc>
      </w:tr>
      <w:tr w14:paraId="3A2D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735" w:type="pct"/>
            <w:noWrap w:val="0"/>
            <w:vAlign w:val="center"/>
          </w:tcPr>
          <w:p w14:paraId="6020E40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标段一</w:t>
            </w:r>
          </w:p>
        </w:tc>
        <w:tc>
          <w:tcPr>
            <w:tcW w:w="1207" w:type="pct"/>
            <w:noWrap w:val="0"/>
            <w:vAlign w:val="center"/>
          </w:tcPr>
          <w:p w14:paraId="5ADB7AE7">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p w14:paraId="7C9776E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（省</w:t>
            </w:r>
            <w:r>
              <w:rPr>
                <w:rFonts w:hint="eastAsia" w:ascii="宋体" w:hAnsi="宋体" w:cs="宋体"/>
                <w:color w:val="auto"/>
                <w:sz w:val="21"/>
                <w:szCs w:val="21"/>
                <w:highlight w:val="none"/>
                <w:lang w:val="en-US" w:eastAsia="zh-CN"/>
              </w:rPr>
              <w:t>外</w:t>
            </w:r>
            <w:r>
              <w:rPr>
                <w:rFonts w:hint="eastAsia" w:ascii="宋体" w:hAnsi="宋体" w:eastAsia="宋体" w:cs="宋体"/>
                <w:color w:val="auto"/>
                <w:sz w:val="21"/>
                <w:szCs w:val="21"/>
                <w:highlight w:val="none"/>
                <w:lang w:val="en-US" w:eastAsia="zh-CN"/>
              </w:rPr>
              <w:t>）</w:t>
            </w:r>
          </w:p>
        </w:tc>
        <w:tc>
          <w:tcPr>
            <w:tcW w:w="644" w:type="pct"/>
            <w:noWrap w:val="0"/>
            <w:vAlign w:val="center"/>
          </w:tcPr>
          <w:p w14:paraId="530137C7">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4FBBC7E1">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bottom w:val="single" w:color="auto" w:sz="4" w:space="0"/>
            </w:tcBorders>
            <w:noWrap w:val="0"/>
            <w:vAlign w:val="center"/>
          </w:tcPr>
          <w:p w14:paraId="6C690724">
            <w:pPr>
              <w:pStyle w:val="695"/>
              <w:keepNext w:val="0"/>
              <w:keepLines w:val="0"/>
              <w:pageBreakBefore w:val="0"/>
              <w:shd w:val="clear"/>
              <w:kinsoku/>
              <w:wordWrap/>
              <w:topLinePunct w:val="0"/>
              <w:bidi w:val="0"/>
              <w:adjustRightInd w:val="0"/>
              <w:snapToGrid w:val="0"/>
              <w:spacing w:before="1" w:line="360" w:lineRule="auto"/>
              <w:ind w:right="10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1081800元</w:t>
            </w:r>
          </w:p>
        </w:tc>
        <w:tc>
          <w:tcPr>
            <w:tcW w:w="904" w:type="pct"/>
            <w:tcBorders>
              <w:bottom w:val="single" w:color="auto" w:sz="4" w:space="0"/>
            </w:tcBorders>
            <w:noWrap w:val="0"/>
            <w:vAlign w:val="center"/>
          </w:tcPr>
          <w:p w14:paraId="1E3230AB">
            <w:pPr>
              <w:pStyle w:val="695"/>
              <w:keepNext w:val="0"/>
              <w:keepLines w:val="0"/>
              <w:pageBreakBefore w:val="0"/>
              <w:shd w:val="clear"/>
              <w:kinsoku/>
              <w:wordWrap/>
              <w:topLinePunct w:val="0"/>
              <w:bidi w:val="0"/>
              <w:adjustRightInd w:val="0"/>
              <w:snapToGrid w:val="0"/>
              <w:spacing w:before="1" w:line="240" w:lineRule="auto"/>
              <w:ind w:right="106"/>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 xml:space="preserve"> </w:t>
            </w:r>
          </w:p>
        </w:tc>
      </w:tr>
      <w:tr w14:paraId="0D9E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35" w:type="pct"/>
            <w:noWrap w:val="0"/>
            <w:vAlign w:val="center"/>
          </w:tcPr>
          <w:p w14:paraId="2CC87148">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标段二</w:t>
            </w:r>
          </w:p>
        </w:tc>
        <w:tc>
          <w:tcPr>
            <w:tcW w:w="1207" w:type="pct"/>
            <w:noWrap w:val="0"/>
            <w:vAlign w:val="center"/>
          </w:tcPr>
          <w:p w14:paraId="0E69ED6B">
            <w:pPr>
              <w:pStyle w:val="695"/>
              <w:keepNext w:val="0"/>
              <w:keepLines w:val="0"/>
              <w:pageBreakBefore w:val="0"/>
              <w:kinsoku/>
              <w:wordWrap/>
              <w:topLinePunct w:val="0"/>
              <w:bidi w:val="0"/>
              <w:adjustRightInd w:val="0"/>
              <w:snapToGrid w:val="0"/>
              <w:spacing w:line="360" w:lineRule="auto"/>
              <w:ind w:right="264"/>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详见项目需求</w:t>
            </w:r>
          </w:p>
          <w:p w14:paraId="7AC2A85B">
            <w:pPr>
              <w:pStyle w:val="695"/>
              <w:keepNext w:val="0"/>
              <w:keepLines w:val="0"/>
              <w:pageBreakBefore w:val="0"/>
              <w:shd w:val="clear"/>
              <w:kinsoku/>
              <w:wordWrap/>
              <w:topLinePunct w:val="0"/>
              <w:bidi w:val="0"/>
              <w:adjustRightInd w:val="0"/>
              <w:snapToGrid w:val="0"/>
              <w:spacing w:line="360" w:lineRule="auto"/>
              <w:ind w:right="264"/>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（省内）</w:t>
            </w:r>
          </w:p>
        </w:tc>
        <w:tc>
          <w:tcPr>
            <w:tcW w:w="644" w:type="pct"/>
            <w:noWrap w:val="0"/>
            <w:vAlign w:val="center"/>
          </w:tcPr>
          <w:p w14:paraId="614E3EB4">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98" w:type="pct"/>
            <w:noWrap w:val="0"/>
            <w:vAlign w:val="center"/>
          </w:tcPr>
          <w:p w14:paraId="6BB210EF">
            <w:pPr>
              <w:pStyle w:val="695"/>
              <w:keepNext w:val="0"/>
              <w:keepLines w:val="0"/>
              <w:pageBreakBefore w:val="0"/>
              <w:shd w:val="clear"/>
              <w:kinsoku/>
              <w:wordWrap/>
              <w:topLinePunct w:val="0"/>
              <w:bidi w:val="0"/>
              <w:adjustRightInd w:val="0"/>
              <w:snapToGrid w:val="0"/>
              <w:spacing w:before="1" w:line="360" w:lineRule="auto"/>
              <w:ind w:right="106" w:rightChars="0"/>
              <w:jc w:val="center"/>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项</w:t>
            </w:r>
          </w:p>
        </w:tc>
        <w:tc>
          <w:tcPr>
            <w:tcW w:w="1009" w:type="pct"/>
            <w:tcBorders>
              <w:top w:val="single" w:color="auto" w:sz="4" w:space="0"/>
            </w:tcBorders>
            <w:noWrap w:val="0"/>
            <w:vAlign w:val="center"/>
          </w:tcPr>
          <w:p w14:paraId="5E3928AC">
            <w:pPr>
              <w:pStyle w:val="695"/>
              <w:keepNext w:val="0"/>
              <w:keepLines w:val="0"/>
              <w:pageBreakBefore w:val="0"/>
              <w:shd w:val="clear"/>
              <w:kinsoku/>
              <w:wordWrap/>
              <w:topLinePunct w:val="0"/>
              <w:bidi w:val="0"/>
              <w:adjustRightInd w:val="0"/>
              <w:snapToGrid w:val="0"/>
              <w:spacing w:before="1" w:line="360" w:lineRule="auto"/>
              <w:ind w:right="106"/>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429000元</w:t>
            </w:r>
          </w:p>
        </w:tc>
        <w:tc>
          <w:tcPr>
            <w:tcW w:w="904" w:type="pct"/>
            <w:tcBorders>
              <w:top w:val="single" w:color="auto" w:sz="4" w:space="0"/>
            </w:tcBorders>
            <w:noWrap w:val="0"/>
            <w:vAlign w:val="center"/>
          </w:tcPr>
          <w:p w14:paraId="0EA22351">
            <w:pPr>
              <w:pStyle w:val="695"/>
              <w:keepNext w:val="0"/>
              <w:keepLines w:val="0"/>
              <w:pageBreakBefore w:val="0"/>
              <w:shd w:val="clear"/>
              <w:kinsoku/>
              <w:wordWrap/>
              <w:topLinePunct w:val="0"/>
              <w:bidi w:val="0"/>
              <w:adjustRightInd w:val="0"/>
              <w:snapToGrid w:val="0"/>
              <w:spacing w:before="1" w:line="360" w:lineRule="auto"/>
              <w:ind w:right="106"/>
              <w:jc w:val="left"/>
              <w:rPr>
                <w:rFonts w:hint="eastAsia" w:ascii="宋体" w:hAnsi="宋体" w:eastAsia="宋体" w:cs="宋体"/>
                <w:color w:val="auto"/>
                <w:sz w:val="21"/>
                <w:szCs w:val="21"/>
                <w:highlight w:val="none"/>
                <w:lang w:val="en-US"/>
              </w:rPr>
            </w:pPr>
          </w:p>
        </w:tc>
      </w:tr>
    </w:tbl>
    <w:p w14:paraId="0659C03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、投标人应具备的资格要求</w:t>
      </w:r>
    </w:p>
    <w:p w14:paraId="41DA9C2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1、基本资格要求：符合《中华人民共和国政府采购法》第二十二条规定的投标人资格条件。 </w:t>
      </w:r>
    </w:p>
    <w:p w14:paraId="36D8BFA4">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22F60A4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0E98230D">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C518B9F">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3ED4BD7C">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3D6B95F1">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3FC8C4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标段：</w:t>
      </w:r>
      <w:r>
        <w:rPr>
          <w:rFonts w:hint="eastAsia" w:asciiTheme="minorEastAsia" w:hAnsiTheme="minorEastAsia" w:eastAsiaTheme="minorEastAsia" w:cstheme="minorEastAsia"/>
          <w:color w:val="auto"/>
          <w:sz w:val="21"/>
          <w:szCs w:val="21"/>
          <w:highlight w:val="none"/>
          <w:lang w:val="en-US" w:eastAsia="zh-CN"/>
        </w:rPr>
        <w:t>两个标段</w:t>
      </w:r>
      <w:r>
        <w:rPr>
          <w:rFonts w:hint="eastAsia" w:asciiTheme="minorEastAsia" w:hAnsiTheme="minorEastAsia" w:eastAsiaTheme="minorEastAsia" w:cstheme="minorEastAsia"/>
          <w:color w:val="auto"/>
          <w:sz w:val="21"/>
          <w:szCs w:val="21"/>
          <w:highlight w:val="none"/>
        </w:rPr>
        <w:t>。</w:t>
      </w:r>
    </w:p>
    <w:p w14:paraId="46600D5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招标文件的获取时间、地址、</w:t>
      </w:r>
      <w:r>
        <w:rPr>
          <w:rFonts w:hint="eastAsia" w:asciiTheme="minorEastAsia" w:hAnsiTheme="minorEastAsia" w:eastAsiaTheme="minorEastAsia" w:cstheme="minorEastAsia"/>
          <w:b/>
          <w:color w:val="auto"/>
          <w:sz w:val="21"/>
          <w:szCs w:val="21"/>
          <w:highlight w:val="none"/>
          <w:lang w:val="en-US" w:eastAsia="zh-CN"/>
        </w:rPr>
        <w:t>方式、售价</w:t>
      </w:r>
      <w:r>
        <w:rPr>
          <w:rFonts w:hint="eastAsia" w:asciiTheme="minorEastAsia" w:hAnsiTheme="minorEastAsia" w:eastAsiaTheme="minorEastAsia" w:cstheme="minorEastAsia"/>
          <w:b/>
          <w:color w:val="auto"/>
          <w:sz w:val="21"/>
          <w:szCs w:val="21"/>
          <w:highlight w:val="none"/>
          <w:lang w:eastAsia="zh-CN"/>
        </w:rPr>
        <w:t>:</w:t>
      </w:r>
    </w:p>
    <w:p w14:paraId="350C9A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1FB054E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6526F9E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公告发布时间</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E887156">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3E89857D">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6593949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7F79B61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八、投标说明</w:t>
      </w:r>
    </w:p>
    <w:p w14:paraId="7245B79A">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51AF3A6A">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2CBFAB5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F08E7CB">
      <w:pPr>
        <w:keepNext w:val="0"/>
        <w:keepLines w:val="0"/>
        <w:pageBreakBefore w:val="0"/>
        <w:widowControl w:val="0"/>
        <w:numPr>
          <w:ilvl w:val="0"/>
          <w:numId w:val="32"/>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54ABF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2433DD5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5F92E51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169A64F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309DDDC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330F2B6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2"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1391370120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3CAEE602">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3"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2"/>
    <w:bookmarkEnd w:id="3"/>
    <w:p w14:paraId="0F44533C">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3BE63C6">
      <w:pPr>
        <w:keepNext w:val="0"/>
        <w:keepLines w:val="0"/>
        <w:pageBreakBefore w:val="0"/>
        <w:widowControl w:val="0"/>
        <w:numPr>
          <w:ilvl w:val="0"/>
          <w:numId w:val="31"/>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16A9E52F">
      <w:pPr>
        <w:pStyle w:val="73"/>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78C185D8">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6E7B7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03BA25A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11BD063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7253071A">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5C4FFD3">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3448DFD7">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483931B5">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410D9633">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44EFC0B4">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投标地点</w:t>
      </w:r>
      <w:r>
        <w:rPr>
          <w:rStyle w:val="82"/>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07775479">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521A416C">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61351D5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72C2E929">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12CB715">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6610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0141F39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1DE53CE6">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5.中小企业相关规定：</w:t>
      </w:r>
    </w:p>
    <w:p w14:paraId="4E26FFC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5.1中小企是指在中华人民共和国境内依法设立，依据国务院批准的中小企业划分标准确定的中型企业、小型企业和微型企业，但与大企业的负责人为同一人，或者与大企业存在直接控股、管理关系的除外。</w:t>
      </w:r>
    </w:p>
    <w:p w14:paraId="79E18190">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40" w:lineRule="exact"/>
        <w:ind w:right="23"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5.2根据关于印发《政府采购促进中小企业发展管理办法》（</w:t>
      </w:r>
      <w:r>
        <w:rPr>
          <w:rFonts w:hint="eastAsia" w:asciiTheme="minorEastAsia" w:hAnsiTheme="minorEastAsia" w:eastAsiaTheme="minorEastAsia" w:cstheme="minorEastAsia"/>
          <w:i w:val="0"/>
          <w:caps w:val="0"/>
          <w:color w:val="auto"/>
          <w:spacing w:val="0"/>
          <w:sz w:val="21"/>
          <w:szCs w:val="21"/>
          <w:highlight w:val="none"/>
          <w:shd w:val="clear" w:color="auto" w:fill="FFFFFF"/>
        </w:rPr>
        <w:t>财库〔2020〕46号</w:t>
      </w:r>
      <w:r>
        <w:rPr>
          <w:rFonts w:hint="eastAsia" w:asciiTheme="minorEastAsia" w:hAnsiTheme="minorEastAsia" w:eastAsiaTheme="minorEastAsia" w:cstheme="minorEastAsia"/>
          <w:color w:val="auto"/>
          <w:sz w:val="21"/>
          <w:szCs w:val="21"/>
          <w:highlight w:val="none"/>
          <w:lang w:val="en-US" w:eastAsia="zh-CN"/>
        </w:rPr>
        <w:t>）的通知文件规定，</w:t>
      </w:r>
      <w:r>
        <w:rPr>
          <w:rFonts w:hint="eastAsia" w:asciiTheme="minorEastAsia" w:hAnsiTheme="minorEastAsia" w:eastAsiaTheme="minorEastAsia" w:cstheme="minorEastAsia"/>
          <w:b/>
          <w:bCs/>
          <w:color w:val="auto"/>
          <w:sz w:val="21"/>
          <w:szCs w:val="21"/>
          <w:highlight w:val="none"/>
          <w:u w:val="single"/>
        </w:rPr>
        <w:t>本项目专门面向中小企业采购</w:t>
      </w:r>
      <w:r>
        <w:rPr>
          <w:rFonts w:hint="eastAsia" w:asciiTheme="minorEastAsia" w:hAnsiTheme="minorEastAsia" w:eastAsiaTheme="minorEastAsia" w:cstheme="minorEastAsia"/>
          <w:color w:val="auto"/>
          <w:sz w:val="21"/>
          <w:szCs w:val="21"/>
          <w:highlight w:val="none"/>
          <w:lang w:val="en-US" w:eastAsia="zh-CN"/>
        </w:rPr>
        <w:t>。若投标人投标时不符合上述规定的，按无效标处理。</w:t>
      </w:r>
      <w:r>
        <w:rPr>
          <w:rFonts w:hint="eastAsia" w:asciiTheme="minorEastAsia" w:hAnsiTheme="minorEastAsia" w:eastAsiaTheme="minorEastAsia" w:cstheme="minorEastAsia"/>
          <w:b/>
          <w:bCs/>
          <w:color w:val="auto"/>
          <w:sz w:val="21"/>
          <w:szCs w:val="21"/>
          <w:highlight w:val="none"/>
          <w:lang w:val="en-US" w:eastAsia="zh-CN"/>
        </w:rPr>
        <w:t>服务由中小企业承接，提供服务的人员须为中小企业依照《中华人民共和国劳动合同法》订立劳动合同的从业人员。</w:t>
      </w:r>
    </w:p>
    <w:p w14:paraId="16C7CDCC">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kern w:val="2"/>
          <w:sz w:val="21"/>
          <w:szCs w:val="21"/>
          <w:highlight w:val="none"/>
          <w:lang w:val="en-US" w:eastAsia="zh-CN" w:bidi="ar-SA"/>
        </w:rPr>
        <w:t>中小企业参加政府采购活动，应当出具本办法规定的《中小企业声明函》（格式详见附件），本项目专门面向中小企业采购不享受相关中小企业扶持政策。若存在虚假投标的，按无效投标进行处理，已经中标的，取消中标资格，并赔偿给采购人造成的损失。采购人有权单方面解除合同，已经支付的款项供应商须全部退还</w:t>
      </w:r>
      <w:r>
        <w:rPr>
          <w:rFonts w:hint="eastAsia" w:asciiTheme="minorEastAsia" w:hAnsiTheme="minorEastAsia" w:eastAsiaTheme="minorEastAsia" w:cstheme="minorEastAsia"/>
          <w:color w:val="auto"/>
          <w:sz w:val="21"/>
          <w:szCs w:val="21"/>
          <w:highlight w:val="none"/>
          <w:lang w:val="en-US" w:eastAsia="zh-CN"/>
        </w:rPr>
        <w:t>。</w:t>
      </w:r>
    </w:p>
    <w:p w14:paraId="70F7D9F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5.4</w:t>
      </w:r>
      <w:r>
        <w:rPr>
          <w:rFonts w:hint="eastAsia" w:asciiTheme="minorEastAsia" w:hAnsiTheme="minorEastAsia" w:eastAsiaTheme="minorEastAsia" w:cstheme="minorEastAsia"/>
          <w:color w:val="auto"/>
          <w:kern w:val="2"/>
          <w:sz w:val="21"/>
          <w:szCs w:val="21"/>
          <w:highlight w:val="none"/>
          <w:lang w:val="en-US" w:eastAsia="zh-CN" w:bidi="ar-SA"/>
        </w:rPr>
        <w:t>小微企业不得将合同分包给大中型企业，中型企业不得将合同分包给大型企业。</w:t>
      </w:r>
    </w:p>
    <w:p w14:paraId="7B10F30B">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5.5本项目采购标的对应中小企业划分标准所属行业为：租赁和商务服务业。</w:t>
      </w:r>
    </w:p>
    <w:p w14:paraId="46A3532E">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十五、本公告发布地址：浙江省政府采购网(https://zfcg.czt.zj.gov.cn/)</w:t>
      </w:r>
    </w:p>
    <w:p w14:paraId="40E8BD5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十六、</w:t>
      </w:r>
      <w:r>
        <w:rPr>
          <w:rFonts w:hint="eastAsia" w:asciiTheme="minorEastAsia" w:hAnsiTheme="minorEastAsia" w:eastAsiaTheme="minorEastAsia" w:cstheme="minorEastAsia"/>
          <w:b/>
          <w:color w:val="auto"/>
          <w:sz w:val="21"/>
          <w:szCs w:val="21"/>
          <w:highlight w:val="none"/>
        </w:rPr>
        <w:t>项目联系人：</w:t>
      </w:r>
      <w:r>
        <w:rPr>
          <w:rFonts w:hint="eastAsia" w:asciiTheme="minorEastAsia" w:hAnsiTheme="minorEastAsia" w:eastAsiaTheme="minorEastAsia" w:cstheme="minorEastAsia"/>
          <w:b/>
          <w:color w:val="auto"/>
          <w:sz w:val="21"/>
          <w:szCs w:val="21"/>
          <w:highlight w:val="none"/>
        </w:rPr>
        <w:tab/>
      </w:r>
    </w:p>
    <w:p w14:paraId="46B9FBD0">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台州市路桥区第二人民医院医疗服务共同体</w:t>
      </w:r>
    </w:p>
    <w:p w14:paraId="729A1218">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陶先生       联系方式： 18657655545</w:t>
      </w:r>
    </w:p>
    <w:p w14:paraId="43E539A0">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质疑联系人：赵先生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lang w:val="en-US" w:eastAsia="zh-CN"/>
        </w:rPr>
        <w:t xml:space="preserve"> 18857623987</w:t>
      </w:r>
    </w:p>
    <w:p w14:paraId="60273CF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地址：浙江省台州市路桥区腾达路1991号</w:t>
      </w:r>
    </w:p>
    <w:p w14:paraId="4C02BCA4">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招标代理机构：</w:t>
      </w:r>
      <w:r>
        <w:rPr>
          <w:rFonts w:hint="eastAsia" w:asciiTheme="minorEastAsia" w:hAnsiTheme="minorEastAsia" w:eastAsiaTheme="minorEastAsia" w:cstheme="minorEastAsia"/>
          <w:color w:val="auto"/>
          <w:sz w:val="21"/>
          <w:szCs w:val="21"/>
          <w:highlight w:val="none"/>
          <w:lang w:eastAsia="zh-CN"/>
        </w:rPr>
        <w:t>建经投资咨询有限公司</w:t>
      </w:r>
    </w:p>
    <w:p w14:paraId="201987D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 xml:space="preserve">王女士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val="en-US" w:eastAsia="zh-CN"/>
        </w:rPr>
        <w:t>18968630753</w:t>
      </w:r>
    </w:p>
    <w:p w14:paraId="4821530A">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林炳洪</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13362681081（</w:t>
      </w:r>
      <w:r>
        <w:rPr>
          <w:rFonts w:hint="eastAsia" w:asciiTheme="minorEastAsia" w:hAnsiTheme="minorEastAsia" w:eastAsiaTheme="minorEastAsia" w:cstheme="minorEastAsia"/>
          <w:color w:val="auto"/>
          <w:sz w:val="21"/>
          <w:szCs w:val="21"/>
          <w:highlight w:val="none"/>
          <w:lang w:val="en-US" w:eastAsia="zh-CN"/>
        </w:rPr>
        <w:t>质疑联系人</w:t>
      </w:r>
      <w:r>
        <w:rPr>
          <w:rFonts w:hint="eastAsia" w:asciiTheme="minorEastAsia" w:hAnsiTheme="minorEastAsia" w:eastAsiaTheme="minorEastAsia" w:cstheme="minorEastAsia"/>
          <w:color w:val="auto"/>
          <w:sz w:val="21"/>
          <w:szCs w:val="21"/>
          <w:highlight w:val="none"/>
          <w:lang w:eastAsia="zh-CN"/>
        </w:rPr>
        <w:t>）</w:t>
      </w:r>
    </w:p>
    <w:p w14:paraId="11BB84B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地址：台州市路桥区花鸟巷238号</w:t>
      </w:r>
    </w:p>
    <w:p w14:paraId="2D38C613">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同级政府采购监督管理部门名称：台州市路桥区财政局政府采购监管科 </w:t>
      </w:r>
    </w:p>
    <w:p w14:paraId="46883C36">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王先生</w:t>
      </w:r>
    </w:p>
    <w:p w14:paraId="5F2CD81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监督投诉电话：0576-82517851</w:t>
      </w:r>
    </w:p>
    <w:p w14:paraId="1CA73DC1">
      <w:pPr>
        <w:keepNext w:val="0"/>
        <w:keepLines w:val="0"/>
        <w:pageBreakBefore w:val="0"/>
        <w:widowControl w:val="0"/>
        <w:shd w:val="clear"/>
        <w:kinsoku/>
        <w:wordWrap/>
        <w:overflowPunct/>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地址：台州市路桥区西路桥大道58号 </w:t>
      </w:r>
    </w:p>
    <w:p w14:paraId="55BF5206">
      <w:pPr>
        <w:pStyle w:val="97"/>
        <w:keepNext w:val="0"/>
        <w:keepLines w:val="0"/>
        <w:pageBreakBefore w:val="0"/>
        <w:numPr>
          <w:ilvl w:val="0"/>
          <w:numId w:val="0"/>
        </w:numPr>
        <w:shd w:val="clear"/>
        <w:kinsoku/>
        <w:wordWrap/>
        <w:topLinePunct w:val="0"/>
        <w:bidi w:val="0"/>
        <w:adjustRightInd w:val="0"/>
        <w:snapToGrid w:val="0"/>
        <w:spacing w:line="360" w:lineRule="auto"/>
        <w:ind w:left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中标供应商如有融资需求，可使用以下银行的政采贷服务。</w:t>
      </w:r>
    </w:p>
    <w:tbl>
      <w:tblPr>
        <w:tblStyle w:val="76"/>
        <w:tblW w:w="10298" w:type="dxa"/>
        <w:jc w:val="center"/>
        <w:tblLayout w:type="fixed"/>
        <w:tblCellMar>
          <w:top w:w="0" w:type="dxa"/>
          <w:left w:w="0" w:type="dxa"/>
          <w:bottom w:w="0" w:type="dxa"/>
          <w:right w:w="0" w:type="dxa"/>
        </w:tblCellMar>
      </w:tblPr>
      <w:tblGrid>
        <w:gridCol w:w="569"/>
        <w:gridCol w:w="4771"/>
        <w:gridCol w:w="1652"/>
        <w:gridCol w:w="1658"/>
        <w:gridCol w:w="1648"/>
      </w:tblGrid>
      <w:tr w14:paraId="00C198E0">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59EA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序号</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F0B5F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银 行 名 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5D03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政采贷年利率</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6DC64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联系人</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97BBB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联系电话</w:t>
            </w:r>
          </w:p>
        </w:tc>
      </w:tr>
      <w:tr w14:paraId="34EEAD22">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2D0E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A8F89">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中国建设银行股份有限公司台州路桥支行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D268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C58E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徐剑鸿</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6221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15167671223</w:t>
            </w:r>
          </w:p>
        </w:tc>
      </w:tr>
      <w:tr w14:paraId="4210289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92EDCF">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AFD272">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中国工商银行股份有限公司台州路桥支行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7E3B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78712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倪  昊</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1D75E6">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15968680259</w:t>
            </w:r>
          </w:p>
        </w:tc>
      </w:tr>
      <w:tr w14:paraId="6227CDC3">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A1219">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D74A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中国农业银行股份有限公司台州路桥支行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C596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0E14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丁道兵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28B7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13606668045</w:t>
            </w:r>
          </w:p>
        </w:tc>
      </w:tr>
      <w:tr w14:paraId="53B6E4D5">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90578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5167D">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495ED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EB5A0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车  斌</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38E25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13750661198</w:t>
            </w:r>
          </w:p>
        </w:tc>
      </w:tr>
      <w:tr w14:paraId="795E917F">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9027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C2F3C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台州银行股份有限公司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126F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0F3F3">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黄红芹</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DBB3A0">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13968689000</w:t>
            </w:r>
          </w:p>
        </w:tc>
      </w:tr>
      <w:tr w14:paraId="1BB44259">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31C3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981B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浙江泰隆商业银行股份有限公司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D059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4FCC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冯观凤</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3141F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17858683988</w:t>
            </w:r>
          </w:p>
        </w:tc>
      </w:tr>
      <w:tr w14:paraId="040415A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71F300">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231925">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中国邮政储蓄银行股份有限公司台州市路桥区支行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6DA6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EE414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沈丹华</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54CC55">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13306566969</w:t>
            </w:r>
          </w:p>
        </w:tc>
      </w:tr>
      <w:tr w14:paraId="582E0CBD">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33EA52">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8</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3AA23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交通银行股份有限公司台州路桥支行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DD3CFE">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CE1D9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刘鲁浙</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90D57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15968662111</w:t>
            </w:r>
          </w:p>
        </w:tc>
      </w:tr>
      <w:tr w14:paraId="15514668">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1E5955">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9</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9C8974">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兴业银行股份有限公司台州路桥支行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D4C6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26F5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蒋  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16BB14">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13586088395</w:t>
            </w:r>
          </w:p>
        </w:tc>
      </w:tr>
      <w:tr w14:paraId="01826076">
        <w:tblPrEx>
          <w:tblCellMar>
            <w:top w:w="0" w:type="dxa"/>
            <w:left w:w="0" w:type="dxa"/>
            <w:bottom w:w="0" w:type="dxa"/>
            <w:right w:w="0" w:type="dxa"/>
          </w:tblCellMar>
        </w:tblPrEx>
        <w:trPr>
          <w:trHeight w:val="48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C4AE7">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10</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4EF7A">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中信银行股份有限公司台州路桥支行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F0FEF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4.15%起</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0643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曹筱婕</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59216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18105768199</w:t>
            </w:r>
          </w:p>
        </w:tc>
      </w:tr>
      <w:tr w14:paraId="6A70F69F">
        <w:tblPrEx>
          <w:tblCellMar>
            <w:top w:w="0" w:type="dxa"/>
            <w:left w:w="0" w:type="dxa"/>
            <w:bottom w:w="0" w:type="dxa"/>
            <w:right w:w="0" w:type="dxa"/>
          </w:tblCellMar>
        </w:tblPrEx>
        <w:trPr>
          <w:trHeight w:val="758"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47AFAD">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11</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E1A46C">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浙商银行股份有限公司台州路桥小微企业专营支行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A0378">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6.75%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C7A531">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庄道勇</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5626B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13867611023</w:t>
            </w:r>
          </w:p>
        </w:tc>
      </w:tr>
      <w:tr w14:paraId="25E6B8D3">
        <w:tblPrEx>
          <w:tblCellMar>
            <w:top w:w="0" w:type="dxa"/>
            <w:left w:w="0" w:type="dxa"/>
            <w:bottom w:w="0" w:type="dxa"/>
            <w:right w:w="0" w:type="dxa"/>
          </w:tblCellMar>
        </w:tblPrEx>
        <w:trPr>
          <w:trHeight w:val="442"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3DCE8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12</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8B636">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广发银行股份有限公司台州路桥小微企业专营支行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C9A3C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4311D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林  春</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A2ECAA">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13858687790</w:t>
            </w:r>
          </w:p>
        </w:tc>
      </w:tr>
      <w:tr w14:paraId="21A6DA38">
        <w:tblPrEx>
          <w:tblCellMar>
            <w:top w:w="0" w:type="dxa"/>
            <w:left w:w="0" w:type="dxa"/>
            <w:bottom w:w="0" w:type="dxa"/>
            <w:right w:w="0" w:type="dxa"/>
          </w:tblCellMar>
        </w:tblPrEx>
        <w:trPr>
          <w:trHeight w:val="47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93BCA">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F3293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平安银行股份有限公司台州路桥小微企业专营支行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9CFAB2">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F4099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李俊丽</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EBD31C">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15906861025</w:t>
            </w:r>
          </w:p>
        </w:tc>
      </w:tr>
      <w:tr w14:paraId="70F18972">
        <w:tblPrEx>
          <w:tblCellMar>
            <w:top w:w="0" w:type="dxa"/>
            <w:left w:w="0" w:type="dxa"/>
            <w:bottom w:w="0" w:type="dxa"/>
            <w:right w:w="0" w:type="dxa"/>
          </w:tblCellMar>
        </w:tblPrEx>
        <w:trPr>
          <w:trHeight w:val="260"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DC2C8B">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14</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3309B">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宁波银行股份有限公司台州路桥小微企业专营支行</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DB75D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758CD">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李诚杰</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56ECB">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13395745558</w:t>
            </w:r>
          </w:p>
        </w:tc>
      </w:tr>
      <w:tr w14:paraId="174BB464">
        <w:tblPrEx>
          <w:tblCellMar>
            <w:top w:w="0" w:type="dxa"/>
            <w:left w:w="0" w:type="dxa"/>
            <w:bottom w:w="0" w:type="dxa"/>
            <w:right w:w="0" w:type="dxa"/>
          </w:tblCellMar>
        </w:tblPrEx>
        <w:trPr>
          <w:trHeight w:val="496" w:hRule="atLeast"/>
          <w:jc w:val="center"/>
        </w:trPr>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1B9AC">
            <w:pPr>
              <w:widowControl/>
              <w:shd w:val="clear"/>
              <w:spacing w:line="240" w:lineRule="auto"/>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w:t>
            </w:r>
          </w:p>
        </w:tc>
        <w:tc>
          <w:tcPr>
            <w:tcW w:w="47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A15023">
            <w:pPr>
              <w:widowControl/>
              <w:shd w:val="clear"/>
              <w:jc w:val="left"/>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浙江台州路桥富民村镇银行股份有限公司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B2667">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7.80%</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68AAF">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金根灵</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2E129">
            <w:pPr>
              <w:widowControl/>
              <w:shd w:val="clear"/>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13157608788</w:t>
            </w:r>
          </w:p>
        </w:tc>
      </w:tr>
    </w:tbl>
    <w:p w14:paraId="336BE58E">
      <w:pPr>
        <w:keepNext w:val="0"/>
        <w:keepLines w:val="0"/>
        <w:pageBreakBefore w:val="0"/>
        <w:widowControl w:val="0"/>
        <w:shd w:val="clear"/>
        <w:kinsoku/>
        <w:wordWrap/>
        <w:overflowPunct/>
        <w:topLinePunct w:val="0"/>
        <w:bidi w:val="0"/>
        <w:adjustRightInd w:val="0"/>
        <w:snapToGrid w:val="0"/>
        <w:spacing w:line="360" w:lineRule="auto"/>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472A8106">
      <w:pPr>
        <w:shd w:val="clea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57151FD4">
      <w:pPr>
        <w:pStyle w:val="2"/>
        <w:numPr>
          <w:ilvl w:val="0"/>
          <w:numId w:val="33"/>
        </w:numPr>
        <w:shd w:val="clear"/>
        <w:tabs>
          <w:tab w:val="clear" w:pos="432"/>
        </w:tabs>
        <w:spacing w:before="0" w:after="0" w:line="360" w:lineRule="auto"/>
        <w:jc w:val="center"/>
        <w:rPr>
          <w:rFonts w:ascii="宋体"/>
          <w:color w:val="auto"/>
          <w:sz w:val="36"/>
          <w:szCs w:val="36"/>
          <w:highlight w:val="none"/>
        </w:rPr>
      </w:pPr>
      <w:r>
        <w:rPr>
          <w:rFonts w:hint="eastAsia" w:asciiTheme="minorEastAsia" w:hAnsiTheme="minorEastAsia" w:eastAsiaTheme="minorEastAsia" w:cstheme="minorEastAsia"/>
          <w:color w:val="auto"/>
          <w:sz w:val="36"/>
          <w:szCs w:val="36"/>
          <w:highlight w:val="none"/>
          <w:lang w:eastAsia="zh-CN"/>
        </w:rPr>
        <w:t>项目需求</w:t>
      </w:r>
    </w:p>
    <w:p w14:paraId="496D2751">
      <w:pPr>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一、基本情况 </w:t>
      </w:r>
    </w:p>
    <w:p w14:paraId="6E7787A0">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为进一步满足广大职工对美好生活的需求，维护职工基本权利，激发广大职工的工作热情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严格落实市总职工疗休养工作有关文件规定，结合本单位实际情况，进行</w:t>
      </w:r>
      <w:r>
        <w:rPr>
          <w:rFonts w:hint="eastAsia" w:asciiTheme="minorEastAsia" w:hAnsiTheme="minorEastAsia" w:eastAsiaTheme="minorEastAsia" w:cstheme="minorEastAsia"/>
          <w:color w:val="auto"/>
          <w:sz w:val="24"/>
          <w:szCs w:val="24"/>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4"/>
          <w:szCs w:val="24"/>
          <w:highlight w:val="none"/>
          <w:u w:val="none"/>
          <w:lang w:eastAsia="zh-CN"/>
        </w:rPr>
        <w:t>承办单</w:t>
      </w:r>
      <w:r>
        <w:rPr>
          <w:rFonts w:hint="eastAsia" w:asciiTheme="minorEastAsia" w:hAnsiTheme="minorEastAsia" w:eastAsiaTheme="minorEastAsia" w:cstheme="minorEastAsia"/>
          <w:color w:val="auto"/>
          <w:sz w:val="24"/>
          <w:szCs w:val="24"/>
          <w:highlight w:val="none"/>
          <w:lang w:eastAsia="zh-CN"/>
        </w:rPr>
        <w:t>位招标项目</w:t>
      </w:r>
      <w:r>
        <w:rPr>
          <w:rFonts w:hint="eastAsia" w:asciiTheme="minorEastAsia" w:hAnsiTheme="minorEastAsia" w:eastAsiaTheme="minorEastAsia" w:cstheme="minorEastAsia"/>
          <w:color w:val="auto"/>
          <w:sz w:val="24"/>
          <w:szCs w:val="24"/>
          <w:highlight w:val="none"/>
        </w:rPr>
        <w:t>公开招标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基本情况如下：</w:t>
      </w:r>
    </w:p>
    <w:p w14:paraId="03E0BB8F">
      <w:pPr>
        <w:pStyle w:val="73"/>
        <w:numPr>
          <w:ilvl w:val="0"/>
          <w:numId w:val="0"/>
        </w:numPr>
        <w:spacing w:line="360" w:lineRule="auto"/>
        <w:ind w:firstLine="480" w:firstLineChars="20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color w:val="auto"/>
          <w:spacing w:val="0"/>
          <w:kern w:val="2"/>
          <w:sz w:val="24"/>
          <w:szCs w:val="24"/>
          <w:highlight w:val="none"/>
          <w:lang w:val="en-US" w:eastAsia="zh-CN" w:bidi="ar-SA"/>
        </w:rPr>
        <w:t>1、</w:t>
      </w:r>
      <w:r>
        <w:rPr>
          <w:rFonts w:hint="eastAsia" w:asciiTheme="minorEastAsia" w:hAnsiTheme="minorEastAsia" w:eastAsiaTheme="minorEastAsia" w:cstheme="minorEastAsia"/>
          <w:b/>
          <w:bCs/>
          <w:color w:val="auto"/>
          <w:spacing w:val="0"/>
          <w:kern w:val="2"/>
          <w:sz w:val="24"/>
          <w:szCs w:val="24"/>
          <w:highlight w:val="none"/>
          <w:lang w:val="en-US" w:eastAsia="zh-CN" w:bidi="ar-SA"/>
        </w:rPr>
        <w:t>台州市路桥区第二人民医疗服务共同体工会委员会疗休养服务(含金清分院)分为两个标项，每个供应商可自行选择标项响应投标，但每个供应商只能中一个标项，根据标项一、标项二的顺序依次进行开评标，如投标供应商已中先开评中标标项，则自动失去未开标项的投标响应资格。本项目总预算为1510800元/年。</w:t>
      </w:r>
    </w:p>
    <w:p w14:paraId="0A216264">
      <w:pPr>
        <w:bidi w:val="0"/>
        <w:spacing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2、合同履约期限：截止2025年12月31日。</w:t>
      </w:r>
    </w:p>
    <w:p w14:paraId="7965C7E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疗休养参加人数 </w:t>
      </w:r>
      <w:r>
        <w:rPr>
          <w:rFonts w:hint="eastAsia" w:asciiTheme="minorEastAsia" w:hAnsiTheme="minorEastAsia" w:eastAsiaTheme="minorEastAsia" w:cstheme="minorEastAsia"/>
          <w:color w:val="auto"/>
          <w:sz w:val="24"/>
          <w:szCs w:val="24"/>
          <w:highlight w:val="none"/>
          <w:lang w:eastAsia="zh-CN"/>
        </w:rPr>
        <w:t>：</w:t>
      </w:r>
    </w:p>
    <w:p w14:paraId="71FA83D0">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两个标项总人数预计</w:t>
      </w:r>
      <w:r>
        <w:rPr>
          <w:rFonts w:hint="eastAsia" w:asciiTheme="minorEastAsia" w:hAnsiTheme="minorEastAsia" w:eastAsiaTheme="minorEastAsia" w:cstheme="minorEastAsia"/>
          <w:color w:val="auto"/>
          <w:sz w:val="24"/>
          <w:szCs w:val="24"/>
          <w:highlight w:val="none"/>
        </w:rPr>
        <w:t>约</w:t>
      </w:r>
      <w:r>
        <w:rPr>
          <w:rFonts w:hint="eastAsia" w:asciiTheme="minorEastAsia" w:hAnsiTheme="minorEastAsia" w:eastAsiaTheme="minorEastAsia" w:cstheme="minorEastAsia"/>
          <w:color w:val="auto"/>
          <w:sz w:val="24"/>
          <w:szCs w:val="24"/>
          <w:highlight w:val="none"/>
          <w:lang w:val="en-US" w:eastAsia="zh-CN"/>
        </w:rPr>
        <w:t>556</w:t>
      </w:r>
      <w:r>
        <w:rPr>
          <w:rFonts w:hint="eastAsia" w:asciiTheme="minorEastAsia" w:hAnsiTheme="minorEastAsia" w:eastAsiaTheme="minorEastAsia" w:cstheme="minorEastAsia"/>
          <w:color w:val="auto"/>
          <w:sz w:val="24"/>
          <w:szCs w:val="24"/>
          <w:highlight w:val="none"/>
        </w:rPr>
        <w:t>人（实际人数以参加人数为准）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人员疗养分批进行；具体人员清单由采购人分配。具体批次和出发时间由采购人视情况而定。</w:t>
      </w:r>
    </w:p>
    <w:p w14:paraId="4B84020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zh-CN"/>
        </w:rPr>
        <w:t>线路行程服务标准，每条路线以</w:t>
      </w:r>
      <w:r>
        <w:rPr>
          <w:rFonts w:hint="eastAsia" w:asciiTheme="minorEastAsia" w:hAnsiTheme="minorEastAsia" w:eastAsiaTheme="minorEastAsia" w:cstheme="minorEastAsia"/>
          <w:color w:val="auto"/>
          <w:sz w:val="24"/>
          <w:szCs w:val="24"/>
          <w:highlight w:val="none"/>
          <w:lang w:val="en-US" w:eastAsia="zh-CN"/>
        </w:rPr>
        <w:t>供应商成团</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数</w:t>
      </w:r>
      <w:r>
        <w:rPr>
          <w:rFonts w:hint="eastAsia" w:asciiTheme="minorEastAsia" w:hAnsiTheme="minorEastAsia" w:eastAsiaTheme="minorEastAsia" w:cstheme="minorEastAsia"/>
          <w:color w:val="auto"/>
          <w:sz w:val="24"/>
          <w:szCs w:val="24"/>
          <w:highlight w:val="none"/>
        </w:rPr>
        <w:t>核算，</w:t>
      </w:r>
      <w:r>
        <w:rPr>
          <w:rFonts w:hint="eastAsia" w:asciiTheme="minorEastAsia" w:hAnsiTheme="minorEastAsia" w:eastAsiaTheme="minorEastAsia" w:cstheme="minorEastAsia"/>
          <w:color w:val="auto"/>
          <w:sz w:val="24"/>
          <w:szCs w:val="24"/>
          <w:highlight w:val="none"/>
          <w:lang w:val="zh-CN"/>
        </w:rPr>
        <w:t>最终按实结算，</w:t>
      </w:r>
    </w:p>
    <w:p w14:paraId="2DE6F810">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各行程价格标准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疗休养地点、各行程线路、时间说明</w:t>
      </w:r>
      <w:r>
        <w:rPr>
          <w:rFonts w:hint="eastAsia" w:asciiTheme="minorEastAsia" w:hAnsiTheme="minorEastAsia" w:eastAsiaTheme="minorEastAsia" w:cstheme="minorEastAsia"/>
          <w:color w:val="auto"/>
          <w:sz w:val="24"/>
          <w:szCs w:val="24"/>
          <w:highlight w:val="none"/>
          <w:lang w:val="zh-CN"/>
        </w:rPr>
        <w:t>：</w:t>
      </w:r>
    </w:p>
    <w:p w14:paraId="0CAFD4EE">
      <w:pPr>
        <w:adjustRightInd w:val="0"/>
        <w:snapToGrid w:val="0"/>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6、采购人对每条线路选择人数和服务期内总人数不作承诺，以实际报名人数为准。</w:t>
      </w:r>
    </w:p>
    <w:tbl>
      <w:tblPr>
        <w:tblStyle w:val="77"/>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480"/>
        <w:gridCol w:w="1569"/>
        <w:gridCol w:w="1013"/>
        <w:gridCol w:w="1425"/>
        <w:gridCol w:w="1875"/>
        <w:gridCol w:w="1500"/>
        <w:gridCol w:w="1456"/>
      </w:tblGrid>
      <w:tr w14:paraId="3E6B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59" w:type="dxa"/>
            <w:noWrap w:val="0"/>
            <w:vAlign w:val="center"/>
          </w:tcPr>
          <w:p w14:paraId="443E49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val="en-US" w:eastAsia="zh-CN"/>
              </w:rPr>
              <w:t>序号</w:t>
            </w:r>
          </w:p>
        </w:tc>
        <w:tc>
          <w:tcPr>
            <w:tcW w:w="2049" w:type="dxa"/>
            <w:gridSpan w:val="2"/>
            <w:noWrap w:val="0"/>
            <w:vAlign w:val="center"/>
          </w:tcPr>
          <w:p w14:paraId="0D4EF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路线</w:t>
            </w:r>
          </w:p>
        </w:tc>
        <w:tc>
          <w:tcPr>
            <w:tcW w:w="2438" w:type="dxa"/>
            <w:gridSpan w:val="2"/>
            <w:noWrap w:val="0"/>
            <w:vAlign w:val="center"/>
          </w:tcPr>
          <w:p w14:paraId="2FA36C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天数</w:t>
            </w:r>
          </w:p>
        </w:tc>
        <w:tc>
          <w:tcPr>
            <w:tcW w:w="1875" w:type="dxa"/>
            <w:noWrap w:val="0"/>
            <w:vAlign w:val="center"/>
          </w:tcPr>
          <w:p w14:paraId="1A0B97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人数</w:t>
            </w:r>
          </w:p>
          <w:p w14:paraId="5B2D79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（暂估）</w:t>
            </w:r>
          </w:p>
        </w:tc>
        <w:tc>
          <w:tcPr>
            <w:tcW w:w="1500" w:type="dxa"/>
            <w:noWrap w:val="0"/>
            <w:vAlign w:val="center"/>
          </w:tcPr>
          <w:p w14:paraId="26BE4B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预算标准 </w:t>
            </w:r>
          </w:p>
        </w:tc>
        <w:tc>
          <w:tcPr>
            <w:tcW w:w="1456" w:type="dxa"/>
            <w:noWrap w:val="0"/>
            <w:vAlign w:val="center"/>
          </w:tcPr>
          <w:p w14:paraId="59AB14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备注</w:t>
            </w:r>
          </w:p>
        </w:tc>
      </w:tr>
      <w:tr w14:paraId="6B05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59" w:type="dxa"/>
            <w:vMerge w:val="restart"/>
            <w:noWrap w:val="0"/>
            <w:vAlign w:val="center"/>
          </w:tcPr>
          <w:p w14:paraId="5DA03B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标段一</w:t>
            </w:r>
          </w:p>
        </w:tc>
        <w:tc>
          <w:tcPr>
            <w:tcW w:w="480" w:type="dxa"/>
            <w:vMerge w:val="restart"/>
            <w:noWrap w:val="0"/>
            <w:vAlign w:val="center"/>
          </w:tcPr>
          <w:p w14:paraId="660FF984">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省内</w:t>
            </w:r>
          </w:p>
        </w:tc>
        <w:tc>
          <w:tcPr>
            <w:tcW w:w="1569" w:type="dxa"/>
            <w:vMerge w:val="restart"/>
            <w:noWrap w:val="0"/>
            <w:vAlign w:val="center"/>
          </w:tcPr>
          <w:p w14:paraId="5B3C7650">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杭州，舟山，衢州，湖州</w:t>
            </w:r>
          </w:p>
          <w:p w14:paraId="3EF1BD8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2438" w:type="dxa"/>
            <w:gridSpan w:val="2"/>
            <w:vMerge w:val="restart"/>
            <w:noWrap w:val="0"/>
            <w:vAlign w:val="center"/>
          </w:tcPr>
          <w:p w14:paraId="69AE4E6E">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3-5天</w:t>
            </w:r>
          </w:p>
          <w:p w14:paraId="406C55BF">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（具体天数按投标方案）</w:t>
            </w:r>
          </w:p>
        </w:tc>
        <w:tc>
          <w:tcPr>
            <w:tcW w:w="1875" w:type="dxa"/>
            <w:noWrap w:val="0"/>
            <w:vAlign w:val="center"/>
          </w:tcPr>
          <w:p w14:paraId="0B4B7C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199</w:t>
            </w:r>
          </w:p>
          <w:p w14:paraId="4AE4A0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1500" w:type="dxa"/>
            <w:noWrap w:val="0"/>
            <w:vAlign w:val="center"/>
          </w:tcPr>
          <w:p w14:paraId="0B0576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1456" w:type="dxa"/>
            <w:vMerge w:val="restart"/>
            <w:noWrap w:val="0"/>
            <w:vAlign w:val="center"/>
          </w:tcPr>
          <w:p w14:paraId="751598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 xml:space="preserve"> 人数以实际报名人数为准</w:t>
            </w:r>
            <w:r>
              <w:rPr>
                <w:rFonts w:hint="eastAsia" w:ascii="宋体" w:hAnsi="宋体" w:eastAsia="宋体" w:cs="宋体"/>
                <w:b w:val="0"/>
                <w:bCs w:val="0"/>
                <w:color w:val="auto"/>
                <w:sz w:val="24"/>
                <w:szCs w:val="24"/>
                <w:highlight w:val="none"/>
              </w:rPr>
              <w:t>，最终按实结算。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该线路费用允许</w:t>
            </w:r>
            <w:r>
              <w:rPr>
                <w:rFonts w:hint="eastAsia" w:ascii="宋体" w:hAnsi="宋体" w:eastAsia="宋体" w:cs="宋体"/>
                <w:b w:val="0"/>
                <w:bCs w:val="0"/>
                <w:color w:val="auto"/>
                <w:sz w:val="24"/>
                <w:szCs w:val="24"/>
                <w:highlight w:val="none"/>
                <w:lang w:val="zh-CN"/>
              </w:rPr>
              <w:t>超出，</w:t>
            </w:r>
            <w:r>
              <w:rPr>
                <w:rFonts w:hint="eastAsia" w:ascii="宋体" w:hAnsi="宋体" w:eastAsia="宋体" w:cs="宋体"/>
                <w:b w:val="0"/>
                <w:bCs w:val="0"/>
                <w:color w:val="auto"/>
                <w:sz w:val="24"/>
                <w:szCs w:val="24"/>
                <w:highlight w:val="none"/>
                <w:lang w:val="en-US" w:eastAsia="zh-CN"/>
              </w:rPr>
              <w:t>超出部分价格</w:t>
            </w:r>
            <w:r>
              <w:rPr>
                <w:rFonts w:hint="eastAsia" w:ascii="宋体" w:hAnsi="宋体" w:eastAsia="宋体" w:cs="宋体"/>
                <w:b w:val="0"/>
                <w:bCs w:val="0"/>
                <w:color w:val="auto"/>
                <w:sz w:val="24"/>
                <w:szCs w:val="24"/>
                <w:highlight w:val="none"/>
                <w:lang w:val="zh-CN"/>
              </w:rPr>
              <w:t>由职工本人负担即个人补差</w:t>
            </w:r>
            <w:r>
              <w:rPr>
                <w:rFonts w:hint="eastAsia" w:ascii="宋体" w:hAnsi="宋体" w:eastAsia="宋体" w:cs="宋体"/>
                <w:b w:val="0"/>
                <w:bCs w:val="0"/>
                <w:color w:val="auto"/>
                <w:sz w:val="24"/>
                <w:szCs w:val="24"/>
                <w:highlight w:val="none"/>
                <w:lang w:eastAsia="zh-CN"/>
              </w:rPr>
              <w:t>）</w:t>
            </w:r>
          </w:p>
        </w:tc>
      </w:tr>
      <w:tr w14:paraId="0CBE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59" w:type="dxa"/>
            <w:vMerge w:val="continue"/>
            <w:noWrap w:val="0"/>
            <w:vAlign w:val="center"/>
          </w:tcPr>
          <w:p w14:paraId="0E86FF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480" w:type="dxa"/>
            <w:vMerge w:val="continue"/>
            <w:noWrap w:val="0"/>
            <w:vAlign w:val="center"/>
          </w:tcPr>
          <w:p w14:paraId="4DB4DB86">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1569" w:type="dxa"/>
            <w:vMerge w:val="continue"/>
            <w:noWrap w:val="0"/>
            <w:vAlign w:val="center"/>
          </w:tcPr>
          <w:p w14:paraId="2EA430E1">
            <w:pPr>
              <w:spacing w:line="240" w:lineRule="auto"/>
              <w:jc w:val="center"/>
              <w:rPr>
                <w:rFonts w:hint="eastAsia" w:ascii="宋体" w:hAnsi="宋体" w:eastAsia="宋体" w:cs="宋体"/>
                <w:b w:val="0"/>
                <w:bCs w:val="0"/>
                <w:color w:val="auto"/>
                <w:sz w:val="24"/>
                <w:szCs w:val="24"/>
                <w:highlight w:val="none"/>
                <w:lang w:val="en-US" w:eastAsia="zh-CN"/>
              </w:rPr>
            </w:pPr>
          </w:p>
        </w:tc>
        <w:tc>
          <w:tcPr>
            <w:tcW w:w="2438" w:type="dxa"/>
            <w:gridSpan w:val="2"/>
            <w:vMerge w:val="continue"/>
            <w:noWrap w:val="0"/>
            <w:vAlign w:val="center"/>
          </w:tcPr>
          <w:p w14:paraId="55B5E059">
            <w:pPr>
              <w:spacing w:line="240" w:lineRule="auto"/>
              <w:jc w:val="center"/>
              <w:rPr>
                <w:rFonts w:hint="eastAsia" w:ascii="宋体" w:hAnsi="宋体" w:eastAsia="宋体" w:cs="宋体"/>
                <w:b w:val="0"/>
                <w:bCs w:val="0"/>
                <w:color w:val="auto"/>
                <w:sz w:val="24"/>
                <w:szCs w:val="24"/>
                <w:highlight w:val="none"/>
                <w:lang w:val="en-US" w:eastAsia="zh-CN"/>
              </w:rPr>
            </w:pPr>
          </w:p>
        </w:tc>
        <w:tc>
          <w:tcPr>
            <w:tcW w:w="1875" w:type="dxa"/>
            <w:noWrap w:val="0"/>
            <w:vAlign w:val="center"/>
          </w:tcPr>
          <w:p w14:paraId="2D493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131</w:t>
            </w:r>
          </w:p>
          <w:p w14:paraId="2013B1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（总院）</w:t>
            </w:r>
          </w:p>
        </w:tc>
        <w:tc>
          <w:tcPr>
            <w:tcW w:w="1500" w:type="dxa"/>
            <w:noWrap w:val="0"/>
            <w:vAlign w:val="center"/>
          </w:tcPr>
          <w:p w14:paraId="339ED6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1800元/人</w:t>
            </w:r>
          </w:p>
        </w:tc>
        <w:tc>
          <w:tcPr>
            <w:tcW w:w="1456" w:type="dxa"/>
            <w:vMerge w:val="continue"/>
            <w:noWrap w:val="0"/>
            <w:vAlign w:val="center"/>
          </w:tcPr>
          <w:p w14:paraId="418A3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6D7E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9" w:type="dxa"/>
            <w:vMerge w:val="continue"/>
            <w:noWrap w:val="0"/>
            <w:vAlign w:val="center"/>
          </w:tcPr>
          <w:p w14:paraId="3FC019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480" w:type="dxa"/>
            <w:vMerge w:val="continue"/>
            <w:noWrap w:val="0"/>
            <w:vAlign w:val="center"/>
          </w:tcPr>
          <w:p w14:paraId="5AB0D49B">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1569" w:type="dxa"/>
            <w:vMerge w:val="continue"/>
            <w:noWrap w:val="0"/>
            <w:vAlign w:val="center"/>
          </w:tcPr>
          <w:p w14:paraId="2CC9153C">
            <w:pPr>
              <w:spacing w:line="240" w:lineRule="auto"/>
              <w:jc w:val="center"/>
              <w:rPr>
                <w:rFonts w:hint="eastAsia" w:ascii="宋体" w:hAnsi="宋体" w:eastAsia="宋体" w:cs="宋体"/>
                <w:b w:val="0"/>
                <w:bCs w:val="0"/>
                <w:color w:val="auto"/>
                <w:sz w:val="24"/>
                <w:szCs w:val="24"/>
                <w:highlight w:val="none"/>
                <w:lang w:val="en-US" w:eastAsia="zh-CN"/>
              </w:rPr>
            </w:pPr>
          </w:p>
        </w:tc>
        <w:tc>
          <w:tcPr>
            <w:tcW w:w="2438" w:type="dxa"/>
            <w:gridSpan w:val="2"/>
            <w:vMerge w:val="continue"/>
            <w:noWrap w:val="0"/>
            <w:vAlign w:val="center"/>
          </w:tcPr>
          <w:p w14:paraId="2AD8A120">
            <w:pPr>
              <w:spacing w:line="240" w:lineRule="auto"/>
              <w:jc w:val="center"/>
              <w:rPr>
                <w:rFonts w:hint="eastAsia" w:ascii="宋体" w:hAnsi="宋体" w:eastAsia="宋体" w:cs="宋体"/>
                <w:b w:val="0"/>
                <w:bCs w:val="0"/>
                <w:color w:val="auto"/>
                <w:sz w:val="24"/>
                <w:szCs w:val="24"/>
                <w:highlight w:val="none"/>
                <w:lang w:val="en-US" w:eastAsia="zh-CN"/>
              </w:rPr>
            </w:pPr>
          </w:p>
        </w:tc>
        <w:tc>
          <w:tcPr>
            <w:tcW w:w="1875" w:type="dxa"/>
            <w:noWrap w:val="0"/>
            <w:vAlign w:val="center"/>
          </w:tcPr>
          <w:p w14:paraId="202CCE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83</w:t>
            </w:r>
          </w:p>
          <w:p w14:paraId="40F58D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（金清分院）</w:t>
            </w:r>
          </w:p>
        </w:tc>
        <w:tc>
          <w:tcPr>
            <w:tcW w:w="1500" w:type="dxa"/>
            <w:noWrap w:val="0"/>
            <w:vAlign w:val="center"/>
          </w:tcPr>
          <w:p w14:paraId="046A7E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tc>
        <w:tc>
          <w:tcPr>
            <w:tcW w:w="1456" w:type="dxa"/>
            <w:vMerge w:val="continue"/>
            <w:noWrap w:val="0"/>
            <w:vAlign w:val="center"/>
          </w:tcPr>
          <w:p w14:paraId="1EF5E3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16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59" w:type="dxa"/>
            <w:vMerge w:val="restart"/>
            <w:noWrap w:val="0"/>
            <w:vAlign w:val="center"/>
          </w:tcPr>
          <w:p w14:paraId="3891D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标段二</w:t>
            </w:r>
          </w:p>
        </w:tc>
        <w:tc>
          <w:tcPr>
            <w:tcW w:w="480" w:type="dxa"/>
            <w:vMerge w:val="restart"/>
            <w:noWrap w:val="0"/>
            <w:vAlign w:val="center"/>
          </w:tcPr>
          <w:p w14:paraId="086516CA">
            <w:pPr>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省外</w:t>
            </w:r>
          </w:p>
        </w:tc>
        <w:tc>
          <w:tcPr>
            <w:tcW w:w="1569" w:type="dxa"/>
            <w:vMerge w:val="restart"/>
            <w:noWrap w:val="0"/>
            <w:vAlign w:val="center"/>
          </w:tcPr>
          <w:p w14:paraId="344C453F">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7A94E061">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013" w:type="dxa"/>
            <w:noWrap w:val="0"/>
            <w:vAlign w:val="center"/>
          </w:tcPr>
          <w:p w14:paraId="0571F70D">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w:t>
            </w:r>
          </w:p>
        </w:tc>
        <w:tc>
          <w:tcPr>
            <w:tcW w:w="1425" w:type="dxa"/>
            <w:noWrap w:val="0"/>
            <w:vAlign w:val="center"/>
          </w:tcPr>
          <w:p w14:paraId="680BA2B8">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天（具体天数按投标方案）</w:t>
            </w:r>
          </w:p>
        </w:tc>
        <w:tc>
          <w:tcPr>
            <w:tcW w:w="1875" w:type="dxa"/>
            <w:vMerge w:val="restart"/>
            <w:noWrap w:val="0"/>
            <w:vAlign w:val="center"/>
          </w:tcPr>
          <w:p w14:paraId="1291A3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143人</w:t>
            </w:r>
          </w:p>
          <w:p w14:paraId="68B0F2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（总院122人，金清分院21人）</w:t>
            </w:r>
          </w:p>
        </w:tc>
        <w:tc>
          <w:tcPr>
            <w:tcW w:w="1500" w:type="dxa"/>
            <w:vMerge w:val="restart"/>
            <w:noWrap w:val="0"/>
            <w:vAlign w:val="center"/>
          </w:tcPr>
          <w:p w14:paraId="78AF0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3000元/人</w:t>
            </w:r>
          </w:p>
          <w:p w14:paraId="21391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 xml:space="preserve"> </w:t>
            </w:r>
          </w:p>
        </w:tc>
        <w:tc>
          <w:tcPr>
            <w:tcW w:w="1456" w:type="dxa"/>
            <w:vMerge w:val="continue"/>
            <w:noWrap w:val="0"/>
            <w:vAlign w:val="center"/>
          </w:tcPr>
          <w:p w14:paraId="19E753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509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59" w:type="dxa"/>
            <w:vMerge w:val="continue"/>
            <w:noWrap w:val="0"/>
            <w:vAlign w:val="center"/>
          </w:tcPr>
          <w:p w14:paraId="44EB69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rPr>
            </w:pPr>
          </w:p>
        </w:tc>
        <w:tc>
          <w:tcPr>
            <w:tcW w:w="480" w:type="dxa"/>
            <w:vMerge w:val="continue"/>
            <w:noWrap w:val="0"/>
            <w:vAlign w:val="center"/>
          </w:tcPr>
          <w:p w14:paraId="3CBF1B37">
            <w:pPr>
              <w:spacing w:line="240" w:lineRule="auto"/>
              <w:jc w:val="center"/>
              <w:rPr>
                <w:rFonts w:hint="eastAsia" w:ascii="宋体" w:hAnsi="宋体" w:eastAsia="宋体" w:cs="宋体"/>
                <w:b w:val="0"/>
                <w:bCs w:val="0"/>
                <w:color w:val="auto"/>
                <w:sz w:val="24"/>
                <w:szCs w:val="24"/>
                <w:highlight w:val="none"/>
                <w:vertAlign w:val="baseline"/>
                <w:lang w:val="en-US" w:eastAsia="zh-CN"/>
              </w:rPr>
            </w:pPr>
          </w:p>
        </w:tc>
        <w:tc>
          <w:tcPr>
            <w:tcW w:w="1569" w:type="dxa"/>
            <w:vMerge w:val="continue"/>
            <w:noWrap w:val="0"/>
            <w:vAlign w:val="center"/>
          </w:tcPr>
          <w:p w14:paraId="08CC0403">
            <w:pPr>
              <w:spacing w:line="240" w:lineRule="auto"/>
              <w:jc w:val="center"/>
              <w:rPr>
                <w:rFonts w:hint="eastAsia" w:ascii="宋体" w:hAnsi="宋体" w:eastAsia="宋体" w:cs="宋体"/>
                <w:b w:val="0"/>
                <w:bCs w:val="0"/>
                <w:color w:val="auto"/>
                <w:sz w:val="24"/>
                <w:szCs w:val="24"/>
                <w:highlight w:val="none"/>
                <w:lang w:val="en-US" w:eastAsia="zh-CN"/>
              </w:rPr>
            </w:pPr>
          </w:p>
        </w:tc>
        <w:tc>
          <w:tcPr>
            <w:tcW w:w="1013" w:type="dxa"/>
            <w:noWrap w:val="0"/>
            <w:vAlign w:val="center"/>
          </w:tcPr>
          <w:p w14:paraId="564BD7E7">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江苏，上海</w:t>
            </w:r>
          </w:p>
        </w:tc>
        <w:tc>
          <w:tcPr>
            <w:tcW w:w="1425" w:type="dxa"/>
            <w:noWrap w:val="0"/>
            <w:vAlign w:val="center"/>
          </w:tcPr>
          <w:p w14:paraId="4BF68012">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5天（具体天数按投标方案）</w:t>
            </w:r>
          </w:p>
        </w:tc>
        <w:tc>
          <w:tcPr>
            <w:tcW w:w="1875" w:type="dxa"/>
            <w:vMerge w:val="continue"/>
            <w:noWrap w:val="0"/>
            <w:vAlign w:val="center"/>
          </w:tcPr>
          <w:p w14:paraId="2EE00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1500" w:type="dxa"/>
            <w:vMerge w:val="continue"/>
            <w:noWrap w:val="0"/>
            <w:vAlign w:val="center"/>
          </w:tcPr>
          <w:p w14:paraId="5177F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1456" w:type="dxa"/>
            <w:vMerge w:val="continue"/>
            <w:noWrap w:val="0"/>
            <w:vAlign w:val="center"/>
          </w:tcPr>
          <w:p w14:paraId="101A51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4"/>
                <w:szCs w:val="24"/>
                <w:highlight w:val="none"/>
                <w:vertAlign w:val="baseline"/>
                <w:lang w:val="en-US" w:eastAsia="zh-CN"/>
              </w:rPr>
            </w:pPr>
          </w:p>
        </w:tc>
      </w:tr>
    </w:tbl>
    <w:p w14:paraId="48E416FD">
      <w:pPr>
        <w:pStyle w:val="26"/>
        <w:numPr>
          <w:ilvl w:val="0"/>
          <w:numId w:val="0"/>
        </w:numPr>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注：本招标采购文件内如未明确为哪个标项要求，即为所有标项的共同要求和内容，如已明示为哪个标项的具体要求，即按相关要求执行。</w:t>
      </w:r>
    </w:p>
    <w:p w14:paraId="5DC8DD35">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7、行程标项拟安排：</w:t>
      </w:r>
    </w:p>
    <w:p w14:paraId="05AB270F">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（1）中标服务单位组织人员活动、参观游览，行程安排要符合人员疗养，在确保安全的前提下力求做到动静结合，贴近需求。</w:t>
      </w:r>
    </w:p>
    <w:p w14:paraId="4D14EADD">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（2）要求：行程安排及景区参观路线可根据天气等实际情况征得采购方同意后调整。</w:t>
      </w:r>
    </w:p>
    <w:p w14:paraId="68017E7A">
      <w:pPr>
        <w:pStyle w:val="28"/>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（3）路线要求：采购人不规定具体的线路，由供应商自行组织和安排。（</w:t>
      </w:r>
      <w:r>
        <w:rPr>
          <w:rFonts w:hint="eastAsia" w:asciiTheme="minorEastAsia" w:hAnsiTheme="minorEastAsia" w:eastAsiaTheme="minorEastAsia" w:cstheme="minorEastAsia"/>
          <w:color w:val="auto"/>
          <w:kern w:val="2"/>
          <w:sz w:val="24"/>
          <w:szCs w:val="24"/>
          <w:highlight w:val="none"/>
          <w:lang w:val="en-US" w:eastAsia="zh-CN" w:bidi="ar-SA"/>
        </w:rPr>
        <w:t>注：供应商需详细说明线路、日程、景点、住宿、餐饮、车辆等情况。以我市对口支援（帮扶、合作）区域为重点，适当辐射周边，每条线路需包含一个对口支援（帮扶、合作）区域详见</w:t>
      </w:r>
      <w:r>
        <w:rPr>
          <w:rFonts w:hint="eastAsia" w:asciiTheme="minorEastAsia" w:hAnsiTheme="minorEastAsia" w:eastAsiaTheme="minorEastAsia" w:cstheme="minorEastAsia"/>
          <w:color w:val="auto"/>
          <w:sz w:val="24"/>
          <w:szCs w:val="24"/>
          <w:highlight w:val="none"/>
          <w:vertAlign w:val="baseline"/>
          <w:lang w:val="en-US" w:eastAsia="zh-CN"/>
        </w:rPr>
        <w:t>路桥区总工会文件为准</w:t>
      </w:r>
      <w:r>
        <w:rPr>
          <w:rFonts w:hint="eastAsia" w:asciiTheme="minorEastAsia" w:hAnsiTheme="minorEastAsia" w:eastAsiaTheme="minorEastAsia" w:cstheme="minorEastAsia"/>
          <w:color w:val="auto"/>
          <w:kern w:val="2"/>
          <w:sz w:val="24"/>
          <w:szCs w:val="24"/>
          <w:highlight w:val="none"/>
          <w:lang w:val="en-US" w:eastAsia="zh-CN" w:bidi="ar-SA"/>
        </w:rPr>
        <w:t>。需突出 “疗、休、养”主题、职工的体验度以及淡旺季的不同体现等。</w:t>
      </w:r>
      <w:r>
        <w:rPr>
          <w:rFonts w:hint="eastAsia" w:asciiTheme="minorEastAsia" w:hAnsiTheme="minorEastAsia" w:eastAsiaTheme="minorEastAsia" w:cstheme="minorEastAsia"/>
          <w:color w:val="auto"/>
          <w:sz w:val="24"/>
          <w:szCs w:val="24"/>
          <w:highlight w:val="none"/>
          <w:lang w:val="en-US" w:eastAsia="zh-CN"/>
        </w:rPr>
        <w:t>），同时此方案不作为采购人最终选定方案。最终方案中标供应商须与采购人沟通后再确认的为准。</w:t>
      </w:r>
    </w:p>
    <w:p w14:paraId="4BB33874">
      <w:pPr>
        <w:pStyle w:val="27"/>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（4）制定协助旅游的服务方案及旅游出行前的说明。</w:t>
      </w:r>
    </w:p>
    <w:p w14:paraId="692C945F">
      <w:pPr>
        <w:pStyle w:val="26"/>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（5）恶劣气候环境不安排职工疗休养活动。</w:t>
      </w:r>
    </w:p>
    <w:p w14:paraId="3DF21CD6">
      <w:pPr>
        <w:numPr>
          <w:ilvl w:val="0"/>
          <w:numId w:val="34"/>
        </w:numPr>
        <w:autoSpaceDE w:val="0"/>
        <w:autoSpaceDN w:val="0"/>
        <w:adjustRightInd w:val="0"/>
        <w:spacing w:line="360" w:lineRule="auto"/>
        <w:jc w:val="left"/>
        <w:rPr>
          <w:rFonts w:hint="eastAsia" w:asciiTheme="minorEastAsia" w:hAnsiTheme="minorEastAsia" w:eastAsiaTheme="minorEastAsia" w:cstheme="minorEastAsia"/>
          <w:b w:val="0"/>
          <w:color w:val="auto"/>
          <w:spacing w:val="0"/>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其他规定</w:t>
      </w:r>
    </w:p>
    <w:p w14:paraId="02A9A54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具体出行路线和人数以实际出发为主。</w:t>
      </w:r>
    </w:p>
    <w:p w14:paraId="3CB2D2AD">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三、项目要求 </w:t>
      </w:r>
    </w:p>
    <w:p w14:paraId="2EF1D14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eastAsia="zh-CN" w:bidi="ar"/>
        </w:rPr>
        <w:t>供应商</w:t>
      </w:r>
      <w:r>
        <w:rPr>
          <w:rFonts w:hint="eastAsia" w:asciiTheme="minorEastAsia" w:hAnsiTheme="minorEastAsia" w:eastAsiaTheme="minorEastAsia" w:cstheme="minorEastAsia"/>
          <w:color w:val="auto"/>
          <w:kern w:val="0"/>
          <w:sz w:val="24"/>
          <w:szCs w:val="24"/>
          <w:highlight w:val="none"/>
          <w:lang w:bidi="ar"/>
        </w:rPr>
        <w:t xml:space="preserve">投标时须提供各行程具体安排方案，如建议出行时间、旅游行程（亮点、行程安排）、 接待标准（交通、住宿、车辆、用餐、景点门票、导服、保险、购物安排）、建议成团人数等。 </w:t>
      </w:r>
    </w:p>
    <w:p w14:paraId="45B66D1A">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门票要求</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4"/>
          <w:szCs w:val="24"/>
          <w:highlight w:val="none"/>
          <w:lang w:val="en-US" w:eastAsia="zh-CN" w:bidi="ar"/>
        </w:rPr>
        <w:t>、观光车等）。</w:t>
      </w:r>
    </w:p>
    <w:p w14:paraId="5B826C82">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3、地接公司要求：</w:t>
      </w:r>
    </w:p>
    <w:p w14:paraId="761976B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4"/>
          <w:szCs w:val="24"/>
          <w:highlight w:val="none"/>
          <w:lang w:bidi="ar"/>
        </w:rPr>
        <w:t>具有旅游局颁发的</w:t>
      </w:r>
      <w:r>
        <w:rPr>
          <w:rFonts w:hint="eastAsia" w:asciiTheme="minorEastAsia" w:hAnsiTheme="minorEastAsia" w:eastAsiaTheme="minorEastAsia" w:cstheme="minorEastAsia"/>
          <w:color w:val="auto"/>
          <w:kern w:val="0"/>
          <w:sz w:val="24"/>
          <w:szCs w:val="24"/>
          <w:highlight w:val="none"/>
          <w:lang w:val="en-US" w:eastAsia="zh-CN" w:bidi="ar"/>
        </w:rPr>
        <w:t xml:space="preserve">五星级旅行社），有国家导游证的专业导游讲解服务，全程陪同。 </w:t>
      </w:r>
    </w:p>
    <w:p w14:paraId="709C34D9">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（2）由导游要求举行行前会议，制定应急预案，发放《行程安排明细表》及相关行程服务内容的小册子。</w:t>
      </w:r>
    </w:p>
    <w:p w14:paraId="4D7BB578">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（3）在出发前分发矿泉水、旅游包、旅游帽等旅游基本用品。</w:t>
      </w:r>
    </w:p>
    <w:p w14:paraId="090B7426">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（4）省外（标段二）易发生高原反应地区旅行社需提供氧气瓶，风沙大地区应提供丝巾等，特殊天气应配备应急用品。</w:t>
      </w:r>
    </w:p>
    <w:p w14:paraId="525C05B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（5）不得限定出行单位活动范围，不得进行选择性服务。</w:t>
      </w:r>
    </w:p>
    <w:p w14:paraId="5D5439F0">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（6）采购人有权指定带团导游，供应商必须无条件配合。</w:t>
      </w:r>
    </w:p>
    <w:p w14:paraId="3E7B5407">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362A1C6F">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04565B64">
      <w:pPr>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6、用餐：住宿含早。中、晚餐全部桌餐，正餐省外不少于60元/人、省内不少于80元/人/餐标准，食物要求新鲜、安全，适合口味。要求每餐菜品多样，不雷同。餐厅交通便利，环境较好。 </w:t>
      </w:r>
    </w:p>
    <w:p w14:paraId="4288E48F">
      <w:pPr>
        <w:pStyle w:val="26"/>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4</w:t>
      </w:r>
      <w:r>
        <w:rPr>
          <w:rFonts w:hint="eastAsia" w:asciiTheme="minorEastAsia" w:hAnsiTheme="minorEastAsia" w:eastAsiaTheme="minorEastAsia" w:cstheme="minorEastAsia"/>
          <w:b/>
          <w:color w:val="000000"/>
          <w:sz w:val="24"/>
          <w:szCs w:val="24"/>
          <w:highlight w:val="none"/>
          <w:lang w:eastAsia="zh-CN"/>
        </w:rPr>
        <w:t>、</w:t>
      </w:r>
      <w:r>
        <w:rPr>
          <w:rFonts w:hint="eastAsia" w:asciiTheme="minorEastAsia" w:hAnsiTheme="minorEastAsia" w:eastAsiaTheme="minorEastAsia" w:cstheme="minorEastAsia"/>
          <w:b/>
          <w:color w:val="000000"/>
          <w:sz w:val="24"/>
          <w:szCs w:val="24"/>
          <w:highlight w:val="none"/>
        </w:rPr>
        <w:t>费用要求</w:t>
      </w:r>
    </w:p>
    <w:p w14:paraId="21CC49FF">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（1）导游不得另行收取费用。</w:t>
      </w:r>
    </w:p>
    <w:p w14:paraId="56F5885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（2）若因出行单位要求增加景点等原因导致的超出部分由出行单位人员自行支付。超出部分支付方式应在出行前与组团单位自行协商，供应商规划路线时应做充分考虑。</w:t>
      </w:r>
    </w:p>
    <w:p w14:paraId="725D06FA">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bidi="ar"/>
        </w:rPr>
        <w:t>、职工自行选择中标旅行社推出的疗休养活动，中标人不得以任何理由拒绝，否则视为违约。</w:t>
      </w:r>
    </w:p>
    <w:p w14:paraId="2770285B">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bidi="ar"/>
        </w:rPr>
        <w:t>、确定疗休养行程后，若</w:t>
      </w:r>
      <w:r>
        <w:rPr>
          <w:rFonts w:hint="eastAsia" w:asciiTheme="minorEastAsia" w:hAnsiTheme="minorEastAsia" w:eastAsiaTheme="minorEastAsia" w:cstheme="minorEastAsia"/>
          <w:color w:val="auto"/>
          <w:kern w:val="0"/>
          <w:sz w:val="24"/>
          <w:szCs w:val="24"/>
          <w:highlight w:val="none"/>
          <w:lang w:eastAsia="zh-CN" w:bidi="ar"/>
        </w:rPr>
        <w:t>采购人</w:t>
      </w:r>
      <w:r>
        <w:rPr>
          <w:rFonts w:hint="eastAsia" w:asciiTheme="minorEastAsia" w:hAnsiTheme="minorEastAsia" w:eastAsiaTheme="minorEastAsia" w:cstheme="minorEastAsia"/>
          <w:color w:val="auto"/>
          <w:kern w:val="0"/>
          <w:sz w:val="24"/>
          <w:szCs w:val="24"/>
          <w:highlight w:val="none"/>
          <w:lang w:bidi="ar"/>
        </w:rPr>
        <w:t>在出发日</w:t>
      </w:r>
      <w:r>
        <w:rPr>
          <w:rFonts w:hint="eastAsia" w:asciiTheme="minorEastAsia" w:hAnsiTheme="minorEastAsia" w:eastAsiaTheme="minorEastAsia" w:cstheme="minorEastAsia"/>
          <w:color w:val="auto"/>
          <w:kern w:val="0"/>
          <w:sz w:val="24"/>
          <w:szCs w:val="24"/>
          <w:highlight w:val="none"/>
          <w:lang w:val="en-US" w:eastAsia="zh-CN" w:bidi="ar"/>
        </w:rPr>
        <w:t>7</w:t>
      </w:r>
      <w:r>
        <w:rPr>
          <w:rFonts w:hint="eastAsia" w:asciiTheme="minorEastAsia" w:hAnsiTheme="minorEastAsia" w:eastAsiaTheme="minorEastAsia" w:cstheme="minorEastAsia"/>
          <w:color w:val="auto"/>
          <w:kern w:val="0"/>
          <w:sz w:val="24"/>
          <w:szCs w:val="24"/>
          <w:highlight w:val="none"/>
          <w:lang w:bidi="ar"/>
        </w:rPr>
        <w:t xml:space="preserve">天前告知旅行社取消行程的，不支付任何费用。 </w:t>
      </w:r>
    </w:p>
    <w:p w14:paraId="1B7CACF0">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kern w:val="0"/>
          <w:sz w:val="24"/>
          <w:szCs w:val="24"/>
          <w:highlight w:val="none"/>
          <w:lang w:bidi="ar"/>
        </w:rPr>
        <w:t>、</w:t>
      </w:r>
      <w:r>
        <w:rPr>
          <w:rFonts w:hint="eastAsia" w:asciiTheme="minorEastAsia" w:hAnsiTheme="minorEastAsia" w:eastAsiaTheme="minorEastAsia" w:cstheme="minorEastAsia"/>
          <w:color w:val="auto"/>
          <w:kern w:val="0"/>
          <w:sz w:val="24"/>
          <w:szCs w:val="24"/>
          <w:highlight w:val="none"/>
          <w:lang w:val="en-US" w:eastAsia="zh-CN" w:bidi="ar"/>
        </w:rPr>
        <w:t>职工参加疗休养按照旅游线路进行报名（具体报名方式由双方协商决定），由采购人统一与中标旅行社签订国家旅游局最新版旅游合同。</w:t>
      </w:r>
    </w:p>
    <w:p w14:paraId="17B61560">
      <w:pPr>
        <w:widowControl/>
        <w:spacing w:line="360" w:lineRule="auto"/>
        <w:jc w:val="left"/>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 </w:t>
      </w:r>
      <w:r>
        <w:rPr>
          <w:rFonts w:hint="eastAsia" w:asciiTheme="minorEastAsia" w:hAnsiTheme="minorEastAsia" w:eastAsiaTheme="minorEastAsia" w:cstheme="minorEastAsia"/>
          <w:b/>
          <w:bCs/>
          <w:color w:val="auto"/>
          <w:sz w:val="24"/>
          <w:szCs w:val="24"/>
          <w:highlight w:val="none"/>
        </w:rPr>
        <w:t>四、费用结算与付款</w:t>
      </w:r>
      <w:r>
        <w:rPr>
          <w:rFonts w:hint="eastAsia" w:asciiTheme="minorEastAsia" w:hAnsiTheme="minorEastAsia" w:eastAsiaTheme="minorEastAsia" w:cstheme="minorEastAsia"/>
          <w:b/>
          <w:bCs/>
          <w:color w:val="auto"/>
          <w:kern w:val="0"/>
          <w:sz w:val="24"/>
          <w:szCs w:val="24"/>
          <w:highlight w:val="none"/>
          <w:lang w:bidi="ar"/>
        </w:rPr>
        <w:t xml:space="preserve"> </w:t>
      </w:r>
    </w:p>
    <w:p w14:paraId="402FBB4D">
      <w:pPr>
        <w:widowControl/>
        <w:spacing w:line="360" w:lineRule="auto"/>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1、合同生效以及具备实施条件后7个工作日内支付合同金额的40%作为预付款，同时中标人提供合同金额的40%预付款保函。该批次疗休养费用根据</w:t>
      </w:r>
      <w:r>
        <w:rPr>
          <w:rFonts w:hint="eastAsia" w:asciiTheme="minorEastAsia" w:hAnsiTheme="minorEastAsia" w:eastAsiaTheme="minorEastAsia" w:cstheme="minorEastAsia"/>
          <w:color w:val="auto"/>
          <w:kern w:val="0"/>
          <w:sz w:val="24"/>
          <w:szCs w:val="24"/>
          <w:highlight w:val="none"/>
          <w:lang w:val="zh-CN" w:bidi="ar"/>
        </w:rPr>
        <w:t>团队</w:t>
      </w:r>
      <w:r>
        <w:rPr>
          <w:rFonts w:hint="eastAsia" w:asciiTheme="minorEastAsia" w:hAnsiTheme="minorEastAsia" w:eastAsiaTheme="minorEastAsia" w:cstheme="minorEastAsia"/>
          <w:color w:val="auto"/>
          <w:kern w:val="0"/>
          <w:sz w:val="24"/>
          <w:szCs w:val="24"/>
          <w:highlight w:val="none"/>
          <w:lang w:val="en-US" w:eastAsia="zh-CN" w:bidi="ar"/>
        </w:rPr>
        <w:t>职工满意度测评表（</w:t>
      </w:r>
      <w:r>
        <w:rPr>
          <w:rFonts w:hint="eastAsia" w:asciiTheme="minorEastAsia" w:hAnsiTheme="minorEastAsia" w:eastAsiaTheme="minorEastAsia" w:cstheme="minorEastAsia"/>
          <w:color w:val="auto"/>
          <w:sz w:val="24"/>
          <w:szCs w:val="24"/>
          <w:highlight w:val="none"/>
          <w:lang w:val="en-US" w:eastAsia="zh-CN"/>
        </w:rPr>
        <w:t>附件1，满分为100分</w:t>
      </w:r>
      <w:r>
        <w:rPr>
          <w:rFonts w:hint="eastAsia" w:asciiTheme="minorEastAsia" w:hAnsiTheme="minorEastAsia" w:eastAsiaTheme="minorEastAsia" w:cstheme="minorEastAsia"/>
          <w:color w:val="auto"/>
          <w:kern w:val="0"/>
          <w:sz w:val="24"/>
          <w:szCs w:val="24"/>
          <w:highlight w:val="none"/>
          <w:lang w:val="en-US" w:eastAsia="zh-CN" w:bidi="ar"/>
        </w:rPr>
        <w:t>）平均分进行支付</w:t>
      </w:r>
      <w:r>
        <w:rPr>
          <w:rFonts w:hint="eastAsia" w:asciiTheme="minorEastAsia" w:hAnsiTheme="minorEastAsia" w:eastAsiaTheme="minorEastAsia" w:cstheme="minorEastAsia"/>
          <w:color w:val="auto"/>
          <w:kern w:val="0"/>
          <w:sz w:val="24"/>
          <w:szCs w:val="24"/>
          <w:highlight w:val="none"/>
          <w:lang w:bidi="ar"/>
        </w:rPr>
        <w:t>，中标人凭正规有效发票原件、旅游合同、名单、身份证及保险复印件，经采购人审核后按批次结算</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先从预付款中扣除相应金额，待预付款扣完后不足部分按实结算</w:t>
      </w:r>
      <w:r>
        <w:rPr>
          <w:rFonts w:hint="eastAsia" w:asciiTheme="minorEastAsia" w:hAnsiTheme="minorEastAsia" w:eastAsiaTheme="minorEastAsia" w:cstheme="minorEastAsia"/>
          <w:color w:val="auto"/>
          <w:kern w:val="0"/>
          <w:sz w:val="24"/>
          <w:szCs w:val="24"/>
          <w:highlight w:val="none"/>
          <w:lang w:eastAsia="zh-CN" w:bidi="ar"/>
        </w:rPr>
        <w:t>）。</w:t>
      </w:r>
    </w:p>
    <w:p w14:paraId="14D7F545">
      <w:pPr>
        <w:pStyle w:val="26"/>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每批结束后进行满意度测评，满意度测评表平均分</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90分的，该批疗休养费用=中标价（元/人/次）*实际人数*100%；满意度测评表平均分＜90分的</w:t>
      </w:r>
      <w:r>
        <w:rPr>
          <w:rFonts w:hint="eastAsia"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133EF987">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五、服务承诺 </w:t>
      </w:r>
    </w:p>
    <w:p w14:paraId="4E9C0BE5">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必须对本次职工疗休养的有关服务内容做出服务承诺，包括：</w:t>
      </w:r>
    </w:p>
    <w:p w14:paraId="0367F1B1">
      <w:pPr>
        <w:pStyle w:val="26"/>
        <w:numPr>
          <w:ilvl w:val="0"/>
          <w:numId w:val="35"/>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经营质量方面的承诺： </w:t>
      </w:r>
    </w:p>
    <w:p w14:paraId="586373D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旅行社向职工提供的旅游服务信息必须真实可靠，不得作虚假宣传。因旅行社原因不能成行，未经职工同意擅自转团、拼团，一经核实，承诺支付该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CC5CD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②未经职工同意，旅行社不得在旅游合同约定之外提供其他有偿服务。一经核实，承诺支付</w:t>
      </w:r>
      <w:r>
        <w:rPr>
          <w:rFonts w:hint="eastAsia" w:asciiTheme="minorEastAsia" w:hAnsiTheme="minorEastAsia" w:eastAsiaTheme="minorEastAsia" w:cstheme="minorEastAsia"/>
          <w:color w:val="auto"/>
          <w:sz w:val="24"/>
          <w:szCs w:val="24"/>
          <w:highlight w:val="none"/>
          <w:lang w:val="en-US" w:eastAsia="zh-CN"/>
        </w:rPr>
        <w:t>该</w:t>
      </w:r>
      <w:r>
        <w:rPr>
          <w:rFonts w:hint="eastAsia" w:asciiTheme="minorEastAsia" w:hAnsiTheme="minorEastAsia" w:eastAsiaTheme="minorEastAsia" w:cstheme="minorEastAsia"/>
          <w:color w:val="auto"/>
          <w:sz w:val="24"/>
          <w:szCs w:val="24"/>
          <w:highlight w:val="none"/>
        </w:rPr>
        <w:t>批次疗休养费用总额的50%比例违约金，并酌情扣罚20%-50%的履约保证金，情节严重的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50907F8B">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③疗休养线路不得安排购物点或强制购物。一经核实，承诺支付该批次疗休养费用总额的50% 比例违约金，并酌情扣罚20%-50%的履约保证金，情节严重的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，取消其承办资格。</w:t>
      </w:r>
    </w:p>
    <w:p w14:paraId="62F91A06">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④旅行社必须严格兑现响应文件内承诺的所有服务标准和内容，若发现为职工提供的服务与响应文件不符，一经查实，旅行社承诺按该批次疗休养费用总额的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2D4D7F1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⑤旅行社为职工安排或者介绍的旅游活动不得含有违反有关法律、法规规定的内容。一经核实，承诺支付该批次疗休养费用总额的50%比例违约金，并酌情扣罚 20%-50%的履约保证金，情节严重的</w:t>
      </w:r>
      <w:r>
        <w:rPr>
          <w:rFonts w:hint="eastAsia" w:asciiTheme="minorEastAsia" w:hAnsiTheme="minorEastAsia" w:eastAsiaTheme="minorEastAsia" w:cstheme="minorEastAsia"/>
          <w:color w:val="auto"/>
          <w:sz w:val="24"/>
          <w:szCs w:val="24"/>
          <w:highlight w:val="none"/>
          <w:lang w:eastAsia="zh-CN"/>
        </w:rPr>
        <w:t>采购人有权单方面终止合同</w:t>
      </w:r>
      <w:r>
        <w:rPr>
          <w:rFonts w:hint="eastAsia" w:asciiTheme="minorEastAsia" w:hAnsiTheme="minorEastAsia" w:eastAsiaTheme="minorEastAsia" w:cstheme="minorEastAsia"/>
          <w:color w:val="auto"/>
          <w:sz w:val="24"/>
          <w:szCs w:val="24"/>
          <w:highlight w:val="none"/>
        </w:rPr>
        <w:t xml:space="preserve">，取消其承办资格。 </w:t>
      </w:r>
    </w:p>
    <w:p w14:paraId="3D365A6E">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⑥中标旅行社应当按照合同约定履行义务完成项目，不得将项目转让(转包)给其他旅行社，一经查实，旅行社承诺赔偿由此带来的全部损失，并扣罚其全部履约保证金，同时采购人终止合同，取消其承办资格。 </w:t>
      </w:r>
    </w:p>
    <w:p w14:paraId="567AD2CF">
      <w:pPr>
        <w:pStyle w:val="26"/>
        <w:numPr>
          <w:ilvl w:val="0"/>
          <w:numId w:val="35"/>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经营服务方面的承诺： </w:t>
      </w:r>
    </w:p>
    <w:p w14:paraId="56A06A31">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旅行社为职工提供服务，应当与职工签订国家旅游局新版旅游合同（最新版）并载明下列事项: </w:t>
      </w:r>
    </w:p>
    <w:p w14:paraId="5F11F2C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①旅行社的名称及其经营范围、地址、联系电话和旅行社业务经营许可证编号； </w:t>
      </w:r>
    </w:p>
    <w:p w14:paraId="25C8B55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②旅行社经办人的姓名、联系电话；</w:t>
      </w:r>
    </w:p>
    <w:p w14:paraId="7A6CDBF2">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③签约地点和日期； </w:t>
      </w:r>
    </w:p>
    <w:p w14:paraId="319EECB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④旅游行程的出发地、途经地和目的地；</w:t>
      </w:r>
    </w:p>
    <w:p w14:paraId="01088B8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⑤旅游行程中交通、住宿、餐饮服务安排及其标准；</w:t>
      </w:r>
    </w:p>
    <w:p w14:paraId="2C11FE4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⑥职工另行付费的游览项目及价格； </w:t>
      </w:r>
    </w:p>
    <w:p w14:paraId="560DA247">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⑦解除或者变更合同的条件和提前通知的期限；</w:t>
      </w:r>
    </w:p>
    <w:p w14:paraId="56F2FFF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⑧违反合同的纠纷解决机制及应当承担的责任； </w:t>
      </w:r>
    </w:p>
    <w:p w14:paraId="50DF0710">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⑨旅游服务监督、投诉电话； </w:t>
      </w:r>
    </w:p>
    <w:p w14:paraId="6D18539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⑩双方协商一致的其他内容。 </w:t>
      </w:r>
    </w:p>
    <w:p w14:paraId="7BA60E5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六、购买保险</w:t>
      </w:r>
    </w:p>
    <w:p w14:paraId="5760AB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1、旅行社必须为参加疗休养的职工购买旅行社责任险和人身意外保险（费用含在报价中）。</w:t>
      </w:r>
      <w:r>
        <w:rPr>
          <w:rFonts w:hint="eastAsia" w:asciiTheme="minorEastAsia" w:hAnsiTheme="minorEastAsia" w:eastAsiaTheme="minorEastAsia" w:cstheme="minorEastAsia"/>
          <w:color w:val="auto"/>
          <w:sz w:val="24"/>
          <w:szCs w:val="24"/>
          <w:highlight w:val="none"/>
          <w:lang w:val="en-US" w:eastAsia="zh-CN"/>
        </w:rPr>
        <w:t>包含旅行社责任险1000万元及以上，人身意外保险100万元/人及以上（人身意外险包含意外伤害、突发性疾病、伤害医疗、突发性医疗等）。</w:t>
      </w:r>
    </w:p>
    <w:p w14:paraId="0D8D60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2、旅行社在采购人</w:t>
      </w:r>
      <w:r>
        <w:rPr>
          <w:rFonts w:hint="eastAsia" w:asciiTheme="minorEastAsia" w:hAnsiTheme="minorEastAsia" w:eastAsiaTheme="minorEastAsia" w:cstheme="minorEastAsia"/>
          <w:color w:val="auto"/>
          <w:sz w:val="24"/>
          <w:szCs w:val="24"/>
          <w:highlight w:val="none"/>
          <w:lang w:eastAsia="zh-CN"/>
        </w:rPr>
        <w:t>结账</w:t>
      </w:r>
      <w:r>
        <w:rPr>
          <w:rFonts w:hint="eastAsia" w:asciiTheme="minorEastAsia" w:hAnsiTheme="minorEastAsia" w:eastAsiaTheme="minorEastAsia" w:cstheme="minorEastAsia"/>
          <w:color w:val="auto"/>
          <w:sz w:val="24"/>
          <w:szCs w:val="24"/>
          <w:highlight w:val="none"/>
        </w:rPr>
        <w:t xml:space="preserve">时应提供职工旅游合同复印件一份、投保人身意外保险复印件一份。 </w:t>
      </w:r>
    </w:p>
    <w:p w14:paraId="09C24EEF">
      <w:pPr>
        <w:pStyle w:val="26"/>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七、合同签订及执行</w:t>
      </w:r>
    </w:p>
    <w:p w14:paraId="214D5D4C">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1、中标旅行社根据招标文件要求及投标文件响应有关条款，与采购人签订合同，由双方共同严格遵守执行。 </w:t>
      </w:r>
    </w:p>
    <w:p w14:paraId="4F3CFF38">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2、合同书应由供需双方代表亲自签字。 </w:t>
      </w:r>
    </w:p>
    <w:p w14:paraId="379C88CA">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3、签订合同后项目不得转包，如发现转包，视为违反约定罚款</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 xml:space="preserve">万元并终止合同。 </w:t>
      </w:r>
    </w:p>
    <w:p w14:paraId="0146CA2D">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4、签订合同后，任何一方违约均应赔偿给对方造成的经济损失，并支付对方违约金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万元。任何一方未经协商或通知对方而擅自单方终止合同的，应赔偿对方违约金</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万元，以补偿对方的损失。</w:t>
      </w:r>
    </w:p>
    <w:p w14:paraId="3B1399F3">
      <w:pPr>
        <w:pStyle w:val="26"/>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、遇有双方不能协商解决的问题时，任何一方都有权向需方所在地人民法院提起诉讼，由所在地人民法院依法裁决。</w:t>
      </w:r>
    </w:p>
    <w:p w14:paraId="6135938C">
      <w:pPr>
        <w:pStyle w:val="28"/>
        <w:spacing w:line="360" w:lineRule="auto"/>
        <w:ind w:left="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八、其他要求</w:t>
      </w:r>
    </w:p>
    <w:p w14:paraId="00B061A2">
      <w:pPr>
        <w:pStyle w:val="26"/>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1、最后一批疗休养职工人数不足最低成团人数要求，中标供应商应无条件组织成团。</w:t>
      </w:r>
    </w:p>
    <w:p w14:paraId="1D8AA5B5">
      <w:pPr>
        <w:pStyle w:val="27"/>
        <w:spacing w:line="360" w:lineRule="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2、如因采购单位属地政府政策调整，采购人有权适当调整疗休养路线，中标供应商不得以任何理由拒绝，否则视为违约。</w:t>
      </w:r>
    </w:p>
    <w:p w14:paraId="396AE067">
      <w:pP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br w:type="page"/>
      </w:r>
    </w:p>
    <w:p w14:paraId="044D9CB3">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4B2ACD4D">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4063EE9C">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9337" w:type="dxa"/>
        <w:jc w:val="center"/>
        <w:tblLayout w:type="fixed"/>
        <w:tblCellMar>
          <w:top w:w="0" w:type="dxa"/>
          <w:left w:w="108" w:type="dxa"/>
          <w:bottom w:w="0" w:type="dxa"/>
          <w:right w:w="108" w:type="dxa"/>
        </w:tblCellMar>
      </w:tblPr>
      <w:tblGrid>
        <w:gridCol w:w="1741"/>
        <w:gridCol w:w="1035"/>
        <w:gridCol w:w="870"/>
        <w:gridCol w:w="694"/>
        <w:gridCol w:w="445"/>
        <w:gridCol w:w="699"/>
        <w:gridCol w:w="1109"/>
        <w:gridCol w:w="87"/>
        <w:gridCol w:w="951"/>
        <w:gridCol w:w="13"/>
        <w:gridCol w:w="838"/>
        <w:gridCol w:w="855"/>
      </w:tblGrid>
      <w:tr w14:paraId="4CEAD7AA">
        <w:tblPrEx>
          <w:tblCellMar>
            <w:top w:w="0" w:type="dxa"/>
            <w:left w:w="108" w:type="dxa"/>
            <w:bottom w:w="0" w:type="dxa"/>
            <w:right w:w="108" w:type="dxa"/>
          </w:tblCellMar>
        </w:tblPrEx>
        <w:trPr>
          <w:trHeight w:val="80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74182C0">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905" w:type="dxa"/>
            <w:gridSpan w:val="2"/>
            <w:tcBorders>
              <w:top w:val="single" w:color="000000" w:sz="4" w:space="0"/>
              <w:left w:val="nil"/>
              <w:bottom w:val="single" w:color="000000" w:sz="4" w:space="0"/>
              <w:right w:val="single" w:color="000000" w:sz="4" w:space="0"/>
            </w:tcBorders>
            <w:noWrap w:val="0"/>
            <w:vAlign w:val="center"/>
          </w:tcPr>
          <w:p w14:paraId="4FF77DE4">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4" w:type="dxa"/>
            <w:tcBorders>
              <w:top w:val="single" w:color="000000" w:sz="4" w:space="0"/>
              <w:left w:val="nil"/>
              <w:bottom w:val="single" w:color="000000" w:sz="4" w:space="0"/>
              <w:right w:val="single" w:color="000000" w:sz="4" w:space="0"/>
            </w:tcBorders>
            <w:noWrap w:val="0"/>
            <w:vAlign w:val="center"/>
          </w:tcPr>
          <w:p w14:paraId="52027526">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53" w:type="dxa"/>
            <w:gridSpan w:val="3"/>
            <w:tcBorders>
              <w:top w:val="single" w:color="000000" w:sz="4" w:space="0"/>
              <w:left w:val="nil"/>
              <w:bottom w:val="single" w:color="000000" w:sz="4" w:space="0"/>
              <w:right w:val="single" w:color="000000" w:sz="4" w:space="0"/>
            </w:tcBorders>
            <w:noWrap w:val="0"/>
            <w:vAlign w:val="center"/>
          </w:tcPr>
          <w:p w14:paraId="5AFBF4E8">
            <w:pPr>
              <w:widowControl/>
              <w:jc w:val="center"/>
              <w:rPr>
                <w:rFonts w:ascii="宋体" w:hAnsi="宋体" w:cs="楷体"/>
                <w:kern w:val="0"/>
                <w:szCs w:val="21"/>
                <w:highlight w:val="none"/>
              </w:rPr>
            </w:pPr>
          </w:p>
        </w:tc>
        <w:tc>
          <w:tcPr>
            <w:tcW w:w="1051" w:type="dxa"/>
            <w:gridSpan w:val="3"/>
            <w:tcBorders>
              <w:top w:val="single" w:color="000000" w:sz="4" w:space="0"/>
              <w:left w:val="nil"/>
              <w:bottom w:val="single" w:color="000000" w:sz="4" w:space="0"/>
              <w:right w:val="single" w:color="000000" w:sz="4" w:space="0"/>
            </w:tcBorders>
            <w:noWrap w:val="0"/>
            <w:vAlign w:val="center"/>
          </w:tcPr>
          <w:p w14:paraId="2632EE0C">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93" w:type="dxa"/>
            <w:gridSpan w:val="2"/>
            <w:tcBorders>
              <w:top w:val="single" w:color="000000" w:sz="4" w:space="0"/>
              <w:left w:val="nil"/>
              <w:bottom w:val="single" w:color="000000" w:sz="4" w:space="0"/>
              <w:right w:val="single" w:color="000000" w:sz="4" w:space="0"/>
            </w:tcBorders>
            <w:noWrap w:val="0"/>
            <w:vAlign w:val="center"/>
          </w:tcPr>
          <w:p w14:paraId="47601AC8">
            <w:pPr>
              <w:widowControl/>
              <w:jc w:val="center"/>
              <w:rPr>
                <w:rFonts w:ascii="宋体" w:hAnsi="宋体" w:cs="楷体"/>
                <w:kern w:val="0"/>
                <w:szCs w:val="21"/>
                <w:highlight w:val="none"/>
              </w:rPr>
            </w:pPr>
          </w:p>
        </w:tc>
      </w:tr>
      <w:tr w14:paraId="5A33DEEB">
        <w:tblPrEx>
          <w:tblCellMar>
            <w:top w:w="0" w:type="dxa"/>
            <w:left w:w="108" w:type="dxa"/>
            <w:bottom w:w="0" w:type="dxa"/>
            <w:right w:w="108" w:type="dxa"/>
          </w:tblCellMar>
        </w:tblPrEx>
        <w:trPr>
          <w:trHeight w:val="749" w:hRule="atLeast"/>
          <w:jc w:val="center"/>
        </w:trPr>
        <w:tc>
          <w:tcPr>
            <w:tcW w:w="1741" w:type="dxa"/>
            <w:vMerge w:val="restart"/>
            <w:tcBorders>
              <w:top w:val="single" w:color="000000" w:sz="4" w:space="0"/>
              <w:left w:val="single" w:color="000000" w:sz="4" w:space="0"/>
              <w:right w:val="single" w:color="000000" w:sz="4" w:space="0"/>
            </w:tcBorders>
            <w:noWrap w:val="0"/>
            <w:vAlign w:val="center"/>
          </w:tcPr>
          <w:p w14:paraId="534BEC70">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6D3A6421">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3F363E9C">
        <w:tblPrEx>
          <w:tblCellMar>
            <w:top w:w="0" w:type="dxa"/>
            <w:left w:w="108" w:type="dxa"/>
            <w:bottom w:w="0" w:type="dxa"/>
            <w:right w:w="108" w:type="dxa"/>
          </w:tblCellMar>
        </w:tblPrEx>
        <w:trPr>
          <w:trHeight w:val="669" w:hRule="atLeast"/>
          <w:jc w:val="center"/>
        </w:trPr>
        <w:tc>
          <w:tcPr>
            <w:tcW w:w="1741" w:type="dxa"/>
            <w:vMerge w:val="continue"/>
            <w:tcBorders>
              <w:left w:val="single" w:color="000000" w:sz="4" w:space="0"/>
              <w:bottom w:val="single" w:color="000000" w:sz="4" w:space="0"/>
              <w:right w:val="single" w:color="000000" w:sz="4" w:space="0"/>
            </w:tcBorders>
            <w:noWrap w:val="0"/>
            <w:vAlign w:val="center"/>
          </w:tcPr>
          <w:p w14:paraId="504C0F3D">
            <w:pPr>
              <w:widowControl/>
              <w:jc w:val="center"/>
              <w:rPr>
                <w:rFonts w:ascii="宋体" w:hAnsi="宋体" w:cs="楷体"/>
                <w:kern w:val="0"/>
                <w:szCs w:val="21"/>
                <w:highlight w:val="none"/>
              </w:rPr>
            </w:pPr>
          </w:p>
        </w:tc>
        <w:tc>
          <w:tcPr>
            <w:tcW w:w="1905" w:type="dxa"/>
            <w:gridSpan w:val="2"/>
            <w:tcBorders>
              <w:top w:val="single" w:color="000000" w:sz="4" w:space="0"/>
              <w:left w:val="nil"/>
              <w:bottom w:val="single" w:color="000000" w:sz="4" w:space="0"/>
              <w:right w:val="single" w:color="000000" w:sz="4" w:space="0"/>
            </w:tcBorders>
            <w:noWrap w:val="0"/>
            <w:vAlign w:val="center"/>
          </w:tcPr>
          <w:p w14:paraId="1C5EEC7D">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8" w:type="dxa"/>
            <w:gridSpan w:val="3"/>
            <w:tcBorders>
              <w:top w:val="single" w:color="000000" w:sz="4" w:space="0"/>
              <w:left w:val="nil"/>
              <w:bottom w:val="single" w:color="000000" w:sz="4" w:space="0"/>
              <w:right w:val="single" w:color="000000" w:sz="4" w:space="0"/>
            </w:tcBorders>
            <w:noWrap w:val="0"/>
            <w:vAlign w:val="center"/>
          </w:tcPr>
          <w:p w14:paraId="121A2706">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47" w:type="dxa"/>
            <w:gridSpan w:val="3"/>
            <w:tcBorders>
              <w:top w:val="single" w:color="000000" w:sz="4" w:space="0"/>
              <w:left w:val="nil"/>
              <w:bottom w:val="single" w:color="000000" w:sz="4" w:space="0"/>
              <w:right w:val="single" w:color="000000" w:sz="4" w:space="0"/>
            </w:tcBorders>
            <w:noWrap w:val="0"/>
            <w:vAlign w:val="center"/>
          </w:tcPr>
          <w:p w14:paraId="5717E8F6">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6" w:type="dxa"/>
            <w:gridSpan w:val="3"/>
            <w:tcBorders>
              <w:top w:val="single" w:color="000000" w:sz="4" w:space="0"/>
              <w:left w:val="nil"/>
              <w:bottom w:val="single" w:color="000000" w:sz="4" w:space="0"/>
              <w:right w:val="single" w:color="000000" w:sz="4" w:space="0"/>
            </w:tcBorders>
            <w:noWrap w:val="0"/>
            <w:vAlign w:val="center"/>
          </w:tcPr>
          <w:p w14:paraId="17B31E31">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24A10559">
        <w:tblPrEx>
          <w:tblCellMar>
            <w:top w:w="0" w:type="dxa"/>
            <w:left w:w="108" w:type="dxa"/>
            <w:bottom w:w="0" w:type="dxa"/>
            <w:right w:w="108" w:type="dxa"/>
          </w:tblCellMar>
        </w:tblPrEx>
        <w:trPr>
          <w:trHeight w:val="676"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1EE1E404">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5" w:type="dxa"/>
            <w:tcBorders>
              <w:top w:val="single" w:color="000000" w:sz="4" w:space="0"/>
              <w:left w:val="nil"/>
              <w:bottom w:val="single" w:color="000000" w:sz="4" w:space="0"/>
              <w:right w:val="single" w:color="000000" w:sz="4" w:space="0"/>
            </w:tcBorders>
            <w:noWrap w:val="0"/>
            <w:vAlign w:val="center"/>
          </w:tcPr>
          <w:p w14:paraId="22C8AAA6">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64EB252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69B238C">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7899C87A">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79103B9C">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4F6D175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0477052C">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5A6CFACC">
            <w:pPr>
              <w:widowControl/>
              <w:jc w:val="center"/>
              <w:rPr>
                <w:rFonts w:ascii="宋体" w:hAnsi="宋体" w:cs="楷体"/>
                <w:kern w:val="0"/>
                <w:szCs w:val="21"/>
                <w:highlight w:val="none"/>
              </w:rPr>
            </w:pPr>
          </w:p>
        </w:tc>
      </w:tr>
      <w:tr w14:paraId="33D9812F">
        <w:tblPrEx>
          <w:tblCellMar>
            <w:top w:w="0" w:type="dxa"/>
            <w:left w:w="108" w:type="dxa"/>
            <w:bottom w:w="0" w:type="dxa"/>
            <w:right w:w="108" w:type="dxa"/>
          </w:tblCellMar>
        </w:tblPrEx>
        <w:trPr>
          <w:trHeight w:val="860"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40C4B8F">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5" w:type="dxa"/>
            <w:tcBorders>
              <w:top w:val="single" w:color="000000" w:sz="4" w:space="0"/>
              <w:left w:val="nil"/>
              <w:bottom w:val="single" w:color="000000" w:sz="4" w:space="0"/>
              <w:right w:val="single" w:color="000000" w:sz="4" w:space="0"/>
            </w:tcBorders>
            <w:noWrap w:val="0"/>
            <w:vAlign w:val="center"/>
          </w:tcPr>
          <w:p w14:paraId="6D144511">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3A1B548A">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08A5D4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D3F9BF3">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93AAA7B">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1D336566">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4FA13552">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68F21936">
            <w:pPr>
              <w:widowControl/>
              <w:jc w:val="center"/>
              <w:rPr>
                <w:rFonts w:ascii="宋体" w:hAnsi="宋体" w:cs="楷体"/>
                <w:kern w:val="0"/>
                <w:szCs w:val="21"/>
                <w:highlight w:val="none"/>
              </w:rPr>
            </w:pPr>
          </w:p>
        </w:tc>
      </w:tr>
      <w:tr w14:paraId="56C67697">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CAA0056">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5" w:type="dxa"/>
            <w:tcBorders>
              <w:top w:val="single" w:color="000000" w:sz="4" w:space="0"/>
              <w:left w:val="nil"/>
              <w:bottom w:val="single" w:color="000000" w:sz="4" w:space="0"/>
              <w:right w:val="single" w:color="000000" w:sz="4" w:space="0"/>
            </w:tcBorders>
            <w:noWrap w:val="0"/>
            <w:vAlign w:val="center"/>
          </w:tcPr>
          <w:p w14:paraId="077CC193">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5C17AF86">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DF970BA">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517CB848">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244A93E6">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2EDA441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3C270AE">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45A137C2">
            <w:pPr>
              <w:widowControl/>
              <w:jc w:val="center"/>
              <w:rPr>
                <w:rFonts w:ascii="宋体" w:hAnsi="宋体" w:cs="楷体"/>
                <w:kern w:val="0"/>
                <w:szCs w:val="21"/>
                <w:highlight w:val="none"/>
              </w:rPr>
            </w:pPr>
          </w:p>
        </w:tc>
      </w:tr>
      <w:tr w14:paraId="67AF0839">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5645D42">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5" w:type="dxa"/>
            <w:tcBorders>
              <w:top w:val="single" w:color="000000" w:sz="4" w:space="0"/>
              <w:left w:val="nil"/>
              <w:bottom w:val="single" w:color="000000" w:sz="4" w:space="0"/>
              <w:right w:val="single" w:color="000000" w:sz="4" w:space="0"/>
            </w:tcBorders>
            <w:noWrap w:val="0"/>
            <w:vAlign w:val="center"/>
          </w:tcPr>
          <w:p w14:paraId="122E44D4">
            <w:pPr>
              <w:widowControl/>
              <w:rPr>
                <w:rFonts w:ascii="宋体" w:hAnsi="宋体" w:cs="楷体"/>
                <w:kern w:val="0"/>
                <w:szCs w:val="21"/>
                <w:highlight w:val="none"/>
              </w:rPr>
            </w:pPr>
            <w:r>
              <w:rPr>
                <w:rFonts w:hint="eastAsia" w:ascii="宋体" w:hAnsi="宋体" w:cs="楷体"/>
                <w:kern w:val="0"/>
                <w:szCs w:val="21"/>
                <w:highlight w:val="none"/>
              </w:rPr>
              <w:t>≧18</w:t>
            </w:r>
          </w:p>
        </w:tc>
        <w:tc>
          <w:tcPr>
            <w:tcW w:w="870" w:type="dxa"/>
            <w:tcBorders>
              <w:top w:val="single" w:color="000000" w:sz="4" w:space="0"/>
              <w:left w:val="nil"/>
              <w:bottom w:val="single" w:color="000000" w:sz="4" w:space="0"/>
              <w:right w:val="single" w:color="000000" w:sz="4" w:space="0"/>
            </w:tcBorders>
            <w:noWrap w:val="0"/>
            <w:vAlign w:val="center"/>
          </w:tcPr>
          <w:p w14:paraId="25CAA514">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57DD6453">
            <w:pPr>
              <w:widowControl/>
              <w:rPr>
                <w:rFonts w:ascii="宋体" w:hAnsi="宋体" w:cs="楷体"/>
                <w:kern w:val="0"/>
                <w:szCs w:val="21"/>
                <w:highlight w:val="none"/>
              </w:rPr>
            </w:pPr>
            <w:r>
              <w:rPr>
                <w:rFonts w:hint="eastAsia" w:ascii="宋体" w:hAnsi="宋体" w:cs="楷体"/>
                <w:kern w:val="0"/>
                <w:szCs w:val="21"/>
                <w:highlight w:val="none"/>
              </w:rPr>
              <w:t>﹤18≧16</w:t>
            </w:r>
          </w:p>
        </w:tc>
        <w:tc>
          <w:tcPr>
            <w:tcW w:w="699" w:type="dxa"/>
            <w:tcBorders>
              <w:top w:val="single" w:color="000000" w:sz="4" w:space="0"/>
              <w:left w:val="nil"/>
              <w:bottom w:val="single" w:color="000000" w:sz="4" w:space="0"/>
              <w:right w:val="single" w:color="000000" w:sz="4" w:space="0"/>
            </w:tcBorders>
            <w:noWrap w:val="0"/>
            <w:vAlign w:val="center"/>
          </w:tcPr>
          <w:p w14:paraId="2060764F">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436ECCA8">
            <w:pPr>
              <w:widowControl/>
              <w:rPr>
                <w:rFonts w:ascii="宋体" w:hAnsi="宋体" w:cs="楷体"/>
                <w:kern w:val="0"/>
                <w:szCs w:val="21"/>
                <w:highlight w:val="none"/>
              </w:rPr>
            </w:pPr>
            <w:r>
              <w:rPr>
                <w:rFonts w:hint="eastAsia" w:ascii="宋体" w:hAnsi="宋体" w:cs="楷体"/>
                <w:kern w:val="0"/>
                <w:szCs w:val="21"/>
                <w:highlight w:val="none"/>
              </w:rPr>
              <w:t>﹤16≧12</w:t>
            </w:r>
          </w:p>
        </w:tc>
        <w:tc>
          <w:tcPr>
            <w:tcW w:w="951" w:type="dxa"/>
            <w:tcBorders>
              <w:top w:val="single" w:color="000000" w:sz="4" w:space="0"/>
              <w:left w:val="nil"/>
              <w:bottom w:val="single" w:color="000000" w:sz="4" w:space="0"/>
              <w:right w:val="single" w:color="000000" w:sz="4" w:space="0"/>
            </w:tcBorders>
            <w:noWrap w:val="0"/>
            <w:vAlign w:val="center"/>
          </w:tcPr>
          <w:p w14:paraId="39B2C797">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1753D28">
            <w:pPr>
              <w:widowControl/>
              <w:rPr>
                <w:rFonts w:ascii="宋体" w:hAnsi="宋体" w:cs="楷体"/>
                <w:kern w:val="0"/>
                <w:szCs w:val="21"/>
                <w:highlight w:val="none"/>
              </w:rPr>
            </w:pPr>
            <w:r>
              <w:rPr>
                <w:rFonts w:hint="eastAsia" w:ascii="宋体" w:hAnsi="宋体" w:cs="楷体"/>
                <w:kern w:val="0"/>
                <w:szCs w:val="21"/>
                <w:highlight w:val="none"/>
              </w:rPr>
              <w:t>﹤12</w:t>
            </w:r>
          </w:p>
        </w:tc>
        <w:tc>
          <w:tcPr>
            <w:tcW w:w="855" w:type="dxa"/>
            <w:tcBorders>
              <w:top w:val="single" w:color="000000" w:sz="4" w:space="0"/>
              <w:left w:val="nil"/>
              <w:bottom w:val="single" w:color="000000" w:sz="4" w:space="0"/>
              <w:right w:val="single" w:color="000000" w:sz="4" w:space="0"/>
            </w:tcBorders>
            <w:noWrap w:val="0"/>
            <w:vAlign w:val="center"/>
          </w:tcPr>
          <w:p w14:paraId="1475B020">
            <w:pPr>
              <w:widowControl/>
              <w:jc w:val="center"/>
              <w:rPr>
                <w:rFonts w:ascii="宋体" w:hAnsi="宋体" w:cs="楷体"/>
                <w:kern w:val="0"/>
                <w:szCs w:val="21"/>
                <w:highlight w:val="none"/>
              </w:rPr>
            </w:pPr>
          </w:p>
        </w:tc>
      </w:tr>
      <w:tr w14:paraId="1F50E0BB">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977294E">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5" w:type="dxa"/>
            <w:tcBorders>
              <w:top w:val="single" w:color="000000" w:sz="4" w:space="0"/>
              <w:left w:val="nil"/>
              <w:bottom w:val="single" w:color="000000" w:sz="4" w:space="0"/>
              <w:right w:val="single" w:color="000000" w:sz="4" w:space="0"/>
            </w:tcBorders>
            <w:noWrap w:val="0"/>
            <w:vAlign w:val="center"/>
          </w:tcPr>
          <w:p w14:paraId="04E5FA67">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506FFFDB">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17C78BB4">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D433682">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1453A88B">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2518117F">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1825B89B">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3223F2AB">
            <w:pPr>
              <w:widowControl/>
              <w:jc w:val="center"/>
              <w:rPr>
                <w:rFonts w:ascii="宋体" w:hAnsi="宋体" w:cs="楷体"/>
                <w:kern w:val="0"/>
                <w:szCs w:val="21"/>
                <w:highlight w:val="none"/>
              </w:rPr>
            </w:pPr>
          </w:p>
        </w:tc>
      </w:tr>
      <w:tr w14:paraId="3CE208C5">
        <w:tblPrEx>
          <w:tblCellMar>
            <w:top w:w="0" w:type="dxa"/>
            <w:left w:w="108" w:type="dxa"/>
            <w:bottom w:w="0" w:type="dxa"/>
            <w:right w:w="108" w:type="dxa"/>
          </w:tblCellMar>
        </w:tblPrEx>
        <w:trPr>
          <w:trHeight w:val="89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2C25637">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378D372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5" w:type="dxa"/>
            <w:tcBorders>
              <w:top w:val="single" w:color="000000" w:sz="4" w:space="0"/>
              <w:left w:val="nil"/>
              <w:bottom w:val="single" w:color="000000" w:sz="4" w:space="0"/>
              <w:right w:val="single" w:color="000000" w:sz="4" w:space="0"/>
            </w:tcBorders>
            <w:noWrap w:val="0"/>
            <w:vAlign w:val="center"/>
          </w:tcPr>
          <w:p w14:paraId="5F67A7B2">
            <w:pPr>
              <w:widowControl/>
              <w:rPr>
                <w:rFonts w:ascii="宋体" w:hAnsi="宋体" w:cs="楷体"/>
                <w:kern w:val="0"/>
                <w:szCs w:val="21"/>
                <w:highlight w:val="none"/>
              </w:rPr>
            </w:pPr>
            <w:r>
              <w:rPr>
                <w:rFonts w:hint="eastAsia" w:ascii="宋体" w:hAnsi="宋体" w:cs="楷体"/>
                <w:kern w:val="0"/>
                <w:szCs w:val="21"/>
                <w:highlight w:val="none"/>
              </w:rPr>
              <w:t>≧9</w:t>
            </w:r>
          </w:p>
        </w:tc>
        <w:tc>
          <w:tcPr>
            <w:tcW w:w="870" w:type="dxa"/>
            <w:tcBorders>
              <w:top w:val="single" w:color="000000" w:sz="4" w:space="0"/>
              <w:left w:val="nil"/>
              <w:bottom w:val="single" w:color="000000" w:sz="4" w:space="0"/>
              <w:right w:val="single" w:color="000000" w:sz="4" w:space="0"/>
            </w:tcBorders>
            <w:noWrap w:val="0"/>
            <w:vAlign w:val="center"/>
          </w:tcPr>
          <w:p w14:paraId="10A46887">
            <w:pPr>
              <w:widowControl/>
              <w:jc w:val="center"/>
              <w:rPr>
                <w:rFonts w:ascii="宋体" w:hAnsi="宋体" w:cs="楷体"/>
                <w:kern w:val="0"/>
                <w:szCs w:val="21"/>
                <w:highlight w:val="none"/>
              </w:rPr>
            </w:pPr>
          </w:p>
        </w:tc>
        <w:tc>
          <w:tcPr>
            <w:tcW w:w="1139" w:type="dxa"/>
            <w:gridSpan w:val="2"/>
            <w:tcBorders>
              <w:top w:val="single" w:color="000000" w:sz="4" w:space="0"/>
              <w:left w:val="nil"/>
              <w:bottom w:val="single" w:color="000000" w:sz="4" w:space="0"/>
              <w:right w:val="single" w:color="000000" w:sz="4" w:space="0"/>
            </w:tcBorders>
            <w:noWrap w:val="0"/>
            <w:vAlign w:val="center"/>
          </w:tcPr>
          <w:p w14:paraId="3D392480">
            <w:pPr>
              <w:widowControl/>
              <w:rPr>
                <w:rFonts w:ascii="宋体" w:hAnsi="宋体" w:cs="楷体"/>
                <w:kern w:val="0"/>
                <w:szCs w:val="21"/>
                <w:highlight w:val="none"/>
              </w:rPr>
            </w:pPr>
            <w:r>
              <w:rPr>
                <w:rFonts w:hint="eastAsia" w:ascii="宋体" w:hAnsi="宋体" w:cs="楷体"/>
                <w:kern w:val="0"/>
                <w:szCs w:val="21"/>
                <w:highlight w:val="none"/>
              </w:rPr>
              <w:t>﹤9≧8</w:t>
            </w:r>
          </w:p>
        </w:tc>
        <w:tc>
          <w:tcPr>
            <w:tcW w:w="699" w:type="dxa"/>
            <w:tcBorders>
              <w:top w:val="single" w:color="000000" w:sz="4" w:space="0"/>
              <w:left w:val="nil"/>
              <w:bottom w:val="single" w:color="000000" w:sz="4" w:space="0"/>
              <w:right w:val="single" w:color="000000" w:sz="4" w:space="0"/>
            </w:tcBorders>
            <w:noWrap w:val="0"/>
            <w:vAlign w:val="center"/>
          </w:tcPr>
          <w:p w14:paraId="4629C549">
            <w:pPr>
              <w:widowControl/>
              <w:jc w:val="center"/>
              <w:rPr>
                <w:rFonts w:ascii="宋体" w:hAnsi="宋体" w:cs="楷体"/>
                <w:kern w:val="0"/>
                <w:szCs w:val="21"/>
                <w:highlight w:val="none"/>
              </w:rPr>
            </w:pPr>
          </w:p>
        </w:tc>
        <w:tc>
          <w:tcPr>
            <w:tcW w:w="1196" w:type="dxa"/>
            <w:gridSpan w:val="2"/>
            <w:tcBorders>
              <w:top w:val="single" w:color="000000" w:sz="4" w:space="0"/>
              <w:left w:val="nil"/>
              <w:bottom w:val="single" w:color="000000" w:sz="4" w:space="0"/>
              <w:right w:val="single" w:color="000000" w:sz="4" w:space="0"/>
            </w:tcBorders>
            <w:noWrap w:val="0"/>
            <w:vAlign w:val="center"/>
          </w:tcPr>
          <w:p w14:paraId="58B50D50">
            <w:pPr>
              <w:widowControl/>
              <w:rPr>
                <w:rFonts w:ascii="宋体" w:hAnsi="宋体" w:cs="楷体"/>
                <w:kern w:val="0"/>
                <w:szCs w:val="21"/>
                <w:highlight w:val="none"/>
              </w:rPr>
            </w:pPr>
            <w:r>
              <w:rPr>
                <w:rFonts w:hint="eastAsia" w:ascii="宋体" w:hAnsi="宋体" w:cs="楷体"/>
                <w:kern w:val="0"/>
                <w:szCs w:val="21"/>
                <w:highlight w:val="none"/>
              </w:rPr>
              <w:t>﹤8≧6</w:t>
            </w:r>
          </w:p>
        </w:tc>
        <w:tc>
          <w:tcPr>
            <w:tcW w:w="951" w:type="dxa"/>
            <w:tcBorders>
              <w:top w:val="single" w:color="000000" w:sz="4" w:space="0"/>
              <w:left w:val="nil"/>
              <w:bottom w:val="single" w:color="000000" w:sz="4" w:space="0"/>
              <w:right w:val="single" w:color="000000" w:sz="4" w:space="0"/>
            </w:tcBorders>
            <w:noWrap w:val="0"/>
            <w:vAlign w:val="center"/>
          </w:tcPr>
          <w:p w14:paraId="55A9EE24">
            <w:pPr>
              <w:widowControl/>
              <w:jc w:val="center"/>
              <w:rPr>
                <w:rFonts w:ascii="宋体" w:hAnsi="宋体" w:cs="楷体"/>
                <w:kern w:val="0"/>
                <w:szCs w:val="21"/>
                <w:highlight w:val="none"/>
              </w:rPr>
            </w:pPr>
          </w:p>
        </w:tc>
        <w:tc>
          <w:tcPr>
            <w:tcW w:w="851" w:type="dxa"/>
            <w:gridSpan w:val="2"/>
            <w:tcBorders>
              <w:top w:val="single" w:color="000000" w:sz="4" w:space="0"/>
              <w:left w:val="nil"/>
              <w:bottom w:val="single" w:color="000000" w:sz="4" w:space="0"/>
              <w:right w:val="single" w:color="000000" w:sz="4" w:space="0"/>
            </w:tcBorders>
            <w:noWrap w:val="0"/>
            <w:vAlign w:val="center"/>
          </w:tcPr>
          <w:p w14:paraId="2DDA8682">
            <w:pPr>
              <w:widowControl/>
              <w:rPr>
                <w:rFonts w:ascii="宋体" w:hAnsi="宋体" w:cs="楷体"/>
                <w:kern w:val="0"/>
                <w:szCs w:val="21"/>
                <w:highlight w:val="none"/>
              </w:rPr>
            </w:pPr>
            <w:r>
              <w:rPr>
                <w:rFonts w:hint="eastAsia" w:ascii="宋体" w:hAnsi="宋体" w:cs="楷体"/>
                <w:kern w:val="0"/>
                <w:szCs w:val="21"/>
                <w:highlight w:val="none"/>
              </w:rPr>
              <w:t>﹤6</w:t>
            </w:r>
          </w:p>
        </w:tc>
        <w:tc>
          <w:tcPr>
            <w:tcW w:w="855" w:type="dxa"/>
            <w:tcBorders>
              <w:top w:val="single" w:color="000000" w:sz="4" w:space="0"/>
              <w:left w:val="nil"/>
              <w:bottom w:val="single" w:color="000000" w:sz="4" w:space="0"/>
              <w:right w:val="single" w:color="000000" w:sz="4" w:space="0"/>
            </w:tcBorders>
            <w:noWrap w:val="0"/>
            <w:vAlign w:val="center"/>
          </w:tcPr>
          <w:p w14:paraId="0B091366">
            <w:pPr>
              <w:widowControl/>
              <w:jc w:val="center"/>
              <w:rPr>
                <w:rFonts w:ascii="宋体" w:hAnsi="宋体" w:cs="楷体"/>
                <w:kern w:val="0"/>
                <w:szCs w:val="21"/>
                <w:highlight w:val="none"/>
              </w:rPr>
            </w:pPr>
          </w:p>
        </w:tc>
      </w:tr>
      <w:tr w14:paraId="0119CB80">
        <w:tblPrEx>
          <w:tblCellMar>
            <w:top w:w="0" w:type="dxa"/>
            <w:left w:w="108" w:type="dxa"/>
            <w:bottom w:w="0" w:type="dxa"/>
            <w:right w:w="108" w:type="dxa"/>
          </w:tblCellMar>
        </w:tblPrEx>
        <w:trPr>
          <w:trHeight w:val="547" w:hRule="atLeast"/>
          <w:jc w:val="center"/>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370B0B0">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96" w:type="dxa"/>
            <w:gridSpan w:val="11"/>
            <w:tcBorders>
              <w:top w:val="single" w:color="000000" w:sz="4" w:space="0"/>
              <w:left w:val="nil"/>
              <w:bottom w:val="single" w:color="000000" w:sz="4" w:space="0"/>
              <w:right w:val="single" w:color="000000" w:sz="4" w:space="0"/>
            </w:tcBorders>
            <w:noWrap w:val="0"/>
            <w:vAlign w:val="center"/>
          </w:tcPr>
          <w:p w14:paraId="78384879">
            <w:pPr>
              <w:widowControl/>
              <w:jc w:val="center"/>
              <w:rPr>
                <w:rFonts w:ascii="宋体" w:hAnsi="宋体" w:cs="楷体"/>
                <w:kern w:val="0"/>
                <w:szCs w:val="21"/>
                <w:highlight w:val="none"/>
              </w:rPr>
            </w:pPr>
          </w:p>
        </w:tc>
      </w:tr>
      <w:tr w14:paraId="1F8D4B6D">
        <w:tblPrEx>
          <w:tblCellMar>
            <w:top w:w="0" w:type="dxa"/>
            <w:left w:w="108" w:type="dxa"/>
            <w:bottom w:w="0" w:type="dxa"/>
            <w:right w:w="108" w:type="dxa"/>
          </w:tblCellMar>
        </w:tblPrEx>
        <w:trPr>
          <w:trHeight w:val="1783"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55175E65">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1F28CB51">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16529CC">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5268B73B">
        <w:tblPrEx>
          <w:tblCellMar>
            <w:top w:w="0" w:type="dxa"/>
            <w:left w:w="108" w:type="dxa"/>
            <w:bottom w:w="0" w:type="dxa"/>
            <w:right w:w="108" w:type="dxa"/>
          </w:tblCellMar>
        </w:tblPrEx>
        <w:trPr>
          <w:trHeight w:val="1129" w:hRule="atLeast"/>
          <w:jc w:val="center"/>
        </w:trPr>
        <w:tc>
          <w:tcPr>
            <w:tcW w:w="9337" w:type="dxa"/>
            <w:gridSpan w:val="12"/>
            <w:tcBorders>
              <w:top w:val="single" w:color="000000" w:sz="4" w:space="0"/>
              <w:left w:val="single" w:color="000000" w:sz="4" w:space="0"/>
              <w:bottom w:val="single" w:color="000000" w:sz="4" w:space="0"/>
              <w:right w:val="single" w:color="000000" w:sz="4" w:space="0"/>
            </w:tcBorders>
            <w:noWrap w:val="0"/>
            <w:vAlign w:val="top"/>
          </w:tcPr>
          <w:p w14:paraId="0F3B174C">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B07BB25">
      <w:pPr>
        <w:snapToGrid w:val="0"/>
        <w:spacing w:before="156" w:beforeLines="50" w:after="50"/>
        <w:rPr>
          <w:rFonts w:hint="default" w:ascii="宋体" w:hAnsi="宋体" w:eastAsia="宋体"/>
          <w:sz w:val="24"/>
          <w:highlight w:val="none"/>
          <w:lang w:val="en-US" w:eastAsia="zh-CN"/>
        </w:rPr>
      </w:pPr>
      <w:r>
        <w:rPr>
          <w:rFonts w:hint="eastAsia" w:ascii="宋体" w:hAnsi="宋体"/>
          <w:sz w:val="24"/>
          <w:highlight w:val="none"/>
          <w:lang w:val="en-US" w:eastAsia="zh-CN"/>
        </w:rPr>
        <w:t>注：本职工疗休养满意度测评表为暂定表格，采购人有权对该表格进行修改，中标人不得拒绝。</w:t>
      </w:r>
    </w:p>
    <w:p w14:paraId="1817A12A">
      <w:pPr>
        <w:pStyle w:val="27"/>
        <w:spacing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03098489">
      <w:pPr>
        <w:keepNext w:val="0"/>
        <w:keepLines w:val="0"/>
        <w:widowControl/>
        <w:suppressLineNumbers w:val="0"/>
        <w:shd w:val="clear"/>
        <w:ind w:firstLine="720" w:firstLineChars="200"/>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第三部分 投标人须知</w:t>
      </w:r>
      <w:bookmarkEnd w:id="1"/>
    </w:p>
    <w:p w14:paraId="31CAE472">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bookmarkStart w:id="4" w:name="_Toc331502478"/>
      <w:r>
        <w:rPr>
          <w:rFonts w:hint="eastAsia" w:asciiTheme="minorEastAsia" w:hAnsiTheme="minorEastAsia" w:eastAsiaTheme="minorEastAsia" w:cstheme="minorEastAsia"/>
          <w:b/>
          <w:bCs/>
          <w:color w:val="auto"/>
          <w:kern w:val="2"/>
          <w:sz w:val="32"/>
          <w:szCs w:val="32"/>
          <w:highlight w:val="none"/>
        </w:rPr>
        <w:t>前附表</w:t>
      </w:r>
      <w:bookmarkEnd w:id="4"/>
    </w:p>
    <w:tbl>
      <w:tblPr>
        <w:tblStyle w:val="76"/>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538CB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bottom w:val="single" w:color="auto" w:sz="4" w:space="0"/>
              <w:right w:val="single" w:color="auto" w:sz="4" w:space="0"/>
            </w:tcBorders>
            <w:vAlign w:val="center"/>
          </w:tcPr>
          <w:p w14:paraId="79E5BA0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bookmarkStart w:id="5" w:name="_Hlt74730295"/>
            <w:bookmarkEnd w:id="5"/>
            <w:bookmarkStart w:id="6" w:name="_Hlt74714665"/>
            <w:bookmarkEnd w:id="6"/>
            <w:bookmarkStart w:id="7" w:name="_Toc331502480"/>
            <w:bookmarkStart w:id="8" w:name="_Toc91899872"/>
            <w:bookmarkStart w:id="9" w:name="_Hlt74730208"/>
            <w:bookmarkStart w:id="10" w:name="_Hlt74730112"/>
            <w:r>
              <w:rPr>
                <w:rFonts w:hint="eastAsia" w:asciiTheme="minorEastAsia" w:hAnsiTheme="minorEastAsia" w:eastAsiaTheme="minorEastAsia" w:cstheme="minorEastAsia"/>
                <w:color w:val="auto"/>
                <w:sz w:val="21"/>
                <w:szCs w:val="21"/>
                <w:highlight w:val="none"/>
              </w:rPr>
              <w:t>序号</w:t>
            </w:r>
          </w:p>
        </w:tc>
        <w:tc>
          <w:tcPr>
            <w:tcW w:w="8371" w:type="dxa"/>
            <w:tcBorders>
              <w:top w:val="single" w:color="auto" w:sz="4" w:space="0"/>
              <w:left w:val="single" w:color="auto" w:sz="4" w:space="0"/>
              <w:bottom w:val="single" w:color="auto" w:sz="4" w:space="0"/>
            </w:tcBorders>
            <w:vAlign w:val="center"/>
          </w:tcPr>
          <w:p w14:paraId="1566F2E6">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14:paraId="64472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bottom w:val="single" w:color="auto" w:sz="4" w:space="0"/>
              <w:right w:val="single" w:color="auto" w:sz="4" w:space="0"/>
            </w:tcBorders>
            <w:vAlign w:val="center"/>
          </w:tcPr>
          <w:p w14:paraId="3AD1C64D">
            <w:pPr>
              <w:shd w:val="clea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71" w:type="dxa"/>
            <w:tcBorders>
              <w:top w:val="single" w:color="auto" w:sz="4" w:space="0"/>
              <w:left w:val="single" w:color="auto" w:sz="4" w:space="0"/>
              <w:bottom w:val="single" w:color="auto" w:sz="4" w:space="0"/>
            </w:tcBorders>
            <w:vAlign w:val="center"/>
          </w:tcPr>
          <w:p w14:paraId="39CA4F4C">
            <w:pPr>
              <w:shd w:val="clea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：台州市路桥区第二人民医疗服务共同体工会委员会疗休养服务(含金清分院)</w:t>
            </w:r>
          </w:p>
        </w:tc>
      </w:tr>
      <w:tr w14:paraId="31532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69" w:type="dxa"/>
            <w:tcBorders>
              <w:top w:val="single" w:color="auto" w:sz="4" w:space="0"/>
              <w:bottom w:val="single" w:color="auto" w:sz="4" w:space="0"/>
              <w:right w:val="single" w:color="auto" w:sz="4" w:space="0"/>
            </w:tcBorders>
            <w:vAlign w:val="center"/>
          </w:tcPr>
          <w:p w14:paraId="52B026D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8371" w:type="dxa"/>
            <w:tcBorders>
              <w:top w:val="single" w:color="auto" w:sz="4" w:space="0"/>
              <w:left w:val="single" w:color="auto" w:sz="4" w:space="0"/>
              <w:bottom w:val="single" w:color="auto" w:sz="4" w:space="0"/>
            </w:tcBorders>
            <w:vAlign w:val="center"/>
          </w:tcPr>
          <w:p w14:paraId="505E540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采购数量及被供应的主体单位：</w:t>
            </w:r>
            <w:r>
              <w:rPr>
                <w:rFonts w:hint="eastAsia" w:asciiTheme="minorEastAsia" w:hAnsiTheme="minorEastAsia" w:eastAsiaTheme="minorEastAsia" w:cstheme="minorEastAsia"/>
                <w:color w:val="auto"/>
                <w:kern w:val="0"/>
                <w:sz w:val="21"/>
                <w:szCs w:val="21"/>
                <w:highlight w:val="none"/>
              </w:rPr>
              <w:t>详见</w:t>
            </w:r>
            <w:r>
              <w:rPr>
                <w:rFonts w:hint="eastAsia" w:asciiTheme="minorEastAsia" w:hAnsiTheme="minorEastAsia" w:eastAsiaTheme="minorEastAsia" w:cstheme="minorEastAsia"/>
                <w:color w:val="auto"/>
                <w:kern w:val="0"/>
                <w:sz w:val="21"/>
                <w:szCs w:val="21"/>
                <w:highlight w:val="none"/>
                <w:lang w:eastAsia="zh-CN"/>
              </w:rPr>
              <w:t>项目需求</w:t>
            </w:r>
          </w:p>
        </w:tc>
      </w:tr>
      <w:tr w14:paraId="4CA0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bottom w:val="single" w:color="auto" w:sz="4" w:space="0"/>
              <w:right w:val="single" w:color="auto" w:sz="4" w:space="0"/>
            </w:tcBorders>
            <w:vAlign w:val="center"/>
          </w:tcPr>
          <w:p w14:paraId="16835BE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8371" w:type="dxa"/>
            <w:tcBorders>
              <w:top w:val="single" w:color="auto" w:sz="4" w:space="0"/>
              <w:left w:val="single" w:color="auto" w:sz="4" w:space="0"/>
              <w:bottom w:val="single" w:color="auto" w:sz="4" w:space="0"/>
            </w:tcBorders>
            <w:vAlign w:val="center"/>
          </w:tcPr>
          <w:p w14:paraId="669CD64C">
            <w:pPr>
              <w:keepNext w:val="0"/>
              <w:keepLines w:val="0"/>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投标报价要求及费用：</w:t>
            </w:r>
          </w:p>
          <w:p w14:paraId="3E501DC2">
            <w:pPr>
              <w:keepNext w:val="0"/>
              <w:keepLines w:val="0"/>
              <w:suppressLineNumbers w:val="0"/>
              <w:shd w:val="clear"/>
              <w:snapToGrid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1、本项目投标应以</w:t>
            </w:r>
            <w:r>
              <w:rPr>
                <w:rFonts w:hint="eastAsia" w:asciiTheme="minorEastAsia" w:hAnsiTheme="minorEastAsia" w:eastAsiaTheme="minorEastAsia" w:cstheme="minorEastAsia"/>
                <w:color w:val="auto"/>
                <w:sz w:val="21"/>
                <w:szCs w:val="21"/>
                <w:highlight w:val="none"/>
                <w:lang w:val="en-US" w:eastAsia="zh-CN"/>
              </w:rPr>
              <w:t>折扣率报价</w:t>
            </w:r>
            <w:r>
              <w:rPr>
                <w:rFonts w:hint="eastAsia" w:asciiTheme="minorEastAsia" w:hAnsiTheme="minorEastAsia" w:eastAsiaTheme="minorEastAsia" w:cstheme="minorEastAsia"/>
                <w:color w:val="auto"/>
                <w:sz w:val="21"/>
                <w:szCs w:val="21"/>
                <w:highlight w:val="none"/>
              </w:rPr>
              <w:t>。</w:t>
            </w:r>
          </w:p>
          <w:p w14:paraId="426352A9">
            <w:pPr>
              <w:pStyle w:val="26"/>
              <w:shd w:val="clea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2、详细报价要求详见</w:t>
            </w:r>
            <w:r>
              <w:rPr>
                <w:rFonts w:hint="eastAsia" w:asciiTheme="minorEastAsia" w:hAnsiTheme="minorEastAsia" w:eastAsiaTheme="minorEastAsia" w:cstheme="minorEastAsia"/>
                <w:color w:val="auto"/>
                <w:sz w:val="21"/>
                <w:szCs w:val="21"/>
                <w:highlight w:val="none"/>
                <w:lang w:eastAsia="zh-CN"/>
              </w:rPr>
              <w:t>项目需求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未按要求报价</w:t>
            </w:r>
            <w:r>
              <w:rPr>
                <w:rFonts w:hint="eastAsia" w:asciiTheme="minorEastAsia" w:hAnsiTheme="minorEastAsia" w:eastAsiaTheme="minorEastAsia" w:cstheme="minorEastAsia"/>
                <w:color w:val="auto"/>
                <w:sz w:val="21"/>
                <w:szCs w:val="21"/>
                <w:highlight w:val="none"/>
              </w:rPr>
              <w:t>的，按无效标处理；</w:t>
            </w:r>
          </w:p>
          <w:p w14:paraId="108DE03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3、不论投标结果如何，投标人均应自行承担所有与投标有关的全部费用。</w:t>
            </w:r>
          </w:p>
        </w:tc>
      </w:tr>
      <w:tr w14:paraId="0820A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9" w:type="dxa"/>
            <w:tcBorders>
              <w:top w:val="single" w:color="auto" w:sz="4" w:space="0"/>
              <w:bottom w:val="single" w:color="auto" w:sz="4" w:space="0"/>
              <w:right w:val="single" w:color="auto" w:sz="4" w:space="0"/>
            </w:tcBorders>
            <w:vAlign w:val="center"/>
          </w:tcPr>
          <w:p w14:paraId="75ACBE0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8371" w:type="dxa"/>
            <w:tcBorders>
              <w:top w:val="single" w:color="auto" w:sz="4" w:space="0"/>
              <w:left w:val="single" w:color="auto" w:sz="4" w:space="0"/>
              <w:bottom w:val="single" w:color="auto" w:sz="4" w:space="0"/>
            </w:tcBorders>
            <w:vAlign w:val="center"/>
          </w:tcPr>
          <w:p w14:paraId="1698D14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lang w:eastAsia="zh-CN"/>
              </w:rPr>
              <w:t>。</w:t>
            </w:r>
          </w:p>
        </w:tc>
      </w:tr>
      <w:tr w14:paraId="44D4D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bottom w:val="single" w:color="auto" w:sz="4" w:space="0"/>
              <w:right w:val="single" w:color="auto" w:sz="4" w:space="0"/>
            </w:tcBorders>
            <w:vAlign w:val="center"/>
          </w:tcPr>
          <w:p w14:paraId="06966AF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8371" w:type="dxa"/>
            <w:tcBorders>
              <w:top w:val="single" w:color="auto" w:sz="4" w:space="0"/>
              <w:left w:val="single" w:color="auto" w:sz="4" w:space="0"/>
              <w:bottom w:val="single" w:color="auto" w:sz="4" w:space="0"/>
            </w:tcBorders>
            <w:vAlign w:val="center"/>
          </w:tcPr>
          <w:p w14:paraId="2CE4DD45">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答疑会或现场踏勘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本项目不组织答疑会或现场踏勘，如投标人认为有必要可自行前往现场踏勘。</w:t>
            </w:r>
          </w:p>
        </w:tc>
      </w:tr>
      <w:tr w14:paraId="080DB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69" w:type="dxa"/>
            <w:tcBorders>
              <w:top w:val="single" w:color="auto" w:sz="4" w:space="0"/>
              <w:bottom w:val="single" w:color="auto" w:sz="4" w:space="0"/>
              <w:right w:val="single" w:color="auto" w:sz="4" w:space="0"/>
            </w:tcBorders>
            <w:shd w:val="clear" w:color="auto" w:fill="auto"/>
            <w:vAlign w:val="center"/>
          </w:tcPr>
          <w:p w14:paraId="716BBCA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8371" w:type="dxa"/>
            <w:tcBorders>
              <w:top w:val="single" w:color="auto" w:sz="4" w:space="0"/>
              <w:left w:val="single" w:color="auto" w:sz="4" w:space="0"/>
              <w:bottom w:val="single" w:color="auto" w:sz="4" w:space="0"/>
            </w:tcBorders>
            <w:shd w:val="clear" w:color="auto" w:fill="auto"/>
            <w:vAlign w:val="center"/>
          </w:tcPr>
          <w:p w14:paraId="5C9ACB81">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演示时间及地点：</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tc>
      </w:tr>
      <w:tr w14:paraId="417B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9" w:type="dxa"/>
            <w:tcBorders>
              <w:top w:val="single" w:color="auto" w:sz="4" w:space="0"/>
              <w:bottom w:val="single" w:color="auto" w:sz="4" w:space="0"/>
              <w:right w:val="single" w:color="auto" w:sz="4" w:space="0"/>
            </w:tcBorders>
            <w:vAlign w:val="center"/>
          </w:tcPr>
          <w:p w14:paraId="0EDA37B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8371" w:type="dxa"/>
            <w:tcBorders>
              <w:top w:val="single" w:color="auto" w:sz="4" w:space="0"/>
              <w:left w:val="single" w:color="auto" w:sz="4" w:space="0"/>
              <w:bottom w:val="single" w:color="auto" w:sz="4" w:space="0"/>
            </w:tcBorders>
            <w:vAlign w:val="center"/>
          </w:tcPr>
          <w:p w14:paraId="6312FFE4">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答疑与澄清：</w:t>
            </w:r>
            <w:r>
              <w:rPr>
                <w:rFonts w:hint="eastAsia" w:asciiTheme="minorEastAsia" w:hAnsiTheme="minorEastAsia" w:eastAsiaTheme="minorEastAsia" w:cstheme="minorEastAsia"/>
                <w:color w:val="auto"/>
                <w:sz w:val="21"/>
                <w:szCs w:val="21"/>
                <w:highlight w:val="none"/>
                <w:lang w:val="en-US" w:eastAsia="zh-CN"/>
              </w:rPr>
              <w:t>详见招标公告</w:t>
            </w:r>
            <w:r>
              <w:rPr>
                <w:rFonts w:hint="eastAsia" w:asciiTheme="minorEastAsia" w:hAnsiTheme="minorEastAsia" w:eastAsiaTheme="minorEastAsia" w:cstheme="minorEastAsia"/>
                <w:color w:val="auto"/>
                <w:sz w:val="21"/>
                <w:szCs w:val="21"/>
                <w:highlight w:val="none"/>
              </w:rPr>
              <w:t>。</w:t>
            </w:r>
          </w:p>
        </w:tc>
      </w:tr>
      <w:tr w14:paraId="5C02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69" w:type="dxa"/>
            <w:tcBorders>
              <w:top w:val="single" w:color="auto" w:sz="4" w:space="0"/>
              <w:bottom w:val="single" w:color="auto" w:sz="4" w:space="0"/>
              <w:right w:val="single" w:color="auto" w:sz="4" w:space="0"/>
            </w:tcBorders>
            <w:vAlign w:val="center"/>
          </w:tcPr>
          <w:p w14:paraId="10E043B6">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8371" w:type="dxa"/>
            <w:tcBorders>
              <w:top w:val="single" w:color="auto" w:sz="4" w:space="0"/>
              <w:left w:val="single" w:color="auto" w:sz="4" w:space="0"/>
              <w:bottom w:val="single" w:color="auto" w:sz="4" w:space="0"/>
            </w:tcBorders>
            <w:vAlign w:val="center"/>
          </w:tcPr>
          <w:p w14:paraId="38DBE17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本项目实行电子投标，供应商应准备电子投标文件、备份投标文件（电子备份投标文件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其中备份投标文件为自愿提供，非实质性要求，因电子投标文件无法读取的后果由投标人自行承担）：</w:t>
            </w:r>
          </w:p>
          <w:p w14:paraId="16DA860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1、电子投标文件：</w:t>
            </w:r>
            <w:r>
              <w:rPr>
                <w:rFonts w:hint="eastAsia" w:asciiTheme="minorEastAsia" w:hAnsiTheme="minorEastAsia" w:eastAsiaTheme="minorEastAsia" w:cstheme="minorEastAsia"/>
                <w:color w:val="auto"/>
                <w:sz w:val="21"/>
                <w:szCs w:val="21"/>
                <w:highlight w:val="none"/>
                <w:lang w:val="zh-CN"/>
              </w:rPr>
              <w:t>按政府采购云平台供应商项目采购</w:t>
            </w:r>
            <w:r>
              <w:rPr>
                <w:rFonts w:hint="eastAsia" w:asciiTheme="minorEastAsia" w:hAnsiTheme="minorEastAsia" w:eastAsiaTheme="minorEastAsia" w:cstheme="minorEastAsia"/>
                <w:color w:val="auto"/>
                <w:sz w:val="21"/>
                <w:szCs w:val="21"/>
                <w:highlight w:val="none"/>
              </w:rPr>
              <w:t>--电子招投标操作指南（</w:t>
            </w:r>
            <w:r>
              <w:rPr>
                <w:rFonts w:hint="eastAsia" w:asciiTheme="minorEastAsia" w:hAnsiTheme="minorEastAsia" w:eastAsiaTheme="minorEastAsia" w:cstheme="minorEastAsia"/>
                <w:color w:val="auto"/>
                <w:sz w:val="21"/>
                <w:szCs w:val="21"/>
                <w:highlight w:val="none"/>
                <w:lang w:val="zh-CN"/>
              </w:rPr>
              <w:t>网址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"https://help.zcy.gov.cn/web/site_2/2018/12-28/2573.html）及本采购文件要求制作"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eastAsia="zh-CN"/>
              </w:rPr>
              <w:t>https://service.zcygov.cn/#/help/superior</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及本项目招标文件要求编制</w:t>
            </w:r>
            <w:r>
              <w:rPr>
                <w:rFonts w:hint="eastAsia" w:asciiTheme="minorEastAsia" w:hAnsiTheme="minorEastAsia" w:eastAsiaTheme="minorEastAsia" w:cstheme="minorEastAsia"/>
                <w:color w:val="auto"/>
                <w:sz w:val="21"/>
                <w:szCs w:val="21"/>
                <w:highlight w:val="none"/>
                <w:lang w:val="zh-CN"/>
              </w:rPr>
              <w:t>、加密并递交</w:t>
            </w:r>
            <w:r>
              <w:rPr>
                <w:rFonts w:hint="eastAsia" w:asciiTheme="minorEastAsia" w:hAnsiTheme="minorEastAsia" w:eastAsiaTheme="minorEastAsia" w:cstheme="minorEastAsia"/>
                <w:color w:val="auto"/>
                <w:sz w:val="21"/>
                <w:szCs w:val="21"/>
                <w:highlight w:val="none"/>
              </w:rPr>
              <w:t>。</w:t>
            </w:r>
          </w:p>
          <w:p w14:paraId="5160076C">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备份投标文件：电子备份投标文件。电子备份投标文件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color w:val="auto"/>
                <w:sz w:val="21"/>
                <w:szCs w:val="21"/>
                <w:highlight w:val="none"/>
                <w:lang w:eastAsia="zh-CN"/>
              </w:rPr>
              <w:t>1391370120</w:t>
            </w:r>
            <w:r>
              <w:rPr>
                <w:rFonts w:hint="eastAsia" w:asciiTheme="minorEastAsia" w:hAnsiTheme="minorEastAsia" w:eastAsiaTheme="minorEastAsia" w:cstheme="minorEastAsia"/>
                <w:color w:val="auto"/>
                <w:sz w:val="21"/>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tc>
      </w:tr>
      <w:tr w14:paraId="0D7C7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69" w:type="dxa"/>
            <w:tcBorders>
              <w:top w:val="single" w:color="auto" w:sz="4" w:space="0"/>
              <w:bottom w:val="single" w:color="auto" w:sz="4" w:space="0"/>
              <w:right w:val="single" w:color="auto" w:sz="4" w:space="0"/>
            </w:tcBorders>
            <w:vAlign w:val="center"/>
          </w:tcPr>
          <w:p w14:paraId="05CDECA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8371" w:type="dxa"/>
            <w:tcBorders>
              <w:top w:val="single" w:color="auto" w:sz="4" w:space="0"/>
              <w:left w:val="single" w:color="auto" w:sz="4" w:space="0"/>
              <w:bottom w:val="single" w:color="auto" w:sz="4" w:space="0"/>
            </w:tcBorders>
            <w:vAlign w:val="center"/>
          </w:tcPr>
          <w:p w14:paraId="76675732">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投标截止时间：详见招标公告</w:t>
            </w:r>
          </w:p>
          <w:p w14:paraId="29C5BC76">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投标文件递交方式：通过“政府采购云平台（www.zcygov.cn）”实行在线投标响应。</w:t>
            </w:r>
          </w:p>
        </w:tc>
      </w:tr>
      <w:tr w14:paraId="07B5B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C98CEF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8371" w:type="dxa"/>
            <w:tcBorders>
              <w:top w:val="single" w:color="auto" w:sz="4" w:space="0"/>
              <w:left w:val="single" w:color="auto" w:sz="4" w:space="0"/>
              <w:bottom w:val="single" w:color="auto" w:sz="4" w:space="0"/>
            </w:tcBorders>
            <w:vAlign w:val="center"/>
          </w:tcPr>
          <w:p w14:paraId="1170F8C3">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及</w:t>
            </w:r>
            <w:r>
              <w:rPr>
                <w:rFonts w:hint="eastAsia" w:asciiTheme="minorEastAsia" w:hAnsiTheme="minorEastAsia" w:eastAsiaTheme="minorEastAsia" w:cstheme="minorEastAsia"/>
                <w:color w:val="auto"/>
                <w:sz w:val="21"/>
                <w:szCs w:val="21"/>
                <w:highlight w:val="none"/>
              </w:rPr>
              <w:t>开标地点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详见招标公告</w:t>
            </w:r>
          </w:p>
        </w:tc>
      </w:tr>
      <w:tr w14:paraId="6B33B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69" w:type="dxa"/>
            <w:tcBorders>
              <w:top w:val="single" w:color="auto" w:sz="4" w:space="0"/>
              <w:bottom w:val="single" w:color="auto" w:sz="4" w:space="0"/>
              <w:right w:val="single" w:color="auto" w:sz="4" w:space="0"/>
            </w:tcBorders>
            <w:vAlign w:val="center"/>
          </w:tcPr>
          <w:p w14:paraId="0DD9E6D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8371" w:type="dxa"/>
            <w:tcBorders>
              <w:top w:val="single" w:color="auto" w:sz="4" w:space="0"/>
              <w:left w:val="single" w:color="auto" w:sz="4" w:space="0"/>
              <w:bottom w:val="single" w:color="auto" w:sz="4" w:space="0"/>
            </w:tcBorders>
            <w:vAlign w:val="center"/>
          </w:tcPr>
          <w:p w14:paraId="1BE7F15C">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评标办法：综合评估法。</w:t>
            </w:r>
          </w:p>
        </w:tc>
      </w:tr>
      <w:tr w14:paraId="7635C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69" w:type="dxa"/>
            <w:tcBorders>
              <w:top w:val="single" w:color="auto" w:sz="4" w:space="0"/>
              <w:bottom w:val="single" w:color="auto" w:sz="4" w:space="0"/>
              <w:right w:val="single" w:color="auto" w:sz="4" w:space="0"/>
            </w:tcBorders>
            <w:vAlign w:val="center"/>
          </w:tcPr>
          <w:p w14:paraId="7FC017D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8371" w:type="dxa"/>
            <w:tcBorders>
              <w:top w:val="single" w:color="auto" w:sz="4" w:space="0"/>
              <w:left w:val="single" w:color="auto" w:sz="4" w:space="0"/>
              <w:bottom w:val="single" w:color="auto" w:sz="4" w:space="0"/>
            </w:tcBorders>
            <w:vAlign w:val="center"/>
          </w:tcPr>
          <w:p w14:paraId="39D71C26">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评标结果公示：评标结束后，评标结果公示于浙江省政府采购网(https://zfcg.czt.zj.gov.cn/)等网站。</w:t>
            </w:r>
          </w:p>
        </w:tc>
      </w:tr>
      <w:tr w14:paraId="63A2B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69" w:type="dxa"/>
            <w:tcBorders>
              <w:top w:val="single" w:color="auto" w:sz="4" w:space="0"/>
              <w:bottom w:val="single" w:color="auto" w:sz="4" w:space="0"/>
              <w:right w:val="single" w:color="auto" w:sz="4" w:space="0"/>
            </w:tcBorders>
            <w:vAlign w:val="center"/>
          </w:tcPr>
          <w:p w14:paraId="71B126F5">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8371" w:type="dxa"/>
            <w:tcBorders>
              <w:top w:val="single" w:color="auto" w:sz="4" w:space="0"/>
              <w:left w:val="single" w:color="auto" w:sz="4" w:space="0"/>
              <w:bottom w:val="single" w:color="auto" w:sz="4" w:space="0"/>
            </w:tcBorders>
            <w:vAlign w:val="center"/>
          </w:tcPr>
          <w:p w14:paraId="1C1D1B51">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中标公告及中标通知书：评标结束后，中标公告发布于上述媒体；</w:t>
            </w:r>
          </w:p>
        </w:tc>
      </w:tr>
      <w:tr w14:paraId="76CAA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69" w:type="dxa"/>
            <w:tcBorders>
              <w:top w:val="single" w:color="auto" w:sz="4" w:space="0"/>
              <w:bottom w:val="single" w:color="auto" w:sz="4" w:space="0"/>
              <w:right w:val="single" w:color="auto" w:sz="4" w:space="0"/>
            </w:tcBorders>
            <w:vAlign w:val="center"/>
          </w:tcPr>
          <w:p w14:paraId="3BB03143">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8371" w:type="dxa"/>
            <w:tcBorders>
              <w:top w:val="single" w:color="auto" w:sz="4" w:space="0"/>
              <w:left w:val="single" w:color="auto" w:sz="4" w:space="0"/>
              <w:bottom w:val="single" w:color="auto" w:sz="4" w:space="0"/>
            </w:tcBorders>
            <w:vAlign w:val="center"/>
          </w:tcPr>
          <w:p w14:paraId="26569703">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签订合同时间：中标通知书发出后30日内。</w:t>
            </w:r>
          </w:p>
        </w:tc>
      </w:tr>
      <w:tr w14:paraId="7B399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69" w:type="dxa"/>
            <w:tcBorders>
              <w:top w:val="single" w:color="auto" w:sz="4" w:space="0"/>
              <w:bottom w:val="single" w:color="auto" w:sz="4" w:space="0"/>
              <w:right w:val="single" w:color="auto" w:sz="4" w:space="0"/>
            </w:tcBorders>
            <w:vAlign w:val="center"/>
          </w:tcPr>
          <w:p w14:paraId="347568BE">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8371" w:type="dxa"/>
            <w:tcBorders>
              <w:top w:val="single" w:color="auto" w:sz="4" w:space="0"/>
              <w:left w:val="single" w:color="auto" w:sz="4" w:space="0"/>
              <w:bottom w:val="single" w:color="auto" w:sz="4" w:space="0"/>
            </w:tcBorders>
            <w:vAlign w:val="center"/>
          </w:tcPr>
          <w:p w14:paraId="33DDC151">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履约保证金的收取:履约保证金按合同总金额的</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%计收。提交形式为</w:t>
            </w:r>
            <w:r>
              <w:rPr>
                <w:rFonts w:hint="eastAsia" w:asciiTheme="minorEastAsia" w:hAnsiTheme="minorEastAsia" w:eastAsiaTheme="minorEastAsia" w:cstheme="minorEastAsia"/>
                <w:color w:val="auto"/>
                <w:sz w:val="21"/>
                <w:szCs w:val="21"/>
                <w:highlight w:val="none"/>
                <w:lang w:val="en-US" w:eastAsia="zh-CN"/>
              </w:rPr>
              <w:t>银行保函或保险</w:t>
            </w:r>
            <w:r>
              <w:rPr>
                <w:rFonts w:hint="eastAsia" w:asciiTheme="minorEastAsia" w:hAnsiTheme="minorEastAsia" w:eastAsiaTheme="minorEastAsia" w:cstheme="minorEastAsia"/>
                <w:color w:val="auto"/>
                <w:sz w:val="21"/>
                <w:szCs w:val="21"/>
                <w:highlight w:val="none"/>
              </w:rPr>
              <w:t>。</w:t>
            </w:r>
          </w:p>
        </w:tc>
      </w:tr>
      <w:tr w14:paraId="3EC05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3A27436A">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8371" w:type="dxa"/>
            <w:tcBorders>
              <w:top w:val="single" w:color="auto" w:sz="4" w:space="0"/>
              <w:left w:val="single" w:color="auto" w:sz="4" w:space="0"/>
              <w:bottom w:val="single" w:color="auto" w:sz="4" w:space="0"/>
            </w:tcBorders>
            <w:vAlign w:val="center"/>
          </w:tcPr>
          <w:p w14:paraId="15D720F5">
            <w:pPr>
              <w:keepNext w:val="0"/>
              <w:keepLines w:val="0"/>
              <w:suppressLineNumbers w:val="0"/>
              <w:shd w:val="clear"/>
              <w:autoSpaceDE w:val="0"/>
              <w:autoSpaceDN w:val="0"/>
              <w:snapToGrid w:val="0"/>
              <w:spacing w:before="0" w:beforeAutospacing="0" w:after="0" w:afterAutospacing="0" w:line="360" w:lineRule="auto"/>
              <w:ind w:left="0" w:leftChars="0" w:right="0" w:rightChars="0"/>
              <w:textAlignment w:val="bottom"/>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采购资金来源：</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100%</w:t>
            </w:r>
          </w:p>
        </w:tc>
      </w:tr>
      <w:tr w14:paraId="42333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4D16B8BB">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8371" w:type="dxa"/>
            <w:tcBorders>
              <w:top w:val="single" w:color="auto" w:sz="4" w:space="0"/>
              <w:left w:val="single" w:color="auto" w:sz="4" w:space="0"/>
              <w:bottom w:val="single" w:color="auto" w:sz="4" w:space="0"/>
            </w:tcBorders>
            <w:vAlign w:val="center"/>
          </w:tcPr>
          <w:p w14:paraId="1A64362F">
            <w:pPr>
              <w:pStyle w:val="69"/>
              <w:keepNext w:val="0"/>
              <w:keepLines w:val="0"/>
              <w:widowControl/>
              <w:suppressLineNumbers w:val="0"/>
              <w:shd w:val="clear"/>
              <w:wordWrap/>
              <w:spacing w:before="0" w:beforeAutospacing="0" w:after="0" w:afterAutospacing="0" w:line="360" w:lineRule="auto"/>
              <w:ind w:left="0" w:right="0" w:firstLine="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详见采购合同</w:t>
            </w:r>
          </w:p>
        </w:tc>
      </w:tr>
      <w:tr w14:paraId="34134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3185972">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8371" w:type="dxa"/>
            <w:tcBorders>
              <w:top w:val="single" w:color="auto" w:sz="4" w:space="0"/>
              <w:left w:val="single" w:color="auto" w:sz="4" w:space="0"/>
              <w:bottom w:val="single" w:color="auto" w:sz="4" w:space="0"/>
            </w:tcBorders>
            <w:vAlign w:val="center"/>
          </w:tcPr>
          <w:p w14:paraId="11F7DA17">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投标文件有效期：自投标截止日起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日历天。如</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认为必要，经投标人同意可延长。</w:t>
            </w:r>
          </w:p>
        </w:tc>
      </w:tr>
      <w:tr w14:paraId="1AB1C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2E29884F">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19</w:t>
            </w:r>
          </w:p>
        </w:tc>
        <w:tc>
          <w:tcPr>
            <w:tcW w:w="8371" w:type="dxa"/>
            <w:tcBorders>
              <w:top w:val="single" w:color="auto" w:sz="4" w:space="0"/>
              <w:left w:val="single" w:color="auto" w:sz="4" w:space="0"/>
              <w:bottom w:val="single" w:color="auto" w:sz="4" w:space="0"/>
            </w:tcBorders>
            <w:vAlign w:val="center"/>
          </w:tcPr>
          <w:p w14:paraId="599990CA">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本项目为服务项目，不执行节能产品、环保产品政策。</w:t>
            </w:r>
          </w:p>
        </w:tc>
      </w:tr>
      <w:tr w14:paraId="6A436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69" w:type="dxa"/>
            <w:tcBorders>
              <w:top w:val="single" w:color="auto" w:sz="4" w:space="0"/>
              <w:bottom w:val="single" w:color="auto" w:sz="4" w:space="0"/>
              <w:right w:val="single" w:color="auto" w:sz="4" w:space="0"/>
            </w:tcBorders>
            <w:vAlign w:val="center"/>
          </w:tcPr>
          <w:p w14:paraId="7EE07F54">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20</w:t>
            </w:r>
          </w:p>
        </w:tc>
        <w:tc>
          <w:tcPr>
            <w:tcW w:w="8371" w:type="dxa"/>
            <w:tcBorders>
              <w:top w:val="single" w:color="auto" w:sz="4" w:space="0"/>
              <w:left w:val="single" w:color="auto" w:sz="4" w:space="0"/>
              <w:bottom w:val="single" w:color="auto" w:sz="4" w:space="0"/>
            </w:tcBorders>
            <w:vAlign w:val="center"/>
          </w:tcPr>
          <w:p w14:paraId="6BBE1288">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解释：本招标文件的解释权属于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或招标代理单位。</w:t>
            </w:r>
          </w:p>
        </w:tc>
      </w:tr>
      <w:tr w14:paraId="6E546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869" w:type="dxa"/>
            <w:tcBorders>
              <w:top w:val="single" w:color="auto" w:sz="4" w:space="0"/>
              <w:bottom w:val="single" w:color="auto" w:sz="4" w:space="0"/>
              <w:right w:val="single" w:color="auto" w:sz="4" w:space="0"/>
            </w:tcBorders>
            <w:vAlign w:val="center"/>
          </w:tcPr>
          <w:p w14:paraId="0659853C">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21</w:t>
            </w:r>
          </w:p>
        </w:tc>
        <w:tc>
          <w:tcPr>
            <w:tcW w:w="8371" w:type="dxa"/>
            <w:tcBorders>
              <w:top w:val="single" w:color="auto" w:sz="4" w:space="0"/>
              <w:left w:val="single" w:color="auto" w:sz="4" w:space="0"/>
              <w:bottom w:val="single" w:color="auto" w:sz="4" w:space="0"/>
            </w:tcBorders>
            <w:vAlign w:val="center"/>
          </w:tcPr>
          <w:p w14:paraId="7E1385DE">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特别需要注意事项：</w:t>
            </w:r>
            <w:r>
              <w:rPr>
                <w:rFonts w:hint="eastAsia" w:asciiTheme="minorEastAsia" w:hAnsiTheme="minorEastAsia" w:eastAsiaTheme="minorEastAsia" w:cstheme="minorEastAsia"/>
                <w:color w:val="auto"/>
                <w:sz w:val="21"/>
                <w:szCs w:val="21"/>
                <w:highlight w:val="none"/>
              </w:rPr>
              <w:t>招标文件中打“▲”为实质性响应条款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投标文件须作出实质性响应，否则作无效投标处理</w:t>
            </w:r>
            <w:r>
              <w:rPr>
                <w:rFonts w:hint="eastAsia" w:asciiTheme="minorEastAsia" w:hAnsiTheme="minorEastAsia" w:eastAsiaTheme="minorEastAsia" w:cstheme="minorEastAsia"/>
                <w:color w:val="auto"/>
                <w:sz w:val="21"/>
                <w:szCs w:val="21"/>
                <w:highlight w:val="none"/>
              </w:rPr>
              <w:t>。</w:t>
            </w:r>
          </w:p>
        </w:tc>
      </w:tr>
      <w:tr w14:paraId="7EB2B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 w:type="dxa"/>
            <w:tcBorders>
              <w:top w:val="single" w:color="auto" w:sz="4" w:space="0"/>
              <w:bottom w:val="single" w:color="auto" w:sz="4" w:space="0"/>
              <w:right w:val="single" w:color="auto" w:sz="4" w:space="0"/>
            </w:tcBorders>
            <w:vAlign w:val="center"/>
          </w:tcPr>
          <w:p w14:paraId="008E213D">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22</w:t>
            </w:r>
          </w:p>
        </w:tc>
        <w:tc>
          <w:tcPr>
            <w:tcW w:w="8371" w:type="dxa"/>
            <w:tcBorders>
              <w:top w:val="single" w:color="auto" w:sz="4" w:space="0"/>
              <w:left w:val="single" w:color="auto" w:sz="4" w:space="0"/>
              <w:bottom w:val="single" w:color="auto" w:sz="4" w:space="0"/>
            </w:tcBorders>
            <w:vAlign w:val="center"/>
          </w:tcPr>
          <w:p w14:paraId="6A837E3F">
            <w:pPr>
              <w:keepNext w:val="0"/>
              <w:keepLines w:val="0"/>
              <w:suppressLineNumbers w:val="0"/>
              <w:shd w:val="clear"/>
              <w:snapToGrid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服务期限：详见项目需求</w:t>
            </w:r>
          </w:p>
        </w:tc>
      </w:tr>
      <w:tr w14:paraId="4C703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9" w:type="dxa"/>
            <w:tcBorders>
              <w:top w:val="single" w:color="auto" w:sz="4" w:space="0"/>
              <w:bottom w:val="single" w:color="auto" w:sz="4" w:space="0"/>
              <w:right w:val="single" w:color="auto" w:sz="4" w:space="0"/>
            </w:tcBorders>
            <w:vAlign w:val="center"/>
          </w:tcPr>
          <w:p w14:paraId="58FCFCA0">
            <w:pPr>
              <w:keepNext w:val="0"/>
              <w:keepLines w:val="0"/>
              <w:suppressLineNumbers w:val="0"/>
              <w:shd w:val="clear"/>
              <w:snapToGrid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23</w:t>
            </w:r>
          </w:p>
        </w:tc>
        <w:tc>
          <w:tcPr>
            <w:tcW w:w="8371" w:type="dxa"/>
            <w:tcBorders>
              <w:top w:val="single" w:color="auto" w:sz="4" w:space="0"/>
              <w:left w:val="single" w:color="auto" w:sz="4" w:space="0"/>
              <w:bottom w:val="single" w:color="auto" w:sz="4" w:space="0"/>
            </w:tcBorders>
            <w:vAlign w:val="center"/>
          </w:tcPr>
          <w:p w14:paraId="568874EB">
            <w:pPr>
              <w:numPr>
                <w:ilvl w:val="0"/>
                <w:numId w:val="0"/>
              </w:numPr>
              <w:shd w:val="clear"/>
              <w:snapToGrid w:val="0"/>
              <w:spacing w:line="360" w:lineRule="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1、本项目不提供样品，无现场演示。</w:t>
            </w:r>
          </w:p>
          <w:p w14:paraId="5290061C">
            <w:pPr>
              <w:numPr>
                <w:ilvl w:val="0"/>
                <w:numId w:val="0"/>
              </w:num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2、若因历史遗留原因导致投标人员不能提供社保证明的，须提供相关证明材料，否则后果自负。</w:t>
            </w:r>
          </w:p>
          <w:p w14:paraId="006B96A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3、关于小微企业：</w:t>
            </w:r>
            <w:r>
              <w:rPr>
                <w:rFonts w:hint="eastAsia" w:asciiTheme="minorEastAsia" w:hAnsiTheme="minorEastAsia" w:eastAsiaTheme="minorEastAsia" w:cstheme="minorEastAsia"/>
                <w:color w:val="auto"/>
                <w:sz w:val="21"/>
                <w:szCs w:val="21"/>
                <w:highlight w:val="none"/>
                <w:lang w:val="zh-CN" w:eastAsia="zh-CN"/>
              </w:rPr>
              <w:t>小微企业投标是指符合《中小企业划型标准规定》的投标人，通过投标提供本企业制造的货物、承担的工程或者服务，或者提供其他小微企业制造的货物。本项</w:t>
            </w:r>
            <w:r>
              <w:rPr>
                <w:rFonts w:hint="eastAsia" w:asciiTheme="minorEastAsia" w:hAnsiTheme="minorEastAsia" w:eastAsiaTheme="minorEastAsia" w:cstheme="minorEastAsia"/>
                <w:color w:val="auto"/>
                <w:sz w:val="21"/>
                <w:szCs w:val="21"/>
                <w:highlight w:val="none"/>
                <w:lang w:val="en-US" w:eastAsia="zh-CN"/>
              </w:rPr>
              <w:t>所指货物不包括使用大、中型企业注册商标的货物。小微企业投标应提供《小微企业声明函》。</w:t>
            </w:r>
          </w:p>
          <w:p w14:paraId="706DDB80">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4、本项目采购标的对应中小企业划分标准所属行业为：租赁和商务服务业。</w:t>
            </w:r>
          </w:p>
        </w:tc>
      </w:tr>
      <w:tr w14:paraId="72FD7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9" w:type="dxa"/>
            <w:tcBorders>
              <w:top w:val="single" w:color="auto" w:sz="4" w:space="0"/>
              <w:bottom w:val="single" w:color="auto" w:sz="4" w:space="0"/>
              <w:right w:val="single" w:color="auto" w:sz="4" w:space="0"/>
            </w:tcBorders>
            <w:vAlign w:val="center"/>
          </w:tcPr>
          <w:p w14:paraId="5AAB69D6">
            <w:pPr>
              <w:shd w:val="clea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w:t>
            </w:r>
          </w:p>
        </w:tc>
        <w:tc>
          <w:tcPr>
            <w:tcW w:w="8371" w:type="dxa"/>
            <w:tcBorders>
              <w:top w:val="single" w:color="auto" w:sz="4" w:space="0"/>
              <w:left w:val="single" w:color="auto" w:sz="4" w:space="0"/>
              <w:bottom w:val="single" w:color="auto" w:sz="4" w:space="0"/>
            </w:tcBorders>
            <w:vAlign w:val="center"/>
          </w:tcPr>
          <w:p w14:paraId="714C3773">
            <w:pPr>
              <w:shd w:val="clear"/>
              <w:snapToGrid w:val="0"/>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本项目所有投标人均可不参加本项目现场开标。</w:t>
            </w:r>
          </w:p>
        </w:tc>
      </w:tr>
    </w:tbl>
    <w:p w14:paraId="5FB25754">
      <w:pPr>
        <w:shd w:val="clear"/>
        <w:rPr>
          <w:rFonts w:hint="eastAsia" w:asciiTheme="minorEastAsia" w:hAnsiTheme="minorEastAsia" w:eastAsiaTheme="minorEastAsia" w:cstheme="minorEastAsia"/>
          <w:color w:val="auto"/>
          <w:highlight w:val="none"/>
        </w:rPr>
      </w:pPr>
    </w:p>
    <w:p w14:paraId="6E9EBF44">
      <w:pPr>
        <w:shd w:val="clea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br w:type="page"/>
      </w:r>
    </w:p>
    <w:p w14:paraId="029A508F">
      <w:pPr>
        <w:pStyle w:val="16"/>
        <w:widowControl w:val="0"/>
        <w:shd w:val="clear"/>
        <w:adjustRightInd/>
        <w:snapToGrid/>
        <w:spacing w:line="240" w:lineRule="auto"/>
        <w:ind w:right="480" w:firstLine="420"/>
        <w:jc w:val="center"/>
        <w:rPr>
          <w:rFonts w:hint="eastAsia" w:asciiTheme="minorEastAsia" w:hAnsiTheme="minorEastAsia" w:eastAsiaTheme="minorEastAsia" w:cstheme="minorEastAsia"/>
          <w:b/>
          <w:bCs/>
          <w:color w:val="auto"/>
          <w:kern w:val="2"/>
          <w:sz w:val="32"/>
          <w:szCs w:val="32"/>
          <w:highlight w:val="none"/>
        </w:rPr>
      </w:pPr>
      <w:r>
        <w:rPr>
          <w:rFonts w:hint="eastAsia" w:asciiTheme="minorEastAsia" w:hAnsiTheme="minorEastAsia" w:eastAsiaTheme="minorEastAsia" w:cstheme="minorEastAsia"/>
          <w:b/>
          <w:bCs/>
          <w:color w:val="auto"/>
          <w:kern w:val="2"/>
          <w:sz w:val="32"/>
          <w:szCs w:val="32"/>
          <w:highlight w:val="none"/>
        </w:rPr>
        <w:t>一、总则</w:t>
      </w:r>
    </w:p>
    <w:p w14:paraId="4C79B14D">
      <w:pPr>
        <w:pStyle w:val="39"/>
        <w:shd w:val="clear"/>
        <w:snapToGrid w:val="0"/>
        <w:spacing w:before="120" w:after="120" w:line="24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总  则</w:t>
      </w:r>
    </w:p>
    <w:p w14:paraId="776075F4">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 适用范围</w:t>
      </w:r>
    </w:p>
    <w:p w14:paraId="18260D1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本招标文件适用于</w:t>
      </w: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bCs/>
          <w:color w:val="auto"/>
          <w:sz w:val="21"/>
          <w:szCs w:val="21"/>
          <w:highlight w:val="none"/>
        </w:rPr>
        <w:t>单位</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的招标、投标、评标、定标、合同履约、付款等行为（法律、法规另有规定的，从其规定）。</w:t>
      </w:r>
    </w:p>
    <w:p w14:paraId="79594651">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（二）定义</w:t>
      </w:r>
    </w:p>
    <w:p w14:paraId="42217D1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1.招标采购单位系指组织本次招标活动的法人。</w:t>
      </w:r>
    </w:p>
    <w:p w14:paraId="6863CFC9">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2.“投标人”系指经认定有资格响应招标，参加投标竞争的法人或其他组织、自然人。</w:t>
      </w:r>
    </w:p>
    <w:p w14:paraId="75219E4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3.“产品”、“货物”系指供方按招标文件规定，须向采购人提供的一切设备、保险、税金、物品、备品备件、工具、手册及其它有关技术资料和材料。</w:t>
      </w:r>
    </w:p>
    <w:p w14:paraId="1A569385">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4.“服务”系指招标文件规定投标人须承担的安装、调试、技术协助、校准、培训、技术指导以及其他类似的义务。</w:t>
      </w:r>
    </w:p>
    <w:p w14:paraId="6DA7AE78">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5.“项目”系指投标人按招标文件规定向采购人提供的产品和服务。</w:t>
      </w:r>
    </w:p>
    <w:p w14:paraId="4C872D57">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6.“书面形式”包括信函、传真、电报等。</w:t>
      </w:r>
    </w:p>
    <w:p w14:paraId="134598C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7.“▲”系指实质性要求条款。</w:t>
      </w:r>
    </w:p>
    <w:p w14:paraId="0B2906CD">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8.甲方：合同中明确规定的实际购买服务的法人或其他组织和自然人。</w:t>
      </w:r>
    </w:p>
    <w:p w14:paraId="610D6590">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9.乙方：合同中规定的向甲方提供服务的法人或其他组织和自然人。</w:t>
      </w:r>
    </w:p>
    <w:p w14:paraId="0FB6E5AF">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10.知识产权：指专利权、商标权、著作权等无形资产专有权的统称。</w:t>
      </w:r>
    </w:p>
    <w:p w14:paraId="1370BE3C">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11.不可抗力：不能预见、不能避免并且不能克服的客观情况。</w:t>
      </w:r>
    </w:p>
    <w:p w14:paraId="0E2947BE">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（三）招标方式</w:t>
      </w:r>
    </w:p>
    <w:p w14:paraId="3962F182">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本次招标采用公开招标方式进行。</w:t>
      </w:r>
    </w:p>
    <w:p w14:paraId="16F17A16">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（四）投标费用</w:t>
      </w:r>
    </w:p>
    <w:p w14:paraId="2D1D957D">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不论投标结果如何，投标人均应自行承担所有与投标有关的全部费用（招标文件有相反规定除外）。</w:t>
      </w:r>
    </w:p>
    <w:p w14:paraId="40AF1211">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olor w:val="auto"/>
          <w:sz w:val="21"/>
          <w:szCs w:val="21"/>
          <w:highlight w:val="none"/>
          <w:lang w:val="en-US" w:eastAsia="zh-CN"/>
        </w:rPr>
        <w:t>本项目代理服务费</w:t>
      </w:r>
      <w:r>
        <w:rPr>
          <w:rFonts w:hint="eastAsia" w:ascii="宋体" w:hAnsi="宋体"/>
          <w:color w:val="auto"/>
          <w:sz w:val="21"/>
          <w:szCs w:val="21"/>
          <w:highlight w:val="none"/>
        </w:rPr>
        <w:t>按照</w:t>
      </w:r>
      <w:r>
        <w:rPr>
          <w:rFonts w:hint="eastAsia" w:ascii="宋体" w:hAnsi="宋体"/>
          <w:color w:val="auto"/>
          <w:sz w:val="21"/>
          <w:szCs w:val="21"/>
          <w:highlight w:val="none"/>
          <w:lang w:val="en-US" w:eastAsia="zh-CN"/>
        </w:rPr>
        <w:t>不同标段确定的中标总金额为计算基数</w:t>
      </w:r>
      <w:r>
        <w:rPr>
          <w:rFonts w:hint="eastAsia" w:ascii="宋体" w:hAnsi="宋体"/>
          <w:color w:val="auto"/>
          <w:sz w:val="21"/>
          <w:szCs w:val="21"/>
          <w:highlight w:val="none"/>
        </w:rPr>
        <w:t>向中标</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收取代理服务</w:t>
      </w:r>
      <w:r>
        <w:rPr>
          <w:rFonts w:hint="eastAsia" w:ascii="宋体" w:hAnsi="宋体"/>
          <w:color w:val="auto"/>
          <w:sz w:val="21"/>
          <w:szCs w:val="21"/>
          <w:highlight w:val="none"/>
          <w:lang w:val="en-US" w:eastAsia="zh-CN"/>
        </w:rPr>
        <w:t>的80%</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不足六千元按六千元计取</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采购代理服务费须包含在总报价中，由采购代理机构在签发中标通知书</w:t>
      </w:r>
      <w:r>
        <w:rPr>
          <w:rFonts w:hint="eastAsia" w:ascii="宋体" w:hAnsi="宋体"/>
          <w:color w:val="auto"/>
          <w:sz w:val="21"/>
          <w:szCs w:val="21"/>
          <w:highlight w:val="none"/>
          <w:lang w:eastAsia="zh-CN"/>
        </w:rPr>
        <w:t>前</w:t>
      </w:r>
      <w:r>
        <w:rPr>
          <w:rFonts w:hint="eastAsia" w:ascii="宋体" w:hAnsi="宋体"/>
          <w:color w:val="auto"/>
          <w:sz w:val="21"/>
          <w:szCs w:val="21"/>
          <w:highlight w:val="none"/>
        </w:rPr>
        <w:t>向</w:t>
      </w:r>
      <w:r>
        <w:rPr>
          <w:rFonts w:hint="eastAsia" w:ascii="宋体" w:hAnsi="宋体"/>
          <w:color w:val="auto"/>
          <w:sz w:val="21"/>
          <w:szCs w:val="21"/>
          <w:highlight w:val="none"/>
          <w:lang w:val="en-US" w:eastAsia="zh-CN"/>
        </w:rPr>
        <w:t>两个标段中标供应商分别</w:t>
      </w:r>
      <w:r>
        <w:rPr>
          <w:rFonts w:hint="eastAsia" w:ascii="宋体" w:hAnsi="宋体"/>
          <w:color w:val="auto"/>
          <w:sz w:val="21"/>
          <w:szCs w:val="21"/>
          <w:highlight w:val="none"/>
        </w:rPr>
        <w:t>收取；本项目按</w:t>
      </w:r>
      <w:r>
        <w:rPr>
          <w:rFonts w:hint="eastAsia" w:ascii="宋体" w:hAnsi="宋体"/>
          <w:b/>
          <w:bCs/>
          <w:color w:val="auto"/>
          <w:sz w:val="21"/>
          <w:szCs w:val="21"/>
          <w:highlight w:val="none"/>
          <w:u w:val="single"/>
          <w:lang w:val="en-US" w:eastAsia="zh-CN"/>
        </w:rPr>
        <w:t>服务</w:t>
      </w:r>
      <w:r>
        <w:rPr>
          <w:rFonts w:hint="eastAsia" w:ascii="宋体" w:hAnsi="宋体"/>
          <w:b/>
          <w:bCs/>
          <w:color w:val="auto"/>
          <w:sz w:val="21"/>
          <w:szCs w:val="21"/>
          <w:highlight w:val="none"/>
          <w:u w:val="single"/>
        </w:rPr>
        <w:t>招标</w:t>
      </w:r>
      <w:r>
        <w:rPr>
          <w:rFonts w:hint="eastAsia" w:ascii="宋体" w:hAnsi="宋体"/>
          <w:color w:val="auto"/>
          <w:sz w:val="21"/>
          <w:szCs w:val="21"/>
          <w:highlight w:val="none"/>
        </w:rPr>
        <w:t>类型收费。请投标人在投标报价时综合考虑，费用计入中标人投标费用内，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不再支付该部分费用给中标人。</w:t>
      </w:r>
    </w:p>
    <w:p w14:paraId="5748F6F6">
      <w:pPr>
        <w:shd w:val="clear"/>
        <w:adjustRightInd w:val="0"/>
        <w:snapToGrid w:val="0"/>
        <w:spacing w:line="312"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附表：招标代理服务收费标准</w:t>
      </w:r>
    </w:p>
    <w:tbl>
      <w:tblPr>
        <w:tblStyle w:val="76"/>
        <w:tblW w:w="968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2843"/>
        <w:gridCol w:w="2067"/>
        <w:gridCol w:w="2067"/>
      </w:tblGrid>
      <w:tr w14:paraId="0A65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708" w:type="dxa"/>
          </w:tcPr>
          <w:p w14:paraId="7C063A06">
            <w:pPr>
              <w:pStyle w:val="695"/>
              <w:shd w:val="clear"/>
              <w:ind w:left="1577"/>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page">
                        <wp:posOffset>-53975</wp:posOffset>
                      </wp:positionH>
                      <wp:positionV relativeFrom="paragraph">
                        <wp:posOffset>1905</wp:posOffset>
                      </wp:positionV>
                      <wp:extent cx="1772920" cy="798195"/>
                      <wp:effectExtent l="0" t="0" r="5080" b="1905"/>
                      <wp:wrapNone/>
                      <wp:docPr id="1" name="任意多边形 2"/>
                      <wp:cNvGraphicFramePr/>
                      <a:graphic xmlns:a="http://schemas.openxmlformats.org/drawingml/2006/main">
                        <a:graphicData uri="http://schemas.microsoft.com/office/word/2010/wordprocessingShape">
                          <wps:wsp>
                            <wps:cNvSpPr/>
                            <wps:spPr>
                              <a:xfrm>
                                <a:off x="0" y="0"/>
                                <a:ext cx="1772920" cy="798195"/>
                              </a:xfrm>
                              <a:custGeom>
                                <a:avLst/>
                                <a:gdLst/>
                                <a:ahLst/>
                                <a:cxnLst/>
                                <a:pathLst>
                                  <a:path w="2569" h="1189">
                                    <a:moveTo>
                                      <a:pt x="2556" y="1175"/>
                                    </a:moveTo>
                                    <a:lnTo>
                                      <a:pt x="6" y="33"/>
                                    </a:lnTo>
                                    <a:lnTo>
                                      <a:pt x="0" y="47"/>
                                    </a:lnTo>
                                    <a:lnTo>
                                      <a:pt x="2550" y="1189"/>
                                    </a:lnTo>
                                    <a:lnTo>
                                      <a:pt x="2556" y="1175"/>
                                    </a:lnTo>
                                    <a:moveTo>
                                      <a:pt x="2569" y="1165"/>
                                    </a:moveTo>
                                    <a:lnTo>
                                      <a:pt x="1116" y="0"/>
                                    </a:lnTo>
                                    <a:lnTo>
                                      <a:pt x="1106" y="12"/>
                                    </a:lnTo>
                                    <a:lnTo>
                                      <a:pt x="2559" y="1177"/>
                                    </a:lnTo>
                                    <a:lnTo>
                                      <a:pt x="2569" y="1165"/>
                                    </a:lnTo>
                                  </a:path>
                                </a:pathLst>
                              </a:custGeom>
                              <a:solidFill>
                                <a:srgbClr val="000000"/>
                              </a:solidFill>
                              <a:ln>
                                <a:noFill/>
                              </a:ln>
                            </wps:spPr>
                            <wps:bodyPr vert="horz" anchor="t" anchorCtr="0" upright="1"/>
                          </wps:wsp>
                        </a:graphicData>
                      </a:graphic>
                    </wp:anchor>
                  </w:drawing>
                </mc:Choice>
                <mc:Fallback>
                  <w:pict>
                    <v:shape id="任意多边形 2" o:spid="_x0000_s1026" o:spt="100" style="position:absolute;left:0pt;margin-left:-4.25pt;margin-top:0.15pt;height:62.85pt;width:139.6pt;mso-position-horizontal-relative:page;z-index:-251656192;mso-width-relative:page;mso-height-relative:page;" fillcolor="#000000" filled="t" stroked="f" coordsize="2569,1189" o:gfxdata="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IxFNtUAAAAHAQAADwAAAAAAAAABACAAAAAiAAAAZHJzL2Rvd25yZXYueG1sUEsBAhQAFAAAAAgA&#10;h07iQCe8CuxhAgAAdwUAAA4AAAAAAAAAAQAgAAAAJAEAAGRycy9lMm9Eb2MueG1sUEsFBgAAAAAG&#10;AAYAWQEAAPcFAAAAAA==&#10;" path="m2556,1175l6,33,0,47,2550,1189,2556,1175m2569,1165l1116,0,1106,12,2559,1177,2569,1165e">
                      <v:fill on="t" focussize="0,0"/>
                      <v:stroke on="f"/>
                      <v:imagedata o:title=""/>
                      <o:lock v:ext="edit" aspectratio="f"/>
                    </v:shape>
                  </w:pict>
                </mc:Fallback>
              </mc:AlternateContent>
            </w:r>
            <w:r>
              <w:rPr>
                <w:rFonts w:hint="eastAsia" w:asciiTheme="minorEastAsia" w:hAnsiTheme="minorEastAsia" w:eastAsiaTheme="minorEastAsia" w:cstheme="minorEastAsia"/>
                <w:b/>
                <w:color w:val="auto"/>
                <w:sz w:val="21"/>
                <w:szCs w:val="21"/>
                <w:highlight w:val="none"/>
              </w:rPr>
              <w:t>服务类</w:t>
            </w:r>
            <w:r>
              <w:rPr>
                <w:rFonts w:hint="eastAsia" w:asciiTheme="minorEastAsia" w:hAnsiTheme="minorEastAsia" w:eastAsiaTheme="minorEastAsia" w:cstheme="minorEastAsia"/>
                <w:b/>
                <w:color w:val="auto"/>
                <w:spacing w:val="-17"/>
                <w:sz w:val="21"/>
                <w:szCs w:val="21"/>
                <w:highlight w:val="none"/>
              </w:rPr>
              <w:t>型</w:t>
            </w:r>
          </w:p>
          <w:p w14:paraId="51A44A58">
            <w:pPr>
              <w:pStyle w:val="695"/>
              <w:shd w:val="clear"/>
              <w:tabs>
                <w:tab w:val="left" w:pos="1790"/>
              </w:tabs>
              <w:spacing w:before="4" w:line="242" w:lineRule="auto"/>
              <w:ind w:left="1577" w:right="333" w:hanging="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费率</w:t>
            </w:r>
            <w:r>
              <w:rPr>
                <w:rFonts w:hint="eastAsia" w:asciiTheme="minorEastAsia" w:hAnsiTheme="minorEastAsia" w:eastAsiaTheme="minorEastAsia" w:cstheme="minorEastAsia"/>
                <w:b/>
                <w:color w:val="auto"/>
                <w:sz w:val="21"/>
                <w:szCs w:val="21"/>
                <w:highlight w:val="none"/>
              </w:rPr>
              <w:tab/>
            </w:r>
          </w:p>
          <w:p w14:paraId="0EFB7296">
            <w:pPr>
              <w:pStyle w:val="695"/>
              <w:shd w:val="clear"/>
              <w:spacing w:before="2"/>
              <w:ind w:left="10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w w:val="95"/>
                <w:sz w:val="21"/>
                <w:szCs w:val="21"/>
                <w:highlight w:val="none"/>
              </w:rPr>
              <w:t>中标金额（万元）</w:t>
            </w:r>
          </w:p>
        </w:tc>
        <w:tc>
          <w:tcPr>
            <w:tcW w:w="2843" w:type="dxa"/>
          </w:tcPr>
          <w:p w14:paraId="47B8ACD2">
            <w:pPr>
              <w:pStyle w:val="695"/>
              <w:shd w:val="clear"/>
              <w:rPr>
                <w:rFonts w:hint="eastAsia" w:asciiTheme="minorEastAsia" w:hAnsiTheme="minorEastAsia" w:eastAsiaTheme="minorEastAsia" w:cstheme="minorEastAsia"/>
                <w:b/>
                <w:color w:val="auto"/>
                <w:sz w:val="21"/>
                <w:szCs w:val="21"/>
                <w:highlight w:val="none"/>
              </w:rPr>
            </w:pPr>
          </w:p>
          <w:p w14:paraId="7E417F54">
            <w:pPr>
              <w:pStyle w:val="695"/>
              <w:shd w:val="clear"/>
              <w:ind w:left="590"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货物招标</w:t>
            </w:r>
          </w:p>
        </w:tc>
        <w:tc>
          <w:tcPr>
            <w:tcW w:w="2067" w:type="dxa"/>
          </w:tcPr>
          <w:p w14:paraId="07C6297E">
            <w:pPr>
              <w:pStyle w:val="695"/>
              <w:shd w:val="clear"/>
              <w:rPr>
                <w:rFonts w:hint="eastAsia" w:asciiTheme="minorEastAsia" w:hAnsiTheme="minorEastAsia" w:eastAsiaTheme="minorEastAsia" w:cstheme="minorEastAsia"/>
                <w:b/>
                <w:color w:val="auto"/>
                <w:sz w:val="21"/>
                <w:szCs w:val="21"/>
                <w:highlight w:val="none"/>
              </w:rPr>
            </w:pPr>
          </w:p>
          <w:p w14:paraId="5D1AD534">
            <w:pPr>
              <w:pStyle w:val="695"/>
              <w:shd w:val="clear"/>
              <w:ind w:left="589" w:right="58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服务招标</w:t>
            </w:r>
          </w:p>
        </w:tc>
        <w:tc>
          <w:tcPr>
            <w:tcW w:w="2067" w:type="dxa"/>
          </w:tcPr>
          <w:p w14:paraId="6410F1BF">
            <w:pPr>
              <w:pStyle w:val="695"/>
              <w:shd w:val="clear"/>
              <w:rPr>
                <w:rFonts w:hint="eastAsia" w:asciiTheme="minorEastAsia" w:hAnsiTheme="minorEastAsia" w:eastAsiaTheme="minorEastAsia" w:cstheme="minorEastAsia"/>
                <w:b/>
                <w:color w:val="auto"/>
                <w:sz w:val="21"/>
                <w:szCs w:val="21"/>
                <w:highlight w:val="none"/>
              </w:rPr>
            </w:pPr>
          </w:p>
          <w:p w14:paraId="7E52A25F">
            <w:pPr>
              <w:pStyle w:val="695"/>
              <w:shd w:val="clear"/>
              <w:ind w:left="591" w:right="579"/>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工程招标</w:t>
            </w:r>
          </w:p>
        </w:tc>
      </w:tr>
      <w:tr w14:paraId="07B5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3BEA5363">
            <w:pPr>
              <w:pStyle w:val="695"/>
              <w:shd w:val="clear"/>
              <w:spacing w:before="1"/>
              <w:ind w:left="624"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 以下</w:t>
            </w:r>
          </w:p>
        </w:tc>
        <w:tc>
          <w:tcPr>
            <w:tcW w:w="2843" w:type="dxa"/>
          </w:tcPr>
          <w:p w14:paraId="3571CE6B">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5B4EF4A2">
            <w:pPr>
              <w:pStyle w:val="695"/>
              <w:shd w:val="clear"/>
              <w:spacing w:before="1"/>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067" w:type="dxa"/>
          </w:tcPr>
          <w:p w14:paraId="780DEFE2">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14:paraId="23D8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708" w:type="dxa"/>
          </w:tcPr>
          <w:p w14:paraId="19C598D8">
            <w:pPr>
              <w:pStyle w:val="695"/>
              <w:shd w:val="clear"/>
              <w:spacing w:before="2"/>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843" w:type="dxa"/>
          </w:tcPr>
          <w:p w14:paraId="01C1A86C">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067" w:type="dxa"/>
          </w:tcPr>
          <w:p w14:paraId="1DA5D4E8">
            <w:pPr>
              <w:pStyle w:val="695"/>
              <w:shd w:val="clear"/>
              <w:spacing w:before="2"/>
              <w:ind w:left="590"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07555BA">
            <w:pPr>
              <w:pStyle w:val="695"/>
              <w:shd w:val="clear"/>
              <w:spacing w:before="2"/>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14:paraId="6047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5DEB5BFC">
            <w:pPr>
              <w:pStyle w:val="695"/>
              <w:shd w:val="clear"/>
              <w:ind w:left="627"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843" w:type="dxa"/>
          </w:tcPr>
          <w:p w14:paraId="17CFB542">
            <w:pPr>
              <w:pStyle w:val="695"/>
              <w:shd w:val="clear"/>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067" w:type="dxa"/>
          </w:tcPr>
          <w:p w14:paraId="11C00889">
            <w:pPr>
              <w:pStyle w:val="695"/>
              <w:shd w:val="clear"/>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067" w:type="dxa"/>
          </w:tcPr>
          <w:p w14:paraId="25028195">
            <w:pPr>
              <w:pStyle w:val="695"/>
              <w:shd w:val="clear"/>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14:paraId="07D04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708" w:type="dxa"/>
          </w:tcPr>
          <w:p w14:paraId="6A7AE499">
            <w:pPr>
              <w:pStyle w:val="695"/>
              <w:shd w:val="clear"/>
              <w:spacing w:before="1"/>
              <w:ind w:left="625" w:right="61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843" w:type="dxa"/>
          </w:tcPr>
          <w:p w14:paraId="1DB3CCFF">
            <w:pPr>
              <w:pStyle w:val="695"/>
              <w:shd w:val="clear"/>
              <w:spacing w:before="1"/>
              <w:ind w:left="589"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067" w:type="dxa"/>
          </w:tcPr>
          <w:p w14:paraId="6AD02F8C">
            <w:pPr>
              <w:pStyle w:val="695"/>
              <w:shd w:val="clear"/>
              <w:spacing w:before="1"/>
              <w:ind w:left="587"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067" w:type="dxa"/>
          </w:tcPr>
          <w:p w14:paraId="47D81644">
            <w:pPr>
              <w:pStyle w:val="695"/>
              <w:shd w:val="clear"/>
              <w:spacing w:before="1"/>
              <w:ind w:left="586" w:right="5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bl>
    <w:p w14:paraId="12ED2868">
      <w:pPr>
        <w:shd w:val="clear"/>
        <w:snapToGrid w:val="0"/>
        <w:spacing w:beforeLines="50"/>
        <w:ind w:firstLine="413" w:firstLineChars="196"/>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）投标人应具备的资格要求</w:t>
      </w:r>
    </w:p>
    <w:p w14:paraId="7575A21B">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1、基本资格要求：符合《中华人民共和国政府采购法》第二十二条规定的投标人资格条件。</w:t>
      </w:r>
    </w:p>
    <w:p w14:paraId="4535ADBB">
      <w:pPr>
        <w:keepNext w:val="0"/>
        <w:keepLines w:val="0"/>
        <w:pageBreakBefore w:val="0"/>
        <w:widowControl w:val="0"/>
        <w:shd w:val="clear"/>
        <w:kinsoku/>
        <w:wordWrap/>
        <w:overflowPunct/>
        <w:topLinePunct w:val="0"/>
        <w:autoSpaceDE/>
        <w:autoSpaceDN/>
        <w:bidi w:val="0"/>
        <w:adjustRightInd/>
        <w:snapToGrid/>
        <w:spacing w:line="312"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特定资格条件：</w:t>
      </w:r>
    </w:p>
    <w:p w14:paraId="029A89AF">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【标项1、2】：</w:t>
      </w:r>
      <w:r>
        <w:rPr>
          <w:rFonts w:hint="eastAsia" w:asciiTheme="minorEastAsia" w:hAnsiTheme="minorEastAsia" w:eastAsiaTheme="minorEastAsia" w:cstheme="minorEastAsia"/>
          <w:color w:val="auto"/>
          <w:sz w:val="21"/>
          <w:szCs w:val="21"/>
          <w:highlight w:val="none"/>
          <w:lang w:eastAsia="zh-CN"/>
        </w:rPr>
        <w:t>具有旅游行政主管部门颁发的《旅行社业务经营许可证》。</w:t>
      </w:r>
    </w:p>
    <w:p w14:paraId="5596377B">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lang w:eastAsia="zh-CN"/>
        </w:rPr>
        <w:t>。</w:t>
      </w:r>
    </w:p>
    <w:p w14:paraId="4A4AD3F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落实政府采购政策需满足的资格要求：本项目按照《政府采购促进中小企业发展管理办法》【财库（2020）46号】第七条规定：</w:t>
      </w:r>
      <w:r>
        <w:rPr>
          <w:rFonts w:hint="eastAsia" w:asciiTheme="minorEastAsia" w:hAnsiTheme="minorEastAsia" w:eastAsiaTheme="minorEastAsia" w:cstheme="minorEastAsia"/>
          <w:b/>
          <w:bCs/>
          <w:color w:val="auto"/>
          <w:sz w:val="21"/>
          <w:szCs w:val="21"/>
          <w:highlight w:val="none"/>
          <w:u w:val="single"/>
          <w:lang w:eastAsia="zh-CN"/>
        </w:rPr>
        <w:t>本项目专门面向中小企业采购</w:t>
      </w:r>
      <w:r>
        <w:rPr>
          <w:rFonts w:hint="eastAsia" w:asciiTheme="minorEastAsia" w:hAnsiTheme="minorEastAsia" w:eastAsiaTheme="minorEastAsia" w:cstheme="minorEastAsia"/>
          <w:color w:val="auto"/>
          <w:sz w:val="21"/>
          <w:szCs w:val="21"/>
          <w:highlight w:val="none"/>
          <w:lang w:val="en-US" w:eastAsia="zh-CN"/>
        </w:rPr>
        <w:t>。</w:t>
      </w:r>
    </w:p>
    <w:p w14:paraId="1008D920">
      <w:pPr>
        <w:keepNext w:val="0"/>
        <w:keepLines w:val="0"/>
        <w:pageBreakBefore w:val="0"/>
        <w:widowControl w:val="0"/>
        <w:shd w:val="clear"/>
        <w:kinsoku/>
        <w:wordWrap/>
        <w:overflowPunct/>
        <w:topLinePunct w:val="0"/>
        <w:autoSpaceDE/>
        <w:autoSpaceDN/>
        <w:bidi w:val="0"/>
        <w:adjustRightInd w:val="0"/>
        <w:snapToGrid w:val="0"/>
        <w:spacing w:line="360" w:lineRule="auto"/>
        <w:ind w:left="420" w:leftChars="200" w:firstLine="0" w:firstLineChars="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0"/>
          <w:sz w:val="21"/>
          <w:szCs w:val="21"/>
          <w:highlight w:val="none"/>
          <w:lang w:val="zh-CN" w:eastAsia="zh-CN"/>
        </w:rPr>
        <w:t>。</w:t>
      </w:r>
    </w:p>
    <w:p w14:paraId="236B8DD6">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textAlignment w:val="auto"/>
        <w:outlineLvl w:val="9"/>
        <w:rPr>
          <w:rFonts w:hint="eastAsia" w:asciiTheme="minorEastAsia" w:hAnsiTheme="minorEastAsia" w:eastAsiaTheme="minorEastAsia" w:cstheme="minorEastAsia"/>
          <w:color w:val="auto"/>
          <w:kern w:val="0"/>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zh-CN" w:eastAsia="zh-CN"/>
        </w:rPr>
        <w:t>单位负责人为同一人或者存在直接控股、管理关系的不同供应商，不得参加同一合同项下的政府采购活动。</w:t>
      </w:r>
    </w:p>
    <w:p w14:paraId="62B04A42">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六</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kern w:val="0"/>
          <w:sz w:val="21"/>
          <w:szCs w:val="21"/>
          <w:highlight w:val="none"/>
        </w:rPr>
        <w:t>转包与分包</w:t>
      </w:r>
    </w:p>
    <w:p w14:paraId="0201DB0D">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1.本项目不允许转包。</w:t>
      </w:r>
    </w:p>
    <w:p w14:paraId="5E286EB6">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2.本项目允许分包、允许经营，但分包和经营方案需报采购人事先审核后书面同意。</w:t>
      </w:r>
    </w:p>
    <w:p w14:paraId="274F92B7">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）特别说明：</w:t>
      </w:r>
    </w:p>
    <w:p w14:paraId="30EB7724">
      <w:pPr>
        <w:shd w:val="clear"/>
        <w:snapToGrid w:val="0"/>
        <w:ind w:firstLine="420" w:firstLineChars="20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1.投标人投标所使用的资格、信誉、荣誉、业绩与企业认证必须为本法人所拥有。投标人投标所使用的采购项目实施人员必须为本法人员工（或必须为本法人正式员工）</w:t>
      </w:r>
      <w:r>
        <w:rPr>
          <w:rFonts w:hint="eastAsia" w:asciiTheme="minorEastAsia" w:hAnsiTheme="minorEastAsia" w:eastAsiaTheme="minorEastAsia" w:cstheme="minorEastAsia"/>
          <w:color w:val="auto"/>
          <w:kern w:val="0"/>
          <w:sz w:val="21"/>
          <w:szCs w:val="21"/>
          <w:highlight w:val="none"/>
          <w:lang w:eastAsia="zh-CN"/>
        </w:rPr>
        <w:t>。</w:t>
      </w:r>
    </w:p>
    <w:p w14:paraId="50FF3F8C">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2.投标人不得相互串通投标报价，不得妨碍其他投标人的公平竞争，不得损害采购人或其他投标人的合法权益，投标人不得以向采购人、评标委员会成员行贿或者采取其他不正当手段谋取中标。</w:t>
      </w:r>
    </w:p>
    <w:p w14:paraId="34C7E541">
      <w:pPr>
        <w:shd w:val="clear"/>
        <w:snapToGrid w:val="0"/>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3.投标人应仔细阅读招标文件的所有内容，按照招标文件的要求提交投标文件，并对所提供的全部资料的真实性承担法律责任。</w:t>
      </w:r>
    </w:p>
    <w:p w14:paraId="3C40E877">
      <w:pPr>
        <w:shd w:val="clear"/>
        <w:snapToGrid w:val="0"/>
        <w:ind w:firstLine="420"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EastAsia"/>
          <w:b/>
          <w:bCs/>
          <w:color w:val="auto"/>
          <w:kern w:val="0"/>
          <w:sz w:val="21"/>
          <w:szCs w:val="21"/>
          <w:highlight w:val="none"/>
        </w:rPr>
        <w:t>。</w:t>
      </w:r>
    </w:p>
    <w:p w14:paraId="00948A43">
      <w:pPr>
        <w:shd w:val="clear"/>
        <w:tabs>
          <w:tab w:val="left" w:pos="8280"/>
        </w:tabs>
        <w:autoSpaceDE w:val="0"/>
        <w:autoSpaceDN w:val="0"/>
        <w:adjustRightInd w:val="0"/>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5</w:t>
      </w:r>
      <w:r>
        <w:rPr>
          <w:rFonts w:hint="eastAsia" w:asciiTheme="minorEastAsia" w:hAnsiTheme="minorEastAsia" w:eastAsiaTheme="minorEastAsia" w:cstheme="minorEastAsia"/>
          <w:bCs/>
          <w:color w:val="auto"/>
          <w:kern w:val="0"/>
          <w:sz w:val="21"/>
          <w:szCs w:val="21"/>
          <w:highlight w:val="none"/>
        </w:rPr>
        <w:t>.投标文件格式中的表格式样可以根据项目差别做适当调整,但应当保持表格样式基本形态不变。</w:t>
      </w:r>
    </w:p>
    <w:p w14:paraId="3E14317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lang w:val="en-US" w:eastAsia="zh-CN"/>
        </w:rPr>
        <w:t>6</w:t>
      </w:r>
      <w:r>
        <w:rPr>
          <w:rFonts w:hint="eastAsia" w:asciiTheme="minorEastAsia" w:hAnsiTheme="minorEastAsia" w:eastAsiaTheme="minorEastAsia" w:cstheme="minorEastAsia"/>
          <w:bCs/>
          <w:color w:val="auto"/>
          <w:kern w:val="0"/>
          <w:sz w:val="21"/>
          <w:szCs w:val="21"/>
          <w:highlight w:val="none"/>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bCs/>
          <w:color w:val="auto"/>
          <w:kern w:val="0"/>
          <w:sz w:val="21"/>
          <w:szCs w:val="21"/>
          <w:highlight w:val="none"/>
          <w:lang w:eastAsia="zh-CN"/>
        </w:rPr>
        <w:t>。</w:t>
      </w:r>
    </w:p>
    <w:p w14:paraId="14F5A626">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7、</w:t>
      </w:r>
      <w:r>
        <w:rPr>
          <w:rFonts w:hint="eastAsia" w:asciiTheme="minorEastAsia" w:hAnsiTheme="minorEastAsia" w:eastAsiaTheme="minorEastAsia" w:cstheme="minorEastAsia"/>
          <w:bCs/>
          <w:color w:val="auto"/>
          <w:kern w:val="0"/>
          <w:sz w:val="21"/>
          <w:szCs w:val="21"/>
          <w:highlight w:val="none"/>
        </w:rPr>
        <w:t>关于小微企业投标</w:t>
      </w:r>
    </w:p>
    <w:p w14:paraId="2A7DEFAD">
      <w:pPr>
        <w:shd w:val="clear"/>
        <w:tabs>
          <w:tab w:val="left" w:pos="8280"/>
        </w:tabs>
        <w:autoSpaceDE w:val="0"/>
        <w:autoSpaceDN w:val="0"/>
        <w:adjustRightInd w:val="0"/>
        <w:ind w:firstLine="48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Theme="minorEastAsia" w:hAnsiTheme="minorEastAsia" w:eastAsiaTheme="minorEastAsia" w:cstheme="minorEastAsia"/>
          <w:b/>
          <w:bCs/>
          <w:color w:val="auto"/>
          <w:sz w:val="21"/>
          <w:szCs w:val="21"/>
          <w:highlight w:val="none"/>
          <w:lang w:val="zh-CN"/>
        </w:rPr>
        <w:t>小微企业投标应提供《小微企业声明函》、国家企业信用信息公示系统——“小微企业名录”页面查询结果（查询时间为投标前一周内，并加盖单位公章）等相关证明材料（评标委员会据此进行核查）</w:t>
      </w:r>
      <w:r>
        <w:rPr>
          <w:rFonts w:hint="eastAsia" w:asciiTheme="minorEastAsia" w:hAnsiTheme="minorEastAsia" w:eastAsiaTheme="minorEastAsia" w:cstheme="minorEastAsia"/>
          <w:bCs/>
          <w:color w:val="auto"/>
          <w:kern w:val="0"/>
          <w:sz w:val="21"/>
          <w:szCs w:val="21"/>
          <w:highlight w:val="none"/>
        </w:rPr>
        <w:t>。</w:t>
      </w:r>
    </w:p>
    <w:p w14:paraId="6EA09621">
      <w:pPr>
        <w:shd w:val="clear"/>
        <w:tabs>
          <w:tab w:val="left" w:pos="8280"/>
        </w:tabs>
        <w:autoSpaceDE w:val="0"/>
        <w:autoSpaceDN w:val="0"/>
        <w:adjustRightInd w:val="0"/>
        <w:ind w:firstLine="480"/>
        <w:rPr>
          <w:rFonts w:hint="eastAsia" w:asciiTheme="minorEastAsia" w:hAnsiTheme="minorEastAsia" w:eastAsiaTheme="minorEastAsia" w:cstheme="minorEastAsia"/>
          <w:b w:val="0"/>
          <w:bCs/>
          <w:kern w:val="0"/>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本项目</w:t>
      </w:r>
      <w:r>
        <w:rPr>
          <w:rFonts w:hint="eastAsia" w:asciiTheme="minorEastAsia" w:hAnsiTheme="minorEastAsia" w:eastAsiaTheme="minorEastAsia" w:cstheme="minorEastAsia"/>
          <w:b/>
          <w:bCs w:val="0"/>
          <w:color w:val="auto"/>
          <w:sz w:val="21"/>
          <w:szCs w:val="21"/>
          <w:highlight w:val="none"/>
          <w:lang w:val="zh-CN"/>
        </w:rPr>
        <w:t>专门面向中小企业采购，</w:t>
      </w:r>
      <w:r>
        <w:rPr>
          <w:rFonts w:hint="eastAsia" w:asciiTheme="minorEastAsia" w:hAnsiTheme="minorEastAsia" w:eastAsiaTheme="minorEastAsia" w:cstheme="minorEastAsia"/>
          <w:b/>
          <w:bCs w:val="0"/>
          <w:color w:val="auto"/>
          <w:sz w:val="21"/>
          <w:szCs w:val="21"/>
          <w:highlight w:val="none"/>
          <w:lang w:val="en-US" w:eastAsia="zh-CN"/>
        </w:rPr>
        <w:t>价格评审得分不再进行扣除优惠评审</w:t>
      </w:r>
      <w:r>
        <w:rPr>
          <w:rFonts w:hint="eastAsia" w:asciiTheme="minorEastAsia" w:hAnsiTheme="minorEastAsia" w:eastAsiaTheme="minorEastAsia" w:cstheme="minorEastAsia"/>
          <w:b/>
          <w:bCs w:val="0"/>
          <w:color w:val="auto"/>
          <w:sz w:val="21"/>
          <w:szCs w:val="21"/>
          <w:highlight w:val="none"/>
          <w:lang w:val="zh-CN"/>
        </w:rPr>
        <w:t>。</w:t>
      </w:r>
    </w:p>
    <w:p w14:paraId="256F9C6F">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bCs/>
          <w:kern w:val="0"/>
          <w:sz w:val="21"/>
          <w:szCs w:val="21"/>
          <w:highlight w:val="none"/>
        </w:rPr>
        <w:t>8、关于联合体投标说明：本项目不接受联合体投标；</w:t>
      </w:r>
    </w:p>
    <w:p w14:paraId="27DACE23">
      <w:pPr>
        <w:shd w:val="clear"/>
        <w:tabs>
          <w:tab w:val="left" w:pos="8280"/>
        </w:tabs>
        <w:autoSpaceDE w:val="0"/>
        <w:autoSpaceDN w:val="0"/>
        <w:adjustRightInd w:val="0"/>
        <w:ind w:firstLine="480"/>
        <w:rPr>
          <w:rFonts w:hint="eastAsia" w:asciiTheme="minorEastAsia" w:hAnsiTheme="minorEastAsia" w:eastAsiaTheme="minorEastAsia" w:cstheme="minorEastAsia"/>
          <w:bCs/>
          <w:kern w:val="0"/>
          <w:sz w:val="21"/>
          <w:szCs w:val="21"/>
          <w:highlight w:val="none"/>
        </w:rPr>
      </w:pPr>
      <w:r>
        <w:rPr>
          <w:rFonts w:hint="eastAsia" w:asciiTheme="minorEastAsia" w:hAnsiTheme="minorEastAsia" w:eastAsiaTheme="minorEastAsia" w:cstheme="minorEastAsia"/>
          <w:sz w:val="21"/>
          <w:szCs w:val="21"/>
          <w:highlight w:val="none"/>
        </w:rPr>
        <w:t>9、采用合同分包形式投标的</w:t>
      </w:r>
      <w:r>
        <w:rPr>
          <w:rFonts w:hint="eastAsia" w:asciiTheme="minorEastAsia" w:hAnsiTheme="minorEastAsia" w:eastAsiaTheme="minorEastAsia" w:cstheme="minorEastAsia"/>
          <w:bCs/>
          <w:kern w:val="0"/>
          <w:sz w:val="21"/>
          <w:szCs w:val="21"/>
          <w:highlight w:val="none"/>
        </w:rPr>
        <w:t>投标说明：本项目不接受</w:t>
      </w:r>
      <w:r>
        <w:rPr>
          <w:rFonts w:hint="eastAsia" w:asciiTheme="minorEastAsia" w:hAnsiTheme="minorEastAsia" w:eastAsiaTheme="minorEastAsia" w:cstheme="minorEastAsia"/>
          <w:sz w:val="21"/>
          <w:szCs w:val="21"/>
          <w:highlight w:val="none"/>
        </w:rPr>
        <w:t>采用合同分包形式投标</w:t>
      </w:r>
      <w:r>
        <w:rPr>
          <w:rFonts w:hint="eastAsia" w:asciiTheme="minorEastAsia" w:hAnsiTheme="minorEastAsia" w:eastAsiaTheme="minorEastAsia" w:cstheme="minorEastAsia"/>
          <w:bCs/>
          <w:kern w:val="0"/>
          <w:sz w:val="21"/>
          <w:szCs w:val="21"/>
          <w:highlight w:val="none"/>
        </w:rPr>
        <w:t>；</w:t>
      </w:r>
    </w:p>
    <w:p w14:paraId="3E305726">
      <w:pPr>
        <w:shd w:val="clear"/>
        <w:tabs>
          <w:tab w:val="left" w:pos="8280"/>
        </w:tabs>
        <w:autoSpaceDE w:val="0"/>
        <w:autoSpaceDN w:val="0"/>
        <w:adjustRightInd w:val="0"/>
        <w:ind w:firstLine="48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zh-CN"/>
        </w:rPr>
        <w:t>单位负责人为同一人或者存在直接控股、管理关系的不同供应商，不得参加同一合同项下的政府采购活动</w:t>
      </w:r>
      <w:r>
        <w:rPr>
          <w:rFonts w:hint="eastAsia" w:asciiTheme="minorEastAsia" w:hAnsiTheme="minorEastAsia" w:eastAsiaTheme="minorEastAsia" w:cstheme="minorEastAsia"/>
          <w:kern w:val="0"/>
          <w:sz w:val="21"/>
          <w:szCs w:val="21"/>
          <w:highlight w:val="none"/>
        </w:rPr>
        <w:t>。</w:t>
      </w:r>
    </w:p>
    <w:p w14:paraId="215DBC0D">
      <w:pPr>
        <w:shd w:val="clear"/>
        <w:snapToGrid w:val="0"/>
        <w:spacing w:beforeLines="50"/>
        <w:ind w:firstLine="413" w:firstLineChars="196"/>
        <w:jc w:val="left"/>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14:paraId="003024C6">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招标文件使自己的权益受到损害的，可在获取采购文件或者采购文件公告期限届满之日起7个工作日内一次性，质疑供应商对采购人、采购代理机构的答复不满意或者采购人、采购代理机构未在规定的时间内作出答复的，可以在答复期满后十五个工作日内向同级政府采购监督管理部门投诉。</w:t>
      </w:r>
    </w:p>
    <w:p w14:paraId="6B1D8F4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2.质疑、投诉应当采用书面形式，质疑书、投诉书均应明确阐述招标文件中使自己合法权益受到损害的实质性内容，提供相关事实、依据和证据及其来源或线索，便于有关单位调查、答复和处理。</w:t>
      </w:r>
    </w:p>
    <w:p w14:paraId="60B10D0D">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eastAsia="zh-CN"/>
        </w:rPr>
        <w:t>提</w:t>
      </w:r>
      <w:r>
        <w:rPr>
          <w:rFonts w:hint="eastAsia" w:asciiTheme="minorEastAsia" w:hAnsiTheme="minorEastAsia" w:eastAsiaTheme="minorEastAsia" w:cstheme="minorEastAsia"/>
          <w:color w:val="auto"/>
          <w:sz w:val="21"/>
          <w:szCs w:val="21"/>
          <w:highlight w:val="none"/>
        </w:rPr>
        <w:t>出质疑</w:t>
      </w:r>
      <w:r>
        <w:rPr>
          <w:rFonts w:hint="eastAsia" w:asciiTheme="minorEastAsia" w:hAnsiTheme="minorEastAsia" w:eastAsiaTheme="minorEastAsia" w:cstheme="minorEastAsia"/>
          <w:color w:val="auto"/>
          <w:sz w:val="21"/>
          <w:szCs w:val="21"/>
          <w:highlight w:val="none"/>
          <w:lang w:eastAsia="zh-CN"/>
        </w:rPr>
        <w:t>应</w:t>
      </w:r>
      <w:r>
        <w:rPr>
          <w:rFonts w:hint="eastAsia" w:asciiTheme="minorEastAsia" w:hAnsiTheme="minorEastAsia" w:eastAsiaTheme="minorEastAsia" w:cstheme="minorEastAsia"/>
          <w:color w:val="auto"/>
          <w:sz w:val="21"/>
          <w:szCs w:val="21"/>
          <w:highlight w:val="none"/>
        </w:rPr>
        <w:t>当提交质疑</w:t>
      </w:r>
      <w:r>
        <w:rPr>
          <w:rFonts w:hint="eastAsia" w:asciiTheme="minorEastAsia" w:hAnsiTheme="minorEastAsia" w:eastAsiaTheme="minorEastAsia" w:cstheme="minorEastAsia"/>
          <w:color w:val="auto"/>
          <w:sz w:val="21"/>
          <w:szCs w:val="21"/>
          <w:highlight w:val="none"/>
          <w:lang w:eastAsia="zh-CN"/>
        </w:rPr>
        <w:t>函</w:t>
      </w:r>
      <w:r>
        <w:rPr>
          <w:rFonts w:hint="eastAsia" w:asciiTheme="minorEastAsia" w:hAnsiTheme="minorEastAsia" w:eastAsiaTheme="minorEastAsia" w:cstheme="minorEastAsia"/>
          <w:color w:val="auto"/>
          <w:sz w:val="21"/>
          <w:szCs w:val="21"/>
          <w:highlight w:val="none"/>
        </w:rPr>
        <w:t>的和必要的</w:t>
      </w:r>
      <w:r>
        <w:rPr>
          <w:rFonts w:hint="eastAsia" w:asciiTheme="minorEastAsia" w:hAnsiTheme="minorEastAsia" w:eastAsiaTheme="minorEastAsia" w:cstheme="minorEastAsia"/>
          <w:color w:val="auto"/>
          <w:sz w:val="21"/>
          <w:szCs w:val="21"/>
          <w:highlight w:val="none"/>
          <w:lang w:eastAsia="zh-CN"/>
        </w:rPr>
        <w:t>证</w:t>
      </w:r>
      <w:r>
        <w:rPr>
          <w:rFonts w:hint="eastAsia" w:asciiTheme="minorEastAsia" w:hAnsiTheme="minorEastAsia" w:eastAsiaTheme="minorEastAsia" w:cstheme="minorEastAsia"/>
          <w:color w:val="auto"/>
          <w:sz w:val="21"/>
          <w:szCs w:val="21"/>
          <w:highlight w:val="none"/>
        </w:rPr>
        <w:t>明</w:t>
      </w:r>
      <w:r>
        <w:rPr>
          <w:rFonts w:hint="eastAsia" w:asciiTheme="minorEastAsia" w:hAnsiTheme="minorEastAsia" w:eastAsiaTheme="minorEastAsia" w:cstheme="minorEastAsia"/>
          <w:color w:val="auto"/>
          <w:sz w:val="21"/>
          <w:szCs w:val="21"/>
          <w:highlight w:val="none"/>
          <w:lang w:eastAsia="zh-CN"/>
        </w:rPr>
        <w:t>材</w:t>
      </w:r>
      <w:r>
        <w:rPr>
          <w:rFonts w:hint="eastAsia" w:asciiTheme="minorEastAsia" w:hAnsiTheme="minorEastAsia" w:eastAsiaTheme="minorEastAsia" w:cstheme="minorEastAsia"/>
          <w:color w:val="auto"/>
          <w:sz w:val="21"/>
          <w:szCs w:val="21"/>
          <w:highlight w:val="none"/>
        </w:rPr>
        <w:t>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政府</w:t>
      </w:r>
      <w:r>
        <w:rPr>
          <w:rFonts w:hint="eastAsia" w:asciiTheme="minorEastAsia" w:hAnsiTheme="minorEastAsia" w:eastAsiaTheme="minorEastAsia" w:cstheme="minorEastAsia"/>
          <w:color w:val="auto"/>
          <w:sz w:val="21"/>
          <w:szCs w:val="21"/>
          <w:highlight w:val="none"/>
        </w:rPr>
        <w:t>采购供应商质疑函范本</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下载地址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（中华人民共和国财政部国库司）</w:t>
      </w:r>
      <w:r>
        <w:rPr>
          <w:rFonts w:hint="eastAsia" w:asciiTheme="minorEastAsia" w:hAnsiTheme="minorEastAsia" w:eastAsiaTheme="minorEastAsia" w:cstheme="minorEastAsia"/>
          <w:color w:val="auto"/>
          <w:sz w:val="21"/>
          <w:szCs w:val="21"/>
          <w:highlight w:val="none"/>
        </w:rPr>
        <w:t>,质疑</w:t>
      </w:r>
      <w:r>
        <w:rPr>
          <w:rFonts w:hint="eastAsia" w:asciiTheme="minorEastAsia" w:hAnsiTheme="minorEastAsia" w:eastAsiaTheme="minorEastAsia" w:cstheme="minorEastAsia"/>
          <w:color w:val="auto"/>
          <w:sz w:val="21"/>
          <w:szCs w:val="21"/>
          <w:highlight w:val="none"/>
          <w:lang w:eastAsia="zh-CN"/>
        </w:rPr>
        <w:t>函应当</w:t>
      </w:r>
      <w:r>
        <w:rPr>
          <w:rFonts w:hint="eastAsia" w:asciiTheme="minorEastAsia" w:hAnsiTheme="minorEastAsia" w:eastAsiaTheme="minorEastAsia" w:cstheme="minorEastAsia"/>
          <w:color w:val="auto"/>
          <w:sz w:val="21"/>
          <w:szCs w:val="21"/>
          <w:highlight w:val="none"/>
        </w:rPr>
        <w:t>包括下列</w:t>
      </w:r>
      <w:r>
        <w:rPr>
          <w:rFonts w:hint="eastAsia" w:asciiTheme="minorEastAsia" w:hAnsiTheme="minorEastAsia" w:eastAsiaTheme="minorEastAsia" w:cstheme="minorEastAsia"/>
          <w:color w:val="auto"/>
          <w:sz w:val="21"/>
          <w:szCs w:val="21"/>
          <w:highlight w:val="none"/>
          <w:lang w:eastAsia="zh-CN"/>
        </w:rPr>
        <w:t>内容</w:t>
      </w:r>
      <w:r>
        <w:rPr>
          <w:rFonts w:hint="eastAsia" w:asciiTheme="minorEastAsia" w:hAnsiTheme="minorEastAsia" w:eastAsiaTheme="minorEastAsia" w:cstheme="minorEastAsia"/>
          <w:color w:val="auto"/>
          <w:sz w:val="21"/>
          <w:szCs w:val="21"/>
          <w:highlight w:val="none"/>
        </w:rPr>
        <w:t>:</w:t>
      </w:r>
    </w:p>
    <w:p w14:paraId="77925A9F">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一</w:t>
      </w:r>
      <w:r>
        <w:rPr>
          <w:rFonts w:hint="eastAsia" w:asciiTheme="minorEastAsia" w:hAnsiTheme="minorEastAsia" w:eastAsiaTheme="minorEastAsia" w:cstheme="minorEastAsia"/>
          <w:color w:val="auto"/>
          <w:sz w:val="21"/>
          <w:szCs w:val="21"/>
          <w:highlight w:val="none"/>
        </w:rPr>
        <w:t>)供应商的姓名或者名称、地址、邮编、联系人及联系电话</w:t>
      </w:r>
      <w:r>
        <w:rPr>
          <w:rFonts w:hint="eastAsia" w:asciiTheme="minorEastAsia" w:hAnsiTheme="minorEastAsia" w:eastAsiaTheme="minorEastAsia" w:cstheme="minorEastAsia"/>
          <w:color w:val="auto"/>
          <w:sz w:val="21"/>
          <w:szCs w:val="21"/>
          <w:highlight w:val="none"/>
          <w:lang w:eastAsia="zh-CN"/>
        </w:rPr>
        <w:t>；</w:t>
      </w:r>
    </w:p>
    <w:p w14:paraId="3C1A6CC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(二)质疑项目的名称、编号</w:t>
      </w:r>
      <w:r>
        <w:rPr>
          <w:rFonts w:hint="eastAsia" w:asciiTheme="minorEastAsia" w:hAnsiTheme="minorEastAsia" w:eastAsiaTheme="minorEastAsia" w:cstheme="minorEastAsia"/>
          <w:color w:val="auto"/>
          <w:sz w:val="21"/>
          <w:szCs w:val="21"/>
          <w:highlight w:val="none"/>
          <w:lang w:eastAsia="zh-CN"/>
        </w:rPr>
        <w:t>；</w:t>
      </w:r>
    </w:p>
    <w:p w14:paraId="773E91AA">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(三)具体、明确的质疑事项和与质疑事项相关的请求</w:t>
      </w:r>
      <w:r>
        <w:rPr>
          <w:rFonts w:hint="eastAsia" w:asciiTheme="minorEastAsia" w:hAnsiTheme="minorEastAsia" w:eastAsiaTheme="minorEastAsia" w:cstheme="minorEastAsia"/>
          <w:color w:val="auto"/>
          <w:sz w:val="21"/>
          <w:szCs w:val="21"/>
          <w:highlight w:val="none"/>
          <w:lang w:eastAsia="zh-CN"/>
        </w:rPr>
        <w:t>；</w:t>
      </w:r>
    </w:p>
    <w:p w14:paraId="5536F123">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(四)事实依据</w:t>
      </w:r>
      <w:r>
        <w:rPr>
          <w:rFonts w:hint="eastAsia" w:asciiTheme="minorEastAsia" w:hAnsiTheme="minorEastAsia" w:eastAsiaTheme="minorEastAsia" w:cstheme="minorEastAsia"/>
          <w:color w:val="auto"/>
          <w:sz w:val="21"/>
          <w:szCs w:val="21"/>
          <w:highlight w:val="none"/>
          <w:lang w:eastAsia="zh-CN"/>
        </w:rPr>
        <w:t>；</w:t>
      </w:r>
    </w:p>
    <w:p w14:paraId="5612D2F2">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(五)必要的法律依据</w:t>
      </w:r>
      <w:r>
        <w:rPr>
          <w:rFonts w:hint="eastAsia" w:asciiTheme="minorEastAsia" w:hAnsiTheme="minorEastAsia" w:eastAsiaTheme="minorEastAsia" w:cstheme="minorEastAsia"/>
          <w:color w:val="auto"/>
          <w:sz w:val="21"/>
          <w:szCs w:val="21"/>
          <w:highlight w:val="none"/>
          <w:lang w:eastAsia="zh-CN"/>
        </w:rPr>
        <w:t>；</w:t>
      </w:r>
    </w:p>
    <w:p w14:paraId="5604CC31">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(六)提出质疑的日期。</w:t>
      </w:r>
    </w:p>
    <w:p w14:paraId="6C92E4CE">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投标人为自然人的，应当由本人签字</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投标人为法人或者其他组织的，应当由法定代表人、主要负责人，或者其授权代表签字或者盖章，并加盖公章。</w:t>
      </w:r>
    </w:p>
    <w:p w14:paraId="0A8AF776">
      <w:p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质疑受理地点：</w:t>
      </w:r>
      <w:r>
        <w:rPr>
          <w:rFonts w:hint="eastAsia" w:asciiTheme="minorEastAsia" w:hAnsiTheme="minorEastAsia" w:eastAsiaTheme="minorEastAsia" w:cstheme="minorEastAsia"/>
          <w:color w:val="auto"/>
          <w:sz w:val="21"/>
          <w:szCs w:val="21"/>
          <w:highlight w:val="none"/>
          <w:lang w:eastAsia="zh-CN"/>
        </w:rPr>
        <w:t>路桥区</w:t>
      </w:r>
      <w:r>
        <w:rPr>
          <w:rFonts w:hint="eastAsia" w:asciiTheme="minorEastAsia" w:hAnsiTheme="minorEastAsia" w:eastAsiaTheme="minorEastAsia" w:cstheme="minorEastAsia"/>
          <w:color w:val="auto"/>
          <w:sz w:val="21"/>
          <w:szCs w:val="21"/>
          <w:highlight w:val="none"/>
          <w:lang w:val="en-US" w:eastAsia="zh-CN"/>
        </w:rPr>
        <w:t>花鸟巷238号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建经投资咨询有限公司</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联系人：林炳洪，联系电话：13362681081。</w:t>
      </w:r>
    </w:p>
    <w:p w14:paraId="27670213">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提出质疑的供应商应当是参与本项招标活动的投标人或法律规定具备质疑资格的主体，在法定质疑期内应一次性提出针对同一采购程序环节的所有质疑。</w:t>
      </w:r>
    </w:p>
    <w:p w14:paraId="1BC206BB">
      <w:pPr>
        <w:numPr>
          <w:ilvl w:val="0"/>
          <w:numId w:val="0"/>
        </w:numPr>
        <w:shd w:val="clea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根据《政府采购质疑和投诉办法》第三十七条的规定，投诉人在全国范围12个月内三</w:t>
      </w:r>
      <w:r>
        <w:rPr>
          <w:rFonts w:hint="eastAsia" w:asciiTheme="minorEastAsia" w:hAnsiTheme="minorEastAsia" w:eastAsiaTheme="minorEastAsia" w:cstheme="minorEastAsia"/>
          <w:color w:val="auto"/>
          <w:sz w:val="21"/>
          <w:szCs w:val="21"/>
          <w:highlight w:val="none"/>
          <w:lang w:eastAsia="zh-CN"/>
        </w:rPr>
        <w:t>次</w:t>
      </w:r>
      <w:r>
        <w:rPr>
          <w:rFonts w:hint="eastAsia" w:asciiTheme="minorEastAsia" w:hAnsiTheme="minorEastAsia" w:eastAsiaTheme="minorEastAsia" w:cstheme="minorEastAsia"/>
          <w:color w:val="auto"/>
          <w:sz w:val="21"/>
          <w:szCs w:val="21"/>
          <w:highlight w:val="none"/>
        </w:rPr>
        <w:t>以上投诉查无实据的，由财政部门列入不良行为记录名单。</w:t>
      </w:r>
    </w:p>
    <w:p w14:paraId="1152CFA0">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 招标文件</w:t>
      </w:r>
    </w:p>
    <w:p w14:paraId="59297C13">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（一）招标文件的构成。本招标文件由以下部份组成：</w:t>
      </w:r>
    </w:p>
    <w:p w14:paraId="5AB44F53">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1.招标公告</w:t>
      </w:r>
      <w:r>
        <w:rPr>
          <w:rFonts w:hint="eastAsia" w:asciiTheme="minorEastAsia" w:hAnsiTheme="minorEastAsia" w:eastAsiaTheme="minorEastAsia" w:cstheme="minorEastAsia"/>
          <w:color w:val="auto"/>
          <w:sz w:val="21"/>
          <w:szCs w:val="21"/>
          <w:highlight w:val="none"/>
          <w:lang w:eastAsia="zh-CN"/>
        </w:rPr>
        <w:t>；</w:t>
      </w:r>
    </w:p>
    <w:p w14:paraId="1C1799D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2.招标需求</w:t>
      </w:r>
      <w:r>
        <w:rPr>
          <w:rFonts w:hint="eastAsia" w:asciiTheme="minorEastAsia" w:hAnsiTheme="minorEastAsia" w:eastAsiaTheme="minorEastAsia" w:cstheme="minorEastAsia"/>
          <w:color w:val="auto"/>
          <w:sz w:val="21"/>
          <w:szCs w:val="21"/>
          <w:highlight w:val="none"/>
          <w:lang w:eastAsia="zh-CN"/>
        </w:rPr>
        <w:t>；</w:t>
      </w:r>
    </w:p>
    <w:p w14:paraId="591DB14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3.投标人须知</w:t>
      </w:r>
      <w:r>
        <w:rPr>
          <w:rFonts w:hint="eastAsia" w:asciiTheme="minorEastAsia" w:hAnsiTheme="minorEastAsia" w:eastAsiaTheme="minorEastAsia" w:cstheme="minorEastAsia"/>
          <w:color w:val="auto"/>
          <w:sz w:val="21"/>
          <w:szCs w:val="21"/>
          <w:highlight w:val="none"/>
          <w:lang w:eastAsia="zh-CN"/>
        </w:rPr>
        <w:t>；</w:t>
      </w:r>
    </w:p>
    <w:p w14:paraId="2F882E3E">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4.评标办法及标准</w:t>
      </w:r>
      <w:r>
        <w:rPr>
          <w:rFonts w:hint="eastAsia" w:asciiTheme="minorEastAsia" w:hAnsiTheme="minorEastAsia" w:eastAsiaTheme="minorEastAsia" w:cstheme="minorEastAsia"/>
          <w:color w:val="auto"/>
          <w:sz w:val="21"/>
          <w:szCs w:val="21"/>
          <w:highlight w:val="none"/>
          <w:lang w:eastAsia="zh-CN"/>
        </w:rPr>
        <w:t>；</w:t>
      </w:r>
    </w:p>
    <w:p w14:paraId="7E697D45">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5.合同主要条款</w:t>
      </w:r>
      <w:r>
        <w:rPr>
          <w:rFonts w:hint="eastAsia" w:asciiTheme="minorEastAsia" w:hAnsiTheme="minorEastAsia" w:eastAsiaTheme="minorEastAsia" w:cstheme="minorEastAsia"/>
          <w:color w:val="auto"/>
          <w:sz w:val="21"/>
          <w:szCs w:val="21"/>
          <w:highlight w:val="none"/>
          <w:lang w:eastAsia="zh-CN"/>
        </w:rPr>
        <w:t>；</w:t>
      </w:r>
    </w:p>
    <w:p w14:paraId="798F2879">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6.投标文件格式</w:t>
      </w:r>
      <w:r>
        <w:rPr>
          <w:rFonts w:hint="eastAsia" w:asciiTheme="minorEastAsia" w:hAnsiTheme="minorEastAsia" w:eastAsiaTheme="minorEastAsia" w:cstheme="minorEastAsia"/>
          <w:color w:val="auto"/>
          <w:sz w:val="21"/>
          <w:szCs w:val="21"/>
          <w:highlight w:val="none"/>
          <w:lang w:eastAsia="zh-CN"/>
        </w:rPr>
        <w:t>；</w:t>
      </w:r>
    </w:p>
    <w:p w14:paraId="472F4748">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7.本项目招标文件的澄清、答复、修改、补充的内容</w:t>
      </w:r>
      <w:r>
        <w:rPr>
          <w:rFonts w:hint="eastAsia" w:asciiTheme="minorEastAsia" w:hAnsiTheme="minorEastAsia" w:eastAsiaTheme="minorEastAsia" w:cstheme="minorEastAsia"/>
          <w:color w:val="auto"/>
          <w:sz w:val="21"/>
          <w:szCs w:val="21"/>
          <w:highlight w:val="none"/>
          <w:lang w:eastAsia="zh-CN"/>
        </w:rPr>
        <w:t>。</w:t>
      </w:r>
    </w:p>
    <w:p w14:paraId="53430CDE">
      <w:pPr>
        <w:shd w:val="clear"/>
        <w:snapToGrid w:val="0"/>
        <w:spacing w:beforeLines="50"/>
        <w:ind w:firstLine="413" w:firstLineChars="19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（二）投标人的风险</w:t>
      </w:r>
    </w:p>
    <w:p w14:paraId="6C2BCDD9">
      <w:pPr>
        <w:pStyle w:val="59"/>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投标人没有按照招标文件要求提供全部资料，或者投标人没有对招标文件在各方面作出实质性响应是投标人的风险，并可能导致其投标被拒绝。</w:t>
      </w:r>
    </w:p>
    <w:p w14:paraId="47BDB736">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（三）招标文件的澄清与修改 </w:t>
      </w:r>
    </w:p>
    <w:p w14:paraId="18987F7C">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可视采购具体情况对已发出的招标文件进行必要的澄清或者修改。澄清或者修改的内容可能影响投标文件编制的，采购人或者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应当在投标截止时间至少15日前，在原公告发布媒体上发布澄清公告，澄清或者修改的内容为招标文件的组成部分；不足15日的，采购人或者</w:t>
      </w:r>
      <w:r>
        <w:rPr>
          <w:rFonts w:hint="eastAsia" w:asciiTheme="minorEastAsia" w:hAnsiTheme="minorEastAsia" w:eastAsiaTheme="minorEastAsia" w:cstheme="minorEastAsia"/>
          <w:color w:val="auto"/>
          <w:kern w:val="0"/>
          <w:sz w:val="21"/>
          <w:szCs w:val="21"/>
          <w:highlight w:val="none"/>
          <w:lang w:eastAsia="zh-CN"/>
        </w:rPr>
        <w:t>采购组织机构</w:t>
      </w:r>
      <w:r>
        <w:rPr>
          <w:rFonts w:hint="eastAsia" w:asciiTheme="minorEastAsia" w:hAnsiTheme="minorEastAsia" w:eastAsiaTheme="minorEastAsia" w:cstheme="minorEastAsia"/>
          <w:color w:val="auto"/>
          <w:kern w:val="0"/>
          <w:sz w:val="21"/>
          <w:szCs w:val="21"/>
          <w:highlight w:val="none"/>
        </w:rPr>
        <w:t>应当顺延提交投标文件的截止时间。</w:t>
      </w:r>
    </w:p>
    <w:p w14:paraId="3CBC8A6B">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2.招标文件澄清、答复、修改、补充的内容为招标文件的组成部分。当招标文件与招标文件的答复、澄清、修改、补充通知就同一内容的表述不一致时，以最后发出的书面文件为准。</w:t>
      </w:r>
    </w:p>
    <w:p w14:paraId="3D683626">
      <w:pPr>
        <w:pStyle w:val="39"/>
        <w:shd w:val="clear"/>
        <w:snapToGrid w:val="0"/>
        <w:ind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3.招标文件的澄清、答复、修改或补充都应该通过本代理机构以法定形式发布，采购人非通过本机构，不得擅自澄清、答复、修改或补充招标文件。</w:t>
      </w:r>
    </w:p>
    <w:p w14:paraId="0A3539E2">
      <w:pPr>
        <w:pStyle w:val="39"/>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stheme="minorEastAsia"/>
          <w:color w:val="auto"/>
          <w:kern w:val="2"/>
          <w:sz w:val="21"/>
          <w:szCs w:val="21"/>
          <w:highlight w:val="none"/>
        </w:rPr>
        <w:t>。</w:t>
      </w:r>
    </w:p>
    <w:p w14:paraId="53FE44D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三、投标文件的编制</w:t>
      </w:r>
    </w:p>
    <w:p w14:paraId="7BD2B5E7">
      <w:pPr>
        <w:keepNext w:val="0"/>
        <w:keepLines w:val="0"/>
        <w:pageBreakBefore w:val="0"/>
        <w:widowControl w:val="0"/>
        <w:shd w:val="clear"/>
        <w:kinsoku/>
        <w:wordWrap/>
        <w:overflowPunct/>
        <w:topLinePunct w:val="0"/>
        <w:autoSpaceDE/>
        <w:autoSpaceDN/>
        <w:bidi w:val="0"/>
        <w:adjustRightInd/>
        <w:snapToGrid w:val="0"/>
        <w:spacing w:line="360" w:lineRule="auto"/>
        <w:ind w:firstLine="413" w:firstLineChars="196"/>
        <w:jc w:val="left"/>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（一）投标文件的组成</w:t>
      </w:r>
    </w:p>
    <w:p w14:paraId="7F875C13">
      <w:pPr>
        <w:shd w:val="clear"/>
        <w:snapToGrid w:val="0"/>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投标文件由</w:t>
      </w:r>
      <w:r>
        <w:rPr>
          <w:rFonts w:hint="eastAsia" w:asciiTheme="minorEastAsia" w:hAnsiTheme="minorEastAsia" w:eastAsiaTheme="minorEastAsia" w:cstheme="minorEastAsia"/>
          <w:b/>
          <w:bCs/>
          <w:color w:val="auto"/>
          <w:sz w:val="21"/>
          <w:szCs w:val="21"/>
          <w:highlight w:val="none"/>
          <w:u w:val="single"/>
        </w:rPr>
        <w:t>资格证明文件</w:t>
      </w:r>
      <w:r>
        <w:rPr>
          <w:rFonts w:hint="eastAsia" w:asciiTheme="minorEastAsia" w:hAnsiTheme="minorEastAsia" w:eastAsiaTheme="minorEastAsia" w:cstheme="minorEastAsia"/>
          <w:b/>
          <w:bCs/>
          <w:color w:val="auto"/>
          <w:sz w:val="21"/>
          <w:szCs w:val="21"/>
          <w:highlight w:val="none"/>
          <w:u w:val="single"/>
          <w:lang w:eastAsia="zh-CN"/>
        </w:rPr>
        <w:t>、</w:t>
      </w:r>
      <w:r>
        <w:rPr>
          <w:rFonts w:hint="eastAsia" w:asciiTheme="minorEastAsia" w:hAnsiTheme="minorEastAsia" w:eastAsiaTheme="minorEastAsia" w:cstheme="minorEastAsia"/>
          <w:b/>
          <w:bCs/>
          <w:color w:val="auto"/>
          <w:sz w:val="21"/>
          <w:szCs w:val="21"/>
          <w:highlight w:val="none"/>
          <w:u w:val="single"/>
        </w:rPr>
        <w:t>商务与技术文件</w:t>
      </w:r>
      <w:r>
        <w:rPr>
          <w:rFonts w:hint="eastAsia" w:asciiTheme="minorEastAsia" w:hAnsiTheme="minorEastAsia" w:eastAsiaTheme="minorEastAsia" w:cstheme="minorEastAsia"/>
          <w:b/>
          <w:bCs/>
          <w:color w:val="auto"/>
          <w:sz w:val="21"/>
          <w:szCs w:val="21"/>
          <w:highlight w:val="none"/>
          <w:u w:val="single"/>
          <w:lang w:eastAsia="zh-CN"/>
        </w:rPr>
        <w:t>和</w:t>
      </w:r>
      <w:r>
        <w:rPr>
          <w:rFonts w:hint="eastAsia" w:asciiTheme="minorEastAsia" w:hAnsiTheme="minorEastAsia" w:eastAsiaTheme="minorEastAsia" w:cstheme="minorEastAsia"/>
          <w:b/>
          <w:bCs/>
          <w:color w:val="auto"/>
          <w:sz w:val="21"/>
          <w:szCs w:val="21"/>
          <w:highlight w:val="none"/>
          <w:u w:val="single"/>
        </w:rPr>
        <w:t>报价文件</w:t>
      </w:r>
      <w:r>
        <w:rPr>
          <w:rFonts w:hint="eastAsia" w:asciiTheme="minorEastAsia" w:hAnsiTheme="minorEastAsia" w:eastAsiaTheme="minorEastAsia" w:cstheme="minorEastAsia"/>
          <w:b w:val="0"/>
          <w:bCs w:val="0"/>
          <w:color w:val="auto"/>
          <w:sz w:val="21"/>
          <w:szCs w:val="21"/>
          <w:highlight w:val="none"/>
          <w:u w:val="none"/>
          <w:lang w:val="en-US" w:eastAsia="zh-CN"/>
        </w:rPr>
        <w:t>三部分</w:t>
      </w:r>
      <w:r>
        <w:rPr>
          <w:rFonts w:hint="eastAsia" w:asciiTheme="minorEastAsia" w:hAnsiTheme="minorEastAsia" w:eastAsiaTheme="minorEastAsia" w:cstheme="minorEastAsia"/>
          <w:color w:val="auto"/>
          <w:sz w:val="21"/>
          <w:szCs w:val="21"/>
          <w:highlight w:val="none"/>
        </w:rPr>
        <w:t>组成。</w:t>
      </w:r>
    </w:p>
    <w:p w14:paraId="0B8AE478">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1、资格证明文件的组成：</w:t>
      </w:r>
    </w:p>
    <w:p w14:paraId="2D3E075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投标函（格式见附件）；</w:t>
      </w:r>
    </w:p>
    <w:p w14:paraId="639CF1A6">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投标声明书（格式见附件）；</w:t>
      </w:r>
    </w:p>
    <w:p w14:paraId="0F5DA31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授权委托书（格式见附件）（若规定签字或盖章位置由法定代表人签字盖章的，则无需提供法定代表人授权书，仅提供法定代表人身份证即可，法定代表人须与营业执照上载明的一致）；</w:t>
      </w:r>
    </w:p>
    <w:p w14:paraId="3426D2A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）企业营业执照或事业单位法人证书</w:t>
      </w:r>
      <w:r>
        <w:rPr>
          <w:rFonts w:hint="eastAsia" w:asciiTheme="minorEastAsia" w:hAnsiTheme="minorEastAsia" w:eastAsiaTheme="minorEastAsia" w:cstheme="minorEastAsia"/>
          <w:color w:val="auto"/>
          <w:sz w:val="21"/>
          <w:szCs w:val="21"/>
          <w:highlight w:val="none"/>
          <w:lang w:eastAsia="zh-CN"/>
        </w:rPr>
        <w:t>、旅行社业务经营许可证</w:t>
      </w:r>
      <w:r>
        <w:rPr>
          <w:rFonts w:hint="eastAsia" w:asciiTheme="minorEastAsia" w:hAnsiTheme="minorEastAsia" w:eastAsiaTheme="minorEastAsia" w:cstheme="minorEastAsia"/>
          <w:color w:val="auto"/>
          <w:sz w:val="21"/>
          <w:szCs w:val="21"/>
          <w:highlight w:val="none"/>
          <w:lang w:val="en-US" w:eastAsia="zh-CN"/>
        </w:rPr>
        <w:t>；</w:t>
      </w:r>
    </w:p>
    <w:p w14:paraId="131BC28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具有履行合同所必需的场地、设备和专业技术能力的承诺函</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p>
    <w:p w14:paraId="5C9BF8B2">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依法缴纳税收和社会保障资金的承诺函（</w:t>
      </w:r>
      <w:r>
        <w:rPr>
          <w:rFonts w:hint="eastAsia" w:asciiTheme="minorEastAsia" w:hAnsiTheme="minorEastAsia" w:eastAsiaTheme="minorEastAsia" w:cstheme="minorEastAsia"/>
          <w:color w:val="auto"/>
          <w:sz w:val="21"/>
          <w:szCs w:val="21"/>
          <w:highlight w:val="none"/>
          <w:lang w:val="zh-CN" w:eastAsia="zh-CN"/>
        </w:rPr>
        <w:t>格式见附件</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w:t>
      </w:r>
    </w:p>
    <w:p w14:paraId="7BE679B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（7）投标供应商没有失信记录承诺函（格式见附件）。</w:t>
      </w:r>
    </w:p>
    <w:p w14:paraId="64C6DE4A">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（8）《中小企业声明函》（格式见附件）、监狱企业的证明文件（如有，格式见附件）、残疾人福利性单位声明函（如有，格式见附件）。产品适用政府采购政策情况表（如有，格式见附件）。</w:t>
      </w:r>
    </w:p>
    <w:p w14:paraId="318FF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上述资格条件审查材料有一项不提供的，视为资格审查不通过。</w:t>
      </w:r>
    </w:p>
    <w:p w14:paraId="58D0433A">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2、商务与技术文件的组成：</w:t>
      </w:r>
    </w:p>
    <w:p w14:paraId="1EE659E8">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（1）诚信承诺书（格式见附件）</w:t>
      </w:r>
      <w:r>
        <w:rPr>
          <w:rFonts w:hint="eastAsia" w:asciiTheme="minorEastAsia" w:hAnsiTheme="minorEastAsia" w:eastAsiaTheme="minorEastAsia" w:cstheme="minorEastAsia"/>
          <w:color w:val="auto"/>
          <w:sz w:val="21"/>
          <w:szCs w:val="21"/>
          <w:highlight w:val="none"/>
        </w:rPr>
        <w:t>；</w:t>
      </w:r>
    </w:p>
    <w:p w14:paraId="7E95D513">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（2）商务需求响应表（格式见附件）；</w:t>
      </w:r>
    </w:p>
    <w:p w14:paraId="2CD6C6EC">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（3）项目实施人员汇总表（格式见附件）；</w:t>
      </w:r>
    </w:p>
    <w:p w14:paraId="1F0A545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（4）技术条款偏离表（格式见附件）；</w:t>
      </w:r>
    </w:p>
    <w:p w14:paraId="1F5E55A7">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（5）类似项目业绩一览表（格式见附件）；</w:t>
      </w:r>
    </w:p>
    <w:p w14:paraId="0C088B8E">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（6）服务点情况介绍及服务承诺书（格式见附件）；</w:t>
      </w:r>
    </w:p>
    <w:p w14:paraId="6817BBE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（7）根据评标办法内容自拟格式编制其他相应内容。</w:t>
      </w:r>
    </w:p>
    <w:p w14:paraId="178B6861">
      <w:pPr>
        <w:shd w:val="clear"/>
        <w:snapToGrid w:val="0"/>
        <w:ind w:firstLine="413" w:firstLineChars="196"/>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3、报价文件：</w:t>
      </w:r>
    </w:p>
    <w:p w14:paraId="20022F2F">
      <w:pPr>
        <w:pStyle w:val="73"/>
        <w:jc w:val="left"/>
        <w:rPr>
          <w:rFonts w:hint="default"/>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标段一：</w:t>
      </w:r>
    </w:p>
    <w:p w14:paraId="4C50D602">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标段一</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055212B3">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5BFEAD9A">
      <w:pPr>
        <w:pStyle w:val="73"/>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标段二：</w:t>
      </w:r>
    </w:p>
    <w:p w14:paraId="0810837E">
      <w:pP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（1）▲投标报价一览表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标段二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（格式见附件）；</w:t>
      </w:r>
    </w:p>
    <w:p w14:paraId="6EC3AF6A">
      <w:pPr>
        <w:keepNext w:val="0"/>
        <w:keepLines w:val="0"/>
        <w:pageBreakBefore w:val="0"/>
        <w:kinsoku/>
        <w:wordWrap/>
        <w:overflowPunct/>
        <w:topLinePunct w:val="0"/>
        <w:autoSpaceDE/>
        <w:autoSpaceDN/>
        <w:bidi w:val="0"/>
        <w:adjustRightInd w:val="0"/>
        <w:snapToGrid w:val="0"/>
        <w:ind w:firstLine="411" w:firstLineChars="196"/>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（2）投标人针对报价需要说明的其他文件和说明。</w:t>
      </w:r>
    </w:p>
    <w:p w14:paraId="222C1199">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color w:val="auto"/>
          <w:sz w:val="21"/>
          <w:szCs w:val="21"/>
          <w:highlight w:val="none"/>
        </w:rPr>
        <w:t>投标报价单不得涂改和增删，如有错漏必须修改，修改处须由报价单同一签署人</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或盖章。由于字迹模糊或表达不清引起的后果由投标人负责</w:t>
      </w:r>
      <w:r>
        <w:rPr>
          <w:rFonts w:hint="eastAsia" w:asciiTheme="minorEastAsia" w:hAnsiTheme="minorEastAsia" w:eastAsiaTheme="minorEastAsia" w:cstheme="minorEastAsia"/>
          <w:color w:val="auto"/>
          <w:sz w:val="21"/>
          <w:szCs w:val="21"/>
          <w:highlight w:val="none"/>
          <w:lang w:eastAsia="zh-CN"/>
        </w:rPr>
        <w:t>。</w:t>
      </w:r>
    </w:p>
    <w:p w14:paraId="53430C55">
      <w:pPr>
        <w:shd w:val="clear"/>
        <w:snapToGrid w:val="0"/>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▲本次招标只有一次投标报价的机会，供应商应考虑企业自身实力、经验及项目实施过程中的各种因素，在投标报价中应充分考虑所有可能发生的费用，否则采购人将视投标总价中已包括所有费用。</w:t>
      </w:r>
    </w:p>
    <w:p w14:paraId="07BEFD4A">
      <w:pPr>
        <w:shd w:val="clear"/>
        <w:snapToGrid w:val="0"/>
        <w:ind w:firstLine="413" w:firstLineChars="196"/>
        <w:jc w:val="left"/>
        <w:outlineLvl w:val="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bCs/>
          <w:color w:val="auto"/>
          <w:kern w:val="0"/>
          <w:sz w:val="21"/>
          <w:szCs w:val="21"/>
          <w:highlight w:val="none"/>
        </w:rPr>
        <w:t>投标文件的制作、封装及递交</w:t>
      </w:r>
      <w:r>
        <w:rPr>
          <w:rFonts w:hint="eastAsia" w:asciiTheme="minorEastAsia" w:hAnsiTheme="minorEastAsia" w:eastAsiaTheme="minorEastAsia" w:cstheme="minorEastAsia"/>
          <w:b/>
          <w:bCs/>
          <w:color w:val="auto"/>
          <w:kern w:val="0"/>
          <w:sz w:val="21"/>
          <w:szCs w:val="21"/>
          <w:highlight w:val="none"/>
          <w:lang w:val="en-US" w:eastAsia="zh-CN"/>
        </w:rPr>
        <w:t>要求</w:t>
      </w:r>
    </w:p>
    <w:p w14:paraId="24646DAE">
      <w:pPr>
        <w:shd w:val="clear"/>
        <w:snapToGrid w:val="0"/>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投标文件制作</w:t>
      </w:r>
      <w:r>
        <w:rPr>
          <w:rFonts w:hint="eastAsia" w:asciiTheme="minorEastAsia" w:hAnsiTheme="minorEastAsia" w:eastAsiaTheme="minorEastAsia" w:cstheme="minorEastAsia"/>
          <w:b/>
          <w:bCs/>
          <w:color w:val="auto"/>
          <w:sz w:val="21"/>
          <w:szCs w:val="21"/>
          <w:highlight w:val="none"/>
          <w:lang w:val="en-US" w:eastAsia="zh-CN"/>
        </w:rPr>
        <w:t>要求</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14:paraId="7C8556BD">
      <w:pPr>
        <w:numPr>
          <w:ilvl w:val="0"/>
          <w:numId w:val="0"/>
        </w:numPr>
        <w:shd w:val="clear"/>
        <w:snapToGrid w:val="0"/>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投标人应对所提供的全部资料的真实性承担法律责任，</w:t>
      </w:r>
      <w:r>
        <w:rPr>
          <w:rFonts w:hint="eastAsia" w:asciiTheme="minorEastAsia" w:hAnsiTheme="minorEastAsia" w:eastAsiaTheme="minorEastAsia" w:cstheme="minorEastAsia"/>
          <w:color w:val="auto"/>
          <w:kern w:val="0"/>
          <w:sz w:val="21"/>
          <w:szCs w:val="21"/>
          <w:highlight w:val="none"/>
          <w:lang w:val="zh-CN"/>
        </w:rPr>
        <w:t>投标文件内容中有要求盖章或签字的地方，必须加盖投标人的公章以及法定代表人或</w:t>
      </w:r>
      <w:r>
        <w:rPr>
          <w:rFonts w:hint="eastAsia" w:asciiTheme="minorEastAsia" w:hAnsiTheme="minorEastAsia" w:eastAsiaTheme="minorEastAsia" w:cstheme="minorEastAsia"/>
          <w:color w:val="auto"/>
          <w:kern w:val="0"/>
          <w:sz w:val="21"/>
          <w:szCs w:val="21"/>
          <w:highlight w:val="none"/>
          <w:lang w:val="en-US" w:eastAsia="zh-CN"/>
        </w:rPr>
        <w:t>授权委托代理人</w:t>
      </w:r>
      <w:r>
        <w:rPr>
          <w:rFonts w:hint="eastAsia" w:asciiTheme="minorEastAsia" w:hAnsiTheme="minorEastAsia" w:eastAsiaTheme="minorEastAsia" w:cstheme="minorEastAsia"/>
          <w:color w:val="auto"/>
          <w:kern w:val="0"/>
          <w:sz w:val="21"/>
          <w:szCs w:val="21"/>
          <w:highlight w:val="none"/>
          <w:lang w:val="zh-CN"/>
        </w:rPr>
        <w:t>盖章或签字。</w:t>
      </w:r>
    </w:p>
    <w:p w14:paraId="75AFD2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投标文件以及投标人与</w:t>
      </w:r>
      <w:r>
        <w:rPr>
          <w:rFonts w:hint="eastAsia" w:asciiTheme="minorEastAsia" w:hAnsiTheme="minorEastAsia" w:eastAsiaTheme="minorEastAsia" w:cstheme="minorEastAsia"/>
          <w:color w:val="auto"/>
          <w:sz w:val="21"/>
          <w:szCs w:val="21"/>
          <w:highlight w:val="none"/>
          <w:lang w:eastAsia="zh-CN"/>
        </w:rPr>
        <w:t>采购组织机构</w:t>
      </w:r>
      <w:r>
        <w:rPr>
          <w:rFonts w:hint="eastAsia" w:asciiTheme="minorEastAsia" w:hAnsiTheme="minorEastAsia" w:eastAsiaTheme="minorEastAsia" w:cstheme="minorEastAsia"/>
          <w:color w:val="auto"/>
          <w:sz w:val="21"/>
          <w:szCs w:val="21"/>
          <w:highlight w:val="none"/>
        </w:rPr>
        <w:t>就有关投标事宜的所有来往函电，均应以中文汉语书写。除</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、盖章、专用名称等特殊情形外，以中文汉语以外的文字表述的投标文件视同未提供</w:t>
      </w:r>
      <w:r>
        <w:rPr>
          <w:rFonts w:hint="eastAsia" w:asciiTheme="minorEastAsia" w:hAnsiTheme="minorEastAsia" w:eastAsiaTheme="minorEastAsia" w:cstheme="minorEastAsia"/>
          <w:color w:val="auto"/>
          <w:sz w:val="21"/>
          <w:szCs w:val="21"/>
          <w:highlight w:val="none"/>
          <w:lang w:eastAsia="zh-CN"/>
        </w:rPr>
        <w:t>。</w:t>
      </w:r>
    </w:p>
    <w:p w14:paraId="40B917CF">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投标计量单位，招标文件已有明确规定的，使用招标文件规定的计量单位；招标文件没有规定的，应采用中华人民共和国法定计量单位，否则视同未响应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按无效标处理</w:t>
      </w:r>
      <w:r>
        <w:rPr>
          <w:rFonts w:hint="eastAsia" w:asciiTheme="minorEastAsia" w:hAnsiTheme="minorEastAsia" w:eastAsiaTheme="minorEastAsia" w:cstheme="minorEastAsia"/>
          <w:color w:val="auto"/>
          <w:sz w:val="21"/>
          <w:szCs w:val="21"/>
          <w:highlight w:val="none"/>
        </w:rPr>
        <w:t>。</w:t>
      </w:r>
    </w:p>
    <w:p w14:paraId="187BCA48">
      <w:pPr>
        <w:shd w:val="clear"/>
        <w:snapToGrid w:val="0"/>
        <w:ind w:firstLine="411" w:firstLineChars="196"/>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若投标人不按招标文件的要求提供材料，其风险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责任</w:t>
      </w:r>
      <w:r>
        <w:rPr>
          <w:rFonts w:hint="eastAsia" w:asciiTheme="minorEastAsia" w:hAnsiTheme="minorEastAsia" w:eastAsiaTheme="minorEastAsia" w:cstheme="minorEastAsia"/>
          <w:color w:val="auto"/>
          <w:sz w:val="21"/>
          <w:szCs w:val="21"/>
          <w:highlight w:val="none"/>
        </w:rPr>
        <w:t>由投标人自行承担</w:t>
      </w:r>
      <w:r>
        <w:rPr>
          <w:rFonts w:hint="eastAsia" w:asciiTheme="minorEastAsia" w:hAnsiTheme="minorEastAsia" w:eastAsiaTheme="minorEastAsia" w:cstheme="minorEastAsia"/>
          <w:color w:val="auto"/>
          <w:sz w:val="21"/>
          <w:szCs w:val="21"/>
          <w:highlight w:val="none"/>
          <w:lang w:eastAsia="zh-CN"/>
        </w:rPr>
        <w:t>。</w:t>
      </w:r>
    </w:p>
    <w:p w14:paraId="1C26AA5C">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2、投标文件的封装</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提交</w:t>
      </w:r>
      <w:r>
        <w:rPr>
          <w:rFonts w:hint="eastAsia" w:asciiTheme="minorEastAsia" w:hAnsiTheme="minorEastAsia" w:eastAsiaTheme="minorEastAsia" w:cstheme="minorEastAsia"/>
          <w:b/>
          <w:bCs/>
          <w:color w:val="auto"/>
          <w:sz w:val="21"/>
          <w:szCs w:val="21"/>
          <w:highlight w:val="none"/>
        </w:rPr>
        <w:t>要求</w:t>
      </w:r>
    </w:p>
    <w:p w14:paraId="3A05D9D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2.1本项目实行电子投标。</w:t>
      </w:r>
    </w:p>
    <w:p w14:paraId="719E540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2.1.1电子投标文件：</w:t>
      </w:r>
      <w:r>
        <w:rPr>
          <w:rFonts w:hint="eastAsia" w:asciiTheme="minorEastAsia" w:hAnsiTheme="minorEastAsia" w:eastAsiaTheme="minorEastAsia" w:cstheme="minorEastAsia"/>
          <w:color w:val="auto"/>
          <w:sz w:val="21"/>
          <w:szCs w:val="21"/>
          <w:highlight w:val="none"/>
          <w:lang w:val="zh-CN" w:eastAsia="zh-CN"/>
        </w:rPr>
        <w:t>按政府采购云平台供应商项目采购</w:t>
      </w:r>
      <w:r>
        <w:rPr>
          <w:rFonts w:hint="eastAsia" w:asciiTheme="minorEastAsia" w:hAnsiTheme="minorEastAsia" w:eastAsiaTheme="minorEastAsia" w:cstheme="minorEastAsia"/>
          <w:color w:val="auto"/>
          <w:sz w:val="21"/>
          <w:szCs w:val="21"/>
          <w:highlight w:val="none"/>
          <w:lang w:val="en-US" w:eastAsia="zh-CN"/>
        </w:rPr>
        <w:t>--电子招投标操作指南及本项目招标文件要求编制</w:t>
      </w:r>
      <w:r>
        <w:rPr>
          <w:rFonts w:hint="eastAsia" w:asciiTheme="minorEastAsia" w:hAnsiTheme="minorEastAsia" w:eastAsiaTheme="minorEastAsia" w:cstheme="minorEastAsia"/>
          <w:color w:val="auto"/>
          <w:sz w:val="21"/>
          <w:szCs w:val="21"/>
          <w:highlight w:val="none"/>
          <w:lang w:val="zh-CN" w:eastAsia="zh-CN"/>
        </w:rPr>
        <w:t>、加密并递交。</w:t>
      </w:r>
    </w:p>
    <w:p w14:paraId="2559446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2.1.2</w:t>
      </w:r>
      <w:r>
        <w:rPr>
          <w:rFonts w:hint="eastAsia" w:asciiTheme="minorEastAsia" w:hAnsiTheme="minorEastAsia" w:eastAsiaTheme="minorEastAsia" w:cstheme="minorEastAsia"/>
          <w:color w:val="auto"/>
          <w:sz w:val="21"/>
          <w:szCs w:val="21"/>
          <w:highlight w:val="none"/>
          <w:lang w:val="zh-CN" w:eastAsia="zh-CN"/>
        </w:rPr>
        <w:t>投标文件启用顺序和效力：投标文件的启用，按先后顺位分别为电子投标文件、电子备份投标文件。通过“政府采购云平台”上传递交的“电子加密投标文件”按时完成解密的投标人，其“备份投标文件”自动失效。通过“政府采购云平台”上传递交的“电子加密投标文件”无法按时完成解密的，以电子备份投标文件为依据。否则视为投标文件撤回。</w:t>
      </w:r>
    </w:p>
    <w:p w14:paraId="0F6CADC8">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2.1.3投标人未通过“政府采购云平台”上传递交“电子加密投标文件”及未按规定提供相应的备份投标文件的，其投标无效。</w:t>
      </w:r>
    </w:p>
    <w:p w14:paraId="3C2D95A7">
      <w:pPr>
        <w:keepNext w:val="0"/>
        <w:keepLines w:val="0"/>
        <w:pageBreakBefore w:val="0"/>
        <w:widowControl w:val="0"/>
        <w:shd w:val="clear"/>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2.2</w:t>
      </w:r>
      <w:r>
        <w:rPr>
          <w:rFonts w:hint="eastAsia" w:asciiTheme="minorEastAsia" w:hAnsiTheme="minorEastAsia" w:eastAsiaTheme="minorEastAsia" w:cstheme="minorEastAsia"/>
          <w:b w:val="0"/>
          <w:bCs w:val="0"/>
          <w:color w:val="auto"/>
          <w:sz w:val="21"/>
          <w:szCs w:val="21"/>
          <w:highlight w:val="none"/>
          <w:lang w:eastAsia="zh-CN"/>
        </w:rPr>
        <w:t>电子投标文件、</w:t>
      </w:r>
      <w:r>
        <w:rPr>
          <w:rFonts w:hint="eastAsia" w:asciiTheme="minorEastAsia" w:hAnsiTheme="minorEastAsia" w:eastAsiaTheme="minorEastAsia" w:cstheme="minorEastAsia"/>
          <w:b w:val="0"/>
          <w:bCs w:val="0"/>
          <w:color w:val="auto"/>
          <w:sz w:val="21"/>
          <w:szCs w:val="21"/>
          <w:highlight w:val="none"/>
          <w:lang w:val="en-US" w:eastAsia="zh-CN"/>
        </w:rPr>
        <w:t>电子备份投标文件制作</w:t>
      </w:r>
      <w:r>
        <w:rPr>
          <w:rFonts w:hint="eastAsia" w:asciiTheme="minorEastAsia" w:hAnsiTheme="minorEastAsia" w:eastAsiaTheme="minorEastAsia" w:cstheme="minorEastAsia"/>
          <w:b w:val="0"/>
          <w:bCs w:val="0"/>
          <w:color w:val="auto"/>
          <w:sz w:val="21"/>
          <w:szCs w:val="21"/>
          <w:highlight w:val="none"/>
          <w:lang w:eastAsia="zh-CN"/>
        </w:rPr>
        <w:t>要求</w:t>
      </w:r>
    </w:p>
    <w:p w14:paraId="29A09DAC">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电子投标文件、电子备份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CDA693">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2）电子投标文件、电子备份投标文件如内容不完整、编排混乱导致投标文件被误读、漏读，或者在按采购文件规定的部位查找不到相关内容的，由投标人自行承担。</w:t>
      </w:r>
    </w:p>
    <w:p w14:paraId="77A35971">
      <w:pPr>
        <w:shd w:val="clear"/>
        <w:autoSpaceDE w:val="0"/>
        <w:autoSpaceDN w:val="0"/>
        <w:adjustRightInd w:val="0"/>
        <w:spacing w:line="360" w:lineRule="auto"/>
        <w:ind w:firstLine="48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温馨提醒：CA签章上目前没有法人或授权代表签字信息，需要投标人联系浙江杭州汇信科技有限公司（400-8884636）等相应公司进行办理，或在投标文件中涉及到签字的位置线下签好字然后扫描或者拍照做成PDF的格式亦可。</w:t>
      </w:r>
    </w:p>
    <w:p w14:paraId="0BCAF518">
      <w:pPr>
        <w:shd w:val="clear"/>
        <w:autoSpaceDE w:val="0"/>
        <w:autoSpaceDN w:val="0"/>
        <w:adjustRightInd w:val="0"/>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sz w:val="21"/>
          <w:szCs w:val="21"/>
          <w:highlight w:val="none"/>
        </w:rPr>
        <w:t>投标文件的递交</w:t>
      </w:r>
      <w:r>
        <w:rPr>
          <w:rFonts w:hint="eastAsia" w:asciiTheme="minorEastAsia" w:hAnsiTheme="minorEastAsia" w:eastAsiaTheme="minorEastAsia" w:cstheme="minorEastAsia"/>
          <w:b/>
          <w:bCs/>
          <w:color w:val="auto"/>
          <w:sz w:val="21"/>
          <w:szCs w:val="21"/>
          <w:highlight w:val="none"/>
          <w:lang w:val="en-US" w:eastAsia="zh-CN"/>
        </w:rPr>
        <w:t>时间</w:t>
      </w:r>
      <w:r>
        <w:rPr>
          <w:rFonts w:hint="eastAsia" w:asciiTheme="minorEastAsia" w:hAnsiTheme="minorEastAsia" w:eastAsiaTheme="minorEastAsia" w:cstheme="minorEastAsia"/>
          <w:b/>
          <w:bCs/>
          <w:color w:val="auto"/>
          <w:sz w:val="21"/>
          <w:szCs w:val="21"/>
          <w:highlight w:val="none"/>
        </w:rPr>
        <w:t>要求</w:t>
      </w:r>
    </w:p>
    <w:p w14:paraId="2A96118E">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（1）电子投标文件须在投标截止时间之前上传。</w:t>
      </w:r>
    </w:p>
    <w:p w14:paraId="1F506764">
      <w:pPr>
        <w:shd w:val="clear"/>
        <w:autoSpaceDE w:val="0"/>
        <w:autoSpaceDN w:val="0"/>
        <w:adjustRightInd w:val="0"/>
        <w:spacing w:line="440" w:lineRule="exact"/>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（2）如有特殊情况，采购组织机构延长截止时间和开标时间，采购组织机构和投标人的权利和义务将受到新的截止时间和开标时间的约束。</w:t>
      </w:r>
    </w:p>
    <w:p w14:paraId="059DBB3F">
      <w:pPr>
        <w:shd w:val="clear"/>
        <w:autoSpaceDE w:val="0"/>
        <w:autoSpaceDN w:val="0"/>
        <w:adjustRightInd w:val="0"/>
        <w:spacing w:line="440" w:lineRule="exact"/>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rPr>
        <w:t>4、</w:t>
      </w:r>
      <w:r>
        <w:rPr>
          <w:rFonts w:hint="eastAsia" w:asciiTheme="minorEastAsia" w:hAnsiTheme="minorEastAsia" w:eastAsiaTheme="minorEastAsia" w:cstheme="minorEastAsia"/>
          <w:b/>
          <w:bCs/>
          <w:color w:val="auto"/>
          <w:sz w:val="21"/>
          <w:szCs w:val="21"/>
          <w:highlight w:val="none"/>
          <w:lang w:val="zh-CN"/>
        </w:rPr>
        <w:t>投标文件的编制、签署、份数</w:t>
      </w:r>
    </w:p>
    <w:p w14:paraId="6283CD46">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（1）投标文件包括“资格证明文件、商务与技术文件和报价文件”三部分。投标人应按“政府采购云平台”供应商项目采购-电子招投标操作指南（网址：</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"https://help.zcy.gov.cn/web/site_2/2018/12-28/2573.html）及本采购文件要求制作"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Fonts w:hint="eastAsia" w:asciiTheme="minorEastAsia" w:hAnsiTheme="minorEastAsia" w:eastAsiaTheme="minorEastAsia" w:cstheme="minorEastAsia"/>
          <w:b/>
          <w:bCs/>
          <w:color w:val="auto"/>
          <w:sz w:val="21"/>
          <w:szCs w:val="21"/>
          <w:highlight w:val="none"/>
          <w:u w:val="none"/>
          <w:lang w:val="en-US" w:eastAsia="zh-CN"/>
        </w:rPr>
        <w:t>https://help.zcy.gov.cn/web/site_2/2018/12-28/2573.html）及本招标文件要求制作</w:t>
      </w:r>
      <w:r>
        <w:rPr>
          <w:rFonts w:hint="eastAsia" w:asciiTheme="minorEastAsia" w:hAnsiTheme="minorEastAsia" w:eastAsiaTheme="minorEastAsia" w:cstheme="minorEastAsia"/>
          <w:b/>
          <w:bCs/>
          <w:color w:val="auto"/>
          <w:sz w:val="21"/>
          <w:szCs w:val="21"/>
          <w:highlight w:val="none"/>
          <w:u w:val="none"/>
          <w:lang w:val="en-US" w:eastAsia="zh-CN"/>
        </w:rPr>
        <w:fldChar w:fldCharType="end"/>
      </w:r>
      <w:r>
        <w:rPr>
          <w:rFonts w:hint="eastAsia" w:asciiTheme="minorEastAsia" w:hAnsiTheme="minorEastAsia" w:eastAsiaTheme="minorEastAsia" w:cstheme="minorEastAsia"/>
          <w:b/>
          <w:bCs/>
          <w:color w:val="auto"/>
          <w:sz w:val="21"/>
          <w:szCs w:val="21"/>
          <w:highlight w:val="none"/>
          <w:u w:val="none"/>
          <w:lang w:val="en-US" w:eastAsia="zh-CN"/>
        </w:rPr>
        <w:t>。</w:t>
      </w:r>
    </w:p>
    <w:p w14:paraId="0FB42970">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签署：投标文件中所须加盖公章部分均应当采用CA电子签章功能加盖投标人的单位电子公章，法定代表人和授权代表签字或盖章可书面签字或盖章后扫描至“电子加密投标文件”中上传，也可采用法定代表人的电子章。</w:t>
      </w:r>
    </w:p>
    <w:p w14:paraId="15DA8E68">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（3）份数：</w:t>
      </w:r>
    </w:p>
    <w:p w14:paraId="053B1B21">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1）“电子加密投标文件”（后缀格式为.jmbs）：在线上传递交一份。</w:t>
      </w:r>
    </w:p>
    <w:p w14:paraId="01D6C932">
      <w:pPr>
        <w:shd w:val="clear"/>
        <w:tabs>
          <w:tab w:val="left" w:pos="1898"/>
        </w:tabs>
        <w:autoSpaceDE w:val="0"/>
        <w:autoSpaceDN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none"/>
          <w:lang w:val="en-US" w:eastAsia="zh-CN"/>
        </w:rPr>
      </w:pPr>
      <w:r>
        <w:rPr>
          <w:rFonts w:hint="eastAsia" w:asciiTheme="minorEastAsia" w:hAnsiTheme="minorEastAsia" w:eastAsiaTheme="minorEastAsia" w:cstheme="minorEastAsia"/>
          <w:b/>
          <w:bCs/>
          <w:color w:val="auto"/>
          <w:sz w:val="21"/>
          <w:szCs w:val="21"/>
          <w:highlight w:val="none"/>
          <w:u w:val="none"/>
          <w:lang w:val="en-US" w:eastAsia="zh-CN"/>
        </w:rPr>
        <w:t>2）“备份投标文件”（后缀格式为.bfbs）（自愿提供，非实质性要求，因电子投标文件无法读取的后果由投标人自行承担）：发送一份电子备份投标文件至邮箱：</w:t>
      </w:r>
      <w:r>
        <w:rPr>
          <w:rFonts w:hint="eastAsia" w:asciiTheme="minorEastAsia" w:hAnsiTheme="minorEastAsia" w:eastAsiaTheme="minorEastAsia" w:cstheme="minorEastAsia"/>
          <w:b/>
          <w:bCs/>
          <w:color w:val="auto"/>
          <w:sz w:val="21"/>
          <w:szCs w:val="21"/>
          <w:highlight w:val="none"/>
          <w:u w:val="none"/>
          <w:lang w:val="en-US" w:eastAsia="zh-CN"/>
        </w:rPr>
        <w:fldChar w:fldCharType="begin"/>
      </w:r>
      <w:r>
        <w:rPr>
          <w:rFonts w:hint="eastAsia" w:asciiTheme="minorEastAsia" w:hAnsiTheme="minorEastAsia" w:eastAsiaTheme="minorEastAsia" w:cstheme="minorEastAsia"/>
          <w:b/>
          <w:bCs/>
          <w:color w:val="auto"/>
          <w:sz w:val="21"/>
          <w:szCs w:val="21"/>
          <w:highlight w:val="none"/>
          <w:u w:val="none"/>
          <w:lang w:val="en-US" w:eastAsia="zh-CN"/>
        </w:rPr>
        <w:instrText xml:space="preserve"> HYPERLINK "mailto:1391370120@qq.com，以接收方邮箱收件箱所显示时间为准。" </w:instrText>
      </w:r>
      <w:r>
        <w:rPr>
          <w:rFonts w:hint="eastAsia" w:asciiTheme="minorEastAsia" w:hAnsiTheme="minorEastAsia" w:eastAsiaTheme="minorEastAsia" w:cstheme="minorEastAsia"/>
          <w:b/>
          <w:bCs/>
          <w:color w:val="auto"/>
          <w:sz w:val="21"/>
          <w:szCs w:val="21"/>
          <w:highlight w:val="none"/>
          <w:u w:val="none"/>
          <w:lang w:val="en-US" w:eastAsia="zh-CN"/>
        </w:rPr>
        <w:fldChar w:fldCharType="separate"/>
      </w:r>
      <w:r>
        <w:rPr>
          <w:rStyle w:val="88"/>
          <w:rFonts w:hint="eastAsia" w:asciiTheme="minorEastAsia" w:hAnsiTheme="minorEastAsia" w:eastAsiaTheme="minorEastAsia" w:cstheme="minorEastAsia"/>
          <w:b/>
          <w:bCs/>
          <w:color w:val="auto"/>
          <w:sz w:val="21"/>
          <w:szCs w:val="21"/>
          <w:highlight w:val="none"/>
          <w:lang w:val="en-US" w:eastAsia="zh-CN"/>
        </w:rPr>
        <w:t>1391370120@qq.com，以接收方邮箱收件箱所显示时间为准。</w:t>
      </w:r>
      <w:r>
        <w:rPr>
          <w:rFonts w:hint="eastAsia" w:asciiTheme="minorEastAsia" w:hAnsiTheme="minorEastAsia" w:eastAsiaTheme="minorEastAsia" w:cstheme="minorEastAsia"/>
          <w:b/>
          <w:bCs/>
          <w:color w:val="auto"/>
          <w:sz w:val="21"/>
          <w:szCs w:val="21"/>
          <w:highlight w:val="none"/>
          <w:u w:val="none"/>
          <w:lang w:val="en-US" w:eastAsia="zh-CN"/>
        </w:rPr>
        <w:fldChar w:fldCharType="end"/>
      </w:r>
    </w:p>
    <w:p w14:paraId="59C8FEBF">
      <w:pPr>
        <w:pStyle w:val="15"/>
        <w:numPr>
          <w:ilvl w:val="0"/>
          <w:numId w:val="0"/>
        </w:numPr>
        <w:shd w:val="clear"/>
        <w:tabs>
          <w:tab w:val="left" w:pos="454"/>
          <w:tab w:val="left" w:pos="720"/>
        </w:tabs>
        <w:spacing w:beforeLines="50"/>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投标文件的有效期</w:t>
      </w:r>
    </w:p>
    <w:p w14:paraId="6265F74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自投标截止日起</w:t>
      </w:r>
      <w:r>
        <w:rPr>
          <w:rFonts w:hint="eastAsia" w:asciiTheme="minorEastAsia" w:hAnsiTheme="minorEastAsia" w:eastAsiaTheme="minorEastAsia" w:cstheme="minorEastAsia"/>
          <w:color w:val="auto"/>
          <w:sz w:val="21"/>
          <w:szCs w:val="21"/>
          <w:highlight w:val="none"/>
          <w:u w:val="single"/>
        </w:rPr>
        <w:t>90</w:t>
      </w:r>
      <w:r>
        <w:rPr>
          <w:rFonts w:hint="eastAsia" w:asciiTheme="minorEastAsia" w:hAnsiTheme="minorEastAsia" w:eastAsiaTheme="minorEastAsia" w:cstheme="minorEastAsia"/>
          <w:color w:val="auto"/>
          <w:sz w:val="21"/>
          <w:szCs w:val="21"/>
          <w:highlight w:val="none"/>
        </w:rPr>
        <w:t>天内投标文件应保持有效。有效期不足的投标文件将被拒绝。</w:t>
      </w:r>
    </w:p>
    <w:p w14:paraId="5E7361D7">
      <w:pPr>
        <w:pStyle w:val="15"/>
        <w:numPr>
          <w:ilvl w:val="0"/>
          <w:numId w:val="0"/>
        </w:numPr>
        <w:shd w:val="clear"/>
        <w:tabs>
          <w:tab w:val="left" w:pos="454"/>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在特殊情况下，</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可与投标人协商延长投标书的有效期，这种要求和答复均以书面形式进行。</w:t>
      </w:r>
    </w:p>
    <w:p w14:paraId="746A440A">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延长有效期</w:t>
      </w:r>
      <w:r>
        <w:rPr>
          <w:rFonts w:hint="eastAsia" w:asciiTheme="minorEastAsia" w:hAnsiTheme="minorEastAsia" w:eastAsiaTheme="minorEastAsia" w:cstheme="minorEastAsia"/>
          <w:color w:val="auto"/>
          <w:sz w:val="21"/>
          <w:szCs w:val="21"/>
          <w:highlight w:val="none"/>
          <w:lang w:val="en-US" w:eastAsia="zh-CN"/>
        </w:rPr>
        <w:t>内</w:t>
      </w:r>
      <w:r>
        <w:rPr>
          <w:rFonts w:hint="eastAsia" w:asciiTheme="minorEastAsia" w:hAnsiTheme="minorEastAsia" w:eastAsiaTheme="minorEastAsia" w:cstheme="minorEastAsia"/>
          <w:color w:val="auto"/>
          <w:sz w:val="21"/>
          <w:szCs w:val="21"/>
          <w:highlight w:val="none"/>
        </w:rPr>
        <w:t>投标人不能修改投标文件。</w:t>
      </w:r>
      <w:r>
        <w:rPr>
          <w:rFonts w:hint="eastAsia" w:asciiTheme="minorEastAsia" w:hAnsiTheme="minorEastAsia" w:eastAsiaTheme="minorEastAsia" w:cstheme="minorEastAsia"/>
          <w:b/>
          <w:color w:val="auto"/>
          <w:sz w:val="21"/>
          <w:szCs w:val="21"/>
          <w:highlight w:val="none"/>
        </w:rPr>
        <w:t xml:space="preserve"> </w:t>
      </w:r>
    </w:p>
    <w:p w14:paraId="3C0FAC34">
      <w:pPr>
        <w:shd w:val="clear"/>
        <w:snapToGrid w:val="0"/>
        <w:ind w:firstLine="420" w:firstLineChars="20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中标人的投标文件自开标之日起至合同履行完毕止均应保持有效。</w:t>
      </w:r>
    </w:p>
    <w:p w14:paraId="1E895DFB">
      <w:pPr>
        <w:shd w:val="clear"/>
        <w:snapToGrid w:val="0"/>
        <w:spacing w:beforeLines="50"/>
        <w:jc w:val="lef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投标保证金</w:t>
      </w:r>
    </w:p>
    <w:p w14:paraId="7E5D6C99">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不收取投标保证金。</w:t>
      </w:r>
    </w:p>
    <w:p w14:paraId="1519957B">
      <w:pPr>
        <w:shd w:val="clear"/>
        <w:snapToGrid w:val="0"/>
        <w:ind w:firstLine="420" w:firstLineChars="200"/>
        <w:jc w:val="left"/>
        <w:outlineLvl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中标人应在中标通知书发出后30日内与采购人签订合同并在签订合同前提交履约保证金给采购人。</w:t>
      </w:r>
      <w:r>
        <w:rPr>
          <w:rFonts w:hint="eastAsia" w:asciiTheme="minorEastAsia" w:hAnsiTheme="minorEastAsia" w:eastAsiaTheme="minorEastAsia" w:cstheme="minorEastAsia"/>
          <w:b w:val="0"/>
          <w:bCs/>
          <w:color w:val="auto"/>
          <w:sz w:val="21"/>
          <w:szCs w:val="21"/>
          <w:highlight w:val="none"/>
          <w:lang w:val="en-US" w:eastAsia="zh-CN"/>
        </w:rPr>
        <w:t>如提供现金的，</w:t>
      </w:r>
      <w:r>
        <w:rPr>
          <w:rFonts w:hint="eastAsia" w:asciiTheme="minorEastAsia" w:hAnsiTheme="minorEastAsia" w:eastAsiaTheme="minorEastAsia" w:cstheme="minorEastAsia"/>
          <w:b w:val="0"/>
          <w:bCs/>
          <w:color w:val="auto"/>
          <w:sz w:val="21"/>
          <w:szCs w:val="21"/>
          <w:highlight w:val="none"/>
        </w:rPr>
        <w:t>履约保证金账户由招标人(采购人)提供。</w:t>
      </w:r>
    </w:p>
    <w:p w14:paraId="0E72664C">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但投标人有下列情形之一的，将视情节轻重予以处罚（处罚措施由</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合理确定，若给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造成损失的，须承担所有损失赔偿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color w:val="auto"/>
          <w:sz w:val="21"/>
          <w:szCs w:val="21"/>
          <w:highlight w:val="none"/>
        </w:rPr>
        <w:t>）。</w:t>
      </w:r>
    </w:p>
    <w:p w14:paraId="056E2C2A">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（1）投标人在截止时间后至投标有效期内无故撤回投标文件</w:t>
      </w:r>
      <w:r>
        <w:rPr>
          <w:rFonts w:hint="eastAsia" w:asciiTheme="minorEastAsia" w:hAnsiTheme="minorEastAsia" w:eastAsiaTheme="minorEastAsia" w:cstheme="minorEastAsia"/>
          <w:color w:val="auto"/>
          <w:kern w:val="0"/>
          <w:sz w:val="21"/>
          <w:szCs w:val="21"/>
          <w:highlight w:val="none"/>
        </w:rPr>
        <w:t>或放弃中标资格的</w:t>
      </w:r>
      <w:r>
        <w:rPr>
          <w:rFonts w:hint="eastAsia" w:asciiTheme="minorEastAsia" w:hAnsiTheme="minorEastAsia" w:eastAsiaTheme="minorEastAsia" w:cstheme="minorEastAsia"/>
          <w:color w:val="auto"/>
          <w:sz w:val="21"/>
          <w:szCs w:val="21"/>
          <w:highlight w:val="none"/>
        </w:rPr>
        <w:t>；</w:t>
      </w:r>
    </w:p>
    <w:p w14:paraId="314B65B6">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（2）投标人在投标过程中弄虚作假，提供虚假材料的；</w:t>
      </w:r>
    </w:p>
    <w:p w14:paraId="688019D3">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Cs/>
          <w:color w:val="auto"/>
          <w:sz w:val="21"/>
          <w:szCs w:val="21"/>
          <w:highlight w:val="none"/>
        </w:rPr>
        <w:t>与采购人另行订立背离合同实质性内容的协议的</w:t>
      </w:r>
      <w:r>
        <w:rPr>
          <w:rFonts w:hint="eastAsia" w:asciiTheme="minorEastAsia" w:hAnsiTheme="minorEastAsia" w:eastAsiaTheme="minorEastAsia" w:cstheme="minorEastAsia"/>
          <w:color w:val="auto"/>
          <w:sz w:val="21"/>
          <w:szCs w:val="21"/>
          <w:highlight w:val="none"/>
        </w:rPr>
        <w:t>；</w:t>
      </w:r>
    </w:p>
    <w:p w14:paraId="2604CC04">
      <w:pPr>
        <w:shd w:val="clear"/>
        <w:snapToGrid w:val="0"/>
        <w:ind w:firstLine="420" w:firstLineChars="200"/>
        <w:jc w:val="lef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（4）将中标项目转让或</w:t>
      </w:r>
      <w:r>
        <w:rPr>
          <w:rFonts w:hint="eastAsia" w:asciiTheme="minorEastAsia" w:hAnsiTheme="minorEastAsia" w:eastAsiaTheme="minorEastAsia" w:cstheme="minorEastAsia"/>
          <w:color w:val="auto"/>
          <w:sz w:val="21"/>
          <w:szCs w:val="21"/>
          <w:highlight w:val="none"/>
          <w:lang w:val="en-US" w:eastAsia="zh-CN"/>
        </w:rPr>
        <w:t>违规</w:t>
      </w:r>
      <w:r>
        <w:rPr>
          <w:rFonts w:hint="eastAsia" w:asciiTheme="minorEastAsia" w:hAnsiTheme="minorEastAsia" w:eastAsiaTheme="minorEastAsia" w:cstheme="minorEastAsia"/>
          <w:color w:val="auto"/>
          <w:sz w:val="21"/>
          <w:szCs w:val="21"/>
          <w:highlight w:val="none"/>
        </w:rPr>
        <w:t>分包给他人；</w:t>
      </w:r>
    </w:p>
    <w:p w14:paraId="457AEE3E">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Cs/>
          <w:color w:val="auto"/>
          <w:sz w:val="21"/>
          <w:szCs w:val="21"/>
          <w:highlight w:val="none"/>
        </w:rPr>
        <w:t>除因不可抗力或招标文件认可的情形以外，中标供应商不与采购人签订合同或拒绝履行合同义务的；</w:t>
      </w:r>
    </w:p>
    <w:p w14:paraId="795FAE77">
      <w:pPr>
        <w:shd w:val="clear"/>
        <w:snapToGrid w:val="0"/>
        <w:ind w:firstLine="420" w:firstLineChars="200"/>
        <w:jc w:val="left"/>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（6）供应商与采购人、其他供应商或者</w:t>
      </w:r>
      <w:r>
        <w:rPr>
          <w:rFonts w:hint="eastAsia" w:asciiTheme="minorEastAsia" w:hAnsiTheme="minorEastAsia" w:eastAsiaTheme="minorEastAsia" w:cstheme="minorEastAsia"/>
          <w:bCs/>
          <w:color w:val="auto"/>
          <w:sz w:val="21"/>
          <w:szCs w:val="21"/>
          <w:highlight w:val="none"/>
          <w:lang w:eastAsia="zh-CN"/>
        </w:rPr>
        <w:t>采购组织机构</w:t>
      </w:r>
      <w:r>
        <w:rPr>
          <w:rFonts w:hint="eastAsia" w:asciiTheme="minorEastAsia" w:hAnsiTheme="minorEastAsia" w:eastAsiaTheme="minorEastAsia" w:cstheme="minorEastAsia"/>
          <w:bCs/>
          <w:color w:val="auto"/>
          <w:sz w:val="21"/>
          <w:szCs w:val="21"/>
          <w:highlight w:val="none"/>
        </w:rPr>
        <w:t>恶意串通的；</w:t>
      </w:r>
    </w:p>
    <w:p w14:paraId="365A4C67">
      <w:pPr>
        <w:shd w:val="clea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（7）其他严重扰乱招投标程序的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法律、法规明确规定的其他行为</w:t>
      </w:r>
      <w:r>
        <w:rPr>
          <w:rFonts w:hint="eastAsia" w:asciiTheme="minorEastAsia" w:hAnsiTheme="minorEastAsia" w:eastAsiaTheme="minorEastAsia" w:cstheme="minorEastAsia"/>
          <w:bCs/>
          <w:color w:val="auto"/>
          <w:sz w:val="21"/>
          <w:szCs w:val="21"/>
          <w:highlight w:val="none"/>
          <w:lang w:eastAsia="zh-CN"/>
        </w:rPr>
        <w:t>。</w:t>
      </w:r>
    </w:p>
    <w:p w14:paraId="32DF28B2">
      <w:pPr>
        <w:shd w:val="clear"/>
        <w:snapToGrid w:val="0"/>
        <w:spacing w:line="360" w:lineRule="auto"/>
        <w:jc w:val="left"/>
        <w:rPr>
          <w:rFonts w:hint="eastAsia" w:asciiTheme="minorEastAsia" w:hAnsiTheme="minorEastAsia" w:eastAsiaTheme="minorEastAsia" w:cstheme="minorEastAsia"/>
          <w:b/>
          <w:color w:val="auto"/>
          <w:kern w:val="0"/>
          <w:sz w:val="21"/>
          <w:szCs w:val="21"/>
          <w:highlight w:val="none"/>
          <w:shd w:val="clear" w:color="auto" w:fill="auto"/>
        </w:rPr>
      </w:pPr>
      <w:r>
        <w:rPr>
          <w:rFonts w:hint="eastAsia" w:asciiTheme="minorEastAsia" w:hAnsiTheme="minorEastAsia" w:eastAsiaTheme="minorEastAsia" w:cstheme="minorEastAsia"/>
          <w:b/>
          <w:color w:val="auto"/>
          <w:kern w:val="0"/>
          <w:sz w:val="21"/>
          <w:szCs w:val="21"/>
          <w:highlight w:val="none"/>
          <w:shd w:val="clear" w:color="auto" w:fill="auto"/>
        </w:rPr>
        <w:t>五、开标</w:t>
      </w:r>
    </w:p>
    <w:p w14:paraId="7B13D0FF">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     （一）开标事项</w:t>
      </w:r>
    </w:p>
    <w:p w14:paraId="0268F73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采购组织机构在“招标公告”规定的时间和地点公开开标，所有投标人均可不参加本项目现场开标。投标人未在规定时间参与开标过程的，视为放弃开标监督权利、认可开标结果。</w:t>
      </w:r>
    </w:p>
    <w:p w14:paraId="2D6AFBAF">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在开标过程中如有异议，按规定出具加盖公章（或者由法定代理人或其授权的代表签字）的质疑函的原件扫描件，原件也同时寄给或送至招标代理公司（或采购人）。在开标过程中如有澄清、无效标等，投标人也按上述方式进行操作。</w:t>
      </w:r>
    </w:p>
    <w:p w14:paraId="2E1065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本次招标先开评资格证明文件、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评审结束后再开评报价文件。</w:t>
      </w:r>
    </w:p>
    <w:p w14:paraId="7787035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采购过程中出现以下情形，导致电子交易平台无法正常运行，或者无法保证电子交易的公平、公正和安全时，采购组织机构可中止电子交易活动：</w:t>
      </w:r>
    </w:p>
    <w:p w14:paraId="10E8EDA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（1）电子交易平台发生故障而无法登录访问的； </w:t>
      </w:r>
    </w:p>
    <w:p w14:paraId="1EB92235">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（2）电子交易平台应用或数据库出现错误，不能进行正常操作的；</w:t>
      </w:r>
    </w:p>
    <w:p w14:paraId="6858D092">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（3）电子交易平台发现严重安全漏洞，有潜在泄密危险的；</w:t>
      </w:r>
    </w:p>
    <w:p w14:paraId="4987DB37">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（4）病毒发作导致不能进行正常操作的； </w:t>
      </w:r>
    </w:p>
    <w:p w14:paraId="67C95A1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（5）其他无法保证电子交易的公平、公正和安全的情况。</w:t>
      </w:r>
    </w:p>
    <w:p w14:paraId="1F0283C3">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出现前款规定情形，不影响采购公平、公正性的，采购组织机构可以待上述情形消除后继续组织电子交易活动，也可以决定某些环节以纸质形式进行；影响或可能影响采购公平、公正性的，应当重新采购。</w:t>
      </w:r>
    </w:p>
    <w:p w14:paraId="41EC2B29">
      <w:pPr>
        <w:pStyle w:val="39"/>
        <w:shd w:val="clear"/>
        <w:snapToGrid w:val="0"/>
        <w:spacing w:line="360" w:lineRule="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（二）开标程序：</w:t>
      </w:r>
    </w:p>
    <w:p w14:paraId="44FC640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7055804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2、主持人介绍参加开标会的人员名单； </w:t>
      </w:r>
    </w:p>
    <w:p w14:paraId="00387914">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3、主持人宣布评标期间的有关注意事项；</w:t>
      </w:r>
    </w:p>
    <w:p w14:paraId="0494CCD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4、向各投标人发出电子加密投标文件【开始解密】通知，由投标人按招标文件规定的时间内（30分钟内）自行进行投标文件解密。投标文件的制作和解密应使用同一个数字证书，否则将可能解密失败。投标文件解密结束，供应商通过邮件形式将经授权代表或法定代表人签署的《政府采购活动现场确认声明书》（格式见附件）的扫描件或（图片）发至代理机构经办人邮箱（邮箱地址：</w:t>
      </w:r>
      <w:r>
        <w:rPr>
          <w:rFonts w:hint="eastAsia" w:asciiTheme="minorEastAsia" w:hAnsiTheme="minorEastAsia" w:eastAsiaTheme="minorEastAsia" w:cstheme="minorEastAsia"/>
          <w:color w:val="auto"/>
          <w:kern w:val="0"/>
          <w:sz w:val="21"/>
          <w:szCs w:val="21"/>
          <w:highlight w:val="none"/>
          <w:shd w:val="clear" w:color="auto" w:fill="auto"/>
          <w:lang w:eastAsia="zh-CN"/>
        </w:rPr>
        <w:t>1391370120</w:t>
      </w:r>
      <w:r>
        <w:rPr>
          <w:rFonts w:hint="eastAsia" w:asciiTheme="minorEastAsia" w:hAnsiTheme="minorEastAsia" w:eastAsiaTheme="minorEastAsia" w:cstheme="minorEastAsia"/>
          <w:color w:val="auto"/>
          <w:kern w:val="0"/>
          <w:sz w:val="21"/>
          <w:szCs w:val="21"/>
          <w:highlight w:val="none"/>
          <w:shd w:val="clear" w:color="auto" w:fill="auto"/>
        </w:rPr>
        <w:t>@qq.com）。</w:t>
      </w:r>
    </w:p>
    <w:p w14:paraId="262E411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5、采购组织机构点击【开启标书信息】，开启标书成功后进入开标流程。</w:t>
      </w:r>
    </w:p>
    <w:p w14:paraId="1CDB940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6、资格证明文件、</w:t>
      </w:r>
      <w:r>
        <w:rPr>
          <w:rFonts w:hint="eastAsia" w:asciiTheme="minorEastAsia" w:hAnsiTheme="minorEastAsia" w:eastAsiaTheme="minorEastAsia" w:cstheme="minorEastAsia"/>
          <w:color w:val="auto"/>
          <w:kern w:val="0"/>
          <w:sz w:val="21"/>
          <w:szCs w:val="21"/>
          <w:highlight w:val="none"/>
          <w:shd w:val="clear" w:color="auto" w:fill="auto"/>
          <w:lang w:eastAsia="zh-CN"/>
        </w:rPr>
        <w:t>商务与技术文件</w:t>
      </w:r>
      <w:r>
        <w:rPr>
          <w:rFonts w:hint="eastAsia" w:asciiTheme="minorEastAsia" w:hAnsiTheme="minorEastAsia" w:eastAsiaTheme="minorEastAsia" w:cstheme="minorEastAsia"/>
          <w:color w:val="auto"/>
          <w:kern w:val="0"/>
          <w:sz w:val="21"/>
          <w:szCs w:val="21"/>
          <w:highlight w:val="none"/>
          <w:shd w:val="clear" w:color="auto" w:fill="auto"/>
        </w:rPr>
        <w:t>评审；</w:t>
      </w:r>
    </w:p>
    <w:p w14:paraId="273057DE">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7、由主持人公布无效投标的投标人名单、投标无效的原因及其他有效投标的评分汇总分；</w:t>
      </w:r>
    </w:p>
    <w:p w14:paraId="55C5A11C">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8、开启报价文件：采购代理机构成功开启报价文件后，方可查看各供应商报价情况，同时当场制作开标记录表。</w:t>
      </w:r>
    </w:p>
    <w:p w14:paraId="65A494F8">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9、报价文件评审；</w:t>
      </w:r>
    </w:p>
    <w:p w14:paraId="7714FDD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10、由主持人公布无效投标的投标人名单、投标无效的原因及其他有效投标的报价文件得分；</w:t>
      </w:r>
    </w:p>
    <w:p w14:paraId="7D28DF29">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outlineLvl w:val="1"/>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11、在完成评标后，宣布评标结果，开标会议结束。</w:t>
      </w:r>
    </w:p>
    <w:p w14:paraId="3DA3FD2B">
      <w:pPr>
        <w:pStyle w:val="39"/>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outlineLvl w:val="1"/>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特别说明：如政府采购云平台如对电子化开标及评审程序有调整的，按调整后的程序操作。</w:t>
      </w:r>
    </w:p>
    <w:p w14:paraId="7CBCA59B">
      <w:pPr>
        <w:pStyle w:val="39"/>
        <w:shd w:val="clear"/>
        <w:snapToGrid w:val="0"/>
        <w:spacing w:line="360" w:lineRule="auto"/>
        <w:outlineLvl w:val="1"/>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六、评标</w:t>
      </w:r>
    </w:p>
    <w:p w14:paraId="21F8316C">
      <w:pPr>
        <w:pStyle w:val="39"/>
        <w:shd w:val="clea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val="0"/>
          <w:bCs w:val="0"/>
          <w:color w:val="auto"/>
          <w:sz w:val="21"/>
          <w:szCs w:val="21"/>
          <w:highlight w:val="none"/>
          <w:lang w:eastAsia="zh-CN"/>
        </w:rPr>
        <w:t>本项目采用不公开方式评标，评标的依据为招标文件和投标文件。本项目采用电子评审方法，</w:t>
      </w:r>
      <w:r>
        <w:rPr>
          <w:rFonts w:hint="eastAsia" w:asciiTheme="minorEastAsia" w:hAnsiTheme="minorEastAsia" w:eastAsiaTheme="minorEastAsia" w:cstheme="minorEastAsia"/>
          <w:color w:val="auto"/>
          <w:kern w:val="0"/>
          <w:sz w:val="21"/>
          <w:szCs w:val="21"/>
          <w:highlight w:val="none"/>
          <w:lang w:val="zh-CN"/>
        </w:rPr>
        <w:t>因</w:t>
      </w:r>
      <w:r>
        <w:rPr>
          <w:rFonts w:hint="eastAsia" w:asciiTheme="minorEastAsia" w:hAnsiTheme="minorEastAsia" w:eastAsiaTheme="minorEastAsia" w:cstheme="minorEastAsia"/>
          <w:b w:val="0"/>
          <w:bCs w:val="0"/>
          <w:color w:val="auto"/>
          <w:sz w:val="21"/>
          <w:szCs w:val="21"/>
          <w:highlight w:val="none"/>
          <w:lang w:eastAsia="zh-CN"/>
        </w:rPr>
        <w:t>政采云平台原因无法读取或电子开评标无法正常进行</w:t>
      </w:r>
      <w:r>
        <w:rPr>
          <w:rFonts w:hint="eastAsia" w:asciiTheme="minorEastAsia" w:hAnsiTheme="minorEastAsia" w:eastAsiaTheme="minorEastAsia" w:cstheme="minorEastAsia"/>
          <w:b w:val="0"/>
          <w:bCs w:val="0"/>
          <w:color w:val="auto"/>
          <w:sz w:val="21"/>
          <w:szCs w:val="21"/>
          <w:highlight w:val="none"/>
          <w:lang w:val="en-US" w:eastAsia="zh-CN"/>
        </w:rPr>
        <w:t>或</w:t>
      </w:r>
      <w:r>
        <w:rPr>
          <w:rFonts w:hint="eastAsia" w:asciiTheme="minorEastAsia" w:hAnsiTheme="minorEastAsia" w:eastAsiaTheme="minorEastAsia" w:cstheme="minorEastAsia"/>
          <w:color w:val="auto"/>
          <w:kern w:val="0"/>
          <w:sz w:val="21"/>
          <w:szCs w:val="21"/>
          <w:highlight w:val="none"/>
          <w:lang w:val="zh-CN"/>
        </w:rPr>
        <w:t>网络</w:t>
      </w:r>
      <w:r>
        <w:rPr>
          <w:rFonts w:hint="eastAsia" w:asciiTheme="minorEastAsia" w:hAnsiTheme="minorEastAsia" w:eastAsiaTheme="minorEastAsia" w:cstheme="minorEastAsia"/>
          <w:b w:val="0"/>
          <w:bCs w:val="0"/>
          <w:color w:val="auto"/>
          <w:sz w:val="21"/>
          <w:szCs w:val="21"/>
          <w:highlight w:val="none"/>
          <w:lang w:val="en-US" w:eastAsia="zh-CN"/>
        </w:rPr>
        <w:t>等问题</w:t>
      </w:r>
      <w:r>
        <w:rPr>
          <w:rFonts w:hint="eastAsia" w:asciiTheme="minorEastAsia" w:hAnsiTheme="minorEastAsia" w:eastAsiaTheme="minorEastAsia" w:cstheme="minorEastAsia"/>
          <w:color w:val="auto"/>
          <w:kern w:val="0"/>
          <w:sz w:val="21"/>
          <w:szCs w:val="21"/>
          <w:highlight w:val="none"/>
          <w:lang w:val="zh-CN"/>
        </w:rPr>
        <w:t>造成“电子加密投标文件”在规定时间内无法正常解密的，投标人提供了“备份投标文件”的，将由采购代理机构按“政府采购云平台”操作规范将“备份</w:t>
      </w:r>
      <w:r>
        <w:rPr>
          <w:rFonts w:hint="eastAsia" w:asciiTheme="minorEastAsia" w:hAnsiTheme="minorEastAsia" w:eastAsiaTheme="minorEastAsia" w:cstheme="minorEastAsia"/>
          <w:color w:val="auto"/>
          <w:kern w:val="0"/>
          <w:sz w:val="21"/>
          <w:szCs w:val="21"/>
          <w:highlight w:val="none"/>
          <w:lang w:val="en-US" w:eastAsia="zh-CN"/>
        </w:rPr>
        <w:t>电子</w:t>
      </w:r>
      <w:r>
        <w:rPr>
          <w:rFonts w:hint="eastAsia" w:asciiTheme="minorEastAsia" w:hAnsiTheme="minorEastAsia" w:eastAsiaTheme="minorEastAsia" w:cstheme="minorEastAsia"/>
          <w:color w:val="auto"/>
          <w:kern w:val="0"/>
          <w:sz w:val="21"/>
          <w:szCs w:val="21"/>
          <w:highlight w:val="none"/>
          <w:lang w:val="zh-CN"/>
        </w:rPr>
        <w:t>投标文件”上传至“政府采购云平台”，完成解密。</w:t>
      </w:r>
    </w:p>
    <w:p w14:paraId="291EB552">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（一）组建评标委员会</w:t>
      </w:r>
    </w:p>
    <w:p w14:paraId="6F28AA26">
      <w:pPr>
        <w:pStyle w:val="39"/>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本项目评标委员会由政府采购评审专家和采购单位评审代表组成</w:t>
      </w:r>
      <w:r>
        <w:rPr>
          <w:rFonts w:hint="eastAsia" w:asciiTheme="minorEastAsia" w:hAnsiTheme="minorEastAsia" w:eastAsiaTheme="minorEastAsia" w:cstheme="minorEastAsia"/>
          <w:color w:val="auto"/>
          <w:kern w:val="0"/>
          <w:sz w:val="21"/>
          <w:szCs w:val="21"/>
          <w:highlight w:val="none"/>
        </w:rPr>
        <w:t>，成员人数为五人或以上单数，其中评审专家不少于成员总数的三分之二</w:t>
      </w:r>
      <w:r>
        <w:rPr>
          <w:rFonts w:hint="eastAsia" w:asciiTheme="minorEastAsia" w:hAnsiTheme="minorEastAsia" w:eastAsiaTheme="minorEastAsia" w:cstheme="minorEastAsia"/>
          <w:color w:val="auto"/>
          <w:sz w:val="21"/>
          <w:szCs w:val="21"/>
          <w:highlight w:val="none"/>
          <w:shd w:val="clear" w:color="auto" w:fill="auto"/>
        </w:rPr>
        <w:t>。</w:t>
      </w:r>
    </w:p>
    <w:p w14:paraId="3F7D3A49">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（二）</w:t>
      </w:r>
      <w:r>
        <w:rPr>
          <w:rFonts w:hint="eastAsia" w:asciiTheme="minorEastAsia" w:hAnsiTheme="minorEastAsia" w:eastAsiaTheme="minorEastAsia" w:cstheme="minorEastAsia"/>
          <w:b/>
          <w:bCs/>
          <w:color w:val="auto"/>
          <w:sz w:val="21"/>
          <w:szCs w:val="21"/>
          <w:highlight w:val="none"/>
          <w:shd w:val="clear" w:color="auto" w:fill="auto"/>
        </w:rPr>
        <w:t>评标程序</w:t>
      </w:r>
    </w:p>
    <w:p w14:paraId="4D125208">
      <w:pPr>
        <w:shd w:val="clear"/>
        <w:snapToGrid w:val="0"/>
        <w:spacing w:line="360" w:lineRule="auto"/>
        <w:ind w:firstLine="413" w:firstLineChars="196"/>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1、资格审查</w:t>
      </w:r>
    </w:p>
    <w:p w14:paraId="4701E1DE">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公开招标采购项目开标结束后，采购人或者</w:t>
      </w:r>
      <w:r>
        <w:rPr>
          <w:rFonts w:hint="eastAsia" w:asciiTheme="minorEastAsia" w:hAnsiTheme="minorEastAsia" w:eastAsiaTheme="minorEastAsia" w:cstheme="minorEastAsia"/>
          <w:color w:val="auto"/>
          <w:sz w:val="21"/>
          <w:szCs w:val="21"/>
          <w:highlight w:val="none"/>
          <w:shd w:val="clear" w:color="auto" w:fill="auto"/>
          <w:lang w:eastAsia="zh-CN"/>
        </w:rPr>
        <w:t>采购组织机构</w:t>
      </w:r>
      <w:r>
        <w:rPr>
          <w:rFonts w:hint="eastAsia" w:asciiTheme="minorEastAsia" w:hAnsiTheme="minorEastAsia" w:eastAsiaTheme="minorEastAsia" w:cstheme="minorEastAsia"/>
          <w:color w:val="auto"/>
          <w:sz w:val="21"/>
          <w:szCs w:val="21"/>
          <w:highlight w:val="none"/>
          <w:shd w:val="clear" w:color="auto" w:fill="auto"/>
        </w:rPr>
        <w:t>应当依法对投标人的资格进行审查</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进行必要的询标，结束后公布无效投标的投标人名单、投标无效的原因。</w:t>
      </w:r>
    </w:p>
    <w:p w14:paraId="6A50D743">
      <w:pPr>
        <w:pStyle w:val="70"/>
        <w:shd w:val="clear"/>
        <w:spacing w:before="0" w:beforeAutospacing="0" w:after="0" w:afterAutospacing="0" w:line="360" w:lineRule="auto"/>
        <w:ind w:firstLine="413" w:firstLineChars="196"/>
        <w:jc w:val="both"/>
        <w:rPr>
          <w:rFonts w:hint="eastAsia" w:asciiTheme="minorEastAsia" w:hAnsiTheme="minorEastAsia" w:eastAsiaTheme="minorEastAsia" w:cstheme="minorEastAsia"/>
          <w:b/>
          <w:bCs/>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rPr>
        <w:t>2、</w:t>
      </w:r>
      <w:r>
        <w:rPr>
          <w:rFonts w:hint="eastAsia" w:asciiTheme="minorEastAsia" w:hAnsiTheme="minorEastAsia" w:eastAsiaTheme="minorEastAsia" w:cstheme="minorEastAsia"/>
          <w:b/>
          <w:bCs/>
          <w:color w:val="auto"/>
          <w:sz w:val="21"/>
          <w:szCs w:val="21"/>
          <w:highlight w:val="none"/>
          <w:shd w:val="clear" w:color="auto" w:fill="auto"/>
          <w:lang w:eastAsia="zh-CN"/>
        </w:rPr>
        <w:t>符合性</w:t>
      </w:r>
      <w:r>
        <w:rPr>
          <w:rFonts w:hint="eastAsia" w:asciiTheme="minorEastAsia" w:hAnsiTheme="minorEastAsia" w:eastAsiaTheme="minorEastAsia" w:cstheme="minorEastAsia"/>
          <w:b/>
          <w:bCs/>
          <w:color w:val="auto"/>
          <w:sz w:val="21"/>
          <w:szCs w:val="21"/>
          <w:highlight w:val="none"/>
          <w:shd w:val="clear" w:color="auto" w:fill="auto"/>
        </w:rPr>
        <w:t>审查</w:t>
      </w:r>
    </w:p>
    <w:p w14:paraId="0F8843DB">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评标委员会应当对符合资格的投标人的投标文件进行符合性审查，以确定其是否满足招标文件的实质性要求</w:t>
      </w:r>
      <w:r>
        <w:rPr>
          <w:rFonts w:hint="eastAsia" w:asciiTheme="minorEastAsia" w:hAnsiTheme="minorEastAsia" w:eastAsiaTheme="minorEastAsia" w:cstheme="minorEastAsia"/>
          <w:color w:val="auto"/>
          <w:sz w:val="21"/>
          <w:szCs w:val="21"/>
          <w:highlight w:val="none"/>
          <w:shd w:val="clear" w:color="auto" w:fill="auto"/>
          <w:lang w:eastAsia="zh-CN"/>
        </w:rPr>
        <w:t>，对审查发现无效的</w:t>
      </w:r>
      <w:r>
        <w:rPr>
          <w:rFonts w:hint="eastAsia" w:asciiTheme="minorEastAsia" w:hAnsiTheme="minorEastAsia" w:eastAsiaTheme="minorEastAsia" w:cstheme="minorEastAsia"/>
          <w:color w:val="auto"/>
          <w:sz w:val="21"/>
          <w:szCs w:val="21"/>
          <w:highlight w:val="none"/>
          <w:shd w:val="clear" w:color="auto" w:fill="auto"/>
        </w:rPr>
        <w:t>进行必要的询标</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w:t>
      </w:r>
      <w:r>
        <w:rPr>
          <w:rFonts w:hint="eastAsia" w:asciiTheme="minorEastAsia" w:hAnsiTheme="minorEastAsia" w:eastAsiaTheme="minorEastAsia" w:cstheme="minorEastAsia"/>
          <w:color w:val="auto"/>
          <w:sz w:val="21"/>
          <w:szCs w:val="21"/>
          <w:highlight w:val="none"/>
          <w:shd w:val="clear" w:color="auto" w:fill="auto"/>
        </w:rPr>
        <w:t>结束后公布无效投标的投标人名单、投标无效的原因。</w:t>
      </w:r>
    </w:p>
    <w:p w14:paraId="14984479">
      <w:pPr>
        <w:pStyle w:val="70"/>
        <w:shd w:val="clear"/>
        <w:spacing w:before="0" w:beforeAutospacing="0" w:after="0" w:afterAutospacing="0" w:line="360" w:lineRule="auto"/>
        <w:ind w:firstLine="422" w:firstLineChars="20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3</w:t>
      </w:r>
      <w:r>
        <w:rPr>
          <w:rFonts w:hint="eastAsia" w:asciiTheme="minorEastAsia" w:hAnsiTheme="minorEastAsia" w:eastAsiaTheme="minorEastAsia" w:cstheme="minorEastAsia"/>
          <w:b/>
          <w:bCs/>
          <w:color w:val="auto"/>
          <w:sz w:val="21"/>
          <w:szCs w:val="21"/>
          <w:highlight w:val="none"/>
          <w:shd w:val="clear" w:color="auto" w:fill="auto"/>
        </w:rPr>
        <w:t>、综合比较与评价</w:t>
      </w:r>
    </w:p>
    <w:p w14:paraId="080D0449">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1</w:t>
      </w:r>
      <w:r>
        <w:rPr>
          <w:rFonts w:hint="eastAsia" w:asciiTheme="minorEastAsia" w:hAnsiTheme="minorEastAsia" w:eastAsiaTheme="minorEastAsia" w:cstheme="minorEastAsia"/>
          <w:color w:val="auto"/>
          <w:sz w:val="21"/>
          <w:szCs w:val="21"/>
          <w:highlight w:val="none"/>
          <w:shd w:val="clear" w:color="auto" w:fill="auto"/>
        </w:rPr>
        <w:t>）对于投标文件中含义不明确、同类问题表述不一致或者有明显文字和计算错误的内容，评标委员会应当要求投标人作出必要的澄清、说明或者补正</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shd w:val="clear" w:color="auto" w:fill="auto"/>
        </w:rPr>
        <w:t>。</w:t>
      </w:r>
    </w:p>
    <w:p w14:paraId="2499C0D7">
      <w:pPr>
        <w:pStyle w:val="70"/>
        <w:shd w:val="clear"/>
        <w:spacing w:before="0" w:beforeAutospacing="0" w:after="0" w:afterAutospacing="0" w:line="360" w:lineRule="auto"/>
        <w:ind w:firstLine="315" w:firstLineChars="150"/>
        <w:jc w:val="both"/>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）评标委员会应当按照招标文件中规定的评标方法和标准，对符合性审查合格的投标文件进行评估，综合比较与评价。</w:t>
      </w:r>
    </w:p>
    <w:p w14:paraId="79216C5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）评标时，评标委员会各成员应当独立对每个投标人的投标文件进行评价，并汇总每个投标人的得分。</w:t>
      </w:r>
    </w:p>
    <w:p w14:paraId="08E66843">
      <w:pPr>
        <w:shd w:val="clear"/>
        <w:snapToGrid w:val="0"/>
        <w:spacing w:line="360" w:lineRule="auto"/>
        <w:ind w:firstLine="315" w:firstLineChars="150"/>
        <w:rPr>
          <w:rFonts w:hint="eastAsia" w:asciiTheme="minorEastAsia" w:hAnsiTheme="minorEastAsia" w:eastAsiaTheme="minorEastAsia" w:cstheme="minorEastAsia"/>
          <w:color w:val="auto"/>
          <w:kern w:val="0"/>
          <w:sz w:val="24"/>
          <w:szCs w:val="24"/>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4</w:t>
      </w:r>
      <w:r>
        <w:rPr>
          <w:rFonts w:hint="eastAsia" w:asciiTheme="minorEastAsia" w:hAnsiTheme="minorEastAsia" w:eastAsiaTheme="minorEastAsia" w:cstheme="minorEastAsia"/>
          <w:color w:val="auto"/>
          <w:kern w:val="0"/>
          <w:sz w:val="21"/>
          <w:szCs w:val="21"/>
          <w:highlight w:val="none"/>
          <w:shd w:val="clear" w:color="auto" w:fill="auto"/>
        </w:rPr>
        <w:t>）评标委员会将根据投标人的投标文件进行审查、核对,如有疑问,将对投标人进行询标,投标人要向评标委员会澄清</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或说明</w:t>
      </w:r>
      <w:r>
        <w:rPr>
          <w:rFonts w:hint="eastAsia" w:asciiTheme="minorEastAsia" w:hAnsiTheme="minorEastAsia" w:eastAsiaTheme="minorEastAsia" w:cstheme="minorEastAsia"/>
          <w:color w:val="auto"/>
          <w:kern w:val="0"/>
          <w:sz w:val="21"/>
          <w:szCs w:val="21"/>
          <w:highlight w:val="none"/>
          <w:shd w:val="clear" w:color="auto" w:fill="auto"/>
        </w:rPr>
        <w:t>有关问题,并最终以书面形式进行答复</w:t>
      </w:r>
      <w:r>
        <w:rPr>
          <w:rFonts w:hint="eastAsia" w:asciiTheme="minorEastAsia" w:hAnsiTheme="minorEastAsia" w:eastAsiaTheme="minorEastAsia" w:cstheme="minorEastAsia"/>
          <w:b/>
          <w:bCs/>
          <w:color w:val="auto"/>
          <w:szCs w:val="21"/>
          <w:highlight w:val="none"/>
          <w:lang w:val="en-US" w:eastAsia="zh-CN"/>
        </w:rPr>
        <w:t>(授权的代表或法定代表人所留联系方式在30分钟内无法联系上的，可视作拒绝或放弃澄清或说明)</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081833CF">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val="en-US" w:eastAsia="zh-CN"/>
        </w:rPr>
        <w:t>4、</w:t>
      </w:r>
      <w:r>
        <w:rPr>
          <w:rFonts w:hint="eastAsia" w:asciiTheme="minorEastAsia" w:hAnsiTheme="minorEastAsia" w:eastAsiaTheme="minorEastAsia" w:cstheme="minorEastAsia"/>
          <w:b/>
          <w:bCs/>
          <w:color w:val="auto"/>
          <w:sz w:val="21"/>
          <w:szCs w:val="21"/>
          <w:highlight w:val="none"/>
          <w:shd w:val="clear" w:color="auto" w:fill="auto"/>
          <w:lang w:eastAsia="zh-CN"/>
        </w:rPr>
        <w:t>得分确认及评审报告编写</w:t>
      </w:r>
    </w:p>
    <w:p w14:paraId="4521E3A0">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eastAsia="zh-CN"/>
        </w:rPr>
        <w:t>评标委员会对</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投标</w:t>
      </w:r>
      <w:r>
        <w:rPr>
          <w:rFonts w:hint="eastAsia" w:asciiTheme="minorEastAsia" w:hAnsiTheme="minorEastAsia" w:eastAsiaTheme="minorEastAsia" w:cstheme="minorEastAsia"/>
          <w:color w:val="auto"/>
          <w:kern w:val="0"/>
          <w:sz w:val="21"/>
          <w:szCs w:val="21"/>
          <w:highlight w:val="none"/>
          <w:shd w:val="clear" w:color="auto" w:fill="auto"/>
          <w:lang w:eastAsia="zh-CN"/>
        </w:rPr>
        <w:t>文件进行复核，对于</w:t>
      </w:r>
      <w:r>
        <w:rPr>
          <w:rFonts w:hint="eastAsia" w:asciiTheme="minorEastAsia" w:hAnsiTheme="minorEastAsia" w:eastAsiaTheme="minorEastAsia" w:cstheme="minorEastAsia"/>
          <w:color w:val="auto"/>
          <w:kern w:val="0"/>
          <w:sz w:val="21"/>
          <w:szCs w:val="21"/>
          <w:highlight w:val="none"/>
          <w:shd w:val="clear" w:color="auto" w:fill="auto"/>
        </w:rPr>
        <w:t>总得分</w:t>
      </w:r>
      <w:r>
        <w:rPr>
          <w:rFonts w:hint="eastAsia" w:asciiTheme="minorEastAsia" w:hAnsiTheme="minorEastAsia" w:eastAsiaTheme="minorEastAsia" w:cstheme="minorEastAsia"/>
          <w:color w:val="auto"/>
          <w:kern w:val="0"/>
          <w:sz w:val="21"/>
          <w:szCs w:val="21"/>
          <w:highlight w:val="none"/>
          <w:shd w:val="clear" w:color="auto" w:fill="auto"/>
          <w:lang w:eastAsia="zh-CN"/>
        </w:rPr>
        <w:t>进行确认</w:t>
      </w:r>
      <w:r>
        <w:rPr>
          <w:rFonts w:hint="eastAsia" w:asciiTheme="minorEastAsia" w:hAnsiTheme="minorEastAsia" w:eastAsiaTheme="minorEastAsia" w:cstheme="minorEastAsia"/>
          <w:color w:val="auto"/>
          <w:kern w:val="0"/>
          <w:sz w:val="21"/>
          <w:szCs w:val="21"/>
          <w:highlight w:val="none"/>
          <w:shd w:val="clear" w:color="auto" w:fill="auto"/>
        </w:rPr>
        <w:t>；</w:t>
      </w:r>
    </w:p>
    <w:p w14:paraId="709C1A06">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2</w:t>
      </w:r>
      <w:r>
        <w:rPr>
          <w:rFonts w:hint="eastAsia" w:asciiTheme="minorEastAsia" w:hAnsiTheme="minorEastAsia" w:eastAsiaTheme="minorEastAsia" w:cstheme="minorEastAsia"/>
          <w:color w:val="auto"/>
          <w:kern w:val="0"/>
          <w:sz w:val="21"/>
          <w:szCs w:val="21"/>
          <w:highlight w:val="none"/>
          <w:shd w:val="clear" w:color="auto" w:fill="auto"/>
        </w:rPr>
        <w:t>）评标委员会应当按照招标文件中规定的评标方法和标准，对符合性审查合格的投标文件进行评估，综合比较与评价</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74D1013E">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3</w:t>
      </w:r>
      <w:r>
        <w:rPr>
          <w:rFonts w:hint="eastAsia" w:asciiTheme="minorEastAsia" w:hAnsiTheme="minorEastAsia" w:eastAsiaTheme="minorEastAsia" w:cstheme="minorEastAsia"/>
          <w:color w:val="auto"/>
          <w:kern w:val="0"/>
          <w:sz w:val="21"/>
          <w:szCs w:val="21"/>
          <w:highlight w:val="none"/>
          <w:shd w:val="clear" w:color="auto" w:fill="auto"/>
        </w:rPr>
        <w:t>）评标委员会按评标原则</w:t>
      </w:r>
      <w:r>
        <w:rPr>
          <w:rFonts w:hint="eastAsia" w:asciiTheme="minorEastAsia" w:hAnsiTheme="minorEastAsia" w:eastAsiaTheme="minorEastAsia" w:cstheme="minorEastAsia"/>
          <w:color w:val="auto"/>
          <w:kern w:val="0"/>
          <w:sz w:val="21"/>
          <w:szCs w:val="21"/>
          <w:highlight w:val="none"/>
          <w:shd w:val="clear" w:color="auto" w:fill="auto"/>
          <w:lang w:eastAsia="zh-CN"/>
        </w:rPr>
        <w:t>及得分情况</w:t>
      </w:r>
      <w:r>
        <w:rPr>
          <w:rFonts w:hint="eastAsia" w:asciiTheme="minorEastAsia" w:hAnsiTheme="minorEastAsia" w:eastAsiaTheme="minorEastAsia" w:cstheme="minorEastAsia"/>
          <w:color w:val="auto"/>
          <w:kern w:val="0"/>
          <w:sz w:val="21"/>
          <w:szCs w:val="21"/>
          <w:highlight w:val="none"/>
          <w:shd w:val="clear" w:color="auto" w:fill="auto"/>
        </w:rPr>
        <w:t>编写评审报告</w:t>
      </w:r>
      <w:r>
        <w:rPr>
          <w:rFonts w:hint="eastAsia" w:asciiTheme="minorEastAsia" w:hAnsiTheme="minorEastAsia" w:eastAsiaTheme="minorEastAsia" w:cstheme="minorEastAsia"/>
          <w:color w:val="auto"/>
          <w:kern w:val="0"/>
          <w:sz w:val="21"/>
          <w:szCs w:val="21"/>
          <w:highlight w:val="none"/>
          <w:shd w:val="clear" w:color="auto" w:fill="auto"/>
          <w:lang w:eastAsia="zh-CN"/>
        </w:rPr>
        <w:t>。</w:t>
      </w:r>
    </w:p>
    <w:p w14:paraId="1CE252D7">
      <w:pPr>
        <w:numPr>
          <w:ilvl w:val="0"/>
          <w:numId w:val="0"/>
        </w:numPr>
        <w:shd w:val="clea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shd w:val="clear" w:color="auto" w:fill="auto"/>
          <w:lang w:eastAsia="zh-CN"/>
        </w:rPr>
      </w:pPr>
      <w:r>
        <w:rPr>
          <w:rFonts w:hint="eastAsia" w:asciiTheme="minorEastAsia" w:hAnsiTheme="minorEastAsia" w:eastAsiaTheme="minorEastAsia" w:cstheme="minorEastAsia"/>
          <w:b/>
          <w:bCs/>
          <w:color w:val="auto"/>
          <w:sz w:val="21"/>
          <w:szCs w:val="21"/>
          <w:highlight w:val="none"/>
          <w:shd w:val="clear" w:color="auto" w:fill="auto"/>
          <w:lang w:eastAsia="zh-CN"/>
        </w:rPr>
        <w:t>5、评价</w:t>
      </w:r>
    </w:p>
    <w:p w14:paraId="7CAAB121">
      <w:pPr>
        <w:shd w:val="clear"/>
        <w:snapToGrid w:val="0"/>
        <w:spacing w:line="360" w:lineRule="auto"/>
        <w:ind w:firstLine="315" w:firstLineChars="150"/>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rPr>
        <w:t>采购组织机构对评标委员会评审专家进行评价。</w:t>
      </w:r>
    </w:p>
    <w:p w14:paraId="4086BDA5">
      <w:pPr>
        <w:shd w:val="clea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（三）澄清问题的形式</w:t>
      </w:r>
    </w:p>
    <w:p w14:paraId="3841E1A6">
      <w:pPr>
        <w:shd w:val="clea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投标人的澄清、说明或者补正应当采用书面形式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授权的代表或法定代表人必须在开评标期间保持电话及网络畅通，评标委员会要求供应商进行澄清或说明时，供应商委托代理人或法定代表人所留联系方式在30分钟内无法联系上的，可视作拒绝或放弃澄清或说明</w:t>
      </w:r>
      <w:r>
        <w:rPr>
          <w:rFonts w:hint="eastAsia" w:asciiTheme="minorEastAsia" w:hAnsiTheme="minorEastAsia" w:eastAsiaTheme="minorEastAsia" w:cstheme="minorEastAsia"/>
          <w:color w:val="auto"/>
          <w:sz w:val="21"/>
          <w:szCs w:val="21"/>
          <w:highlight w:val="none"/>
          <w:lang w:val="en-US" w:eastAsia="zh-CN"/>
        </w:rPr>
        <w:t>），加盖公章</w:t>
      </w:r>
      <w:r>
        <w:rPr>
          <w:rFonts w:hint="eastAsia" w:asciiTheme="minorEastAsia" w:hAnsiTheme="minorEastAsia" w:eastAsiaTheme="minorEastAsia" w:cstheme="minorEastAsia"/>
          <w:color w:val="auto"/>
          <w:sz w:val="21"/>
          <w:szCs w:val="21"/>
          <w:highlight w:val="none"/>
        </w:rPr>
        <w:t>或者由法定代理人或其授权的代表</w:t>
      </w:r>
      <w:r>
        <w:rPr>
          <w:rFonts w:hint="eastAsia" w:asciiTheme="minorEastAsia" w:hAnsiTheme="minorEastAsia" w:eastAsiaTheme="minorEastAsia" w:cstheme="minorEastAsia"/>
          <w:color w:val="auto"/>
          <w:sz w:val="21"/>
          <w:szCs w:val="21"/>
          <w:highlight w:val="none"/>
          <w:lang w:eastAsia="zh-CN"/>
        </w:rPr>
        <w:t>签字</w:t>
      </w:r>
      <w:r>
        <w:rPr>
          <w:rFonts w:hint="eastAsia" w:asciiTheme="minorEastAsia" w:hAnsiTheme="minorEastAsia" w:eastAsiaTheme="minorEastAsia" w:cstheme="minorEastAsia"/>
          <w:color w:val="auto"/>
          <w:sz w:val="21"/>
          <w:szCs w:val="21"/>
          <w:highlight w:val="none"/>
        </w:rPr>
        <w:t>，并不得超出投标文件的范围或者改变投标文件的实质性内容</w:t>
      </w:r>
      <w:r>
        <w:rPr>
          <w:rFonts w:hint="eastAsia" w:asciiTheme="minorEastAsia" w:hAnsiTheme="minorEastAsia" w:eastAsiaTheme="minorEastAsia" w:cstheme="minorEastAsia"/>
          <w:color w:val="auto"/>
          <w:sz w:val="21"/>
          <w:szCs w:val="21"/>
          <w:highlight w:val="none"/>
          <w:lang w:eastAsia="zh-CN"/>
        </w:rPr>
        <w:t>。</w:t>
      </w:r>
    </w:p>
    <w:p w14:paraId="2F7FA071">
      <w:pPr>
        <w:pStyle w:val="39"/>
        <w:shd w:val="clear"/>
        <w:snapToGrid w:val="0"/>
        <w:spacing w:line="360" w:lineRule="auto"/>
        <w:ind w:left="690" w:leftChars="228" w:hanging="211" w:hanging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（四）错误修正</w:t>
      </w:r>
    </w:p>
    <w:p w14:paraId="4EDFCD09">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投标文件报价出现前后不一致的，除招标文件另有规定外，按照下列规定修正：</w:t>
      </w:r>
    </w:p>
    <w:p w14:paraId="5DDD8CE1">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1、“政府采购云平台”上开启的投标报价与电子投标文件中开标一览表（报价表）内容不一致的，以电子投标文件中开标一览表（报价表）为准；</w:t>
      </w:r>
    </w:p>
    <w:p w14:paraId="5F9598E8">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2、大写金额和小写金额不一致的，以大写金额为准；</w:t>
      </w:r>
    </w:p>
    <w:p w14:paraId="38437996">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3、单价金额小数点或者百分比有明显错位的，以开标一览表的总价为准，并修改单价；</w:t>
      </w:r>
    </w:p>
    <w:p w14:paraId="3AAD2CA2">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4、总价金额与按单价汇总金额不一致的，以单价金额计算结果为准。</w:t>
      </w:r>
    </w:p>
    <w:p w14:paraId="193AA67D">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同时出现两种以上不一致的，按照前款规定的顺序修正。修正后的报价经投标人确认后产生约束力，投标人不确认的，其投标无效。</w:t>
      </w:r>
    </w:p>
    <w:p w14:paraId="66BC83A8">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（五）</w:t>
      </w:r>
      <w:r>
        <w:rPr>
          <w:rFonts w:hint="eastAsia" w:asciiTheme="minorEastAsia" w:hAnsiTheme="minorEastAsia" w:eastAsiaTheme="minorEastAsia" w:cstheme="minorEastAsia"/>
          <w:b/>
          <w:color w:val="auto"/>
          <w:sz w:val="21"/>
          <w:szCs w:val="21"/>
          <w:highlight w:val="none"/>
        </w:rPr>
        <w:t>投标人存在下列情况之一的，投标无效</w:t>
      </w:r>
    </w:p>
    <w:p w14:paraId="35F8B7A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投标文件在指定页面无法定代表人盖章或签字、未在指定页面盖公章、在指定页面无被授权人签字、未提供法定代表人授权委托书、未提供投标函或者投标函格式不符合招标文件要求或填写项目不齐全的。</w:t>
      </w:r>
    </w:p>
    <w:p w14:paraId="7949D29B">
      <w:pPr>
        <w:keepNext w:val="0"/>
        <w:keepLines w:val="0"/>
        <w:pageBreakBefore w:val="0"/>
        <w:shd w:val="clear"/>
        <w:kinsoku/>
        <w:wordWrap/>
        <w:overflowPunct/>
        <w:topLinePunct w:val="0"/>
        <w:bidi w:val="0"/>
        <w:adjustRightInd w:val="0"/>
        <w:snapToGrid w:val="0"/>
        <w:spacing w:line="312" w:lineRule="auto"/>
        <w:ind w:left="4" w:firstLine="411" w:firstLineChars="196"/>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资格证明文件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商务与技术文件</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报价文件出现混装</w:t>
      </w:r>
      <w:r>
        <w:rPr>
          <w:rFonts w:hint="eastAsia" w:asciiTheme="minorEastAsia" w:hAnsiTheme="minorEastAsia" w:eastAsiaTheme="minorEastAsia" w:cstheme="minorEastAsia"/>
          <w:color w:val="auto"/>
          <w:kern w:val="0"/>
          <w:sz w:val="21"/>
          <w:szCs w:val="21"/>
          <w:highlight w:val="none"/>
          <w:lang w:val="en-US" w:eastAsia="zh-CN"/>
        </w:rPr>
        <w:t>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在资格证明文件或商务与技术文件中出现投标报价的，或者报价文件</w:t>
      </w:r>
      <w:r>
        <w:rPr>
          <w:rFonts w:hint="eastAsia" w:asciiTheme="minorEastAsia" w:hAnsiTheme="minorEastAsia" w:eastAsiaTheme="minorEastAsia" w:cstheme="minorEastAsia"/>
          <w:color w:val="auto"/>
          <w:kern w:val="0"/>
          <w:sz w:val="21"/>
          <w:szCs w:val="21"/>
          <w:highlight w:val="none"/>
          <w:lang w:val="en-US" w:eastAsia="zh-CN"/>
        </w:rPr>
        <w:t>报价</w:t>
      </w:r>
      <w:r>
        <w:rPr>
          <w:rFonts w:hint="eastAsia" w:asciiTheme="minorEastAsia" w:hAnsiTheme="minorEastAsia" w:eastAsiaTheme="minorEastAsia" w:cstheme="minorEastAsia"/>
          <w:color w:val="auto"/>
          <w:kern w:val="0"/>
          <w:sz w:val="21"/>
          <w:szCs w:val="21"/>
          <w:highlight w:val="none"/>
        </w:rPr>
        <w:t>中出现重大偏差的；</w:t>
      </w:r>
    </w:p>
    <w:p w14:paraId="07A049CA">
      <w:pPr>
        <w:pStyle w:val="70"/>
        <w:keepNext w:val="0"/>
        <w:keepLines w:val="0"/>
        <w:pageBreakBefore w:val="0"/>
        <w:shd w:val="clear"/>
        <w:tabs>
          <w:tab w:val="left" w:pos="7380"/>
        </w:tabs>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、不具备招标文件中规定的资格要求的。</w:t>
      </w:r>
      <w:r>
        <w:rPr>
          <w:rFonts w:hint="eastAsia" w:asciiTheme="minorEastAsia" w:hAnsiTheme="minorEastAsia" w:eastAsiaTheme="minorEastAsia" w:cstheme="minorEastAsia"/>
          <w:color w:val="auto"/>
          <w:sz w:val="21"/>
          <w:szCs w:val="21"/>
          <w:highlight w:val="none"/>
        </w:rPr>
        <w:tab/>
      </w:r>
    </w:p>
    <w:p w14:paraId="1FE57E84">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、投标文件含有采购人不能接受的附加条件的。</w:t>
      </w:r>
    </w:p>
    <w:p w14:paraId="36B132F6">
      <w:pPr>
        <w:keepNext w:val="0"/>
        <w:keepLines w:val="0"/>
        <w:pageBreakBefore w:val="0"/>
        <w:shd w:val="clear"/>
        <w:kinsoku/>
        <w:wordWrap/>
        <w:overflowPunct/>
        <w:topLinePunct w:val="0"/>
        <w:bidi w:val="0"/>
        <w:adjustRightInd w:val="0"/>
        <w:snapToGrid w:val="0"/>
        <w:spacing w:line="312" w:lineRule="auto"/>
        <w:ind w:firstLine="411" w:firstLineChars="196"/>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投标人没有提供合法、有效的“授权委托书”或“法定代表人身份证”</w:t>
      </w:r>
      <w:r>
        <w:rPr>
          <w:rFonts w:hint="eastAsia" w:asciiTheme="minorEastAsia" w:hAnsiTheme="minorEastAsia" w:eastAsiaTheme="minorEastAsia" w:cstheme="minorEastAsia"/>
          <w:color w:val="auto"/>
          <w:kern w:val="0"/>
          <w:sz w:val="21"/>
          <w:szCs w:val="21"/>
          <w:highlight w:val="none"/>
          <w:lang w:eastAsia="zh-CN"/>
        </w:rPr>
        <w:t>的</w:t>
      </w:r>
      <w:r>
        <w:rPr>
          <w:rFonts w:hint="eastAsia" w:asciiTheme="minorEastAsia" w:hAnsiTheme="minorEastAsia" w:eastAsiaTheme="minorEastAsia" w:cstheme="minorEastAsia"/>
          <w:color w:val="auto"/>
          <w:sz w:val="21"/>
          <w:szCs w:val="21"/>
          <w:highlight w:val="none"/>
        </w:rPr>
        <w:t>；</w:t>
      </w:r>
    </w:p>
    <w:p w14:paraId="75F78EDE">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、评标委员会认为投标人的报价明显低于其他通过符合性审查投标人的报价，有可能影响</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或者不能诚信履约的，应当要求其在评标现场合理的时间内提供书面说明</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（时间不超过30分钟）</w:t>
      </w:r>
      <w:r>
        <w:rPr>
          <w:rFonts w:hint="eastAsia" w:asciiTheme="minorEastAsia" w:hAnsiTheme="minorEastAsia" w:eastAsiaTheme="minorEastAsia" w:cstheme="minorEastAsia"/>
          <w:color w:val="auto"/>
          <w:sz w:val="21"/>
          <w:szCs w:val="21"/>
          <w:highlight w:val="none"/>
        </w:rPr>
        <w:t>，必要时提交相关证明材料；投标人不能证明其报价合理性的，评标委员会应当将其作为无效投标处理。</w:t>
      </w:r>
    </w:p>
    <w:p w14:paraId="56879015">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、投标人的电子投标文件无法按时解密且本项目未达到启动备份文件条件的</w:t>
      </w:r>
      <w:r>
        <w:rPr>
          <w:rFonts w:hint="eastAsia" w:asciiTheme="minorEastAsia" w:hAnsiTheme="minorEastAsia" w:eastAsiaTheme="minorEastAsia" w:cstheme="minorEastAsia"/>
          <w:color w:val="auto"/>
          <w:sz w:val="21"/>
          <w:szCs w:val="21"/>
          <w:highlight w:val="none"/>
          <w:lang w:eastAsia="zh-CN"/>
        </w:rPr>
        <w:t>；</w:t>
      </w:r>
    </w:p>
    <w:p w14:paraId="61F9D2F1">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、电子投标文件解密失败的，且未在规定时间内提交备份投标文件的；</w:t>
      </w:r>
    </w:p>
    <w:p w14:paraId="542D4939">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、电子投标文件未按规定要求提供电子签章的；</w:t>
      </w:r>
    </w:p>
    <w:p w14:paraId="4AD564DC">
      <w:pPr>
        <w:pStyle w:val="70"/>
        <w:keepNext w:val="0"/>
        <w:keepLines w:val="0"/>
        <w:pageBreakBefore w:val="0"/>
        <w:shd w:val="clear"/>
        <w:kinsoku/>
        <w:wordWrap/>
        <w:overflowPunct/>
        <w:topLinePunct w:val="0"/>
        <w:bidi w:val="0"/>
        <w:adjustRightInd w:val="0"/>
        <w:snapToGrid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投标文件提供虚假材料的。</w:t>
      </w:r>
    </w:p>
    <w:p w14:paraId="4DE89EE2">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投标文件的实质性内容未使用中文表述或者使用计量单位不符合招标文件要求的</w:t>
      </w:r>
      <w:r>
        <w:rPr>
          <w:rFonts w:hint="eastAsia" w:asciiTheme="minorEastAsia" w:hAnsiTheme="minorEastAsia" w:eastAsiaTheme="minorEastAsia" w:cstheme="minorEastAsia"/>
          <w:color w:val="auto"/>
          <w:kern w:val="0"/>
          <w:sz w:val="21"/>
          <w:szCs w:val="21"/>
          <w:highlight w:val="none"/>
          <w:lang w:eastAsia="zh-CN"/>
        </w:rPr>
        <w:t>。</w:t>
      </w:r>
    </w:p>
    <w:p w14:paraId="40AD1863">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12、服务期限</w:t>
      </w:r>
      <w:r>
        <w:rPr>
          <w:rFonts w:hint="eastAsia" w:asciiTheme="minorEastAsia" w:hAnsiTheme="minorEastAsia" w:eastAsiaTheme="minorEastAsia" w:cstheme="minorEastAsia"/>
          <w:color w:val="auto"/>
          <w:kern w:val="0"/>
          <w:sz w:val="21"/>
          <w:szCs w:val="21"/>
          <w:highlight w:val="none"/>
        </w:rPr>
        <w:t>等条款</w:t>
      </w:r>
      <w:r>
        <w:rPr>
          <w:rFonts w:hint="eastAsia" w:asciiTheme="minorEastAsia" w:hAnsiTheme="minorEastAsia" w:eastAsiaTheme="minorEastAsia" w:cstheme="minorEastAsia"/>
          <w:color w:val="auto"/>
          <w:sz w:val="21"/>
          <w:szCs w:val="21"/>
          <w:highlight w:val="none"/>
        </w:rPr>
        <w:t>不能满足招标文件要求的</w:t>
      </w:r>
      <w:r>
        <w:rPr>
          <w:rFonts w:hint="eastAsia" w:asciiTheme="minorEastAsia" w:hAnsiTheme="minorEastAsia" w:eastAsiaTheme="minorEastAsia" w:cstheme="minorEastAsia"/>
          <w:color w:val="auto"/>
          <w:sz w:val="21"/>
          <w:szCs w:val="21"/>
          <w:highlight w:val="none"/>
          <w:lang w:eastAsia="zh-CN"/>
        </w:rPr>
        <w:t>。</w:t>
      </w:r>
    </w:p>
    <w:p w14:paraId="66B19C9D">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提交两份或多份内容不同的投标文件的</w:t>
      </w:r>
      <w:r>
        <w:rPr>
          <w:rFonts w:hint="eastAsia" w:asciiTheme="minorEastAsia" w:hAnsiTheme="minorEastAsia" w:eastAsiaTheme="minorEastAsia" w:cstheme="minorEastAsia"/>
          <w:color w:val="auto"/>
          <w:sz w:val="21"/>
          <w:szCs w:val="21"/>
          <w:highlight w:val="none"/>
          <w:lang w:eastAsia="zh-CN"/>
        </w:rPr>
        <w:t>。</w:t>
      </w:r>
    </w:p>
    <w:p w14:paraId="628BE9E9">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14、招标文件确定规定做无效标的；</w:t>
      </w:r>
    </w:p>
    <w:p w14:paraId="3A128A4C">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15、投标文件存在重大偏差，被评标委员会确定无效的；</w:t>
      </w:r>
    </w:p>
    <w:p w14:paraId="5BF66E6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sz w:val="21"/>
          <w:szCs w:val="21"/>
          <w:highlight w:val="none"/>
        </w:rPr>
        <w:t>投标文件标明的响应或偏离与事实不符或虚假投标的；</w:t>
      </w:r>
    </w:p>
    <w:p w14:paraId="43B7F817">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明显不符合招标文件要求，或者</w:t>
      </w:r>
      <w:r>
        <w:rPr>
          <w:rFonts w:hint="eastAsia" w:asciiTheme="minorEastAsia" w:hAnsiTheme="minorEastAsia" w:eastAsiaTheme="minorEastAsia" w:cstheme="minorEastAsia"/>
          <w:color w:val="auto"/>
          <w:sz w:val="21"/>
          <w:szCs w:val="21"/>
          <w:highlight w:val="none"/>
          <w:lang w:val="zh-CN"/>
        </w:rPr>
        <w:t>未响应招标文件标注“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”的实质性要求的</w:t>
      </w:r>
      <w:r>
        <w:rPr>
          <w:rFonts w:hint="eastAsia" w:asciiTheme="minorEastAsia" w:hAnsiTheme="minorEastAsia" w:eastAsiaTheme="minorEastAsia" w:cstheme="minorEastAsia"/>
          <w:color w:val="auto"/>
          <w:sz w:val="21"/>
          <w:szCs w:val="21"/>
          <w:highlight w:val="none"/>
        </w:rPr>
        <w:t>；</w:t>
      </w:r>
    </w:p>
    <w:p w14:paraId="6B45D651">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存在一个或一个以上备选（替代）</w:t>
      </w:r>
      <w:r>
        <w:rPr>
          <w:rFonts w:hint="eastAsia" w:asciiTheme="minorEastAsia" w:hAnsiTheme="minorEastAsia" w:eastAsiaTheme="minorEastAsia" w:cstheme="minorEastAsia"/>
          <w:color w:val="auto"/>
          <w:sz w:val="21"/>
          <w:szCs w:val="21"/>
          <w:highlight w:val="none"/>
          <w:lang w:val="en-US" w:eastAsia="zh-CN"/>
        </w:rPr>
        <w:t>商务与技术文件</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w:t>
      </w:r>
    </w:p>
    <w:p w14:paraId="69AD849F">
      <w:pPr>
        <w:keepNext w:val="0"/>
        <w:keepLines w:val="0"/>
        <w:pageBreakBefore w:val="0"/>
        <w:shd w:val="clear"/>
        <w:kinsoku/>
        <w:wordWrap/>
        <w:overflowPunct/>
        <w:topLinePunct w:val="0"/>
        <w:bidi w:val="0"/>
        <w:snapToGrid w:val="0"/>
        <w:spacing w:line="312" w:lineRule="auto"/>
        <w:ind w:firstLine="420"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rPr>
        <w:t>在报价评审时，如发现下列情形之一的，投标文件将被视为无效：</w:t>
      </w:r>
    </w:p>
    <w:p w14:paraId="0466809F">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（1）未采用人民币报价的；</w:t>
      </w:r>
    </w:p>
    <w:p w14:paraId="4E919D1A">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w:t>
      </w:r>
      <w:r>
        <w:rPr>
          <w:rFonts w:hint="eastAsia" w:asciiTheme="minorEastAsia" w:hAnsiTheme="minorEastAsia" w:eastAsiaTheme="minorEastAsia" w:cstheme="minorEastAsia"/>
          <w:color w:val="auto"/>
          <w:sz w:val="21"/>
          <w:szCs w:val="21"/>
          <w:highlight w:val="none"/>
          <w:lang w:val="en-US" w:eastAsia="zh-CN"/>
        </w:rPr>
        <w:t>不符合招标文件要求的</w:t>
      </w:r>
      <w:r>
        <w:rPr>
          <w:rFonts w:hint="eastAsia" w:asciiTheme="minorEastAsia" w:hAnsiTheme="minorEastAsia" w:eastAsiaTheme="minorEastAsia" w:cstheme="minorEastAsia"/>
          <w:color w:val="auto"/>
          <w:sz w:val="21"/>
          <w:szCs w:val="21"/>
          <w:highlight w:val="none"/>
        </w:rPr>
        <w:t>；</w:t>
      </w:r>
    </w:p>
    <w:p w14:paraId="320ACBA0">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（3）投标报价具有多个报价或有选择性的。</w:t>
      </w:r>
    </w:p>
    <w:p w14:paraId="0A319876">
      <w:pPr>
        <w:keepNext w:val="0"/>
        <w:keepLines w:val="0"/>
        <w:pageBreakBefore w:val="0"/>
        <w:shd w:val="clear"/>
        <w:tabs>
          <w:tab w:val="left" w:pos="1898"/>
        </w:tabs>
        <w:kinsoku/>
        <w:wordWrap/>
        <w:overflowPunct/>
        <w:topLinePunct w:val="0"/>
        <w:autoSpaceDE w:val="0"/>
        <w:autoSpaceDN w:val="0"/>
        <w:bidi w:val="0"/>
        <w:adjustRightInd w:val="0"/>
        <w:snapToGrid w:val="0"/>
        <w:spacing w:line="312" w:lineRule="auto"/>
        <w:ind w:firstLine="48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不符合中华人民共和国财政部令第87号《政府采购货物和服务招标投标管理办法》第三十七条情形之一的，视为投标人串通投标，其投标无效，并移送</w:t>
      </w:r>
      <w:r>
        <w:rPr>
          <w:rFonts w:hint="eastAsia" w:asciiTheme="minorEastAsia" w:hAnsiTheme="minorEastAsia" w:eastAsiaTheme="minorEastAsia" w:cstheme="minorEastAsia"/>
          <w:color w:val="auto"/>
          <w:kern w:val="0"/>
          <w:sz w:val="21"/>
          <w:szCs w:val="21"/>
          <w:highlight w:val="none"/>
          <w:lang w:val="en-US" w:eastAsia="zh-CN"/>
        </w:rPr>
        <w:t>相关</w:t>
      </w:r>
      <w:r>
        <w:rPr>
          <w:rFonts w:hint="eastAsia" w:asciiTheme="minorEastAsia" w:hAnsiTheme="minorEastAsia" w:eastAsiaTheme="minorEastAsia" w:cstheme="minorEastAsia"/>
          <w:color w:val="auto"/>
          <w:kern w:val="0"/>
          <w:sz w:val="21"/>
          <w:szCs w:val="21"/>
          <w:highlight w:val="none"/>
        </w:rPr>
        <w:t>监管部门：</w:t>
      </w:r>
    </w:p>
    <w:p w14:paraId="297D3D48">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（1）不同投标人的投标文件由同一单位或者个人编制；</w:t>
      </w:r>
    </w:p>
    <w:p w14:paraId="00546240">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（2）不同投标人委托同一单位或者个人办理投标事宜；</w:t>
      </w:r>
    </w:p>
    <w:p w14:paraId="32752492">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（3）不同投标人的投标文件载明的项目管理成员或者联系人员为同一人；</w:t>
      </w:r>
    </w:p>
    <w:p w14:paraId="0D401D5B">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（4）不同投标人的投标文件异常一致或者投标报价呈规律性差异；</w:t>
      </w:r>
    </w:p>
    <w:p w14:paraId="7C5E505E">
      <w:pPr>
        <w:pStyle w:val="70"/>
        <w:keepNext w:val="0"/>
        <w:keepLines w:val="0"/>
        <w:pageBreakBefore w:val="0"/>
        <w:shd w:val="clear"/>
        <w:kinsoku/>
        <w:wordWrap/>
        <w:overflowPunct/>
        <w:topLinePunct w:val="0"/>
        <w:bidi w:val="0"/>
        <w:spacing w:before="0" w:beforeAutospacing="0" w:after="0" w:afterAutospacing="0" w:line="312"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（5）不同投标人的投标文件相互混装。</w:t>
      </w:r>
    </w:p>
    <w:p w14:paraId="6C0AD87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21</w:t>
      </w:r>
      <w:r>
        <w:rPr>
          <w:rFonts w:hint="eastAsia" w:asciiTheme="minorEastAsia" w:hAnsiTheme="minorEastAsia" w:eastAsiaTheme="minorEastAsia" w:cstheme="minorEastAsia"/>
          <w:color w:val="auto"/>
          <w:kern w:val="0"/>
          <w:sz w:val="21"/>
          <w:szCs w:val="21"/>
          <w:highlight w:val="none"/>
        </w:rPr>
        <w:t>、不符合法律、法规和招标文件中规定的其他实质性要求的（招标文件中打“▲”内容及被拒绝的条款）。</w:t>
      </w:r>
      <w:r>
        <w:rPr>
          <w:rFonts w:hint="eastAsia" w:asciiTheme="minorEastAsia" w:hAnsiTheme="minorEastAsia" w:eastAsiaTheme="minorEastAsia" w:cstheme="minorEastAsia"/>
          <w:color w:val="auto"/>
          <w:sz w:val="21"/>
          <w:szCs w:val="21"/>
          <w:highlight w:val="none"/>
        </w:rPr>
        <w:t>实质上没有响应招标文件要求的投标将被视为无效投标。投标人不得通过修正</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澄清</w:t>
      </w:r>
      <w:r>
        <w:rPr>
          <w:rFonts w:hint="eastAsia" w:asciiTheme="minorEastAsia" w:hAnsiTheme="minorEastAsia" w:eastAsiaTheme="minorEastAsia" w:cstheme="minorEastAsia"/>
          <w:color w:val="auto"/>
          <w:sz w:val="21"/>
          <w:szCs w:val="21"/>
          <w:highlight w:val="none"/>
        </w:rPr>
        <w:t>或撤消不合要求的偏离或保留从而使其投标成为实质上响应的投标</w:t>
      </w:r>
      <w:r>
        <w:rPr>
          <w:rFonts w:hint="eastAsia" w:asciiTheme="minorEastAsia" w:hAnsiTheme="minorEastAsia" w:eastAsiaTheme="minorEastAsia" w:cstheme="minorEastAsia"/>
          <w:color w:val="auto"/>
          <w:sz w:val="21"/>
          <w:szCs w:val="21"/>
          <w:highlight w:val="none"/>
          <w:lang w:eastAsia="zh-CN"/>
        </w:rPr>
        <w:t>。</w:t>
      </w:r>
    </w:p>
    <w:p w14:paraId="0A99C76D">
      <w:pPr>
        <w:shd w:val="clear"/>
        <w:autoSpaceDE w:val="0"/>
        <w:autoSpaceDN w:val="0"/>
        <w:adjustRightInd w:val="0"/>
        <w:spacing w:line="360" w:lineRule="auto"/>
        <w:ind w:left="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（六）有下列情况之一的，本次招标作为废标处理</w:t>
      </w:r>
    </w:p>
    <w:p w14:paraId="70FB1A1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1、出现影响采购公正的违法、违规行为的；</w:t>
      </w:r>
    </w:p>
    <w:p w14:paraId="30DAE021">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2、评标委员会发现招标文件存在歧义、重大缺陷导致评标工作无法进行，或者招标文件内容违反国家有关强制性规定的； </w:t>
      </w:r>
    </w:p>
    <w:p w14:paraId="72B9B2DC">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3、因重大变故，采购任务取消的；</w:t>
      </w:r>
    </w:p>
    <w:p w14:paraId="33DE9128">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4、法律、法规和招标文件规定的其他导致评标结果无效的</w:t>
      </w:r>
      <w:r>
        <w:rPr>
          <w:rFonts w:hint="eastAsia" w:asciiTheme="minorEastAsia" w:hAnsiTheme="minorEastAsia" w:eastAsiaTheme="minorEastAsia" w:cstheme="minorEastAsia"/>
          <w:color w:val="auto"/>
          <w:kern w:val="0"/>
          <w:sz w:val="21"/>
          <w:szCs w:val="21"/>
          <w:highlight w:val="none"/>
          <w:lang w:eastAsia="zh-CN"/>
        </w:rPr>
        <w:t>；</w:t>
      </w:r>
    </w:p>
    <w:p w14:paraId="7BC2F20F">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5、有效投标人少于三家的。</w:t>
      </w:r>
    </w:p>
    <w:p w14:paraId="176222C8">
      <w:pPr>
        <w:pStyle w:val="39"/>
        <w:shd w:val="clear"/>
        <w:tabs>
          <w:tab w:val="left" w:pos="630"/>
        </w:tabs>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（七）评标原则和评标办法</w:t>
      </w:r>
    </w:p>
    <w:p w14:paraId="40434A73">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B6B5C7">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2、评标办法。具体评标内容及评分标准等详见《评标方法及评分标准》。</w:t>
      </w:r>
    </w:p>
    <w:p w14:paraId="1ABD5D8C">
      <w:pPr>
        <w:pStyle w:val="39"/>
        <w:shd w:val="clear"/>
        <w:snapToGrid w:val="0"/>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（八）评标过程的监控</w:t>
      </w:r>
    </w:p>
    <w:p w14:paraId="6F1CBA8A">
      <w:pPr>
        <w:pStyle w:val="70"/>
        <w:keepNext w:val="0"/>
        <w:keepLines w:val="0"/>
        <w:pageBreakBefore w:val="0"/>
        <w:shd w:val="clear"/>
        <w:kinsoku/>
        <w:wordWrap/>
        <w:overflowPunct/>
        <w:topLinePunct w:val="0"/>
        <w:bidi w:val="0"/>
        <w:spacing w:before="0" w:beforeAutospacing="0" w:after="0" w:afterAutospacing="0" w:line="312" w:lineRule="auto"/>
        <w:ind w:firstLine="420" w:firstLineChars="200"/>
        <w:jc w:val="both"/>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367D95BB">
      <w:pPr>
        <w:pStyle w:val="70"/>
        <w:shd w:val="clear"/>
        <w:spacing w:before="0" w:beforeAutospacing="0" w:after="0" w:afterAutospacing="0" w:line="360" w:lineRule="auto"/>
        <w:ind w:firstLine="316" w:firstLineChars="15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七、定标</w:t>
      </w:r>
    </w:p>
    <w:p w14:paraId="5387914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1、确定中标供应商。评标委员会根据采购单位的</w:t>
      </w:r>
      <w:r>
        <w:rPr>
          <w:rFonts w:hint="eastAsia" w:asciiTheme="minorEastAsia" w:hAnsiTheme="minorEastAsia" w:eastAsiaTheme="minorEastAsia" w:cstheme="minorEastAsia"/>
          <w:color w:val="auto"/>
          <w:sz w:val="21"/>
          <w:szCs w:val="21"/>
          <w:highlight w:val="none"/>
          <w:lang w:eastAsia="zh-CN"/>
        </w:rPr>
        <w:t>《授权意见确认书》</w:t>
      </w:r>
      <w:r>
        <w:rPr>
          <w:rFonts w:hint="eastAsia" w:asciiTheme="minorEastAsia" w:hAnsiTheme="minorEastAsia" w:eastAsiaTheme="minorEastAsia" w:cstheme="minorEastAsia"/>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FD191E9">
      <w:pPr>
        <w:shd w:val="clear"/>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发布</w:t>
      </w:r>
      <w:r>
        <w:rPr>
          <w:rFonts w:hint="eastAsia" w:asciiTheme="minorEastAsia" w:hAnsiTheme="minorEastAsia" w:eastAsiaTheme="minorEastAsia" w:cstheme="minorEastAsia"/>
          <w:color w:val="auto"/>
          <w:sz w:val="21"/>
          <w:szCs w:val="21"/>
          <w:highlight w:val="none"/>
        </w:rPr>
        <w:t>中标</w:t>
      </w:r>
      <w:r>
        <w:rPr>
          <w:rFonts w:hint="eastAsia" w:asciiTheme="minorEastAsia" w:hAnsiTheme="minorEastAsia" w:eastAsiaTheme="minorEastAsia" w:cstheme="minorEastAsia"/>
          <w:color w:val="auto"/>
          <w:kern w:val="0"/>
          <w:sz w:val="21"/>
          <w:szCs w:val="21"/>
          <w:highlight w:val="none"/>
        </w:rPr>
        <w:t>结果公告</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同时公示《中小企业声明函》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。采购组织机构应当自中标人确定之日起2个工作日内，在省级以上财政部门指定的媒体及相关网站上公告中标结果，招标文件应当随中标结果同时公告。</w:t>
      </w:r>
    </w:p>
    <w:p w14:paraId="78CCA1E3">
      <w:pPr>
        <w:pStyle w:val="70"/>
        <w:shd w:val="clear"/>
        <w:spacing w:before="0" w:beforeAutospacing="0" w:after="0" w:afterAutospacing="0" w:line="360" w:lineRule="auto"/>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3、发出中标通知书。采购组织机构在发布中标结果的同时，向中标人发出中标通知书。</w:t>
      </w:r>
    </w:p>
    <w:p w14:paraId="5E317F7C">
      <w:pPr>
        <w:shd w:val="clear"/>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kern w:val="0"/>
          <w:sz w:val="21"/>
          <w:szCs w:val="21"/>
          <w:highlight w:val="none"/>
        </w:rPr>
        <w:t>合同签订及</w:t>
      </w:r>
      <w:r>
        <w:rPr>
          <w:rFonts w:hint="eastAsia" w:asciiTheme="minorEastAsia" w:hAnsiTheme="minorEastAsia" w:eastAsiaTheme="minorEastAsia" w:cstheme="minorEastAsia"/>
          <w:b/>
          <w:color w:val="auto"/>
          <w:kern w:val="0"/>
          <w:sz w:val="21"/>
          <w:szCs w:val="21"/>
          <w:highlight w:val="none"/>
          <w:lang w:val="en-US" w:eastAsia="zh-CN"/>
        </w:rPr>
        <w:t>中标</w:t>
      </w:r>
      <w:r>
        <w:rPr>
          <w:rFonts w:hint="eastAsia" w:asciiTheme="minorEastAsia" w:hAnsiTheme="minorEastAsia" w:eastAsiaTheme="minorEastAsia" w:cstheme="minorEastAsia"/>
          <w:b/>
          <w:color w:val="auto"/>
          <w:kern w:val="0"/>
          <w:sz w:val="21"/>
          <w:szCs w:val="21"/>
          <w:highlight w:val="none"/>
        </w:rPr>
        <w:t>公告</w:t>
      </w:r>
    </w:p>
    <w:p w14:paraId="1B3EF385">
      <w:pPr>
        <w:shd w:val="clea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（一）签订合同</w:t>
      </w:r>
    </w:p>
    <w:p w14:paraId="1DF8E2B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1、采购人应当自中标通知书发出之日起</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日内，按照招标文件和中标人投标文件的规定，与中标人签订书面合同。所签订的合同不得对招标文件确定的事项和中标人投标文件作实质性修改。</w:t>
      </w:r>
    </w:p>
    <w:p w14:paraId="1622966D">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2、采购人不得向中标人提出任何不合理的要求作为签订合同的条件。</w:t>
      </w:r>
    </w:p>
    <w:p w14:paraId="1535EFC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3、中标供应商无故拖延、拒签合同的,取消中标资格。</w:t>
      </w:r>
    </w:p>
    <w:p w14:paraId="3C0DD942">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BACAB7B">
      <w:pPr>
        <w:pStyle w:val="39"/>
        <w:shd w:val="clear"/>
        <w:snapToGrid w:val="0"/>
        <w:spacing w:line="360" w:lineRule="auto"/>
        <w:ind w:firstLine="525" w:firstLineChars="25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2F90C19C">
      <w:pPr>
        <w:shd w:val="clea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（二）合同公告及备案</w:t>
      </w:r>
    </w:p>
    <w:p w14:paraId="77A9467D">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1、采购人应当自政府采购合同签订之日起2个工作日内，在省级以上财政部门指定的政府采购信息发布媒体及相关网站上公告。</w:t>
      </w:r>
    </w:p>
    <w:p w14:paraId="6E823223">
      <w:pPr>
        <w:pStyle w:val="70"/>
        <w:shd w:val="clear"/>
        <w:spacing w:before="0" w:beforeAutospacing="0" w:after="0" w:afterAutospacing="0" w:line="360" w:lineRule="auto"/>
        <w:ind w:firstLine="525" w:firstLineChars="25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2、采购人应当自政府采购合同签订之日起7个工作日内，将政府采购合同副本报同级人民政府财政部门备案以及采购组织机构存档。</w:t>
      </w:r>
    </w:p>
    <w:p w14:paraId="67A35A82">
      <w:pPr>
        <w:pStyle w:val="39"/>
        <w:shd w:val="clear"/>
        <w:snapToGrid w:val="0"/>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三</w:t>
      </w:r>
      <w:r>
        <w:rPr>
          <w:rFonts w:hint="eastAsia" w:asciiTheme="minorEastAsia" w:hAnsiTheme="minorEastAsia" w:eastAsiaTheme="minorEastAsia" w:cstheme="minorEastAsia"/>
          <w:b w:val="0"/>
          <w:bCs/>
          <w:color w:val="auto"/>
          <w:sz w:val="21"/>
          <w:szCs w:val="21"/>
          <w:highlight w:val="none"/>
        </w:rPr>
        <w:t>）履约保证金</w:t>
      </w:r>
    </w:p>
    <w:p w14:paraId="4BAFBB6C">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中标人应按招标文件确定的履约保证金和代理服务费的金额，</w:t>
      </w:r>
      <w:r>
        <w:rPr>
          <w:rFonts w:hint="eastAsia" w:asciiTheme="minorEastAsia" w:hAnsiTheme="minorEastAsia" w:eastAsiaTheme="minorEastAsia" w:cstheme="minorEastAsia"/>
          <w:b w:val="0"/>
          <w:bCs/>
          <w:color w:val="auto"/>
          <w:sz w:val="21"/>
          <w:szCs w:val="21"/>
          <w:highlight w:val="none"/>
          <w:lang w:eastAsia="zh-CN"/>
        </w:rPr>
        <w:t>缴纳</w:t>
      </w:r>
      <w:r>
        <w:rPr>
          <w:rFonts w:hint="eastAsia" w:asciiTheme="minorEastAsia" w:hAnsiTheme="minorEastAsia" w:eastAsiaTheme="minorEastAsia" w:cstheme="minorEastAsia"/>
          <w:b w:val="0"/>
          <w:bCs/>
          <w:color w:val="auto"/>
          <w:sz w:val="21"/>
          <w:szCs w:val="21"/>
          <w:highlight w:val="none"/>
        </w:rPr>
        <w:t>履约保证金和代理服务费。</w:t>
      </w:r>
    </w:p>
    <w:p w14:paraId="6383709F">
      <w:pPr>
        <w:shd w:val="clear"/>
        <w:snapToGrid w:val="0"/>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签订合同后，如中标人不按双方合同约定履约</w:t>
      </w:r>
      <w:r>
        <w:rPr>
          <w:rFonts w:hint="eastAsia" w:asciiTheme="minorEastAsia" w:hAnsiTheme="minorEastAsia" w:eastAsiaTheme="minorEastAsia" w:cstheme="minorEastAsia"/>
          <w:b w:val="0"/>
          <w:bCs/>
          <w:color w:val="auto"/>
          <w:sz w:val="21"/>
          <w:szCs w:val="21"/>
          <w:highlight w:val="none"/>
          <w:lang w:val="en-US" w:eastAsia="zh-CN"/>
        </w:rPr>
        <w:t>或未按规定缴纳</w:t>
      </w:r>
      <w:r>
        <w:rPr>
          <w:rFonts w:hint="eastAsia" w:asciiTheme="minorEastAsia" w:hAnsiTheme="minorEastAsia" w:eastAsiaTheme="minorEastAsia" w:cstheme="minorEastAsia"/>
          <w:b w:val="0"/>
          <w:bCs/>
          <w:color w:val="auto"/>
          <w:sz w:val="21"/>
          <w:szCs w:val="21"/>
          <w:highlight w:val="none"/>
        </w:rPr>
        <w:t>履约保证金和代理服务费，则没收其全部履约保证金，履约保证金不足以赔偿损失的，按实际损失赔偿。</w:t>
      </w:r>
    </w:p>
    <w:p w14:paraId="056E1137">
      <w:pPr>
        <w:shd w:val="clear"/>
        <w:snapToGrid w:val="0"/>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1"/>
          <w:szCs w:val="21"/>
          <w:highlight w:val="none"/>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履约保证金在中标人按合同约定</w:t>
      </w:r>
      <w:r>
        <w:rPr>
          <w:rFonts w:hint="eastAsia" w:asciiTheme="minorEastAsia" w:hAnsiTheme="minorEastAsia" w:eastAsiaTheme="minorEastAsia" w:cstheme="minorEastAsia"/>
          <w:b w:val="0"/>
          <w:bCs/>
          <w:color w:val="auto"/>
          <w:sz w:val="21"/>
          <w:szCs w:val="21"/>
          <w:highlight w:val="none"/>
          <w:lang w:eastAsia="zh-CN"/>
        </w:rPr>
        <w:t>完成所有工作经采购人认可</w:t>
      </w:r>
      <w:r>
        <w:rPr>
          <w:rFonts w:hint="eastAsia" w:asciiTheme="minorEastAsia" w:hAnsiTheme="minorEastAsia" w:eastAsiaTheme="minorEastAsia" w:cstheme="minorEastAsia"/>
          <w:b w:val="0"/>
          <w:bCs/>
          <w:color w:val="auto"/>
          <w:sz w:val="21"/>
          <w:szCs w:val="21"/>
          <w:highlight w:val="none"/>
        </w:rPr>
        <w:t>后无息退还。</w:t>
      </w:r>
    </w:p>
    <w:bookmarkEnd w:id="7"/>
    <w:bookmarkEnd w:id="8"/>
    <w:bookmarkEnd w:id="9"/>
    <w:bookmarkEnd w:id="10"/>
    <w:p w14:paraId="19DA09DB">
      <w:pPr>
        <w:shd w:val="clear"/>
        <w:rPr>
          <w:rFonts w:hint="eastAsia" w:asciiTheme="minorEastAsia" w:hAnsiTheme="minorEastAsia" w:eastAsiaTheme="minorEastAsia" w:cstheme="minorEastAsia"/>
          <w:color w:val="auto"/>
          <w:sz w:val="36"/>
          <w:szCs w:val="36"/>
          <w:highlight w:val="none"/>
        </w:rPr>
      </w:pPr>
      <w:bookmarkStart w:id="11" w:name="_Toc331502481"/>
      <w:r>
        <w:rPr>
          <w:rFonts w:hint="eastAsia" w:asciiTheme="minorEastAsia" w:hAnsiTheme="minorEastAsia" w:eastAsiaTheme="minorEastAsia" w:cstheme="minorEastAsia"/>
          <w:color w:val="auto"/>
          <w:sz w:val="36"/>
          <w:szCs w:val="36"/>
          <w:highlight w:val="none"/>
        </w:rPr>
        <w:br w:type="page"/>
      </w:r>
    </w:p>
    <w:p w14:paraId="76D66E0F">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08928C3D">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p>
    <w:p w14:paraId="1E5073A8">
      <w:pPr>
        <w:pStyle w:val="2"/>
        <w:numPr>
          <w:ilvl w:val="0"/>
          <w:numId w:val="0"/>
        </w:numPr>
        <w:shd w:val="clear"/>
        <w:tabs>
          <w:tab w:val="clear" w:pos="432"/>
        </w:tabs>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第四部分  投标文件有关格式和</w:t>
      </w:r>
      <w:bookmarkEnd w:id="11"/>
      <w:r>
        <w:rPr>
          <w:rFonts w:hint="eastAsia" w:asciiTheme="minorEastAsia" w:hAnsiTheme="minorEastAsia" w:eastAsiaTheme="minorEastAsia" w:cstheme="minorEastAsia"/>
          <w:color w:val="auto"/>
          <w:sz w:val="36"/>
          <w:szCs w:val="36"/>
          <w:highlight w:val="none"/>
        </w:rPr>
        <w:t>样式</w:t>
      </w:r>
    </w:p>
    <w:p w14:paraId="4141DD7F">
      <w:pPr>
        <w:spacing w:line="360" w:lineRule="auto"/>
        <w:ind w:firstLine="482" w:firstLineChars="200"/>
        <w:jc w:val="left"/>
        <w:rPr>
          <w:rFonts w:hint="default" w:ascii="宋体" w:eastAsia="宋体"/>
          <w:b/>
          <w:bCs/>
          <w:color w:val="FF0000"/>
          <w:sz w:val="24"/>
          <w:highlight w:val="none"/>
          <w:lang w:val="en-US" w:eastAsia="zh-CN"/>
        </w:rPr>
      </w:pPr>
      <w:bookmarkStart w:id="12" w:name="_关_于_资"/>
      <w:bookmarkEnd w:id="12"/>
      <w:bookmarkStart w:id="13" w:name="_Toc331502482"/>
      <w:r>
        <w:rPr>
          <w:rFonts w:hint="eastAsia" w:asciiTheme="minorEastAsia" w:hAnsiTheme="minorEastAsia" w:eastAsiaTheme="minorEastAsia" w:cstheme="minorEastAsia"/>
          <w:b/>
          <w:bCs/>
          <w:color w:val="FF0000"/>
          <w:sz w:val="24"/>
          <w:highlight w:val="none"/>
          <w:lang w:val="en-US" w:eastAsia="zh-CN"/>
        </w:rPr>
        <w:t xml:space="preserve"> </w:t>
      </w:r>
      <w:r>
        <w:rPr>
          <w:rFonts w:hint="eastAsia" w:asciiTheme="minorEastAsia" w:hAnsiTheme="minorEastAsia" w:eastAsiaTheme="minorEastAsia" w:cstheme="minorEastAsia"/>
          <w:b/>
          <w:bCs/>
          <w:color w:val="FF0000"/>
          <w:sz w:val="24"/>
          <w:highlight w:val="none"/>
        </w:rPr>
        <w:t>本项目投标报价不作为竞争部分</w:t>
      </w:r>
      <w:r>
        <w:rPr>
          <w:rFonts w:hint="eastAsia" w:asciiTheme="minorEastAsia" w:hAnsiTheme="minorEastAsia" w:eastAsiaTheme="minorEastAsia" w:cstheme="minorEastAsia"/>
          <w:b/>
          <w:bCs/>
          <w:color w:val="FF0000"/>
          <w:sz w:val="24"/>
          <w:highlight w:val="none"/>
          <w:lang w:eastAsia="zh-CN"/>
        </w:rPr>
        <w:t>，所有</w:t>
      </w:r>
      <w:r>
        <w:rPr>
          <w:rFonts w:hint="eastAsia" w:asciiTheme="minorEastAsia" w:hAnsiTheme="minorEastAsia" w:eastAsiaTheme="minorEastAsia" w:cstheme="minorEastAsia"/>
          <w:b/>
          <w:bCs/>
          <w:color w:val="FF0000"/>
          <w:sz w:val="24"/>
          <w:highlight w:val="none"/>
          <w:lang w:val="en-US" w:eastAsia="zh-CN"/>
        </w:rPr>
        <w:t>供应商</w:t>
      </w:r>
      <w:r>
        <w:rPr>
          <w:rFonts w:hint="eastAsia" w:asciiTheme="minorEastAsia" w:hAnsiTheme="minorEastAsia" w:eastAsiaTheme="minorEastAsia" w:cstheme="minorEastAsia"/>
          <w:b/>
          <w:bCs/>
          <w:color w:val="FF0000"/>
          <w:sz w:val="24"/>
          <w:highlight w:val="none"/>
          <w:lang w:eastAsia="zh-CN"/>
        </w:rPr>
        <w:t>的</w:t>
      </w:r>
      <w:r>
        <w:rPr>
          <w:rFonts w:hint="eastAsia" w:asciiTheme="minorEastAsia" w:hAnsiTheme="minorEastAsia" w:eastAsiaTheme="minorEastAsia" w:cstheme="minorEastAsia"/>
          <w:b/>
          <w:bCs/>
          <w:color w:val="FF0000"/>
          <w:sz w:val="24"/>
          <w:highlight w:val="none"/>
          <w:lang w:val="en-US" w:eastAsia="zh-CN"/>
        </w:rPr>
        <w:t>报价分按满分计入</w:t>
      </w:r>
      <w:r>
        <w:rPr>
          <w:rFonts w:hint="eastAsia" w:asciiTheme="minorEastAsia" w:hAnsiTheme="minorEastAsia" w:eastAsiaTheme="minorEastAsia" w:cstheme="minorEastAsia"/>
          <w:b/>
          <w:bCs/>
          <w:color w:val="FF0000"/>
          <w:sz w:val="24"/>
          <w:highlight w:val="none"/>
          <w:lang w:eastAsia="zh-CN"/>
        </w:rPr>
        <w:t>，</w:t>
      </w:r>
      <w:r>
        <w:rPr>
          <w:rFonts w:hint="eastAsia" w:ascii="宋体"/>
          <w:b/>
          <w:bCs/>
          <w:color w:val="FF0000"/>
          <w:sz w:val="24"/>
          <w:highlight w:val="none"/>
          <w:lang w:val="en-US" w:eastAsia="zh-CN"/>
        </w:rPr>
        <w:t>投标报价一览表按文件中提供格式上传。</w:t>
      </w:r>
    </w:p>
    <w:p w14:paraId="12F658D8">
      <w:pPr>
        <w:shd w:val="clear"/>
        <w:jc w:val="center"/>
        <w:rPr>
          <w:rFonts w:hint="eastAsia" w:asciiTheme="minorEastAsia" w:hAnsiTheme="minorEastAsia" w:eastAsiaTheme="minorEastAsia" w:cstheme="minorEastAsia"/>
          <w:color w:val="auto"/>
          <w:sz w:val="24"/>
          <w:highlight w:val="none"/>
          <w:lang w:eastAsia="zh-CN"/>
        </w:rPr>
      </w:pPr>
    </w:p>
    <w:p w14:paraId="25279EC8">
      <w:pPr>
        <w:shd w:val="clear"/>
        <w:jc w:val="center"/>
        <w:rPr>
          <w:rFonts w:hint="eastAsia" w:asciiTheme="minorEastAsia" w:hAnsiTheme="minorEastAsia" w:eastAsiaTheme="minorEastAsia" w:cstheme="minorEastAsia"/>
          <w:color w:val="auto"/>
          <w:sz w:val="24"/>
          <w:highlight w:val="none"/>
        </w:rPr>
      </w:pPr>
    </w:p>
    <w:p w14:paraId="2B5BFE05">
      <w:pPr>
        <w:shd w:val="clear"/>
        <w:jc w:val="center"/>
        <w:rPr>
          <w:rFonts w:hint="eastAsia" w:asciiTheme="minorEastAsia" w:hAnsiTheme="minorEastAsia" w:eastAsiaTheme="minorEastAsia" w:cstheme="minorEastAsia"/>
          <w:color w:val="auto"/>
          <w:sz w:val="24"/>
          <w:highlight w:val="none"/>
        </w:rPr>
      </w:pPr>
    </w:p>
    <w:p w14:paraId="2CCB6B6B">
      <w:pPr>
        <w:shd w:val="clear"/>
        <w:jc w:val="center"/>
        <w:rPr>
          <w:rFonts w:hint="eastAsia" w:asciiTheme="minorEastAsia" w:hAnsiTheme="minorEastAsia" w:eastAsiaTheme="minorEastAsia" w:cstheme="minorEastAsia"/>
          <w:color w:val="auto"/>
          <w:sz w:val="24"/>
          <w:highlight w:val="none"/>
        </w:rPr>
      </w:pPr>
    </w:p>
    <w:p w14:paraId="685D722A">
      <w:pPr>
        <w:shd w:val="clear"/>
        <w:jc w:val="center"/>
        <w:rPr>
          <w:rFonts w:hint="eastAsia" w:asciiTheme="minorEastAsia" w:hAnsiTheme="minorEastAsia" w:eastAsiaTheme="minorEastAsia" w:cstheme="minorEastAsia"/>
          <w:color w:val="auto"/>
          <w:sz w:val="24"/>
          <w:highlight w:val="none"/>
        </w:rPr>
      </w:pPr>
    </w:p>
    <w:p w14:paraId="11169407">
      <w:pPr>
        <w:shd w:val="clear"/>
        <w:jc w:val="center"/>
        <w:rPr>
          <w:rFonts w:hint="eastAsia" w:asciiTheme="minorEastAsia" w:hAnsiTheme="minorEastAsia" w:eastAsiaTheme="minorEastAsia" w:cstheme="minorEastAsia"/>
          <w:color w:val="auto"/>
          <w:sz w:val="24"/>
          <w:highlight w:val="none"/>
        </w:rPr>
      </w:pPr>
    </w:p>
    <w:p w14:paraId="78D8994A">
      <w:pPr>
        <w:shd w:val="clear"/>
        <w:jc w:val="center"/>
        <w:rPr>
          <w:rFonts w:hint="eastAsia" w:asciiTheme="minorEastAsia" w:hAnsiTheme="minorEastAsia" w:eastAsiaTheme="minorEastAsia" w:cstheme="minorEastAsia"/>
          <w:color w:val="auto"/>
          <w:sz w:val="24"/>
          <w:highlight w:val="none"/>
        </w:rPr>
      </w:pPr>
    </w:p>
    <w:p w14:paraId="3B751117">
      <w:pPr>
        <w:shd w:val="clear"/>
        <w:jc w:val="center"/>
        <w:rPr>
          <w:rFonts w:hint="eastAsia" w:asciiTheme="minorEastAsia" w:hAnsiTheme="minorEastAsia" w:eastAsiaTheme="minorEastAsia" w:cstheme="minorEastAsia"/>
          <w:color w:val="auto"/>
          <w:sz w:val="24"/>
          <w:highlight w:val="none"/>
        </w:rPr>
      </w:pPr>
    </w:p>
    <w:p w14:paraId="36549415">
      <w:pPr>
        <w:shd w:val="clear"/>
        <w:jc w:val="center"/>
        <w:rPr>
          <w:rFonts w:hint="eastAsia" w:asciiTheme="minorEastAsia" w:hAnsiTheme="minorEastAsia" w:eastAsiaTheme="minorEastAsia" w:cstheme="minorEastAsia"/>
          <w:color w:val="auto"/>
          <w:sz w:val="24"/>
          <w:highlight w:val="none"/>
        </w:rPr>
      </w:pPr>
    </w:p>
    <w:p w14:paraId="6E9BF73B">
      <w:pPr>
        <w:pStyle w:val="26"/>
        <w:shd w:val="clear"/>
        <w:rPr>
          <w:rFonts w:hint="eastAsia" w:asciiTheme="minorEastAsia" w:hAnsiTheme="minorEastAsia" w:eastAsiaTheme="minorEastAsia" w:cstheme="minorEastAsia"/>
          <w:color w:val="auto"/>
          <w:sz w:val="24"/>
          <w:highlight w:val="none"/>
        </w:rPr>
      </w:pPr>
    </w:p>
    <w:p w14:paraId="6A538ADB">
      <w:pPr>
        <w:pStyle w:val="27"/>
        <w:shd w:val="clear"/>
        <w:rPr>
          <w:rFonts w:hint="eastAsia" w:asciiTheme="minorEastAsia" w:hAnsiTheme="minorEastAsia" w:eastAsiaTheme="minorEastAsia" w:cstheme="minorEastAsia"/>
          <w:color w:val="auto"/>
          <w:sz w:val="24"/>
          <w:highlight w:val="none"/>
        </w:rPr>
      </w:pPr>
    </w:p>
    <w:p w14:paraId="21F50F2B">
      <w:pPr>
        <w:shd w:val="clear"/>
        <w:rPr>
          <w:rFonts w:hint="eastAsia" w:asciiTheme="minorEastAsia" w:hAnsiTheme="minorEastAsia" w:eastAsiaTheme="minorEastAsia" w:cstheme="minorEastAsia"/>
          <w:color w:val="auto"/>
          <w:sz w:val="24"/>
          <w:highlight w:val="none"/>
        </w:rPr>
      </w:pPr>
    </w:p>
    <w:p w14:paraId="7B921277">
      <w:pPr>
        <w:pStyle w:val="26"/>
        <w:shd w:val="clear"/>
        <w:rPr>
          <w:rFonts w:hint="eastAsia" w:asciiTheme="minorEastAsia" w:hAnsiTheme="minorEastAsia" w:eastAsiaTheme="minorEastAsia" w:cstheme="minorEastAsia"/>
          <w:color w:val="auto"/>
          <w:sz w:val="24"/>
          <w:highlight w:val="none"/>
        </w:rPr>
      </w:pPr>
    </w:p>
    <w:p w14:paraId="459D1605">
      <w:pPr>
        <w:pStyle w:val="27"/>
        <w:shd w:val="clear"/>
        <w:rPr>
          <w:rFonts w:hint="eastAsia" w:asciiTheme="minorEastAsia" w:hAnsiTheme="minorEastAsia" w:eastAsiaTheme="minorEastAsia" w:cstheme="minorEastAsia"/>
          <w:color w:val="auto"/>
          <w:sz w:val="24"/>
          <w:highlight w:val="none"/>
        </w:rPr>
      </w:pPr>
    </w:p>
    <w:p w14:paraId="0F3EEFCB">
      <w:pPr>
        <w:shd w:val="clear"/>
        <w:rPr>
          <w:rFonts w:hint="eastAsia" w:asciiTheme="minorEastAsia" w:hAnsiTheme="minorEastAsia" w:eastAsiaTheme="minorEastAsia" w:cstheme="minorEastAsia"/>
          <w:color w:val="auto"/>
          <w:sz w:val="24"/>
          <w:highlight w:val="none"/>
        </w:rPr>
      </w:pPr>
    </w:p>
    <w:p w14:paraId="44EA2405">
      <w:pPr>
        <w:pStyle w:val="26"/>
        <w:shd w:val="clear"/>
        <w:rPr>
          <w:rFonts w:hint="eastAsia" w:asciiTheme="minorEastAsia" w:hAnsiTheme="minorEastAsia" w:eastAsiaTheme="minorEastAsia" w:cstheme="minorEastAsia"/>
          <w:color w:val="auto"/>
          <w:sz w:val="24"/>
          <w:highlight w:val="none"/>
        </w:rPr>
      </w:pPr>
    </w:p>
    <w:p w14:paraId="178B93C6">
      <w:pPr>
        <w:pStyle w:val="27"/>
        <w:shd w:val="clear"/>
        <w:rPr>
          <w:rFonts w:hint="eastAsia" w:asciiTheme="minorEastAsia" w:hAnsiTheme="minorEastAsia" w:eastAsiaTheme="minorEastAsia" w:cstheme="minorEastAsia"/>
          <w:color w:val="auto"/>
          <w:sz w:val="24"/>
          <w:highlight w:val="none"/>
        </w:rPr>
      </w:pPr>
    </w:p>
    <w:p w14:paraId="6A2AC6FD">
      <w:pPr>
        <w:shd w:val="clear"/>
        <w:rPr>
          <w:rFonts w:hint="eastAsia" w:asciiTheme="minorEastAsia" w:hAnsiTheme="minorEastAsia" w:eastAsiaTheme="minorEastAsia" w:cstheme="minorEastAsia"/>
          <w:color w:val="auto"/>
          <w:sz w:val="24"/>
          <w:highlight w:val="none"/>
        </w:rPr>
      </w:pPr>
    </w:p>
    <w:p w14:paraId="6685F489">
      <w:pPr>
        <w:pStyle w:val="26"/>
        <w:shd w:val="clear"/>
        <w:rPr>
          <w:rFonts w:hint="eastAsia" w:asciiTheme="minorEastAsia" w:hAnsiTheme="minorEastAsia" w:eastAsiaTheme="minorEastAsia" w:cstheme="minorEastAsia"/>
          <w:color w:val="auto"/>
          <w:sz w:val="24"/>
          <w:highlight w:val="none"/>
        </w:rPr>
      </w:pPr>
    </w:p>
    <w:p w14:paraId="1A5C8682">
      <w:pPr>
        <w:pStyle w:val="27"/>
        <w:shd w:val="clear"/>
        <w:rPr>
          <w:rFonts w:hint="eastAsia" w:asciiTheme="minorEastAsia" w:hAnsiTheme="minorEastAsia" w:eastAsiaTheme="minorEastAsia" w:cstheme="minorEastAsia"/>
          <w:color w:val="auto"/>
          <w:sz w:val="24"/>
          <w:highlight w:val="none"/>
        </w:rPr>
      </w:pPr>
    </w:p>
    <w:p w14:paraId="0763CE84">
      <w:pPr>
        <w:shd w:val="clear"/>
        <w:rPr>
          <w:rFonts w:hint="eastAsia" w:asciiTheme="minorEastAsia" w:hAnsiTheme="minorEastAsia" w:eastAsiaTheme="minorEastAsia" w:cstheme="minorEastAsia"/>
          <w:color w:val="auto"/>
          <w:sz w:val="24"/>
          <w:highlight w:val="none"/>
        </w:rPr>
      </w:pPr>
    </w:p>
    <w:bookmarkEnd w:id="13"/>
    <w:p w14:paraId="2A22DC3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p>
    <w:p w14:paraId="00009C4B">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投标函</w:t>
      </w:r>
    </w:p>
    <w:p w14:paraId="619AF407">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B2AD0B8">
      <w:pPr>
        <w:shd w:val="clea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根据贵方为</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lang w:val="zh-CN"/>
        </w:rPr>
        <w:t>的招标文件（项目编号：</w:t>
      </w:r>
      <w:r>
        <w:rPr>
          <w:rFonts w:hint="eastAsia" w:asciiTheme="minorEastAsia" w:hAnsiTheme="minorEastAsia" w:eastAsiaTheme="minorEastAsia" w:cstheme="minorEastAsia"/>
          <w:color w:val="auto"/>
          <w:sz w:val="21"/>
          <w:szCs w:val="21"/>
          <w:highlight w:val="none"/>
          <w:u w:val="single"/>
          <w:lang w:eastAsia="zh-CN"/>
        </w:rPr>
        <w:t>JJLQ2025-002</w:t>
      </w:r>
      <w:r>
        <w:rPr>
          <w:rFonts w:hint="eastAsia" w:asciiTheme="minorEastAsia" w:hAnsiTheme="minorEastAsia" w:eastAsiaTheme="minorEastAsia" w:cstheme="minorEastAsia"/>
          <w:color w:val="auto"/>
          <w:sz w:val="21"/>
          <w:szCs w:val="21"/>
          <w:highlight w:val="none"/>
          <w:lang w:val="zh-CN"/>
        </w:rPr>
        <w:t>），签字代表</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（全名）经正式授权并代表投标人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zh-CN"/>
        </w:rPr>
        <w:t>（投标人名称）处理有关本投标的一切事宜。</w:t>
      </w:r>
    </w:p>
    <w:p w14:paraId="6A21F2BC">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在此提交的投标文件中，包括如下内容，并已分别单独密封装袋：</w:t>
      </w:r>
    </w:p>
    <w:p w14:paraId="70A4E623">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lang w:val="zh-CN"/>
        </w:rPr>
        <w:t>要求编制的资格证明文件</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zh-CN"/>
        </w:rPr>
        <w:t>商务与技术文件</w:t>
      </w:r>
      <w:r>
        <w:rPr>
          <w:rFonts w:hint="eastAsia" w:asciiTheme="minorEastAsia" w:hAnsiTheme="minorEastAsia" w:eastAsiaTheme="minorEastAsia" w:cstheme="minorEastAsia"/>
          <w:color w:val="auto"/>
          <w:sz w:val="21"/>
          <w:szCs w:val="21"/>
          <w:highlight w:val="none"/>
          <w:lang w:val="zh-CN" w:eastAsia="zh-CN"/>
        </w:rPr>
        <w:t>和</w:t>
      </w:r>
      <w:r>
        <w:rPr>
          <w:rFonts w:hint="eastAsia" w:asciiTheme="minorEastAsia" w:hAnsiTheme="minorEastAsia" w:eastAsiaTheme="minorEastAsia" w:cstheme="minorEastAsia"/>
          <w:color w:val="auto"/>
          <w:sz w:val="21"/>
          <w:szCs w:val="21"/>
          <w:highlight w:val="none"/>
          <w:lang w:val="zh-CN"/>
        </w:rPr>
        <w:t>报价文件</w:t>
      </w:r>
      <w:r>
        <w:rPr>
          <w:rFonts w:hint="eastAsia" w:asciiTheme="minorEastAsia" w:hAnsiTheme="minorEastAsia" w:eastAsiaTheme="minorEastAsia" w:cstheme="minorEastAsia"/>
          <w:color w:val="auto"/>
          <w:sz w:val="21"/>
          <w:szCs w:val="21"/>
          <w:highlight w:val="none"/>
          <w:lang w:val="zh-CN" w:eastAsia="zh-CN"/>
        </w:rPr>
        <w:t>。</w:t>
      </w:r>
    </w:p>
    <w:p w14:paraId="0B6D3034">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w:t>
      </w:r>
      <w:r>
        <w:rPr>
          <w:rFonts w:hint="eastAsia" w:asciiTheme="minorEastAsia" w:hAnsiTheme="minorEastAsia" w:eastAsiaTheme="minorEastAsia" w:cstheme="minorEastAsia"/>
          <w:color w:val="auto"/>
          <w:sz w:val="21"/>
          <w:szCs w:val="21"/>
          <w:highlight w:val="none"/>
          <w:lang w:eastAsia="zh-CN"/>
        </w:rPr>
        <w:t>已</w:t>
      </w:r>
      <w:r>
        <w:rPr>
          <w:rFonts w:hint="eastAsia" w:asciiTheme="minorEastAsia" w:hAnsiTheme="minorEastAsia" w:eastAsiaTheme="minorEastAsia" w:cstheme="minorEastAsia"/>
          <w:color w:val="auto"/>
          <w:sz w:val="21"/>
          <w:szCs w:val="21"/>
          <w:highlight w:val="none"/>
        </w:rPr>
        <w:t>完全明白招标文件的所有条款要求，并重申以下几点：</w:t>
      </w:r>
    </w:p>
    <w:p w14:paraId="21DBABF5">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（一）本投标文件的有效期自投标截止日起</w:t>
      </w:r>
      <w:r>
        <w:rPr>
          <w:rFonts w:hint="eastAsia" w:asciiTheme="minorEastAsia" w:hAnsiTheme="minorEastAsia" w:eastAsiaTheme="minorEastAsia" w:cstheme="minorEastAsia"/>
          <w:b/>
          <w:color w:val="auto"/>
          <w:sz w:val="21"/>
          <w:szCs w:val="21"/>
          <w:highlight w:val="none"/>
        </w:rPr>
        <w:t>90天内</w:t>
      </w:r>
      <w:r>
        <w:rPr>
          <w:rFonts w:hint="eastAsia" w:asciiTheme="minorEastAsia" w:hAnsiTheme="minorEastAsia" w:eastAsiaTheme="minorEastAsia" w:cstheme="minorEastAsia"/>
          <w:color w:val="auto"/>
          <w:sz w:val="21"/>
          <w:szCs w:val="21"/>
          <w:highlight w:val="none"/>
        </w:rPr>
        <w:t>有效，如中标，有效期将延至合同终止日为止；</w:t>
      </w:r>
    </w:p>
    <w:p w14:paraId="11246F66">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（二）我方已详细研究了招标文件的所有内容包括修改书（如有）和所有已提供的参考资料以及有关附件，我方完全理解并同意放弃在此方面提出含糊意见或误解的一切权力；</w:t>
      </w:r>
    </w:p>
    <w:p w14:paraId="4A09E271">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（三）我方明白并愿意在规定的开标时间之后，</w:t>
      </w:r>
      <w:r>
        <w:rPr>
          <w:rFonts w:hint="eastAsia" w:asciiTheme="minorEastAsia" w:hAnsiTheme="minorEastAsia" w:eastAsiaTheme="minorEastAsia" w:cstheme="minorEastAsia"/>
          <w:color w:val="auto"/>
          <w:sz w:val="21"/>
          <w:szCs w:val="21"/>
          <w:highlight w:val="none"/>
          <w:lang w:val="en-US" w:eastAsia="zh-CN"/>
        </w:rPr>
        <w:t>不撤回投标文件</w:t>
      </w:r>
      <w:r>
        <w:rPr>
          <w:rFonts w:hint="eastAsia" w:asciiTheme="minorEastAsia" w:hAnsiTheme="minorEastAsia" w:eastAsiaTheme="minorEastAsia" w:cstheme="minorEastAsia"/>
          <w:color w:val="auto"/>
          <w:sz w:val="21"/>
          <w:szCs w:val="21"/>
          <w:highlight w:val="none"/>
        </w:rPr>
        <w:t>；</w:t>
      </w:r>
    </w:p>
    <w:p w14:paraId="72F0734B">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（四）我方同意提供按照贵方可能要求的与投标有关的一切数据或资料；</w:t>
      </w:r>
    </w:p>
    <w:p w14:paraId="2D7EFCEF">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（五）我方理解贵方不一定接受最低报价。</w:t>
      </w:r>
    </w:p>
    <w:p w14:paraId="0BF71430">
      <w:pPr>
        <w:shd w:val="clear"/>
        <w:spacing w:line="460" w:lineRule="exact"/>
        <w:ind w:firstLine="514" w:firstLineChars="245"/>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（六）我方如果中标，将保证履行招标文件以及招标文件修改书（如有）中的全部责任和义务，按质、按量、按期完成《合同书》中的全部任务。</w:t>
      </w:r>
    </w:p>
    <w:p w14:paraId="4494FB74">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658F06A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p>
    <w:p w14:paraId="46321A3A">
      <w:pPr>
        <w:shd w:val="clear"/>
        <w:tabs>
          <w:tab w:val="left" w:pos="5580"/>
        </w:tabs>
        <w:spacing w:line="50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法定代表人或其授权委托代理人（签字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 xml:space="preserve">                 </w:t>
      </w:r>
    </w:p>
    <w:p w14:paraId="3D9A6CDA">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lang w:val="zh-CN"/>
        </w:rPr>
      </w:pPr>
    </w:p>
    <w:p w14:paraId="03B2F8DB">
      <w:pPr>
        <w:keepNext w:val="0"/>
        <w:keepLines w:val="0"/>
        <w:pageBreakBefore w:val="0"/>
        <w:widowControl w:val="0"/>
        <w:shd w:val="clear"/>
        <w:kinsoku/>
        <w:wordWrap/>
        <w:overflowPunct/>
        <w:topLinePunct w:val="0"/>
        <w:autoSpaceDE/>
        <w:autoSpaceDN/>
        <w:bidi w:val="0"/>
        <w:adjustRightInd/>
        <w:snapToGrid/>
        <w:spacing w:line="440" w:lineRule="exact"/>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lang w:val="zh-CN"/>
        </w:rPr>
        <w:t>日</w:t>
      </w:r>
    </w:p>
    <w:p w14:paraId="6631CE0B">
      <w:pPr>
        <w:shd w:val="clea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29460F24">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p w14:paraId="10CE7B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诚信承诺书</w:t>
      </w:r>
    </w:p>
    <w:p w14:paraId="42271FB0">
      <w:pPr>
        <w:shd w:val="clear"/>
        <w:jc w:val="center"/>
        <w:rPr>
          <w:rFonts w:hint="eastAsia" w:asciiTheme="minorEastAsia" w:hAnsiTheme="minorEastAsia" w:eastAsiaTheme="minorEastAsia" w:cstheme="minorEastAsia"/>
          <w:color w:val="auto"/>
          <w:sz w:val="21"/>
          <w:szCs w:val="21"/>
          <w:highlight w:val="none"/>
        </w:rPr>
      </w:pPr>
    </w:p>
    <w:p w14:paraId="3B329F26">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w:t>
      </w:r>
    </w:p>
    <w:p w14:paraId="00AC157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我方在参加贵单位的</w:t>
      </w:r>
      <w:r>
        <w:rPr>
          <w:rFonts w:hint="eastAsia" w:asciiTheme="minorEastAsia" w:hAnsiTheme="minorEastAsia" w:eastAsiaTheme="minorEastAsia" w:cstheme="minorEastAsia"/>
          <w:color w:val="auto"/>
          <w:sz w:val="21"/>
          <w:szCs w:val="21"/>
          <w:highlight w:val="none"/>
          <w:u w:val="single"/>
          <w:lang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项目的招投标活动中，郑重承诺如下：</w:t>
      </w:r>
    </w:p>
    <w:p w14:paraId="0BA90734">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1、我方申报的所有资料都是真实、准确、完整的；</w:t>
      </w:r>
    </w:p>
    <w:p w14:paraId="4D558CC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2、我方无挂靠情形，保证不参与串标、围标及抬标；</w:t>
      </w:r>
    </w:p>
    <w:p w14:paraId="75BB63EE">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3、我方未处于被各级行政主管部门做出停止市场行为处罚的期限内；</w:t>
      </w:r>
    </w:p>
    <w:p w14:paraId="7EA63DC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4、若我方中标，将严格按照规定及时与采购人签订合同；</w:t>
      </w:r>
    </w:p>
    <w:p w14:paraId="23190265">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5、若我方中标，将严格按照招标文件要求及投标文件承诺的报价、质量、工期、投标方案、项目负责人等内容组织实施；</w:t>
      </w:r>
    </w:p>
    <w:p w14:paraId="2E0C33FC">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投标、不良行为记录等的处罚。对造成的损失，任何法律和经济责任完全由我方负责。</w:t>
      </w:r>
    </w:p>
    <w:p w14:paraId="3A1F35C9">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特此承诺。</w:t>
      </w:r>
    </w:p>
    <w:p w14:paraId="5FB1C341">
      <w:pPr>
        <w:shd w:val="clear"/>
        <w:ind w:firstLine="420" w:firstLineChars="200"/>
        <w:rPr>
          <w:rFonts w:hint="eastAsia" w:asciiTheme="minorEastAsia" w:hAnsiTheme="minorEastAsia" w:eastAsiaTheme="minorEastAsia" w:cstheme="minorEastAsia"/>
          <w:color w:val="auto"/>
          <w:sz w:val="21"/>
          <w:szCs w:val="21"/>
          <w:highlight w:val="none"/>
        </w:rPr>
      </w:pPr>
    </w:p>
    <w:p w14:paraId="126C928C">
      <w:pPr>
        <w:shd w:val="clear"/>
        <w:ind w:firstLine="420" w:firstLineChars="200"/>
        <w:rPr>
          <w:rFonts w:hint="eastAsia" w:asciiTheme="minorEastAsia" w:hAnsiTheme="minorEastAsia" w:eastAsiaTheme="minorEastAsia" w:cstheme="minorEastAsia"/>
          <w:color w:val="auto"/>
          <w:sz w:val="21"/>
          <w:szCs w:val="21"/>
          <w:highlight w:val="none"/>
        </w:rPr>
      </w:pPr>
    </w:p>
    <w:p w14:paraId="4F5E8381">
      <w:pPr>
        <w:shd w:val="clear"/>
        <w:ind w:firstLine="420" w:firstLineChars="200"/>
        <w:rPr>
          <w:rFonts w:hint="eastAsia" w:asciiTheme="minorEastAsia" w:hAnsiTheme="minorEastAsia" w:eastAsiaTheme="minorEastAsia" w:cstheme="minorEastAsia"/>
          <w:color w:val="auto"/>
          <w:sz w:val="21"/>
          <w:szCs w:val="21"/>
          <w:highlight w:val="none"/>
        </w:rPr>
      </w:pPr>
    </w:p>
    <w:p w14:paraId="6E5B2197">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投标人全称（加盖公章）：        </w:t>
      </w:r>
    </w:p>
    <w:p w14:paraId="49D484E5">
      <w:pPr>
        <w:shd w:val="clear"/>
        <w:ind w:firstLine="420" w:firstLineChars="200"/>
        <w:rPr>
          <w:rFonts w:hint="eastAsia" w:asciiTheme="minorEastAsia" w:hAnsiTheme="minorEastAsia" w:eastAsiaTheme="minorEastAsia" w:cstheme="minorEastAsia"/>
          <w:color w:val="auto"/>
          <w:sz w:val="21"/>
          <w:szCs w:val="21"/>
          <w:highlight w:val="none"/>
        </w:rPr>
      </w:pPr>
    </w:p>
    <w:p w14:paraId="2A351A91">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法定代表人或其授权委托代理人</w:t>
      </w:r>
      <w:r>
        <w:rPr>
          <w:rFonts w:hint="eastAsia" w:asciiTheme="minorEastAsia" w:hAnsiTheme="minorEastAsia" w:eastAsiaTheme="minorEastAsia" w:cstheme="minorEastAsia"/>
          <w:color w:val="auto"/>
          <w:sz w:val="21"/>
          <w:szCs w:val="21"/>
          <w:highlight w:val="none"/>
        </w:rPr>
        <w:t xml:space="preserve">（签字或盖章）：     </w:t>
      </w:r>
    </w:p>
    <w:p w14:paraId="743ACFCF">
      <w:pPr>
        <w:shd w:val="clear"/>
        <w:ind w:firstLine="420" w:firstLineChars="200"/>
        <w:rPr>
          <w:rFonts w:hint="eastAsia" w:asciiTheme="minorEastAsia" w:hAnsiTheme="minorEastAsia" w:eastAsiaTheme="minorEastAsia" w:cstheme="minorEastAsia"/>
          <w:color w:val="auto"/>
          <w:sz w:val="21"/>
          <w:szCs w:val="21"/>
          <w:highlight w:val="none"/>
        </w:rPr>
      </w:pPr>
    </w:p>
    <w:p w14:paraId="4F06C6B3">
      <w:pPr>
        <w:shd w:val="clear"/>
        <w:ind w:firstLine="3570" w:firstLineChars="17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日    期：        年    月    日</w:t>
      </w:r>
    </w:p>
    <w:p w14:paraId="45F3317B">
      <w:pPr>
        <w:shd w:val="clear"/>
        <w:jc w:val="center"/>
        <w:rPr>
          <w:rFonts w:hint="eastAsia" w:asciiTheme="minorEastAsia" w:hAnsiTheme="minorEastAsia" w:eastAsiaTheme="minorEastAsia" w:cstheme="minorEastAsia"/>
          <w:color w:val="auto"/>
          <w:sz w:val="24"/>
          <w:highlight w:val="none"/>
        </w:rPr>
      </w:pPr>
    </w:p>
    <w:p w14:paraId="2D18C227">
      <w:pPr>
        <w:shd w:val="clear"/>
        <w:jc w:val="center"/>
        <w:rPr>
          <w:rFonts w:hint="eastAsia" w:asciiTheme="minorEastAsia" w:hAnsiTheme="minorEastAsia" w:eastAsiaTheme="minorEastAsia" w:cstheme="minorEastAsia"/>
          <w:color w:val="auto"/>
          <w:sz w:val="24"/>
          <w:highlight w:val="none"/>
        </w:rPr>
      </w:pPr>
    </w:p>
    <w:p w14:paraId="4A086657">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p>
    <w:p w14:paraId="4B061AE6">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投标声明书</w:t>
      </w:r>
    </w:p>
    <w:p w14:paraId="2C783553">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p>
    <w:p w14:paraId="54370AF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（投标人名称）系中华人民共和国合法企业，经营地址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23BDD0C">
      <w:pPr>
        <w:shd w:val="clear"/>
        <w:snapToGrid w:val="0"/>
        <w:spacing w:before="156" w:beforeLines="50" w:after="50"/>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（投标人名称）的法定代表人，我方愿意参加贵方组织的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项目的投标，为便于贵方公正、择优地确定中标人及其投标产品和服务，我方就本次投标有关事项郑重声明如下：</w:t>
      </w:r>
    </w:p>
    <w:p w14:paraId="18C811F7">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CD7DCC5">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67D0B41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不是采购人的附属机构；在获知本项目采购信息后，与采购人聘请的为此项目提供咨询服务的公司及其附属机构没有任何联系。</w:t>
      </w:r>
    </w:p>
    <w:p w14:paraId="7F60E9B4">
      <w:pPr>
        <w:shd w:val="clear"/>
        <w:spacing w:line="360" w:lineRule="auto"/>
        <w:ind w:firstLine="420" w:firstLineChars="200"/>
        <w:rPr>
          <w:rFonts w:hint="eastAsia" w:asciiTheme="minorEastAsia" w:hAnsiTheme="minorEastAsia" w:eastAsiaTheme="minorEastAsia" w:cstheme="minorEastAsia"/>
          <w:color w:val="auto"/>
          <w:sz w:val="21"/>
          <w:szCs w:val="21"/>
          <w:highlight w:val="none"/>
          <w:lang w:val="af-ZA"/>
        </w:rPr>
      </w:pPr>
      <w:r>
        <w:rPr>
          <w:rFonts w:hint="eastAsia" w:asciiTheme="minorEastAsia" w:hAnsiTheme="minorEastAsia" w:eastAsiaTheme="minorEastAsia" w:cstheme="minorEastAsia"/>
          <w:color w:val="auto"/>
          <w:sz w:val="21"/>
          <w:szCs w:val="21"/>
          <w:highlight w:val="none"/>
        </w:rPr>
        <w:t>4、我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保证，</w:t>
      </w:r>
      <w:r>
        <w:rPr>
          <w:rFonts w:hint="eastAsia" w:asciiTheme="minorEastAsia" w:hAnsiTheme="minorEastAsia" w:eastAsiaTheme="minorEastAsia" w:cstheme="minorEastAsia"/>
          <w:color w:val="auto"/>
          <w:sz w:val="21"/>
          <w:szCs w:val="21"/>
          <w:highlight w:val="none"/>
          <w:lang w:val="af-ZA"/>
        </w:rPr>
        <w:t>采购人在中华人民共和国境内使用</w:t>
      </w: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F3E9829">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af-ZA"/>
        </w:rPr>
        <w:t>5、我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lang w:val="af-ZA"/>
        </w:rPr>
        <w:t>严格履行政府采购合同，不降低合同约定的产品质量和服务，不擅自变更、中止、终止合同，或拒绝履行合同义务；</w:t>
      </w:r>
    </w:p>
    <w:p w14:paraId="1F31A6C0">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6、以上事项如有虚假或隐瞒，我</w:t>
      </w:r>
      <w:r>
        <w:rPr>
          <w:rFonts w:hint="eastAsia" w:asciiTheme="minorEastAsia" w:hAnsiTheme="minorEastAsia" w:eastAsiaTheme="minorEastAsia" w:cstheme="minorEastAsia"/>
          <w:color w:val="auto"/>
          <w:sz w:val="21"/>
          <w:szCs w:val="21"/>
          <w:highlight w:val="none"/>
          <w:lang w:val="zh-CN"/>
        </w:rPr>
        <w:t>公司</w:t>
      </w:r>
      <w:r>
        <w:rPr>
          <w:rFonts w:hint="eastAsia" w:asciiTheme="minorEastAsia" w:hAnsiTheme="minorEastAsia" w:eastAsiaTheme="minorEastAsia" w:cstheme="minorEastAsia"/>
          <w:color w:val="auto"/>
          <w:sz w:val="21"/>
          <w:szCs w:val="21"/>
          <w:highlight w:val="none"/>
        </w:rPr>
        <w:t>愿意承担一切后果，并不再寻求任何旨在减轻或免除法律责任的辩解。</w:t>
      </w:r>
    </w:p>
    <w:p w14:paraId="78CF6398">
      <w:pPr>
        <w:shd w:val="clea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r>
        <w:rPr>
          <w:rFonts w:hint="eastAsia" w:asciiTheme="minorEastAsia" w:hAnsiTheme="minorEastAsia" w:eastAsiaTheme="minorEastAsia" w:cstheme="minorEastAsia"/>
          <w:color w:val="auto"/>
          <w:sz w:val="21"/>
          <w:szCs w:val="21"/>
          <w:highlight w:val="none"/>
          <w:u w:val="single"/>
        </w:rPr>
        <w:t xml:space="preserve">          </w:t>
      </w:r>
    </w:p>
    <w:p w14:paraId="39AD5D52">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投标人全称（加盖公章）：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0652EE8">
      <w:pPr>
        <w:shd w:val="clea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法定代表人</w:t>
      </w:r>
      <w:r>
        <w:rPr>
          <w:rFonts w:hint="eastAsia" w:asciiTheme="minorEastAsia" w:hAnsiTheme="minorEastAsia" w:eastAsiaTheme="minorEastAsia" w:cstheme="minorEastAsia"/>
          <w:color w:val="auto"/>
          <w:sz w:val="21"/>
          <w:szCs w:val="21"/>
          <w:highlight w:val="none"/>
        </w:rPr>
        <w:t xml:space="preserve">（签字或盖章）： </w:t>
      </w:r>
    </w:p>
    <w:p w14:paraId="5970AA86">
      <w:pPr>
        <w:shd w:val="clear"/>
        <w:ind w:firstLine="420" w:firstLineChars="2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    月    日</w:t>
      </w:r>
    </w:p>
    <w:p w14:paraId="764F0118">
      <w:pPr>
        <w:shd w:val="clear"/>
        <w:ind w:firstLine="480" w:firstLineChars="200"/>
        <w:rPr>
          <w:rFonts w:hint="eastAsia" w:asciiTheme="minorEastAsia" w:hAnsiTheme="minorEastAsia" w:eastAsiaTheme="minorEastAsia" w:cstheme="minorEastAsia"/>
          <w:color w:val="auto"/>
          <w:sz w:val="24"/>
          <w:highlight w:val="none"/>
        </w:rPr>
      </w:pPr>
    </w:p>
    <w:p w14:paraId="14958041">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p>
    <w:p w14:paraId="3AAAFBE5">
      <w:pPr>
        <w:shd w:val="clear"/>
        <w:snapToGrid w:val="0"/>
        <w:spacing w:before="156" w:beforeLines="50" w:after="5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4BBBC509">
      <w:pPr>
        <w:shd w:val="clear"/>
        <w:snapToGrid w:val="0"/>
        <w:spacing w:before="156" w:beforeLines="50" w:after="5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（招标采购单位名称）</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w:t>
      </w:r>
    </w:p>
    <w:p w14:paraId="6ACD660C">
      <w:pPr>
        <w:shd w:val="clear"/>
        <w:snapToGrid w:val="0"/>
        <w:spacing w:before="156" w:beforeLines="50" w:after="50"/>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（投标人名称）的法定代表人，现授权委托本单位在职职工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（姓名）以我方的名义参加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项目的投标活动，并代表我方全权办理针对上述项目的投标、开标、评标、签约等具体事务和签署相关文件。</w:t>
      </w:r>
    </w:p>
    <w:p w14:paraId="711E0BD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我方对被授权人的签名事项负全部责任。</w:t>
      </w:r>
    </w:p>
    <w:p w14:paraId="60D223CF">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在撤销授权的书面通知以前，本授权书一直有效。</w:t>
      </w:r>
      <w:r>
        <w:rPr>
          <w:rFonts w:hint="eastAsia" w:asciiTheme="minorEastAsia" w:hAnsiTheme="minorEastAsia" w:eastAsiaTheme="minorEastAsia" w:cstheme="minorEastAsia"/>
          <w:color w:val="auto"/>
          <w:sz w:val="21"/>
          <w:szCs w:val="21"/>
          <w:highlight w:val="none"/>
        </w:rPr>
        <w:t>被授权人在授权书有效期内签署的所有文件不因授权的撤销而失效。</w:t>
      </w:r>
    </w:p>
    <w:p w14:paraId="2E14FFF7">
      <w:pPr>
        <w:shd w:val="clear"/>
        <w:snapToGrid w:val="0"/>
        <w:spacing w:before="156" w:beforeLines="50" w:after="50"/>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被授权人无转委托权，特此委托。</w:t>
      </w:r>
    </w:p>
    <w:p w14:paraId="77CF39CE">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p>
    <w:p w14:paraId="3163CDA1">
      <w:pPr>
        <w:shd w:val="clear"/>
        <w:snapToGrid w:val="0"/>
        <w:spacing w:before="156" w:beforeLines="50" w:after="5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被授权人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签字或盖章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63C0D39A">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p>
    <w:p w14:paraId="408E9079">
      <w:pPr>
        <w:shd w:val="clear"/>
        <w:snapToGrid w:val="0"/>
        <w:spacing w:before="156" w:beforeLines="50" w:after="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tbl>
      <w:tblPr>
        <w:tblStyle w:val="76"/>
        <w:tblpPr w:leftFromText="180" w:rightFromText="180" w:vertAnchor="text" w:horzAnchor="page" w:tblpX="1536"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3E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24692BC">
            <w:pPr>
              <w:shd w:val="clear"/>
              <w:spacing w:line="360" w:lineRule="auto"/>
              <w:rPr>
                <w:rFonts w:ascii="宋体"/>
                <w:b/>
                <w:color w:val="auto"/>
                <w:sz w:val="24"/>
                <w:highlight w:val="none"/>
              </w:rPr>
            </w:pPr>
          </w:p>
          <w:p w14:paraId="4E34FD39">
            <w:pPr>
              <w:shd w:val="clea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tbl>
      <w:tblPr>
        <w:tblStyle w:val="76"/>
        <w:tblpPr w:leftFromText="180" w:rightFromText="180" w:vertAnchor="text" w:horzAnchor="page" w:tblpX="6311" w:tblpY="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tblGrid>
      <w:tr w14:paraId="17ED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4060" w:type="dxa"/>
          </w:tcPr>
          <w:p w14:paraId="547EB65F">
            <w:pPr>
              <w:shd w:val="clear"/>
              <w:spacing w:line="360" w:lineRule="auto"/>
              <w:ind w:firstLine="361" w:firstLineChars="150"/>
              <w:rPr>
                <w:rFonts w:ascii="宋体"/>
                <w:b/>
                <w:color w:val="auto"/>
                <w:sz w:val="24"/>
                <w:highlight w:val="none"/>
              </w:rPr>
            </w:pPr>
          </w:p>
          <w:p w14:paraId="7566639B">
            <w:pPr>
              <w:shd w:val="clear"/>
              <w:spacing w:line="360" w:lineRule="auto"/>
              <w:ind w:firstLine="361" w:firstLineChars="150"/>
              <w:rPr>
                <w:rFonts w:ascii="宋体"/>
                <w:b/>
                <w:color w:val="auto"/>
                <w:sz w:val="24"/>
                <w:highlight w:val="none"/>
              </w:rPr>
            </w:pPr>
            <w:r>
              <w:rPr>
                <w:rFonts w:hint="eastAsia" w:ascii="宋体"/>
                <w:b/>
                <w:color w:val="auto"/>
                <w:sz w:val="24"/>
                <w:highlight w:val="none"/>
              </w:rPr>
              <w:t>授权代表身份证复印件粘帖处</w:t>
            </w:r>
          </w:p>
        </w:tc>
      </w:tr>
    </w:tbl>
    <w:p w14:paraId="09F70B1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3A2492B6">
      <w:pPr>
        <w:shd w:val="clear"/>
        <w:snapToGrid w:val="0"/>
        <w:spacing w:before="156" w:beforeLines="50" w:after="5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投标人全称（加盖公章）：</w:t>
      </w:r>
    </w:p>
    <w:p w14:paraId="248D1F43">
      <w:pPr>
        <w:shd w:val="clear"/>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14:paraId="7EDA55F9">
      <w:pPr>
        <w:shd w:val="clear"/>
        <w:jc w:val="center"/>
        <w:rPr>
          <w:rFonts w:hint="eastAsia" w:asciiTheme="minorEastAsia" w:hAnsiTheme="minorEastAsia" w:eastAsiaTheme="minorEastAsia" w:cstheme="minorEastAsia"/>
          <w:color w:val="auto"/>
          <w:sz w:val="21"/>
          <w:szCs w:val="21"/>
          <w:highlight w:val="none"/>
        </w:rPr>
      </w:pPr>
    </w:p>
    <w:p w14:paraId="41FC79E8">
      <w:pPr>
        <w:shd w:val="clear"/>
        <w:jc w:val="center"/>
        <w:rPr>
          <w:rFonts w:hint="eastAsia" w:asciiTheme="minorEastAsia" w:hAnsiTheme="minorEastAsia" w:eastAsiaTheme="minorEastAsia" w:cstheme="minorEastAsia"/>
          <w:color w:val="auto"/>
          <w:sz w:val="21"/>
          <w:szCs w:val="21"/>
          <w:highlight w:val="none"/>
        </w:rPr>
      </w:pPr>
    </w:p>
    <w:p w14:paraId="2D25069F">
      <w:pPr>
        <w:shd w:val="clear"/>
        <w:jc w:val="center"/>
        <w:rPr>
          <w:rFonts w:hint="eastAsia" w:asciiTheme="minorEastAsia" w:hAnsiTheme="minorEastAsia" w:eastAsiaTheme="minorEastAsia" w:cstheme="minorEastAsia"/>
          <w:color w:val="auto"/>
          <w:sz w:val="21"/>
          <w:szCs w:val="21"/>
          <w:highlight w:val="none"/>
        </w:rPr>
      </w:pPr>
    </w:p>
    <w:p w14:paraId="1A367F4C">
      <w:pPr>
        <w:shd w:val="clear"/>
        <w:jc w:val="center"/>
        <w:rPr>
          <w:rFonts w:hint="eastAsia" w:asciiTheme="minorEastAsia" w:hAnsiTheme="minorEastAsia" w:eastAsiaTheme="minorEastAsia" w:cstheme="minorEastAsia"/>
          <w:color w:val="auto"/>
          <w:sz w:val="21"/>
          <w:szCs w:val="21"/>
          <w:highlight w:val="none"/>
        </w:rPr>
      </w:pPr>
    </w:p>
    <w:p w14:paraId="5765294B">
      <w:pPr>
        <w:shd w:val="clear"/>
        <w:jc w:val="center"/>
        <w:rPr>
          <w:rFonts w:hint="eastAsia" w:asciiTheme="minorEastAsia" w:hAnsiTheme="minorEastAsia" w:eastAsiaTheme="minorEastAsia" w:cstheme="minorEastAsia"/>
          <w:color w:val="auto"/>
          <w:sz w:val="21"/>
          <w:szCs w:val="21"/>
          <w:highlight w:val="none"/>
        </w:rPr>
      </w:pPr>
    </w:p>
    <w:p w14:paraId="7B459067">
      <w:pPr>
        <w:widowControl/>
        <w:shd w:val="clear"/>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5、</w:t>
      </w:r>
    </w:p>
    <w:p w14:paraId="16FD1683">
      <w:pPr>
        <w:shd w:val="clear"/>
        <w:snapToGrid w:val="0"/>
        <w:spacing w:line="240" w:lineRule="auto"/>
        <w:rPr>
          <w:rFonts w:hint="eastAsia" w:asciiTheme="minorEastAsia" w:hAnsiTheme="minorEastAsia" w:eastAsiaTheme="minorEastAsia" w:cstheme="minorEastAsia"/>
          <w:color w:val="auto"/>
          <w:sz w:val="24"/>
          <w:highlight w:val="none"/>
        </w:rPr>
      </w:pPr>
    </w:p>
    <w:p w14:paraId="1390F405">
      <w:pPr>
        <w:shd w:val="clear"/>
        <w:spacing w:line="480" w:lineRule="auto"/>
        <w:jc w:val="center"/>
        <w:rPr>
          <w:rFonts w:hint="eastAsia" w:asciiTheme="minorEastAsia" w:hAnsiTheme="minorEastAsia" w:eastAsiaTheme="minorEastAsia" w:cstheme="minorEastAsia"/>
          <w:b/>
          <w:color w:val="auto"/>
          <w:sz w:val="32"/>
          <w:szCs w:val="32"/>
          <w:highlight w:val="none"/>
        </w:rPr>
      </w:pPr>
      <w:bookmarkStart w:id="14" w:name="_Toc34826419"/>
      <w:bookmarkStart w:id="15" w:name="_Toc34814861"/>
      <w:bookmarkStart w:id="16" w:name="_Toc27119254"/>
      <w:bookmarkStart w:id="17" w:name="_Toc33194405"/>
      <w:r>
        <w:rPr>
          <w:rFonts w:hint="eastAsia" w:asciiTheme="minorEastAsia" w:hAnsiTheme="minorEastAsia" w:eastAsiaTheme="minorEastAsia" w:cstheme="minorEastAsia"/>
          <w:b/>
          <w:color w:val="auto"/>
          <w:sz w:val="32"/>
          <w:szCs w:val="32"/>
          <w:highlight w:val="none"/>
        </w:rPr>
        <w:t>具有履行合同所必需的场地、设备和专业技术能力的承诺函</w:t>
      </w:r>
      <w:bookmarkEnd w:id="14"/>
      <w:bookmarkEnd w:id="15"/>
      <w:bookmarkEnd w:id="16"/>
      <w:bookmarkEnd w:id="17"/>
    </w:p>
    <w:p w14:paraId="5DE2475E">
      <w:pPr>
        <w:shd w:val="clear"/>
        <w:snapToGrid w:val="0"/>
        <w:spacing w:line="480" w:lineRule="auto"/>
        <w:rPr>
          <w:rFonts w:hint="eastAsia" w:asciiTheme="minorEastAsia" w:hAnsiTheme="minorEastAsia" w:eastAsiaTheme="minorEastAsia" w:cstheme="minorEastAsia"/>
          <w:color w:val="auto"/>
          <w:sz w:val="24"/>
          <w:highlight w:val="none"/>
        </w:rPr>
      </w:pPr>
    </w:p>
    <w:p w14:paraId="1F31F20A">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33BC9D15">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我方</w:t>
      </w:r>
      <w:r>
        <w:rPr>
          <w:rFonts w:hint="eastAsia" w:asciiTheme="minorEastAsia" w:hAnsiTheme="minorEastAsia" w:eastAsiaTheme="minorEastAsia" w:cstheme="minorEastAsia"/>
          <w:color w:val="auto"/>
          <w:kern w:val="0"/>
          <w:sz w:val="24"/>
          <w:highlight w:val="none"/>
          <w:u w:val="single"/>
        </w:rPr>
        <w:t xml:space="preserve"> （投标人名称）</w:t>
      </w:r>
      <w:r>
        <w:rPr>
          <w:rFonts w:hint="eastAsia" w:asciiTheme="minorEastAsia" w:hAnsiTheme="minorEastAsia" w:eastAsiaTheme="minorEastAsia" w:cstheme="minorEastAsia"/>
          <w:color w:val="auto"/>
          <w:kern w:val="0"/>
          <w:sz w:val="24"/>
          <w:highlight w:val="none"/>
        </w:rPr>
        <w:t>承诺具有履行合同所必需的场地、设备和专业技术能力。如有虚假，采购人可取消我方任何资格（投标/中标/签订合同），我方对此无任何异议。</w:t>
      </w:r>
    </w:p>
    <w:p w14:paraId="3F91EBDF">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5E2844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4FED510B">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7C2D9CC9">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投标人全称（加盖公章）：</w:t>
      </w:r>
    </w:p>
    <w:p w14:paraId="1FEF392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7B7B7522">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日期：     年  月  日</w:t>
      </w:r>
    </w:p>
    <w:p w14:paraId="54F5CF33">
      <w:pPr>
        <w:widowControl/>
        <w:shd w:val="clear"/>
        <w:snapToGrid w:val="0"/>
        <w:spacing w:line="240" w:lineRule="auto"/>
        <w:ind w:firstLine="480" w:firstLineChars="200"/>
        <w:jc w:val="left"/>
        <w:rPr>
          <w:rFonts w:hint="eastAsia" w:asciiTheme="minorEastAsia" w:hAnsiTheme="minorEastAsia" w:eastAsiaTheme="minorEastAsia" w:cstheme="minorEastAsia"/>
          <w:color w:val="auto"/>
          <w:kern w:val="0"/>
          <w:sz w:val="24"/>
          <w:highlight w:val="none"/>
        </w:rPr>
      </w:pPr>
    </w:p>
    <w:p w14:paraId="5CBAE03D">
      <w:pPr>
        <w:shd w:val="clear"/>
        <w:spacing w:line="240" w:lineRule="auto"/>
        <w:rPr>
          <w:rFonts w:hint="eastAsia" w:asciiTheme="minorEastAsia" w:hAnsiTheme="minorEastAsia" w:eastAsiaTheme="minorEastAsia" w:cstheme="minorEastAsia"/>
          <w:color w:val="auto"/>
          <w:sz w:val="24"/>
          <w:highlight w:val="none"/>
        </w:rPr>
      </w:pPr>
    </w:p>
    <w:p w14:paraId="26B10942">
      <w:pPr>
        <w:widowControl/>
        <w:shd w:val="clear"/>
        <w:spacing w:line="480" w:lineRule="auto"/>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color w:val="auto"/>
          <w:kern w:val="36"/>
          <w:sz w:val="24"/>
          <w:highlight w:val="none"/>
        </w:rPr>
        <w:br w:type="page"/>
      </w: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6、</w:t>
      </w:r>
    </w:p>
    <w:p w14:paraId="15395111">
      <w:pPr>
        <w:shd w:val="clear"/>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依法缴纳税收和社会保障资金的承诺函</w:t>
      </w:r>
    </w:p>
    <w:p w14:paraId="337E6FC9">
      <w:pPr>
        <w:shd w:val="clear"/>
        <w:spacing w:line="480" w:lineRule="auto"/>
        <w:rPr>
          <w:rFonts w:hint="eastAsia" w:asciiTheme="minorEastAsia" w:hAnsiTheme="minorEastAsia" w:eastAsiaTheme="minorEastAsia" w:cstheme="minorEastAsia"/>
          <w:b/>
          <w:color w:val="auto"/>
          <w:kern w:val="0"/>
          <w:sz w:val="24"/>
          <w:highlight w:val="none"/>
          <w:u w:val="single"/>
        </w:rPr>
      </w:pPr>
    </w:p>
    <w:p w14:paraId="66CBA323">
      <w:pPr>
        <w:shd w:val="clear"/>
        <w:snapToGrid w:val="0"/>
        <w:spacing w:before="156" w:beforeLines="50" w:after="50"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u w:val="single"/>
        </w:rPr>
        <w:t>建经投资咨询有限公司</w:t>
      </w:r>
      <w:r>
        <w:rPr>
          <w:rFonts w:hint="eastAsia" w:asciiTheme="minorEastAsia" w:hAnsiTheme="minorEastAsia" w:eastAsiaTheme="minorEastAsia" w:cstheme="minorEastAsia"/>
          <w:color w:val="auto"/>
          <w:kern w:val="0"/>
          <w:sz w:val="24"/>
          <w:highlight w:val="none"/>
        </w:rPr>
        <w:t>（采购代理机构名称）：</w:t>
      </w:r>
    </w:p>
    <w:p w14:paraId="74B4E58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我公司郑重声明，我公司严格依法缴纳税收和社会保障资金，本文件中所提供的相关材料均真实有效，不存在虚假、造假行为。如有违反，愿承担一切责任。</w:t>
      </w:r>
    </w:p>
    <w:p w14:paraId="390DE2C6">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p>
    <w:p w14:paraId="6C7B270B">
      <w:pPr>
        <w:shd w:val="clear"/>
        <w:spacing w:line="48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5F4B743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1EBEF54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eastAsia="zh-CN"/>
        </w:rPr>
        <w:t>投标人全称（加盖公章）：</w:t>
      </w:r>
    </w:p>
    <w:p w14:paraId="2F5D9E5A">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法定代表人或其授权委托代理人（签字或盖章）</w:t>
      </w:r>
      <w:r>
        <w:rPr>
          <w:rFonts w:hint="eastAsia" w:asciiTheme="minorEastAsia" w:hAnsiTheme="minorEastAsia" w:eastAsiaTheme="minorEastAsia" w:cstheme="minorEastAsia"/>
          <w:color w:val="auto"/>
          <w:kern w:val="0"/>
          <w:sz w:val="24"/>
          <w:highlight w:val="none"/>
        </w:rPr>
        <w:t>：</w:t>
      </w:r>
    </w:p>
    <w:p w14:paraId="4316C3A4">
      <w:pPr>
        <w:widowControl/>
        <w:shd w:val="clear"/>
        <w:snapToGrid w:val="0"/>
        <w:spacing w:line="480" w:lineRule="auto"/>
        <w:ind w:firstLine="480" w:firstLineChars="200"/>
        <w:jc w:val="right"/>
        <w:rPr>
          <w:rFonts w:hint="eastAsia" w:asciiTheme="minorEastAsia" w:hAnsiTheme="minorEastAsia" w:eastAsiaTheme="minorEastAsia" w:cstheme="minorEastAsia"/>
          <w:color w:val="auto"/>
          <w:kern w:val="0"/>
          <w:sz w:val="24"/>
          <w:highlight w:val="none"/>
        </w:rPr>
        <w:sectPr>
          <w:headerReference r:id="rId10" w:type="default"/>
          <w:footerReference r:id="rId11"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4"/>
          <w:highlight w:val="none"/>
        </w:rPr>
        <w:t>日期：     年  月  日</w:t>
      </w:r>
    </w:p>
    <w:p w14:paraId="0A44927E">
      <w:pPr>
        <w:pStyle w:val="26"/>
        <w:shd w:val="clear"/>
        <w:spacing w:line="480" w:lineRule="auto"/>
        <w:rPr>
          <w:rFonts w:hint="eastAsia" w:asciiTheme="minorEastAsia" w:hAnsiTheme="minorEastAsia" w:eastAsiaTheme="minorEastAsia" w:cstheme="minorEastAsia"/>
          <w:b/>
          <w:bCs/>
          <w:color w:val="auto"/>
          <w:szCs w:val="24"/>
          <w:highlight w:val="none"/>
          <w:lang w:eastAsia="zh-CN"/>
        </w:rPr>
      </w:pPr>
      <w:r>
        <w:rPr>
          <w:rFonts w:hint="eastAsia" w:asciiTheme="minorEastAsia" w:hAnsiTheme="minorEastAsia" w:eastAsiaTheme="minorEastAsia" w:cstheme="minorEastAsia"/>
          <w:b/>
          <w:bCs/>
          <w:color w:val="auto"/>
          <w:sz w:val="24"/>
          <w:highlight w:val="none"/>
          <w:lang w:val="zh-CN"/>
        </w:rPr>
        <w:t>附件</w:t>
      </w:r>
      <w:r>
        <w:rPr>
          <w:rFonts w:hint="eastAsia" w:asciiTheme="minorEastAsia" w:hAnsiTheme="minorEastAsia" w:eastAsiaTheme="minorEastAsia" w:cstheme="minorEastAsia"/>
          <w:b/>
          <w:bCs/>
          <w:color w:val="auto"/>
          <w:sz w:val="24"/>
          <w:highlight w:val="none"/>
          <w:lang w:val="en-US" w:eastAsia="zh-CN"/>
        </w:rPr>
        <w:t>7、</w:t>
      </w:r>
    </w:p>
    <w:p w14:paraId="6ABD0FAC">
      <w:pPr>
        <w:shd w:val="clear" w:color="auto"/>
        <w:snapToGrid w:val="0"/>
        <w:spacing w:line="480" w:lineRule="auto"/>
        <w:jc w:val="center"/>
        <w:rPr>
          <w:rFonts w:hint="eastAsia" w:asciiTheme="minorEastAsia" w:hAnsiTheme="minorEastAsia" w:eastAsiaTheme="minorEastAsia" w:cstheme="minorEastAsia"/>
          <w:b/>
          <w:color w:val="auto"/>
          <w:kern w:val="36"/>
          <w:sz w:val="32"/>
          <w:szCs w:val="32"/>
          <w:highlight w:val="none"/>
        </w:rPr>
      </w:pPr>
      <w:r>
        <w:rPr>
          <w:rFonts w:hint="eastAsia" w:asciiTheme="minorEastAsia" w:hAnsiTheme="minorEastAsia" w:eastAsiaTheme="minorEastAsia" w:cstheme="minorEastAsia"/>
          <w:b/>
          <w:color w:val="auto"/>
          <w:kern w:val="36"/>
          <w:sz w:val="32"/>
          <w:szCs w:val="32"/>
          <w:highlight w:val="none"/>
        </w:rPr>
        <w:t>投标供应商没有失信记录承诺函</w:t>
      </w:r>
    </w:p>
    <w:p w14:paraId="445A5524">
      <w:pPr>
        <w:pStyle w:val="29"/>
        <w:shd w:val="clear"/>
        <w:spacing w:line="480" w:lineRule="auto"/>
        <w:rPr>
          <w:rFonts w:hint="eastAsia" w:asciiTheme="minorEastAsia" w:hAnsiTheme="minorEastAsia" w:eastAsiaTheme="minorEastAsia" w:cstheme="minorEastAsia"/>
          <w:color w:val="auto"/>
          <w:highlight w:val="none"/>
        </w:rPr>
      </w:pPr>
    </w:p>
    <w:p w14:paraId="79AC38C9">
      <w:pPr>
        <w:shd w:val="clear"/>
        <w:spacing w:line="480" w:lineRule="auto"/>
        <w:ind w:firstLine="484" w:firstLineChars="202"/>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建经投资咨询有限公司</w:t>
      </w:r>
      <w:r>
        <w:rPr>
          <w:rFonts w:hint="eastAsia" w:asciiTheme="minorEastAsia" w:hAnsiTheme="minorEastAsia" w:eastAsiaTheme="minorEastAsia" w:cstheme="minorEastAsia"/>
          <w:color w:val="auto"/>
          <w:sz w:val="24"/>
          <w:highlight w:val="none"/>
        </w:rPr>
        <w:t>（采购代理机构名称）：</w:t>
      </w:r>
    </w:p>
    <w:p w14:paraId="6D427EE9">
      <w:pPr>
        <w:shd w:val="clear"/>
        <w:spacing w:line="480" w:lineRule="auto"/>
        <w:ind w:firstLine="484" w:firstLineChars="202"/>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19D7B4C">
      <w:pPr>
        <w:shd w:val="clear" w:color="auto"/>
        <w:snapToGrid w:val="0"/>
        <w:spacing w:line="480" w:lineRule="auto"/>
        <w:rPr>
          <w:rFonts w:hint="eastAsia" w:asciiTheme="minorEastAsia" w:hAnsiTheme="minorEastAsia" w:eastAsiaTheme="minorEastAsia" w:cstheme="minorEastAsia"/>
          <w:color w:val="auto"/>
          <w:sz w:val="24"/>
          <w:highlight w:val="none"/>
        </w:rPr>
      </w:pPr>
    </w:p>
    <w:p w14:paraId="52A8C573">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特此承诺！</w:t>
      </w:r>
    </w:p>
    <w:p w14:paraId="2980BE51">
      <w:pPr>
        <w:widowControl/>
        <w:shd w:val="clear"/>
        <w:snapToGrid w:val="0"/>
        <w:spacing w:line="480" w:lineRule="auto"/>
        <w:ind w:firstLine="480" w:firstLineChars="200"/>
        <w:jc w:val="left"/>
        <w:rPr>
          <w:rFonts w:hint="eastAsia" w:asciiTheme="minorEastAsia" w:hAnsiTheme="minorEastAsia" w:eastAsiaTheme="minorEastAsia" w:cstheme="minorEastAsia"/>
          <w:color w:val="auto"/>
          <w:kern w:val="0"/>
          <w:sz w:val="24"/>
          <w:highlight w:val="none"/>
        </w:rPr>
      </w:pPr>
    </w:p>
    <w:p w14:paraId="4135B2AA">
      <w:pPr>
        <w:shd w:val="clear"/>
        <w:spacing w:line="360" w:lineRule="auto"/>
        <w:ind w:lef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投标人全称（加盖公章）：</w:t>
      </w:r>
    </w:p>
    <w:p w14:paraId="2DF9AF33">
      <w:pPr>
        <w:shd w:val="clear"/>
        <w:spacing w:line="360" w:lineRule="auto"/>
        <w:ind w:firstLine="43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eastAsia="zh-CN"/>
        </w:rPr>
        <w:t>法定代表人或其授权委托代理人</w:t>
      </w:r>
      <w:r>
        <w:rPr>
          <w:rFonts w:hint="eastAsia" w:asciiTheme="minorEastAsia" w:hAnsiTheme="minorEastAsia" w:eastAsiaTheme="minorEastAsia" w:cstheme="minorEastAsia"/>
          <w:color w:val="auto"/>
          <w:sz w:val="24"/>
          <w:highlight w:val="none"/>
        </w:rPr>
        <w:t>(签字或盖章)：</w:t>
      </w:r>
    </w:p>
    <w:p w14:paraId="0FE6DF7C">
      <w:pPr>
        <w:shd w:val="clear"/>
        <w:spacing w:line="360" w:lineRule="auto"/>
        <w:ind w:firstLine="435"/>
        <w:rPr>
          <w:rFonts w:hint="eastAsia" w:asciiTheme="minorEastAsia" w:hAnsiTheme="minorEastAsia" w:eastAsiaTheme="minorEastAsia" w:cstheme="minorEastAsia"/>
          <w:color w:val="auto"/>
          <w:sz w:val="24"/>
          <w:highlight w:val="none"/>
        </w:rPr>
      </w:pPr>
    </w:p>
    <w:p w14:paraId="3FEF7859">
      <w:pPr>
        <w:shd w:val="clear"/>
        <w:spacing w:line="360" w:lineRule="auto"/>
        <w:ind w:firstLine="435"/>
        <w:jc w:val="center"/>
        <w:rPr>
          <w:rFonts w:hint="eastAsia" w:asciiTheme="minorEastAsia" w:hAnsiTheme="minorEastAsia" w:eastAsiaTheme="minorEastAsia" w:cstheme="minorEastAsia"/>
          <w:color w:val="auto"/>
          <w:highlight w:val="none"/>
          <w:lang w:val="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日        期：</w:t>
      </w:r>
    </w:p>
    <w:p w14:paraId="734B417B">
      <w:pPr>
        <w:shd w:val="clear"/>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w:t>
      </w:r>
    </w:p>
    <w:p w14:paraId="0241B9B0">
      <w:pPr>
        <w:shd w:val="clear"/>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val="en-US" w:eastAsia="zh-CN" w:bidi="ar-SA"/>
        </w:rPr>
        <w:t>商务需求响应表</w:t>
      </w:r>
    </w:p>
    <w:tbl>
      <w:tblPr>
        <w:tblStyle w:val="76"/>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1537"/>
        <w:gridCol w:w="1536"/>
        <w:gridCol w:w="1536"/>
        <w:gridCol w:w="1536"/>
        <w:gridCol w:w="1870"/>
      </w:tblGrid>
      <w:tr w14:paraId="36108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14:paraId="4BBB24B1">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7C1F840">
            <w:pPr>
              <w:shd w:val="clear"/>
              <w:spacing w:line="36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内容</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A541A3D">
            <w:pPr>
              <w:shd w:val="clea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5311AA4">
            <w:pPr>
              <w:shd w:val="clear"/>
              <w:spacing w:line="360" w:lineRule="auto"/>
              <w:ind w:left="152"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是否响应</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DD7EFE">
            <w:pPr>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投标人的承诺或说明</w:t>
            </w:r>
          </w:p>
        </w:tc>
        <w:tc>
          <w:tcPr>
            <w:tcW w:w="1870" w:type="dxa"/>
            <w:tcBorders>
              <w:top w:val="single" w:color="auto" w:sz="4" w:space="0"/>
              <w:left w:val="single" w:color="auto" w:sz="4" w:space="0"/>
              <w:bottom w:val="single" w:color="auto" w:sz="4" w:space="0"/>
              <w:right w:val="single" w:color="auto" w:sz="4" w:space="0"/>
            </w:tcBorders>
            <w:noWrap w:val="0"/>
            <w:vAlign w:val="center"/>
          </w:tcPr>
          <w:p w14:paraId="3414085A">
            <w:pPr>
              <w:shd w:val="clear"/>
              <w:spacing w:line="360" w:lineRule="auto"/>
              <w:ind w:left="53" w:leftChars="25" w:firstLine="211"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招标需求</w:t>
            </w:r>
          </w:p>
        </w:tc>
      </w:tr>
      <w:tr w14:paraId="7E634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2015658">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6958A2EC">
            <w:pPr>
              <w:pStyle w:val="39"/>
              <w:shd w:val="clear"/>
              <w:spacing w:line="300" w:lineRule="exact"/>
              <w:ind w:firstLine="392" w:firstLineChars="19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服务期限</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136775B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45842F">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A93D5C8">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F25C2D9">
            <w:pPr>
              <w:shd w:val="clear"/>
              <w:jc w:val="center"/>
              <w:rPr>
                <w:rFonts w:hint="eastAsia" w:asciiTheme="minorEastAsia" w:hAnsiTheme="minorEastAsia" w:eastAsiaTheme="minorEastAsia" w:cstheme="minorEastAsia"/>
                <w:color w:val="auto"/>
                <w:sz w:val="21"/>
                <w:szCs w:val="21"/>
                <w:highlight w:val="none"/>
              </w:rPr>
            </w:pPr>
          </w:p>
        </w:tc>
      </w:tr>
      <w:tr w14:paraId="3305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7582971F">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B180DDB">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服务响应</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26AEBD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D04EB2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628329">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F360609">
            <w:pPr>
              <w:shd w:val="clear"/>
              <w:jc w:val="center"/>
              <w:rPr>
                <w:rFonts w:hint="eastAsia" w:asciiTheme="minorEastAsia" w:hAnsiTheme="minorEastAsia" w:eastAsiaTheme="minorEastAsia" w:cstheme="minorEastAsia"/>
                <w:color w:val="auto"/>
                <w:sz w:val="21"/>
                <w:szCs w:val="21"/>
                <w:highlight w:val="none"/>
              </w:rPr>
            </w:pPr>
          </w:p>
        </w:tc>
      </w:tr>
      <w:tr w14:paraId="446E9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BEDD62">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6BA8794">
            <w:pPr>
              <w:pStyle w:val="39"/>
              <w:shd w:val="clear"/>
              <w:spacing w:line="300" w:lineRule="exact"/>
              <w:ind w:firstLine="40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w:t>
            </w:r>
          </w:p>
        </w:tc>
        <w:tc>
          <w:tcPr>
            <w:tcW w:w="1536" w:type="dxa"/>
            <w:tcBorders>
              <w:top w:val="single" w:color="auto" w:sz="4" w:space="0"/>
              <w:left w:val="single" w:color="auto" w:sz="4" w:space="0"/>
              <w:bottom w:val="single" w:color="auto" w:sz="4" w:space="0"/>
              <w:right w:val="single" w:color="auto" w:sz="4" w:space="0"/>
            </w:tcBorders>
            <w:noWrap w:val="0"/>
            <w:vAlign w:val="top"/>
          </w:tcPr>
          <w:p w14:paraId="0610316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4547BC4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CC326F2">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7AAE1271">
            <w:pPr>
              <w:shd w:val="clear"/>
              <w:jc w:val="center"/>
              <w:rPr>
                <w:rFonts w:hint="eastAsia" w:asciiTheme="minorEastAsia" w:hAnsiTheme="minorEastAsia" w:eastAsiaTheme="minorEastAsia" w:cstheme="minorEastAsia"/>
                <w:color w:val="auto"/>
                <w:sz w:val="21"/>
                <w:szCs w:val="21"/>
                <w:highlight w:val="none"/>
              </w:rPr>
            </w:pPr>
          </w:p>
        </w:tc>
      </w:tr>
      <w:tr w14:paraId="388F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15CC56FD">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4AB32F4C">
            <w:pPr>
              <w:shd w:val="clear"/>
              <w:snapToGrid w:val="0"/>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FB9AA9">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95553A2">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21D7A3EC">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463CB92D">
            <w:pPr>
              <w:shd w:val="clear"/>
              <w:jc w:val="center"/>
              <w:rPr>
                <w:rFonts w:hint="eastAsia" w:asciiTheme="minorEastAsia" w:hAnsiTheme="minorEastAsia" w:eastAsiaTheme="minorEastAsia" w:cstheme="minorEastAsia"/>
                <w:color w:val="auto"/>
                <w:sz w:val="21"/>
                <w:szCs w:val="21"/>
                <w:highlight w:val="none"/>
              </w:rPr>
            </w:pPr>
          </w:p>
        </w:tc>
      </w:tr>
      <w:tr w14:paraId="01F05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5DC90621">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7EBE442C">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18F497F3">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072E5A38">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3444C916">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A700280">
            <w:pPr>
              <w:shd w:val="clear"/>
              <w:jc w:val="center"/>
              <w:rPr>
                <w:rFonts w:hint="eastAsia" w:asciiTheme="minorEastAsia" w:hAnsiTheme="minorEastAsia" w:eastAsiaTheme="minorEastAsia" w:cstheme="minorEastAsia"/>
                <w:color w:val="auto"/>
                <w:sz w:val="21"/>
                <w:szCs w:val="21"/>
                <w:highlight w:val="none"/>
              </w:rPr>
            </w:pPr>
          </w:p>
        </w:tc>
      </w:tr>
      <w:tr w14:paraId="4E21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761" w:type="dxa"/>
            <w:tcBorders>
              <w:top w:val="single" w:color="auto" w:sz="4" w:space="0"/>
              <w:left w:val="single" w:color="auto" w:sz="4" w:space="0"/>
              <w:bottom w:val="single" w:color="auto" w:sz="4" w:space="0"/>
              <w:right w:val="single" w:color="auto" w:sz="4" w:space="0"/>
            </w:tcBorders>
            <w:noWrap w:val="0"/>
            <w:vAlign w:val="top"/>
          </w:tcPr>
          <w:p w14:paraId="2BD66C06">
            <w:pPr>
              <w:shd w:val="clear"/>
              <w:jc w:val="center"/>
              <w:rPr>
                <w:rFonts w:hint="eastAsia" w:asciiTheme="minorEastAsia" w:hAnsiTheme="minorEastAsia" w:eastAsiaTheme="minorEastAsia" w:cstheme="minorEastAsia"/>
                <w:color w:val="auto"/>
                <w:sz w:val="21"/>
                <w:szCs w:val="21"/>
                <w:highlight w:val="none"/>
              </w:rPr>
            </w:pPr>
          </w:p>
        </w:tc>
        <w:tc>
          <w:tcPr>
            <w:tcW w:w="1537" w:type="dxa"/>
            <w:tcBorders>
              <w:top w:val="single" w:color="auto" w:sz="4" w:space="0"/>
              <w:left w:val="single" w:color="auto" w:sz="4" w:space="0"/>
              <w:bottom w:val="single" w:color="auto" w:sz="4" w:space="0"/>
              <w:right w:val="single" w:color="auto" w:sz="4" w:space="0"/>
            </w:tcBorders>
            <w:noWrap w:val="0"/>
            <w:vAlign w:val="top"/>
          </w:tcPr>
          <w:p w14:paraId="2F685761">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5460AE54">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767EE7D">
            <w:pPr>
              <w:shd w:val="clear"/>
              <w:jc w:val="center"/>
              <w:rPr>
                <w:rFonts w:hint="eastAsia" w:asciiTheme="minorEastAsia" w:hAnsiTheme="minorEastAsia" w:eastAsiaTheme="minorEastAsia" w:cstheme="minorEastAsia"/>
                <w:color w:val="auto"/>
                <w:sz w:val="21"/>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14:paraId="62266BEA">
            <w:pPr>
              <w:shd w:val="clear"/>
              <w:jc w:val="center"/>
              <w:rPr>
                <w:rFonts w:hint="eastAsia" w:asciiTheme="minorEastAsia" w:hAnsiTheme="minorEastAsia" w:eastAsiaTheme="minorEastAsia" w:cstheme="minorEastAsia"/>
                <w:color w:val="auto"/>
                <w:sz w:val="21"/>
                <w:szCs w:val="21"/>
                <w:highlight w:val="none"/>
              </w:rPr>
            </w:pPr>
          </w:p>
        </w:tc>
        <w:tc>
          <w:tcPr>
            <w:tcW w:w="1870" w:type="dxa"/>
            <w:tcBorders>
              <w:top w:val="single" w:color="auto" w:sz="4" w:space="0"/>
              <w:left w:val="single" w:color="auto" w:sz="4" w:space="0"/>
              <w:bottom w:val="single" w:color="auto" w:sz="4" w:space="0"/>
              <w:right w:val="single" w:color="auto" w:sz="4" w:space="0"/>
            </w:tcBorders>
            <w:noWrap w:val="0"/>
            <w:vAlign w:val="top"/>
          </w:tcPr>
          <w:p w14:paraId="06FC8412">
            <w:pPr>
              <w:shd w:val="clear"/>
              <w:jc w:val="center"/>
              <w:rPr>
                <w:rFonts w:hint="eastAsia" w:asciiTheme="minorEastAsia" w:hAnsiTheme="minorEastAsia" w:eastAsiaTheme="minorEastAsia" w:cstheme="minorEastAsia"/>
                <w:color w:val="auto"/>
                <w:sz w:val="21"/>
                <w:szCs w:val="21"/>
                <w:highlight w:val="none"/>
              </w:rPr>
            </w:pPr>
          </w:p>
        </w:tc>
      </w:tr>
    </w:tbl>
    <w:p w14:paraId="7BBC128B">
      <w:pPr>
        <w:shd w:val="clear"/>
        <w:autoSpaceDE w:val="0"/>
        <w:autoSpaceDN w:val="0"/>
        <w:adjustRightInd w:val="0"/>
        <w:ind w:firstLine="5040" w:firstLineChars="2400"/>
        <w:rPr>
          <w:rFonts w:hint="eastAsia" w:asciiTheme="minorEastAsia" w:hAnsiTheme="minorEastAsia" w:eastAsiaTheme="minorEastAsia" w:cstheme="minorEastAsia"/>
          <w:color w:val="auto"/>
          <w:kern w:val="0"/>
          <w:sz w:val="21"/>
          <w:szCs w:val="21"/>
          <w:highlight w:val="none"/>
          <w:lang w:val="zh-CN"/>
        </w:rPr>
      </w:pPr>
    </w:p>
    <w:p w14:paraId="144B52CC">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注：</w:t>
      </w:r>
      <w:r>
        <w:rPr>
          <w:rFonts w:hint="eastAsia" w:asciiTheme="minorEastAsia" w:hAnsiTheme="minorEastAsia" w:eastAsiaTheme="minorEastAsia" w:cstheme="minorEastAsia"/>
          <w:color w:val="auto"/>
          <w:kern w:val="0"/>
          <w:sz w:val="21"/>
          <w:szCs w:val="21"/>
          <w:highlight w:val="none"/>
          <w:lang w:val="zh-CN" w:eastAsia="zh-CN"/>
        </w:rPr>
        <w:t>未填写的视为完全响应。</w:t>
      </w:r>
    </w:p>
    <w:p w14:paraId="7B3F69D6">
      <w:pPr>
        <w:shd w:val="clear"/>
        <w:autoSpaceDE w:val="0"/>
        <w:autoSpaceDN w:val="0"/>
        <w:adjustRightInd w:val="0"/>
        <w:ind w:firstLine="4410" w:firstLineChars="2100"/>
        <w:jc w:val="left"/>
        <w:rPr>
          <w:rFonts w:hint="eastAsia" w:asciiTheme="minorEastAsia" w:hAnsiTheme="minorEastAsia" w:eastAsiaTheme="minorEastAsia" w:cstheme="minorEastAsia"/>
          <w:color w:val="auto"/>
          <w:kern w:val="0"/>
          <w:sz w:val="21"/>
          <w:szCs w:val="21"/>
          <w:highlight w:val="none"/>
          <w:lang w:val="zh-CN"/>
        </w:rPr>
      </w:pPr>
    </w:p>
    <w:p w14:paraId="0414D2A1">
      <w:pPr>
        <w:shd w:val="clear"/>
        <w:autoSpaceDE w:val="0"/>
        <w:autoSpaceDN w:val="0"/>
        <w:adjustRightInd w:val="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投标人名称（</w:t>
      </w:r>
      <w:r>
        <w:rPr>
          <w:rFonts w:hint="eastAsia" w:asciiTheme="minorEastAsia" w:hAnsiTheme="minorEastAsia" w:eastAsiaTheme="minorEastAsia" w:cstheme="minorEastAsia"/>
          <w:color w:val="auto"/>
          <w:kern w:val="0"/>
          <w:sz w:val="21"/>
          <w:szCs w:val="21"/>
          <w:highlight w:val="none"/>
          <w:lang w:val="en-US" w:eastAsia="zh-CN"/>
        </w:rPr>
        <w:t>盖章</w:t>
      </w:r>
      <w:r>
        <w:rPr>
          <w:rFonts w:hint="eastAsia" w:asciiTheme="minorEastAsia" w:hAnsiTheme="minorEastAsia" w:eastAsiaTheme="minorEastAsia" w:cstheme="minorEastAsia"/>
          <w:color w:val="auto"/>
          <w:kern w:val="0"/>
          <w:sz w:val="21"/>
          <w:szCs w:val="21"/>
          <w:highlight w:val="none"/>
          <w:lang w:val="zh-CN"/>
        </w:rPr>
        <w:t xml:space="preserve">）：     </w:t>
      </w:r>
    </w:p>
    <w:p w14:paraId="6CC99D14">
      <w:pPr>
        <w:shd w:val="clear"/>
        <w:autoSpaceDE w:val="0"/>
        <w:autoSpaceDN w:val="0"/>
        <w:adjustRightIn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 w:val="21"/>
          <w:szCs w:val="21"/>
          <w:highlight w:val="none"/>
        </w:rPr>
        <w:t>(签字或盖章)：</w:t>
      </w:r>
    </w:p>
    <w:p w14:paraId="3C0FD4AA">
      <w:pPr>
        <w:shd w:val="clear"/>
        <w:autoSpaceDE w:val="0"/>
        <w:autoSpaceDN w:val="0"/>
        <w:adjustRightInd w:val="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 </w:t>
      </w:r>
    </w:p>
    <w:p w14:paraId="05E0146A">
      <w:pPr>
        <w:shd w:val="clea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 日期：</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年  </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zh-CN"/>
        </w:rPr>
        <w:t>月   日</w:t>
      </w:r>
    </w:p>
    <w:p w14:paraId="1FB30F3A">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47A2F25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6B2BE946">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050A7A33">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5538EAA9">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158756E0">
      <w:pPr>
        <w:shd w:val="clear"/>
        <w:ind w:firstLine="456" w:firstLineChars="200"/>
        <w:jc w:val="left"/>
        <w:rPr>
          <w:rFonts w:hint="eastAsia" w:asciiTheme="minorEastAsia" w:hAnsiTheme="minorEastAsia" w:eastAsiaTheme="minorEastAsia" w:cstheme="minorEastAsia"/>
          <w:color w:val="auto"/>
          <w:spacing w:val="-6"/>
          <w:sz w:val="24"/>
          <w:highlight w:val="none"/>
        </w:rPr>
      </w:pPr>
    </w:p>
    <w:p w14:paraId="3BFED2B4">
      <w:pPr>
        <w:pStyle w:val="26"/>
        <w:shd w:val="clear"/>
        <w:rPr>
          <w:rFonts w:hint="eastAsia" w:asciiTheme="minorEastAsia" w:hAnsiTheme="minorEastAsia" w:eastAsiaTheme="minorEastAsia" w:cstheme="minorEastAsia"/>
          <w:color w:val="auto"/>
          <w:highlight w:val="none"/>
        </w:rPr>
      </w:pPr>
    </w:p>
    <w:p w14:paraId="08196482">
      <w:pPr>
        <w:pStyle w:val="27"/>
        <w:shd w:val="clear"/>
        <w:rPr>
          <w:rFonts w:hint="eastAsia" w:asciiTheme="minorEastAsia" w:hAnsiTheme="minorEastAsia" w:eastAsiaTheme="minorEastAsia" w:cstheme="minorEastAsia"/>
          <w:color w:val="auto"/>
          <w:highlight w:val="none"/>
        </w:rPr>
      </w:pPr>
    </w:p>
    <w:p w14:paraId="23808933">
      <w:pPr>
        <w:shd w:val="clear"/>
        <w:rPr>
          <w:rFonts w:hint="eastAsia" w:asciiTheme="minorEastAsia" w:hAnsiTheme="minorEastAsia" w:eastAsiaTheme="minorEastAsia" w:cstheme="minorEastAsia"/>
          <w:color w:val="auto"/>
          <w:highlight w:val="none"/>
        </w:rPr>
      </w:pPr>
    </w:p>
    <w:p w14:paraId="4D40D778">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7FB6128C">
      <w:pPr>
        <w:shd w:val="clea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p>
    <w:p w14:paraId="7ED73E5B">
      <w:pPr>
        <w:pStyle w:val="73"/>
        <w:shd w:val="clear"/>
        <w:jc w:val="center"/>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项目实施人员汇总表</w:t>
      </w:r>
    </w:p>
    <w:p w14:paraId="7C98B758">
      <w:pPr>
        <w:shd w:val="clear"/>
        <w:spacing w:before="120" w:beforeLines="50" w:after="120" w:afterLines="50"/>
        <w:ind w:right="-1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（1）项目负责人情况表</w:t>
      </w:r>
    </w:p>
    <w:p w14:paraId="41C1791A">
      <w:pPr>
        <w:shd w:val="clear"/>
        <w:rPr>
          <w:rFonts w:hint="eastAsia" w:asciiTheme="minorEastAsia" w:hAnsiTheme="minorEastAsia" w:eastAsiaTheme="minorEastAsia" w:cstheme="minorEastAsia"/>
          <w:b/>
          <w:bCs/>
          <w:color w:val="auto"/>
          <w:sz w:val="32"/>
          <w:highlight w:val="none"/>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val="en-US" w:eastAsia="zh-CN"/>
        </w:rPr>
        <w:t>名称</w:t>
      </w:r>
      <w:r>
        <w:rPr>
          <w:rFonts w:hint="eastAsia" w:asciiTheme="minorEastAsia" w:hAnsiTheme="minorEastAsia" w:eastAsiaTheme="minorEastAsia" w:cstheme="minorEastAsia"/>
          <w:color w:val="auto"/>
          <w:highlight w:val="none"/>
        </w:rPr>
        <w:t>：</w:t>
      </w:r>
    </w:p>
    <w:tbl>
      <w:tblPr>
        <w:tblStyle w:val="7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740"/>
        <w:gridCol w:w="5114"/>
      </w:tblGrid>
      <w:tr w14:paraId="7A7F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206" w:type="dxa"/>
            <w:noWrap w:val="0"/>
            <w:vAlign w:val="center"/>
          </w:tcPr>
          <w:p w14:paraId="4803AA18">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姓名</w:t>
            </w:r>
          </w:p>
        </w:tc>
        <w:tc>
          <w:tcPr>
            <w:tcW w:w="2740" w:type="dxa"/>
            <w:noWrap w:val="0"/>
            <w:vAlign w:val="center"/>
          </w:tcPr>
          <w:p w14:paraId="06E41604">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noWrap w:val="0"/>
            <w:vAlign w:val="center"/>
          </w:tcPr>
          <w:p w14:paraId="564C2863">
            <w:pPr>
              <w:pStyle w:val="690"/>
              <w:shd w:val="clear"/>
              <w:autoSpaceDE w:val="0"/>
              <w:autoSpaceDN w:val="0"/>
              <w:spacing w:line="24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1"/>
                <w:highlight w:val="none"/>
                <w:lang w:val="zh-CN"/>
              </w:rPr>
              <w:t>近年来主要工作业绩</w:t>
            </w:r>
          </w:p>
        </w:tc>
      </w:tr>
      <w:tr w14:paraId="77F2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3027A60F">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性别</w:t>
            </w:r>
          </w:p>
        </w:tc>
        <w:tc>
          <w:tcPr>
            <w:tcW w:w="2740" w:type="dxa"/>
            <w:noWrap w:val="0"/>
            <w:vAlign w:val="center"/>
          </w:tcPr>
          <w:p w14:paraId="715381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restart"/>
            <w:noWrap w:val="0"/>
            <w:vAlign w:val="center"/>
          </w:tcPr>
          <w:p w14:paraId="2B21D3C2">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4C95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515597C2">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年龄</w:t>
            </w:r>
          </w:p>
        </w:tc>
        <w:tc>
          <w:tcPr>
            <w:tcW w:w="2740" w:type="dxa"/>
            <w:noWrap w:val="0"/>
            <w:vAlign w:val="center"/>
          </w:tcPr>
          <w:p w14:paraId="0D8FD5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8783957">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636D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2C29A5F0">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职称</w:t>
            </w:r>
          </w:p>
        </w:tc>
        <w:tc>
          <w:tcPr>
            <w:tcW w:w="2740" w:type="dxa"/>
            <w:noWrap w:val="0"/>
            <w:vAlign w:val="center"/>
          </w:tcPr>
          <w:p w14:paraId="7867F9E6">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46A0826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09A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206" w:type="dxa"/>
            <w:noWrap w:val="0"/>
            <w:vAlign w:val="center"/>
          </w:tcPr>
          <w:p w14:paraId="6CCEF185">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联系电话</w:t>
            </w:r>
          </w:p>
        </w:tc>
        <w:tc>
          <w:tcPr>
            <w:tcW w:w="2740" w:type="dxa"/>
            <w:noWrap w:val="0"/>
            <w:vAlign w:val="center"/>
          </w:tcPr>
          <w:p w14:paraId="00692F5B">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c>
          <w:tcPr>
            <w:tcW w:w="5114" w:type="dxa"/>
            <w:vMerge w:val="continue"/>
            <w:noWrap w:val="0"/>
            <w:vAlign w:val="center"/>
          </w:tcPr>
          <w:p w14:paraId="191C60DD">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r w14:paraId="10E1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206" w:type="dxa"/>
            <w:noWrap w:val="0"/>
            <w:vAlign w:val="center"/>
          </w:tcPr>
          <w:p w14:paraId="3FA2B191">
            <w:pPr>
              <w:shd w:val="clear"/>
              <w:autoSpaceDE w:val="0"/>
              <w:autoSpaceDN w:val="0"/>
              <w:adjustRightInd w:val="0"/>
              <w:jc w:val="cente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拟在本项目中担任主要工作</w:t>
            </w:r>
          </w:p>
        </w:tc>
        <w:tc>
          <w:tcPr>
            <w:tcW w:w="7854" w:type="dxa"/>
            <w:gridSpan w:val="2"/>
            <w:noWrap w:val="0"/>
            <w:vAlign w:val="center"/>
          </w:tcPr>
          <w:p w14:paraId="661E043F">
            <w:pPr>
              <w:shd w:val="clear"/>
              <w:autoSpaceDE w:val="0"/>
              <w:autoSpaceDN w:val="0"/>
              <w:adjustRightInd w:val="0"/>
              <w:spacing w:line="360" w:lineRule="auto"/>
              <w:jc w:val="center"/>
              <w:rPr>
                <w:rFonts w:hint="eastAsia" w:asciiTheme="minorEastAsia" w:hAnsiTheme="minorEastAsia" w:eastAsiaTheme="minorEastAsia" w:cstheme="minorEastAsia"/>
                <w:color w:val="auto"/>
                <w:highlight w:val="none"/>
                <w:lang w:val="zh-CN"/>
              </w:rPr>
            </w:pPr>
          </w:p>
        </w:tc>
      </w:tr>
    </w:tbl>
    <w:p w14:paraId="510D2C34">
      <w:pPr>
        <w:shd w:val="clear"/>
        <w:spacing w:before="120" w:beforeLines="50" w:after="120" w:afterLines="50"/>
        <w:ind w:right="-21" w:rightChars="-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szCs w:val="21"/>
          <w:highlight w:val="none"/>
        </w:rPr>
        <w:t>投标人全称（公章）：</w:t>
      </w:r>
    </w:p>
    <w:p w14:paraId="3B4A0448">
      <w:pPr>
        <w:shd w:val="clear"/>
        <w:spacing w:before="120" w:beforeLines="50" w:after="120" w:afterLines="50"/>
        <w:ind w:right="-1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法定代表人或其授权委托代理人</w:t>
      </w:r>
      <w:r>
        <w:rPr>
          <w:rFonts w:hint="eastAsia" w:asciiTheme="minorEastAsia" w:hAnsiTheme="minorEastAsia" w:eastAsiaTheme="minorEastAsia" w:cstheme="minorEastAsia"/>
          <w:color w:val="auto"/>
          <w:szCs w:val="21"/>
          <w:highlight w:val="none"/>
        </w:rPr>
        <w:t>（签字或盖章）：</w:t>
      </w:r>
    </w:p>
    <w:p w14:paraId="701FF765">
      <w:pPr>
        <w:shd w:val="clear"/>
        <w:spacing w:before="120" w:beforeLines="50" w:after="120" w:afterLines="50"/>
        <w:ind w:right="-1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年    月    日</w:t>
      </w:r>
    </w:p>
    <w:p w14:paraId="120C6AC3">
      <w:pPr>
        <w:shd w:val="clea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C1E2291">
      <w:pPr>
        <w:shd w:val="clear"/>
        <w:rPr>
          <w:rFonts w:hint="eastAsia"/>
          <w:highlight w:val="none"/>
        </w:rPr>
      </w:pPr>
    </w:p>
    <w:p w14:paraId="3E3E4F12">
      <w:pPr>
        <w:numPr>
          <w:ilvl w:val="0"/>
          <w:numId w:val="36"/>
        </w:numPr>
        <w:shd w:val="clear"/>
        <w:spacing w:before="240" w:beforeLines="100" w:after="120" w:afterLines="5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项目服务人员汇总表</w:t>
      </w:r>
    </w:p>
    <w:p w14:paraId="529B9475">
      <w:pPr>
        <w:pStyle w:val="73"/>
        <w:numPr>
          <w:ilvl w:val="0"/>
          <w:numId w:val="0"/>
        </w:numPr>
        <w:shd w:val="clea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lang w:val="en-US" w:eastAsia="zh-CN"/>
        </w:rPr>
        <w:t>项目名称</w:t>
      </w:r>
      <w:r>
        <w:rPr>
          <w:rFonts w:hint="eastAsia" w:asciiTheme="minorEastAsia" w:hAnsiTheme="minorEastAsia" w:eastAsiaTheme="minorEastAsia" w:cstheme="minorEastAsia"/>
          <w:b w:val="0"/>
          <w:bCs/>
          <w:color w:val="auto"/>
          <w:highlight w:val="none"/>
        </w:rPr>
        <w:t>：</w:t>
      </w:r>
    </w:p>
    <w:tbl>
      <w:tblPr>
        <w:tblStyle w:val="76"/>
        <w:tblpPr w:leftFromText="180" w:rightFromText="180" w:vertAnchor="text" w:horzAnchor="page" w:tblpX="1174" w:tblpY="425"/>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40"/>
        <w:gridCol w:w="2226"/>
        <w:gridCol w:w="855"/>
        <w:gridCol w:w="878"/>
        <w:gridCol w:w="945"/>
        <w:gridCol w:w="1066"/>
        <w:gridCol w:w="1711"/>
      </w:tblGrid>
      <w:tr w14:paraId="63C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83" w:type="dxa"/>
            <w:noWrap w:val="0"/>
            <w:vAlign w:val="center"/>
          </w:tcPr>
          <w:p w14:paraId="08CE7D01">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序号</w:t>
            </w:r>
          </w:p>
        </w:tc>
        <w:tc>
          <w:tcPr>
            <w:tcW w:w="1640" w:type="dxa"/>
            <w:noWrap w:val="0"/>
            <w:vAlign w:val="center"/>
          </w:tcPr>
          <w:p w14:paraId="4D23BE43">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姓名</w:t>
            </w:r>
          </w:p>
        </w:tc>
        <w:tc>
          <w:tcPr>
            <w:tcW w:w="2226" w:type="dxa"/>
            <w:noWrap w:val="0"/>
            <w:vAlign w:val="center"/>
          </w:tcPr>
          <w:p w14:paraId="212C6162">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本项目主要工作</w:t>
            </w:r>
          </w:p>
        </w:tc>
        <w:tc>
          <w:tcPr>
            <w:tcW w:w="855" w:type="dxa"/>
            <w:noWrap w:val="0"/>
            <w:vAlign w:val="center"/>
          </w:tcPr>
          <w:p w14:paraId="792F244F">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年龄</w:t>
            </w:r>
          </w:p>
        </w:tc>
        <w:tc>
          <w:tcPr>
            <w:tcW w:w="878" w:type="dxa"/>
            <w:noWrap w:val="0"/>
            <w:vAlign w:val="center"/>
          </w:tcPr>
          <w:p w14:paraId="139D3F70">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性别</w:t>
            </w:r>
          </w:p>
        </w:tc>
        <w:tc>
          <w:tcPr>
            <w:tcW w:w="945" w:type="dxa"/>
            <w:noWrap w:val="0"/>
            <w:vAlign w:val="center"/>
          </w:tcPr>
          <w:p w14:paraId="29678A5B">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tc>
        <w:tc>
          <w:tcPr>
            <w:tcW w:w="1066" w:type="dxa"/>
            <w:noWrap w:val="0"/>
            <w:vAlign w:val="center"/>
          </w:tcPr>
          <w:p w14:paraId="39DEAC4A">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专业</w:t>
            </w:r>
          </w:p>
          <w:p w14:paraId="7A28BFE6">
            <w:pPr>
              <w:shd w:val="clea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年限</w:t>
            </w:r>
          </w:p>
        </w:tc>
        <w:tc>
          <w:tcPr>
            <w:tcW w:w="1711" w:type="dxa"/>
            <w:noWrap w:val="0"/>
            <w:vAlign w:val="center"/>
          </w:tcPr>
          <w:p w14:paraId="2C96720F">
            <w:pPr>
              <w:shd w:val="clear"/>
              <w:jc w:val="center"/>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备注</w:t>
            </w:r>
          </w:p>
        </w:tc>
      </w:tr>
      <w:tr w14:paraId="539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269686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640" w:type="dxa"/>
            <w:noWrap w:val="0"/>
            <w:vAlign w:val="center"/>
          </w:tcPr>
          <w:p w14:paraId="3055FF9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638528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w:t>
            </w:r>
          </w:p>
        </w:tc>
        <w:tc>
          <w:tcPr>
            <w:tcW w:w="855" w:type="dxa"/>
            <w:noWrap w:val="0"/>
            <w:vAlign w:val="center"/>
          </w:tcPr>
          <w:p w14:paraId="5E9AE0E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0FA7978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205E2E42">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F78933">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40EEEFC">
            <w:pPr>
              <w:shd w:val="clear"/>
              <w:spacing w:line="360" w:lineRule="auto"/>
              <w:ind w:left="5250"/>
              <w:jc w:val="center"/>
              <w:rPr>
                <w:rFonts w:hint="eastAsia" w:asciiTheme="minorEastAsia" w:hAnsiTheme="minorEastAsia" w:eastAsiaTheme="minorEastAsia" w:cstheme="minorEastAsia"/>
                <w:color w:val="auto"/>
                <w:spacing w:val="12"/>
                <w:sz w:val="24"/>
                <w:szCs w:val="20"/>
                <w:highlight w:val="none"/>
              </w:rPr>
            </w:pPr>
          </w:p>
        </w:tc>
      </w:tr>
      <w:tr w14:paraId="41E1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01F0D1C">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640" w:type="dxa"/>
            <w:noWrap w:val="0"/>
            <w:vAlign w:val="center"/>
          </w:tcPr>
          <w:p w14:paraId="1F916FB8">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820F568">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855" w:type="dxa"/>
            <w:noWrap w:val="0"/>
            <w:vAlign w:val="center"/>
          </w:tcPr>
          <w:p w14:paraId="4AB2E07B">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F428700">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6EEDA6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25D6777A">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566BBF3">
            <w:pPr>
              <w:shd w:val="clear"/>
              <w:spacing w:line="360" w:lineRule="auto"/>
              <w:jc w:val="center"/>
              <w:rPr>
                <w:rFonts w:hint="eastAsia" w:asciiTheme="minorEastAsia" w:hAnsiTheme="minorEastAsia" w:eastAsiaTheme="minorEastAsia" w:cstheme="minorEastAsia"/>
                <w:color w:val="auto"/>
                <w:sz w:val="24"/>
                <w:highlight w:val="none"/>
              </w:rPr>
            </w:pPr>
          </w:p>
        </w:tc>
      </w:tr>
      <w:tr w14:paraId="155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8C3A427">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640" w:type="dxa"/>
            <w:noWrap w:val="0"/>
            <w:vAlign w:val="center"/>
          </w:tcPr>
          <w:p w14:paraId="6707A13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6271EC1">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17CF575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3A14CA4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5402EBC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7DF12D9">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2FE54AAE">
            <w:pPr>
              <w:shd w:val="clear"/>
              <w:spacing w:line="360" w:lineRule="auto"/>
              <w:jc w:val="center"/>
              <w:rPr>
                <w:rFonts w:hint="eastAsia" w:asciiTheme="minorEastAsia" w:hAnsiTheme="minorEastAsia" w:eastAsiaTheme="minorEastAsia" w:cstheme="minorEastAsia"/>
                <w:color w:val="auto"/>
                <w:sz w:val="24"/>
                <w:highlight w:val="none"/>
              </w:rPr>
            </w:pPr>
          </w:p>
        </w:tc>
      </w:tr>
      <w:tr w14:paraId="328C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2B532B86">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640" w:type="dxa"/>
            <w:noWrap w:val="0"/>
            <w:vAlign w:val="center"/>
          </w:tcPr>
          <w:p w14:paraId="38D51545">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1E4B8F9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7034620A">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E81A7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45DD8B5">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F43F528">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B86D12F">
            <w:pPr>
              <w:shd w:val="clear"/>
              <w:spacing w:line="360" w:lineRule="auto"/>
              <w:jc w:val="center"/>
              <w:rPr>
                <w:rFonts w:hint="eastAsia" w:asciiTheme="minorEastAsia" w:hAnsiTheme="minorEastAsia" w:eastAsiaTheme="minorEastAsia" w:cstheme="minorEastAsia"/>
                <w:color w:val="auto"/>
                <w:sz w:val="24"/>
                <w:highlight w:val="none"/>
              </w:rPr>
            </w:pPr>
          </w:p>
        </w:tc>
      </w:tr>
      <w:tr w14:paraId="7409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4DD5148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640" w:type="dxa"/>
            <w:noWrap w:val="0"/>
            <w:vAlign w:val="center"/>
          </w:tcPr>
          <w:p w14:paraId="626098B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4903FFC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EE1809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0DCB4D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04D9ED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380AD9ED">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307F1E2F">
            <w:pPr>
              <w:shd w:val="clear"/>
              <w:spacing w:line="360" w:lineRule="auto"/>
              <w:jc w:val="center"/>
              <w:rPr>
                <w:rFonts w:hint="eastAsia" w:asciiTheme="minorEastAsia" w:hAnsiTheme="minorEastAsia" w:eastAsiaTheme="minorEastAsia" w:cstheme="minorEastAsia"/>
                <w:color w:val="auto"/>
                <w:sz w:val="24"/>
                <w:highlight w:val="none"/>
              </w:rPr>
            </w:pPr>
          </w:p>
        </w:tc>
      </w:tr>
      <w:tr w14:paraId="64A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68595F4D">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640" w:type="dxa"/>
            <w:noWrap w:val="0"/>
            <w:vAlign w:val="center"/>
          </w:tcPr>
          <w:p w14:paraId="131374DB">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62D5AB4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1A358B8">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B628C28">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769DACE">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A628C26">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812DA13">
            <w:pPr>
              <w:shd w:val="clear"/>
              <w:spacing w:line="360" w:lineRule="auto"/>
              <w:jc w:val="center"/>
              <w:rPr>
                <w:rFonts w:hint="eastAsia" w:asciiTheme="minorEastAsia" w:hAnsiTheme="minorEastAsia" w:eastAsiaTheme="minorEastAsia" w:cstheme="minorEastAsia"/>
                <w:color w:val="auto"/>
                <w:sz w:val="24"/>
                <w:highlight w:val="none"/>
              </w:rPr>
            </w:pPr>
          </w:p>
        </w:tc>
      </w:tr>
      <w:tr w14:paraId="1AB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50CAA8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7ACA4D0C">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739780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80C86C2">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5958B66E">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1CEC74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3A32B2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1B66B81">
            <w:pPr>
              <w:shd w:val="clear"/>
              <w:spacing w:line="360" w:lineRule="auto"/>
              <w:jc w:val="center"/>
              <w:rPr>
                <w:rFonts w:hint="eastAsia" w:asciiTheme="minorEastAsia" w:hAnsiTheme="minorEastAsia" w:eastAsiaTheme="minorEastAsia" w:cstheme="minorEastAsia"/>
                <w:color w:val="auto"/>
                <w:sz w:val="24"/>
                <w:highlight w:val="none"/>
              </w:rPr>
            </w:pPr>
          </w:p>
        </w:tc>
      </w:tr>
      <w:tr w14:paraId="19D2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71DD6055">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5E2160AE">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58B4507">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72BD24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7FB18BD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303323A1">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0F5E1AA7">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02E90D14">
            <w:pPr>
              <w:shd w:val="clear"/>
              <w:spacing w:line="360" w:lineRule="auto"/>
              <w:jc w:val="center"/>
              <w:rPr>
                <w:rFonts w:hint="eastAsia" w:asciiTheme="minorEastAsia" w:hAnsiTheme="minorEastAsia" w:eastAsiaTheme="minorEastAsia" w:cstheme="minorEastAsia"/>
                <w:color w:val="auto"/>
                <w:sz w:val="24"/>
                <w:highlight w:val="none"/>
              </w:rPr>
            </w:pPr>
          </w:p>
        </w:tc>
      </w:tr>
      <w:tr w14:paraId="095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A5F86D2">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2E0D0690">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703AC3BE">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21583BE7">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15FFBEF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7A420337">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2690744">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1D1E620B">
            <w:pPr>
              <w:shd w:val="clear"/>
              <w:spacing w:line="360" w:lineRule="auto"/>
              <w:jc w:val="center"/>
              <w:rPr>
                <w:rFonts w:hint="eastAsia" w:asciiTheme="minorEastAsia" w:hAnsiTheme="minorEastAsia" w:eastAsiaTheme="minorEastAsia" w:cstheme="minorEastAsia"/>
                <w:color w:val="auto"/>
                <w:sz w:val="24"/>
                <w:highlight w:val="none"/>
              </w:rPr>
            </w:pPr>
          </w:p>
        </w:tc>
      </w:tr>
      <w:tr w14:paraId="294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0B2F0844">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69A47BCF">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3AB31136">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5F9681DF">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40C0CDA">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98C653B">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117A2E7B">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7E2BCE2F">
            <w:pPr>
              <w:shd w:val="clear"/>
              <w:spacing w:line="360" w:lineRule="auto"/>
              <w:jc w:val="center"/>
              <w:rPr>
                <w:rFonts w:hint="eastAsia" w:asciiTheme="minorEastAsia" w:hAnsiTheme="minorEastAsia" w:eastAsiaTheme="minorEastAsia" w:cstheme="minorEastAsia"/>
                <w:color w:val="auto"/>
                <w:sz w:val="24"/>
                <w:highlight w:val="none"/>
              </w:rPr>
            </w:pPr>
          </w:p>
        </w:tc>
      </w:tr>
      <w:tr w14:paraId="15D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83" w:type="dxa"/>
            <w:noWrap w:val="0"/>
            <w:vAlign w:val="center"/>
          </w:tcPr>
          <w:p w14:paraId="1526E0F3">
            <w:pPr>
              <w:shd w:val="clear"/>
              <w:spacing w:line="360" w:lineRule="auto"/>
              <w:jc w:val="center"/>
              <w:rPr>
                <w:rFonts w:hint="eastAsia" w:asciiTheme="minorEastAsia" w:hAnsiTheme="minorEastAsia" w:eastAsiaTheme="minorEastAsia" w:cstheme="minorEastAsia"/>
                <w:color w:val="auto"/>
                <w:sz w:val="24"/>
                <w:highlight w:val="none"/>
                <w:lang w:val="en-US" w:eastAsia="zh-CN"/>
              </w:rPr>
            </w:pPr>
          </w:p>
        </w:tc>
        <w:tc>
          <w:tcPr>
            <w:tcW w:w="1640" w:type="dxa"/>
            <w:noWrap w:val="0"/>
            <w:vAlign w:val="center"/>
          </w:tcPr>
          <w:p w14:paraId="0E9B2BFA">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5573F0A2">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330A73F1">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255C1D81">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6D0CDA9C">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4A08378C">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42738D1E">
            <w:pPr>
              <w:shd w:val="clear"/>
              <w:spacing w:line="360" w:lineRule="auto"/>
              <w:jc w:val="center"/>
              <w:rPr>
                <w:rFonts w:hint="eastAsia" w:asciiTheme="minorEastAsia" w:hAnsiTheme="minorEastAsia" w:eastAsiaTheme="minorEastAsia" w:cstheme="minorEastAsia"/>
                <w:color w:val="auto"/>
                <w:sz w:val="24"/>
                <w:highlight w:val="none"/>
              </w:rPr>
            </w:pPr>
          </w:p>
        </w:tc>
      </w:tr>
      <w:tr w14:paraId="5064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3" w:type="dxa"/>
            <w:noWrap w:val="0"/>
            <w:vAlign w:val="center"/>
          </w:tcPr>
          <w:p w14:paraId="5DC6FA20">
            <w:pPr>
              <w:shd w:val="clea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tc>
        <w:tc>
          <w:tcPr>
            <w:tcW w:w="1640" w:type="dxa"/>
            <w:noWrap w:val="0"/>
            <w:vAlign w:val="center"/>
          </w:tcPr>
          <w:p w14:paraId="68A4F762">
            <w:pPr>
              <w:shd w:val="clear"/>
              <w:spacing w:line="360" w:lineRule="auto"/>
              <w:jc w:val="center"/>
              <w:rPr>
                <w:rFonts w:hint="eastAsia" w:asciiTheme="minorEastAsia" w:hAnsiTheme="minorEastAsia" w:eastAsiaTheme="minorEastAsia" w:cstheme="minorEastAsia"/>
                <w:color w:val="auto"/>
                <w:sz w:val="24"/>
                <w:highlight w:val="none"/>
              </w:rPr>
            </w:pPr>
          </w:p>
        </w:tc>
        <w:tc>
          <w:tcPr>
            <w:tcW w:w="2226" w:type="dxa"/>
            <w:noWrap w:val="0"/>
            <w:vAlign w:val="center"/>
          </w:tcPr>
          <w:p w14:paraId="28AAAA7B">
            <w:pPr>
              <w:shd w:val="clear"/>
              <w:spacing w:line="360" w:lineRule="auto"/>
              <w:jc w:val="center"/>
              <w:rPr>
                <w:rFonts w:hint="eastAsia" w:asciiTheme="minorEastAsia" w:hAnsiTheme="minorEastAsia" w:eastAsiaTheme="minorEastAsia" w:cstheme="minorEastAsia"/>
                <w:color w:val="auto"/>
                <w:sz w:val="24"/>
                <w:highlight w:val="none"/>
              </w:rPr>
            </w:pPr>
          </w:p>
        </w:tc>
        <w:tc>
          <w:tcPr>
            <w:tcW w:w="855" w:type="dxa"/>
            <w:noWrap w:val="0"/>
            <w:vAlign w:val="center"/>
          </w:tcPr>
          <w:p w14:paraId="04312CB3">
            <w:pPr>
              <w:shd w:val="clear"/>
              <w:spacing w:line="360" w:lineRule="auto"/>
              <w:jc w:val="center"/>
              <w:rPr>
                <w:rFonts w:hint="eastAsia" w:asciiTheme="minorEastAsia" w:hAnsiTheme="minorEastAsia" w:eastAsiaTheme="minorEastAsia" w:cstheme="minorEastAsia"/>
                <w:color w:val="auto"/>
                <w:sz w:val="24"/>
                <w:highlight w:val="none"/>
              </w:rPr>
            </w:pPr>
          </w:p>
        </w:tc>
        <w:tc>
          <w:tcPr>
            <w:tcW w:w="878" w:type="dxa"/>
            <w:noWrap w:val="0"/>
            <w:vAlign w:val="center"/>
          </w:tcPr>
          <w:p w14:paraId="690D0D2C">
            <w:pPr>
              <w:shd w:val="clear"/>
              <w:spacing w:line="360" w:lineRule="auto"/>
              <w:jc w:val="center"/>
              <w:rPr>
                <w:rFonts w:hint="eastAsia" w:asciiTheme="minorEastAsia" w:hAnsiTheme="minorEastAsia" w:eastAsiaTheme="minorEastAsia" w:cstheme="minorEastAsia"/>
                <w:color w:val="auto"/>
                <w:sz w:val="24"/>
                <w:highlight w:val="none"/>
              </w:rPr>
            </w:pPr>
          </w:p>
        </w:tc>
        <w:tc>
          <w:tcPr>
            <w:tcW w:w="945" w:type="dxa"/>
            <w:noWrap w:val="0"/>
            <w:vAlign w:val="center"/>
          </w:tcPr>
          <w:p w14:paraId="10A58519">
            <w:pPr>
              <w:shd w:val="clear"/>
              <w:spacing w:line="360" w:lineRule="auto"/>
              <w:jc w:val="center"/>
              <w:rPr>
                <w:rFonts w:hint="eastAsia" w:asciiTheme="minorEastAsia" w:hAnsiTheme="minorEastAsia" w:eastAsiaTheme="minorEastAsia" w:cstheme="minorEastAsia"/>
                <w:color w:val="auto"/>
                <w:sz w:val="24"/>
                <w:highlight w:val="none"/>
              </w:rPr>
            </w:pPr>
          </w:p>
        </w:tc>
        <w:tc>
          <w:tcPr>
            <w:tcW w:w="1066" w:type="dxa"/>
            <w:noWrap w:val="0"/>
            <w:vAlign w:val="center"/>
          </w:tcPr>
          <w:p w14:paraId="6B7BD495">
            <w:pPr>
              <w:shd w:val="clear"/>
              <w:spacing w:line="360" w:lineRule="auto"/>
              <w:jc w:val="center"/>
              <w:rPr>
                <w:rFonts w:hint="eastAsia" w:asciiTheme="minorEastAsia" w:hAnsiTheme="minorEastAsia" w:eastAsiaTheme="minorEastAsia" w:cstheme="minorEastAsia"/>
                <w:color w:val="auto"/>
                <w:sz w:val="24"/>
                <w:highlight w:val="none"/>
              </w:rPr>
            </w:pPr>
          </w:p>
        </w:tc>
        <w:tc>
          <w:tcPr>
            <w:tcW w:w="1711" w:type="dxa"/>
            <w:noWrap w:val="0"/>
            <w:vAlign w:val="center"/>
          </w:tcPr>
          <w:p w14:paraId="692CCE03">
            <w:pPr>
              <w:shd w:val="clear"/>
              <w:spacing w:line="360" w:lineRule="auto"/>
              <w:jc w:val="center"/>
              <w:rPr>
                <w:rFonts w:hint="eastAsia" w:asciiTheme="minorEastAsia" w:hAnsiTheme="minorEastAsia" w:eastAsiaTheme="minorEastAsia" w:cstheme="minorEastAsia"/>
                <w:color w:val="auto"/>
                <w:sz w:val="24"/>
                <w:highlight w:val="none"/>
              </w:rPr>
            </w:pPr>
          </w:p>
        </w:tc>
      </w:tr>
    </w:tbl>
    <w:p w14:paraId="261D3481">
      <w:pPr>
        <w:shd w:val="clear"/>
        <w:spacing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                                                                  </w:t>
      </w:r>
    </w:p>
    <w:p w14:paraId="4467210C">
      <w:pPr>
        <w:shd w:val="clear"/>
        <w:spacing w:before="120" w:beforeLines="50" w:after="120" w:afterLines="50"/>
        <w:ind w:right="-21" w:rightChars="-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投标人全称（公章）：</w:t>
      </w:r>
    </w:p>
    <w:p w14:paraId="15E09E86">
      <w:pPr>
        <w:shd w:val="clear"/>
        <w:spacing w:before="120" w:beforeLines="50" w:after="120" w:afterLines="50"/>
        <w:ind w:right="-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法定代表人或其授权委托代理人</w:t>
      </w:r>
      <w:r>
        <w:rPr>
          <w:rFonts w:hint="eastAsia" w:asciiTheme="minorEastAsia" w:hAnsiTheme="minorEastAsia" w:eastAsiaTheme="minorEastAsia" w:cstheme="minorEastAsia"/>
          <w:color w:val="auto"/>
          <w:sz w:val="24"/>
          <w:szCs w:val="24"/>
          <w:highlight w:val="none"/>
        </w:rPr>
        <w:t>（签字或盖章）：</w:t>
      </w:r>
    </w:p>
    <w:p w14:paraId="4933A618">
      <w:pPr>
        <w:shd w:val="clea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日</w:t>
      </w:r>
    </w:p>
    <w:p w14:paraId="5CC75D70">
      <w:pPr>
        <w:shd w:val="clear"/>
        <w:snapToGrid w:val="0"/>
        <w:spacing w:before="50" w:after="50" w:line="360" w:lineRule="auto"/>
        <w:rPr>
          <w:rFonts w:hint="eastAsia" w:asciiTheme="minorEastAsia" w:hAnsiTheme="minorEastAsia" w:eastAsiaTheme="minorEastAsia" w:cstheme="minorEastAsia"/>
          <w:b w:val="0"/>
          <w:bCs/>
          <w:color w:val="auto"/>
          <w:sz w:val="28"/>
          <w:highlight w:val="none"/>
        </w:rPr>
      </w:pPr>
    </w:p>
    <w:p w14:paraId="7BC94616">
      <w:pPr>
        <w:shd w:val="clea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57DAD17F">
      <w:pPr>
        <w:shd w:val="clear"/>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附件</w:t>
      </w:r>
      <w:r>
        <w:rPr>
          <w:rFonts w:hint="eastAsia" w:asciiTheme="minorEastAsia" w:hAnsiTheme="minorEastAsia" w:eastAsiaTheme="minorEastAsia" w:cstheme="minorEastAsia"/>
          <w:color w:val="auto"/>
          <w:sz w:val="24"/>
          <w:highlight w:val="none"/>
          <w:lang w:val="en-US" w:eastAsia="zh-CN"/>
        </w:rPr>
        <w:t>10、</w:t>
      </w:r>
    </w:p>
    <w:p w14:paraId="4FE6B201">
      <w:pPr>
        <w:pStyle w:val="3"/>
        <w:shd w:val="clear"/>
        <w:ind w:left="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技术条款</w:t>
      </w:r>
      <w:r>
        <w:rPr>
          <w:rFonts w:hint="eastAsia" w:asciiTheme="minorEastAsia" w:hAnsiTheme="minorEastAsia" w:eastAsiaTheme="minorEastAsia" w:cstheme="minorEastAsia"/>
          <w:color w:val="auto"/>
          <w:highlight w:val="none"/>
        </w:rPr>
        <w:t>偏离表</w:t>
      </w:r>
    </w:p>
    <w:tbl>
      <w:tblPr>
        <w:tblStyle w:val="76"/>
        <w:tblW w:w="901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230"/>
        <w:gridCol w:w="3248"/>
        <w:gridCol w:w="1594"/>
      </w:tblGrid>
      <w:tr w14:paraId="3840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46" w:type="dxa"/>
            <w:noWrap w:val="0"/>
            <w:vAlign w:val="center"/>
          </w:tcPr>
          <w:p w14:paraId="1E37CBFE">
            <w:pPr>
              <w:pStyle w:val="695"/>
              <w:shd w:val="clear"/>
              <w:spacing w:before="1" w:line="440" w:lineRule="exact"/>
              <w:ind w:right="111"/>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序号</w:t>
            </w:r>
          </w:p>
        </w:tc>
        <w:tc>
          <w:tcPr>
            <w:tcW w:w="3230" w:type="dxa"/>
            <w:noWrap w:val="0"/>
            <w:vAlign w:val="center"/>
          </w:tcPr>
          <w:p w14:paraId="65B509CA">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招标的要求</w:t>
            </w:r>
          </w:p>
        </w:tc>
        <w:tc>
          <w:tcPr>
            <w:tcW w:w="3248" w:type="dxa"/>
            <w:noWrap w:val="0"/>
            <w:vAlign w:val="center"/>
          </w:tcPr>
          <w:p w14:paraId="36AB5CBF">
            <w:pPr>
              <w:pStyle w:val="695"/>
              <w:shd w:val="clear"/>
              <w:ind w:left="81"/>
              <w:jc w:val="center"/>
              <w:rPr>
                <w:rFonts w:hint="eastAsia" w:asciiTheme="minorEastAsia" w:hAnsiTheme="minorEastAsia" w:eastAsiaTheme="minorEastAsia" w:cstheme="minorEastAsia"/>
                <w:b/>
                <w:color w:val="auto"/>
                <w:sz w:val="21"/>
                <w:highlight w:val="none"/>
                <w:lang w:val="en-US" w:eastAsia="zh-CN"/>
              </w:rPr>
            </w:pPr>
            <w:r>
              <w:rPr>
                <w:rFonts w:hint="eastAsia" w:asciiTheme="minorEastAsia" w:hAnsiTheme="minorEastAsia" w:eastAsiaTheme="minorEastAsia" w:cstheme="minorEastAsia"/>
                <w:b/>
                <w:color w:val="auto"/>
                <w:sz w:val="21"/>
                <w:highlight w:val="none"/>
              </w:rPr>
              <w:t>投标</w:t>
            </w:r>
            <w:r>
              <w:rPr>
                <w:rFonts w:hint="eastAsia" w:asciiTheme="minorEastAsia" w:hAnsiTheme="minorEastAsia" w:eastAsiaTheme="minorEastAsia" w:cstheme="minorEastAsia"/>
                <w:b/>
                <w:color w:val="auto"/>
                <w:sz w:val="21"/>
                <w:highlight w:val="none"/>
                <w:lang w:val="en-US" w:eastAsia="zh-CN"/>
              </w:rPr>
              <w:t>承诺</w:t>
            </w:r>
          </w:p>
        </w:tc>
        <w:tc>
          <w:tcPr>
            <w:tcW w:w="1594" w:type="dxa"/>
            <w:noWrap w:val="0"/>
            <w:vAlign w:val="center"/>
          </w:tcPr>
          <w:p w14:paraId="0C3ADB99">
            <w:pPr>
              <w:pStyle w:val="695"/>
              <w:shd w:val="clear"/>
              <w:ind w:left="82"/>
              <w:jc w:val="center"/>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偏离情况</w:t>
            </w:r>
          </w:p>
        </w:tc>
      </w:tr>
      <w:tr w14:paraId="46F2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22EB1FD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133433A">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72CB62ED">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7C864203">
            <w:pPr>
              <w:pStyle w:val="695"/>
              <w:shd w:val="clear"/>
              <w:jc w:val="both"/>
              <w:rPr>
                <w:rFonts w:hint="eastAsia" w:asciiTheme="minorEastAsia" w:hAnsiTheme="minorEastAsia" w:eastAsiaTheme="minorEastAsia" w:cstheme="minorEastAsia"/>
                <w:color w:val="auto"/>
                <w:sz w:val="20"/>
                <w:highlight w:val="none"/>
              </w:rPr>
            </w:pPr>
          </w:p>
        </w:tc>
      </w:tr>
      <w:tr w14:paraId="562E6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A432055">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30881F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BEB3AE9">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D0AE664">
            <w:pPr>
              <w:pStyle w:val="695"/>
              <w:shd w:val="clear"/>
              <w:jc w:val="both"/>
              <w:rPr>
                <w:rFonts w:hint="eastAsia" w:asciiTheme="minorEastAsia" w:hAnsiTheme="minorEastAsia" w:eastAsiaTheme="minorEastAsia" w:cstheme="minorEastAsia"/>
                <w:color w:val="auto"/>
                <w:sz w:val="20"/>
                <w:highlight w:val="none"/>
              </w:rPr>
            </w:pPr>
          </w:p>
        </w:tc>
      </w:tr>
      <w:tr w14:paraId="10EC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3BE118C2">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2EE975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382597BE">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7CCF131">
            <w:pPr>
              <w:pStyle w:val="695"/>
              <w:shd w:val="clear"/>
              <w:jc w:val="both"/>
              <w:rPr>
                <w:rFonts w:hint="eastAsia" w:asciiTheme="minorEastAsia" w:hAnsiTheme="minorEastAsia" w:eastAsiaTheme="minorEastAsia" w:cstheme="minorEastAsia"/>
                <w:color w:val="auto"/>
                <w:sz w:val="20"/>
                <w:highlight w:val="none"/>
              </w:rPr>
            </w:pPr>
          </w:p>
        </w:tc>
      </w:tr>
      <w:tr w14:paraId="510B4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46" w:type="dxa"/>
            <w:noWrap w:val="0"/>
            <w:vAlign w:val="center"/>
          </w:tcPr>
          <w:p w14:paraId="158ADE68">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696ED7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446F4A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1F6DF95">
            <w:pPr>
              <w:pStyle w:val="695"/>
              <w:shd w:val="clear"/>
              <w:jc w:val="both"/>
              <w:rPr>
                <w:rFonts w:hint="eastAsia" w:asciiTheme="minorEastAsia" w:hAnsiTheme="minorEastAsia" w:eastAsiaTheme="minorEastAsia" w:cstheme="minorEastAsia"/>
                <w:color w:val="auto"/>
                <w:sz w:val="20"/>
                <w:highlight w:val="none"/>
              </w:rPr>
            </w:pPr>
          </w:p>
        </w:tc>
      </w:tr>
      <w:tr w14:paraId="7996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425724B">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2FD8D0B5">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496631C">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6A2AC9E">
            <w:pPr>
              <w:pStyle w:val="695"/>
              <w:shd w:val="clear"/>
              <w:jc w:val="both"/>
              <w:rPr>
                <w:rFonts w:hint="eastAsia" w:asciiTheme="minorEastAsia" w:hAnsiTheme="minorEastAsia" w:eastAsiaTheme="minorEastAsia" w:cstheme="minorEastAsia"/>
                <w:color w:val="auto"/>
                <w:sz w:val="20"/>
                <w:highlight w:val="none"/>
              </w:rPr>
            </w:pPr>
          </w:p>
        </w:tc>
      </w:tr>
      <w:tr w14:paraId="0D7BA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661EEF44">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336C64B3">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5D6376F4">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01436AB4">
            <w:pPr>
              <w:pStyle w:val="695"/>
              <w:shd w:val="clear"/>
              <w:jc w:val="both"/>
              <w:rPr>
                <w:rFonts w:hint="eastAsia" w:asciiTheme="minorEastAsia" w:hAnsiTheme="minorEastAsia" w:eastAsiaTheme="minorEastAsia" w:cstheme="minorEastAsia"/>
                <w:color w:val="auto"/>
                <w:sz w:val="20"/>
                <w:highlight w:val="none"/>
              </w:rPr>
            </w:pPr>
          </w:p>
        </w:tc>
      </w:tr>
      <w:tr w14:paraId="6E378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609360A">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6519F5AB">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096542F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1258895E">
            <w:pPr>
              <w:pStyle w:val="695"/>
              <w:shd w:val="clear"/>
              <w:jc w:val="both"/>
              <w:rPr>
                <w:rFonts w:hint="eastAsia" w:asciiTheme="minorEastAsia" w:hAnsiTheme="minorEastAsia" w:eastAsiaTheme="minorEastAsia" w:cstheme="minorEastAsia"/>
                <w:color w:val="auto"/>
                <w:sz w:val="20"/>
                <w:highlight w:val="none"/>
              </w:rPr>
            </w:pPr>
          </w:p>
        </w:tc>
      </w:tr>
      <w:tr w14:paraId="742E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1C7ADE0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49C5ABD1">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1788C9A8">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39E7B10C">
            <w:pPr>
              <w:pStyle w:val="695"/>
              <w:shd w:val="clear"/>
              <w:jc w:val="both"/>
              <w:rPr>
                <w:rFonts w:hint="eastAsia" w:asciiTheme="minorEastAsia" w:hAnsiTheme="minorEastAsia" w:eastAsiaTheme="minorEastAsia" w:cstheme="minorEastAsia"/>
                <w:color w:val="auto"/>
                <w:sz w:val="20"/>
                <w:highlight w:val="none"/>
              </w:rPr>
            </w:pPr>
          </w:p>
        </w:tc>
      </w:tr>
      <w:tr w14:paraId="45E36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946" w:type="dxa"/>
            <w:noWrap w:val="0"/>
            <w:vAlign w:val="center"/>
          </w:tcPr>
          <w:p w14:paraId="4BE24F36">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1BCE3BFF">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4201941">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2B06F8CD">
            <w:pPr>
              <w:pStyle w:val="695"/>
              <w:shd w:val="clear"/>
              <w:jc w:val="both"/>
              <w:rPr>
                <w:rFonts w:hint="eastAsia" w:asciiTheme="minorEastAsia" w:hAnsiTheme="minorEastAsia" w:eastAsiaTheme="minorEastAsia" w:cstheme="minorEastAsia"/>
                <w:color w:val="auto"/>
                <w:sz w:val="20"/>
                <w:highlight w:val="none"/>
              </w:rPr>
            </w:pPr>
          </w:p>
        </w:tc>
      </w:tr>
      <w:tr w14:paraId="4B471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46" w:type="dxa"/>
            <w:noWrap w:val="0"/>
            <w:vAlign w:val="center"/>
          </w:tcPr>
          <w:p w14:paraId="1DF2F99F">
            <w:pPr>
              <w:pStyle w:val="695"/>
              <w:shd w:val="clear"/>
              <w:jc w:val="both"/>
              <w:rPr>
                <w:rFonts w:hint="eastAsia" w:asciiTheme="minorEastAsia" w:hAnsiTheme="minorEastAsia" w:eastAsiaTheme="minorEastAsia" w:cstheme="minorEastAsia"/>
                <w:color w:val="auto"/>
                <w:sz w:val="20"/>
                <w:highlight w:val="none"/>
              </w:rPr>
            </w:pPr>
          </w:p>
        </w:tc>
        <w:tc>
          <w:tcPr>
            <w:tcW w:w="3230" w:type="dxa"/>
            <w:noWrap w:val="0"/>
            <w:vAlign w:val="center"/>
          </w:tcPr>
          <w:p w14:paraId="59266D26">
            <w:pPr>
              <w:pStyle w:val="695"/>
              <w:shd w:val="clear"/>
              <w:jc w:val="both"/>
              <w:rPr>
                <w:rFonts w:hint="eastAsia" w:asciiTheme="minorEastAsia" w:hAnsiTheme="minorEastAsia" w:eastAsiaTheme="minorEastAsia" w:cstheme="minorEastAsia"/>
                <w:color w:val="auto"/>
                <w:sz w:val="20"/>
                <w:highlight w:val="none"/>
              </w:rPr>
            </w:pPr>
          </w:p>
        </w:tc>
        <w:tc>
          <w:tcPr>
            <w:tcW w:w="3248" w:type="dxa"/>
            <w:noWrap w:val="0"/>
            <w:vAlign w:val="center"/>
          </w:tcPr>
          <w:p w14:paraId="6E7047A7">
            <w:pPr>
              <w:pStyle w:val="695"/>
              <w:shd w:val="clear"/>
              <w:jc w:val="both"/>
              <w:rPr>
                <w:rFonts w:hint="eastAsia" w:asciiTheme="minorEastAsia" w:hAnsiTheme="minorEastAsia" w:eastAsiaTheme="minorEastAsia" w:cstheme="minorEastAsia"/>
                <w:color w:val="auto"/>
                <w:sz w:val="20"/>
                <w:highlight w:val="none"/>
              </w:rPr>
            </w:pPr>
          </w:p>
        </w:tc>
        <w:tc>
          <w:tcPr>
            <w:tcW w:w="1594" w:type="dxa"/>
            <w:noWrap w:val="0"/>
            <w:vAlign w:val="center"/>
          </w:tcPr>
          <w:p w14:paraId="4CE81BA6">
            <w:pPr>
              <w:pStyle w:val="695"/>
              <w:shd w:val="clear"/>
              <w:jc w:val="both"/>
              <w:rPr>
                <w:rFonts w:hint="eastAsia" w:asciiTheme="minorEastAsia" w:hAnsiTheme="minorEastAsia" w:eastAsiaTheme="minorEastAsia" w:cstheme="minorEastAsia"/>
                <w:color w:val="auto"/>
                <w:sz w:val="20"/>
                <w:highlight w:val="none"/>
              </w:rPr>
            </w:pPr>
          </w:p>
        </w:tc>
      </w:tr>
    </w:tbl>
    <w:p w14:paraId="294537D5">
      <w:pPr>
        <w:shd w:val="clear"/>
        <w:snapToGrid w:val="0"/>
        <w:spacing w:before="156" w:beforeLines="50" w:after="5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注：1、招标文件要求详见“</w:t>
      </w: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lang w:eastAsia="zh-CN"/>
        </w:rPr>
        <w:t>需求</w:t>
      </w:r>
      <w:r>
        <w:rPr>
          <w:rFonts w:hint="eastAsia" w:asciiTheme="minorEastAsia" w:hAnsiTheme="minorEastAsia" w:eastAsiaTheme="minorEastAsia" w:cstheme="minorEastAsia"/>
          <w:color w:val="auto"/>
          <w:sz w:val="24"/>
          <w:highlight w:val="none"/>
        </w:rPr>
        <w:t>”中的各条款内容，以此类推完整填写“技术条款偏离表”；2、偏离情况应在本表空白处醒目地注明“正偏离或无偏离或负偏离”等字样。</w:t>
      </w:r>
      <w:r>
        <w:rPr>
          <w:rFonts w:hint="eastAsia" w:asciiTheme="minorEastAsia" w:hAnsiTheme="minorEastAsia" w:eastAsiaTheme="minorEastAsia" w:cstheme="minorEastAsia"/>
          <w:color w:val="auto"/>
          <w:sz w:val="24"/>
          <w:highlight w:val="none"/>
          <w:lang w:val="en-US" w:eastAsia="zh-CN"/>
        </w:rPr>
        <w:t>3、表格可扩展。4、未填写的视为完全响应。</w:t>
      </w:r>
    </w:p>
    <w:p w14:paraId="372D931E">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3F96F24A">
      <w:pPr>
        <w:shd w:val="clear"/>
        <w:snapToGrid w:val="0"/>
        <w:spacing w:before="156" w:beforeLines="50" w:after="50"/>
        <w:rPr>
          <w:rFonts w:hint="eastAsia" w:asciiTheme="minorEastAsia" w:hAnsiTheme="minorEastAsia" w:eastAsiaTheme="minorEastAsia" w:cstheme="minorEastAsia"/>
          <w:color w:val="auto"/>
          <w:sz w:val="24"/>
          <w:highlight w:val="none"/>
        </w:rPr>
      </w:pPr>
    </w:p>
    <w:p w14:paraId="2D2FB0F6">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投标人全称（加盖公章）： </w:t>
      </w:r>
    </w:p>
    <w:p w14:paraId="093F412B">
      <w:pPr>
        <w:shd w:val="clear"/>
        <w:snapToGrid w:val="0"/>
        <w:spacing w:before="156" w:beforeLines="50" w:after="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法定代表人或其委托代理人（签字或盖章）：</w:t>
      </w:r>
    </w:p>
    <w:p w14:paraId="77B88FBB">
      <w:pPr>
        <w:pStyle w:val="27"/>
        <w:shd w:val="clear"/>
        <w:jc w:val="right"/>
        <w:rPr>
          <w:rFonts w:hint="eastAsia" w:asciiTheme="minorEastAsia" w:hAnsiTheme="minorEastAsia" w:eastAsiaTheme="minorEastAsia" w:cstheme="minorEastAsia"/>
          <w:color w:val="auto"/>
          <w:sz w:val="24"/>
          <w:highlight w:val="none"/>
          <w:lang w:val="en-US" w:eastAsia="zh-CN"/>
        </w:rPr>
        <w:sectPr>
          <w:pgSz w:w="11906" w:h="16838"/>
          <w:pgMar w:top="1247" w:right="1417" w:bottom="1474" w:left="1417" w:header="851" w:footer="896" w:gutter="0"/>
          <w:pgNumType w:fmt="decimal"/>
          <w:cols w:space="0" w:num="1"/>
          <w:docGrid w:type="lines" w:linePitch="312" w:charSpace="0"/>
        </w:sect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lang w:val="en-US" w:eastAsia="zh-CN"/>
        </w:rPr>
        <w:t>日</w:t>
      </w:r>
    </w:p>
    <w:p w14:paraId="24E37700">
      <w:pPr>
        <w:pStyle w:val="26"/>
        <w:shd w:val="clea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附件</w:t>
      </w:r>
      <w:r>
        <w:rPr>
          <w:rFonts w:hint="eastAsia" w:hAnsi="宋体" w:cs="宋体"/>
          <w:sz w:val="24"/>
          <w:szCs w:val="24"/>
          <w:highlight w:val="none"/>
          <w:lang w:val="en-US" w:eastAsia="zh-CN"/>
        </w:rPr>
        <w:t>11</w:t>
      </w:r>
      <w:r>
        <w:rPr>
          <w:rFonts w:hint="eastAsia" w:ascii="宋体" w:hAnsi="宋体" w:eastAsia="宋体" w:cs="宋体"/>
          <w:sz w:val="24"/>
          <w:szCs w:val="24"/>
          <w:highlight w:val="none"/>
          <w:lang w:val="en-US" w:eastAsia="zh-CN"/>
        </w:rPr>
        <w:t>：</w:t>
      </w:r>
    </w:p>
    <w:p w14:paraId="7039E91A">
      <w:pPr>
        <w:pStyle w:val="27"/>
        <w:shd w:val="clear"/>
        <w:rPr>
          <w:rFonts w:hint="eastAsia" w:ascii="宋体" w:hAnsi="宋体" w:eastAsia="宋体" w:cs="宋体"/>
          <w:sz w:val="28"/>
          <w:szCs w:val="28"/>
          <w:highlight w:val="none"/>
          <w:lang w:val="en-US" w:eastAsia="zh-CN"/>
        </w:rPr>
      </w:pPr>
    </w:p>
    <w:p w14:paraId="4BDEEFE7">
      <w:pPr>
        <w:shd w:val="clear"/>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color w:val="auto"/>
          <w:sz w:val="32"/>
          <w:szCs w:val="32"/>
          <w:highlight w:val="none"/>
        </w:rPr>
        <w:t>类似项目业绩一览表</w:t>
      </w:r>
    </w:p>
    <w:tbl>
      <w:tblPr>
        <w:tblStyle w:val="76"/>
        <w:tblW w:w="9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292"/>
        <w:gridCol w:w="1291"/>
        <w:gridCol w:w="1214"/>
        <w:gridCol w:w="1400"/>
        <w:gridCol w:w="1333"/>
        <w:gridCol w:w="1964"/>
      </w:tblGrid>
      <w:tr w14:paraId="1DA6A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center"/>
          </w:tcPr>
          <w:p w14:paraId="6D6B60A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05F5F736">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业主名称</w:t>
            </w:r>
          </w:p>
        </w:tc>
        <w:tc>
          <w:tcPr>
            <w:tcW w:w="1291" w:type="dxa"/>
            <w:tcBorders>
              <w:top w:val="single" w:color="auto" w:sz="6" w:space="0"/>
              <w:left w:val="single" w:color="auto" w:sz="6" w:space="0"/>
              <w:bottom w:val="single" w:color="auto" w:sz="6" w:space="0"/>
              <w:right w:val="single" w:color="auto" w:sz="6" w:space="0"/>
            </w:tcBorders>
            <w:noWrap w:val="0"/>
            <w:vAlign w:val="center"/>
          </w:tcPr>
          <w:p w14:paraId="1168AFF8">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项目名称</w:t>
            </w:r>
          </w:p>
        </w:tc>
        <w:tc>
          <w:tcPr>
            <w:tcW w:w="1214" w:type="dxa"/>
            <w:tcBorders>
              <w:top w:val="single" w:color="auto" w:sz="6" w:space="0"/>
              <w:left w:val="single" w:color="auto" w:sz="6" w:space="0"/>
              <w:bottom w:val="single" w:color="auto" w:sz="6" w:space="0"/>
              <w:right w:val="single" w:color="auto" w:sz="6" w:space="0"/>
            </w:tcBorders>
            <w:noWrap w:val="0"/>
            <w:vAlign w:val="center"/>
          </w:tcPr>
          <w:p w14:paraId="5F659649">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w:t>
            </w:r>
            <w:r>
              <w:rPr>
                <w:rFonts w:hint="eastAsia" w:ascii="宋体" w:hAnsi="宋体" w:eastAsia="宋体" w:cs="宋体"/>
                <w:b/>
                <w:bCs/>
                <w:color w:val="auto"/>
                <w:sz w:val="24"/>
                <w:szCs w:val="24"/>
                <w:highlight w:val="none"/>
                <w:lang w:val="en-US" w:eastAsia="zh-CN"/>
              </w:rPr>
              <w:t>金额（万元）</w:t>
            </w:r>
          </w:p>
        </w:tc>
        <w:tc>
          <w:tcPr>
            <w:tcW w:w="1400" w:type="dxa"/>
            <w:tcBorders>
              <w:top w:val="single" w:color="auto" w:sz="6" w:space="0"/>
              <w:left w:val="single" w:color="auto" w:sz="6" w:space="0"/>
              <w:bottom w:val="single" w:color="auto" w:sz="6" w:space="0"/>
              <w:right w:val="single" w:color="auto" w:sz="6" w:space="0"/>
            </w:tcBorders>
            <w:noWrap w:val="0"/>
            <w:vAlign w:val="center"/>
          </w:tcPr>
          <w:p w14:paraId="503AD402">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实施时间</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589B4C67">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项目质量</w:t>
            </w:r>
          </w:p>
        </w:tc>
        <w:tc>
          <w:tcPr>
            <w:tcW w:w="1964" w:type="dxa"/>
            <w:tcBorders>
              <w:top w:val="single" w:color="auto" w:sz="6" w:space="0"/>
              <w:left w:val="single" w:color="auto" w:sz="6" w:space="0"/>
              <w:bottom w:val="single" w:color="auto" w:sz="6" w:space="0"/>
              <w:right w:val="single" w:color="auto" w:sz="6" w:space="0"/>
            </w:tcBorders>
            <w:noWrap w:val="0"/>
            <w:vAlign w:val="center"/>
          </w:tcPr>
          <w:p w14:paraId="76C9418A">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项目单位名称及其联系人电话</w:t>
            </w:r>
          </w:p>
        </w:tc>
      </w:tr>
      <w:tr w14:paraId="1BA22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0B6D69BC">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1FC068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B3B795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009962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3CA8B69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1DD67E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241F1F4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B262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35FED40D">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792C922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64B7E1D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81BCC5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7E5046A">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9B575A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6B5DC2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71F0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780809F0">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5E7DC4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749F0041">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04018BF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0E3D148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75897F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70DC61EB">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333A4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2BD0DE04">
            <w:pPr>
              <w:pStyle w:val="697"/>
              <w:keepNext w:val="0"/>
              <w:keepLines w:val="0"/>
              <w:pageBreakBefore w:val="0"/>
              <w:shd w:val="clear"/>
              <w:kinsoku/>
              <w:overflowPunct/>
              <w:topLinePunct w:val="0"/>
              <w:bidi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2" w:type="dxa"/>
            <w:tcBorders>
              <w:top w:val="single" w:color="auto" w:sz="6" w:space="0"/>
              <w:left w:val="single" w:color="auto" w:sz="6" w:space="0"/>
              <w:bottom w:val="single" w:color="auto" w:sz="6" w:space="0"/>
              <w:right w:val="single" w:color="auto" w:sz="6" w:space="0"/>
            </w:tcBorders>
            <w:noWrap w:val="0"/>
            <w:vAlign w:val="top"/>
          </w:tcPr>
          <w:p w14:paraId="2F69B8D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4C26021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7B8CF9E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229A9DF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562312C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E6D52C5">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6973E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63AA080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DE5BCF4">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0C536246">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158DF47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4D92B840">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0800D432">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4ACDDF37">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r w14:paraId="48788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702" w:type="dxa"/>
            <w:tcBorders>
              <w:top w:val="single" w:color="auto" w:sz="6" w:space="0"/>
              <w:left w:val="single" w:color="auto" w:sz="6" w:space="0"/>
              <w:bottom w:val="single" w:color="auto" w:sz="6" w:space="0"/>
              <w:right w:val="single" w:color="auto" w:sz="6" w:space="0"/>
            </w:tcBorders>
            <w:noWrap w:val="0"/>
            <w:vAlign w:val="top"/>
          </w:tcPr>
          <w:p w14:paraId="1FAD787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02D5949C">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91" w:type="dxa"/>
            <w:tcBorders>
              <w:top w:val="single" w:color="auto" w:sz="6" w:space="0"/>
              <w:left w:val="single" w:color="auto" w:sz="6" w:space="0"/>
              <w:bottom w:val="single" w:color="auto" w:sz="6" w:space="0"/>
              <w:right w:val="single" w:color="auto" w:sz="6" w:space="0"/>
            </w:tcBorders>
            <w:noWrap w:val="0"/>
            <w:vAlign w:val="top"/>
          </w:tcPr>
          <w:p w14:paraId="178FB3BE">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214" w:type="dxa"/>
            <w:tcBorders>
              <w:top w:val="single" w:color="auto" w:sz="6" w:space="0"/>
              <w:left w:val="single" w:color="auto" w:sz="6" w:space="0"/>
              <w:bottom w:val="single" w:color="auto" w:sz="6" w:space="0"/>
              <w:right w:val="single" w:color="auto" w:sz="6" w:space="0"/>
            </w:tcBorders>
            <w:noWrap w:val="0"/>
            <w:vAlign w:val="top"/>
          </w:tcPr>
          <w:p w14:paraId="5246B88F">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400" w:type="dxa"/>
            <w:tcBorders>
              <w:top w:val="single" w:color="auto" w:sz="6" w:space="0"/>
              <w:left w:val="single" w:color="auto" w:sz="6" w:space="0"/>
              <w:bottom w:val="single" w:color="auto" w:sz="6" w:space="0"/>
              <w:right w:val="single" w:color="auto" w:sz="6" w:space="0"/>
            </w:tcBorders>
            <w:noWrap w:val="0"/>
            <w:vAlign w:val="top"/>
          </w:tcPr>
          <w:p w14:paraId="1D18F683">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333" w:type="dxa"/>
            <w:tcBorders>
              <w:top w:val="single" w:color="auto" w:sz="6" w:space="0"/>
              <w:left w:val="single" w:color="auto" w:sz="6" w:space="0"/>
              <w:bottom w:val="single" w:color="auto" w:sz="6" w:space="0"/>
              <w:right w:val="single" w:color="auto" w:sz="6" w:space="0"/>
            </w:tcBorders>
            <w:noWrap w:val="0"/>
            <w:vAlign w:val="top"/>
          </w:tcPr>
          <w:p w14:paraId="37B04379">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c>
          <w:tcPr>
            <w:tcW w:w="1964" w:type="dxa"/>
            <w:tcBorders>
              <w:top w:val="single" w:color="auto" w:sz="6" w:space="0"/>
              <w:left w:val="single" w:color="auto" w:sz="6" w:space="0"/>
              <w:bottom w:val="single" w:color="auto" w:sz="6" w:space="0"/>
              <w:right w:val="single" w:color="auto" w:sz="6" w:space="0"/>
            </w:tcBorders>
            <w:noWrap w:val="0"/>
            <w:vAlign w:val="top"/>
          </w:tcPr>
          <w:p w14:paraId="10831C6D">
            <w:pPr>
              <w:pStyle w:val="697"/>
              <w:keepNext w:val="0"/>
              <w:keepLines w:val="0"/>
              <w:pageBreakBefore w:val="0"/>
              <w:shd w:val="clear"/>
              <w:kinsoku/>
              <w:overflowPunct/>
              <w:topLinePunct w:val="0"/>
              <w:bidi w:val="0"/>
              <w:spacing w:line="360" w:lineRule="auto"/>
              <w:outlineLvl w:val="9"/>
              <w:rPr>
                <w:rFonts w:hint="eastAsia" w:ascii="宋体" w:hAnsi="宋体" w:eastAsia="宋体" w:cs="宋体"/>
                <w:color w:val="auto"/>
                <w:sz w:val="24"/>
                <w:szCs w:val="24"/>
                <w:highlight w:val="none"/>
              </w:rPr>
            </w:pPr>
          </w:p>
        </w:tc>
      </w:tr>
    </w:tbl>
    <w:p w14:paraId="321E4A4F">
      <w:pPr>
        <w:shd w:val="clear"/>
        <w:snapToGrid w:val="0"/>
        <w:rPr>
          <w:rFonts w:hint="eastAsia" w:ascii="宋体" w:hAnsi="宋体" w:eastAsia="宋体" w:cs="宋体"/>
          <w:b/>
          <w:color w:val="auto"/>
          <w:sz w:val="24"/>
          <w:szCs w:val="24"/>
          <w:highlight w:val="none"/>
        </w:rPr>
      </w:pPr>
    </w:p>
    <w:p w14:paraId="2D64CF26">
      <w:pPr>
        <w:shd w:val="clea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 xml:space="preserve">供应商可按此表格式复制。 </w:t>
      </w:r>
    </w:p>
    <w:p w14:paraId="71839696">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7E3B594F">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37142992">
      <w:pPr>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7D3C51">
      <w:pPr>
        <w:shd w:val="clear"/>
        <w:adjustRightInd w:val="0"/>
        <w:snapToGrid w:val="0"/>
        <w:rPr>
          <w:rFonts w:hint="eastAsia" w:ascii="宋体" w:hAnsi="宋体" w:eastAsia="宋体" w:cs="宋体"/>
          <w:color w:val="auto"/>
          <w:sz w:val="24"/>
          <w:szCs w:val="24"/>
          <w:highlight w:val="none"/>
        </w:rPr>
      </w:pPr>
    </w:p>
    <w:p w14:paraId="3104B890">
      <w:pPr>
        <w:shd w:val="clear"/>
        <w:snapToGrid w:val="0"/>
        <w:jc w:val="right"/>
        <w:rPr>
          <w:rFonts w:hint="eastAsia" w:ascii="宋体" w:hAnsi="宋体" w:eastAsia="宋体"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sz w:val="24"/>
          <w:szCs w:val="24"/>
          <w:highlight w:val="none"/>
        </w:rPr>
        <w:t>日    期：        年    月    日</w:t>
      </w:r>
    </w:p>
    <w:p w14:paraId="339B85BA">
      <w:pPr>
        <w:shd w:val="clear"/>
        <w:jc w:val="both"/>
        <w:rPr>
          <w:rFonts w:hint="eastAsia"/>
          <w:b/>
          <w:sz w:val="36"/>
          <w:szCs w:val="36"/>
          <w:highlight w:val="none"/>
          <w:lang w:val="en-US" w:eastAsia="zh-CN"/>
        </w:rPr>
      </w:pPr>
      <w:r>
        <w:rPr>
          <w:rFonts w:hint="eastAsia" w:ascii="宋体" w:hAnsi="宋体" w:eastAsia="宋体" w:cs="宋体"/>
          <w:kern w:val="2"/>
          <w:sz w:val="24"/>
          <w:szCs w:val="24"/>
          <w:highlight w:val="none"/>
          <w:lang w:val="en-US" w:eastAsia="zh-CN" w:bidi="ar-SA"/>
        </w:rPr>
        <w:t>附件</w:t>
      </w:r>
      <w:r>
        <w:rPr>
          <w:rFonts w:hint="eastAsia" w:ascii="宋体" w:hAnsi="宋体" w:cs="宋体"/>
          <w:kern w:val="2"/>
          <w:sz w:val="24"/>
          <w:szCs w:val="24"/>
          <w:highlight w:val="none"/>
          <w:lang w:val="en-US" w:eastAsia="zh-CN" w:bidi="ar-SA"/>
        </w:rPr>
        <w:t>12、</w:t>
      </w:r>
      <w:r>
        <w:rPr>
          <w:rFonts w:hint="eastAsia"/>
          <w:b/>
          <w:sz w:val="36"/>
          <w:szCs w:val="36"/>
          <w:highlight w:val="none"/>
          <w:lang w:val="en-US" w:eastAsia="zh-CN"/>
        </w:rPr>
        <w:t xml:space="preserve">          </w:t>
      </w:r>
    </w:p>
    <w:p w14:paraId="102AE7A4">
      <w:pPr>
        <w:shd w:val="clear"/>
        <w:rPr>
          <w:rFonts w:hint="eastAsia" w:ascii="宋体" w:hAnsi="宋体" w:eastAsia="宋体" w:cs="宋体"/>
          <w:sz w:val="24"/>
          <w:szCs w:val="24"/>
          <w:highlight w:val="none"/>
          <w:lang w:val="en-US" w:eastAsia="zh-CN"/>
        </w:rPr>
      </w:pPr>
    </w:p>
    <w:p w14:paraId="17C5A9E9">
      <w:pPr>
        <w:keepNext w:val="0"/>
        <w:keepLines w:val="0"/>
        <w:widowControl/>
        <w:suppressLineNumbers w:val="0"/>
        <w:shd w:val="clear"/>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32"/>
          <w:szCs w:val="32"/>
          <w:highlight w:val="none"/>
          <w:lang w:val="en-US" w:eastAsia="zh-CN"/>
        </w:rPr>
        <w:t xml:space="preserve">  </w:t>
      </w:r>
      <w:r>
        <w:rPr>
          <w:rFonts w:hint="eastAsia" w:ascii="宋体" w:hAnsi="宋体" w:eastAsia="宋体" w:cs="宋体"/>
          <w:b/>
          <w:bCs/>
          <w:color w:val="000000"/>
          <w:kern w:val="0"/>
          <w:sz w:val="32"/>
          <w:szCs w:val="32"/>
          <w:highlight w:val="none"/>
          <w:lang w:val="en-US" w:eastAsia="zh-CN" w:bidi="ar"/>
        </w:rPr>
        <w:t>服务点情况介绍及服务承诺书</w:t>
      </w:r>
    </w:p>
    <w:p w14:paraId="363988E0">
      <w:pPr>
        <w:pStyle w:val="26"/>
        <w:shd w:val="clear"/>
        <w:rPr>
          <w:rFonts w:hint="eastAsia" w:ascii="宋体" w:hAnsi="宋体" w:eastAsia="宋体" w:cs="宋体"/>
          <w:sz w:val="24"/>
          <w:szCs w:val="24"/>
          <w:highlight w:val="none"/>
          <w:lang w:val="en-US" w:eastAsia="zh-CN"/>
        </w:rPr>
      </w:pPr>
    </w:p>
    <w:p w14:paraId="3ABFA42F">
      <w:pPr>
        <w:pStyle w:val="27"/>
        <w:shd w:val="clear"/>
        <w:rPr>
          <w:rFonts w:hint="eastAsia" w:ascii="宋体" w:hAnsi="宋体" w:eastAsia="宋体" w:cs="宋体"/>
          <w:sz w:val="24"/>
          <w:szCs w:val="24"/>
          <w:highlight w:val="none"/>
          <w:lang w:val="en-US" w:eastAsia="zh-CN"/>
        </w:rPr>
      </w:pP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8"/>
        <w:gridCol w:w="2355"/>
        <w:gridCol w:w="1747"/>
        <w:gridCol w:w="2358"/>
      </w:tblGrid>
      <w:tr w14:paraId="4F42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1B0AB7F">
            <w:pPr>
              <w:keepNext w:val="0"/>
              <w:keepLines w:val="0"/>
              <w:widowControl/>
              <w:suppressLineNumbers w:val="0"/>
              <w:shd w:val="clear"/>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服务网点名称 </w:t>
            </w:r>
          </w:p>
        </w:tc>
        <w:tc>
          <w:tcPr>
            <w:tcW w:w="6460" w:type="dxa"/>
            <w:gridSpan w:val="3"/>
          </w:tcPr>
          <w:p w14:paraId="328877D1">
            <w:pPr>
              <w:pStyle w:val="28"/>
              <w:shd w:val="clear"/>
              <w:rPr>
                <w:rFonts w:hint="eastAsia" w:ascii="宋体" w:hAnsi="宋体" w:eastAsia="宋体" w:cs="宋体"/>
                <w:sz w:val="21"/>
                <w:szCs w:val="21"/>
                <w:highlight w:val="none"/>
                <w:vertAlign w:val="baseline"/>
                <w:lang w:val="en-US" w:eastAsia="zh-CN"/>
              </w:rPr>
            </w:pPr>
          </w:p>
        </w:tc>
      </w:tr>
      <w:tr w14:paraId="44B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28" w:type="dxa"/>
          </w:tcPr>
          <w:p w14:paraId="08D1FD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地址</w:t>
            </w:r>
          </w:p>
        </w:tc>
        <w:tc>
          <w:tcPr>
            <w:tcW w:w="6460" w:type="dxa"/>
            <w:gridSpan w:val="3"/>
          </w:tcPr>
          <w:p w14:paraId="711EE83A">
            <w:pPr>
              <w:pStyle w:val="28"/>
              <w:shd w:val="clear"/>
              <w:rPr>
                <w:rFonts w:hint="eastAsia" w:ascii="宋体" w:hAnsi="宋体" w:eastAsia="宋体" w:cs="宋体"/>
                <w:sz w:val="21"/>
                <w:szCs w:val="21"/>
                <w:highlight w:val="none"/>
                <w:vertAlign w:val="baseline"/>
                <w:lang w:val="en-US" w:eastAsia="zh-CN"/>
              </w:rPr>
            </w:pPr>
          </w:p>
        </w:tc>
      </w:tr>
      <w:tr w14:paraId="5B34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0DE77EF">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员工总人数 </w:t>
            </w:r>
          </w:p>
        </w:tc>
        <w:tc>
          <w:tcPr>
            <w:tcW w:w="6460" w:type="dxa"/>
            <w:gridSpan w:val="3"/>
          </w:tcPr>
          <w:p w14:paraId="4A44E775">
            <w:pPr>
              <w:pStyle w:val="28"/>
              <w:shd w:val="clear"/>
              <w:rPr>
                <w:rFonts w:hint="eastAsia" w:ascii="宋体" w:hAnsi="宋体" w:eastAsia="宋体" w:cs="宋体"/>
                <w:sz w:val="21"/>
                <w:szCs w:val="21"/>
                <w:highlight w:val="none"/>
                <w:vertAlign w:val="baseline"/>
                <w:lang w:val="en-US" w:eastAsia="zh-CN"/>
              </w:rPr>
            </w:pPr>
          </w:p>
        </w:tc>
      </w:tr>
      <w:tr w14:paraId="254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62D1F637">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经营期限 </w:t>
            </w:r>
          </w:p>
        </w:tc>
        <w:tc>
          <w:tcPr>
            <w:tcW w:w="6460" w:type="dxa"/>
            <w:gridSpan w:val="3"/>
          </w:tcPr>
          <w:p w14:paraId="002F6ACA">
            <w:pPr>
              <w:pStyle w:val="28"/>
              <w:shd w:val="clear"/>
              <w:rPr>
                <w:rFonts w:hint="eastAsia" w:ascii="宋体" w:hAnsi="宋体" w:eastAsia="宋体" w:cs="宋体"/>
                <w:sz w:val="21"/>
                <w:szCs w:val="21"/>
                <w:highlight w:val="none"/>
                <w:vertAlign w:val="baseline"/>
                <w:lang w:val="en-US" w:eastAsia="zh-CN"/>
              </w:rPr>
            </w:pPr>
          </w:p>
        </w:tc>
      </w:tr>
      <w:tr w14:paraId="5E9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955B37B">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服务内容 </w:t>
            </w:r>
          </w:p>
        </w:tc>
        <w:tc>
          <w:tcPr>
            <w:tcW w:w="6460" w:type="dxa"/>
            <w:gridSpan w:val="3"/>
          </w:tcPr>
          <w:p w14:paraId="02B745CD">
            <w:pPr>
              <w:pStyle w:val="28"/>
              <w:shd w:val="clear"/>
              <w:rPr>
                <w:rFonts w:hint="eastAsia" w:ascii="宋体" w:hAnsi="宋体" w:eastAsia="宋体" w:cs="宋体"/>
                <w:sz w:val="21"/>
                <w:szCs w:val="21"/>
                <w:highlight w:val="none"/>
                <w:vertAlign w:val="baseline"/>
                <w:lang w:val="en-US" w:eastAsia="zh-CN"/>
              </w:rPr>
            </w:pPr>
          </w:p>
        </w:tc>
      </w:tr>
      <w:tr w14:paraId="7E60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015C2901">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工作业绩 </w:t>
            </w:r>
          </w:p>
        </w:tc>
        <w:tc>
          <w:tcPr>
            <w:tcW w:w="6460" w:type="dxa"/>
            <w:gridSpan w:val="3"/>
          </w:tcPr>
          <w:p w14:paraId="2090FE9A">
            <w:pPr>
              <w:pStyle w:val="28"/>
              <w:shd w:val="clear"/>
              <w:rPr>
                <w:rFonts w:hint="eastAsia" w:ascii="宋体" w:hAnsi="宋体" w:eastAsia="宋体" w:cs="宋体"/>
                <w:sz w:val="21"/>
                <w:szCs w:val="21"/>
                <w:highlight w:val="none"/>
                <w:vertAlign w:val="baseline"/>
                <w:lang w:val="en-US" w:eastAsia="zh-CN"/>
              </w:rPr>
            </w:pPr>
          </w:p>
        </w:tc>
      </w:tr>
      <w:tr w14:paraId="7479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45C56753">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服务承诺 </w:t>
            </w:r>
          </w:p>
        </w:tc>
        <w:tc>
          <w:tcPr>
            <w:tcW w:w="6460" w:type="dxa"/>
            <w:gridSpan w:val="3"/>
          </w:tcPr>
          <w:p w14:paraId="2C99FB94">
            <w:pPr>
              <w:pStyle w:val="28"/>
              <w:shd w:val="clear"/>
              <w:rPr>
                <w:rFonts w:hint="eastAsia" w:ascii="宋体" w:hAnsi="宋体" w:eastAsia="宋体" w:cs="宋体"/>
                <w:sz w:val="21"/>
                <w:szCs w:val="21"/>
                <w:highlight w:val="none"/>
                <w:vertAlign w:val="baseline"/>
                <w:lang w:val="en-US" w:eastAsia="zh-CN"/>
              </w:rPr>
            </w:pPr>
          </w:p>
        </w:tc>
      </w:tr>
      <w:tr w14:paraId="09DF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32CEEC92">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业务咨询电话</w:t>
            </w:r>
          </w:p>
        </w:tc>
        <w:tc>
          <w:tcPr>
            <w:tcW w:w="2355" w:type="dxa"/>
          </w:tcPr>
          <w:p w14:paraId="7FC245CB">
            <w:pPr>
              <w:pStyle w:val="28"/>
              <w:shd w:val="clear"/>
              <w:rPr>
                <w:rFonts w:hint="eastAsia" w:ascii="宋体" w:hAnsi="宋体" w:eastAsia="宋体" w:cs="宋体"/>
                <w:sz w:val="21"/>
                <w:szCs w:val="21"/>
                <w:highlight w:val="none"/>
                <w:vertAlign w:val="baseline"/>
                <w:lang w:val="en-US" w:eastAsia="zh-CN"/>
              </w:rPr>
            </w:pPr>
          </w:p>
        </w:tc>
        <w:tc>
          <w:tcPr>
            <w:tcW w:w="1747" w:type="dxa"/>
          </w:tcPr>
          <w:p w14:paraId="0C8209FD">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 xml:space="preserve">联系电话 </w:t>
            </w:r>
          </w:p>
        </w:tc>
        <w:tc>
          <w:tcPr>
            <w:tcW w:w="2358" w:type="dxa"/>
          </w:tcPr>
          <w:p w14:paraId="18BA1930">
            <w:pPr>
              <w:pStyle w:val="28"/>
              <w:shd w:val="clear"/>
              <w:rPr>
                <w:rFonts w:hint="eastAsia" w:ascii="宋体" w:hAnsi="宋体" w:eastAsia="宋体" w:cs="宋体"/>
                <w:sz w:val="21"/>
                <w:szCs w:val="21"/>
                <w:highlight w:val="none"/>
                <w:vertAlign w:val="baseline"/>
                <w:lang w:val="en-US" w:eastAsia="zh-CN"/>
              </w:rPr>
            </w:pPr>
          </w:p>
        </w:tc>
      </w:tr>
      <w:tr w14:paraId="4453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8" w:type="dxa"/>
          </w:tcPr>
          <w:p w14:paraId="23C98C4F">
            <w:pPr>
              <w:pStyle w:val="28"/>
              <w:shd w:val="clear"/>
              <w:ind w:left="0" w:leftChars="0" w:firstLine="0" w:firstLineChars="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法定代表人</w:t>
            </w:r>
          </w:p>
        </w:tc>
        <w:tc>
          <w:tcPr>
            <w:tcW w:w="2355" w:type="dxa"/>
          </w:tcPr>
          <w:p w14:paraId="56970BB5">
            <w:pPr>
              <w:pStyle w:val="28"/>
              <w:shd w:val="clear"/>
              <w:rPr>
                <w:rFonts w:hint="eastAsia" w:ascii="宋体" w:hAnsi="宋体" w:eastAsia="宋体" w:cs="宋体"/>
                <w:sz w:val="21"/>
                <w:szCs w:val="21"/>
                <w:highlight w:val="none"/>
                <w:vertAlign w:val="baseline"/>
                <w:lang w:val="en-US" w:eastAsia="zh-CN"/>
              </w:rPr>
            </w:pPr>
          </w:p>
        </w:tc>
        <w:tc>
          <w:tcPr>
            <w:tcW w:w="1747" w:type="dxa"/>
          </w:tcPr>
          <w:p w14:paraId="1D5018D0">
            <w:pPr>
              <w:keepNext w:val="0"/>
              <w:keepLines w:val="0"/>
              <w:widowControl/>
              <w:suppressLineNumbers w:val="0"/>
              <w:shd w:val="clear"/>
              <w:jc w:val="left"/>
              <w:rPr>
                <w:rFonts w:hint="eastAsia" w:ascii="宋体" w:hAnsi="宋体" w:eastAsia="宋体" w:cs="宋体"/>
                <w:sz w:val="21"/>
                <w:szCs w:val="21"/>
                <w:highlight w:val="none"/>
                <w:vertAlign w:val="baseline"/>
                <w:lang w:val="en-US" w:eastAsia="zh-CN"/>
              </w:rPr>
            </w:pPr>
            <w:r>
              <w:rPr>
                <w:rFonts w:hint="eastAsia" w:ascii="宋体" w:hAnsi="宋体" w:eastAsia="宋体" w:cs="宋体"/>
                <w:color w:val="000000"/>
                <w:kern w:val="0"/>
                <w:sz w:val="21"/>
                <w:szCs w:val="21"/>
                <w:highlight w:val="none"/>
                <w:lang w:val="en-US" w:eastAsia="zh-CN" w:bidi="ar"/>
              </w:rPr>
              <w:t>传真</w:t>
            </w:r>
          </w:p>
        </w:tc>
        <w:tc>
          <w:tcPr>
            <w:tcW w:w="2358" w:type="dxa"/>
          </w:tcPr>
          <w:p w14:paraId="339FE69D">
            <w:pPr>
              <w:pStyle w:val="28"/>
              <w:shd w:val="clear"/>
              <w:rPr>
                <w:rFonts w:hint="eastAsia" w:ascii="宋体" w:hAnsi="宋体" w:eastAsia="宋体" w:cs="宋体"/>
                <w:sz w:val="21"/>
                <w:szCs w:val="21"/>
                <w:highlight w:val="none"/>
                <w:vertAlign w:val="baseline"/>
                <w:lang w:val="en-US" w:eastAsia="zh-CN"/>
              </w:rPr>
            </w:pPr>
          </w:p>
        </w:tc>
      </w:tr>
    </w:tbl>
    <w:p w14:paraId="5AE2806A">
      <w:pPr>
        <w:pStyle w:val="28"/>
        <w:shd w:val="clear"/>
        <w:rPr>
          <w:rFonts w:hint="eastAsia" w:ascii="宋体" w:hAnsi="宋体" w:eastAsia="宋体" w:cs="宋体"/>
          <w:sz w:val="24"/>
          <w:szCs w:val="24"/>
          <w:highlight w:val="none"/>
          <w:lang w:val="en-US" w:eastAsia="zh-CN"/>
        </w:rPr>
      </w:pPr>
    </w:p>
    <w:p w14:paraId="627988B3">
      <w:pPr>
        <w:shd w:val="clear"/>
        <w:rPr>
          <w:rFonts w:hint="eastAsia" w:ascii="宋体" w:hAnsi="宋体" w:eastAsia="宋体" w:cs="宋体"/>
          <w:sz w:val="24"/>
          <w:szCs w:val="24"/>
          <w:highlight w:val="none"/>
          <w:lang w:val="en-US" w:eastAsia="zh-CN"/>
        </w:rPr>
      </w:pPr>
    </w:p>
    <w:p w14:paraId="4EDBC089">
      <w:pPr>
        <w:shd w:val="clear"/>
        <w:spacing w:before="120" w:beforeLines="50" w:after="120" w:afterLines="50"/>
        <w:ind w:right="-21" w:rightChars="-10"/>
        <w:rPr>
          <w:rFonts w:ascii="宋体" w:hAnsi="宋体"/>
          <w:color w:val="auto"/>
          <w:szCs w:val="21"/>
          <w:highlight w:val="none"/>
        </w:rPr>
      </w:pPr>
      <w:r>
        <w:rPr>
          <w:rFonts w:hint="eastAsia" w:ascii="宋体" w:hAnsi="宋体"/>
          <w:color w:val="auto"/>
          <w:szCs w:val="21"/>
          <w:highlight w:val="none"/>
        </w:rPr>
        <w:t>投标人全称（公章）：</w:t>
      </w:r>
    </w:p>
    <w:p w14:paraId="2B4C4C7B">
      <w:pPr>
        <w:shd w:val="clear"/>
        <w:spacing w:before="120" w:beforeLines="50" w:after="120" w:afterLines="50"/>
        <w:ind w:right="-10"/>
        <w:rPr>
          <w:rFonts w:ascii="宋体" w:hAnsi="宋体"/>
          <w:color w:val="auto"/>
          <w:szCs w:val="21"/>
          <w:highlight w:val="none"/>
        </w:rPr>
      </w:pPr>
      <w:r>
        <w:rPr>
          <w:rFonts w:hint="eastAsia" w:asciiTheme="minorEastAsia" w:hAnsiTheme="minorEastAsia" w:eastAsiaTheme="minorEastAsia" w:cstheme="minorEastAsia"/>
          <w:kern w:val="0"/>
          <w:sz w:val="21"/>
          <w:szCs w:val="21"/>
          <w:highlight w:val="none"/>
          <w:lang w:eastAsia="zh-CN"/>
        </w:rPr>
        <w:t>法定代表人或其授权委托代理人</w:t>
      </w:r>
      <w:r>
        <w:rPr>
          <w:rFonts w:hint="eastAsia" w:ascii="宋体" w:hAnsi="宋体"/>
          <w:color w:val="auto"/>
          <w:szCs w:val="21"/>
          <w:highlight w:val="none"/>
        </w:rPr>
        <w:t>（签字或盖章）：</w:t>
      </w:r>
    </w:p>
    <w:p w14:paraId="2C408B99">
      <w:pPr>
        <w:keepNext w:val="0"/>
        <w:keepLines w:val="0"/>
        <w:widowControl/>
        <w:suppressLineNumbers w:val="0"/>
        <w:shd w:val="clear"/>
        <w:ind w:firstLine="2640" w:firstLineChars="11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2D928865">
      <w:pPr>
        <w:keepNext w:val="0"/>
        <w:keepLines w:val="0"/>
        <w:widowControl/>
        <w:suppressLineNumbers w:val="0"/>
        <w:shd w:val="clear"/>
        <w:ind w:firstLine="6000" w:firstLineChars="25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日期：</w:t>
      </w:r>
    </w:p>
    <w:p w14:paraId="4955CB1E">
      <w:pPr>
        <w:pStyle w:val="73"/>
        <w:shd w:val="clear"/>
        <w:rPr>
          <w:rFonts w:hint="eastAsia" w:ascii="宋体" w:hAnsi="宋体" w:eastAsia="宋体" w:cs="宋体"/>
          <w:sz w:val="24"/>
          <w:szCs w:val="24"/>
          <w:highlight w:val="none"/>
        </w:rPr>
      </w:pPr>
    </w:p>
    <w:p w14:paraId="2792615A">
      <w:pPr>
        <w:shd w:val="clear"/>
        <w:rPr>
          <w:rFonts w:hint="eastAsia" w:ascii="宋体" w:hAnsi="宋体" w:eastAsia="宋体" w:cs="宋体"/>
          <w:spacing w:val="-6"/>
          <w:sz w:val="24"/>
          <w:szCs w:val="24"/>
          <w:highlight w:val="none"/>
        </w:rPr>
        <w:sectPr>
          <w:pgSz w:w="11906" w:h="16838"/>
          <w:pgMar w:top="1247" w:right="1417" w:bottom="1474" w:left="1417" w:header="851" w:footer="896" w:gutter="0"/>
          <w:cols w:space="0" w:num="1"/>
          <w:titlePg/>
          <w:rtlGutter w:val="0"/>
          <w:docGrid w:type="lines" w:linePitch="312" w:charSpace="0"/>
        </w:sectPr>
      </w:pPr>
      <w:r>
        <w:rPr>
          <w:rFonts w:hint="eastAsia" w:ascii="宋体" w:hAnsi="宋体" w:eastAsia="宋体" w:cs="宋体"/>
          <w:spacing w:val="-6"/>
          <w:sz w:val="24"/>
          <w:szCs w:val="24"/>
          <w:highlight w:val="none"/>
        </w:rPr>
        <w:br w:type="page"/>
      </w:r>
    </w:p>
    <w:p w14:paraId="21DF32CC">
      <w:pPr>
        <w:keepNext w:val="0"/>
        <w:keepLines w:val="0"/>
        <w:widowControl/>
        <w:suppressLineNumbers w:val="0"/>
        <w:shd w:val="clear"/>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highlight w:val="none"/>
          <w:lang w:val="en-US" w:eastAsia="zh-CN"/>
        </w:rPr>
        <w:t>附件</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w:t>
      </w:r>
    </w:p>
    <w:p w14:paraId="6E70BFAF">
      <w:pPr>
        <w:shd w:val="clea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w:t>
      </w:r>
    </w:p>
    <w:p w14:paraId="57E77D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本公司郑重声明，根据《政府采购促进中小企业发展管理办法》（财库﹝2020﹞46 号）的规定，本公司参加</w:t>
      </w:r>
      <w:r>
        <w:rPr>
          <w:rFonts w:hint="eastAsia" w:asciiTheme="minorEastAsia" w:hAnsiTheme="minorEastAsia" w:eastAsiaTheme="minorEastAsia" w:cstheme="minorEastAsia"/>
          <w:color w:val="auto"/>
          <w:sz w:val="24"/>
          <w:szCs w:val="24"/>
          <w:highlight w:val="none"/>
          <w:u w:val="single"/>
        </w:rPr>
        <w:t>（单位名称）的（项目名称）</w:t>
      </w:r>
      <w:r>
        <w:rPr>
          <w:rFonts w:hint="eastAsia" w:asciiTheme="minorEastAsia" w:hAnsiTheme="minorEastAsia" w:eastAsiaTheme="minorEastAsia" w:cstheme="minorEastAsia"/>
          <w:color w:val="auto"/>
          <w:sz w:val="24"/>
          <w:szCs w:val="24"/>
          <w:highlight w:val="none"/>
        </w:rPr>
        <w:t>采购活动，服务全部由符合政策要求的中小企业承接。相关企业的具体情况如下：</w:t>
      </w:r>
    </w:p>
    <w:p w14:paraId="614504C3">
      <w:pPr>
        <w:keepNext w:val="0"/>
        <w:keepLines w:val="0"/>
        <w:pageBreakBefore w:val="0"/>
        <w:widowControl w:val="0"/>
        <w:numPr>
          <w:ilvl w:val="0"/>
          <w:numId w:val="37"/>
        </w:numPr>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Cs/>
          <w:color w:val="auto"/>
          <w:sz w:val="24"/>
          <w:highlight w:val="none"/>
          <w:u w:val="single"/>
        </w:rPr>
        <w:t>（标的名称）</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eastAsia="zh-CN"/>
        </w:rPr>
        <w:t>租赁和商务服务业</w:t>
      </w:r>
      <w:r>
        <w:rPr>
          <w:rFonts w:hint="eastAsia" w:asciiTheme="minorEastAsia" w:hAnsiTheme="minorEastAsia" w:eastAsiaTheme="minorEastAsia" w:cstheme="minorEastAsia"/>
          <w:color w:val="auto"/>
          <w:sz w:val="24"/>
          <w:szCs w:val="24"/>
          <w:highlight w:val="none"/>
          <w:u w:val="single"/>
        </w:rPr>
        <w:t xml:space="preserve">）；承建（承接）企业为（企业名称），从业人员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人，营业收入为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万元，资产总额为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万元</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属于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（中型企业、小型企业、微型企业）；</w:t>
      </w:r>
    </w:p>
    <w:p w14:paraId="71545FB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3604930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717CFCD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12AD872F">
      <w:pPr>
        <w:pStyle w:val="16"/>
        <w:shd w:val="clear"/>
        <w:rPr>
          <w:rFonts w:hint="eastAsia" w:asciiTheme="minorEastAsia" w:hAnsiTheme="minorEastAsia" w:eastAsiaTheme="minorEastAsia" w:cstheme="minorEastAsia"/>
          <w:color w:val="auto"/>
          <w:sz w:val="21"/>
          <w:szCs w:val="21"/>
          <w:highlight w:val="none"/>
        </w:rPr>
      </w:pPr>
    </w:p>
    <w:p w14:paraId="4A427E22">
      <w:pPr>
        <w:widowControl/>
        <w:shd w:val="clea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14:paraId="010B314D">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公章</w:t>
      </w:r>
      <w:r>
        <w:rPr>
          <w:rFonts w:hint="eastAsia" w:asciiTheme="minorEastAsia" w:hAnsiTheme="minorEastAsia" w:eastAsiaTheme="minorEastAsia" w:cstheme="minorEastAsia"/>
          <w:color w:val="auto"/>
          <w:kern w:val="0"/>
          <w:sz w:val="21"/>
          <w:szCs w:val="21"/>
          <w:highlight w:val="none"/>
        </w:rPr>
        <w:t xml:space="preserve">）： </w:t>
      </w:r>
    </w:p>
    <w:p w14:paraId="0AF1D3B7">
      <w:pPr>
        <w:widowControl/>
        <w:shd w:val="clea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日 期：</w:t>
      </w:r>
    </w:p>
    <w:p w14:paraId="715694C4">
      <w:pPr>
        <w:widowControl/>
        <w:shd w:val="clear"/>
        <w:jc w:val="left"/>
        <w:rPr>
          <w:rFonts w:hint="eastAsia" w:asciiTheme="minorEastAsia" w:hAnsiTheme="minorEastAsia" w:eastAsiaTheme="minorEastAsia" w:cstheme="minorEastAsia"/>
          <w:b/>
          <w:color w:val="auto"/>
          <w:sz w:val="24"/>
          <w:szCs w:val="24"/>
          <w:highlight w:val="none"/>
          <w:lang w:val="en-GB"/>
        </w:rPr>
      </w:pPr>
    </w:p>
    <w:p w14:paraId="186E3E0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C215E77">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3203D5D5">
      <w:pPr>
        <w:pStyle w:val="39"/>
        <w:shd w:val="clear"/>
        <w:snapToGrid w:val="0"/>
        <w:rPr>
          <w:rFonts w:hint="eastAsia" w:asciiTheme="minorEastAsia" w:hAnsiTheme="minorEastAsia" w:eastAsiaTheme="minorEastAsia" w:cstheme="minorEastAsia"/>
          <w:color w:val="auto"/>
          <w:highlight w:val="none"/>
          <w:u w:val="single"/>
        </w:rPr>
      </w:pPr>
      <w:bookmarkStart w:id="18" w:name="_Hlk77602961"/>
      <w:r>
        <w:rPr>
          <w:rFonts w:hint="eastAsia" w:asciiTheme="minorEastAsia" w:hAnsiTheme="minorEastAsia" w:eastAsiaTheme="minorEastAsia" w:cstheme="minorEastAsia"/>
          <w:color w:val="auto"/>
          <w:highlight w:val="none"/>
          <w:u w:val="single"/>
        </w:rPr>
        <w:t>填表说明：</w:t>
      </w:r>
    </w:p>
    <w:p w14:paraId="3CF91E4D">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1</w:t>
      </w:r>
      <w:r>
        <w:rPr>
          <w:rFonts w:hint="eastAsia" w:asciiTheme="minorEastAsia" w:hAnsiTheme="minorEastAsia" w:eastAsiaTheme="minorEastAsia" w:cstheme="minorEastAsia"/>
          <w:color w:val="auto"/>
          <w:highlight w:val="none"/>
          <w:u w:val="single"/>
        </w:rPr>
        <w:t>、从业人员、营业收入、资产总额填报上一年度数据，无上一年度数据的新成立企业可不填报。</w:t>
      </w:r>
    </w:p>
    <w:p w14:paraId="54E014F0">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、为了更加准确判定制造商是否为小微企业，请供应商根据工业和信息化部官方网站---中小企业规模类型自测小程序来辨别制造商企业规模类型，中小企业规模类型自测小程序链接网址为</w:t>
      </w:r>
    </w:p>
    <w:p w14:paraId="04A9C366">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http://202.106.1</w:t>
      </w:r>
      <w:r>
        <w:rPr>
          <w:rFonts w:hint="eastAsia" w:asciiTheme="minorEastAsia" w:hAnsiTheme="minorEastAsia" w:eastAsiaTheme="minorEastAsia" w:cstheme="minorEastAsia"/>
          <w:color w:val="auto"/>
          <w:highlight w:val="none"/>
          <w:u w:val="single"/>
          <w:lang w:val="en-US" w:eastAsia="zh-CN"/>
        </w:rPr>
        <w:t>2</w:t>
      </w:r>
      <w:r>
        <w:rPr>
          <w:rFonts w:hint="eastAsia" w:asciiTheme="minorEastAsia" w:hAnsiTheme="minorEastAsia" w:eastAsiaTheme="minorEastAsia" w:cstheme="minorEastAsia"/>
          <w:color w:val="auto"/>
          <w:highlight w:val="none"/>
          <w:u w:val="single"/>
        </w:rPr>
        <w:t>0.146/baosong/appweb/orgScale.html</w:t>
      </w:r>
    </w:p>
    <w:p w14:paraId="1AF3FDEA">
      <w:pPr>
        <w:pStyle w:val="39"/>
        <w:shd w:val="clear"/>
        <w:snapToGrid w:val="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lang w:val="en-US" w:eastAsia="zh-CN"/>
        </w:rPr>
        <w:t>3</w:t>
      </w:r>
      <w:r>
        <w:rPr>
          <w:rFonts w:hint="eastAsia" w:asciiTheme="minorEastAsia" w:hAnsiTheme="minorEastAsia" w:eastAsiaTheme="minorEastAsia" w:cstheme="minorEastAsia"/>
          <w:color w:val="auto"/>
          <w:highlight w:val="none"/>
          <w:u w:val="single"/>
        </w:rPr>
        <w:t>、如国家对中小企业划型标准有新的规定的，从其规定。</w:t>
      </w:r>
    </w:p>
    <w:bookmarkEnd w:id="18"/>
    <w:p w14:paraId="7F4EE705">
      <w:pPr>
        <w:shd w:val="clear"/>
        <w:rPr>
          <w:rFonts w:hint="eastAsia" w:asciiTheme="minorEastAsia" w:hAnsiTheme="minorEastAsia" w:eastAsiaTheme="minorEastAsia" w:cstheme="minorEastAsia"/>
          <w:color w:val="auto"/>
          <w:highlight w:val="none"/>
          <w:lang w:eastAsia="zh-CN"/>
        </w:rPr>
        <w:sectPr>
          <w:footerReference r:id="rId14" w:type="first"/>
          <w:headerReference r:id="rId12" w:type="default"/>
          <w:footerReference r:id="rId13" w:type="default"/>
          <w:pgSz w:w="11906" w:h="16838"/>
          <w:pgMar w:top="1247" w:right="1417" w:bottom="1474" w:left="1417" w:header="851" w:footer="896" w:gutter="0"/>
          <w:pgNumType w:fmt="decimal"/>
          <w:cols w:space="0" w:num="1"/>
          <w:titlePg/>
          <w:rtlGutter w:val="0"/>
          <w:docGrid w:type="lines" w:linePitch="312" w:charSpace="0"/>
        </w:sectPr>
      </w:pPr>
    </w:p>
    <w:p w14:paraId="7EC43CB4">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p>
    <w:p w14:paraId="70243A69">
      <w:pPr>
        <w:pStyle w:val="39"/>
        <w:shd w:val="clear"/>
        <w:spacing w:line="360" w:lineRule="auto"/>
        <w:jc w:val="center"/>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4"/>
          <w:szCs w:val="24"/>
          <w:highlight w:val="none"/>
          <w:lang w:val="en-GB"/>
        </w:rPr>
        <w:t>残疾人福利性单位声明函</w:t>
      </w:r>
    </w:p>
    <w:p w14:paraId="47F1861B">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535B16">
      <w:pPr>
        <w:shd w:val="clea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本单位对上述声明的真实性负责。如有虚假，将依法承担相应责任。</w:t>
      </w:r>
    </w:p>
    <w:p w14:paraId="38C8F43D">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p>
    <w:p w14:paraId="10DCED99">
      <w:pPr>
        <w:shd w:val="clear"/>
        <w:tabs>
          <w:tab w:val="left" w:pos="4860"/>
        </w:tabs>
        <w:spacing w:line="588" w:lineRule="exact"/>
        <w:ind w:right="1560" w:firstLine="444"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03577D6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6E1CED57">
      <w:pPr>
        <w:pStyle w:val="2"/>
        <w:numPr>
          <w:ilvl w:val="0"/>
          <w:numId w:val="0"/>
        </w:numPr>
        <w:shd w:val="clear"/>
        <w:ind w:leftChars="0"/>
        <w:rPr>
          <w:rFonts w:hint="eastAsia" w:asciiTheme="minorEastAsia" w:hAnsiTheme="minorEastAsia" w:eastAsiaTheme="minorEastAsia" w:cstheme="minorEastAsia"/>
          <w:color w:val="auto"/>
          <w:spacing w:val="6"/>
          <w:sz w:val="21"/>
          <w:szCs w:val="21"/>
          <w:highlight w:val="none"/>
        </w:rPr>
      </w:pPr>
    </w:p>
    <w:p w14:paraId="60C35006">
      <w:pPr>
        <w:shd w:val="clear"/>
        <w:rPr>
          <w:rFonts w:hint="eastAsia" w:asciiTheme="minorEastAsia" w:hAnsiTheme="minorEastAsia" w:eastAsiaTheme="minorEastAsia" w:cstheme="minorEastAsia"/>
          <w:color w:val="auto"/>
          <w:spacing w:val="6"/>
          <w:sz w:val="21"/>
          <w:szCs w:val="21"/>
          <w:highlight w:val="none"/>
        </w:rPr>
      </w:pPr>
    </w:p>
    <w:p w14:paraId="6385E066">
      <w:pPr>
        <w:widowControl/>
        <w:numPr>
          <w:ilvl w:val="0"/>
          <w:numId w:val="0"/>
        </w:numPr>
        <w:shd w:val="clea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监狱企业的证明文件（如有）</w:t>
      </w:r>
    </w:p>
    <w:p w14:paraId="4E4CD0B3">
      <w:pPr>
        <w:pStyle w:val="26"/>
        <w:numPr>
          <w:ilvl w:val="0"/>
          <w:numId w:val="0"/>
        </w:numPr>
        <w:shd w:val="clear"/>
        <w:rPr>
          <w:rFonts w:hint="eastAsia" w:asciiTheme="minorEastAsia" w:hAnsiTheme="minorEastAsia" w:eastAsiaTheme="minorEastAsia" w:cstheme="minorEastAsia"/>
          <w:color w:val="auto"/>
          <w:highlight w:val="none"/>
        </w:rPr>
      </w:pPr>
    </w:p>
    <w:p w14:paraId="53EB51DC">
      <w:pPr>
        <w:pStyle w:val="16"/>
        <w:shd w:val="clear"/>
        <w:spacing w:line="360" w:lineRule="auto"/>
        <w:ind w:firstLine="4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依据《财政部 司法部关于政府采购支持监狱企业发展有关问题的通知》（财库[2014]68号）文件，提供由省级以上监狱管理局、戒毒管理局（含新疆生产建设兵团）出具的属于监狱企业证明文件。</w:t>
      </w:r>
    </w:p>
    <w:p w14:paraId="31FBFF0D">
      <w:pPr>
        <w:shd w:val="clear"/>
        <w:rPr>
          <w:rFonts w:hint="eastAsia" w:asciiTheme="minorEastAsia" w:hAnsiTheme="minorEastAsia" w:eastAsiaTheme="minorEastAsia" w:cstheme="minorEastAsia"/>
          <w:color w:val="auto"/>
          <w:highlight w:val="none"/>
        </w:rPr>
      </w:pPr>
    </w:p>
    <w:p w14:paraId="025B428D">
      <w:pPr>
        <w:shd w:val="clear"/>
        <w:tabs>
          <w:tab w:val="left" w:pos="4860"/>
        </w:tabs>
        <w:spacing w:line="588" w:lineRule="exact"/>
        <w:ind w:right="1560" w:firstLine="420" w:firstLineChars="200"/>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z w:val="21"/>
          <w:szCs w:val="21"/>
          <w:highlight w:val="none"/>
        </w:rPr>
        <w:t>投标人全称</w:t>
      </w:r>
      <w:r>
        <w:rPr>
          <w:rFonts w:hint="eastAsia" w:asciiTheme="minorEastAsia" w:hAnsiTheme="minorEastAsia" w:eastAsiaTheme="minorEastAsia" w:cstheme="minorEastAsia"/>
          <w:color w:val="auto"/>
          <w:spacing w:val="6"/>
          <w:sz w:val="21"/>
          <w:szCs w:val="21"/>
          <w:highlight w:val="none"/>
        </w:rPr>
        <w:t>（公章）：</w:t>
      </w:r>
    </w:p>
    <w:p w14:paraId="18188377">
      <w:pPr>
        <w:shd w:val="clear"/>
        <w:tabs>
          <w:tab w:val="left" w:pos="4860"/>
        </w:tabs>
        <w:spacing w:line="588" w:lineRule="exact"/>
        <w:ind w:right="1560" w:firstLine="444"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sz w:val="21"/>
          <w:szCs w:val="21"/>
          <w:highlight w:val="none"/>
        </w:rPr>
        <w:t xml:space="preserve">       </w:t>
      </w:r>
      <w:r>
        <w:rPr>
          <w:rFonts w:hint="eastAsia" w:asciiTheme="minorEastAsia" w:hAnsiTheme="minorEastAsia" w:eastAsiaTheme="minorEastAsia" w:cstheme="minorEastAsia"/>
          <w:color w:val="auto"/>
          <w:spacing w:val="6"/>
          <w:sz w:val="21"/>
          <w:szCs w:val="21"/>
          <w:highlight w:val="none"/>
          <w:lang w:val="en-US" w:eastAsia="zh-CN"/>
        </w:rPr>
        <w:t xml:space="preserve">                                              </w:t>
      </w:r>
      <w:r>
        <w:rPr>
          <w:rFonts w:hint="eastAsia" w:asciiTheme="minorEastAsia" w:hAnsiTheme="minorEastAsia" w:eastAsiaTheme="minorEastAsia" w:cstheme="minorEastAsia"/>
          <w:color w:val="auto"/>
          <w:spacing w:val="6"/>
          <w:sz w:val="21"/>
          <w:szCs w:val="21"/>
          <w:highlight w:val="none"/>
        </w:rPr>
        <w:t>日  期：</w:t>
      </w:r>
    </w:p>
    <w:p w14:paraId="337172C7">
      <w:pPr>
        <w:shd w:val="clear"/>
        <w:rPr>
          <w:rFonts w:hint="eastAsia"/>
          <w:highlight w:val="none"/>
        </w:rPr>
      </w:pPr>
      <w:r>
        <w:rPr>
          <w:rFonts w:hint="eastAsia"/>
          <w:highlight w:val="none"/>
        </w:rPr>
        <w:br w:type="page"/>
      </w:r>
    </w:p>
    <w:p w14:paraId="0AEA13DF">
      <w:pPr>
        <w:shd w:val="clea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w:t>
      </w:r>
    </w:p>
    <w:p w14:paraId="3E8E0CF6">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标段一</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0FE900B4">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49"/>
        <w:gridCol w:w="1569"/>
        <w:gridCol w:w="2140"/>
        <w:gridCol w:w="1602"/>
        <w:gridCol w:w="2089"/>
      </w:tblGrid>
      <w:tr w14:paraId="0C07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35" w:type="pct"/>
            <w:noWrap w:val="0"/>
            <w:vAlign w:val="center"/>
          </w:tcPr>
          <w:p w14:paraId="703ADA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243" w:type="pct"/>
            <w:gridSpan w:val="2"/>
            <w:noWrap w:val="0"/>
            <w:vAlign w:val="center"/>
          </w:tcPr>
          <w:p w14:paraId="2B4FF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256" w:type="pct"/>
            <w:noWrap w:val="0"/>
            <w:vAlign w:val="center"/>
          </w:tcPr>
          <w:p w14:paraId="1457AA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940" w:type="pct"/>
            <w:noWrap w:val="0"/>
            <w:vAlign w:val="center"/>
          </w:tcPr>
          <w:p w14:paraId="592019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投标报价 </w:t>
            </w:r>
          </w:p>
        </w:tc>
        <w:tc>
          <w:tcPr>
            <w:tcW w:w="1223" w:type="pct"/>
            <w:noWrap w:val="0"/>
            <w:vAlign w:val="center"/>
          </w:tcPr>
          <w:p w14:paraId="2A0DF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DC4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35" w:type="pct"/>
            <w:vMerge w:val="restart"/>
            <w:noWrap w:val="0"/>
            <w:vAlign w:val="center"/>
          </w:tcPr>
          <w:p w14:paraId="75A6B6E6">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322" w:type="pct"/>
            <w:vMerge w:val="restart"/>
            <w:noWrap w:val="0"/>
            <w:vAlign w:val="center"/>
          </w:tcPr>
          <w:p w14:paraId="2CECDB6A">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省内</w:t>
            </w:r>
          </w:p>
        </w:tc>
        <w:tc>
          <w:tcPr>
            <w:tcW w:w="921" w:type="pct"/>
            <w:vMerge w:val="restart"/>
            <w:noWrap w:val="0"/>
            <w:vAlign w:val="center"/>
          </w:tcPr>
          <w:p w14:paraId="11AFE1BF">
            <w:pPr>
              <w:spacing w:line="240"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杭州，舟山，衢州，湖州</w:t>
            </w:r>
          </w:p>
          <w:p w14:paraId="37DE0CED">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（具体线路按投标方案）</w:t>
            </w:r>
          </w:p>
        </w:tc>
        <w:tc>
          <w:tcPr>
            <w:tcW w:w="1256" w:type="pct"/>
            <w:noWrap w:val="0"/>
            <w:vAlign w:val="center"/>
          </w:tcPr>
          <w:p w14:paraId="28A6DA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199</w:t>
            </w:r>
          </w:p>
          <w:p w14:paraId="05BCB6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456E58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3CBABB0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59700元</w:t>
            </w:r>
          </w:p>
        </w:tc>
      </w:tr>
      <w:tr w14:paraId="2F18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35" w:type="pct"/>
            <w:vMerge w:val="continue"/>
            <w:noWrap w:val="0"/>
            <w:vAlign w:val="center"/>
          </w:tcPr>
          <w:p w14:paraId="1A117AE8">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5699CB">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323DD7C9">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36BBF6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131</w:t>
            </w:r>
          </w:p>
          <w:p w14:paraId="25C988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（总院）</w:t>
            </w:r>
          </w:p>
        </w:tc>
        <w:tc>
          <w:tcPr>
            <w:tcW w:w="940" w:type="pct"/>
            <w:noWrap w:val="0"/>
            <w:vAlign w:val="center"/>
          </w:tcPr>
          <w:p w14:paraId="1497F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1800元/人</w:t>
            </w:r>
          </w:p>
        </w:tc>
        <w:tc>
          <w:tcPr>
            <w:tcW w:w="1223" w:type="pct"/>
            <w:noWrap w:val="0"/>
            <w:vAlign w:val="center"/>
          </w:tcPr>
          <w:p w14:paraId="26C8886F">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235800元</w:t>
            </w:r>
          </w:p>
        </w:tc>
      </w:tr>
      <w:tr w14:paraId="2FAB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335" w:type="pct"/>
            <w:vMerge w:val="continue"/>
            <w:noWrap w:val="0"/>
            <w:vAlign w:val="center"/>
          </w:tcPr>
          <w:p w14:paraId="1B0BE3A1">
            <w:pPr>
              <w:jc w:val="center"/>
              <w:rPr>
                <w:rFonts w:hint="eastAsia" w:asciiTheme="minorEastAsia" w:hAnsiTheme="minorEastAsia" w:eastAsiaTheme="minorEastAsia" w:cstheme="minorEastAsia"/>
                <w:sz w:val="24"/>
                <w:szCs w:val="24"/>
                <w:highlight w:val="none"/>
                <w:lang w:val="en-US" w:eastAsia="zh-CN"/>
              </w:rPr>
            </w:pPr>
          </w:p>
        </w:tc>
        <w:tc>
          <w:tcPr>
            <w:tcW w:w="322" w:type="pct"/>
            <w:vMerge w:val="continue"/>
            <w:noWrap w:val="0"/>
            <w:vAlign w:val="center"/>
          </w:tcPr>
          <w:p w14:paraId="59AD6FEA">
            <w:pPr>
              <w:jc w:val="center"/>
              <w:rPr>
                <w:rFonts w:hint="eastAsia" w:asciiTheme="minorEastAsia" w:hAnsiTheme="minorEastAsia" w:eastAsiaTheme="minorEastAsia" w:cstheme="minorEastAsia"/>
                <w:sz w:val="24"/>
                <w:szCs w:val="24"/>
                <w:highlight w:val="none"/>
                <w:lang w:val="en-US" w:eastAsia="zh-CN"/>
              </w:rPr>
            </w:pPr>
          </w:p>
        </w:tc>
        <w:tc>
          <w:tcPr>
            <w:tcW w:w="921" w:type="pct"/>
            <w:vMerge w:val="continue"/>
            <w:noWrap w:val="0"/>
            <w:vAlign w:val="center"/>
          </w:tcPr>
          <w:p w14:paraId="0EE8472D">
            <w:pPr>
              <w:jc w:val="center"/>
              <w:rPr>
                <w:rFonts w:hint="eastAsia" w:asciiTheme="minorEastAsia" w:hAnsiTheme="minorEastAsia" w:eastAsiaTheme="minorEastAsia" w:cstheme="minorEastAsia"/>
                <w:sz w:val="24"/>
                <w:szCs w:val="24"/>
                <w:highlight w:val="none"/>
                <w:lang w:val="en-US" w:eastAsia="zh-CN"/>
              </w:rPr>
            </w:pPr>
          </w:p>
        </w:tc>
        <w:tc>
          <w:tcPr>
            <w:tcW w:w="1256" w:type="pct"/>
            <w:noWrap w:val="0"/>
            <w:vAlign w:val="center"/>
          </w:tcPr>
          <w:p w14:paraId="2A19A7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83</w:t>
            </w:r>
          </w:p>
          <w:p w14:paraId="15AAA5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（金清分院）</w:t>
            </w:r>
          </w:p>
        </w:tc>
        <w:tc>
          <w:tcPr>
            <w:tcW w:w="940" w:type="pct"/>
            <w:noWrap w:val="0"/>
            <w:vAlign w:val="center"/>
          </w:tcPr>
          <w:p w14:paraId="7D0F8F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vertAlign w:val="baseline"/>
                <w:lang w:val="en-US" w:eastAsia="zh-CN" w:bidi="ar-SA"/>
              </w:rPr>
              <w:t>3000元/人</w:t>
            </w:r>
          </w:p>
        </w:tc>
        <w:tc>
          <w:tcPr>
            <w:tcW w:w="1223" w:type="pct"/>
            <w:noWrap w:val="0"/>
            <w:vAlign w:val="center"/>
          </w:tcPr>
          <w:p w14:paraId="12F422C1">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249000元</w:t>
            </w:r>
          </w:p>
        </w:tc>
      </w:tr>
      <w:tr w14:paraId="7F9A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00" w:type="pct"/>
            <w:gridSpan w:val="6"/>
            <w:noWrap w:val="0"/>
            <w:vAlign w:val="center"/>
          </w:tcPr>
          <w:p w14:paraId="38AB9547">
            <w:pPr>
              <w:spacing w:line="360" w:lineRule="auto"/>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合计人民币：大写：人民币壹佰零捌万壹仟捌佰元整</w:t>
            </w:r>
          </w:p>
          <w:p w14:paraId="47F1863C">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小写：1081800元</w:t>
            </w:r>
          </w:p>
        </w:tc>
      </w:tr>
    </w:tbl>
    <w:p w14:paraId="096D7FA6">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77C0A97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13D1F91F">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2.计算结果以元为单位，小数点后一位四舍五入。</w:t>
      </w:r>
    </w:p>
    <w:p w14:paraId="66AD374D">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rPr>
        <w:t>.</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4359941D">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7F7E9BA4">
      <w:pPr>
        <w:spacing w:line="360" w:lineRule="auto"/>
        <w:ind w:left="420"/>
        <w:rPr>
          <w:rFonts w:hint="eastAsia" w:ascii="宋体" w:hAnsi="宋体" w:eastAsia="宋体" w:cs="宋体"/>
          <w:color w:val="auto"/>
          <w:sz w:val="22"/>
          <w:szCs w:val="22"/>
          <w:highlight w:val="none"/>
        </w:rPr>
      </w:pPr>
    </w:p>
    <w:p w14:paraId="7B869DB4">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3C33E0E5">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3A92DE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09EFE08C">
      <w:pPr>
        <w:rPr>
          <w:highlight w:val="none"/>
        </w:rPr>
        <w:sectPr>
          <w:pgSz w:w="11906" w:h="16838"/>
          <w:pgMar w:top="1440" w:right="1800" w:bottom="1440" w:left="1800" w:header="851" w:footer="992" w:gutter="0"/>
          <w:cols w:space="425" w:num="1"/>
          <w:docGrid w:type="lines" w:linePitch="312" w:charSpace="0"/>
        </w:sectPr>
      </w:pPr>
    </w:p>
    <w:p w14:paraId="54135C2C">
      <w:pPr>
        <w:spacing w:line="360" w:lineRule="auto"/>
        <w:ind w:left="-2" w:hanging="2"/>
        <w:jc w:val="center"/>
        <w:rPr>
          <w:rFonts w:hint="eastAsia" w:ascii="宋体" w:cs="宋体"/>
          <w:b/>
          <w:color w:val="auto"/>
          <w:sz w:val="32"/>
          <w:szCs w:val="32"/>
          <w:highlight w:val="none"/>
        </w:rPr>
      </w:pPr>
      <w:r>
        <w:rPr>
          <w:rFonts w:hint="eastAsia" w:ascii="宋体" w:cs="宋体"/>
          <w:b/>
          <w:color w:val="auto"/>
          <w:sz w:val="32"/>
          <w:szCs w:val="32"/>
          <w:highlight w:val="none"/>
          <w:lang w:val="en-US" w:eastAsia="zh-CN"/>
        </w:rPr>
        <w:t>台州市路桥区第二人民医疗服务共同体工会委员会疗休养服务(含金清分院)</w:t>
      </w:r>
      <w:r>
        <w:rPr>
          <w:rFonts w:hint="eastAsia" w:ascii="宋体" w:cs="宋体"/>
          <w:b/>
          <w:color w:val="auto"/>
          <w:sz w:val="32"/>
          <w:szCs w:val="32"/>
          <w:highlight w:val="none"/>
          <w:lang w:eastAsia="zh-CN"/>
        </w:rPr>
        <w:t>投标报价一览表（</w:t>
      </w:r>
      <w:r>
        <w:rPr>
          <w:rFonts w:hint="eastAsia" w:ascii="宋体" w:cs="宋体"/>
          <w:b/>
          <w:color w:val="auto"/>
          <w:sz w:val="32"/>
          <w:szCs w:val="32"/>
          <w:highlight w:val="none"/>
          <w:lang w:val="en-US" w:eastAsia="zh-CN"/>
        </w:rPr>
        <w:t>标段二</w:t>
      </w:r>
      <w:r>
        <w:rPr>
          <w:rFonts w:hint="eastAsia" w:ascii="宋体" w:cs="宋体"/>
          <w:b/>
          <w:color w:val="auto"/>
          <w:sz w:val="32"/>
          <w:szCs w:val="32"/>
          <w:highlight w:val="none"/>
          <w:lang w:eastAsia="zh-CN"/>
        </w:rPr>
        <w:t>）</w:t>
      </w:r>
      <w:r>
        <w:rPr>
          <w:rFonts w:hint="eastAsia" w:ascii="宋体" w:cs="宋体"/>
          <w:b/>
          <w:color w:val="auto"/>
          <w:sz w:val="32"/>
          <w:szCs w:val="32"/>
          <w:highlight w:val="none"/>
        </w:rPr>
        <w:t xml:space="preserve"> </w:t>
      </w:r>
    </w:p>
    <w:p w14:paraId="33BBCB51">
      <w:pPr>
        <w:pStyle w:val="710"/>
        <w:spacing w:line="360" w:lineRule="auto"/>
        <w:ind w:right="480"/>
        <w:jc w:val="right"/>
        <w:rPr>
          <w:rFonts w:hint="eastAsia" w:ascii="宋体" w:cs="宋体"/>
          <w:color w:val="auto"/>
          <w:sz w:val="22"/>
          <w:szCs w:val="22"/>
          <w:highlight w:val="none"/>
        </w:rPr>
      </w:pPr>
      <w:r>
        <w:rPr>
          <w:rFonts w:hint="eastAsia" w:ascii="宋体" w:cs="宋体"/>
          <w:color w:val="auto"/>
          <w:sz w:val="22"/>
          <w:szCs w:val="22"/>
          <w:highlight w:val="none"/>
        </w:rPr>
        <w:t>[货币单位：人民币元]</w:t>
      </w:r>
    </w:p>
    <w:tbl>
      <w:tblPr>
        <w:tblStyle w:val="7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23"/>
        <w:gridCol w:w="1926"/>
        <w:gridCol w:w="2101"/>
        <w:gridCol w:w="2132"/>
        <w:gridCol w:w="2116"/>
      </w:tblGrid>
      <w:tr w14:paraId="7403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46" w:type="pct"/>
            <w:noWrap w:val="0"/>
            <w:vAlign w:val="center"/>
          </w:tcPr>
          <w:p w14:paraId="655F14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1324" w:type="pct"/>
            <w:gridSpan w:val="2"/>
            <w:noWrap w:val="0"/>
            <w:vAlign w:val="center"/>
          </w:tcPr>
          <w:p w14:paraId="12202F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路线</w:t>
            </w:r>
          </w:p>
        </w:tc>
        <w:tc>
          <w:tcPr>
            <w:tcW w:w="1135" w:type="pct"/>
            <w:noWrap w:val="0"/>
            <w:vAlign w:val="center"/>
          </w:tcPr>
          <w:p w14:paraId="72151F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eastAsia="zh-CN"/>
              </w:rPr>
            </w:pPr>
            <w:r>
              <w:rPr>
                <w:rFonts w:hint="eastAsia" w:asciiTheme="minorEastAsia" w:hAnsiTheme="minorEastAsia" w:eastAsiaTheme="minorEastAsia" w:cstheme="minorEastAsia"/>
                <w:b/>
                <w:bCs/>
                <w:color w:val="auto"/>
                <w:sz w:val="24"/>
                <w:szCs w:val="24"/>
                <w:highlight w:val="none"/>
                <w:vertAlign w:val="baseline"/>
                <w:lang w:eastAsia="zh-CN"/>
              </w:rPr>
              <w:t>人数（暂估）</w:t>
            </w:r>
          </w:p>
        </w:tc>
        <w:tc>
          <w:tcPr>
            <w:tcW w:w="1152" w:type="pct"/>
            <w:noWrap w:val="0"/>
            <w:vAlign w:val="center"/>
          </w:tcPr>
          <w:p w14:paraId="1BAEA5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单价金额 </w:t>
            </w:r>
          </w:p>
        </w:tc>
        <w:tc>
          <w:tcPr>
            <w:tcW w:w="1141" w:type="pct"/>
            <w:noWrap w:val="0"/>
            <w:vAlign w:val="center"/>
          </w:tcPr>
          <w:p w14:paraId="3BCFD9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 xml:space="preserve">小计 </w:t>
            </w:r>
          </w:p>
        </w:tc>
      </w:tr>
      <w:tr w14:paraId="7A28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6" w:type="pct"/>
            <w:vMerge w:val="restart"/>
            <w:noWrap w:val="0"/>
            <w:vAlign w:val="center"/>
          </w:tcPr>
          <w:p w14:paraId="0EA6B3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283" w:type="pct"/>
            <w:vMerge w:val="restart"/>
            <w:noWrap w:val="0"/>
            <w:vAlign w:val="center"/>
          </w:tcPr>
          <w:p w14:paraId="697985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省外</w:t>
            </w:r>
          </w:p>
        </w:tc>
        <w:tc>
          <w:tcPr>
            <w:tcW w:w="1040" w:type="pct"/>
            <w:vMerge w:val="restart"/>
            <w:noWrap w:val="0"/>
            <w:vAlign w:val="center"/>
          </w:tcPr>
          <w:p w14:paraId="506965BC">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重庆，吉林，江苏，上海</w:t>
            </w:r>
          </w:p>
          <w:p w14:paraId="0C64DB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（具体线路按投标方案）</w:t>
            </w:r>
          </w:p>
        </w:tc>
        <w:tc>
          <w:tcPr>
            <w:tcW w:w="1135" w:type="pct"/>
            <w:noWrap w:val="0"/>
            <w:vAlign w:val="center"/>
          </w:tcPr>
          <w:p w14:paraId="61A946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122</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restart"/>
            <w:noWrap w:val="0"/>
            <w:vAlign w:val="center"/>
          </w:tcPr>
          <w:p w14:paraId="343D88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3000 元/人</w:t>
            </w:r>
          </w:p>
        </w:tc>
        <w:tc>
          <w:tcPr>
            <w:tcW w:w="1141" w:type="pct"/>
            <w:noWrap w:val="0"/>
            <w:vAlign w:val="center"/>
          </w:tcPr>
          <w:p w14:paraId="43518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366000元</w:t>
            </w:r>
          </w:p>
        </w:tc>
      </w:tr>
      <w:tr w14:paraId="2350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46" w:type="pct"/>
            <w:vMerge w:val="continue"/>
            <w:noWrap w:val="0"/>
            <w:vAlign w:val="center"/>
          </w:tcPr>
          <w:p w14:paraId="1D3D05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283" w:type="pct"/>
            <w:vMerge w:val="continue"/>
            <w:noWrap w:val="0"/>
            <w:vAlign w:val="center"/>
          </w:tcPr>
          <w:p w14:paraId="571135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040" w:type="pct"/>
            <w:vMerge w:val="continue"/>
            <w:noWrap w:val="0"/>
            <w:vAlign w:val="center"/>
          </w:tcPr>
          <w:p w14:paraId="1EED0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35" w:type="pct"/>
            <w:noWrap w:val="0"/>
            <w:vAlign w:val="center"/>
          </w:tcPr>
          <w:p w14:paraId="0FFAF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21</w:t>
            </w:r>
            <w:r>
              <w:rPr>
                <w:rFonts w:hint="eastAsia" w:asciiTheme="minorEastAsia" w:hAnsiTheme="minorEastAsia" w:eastAsiaTheme="minorEastAsia" w:cstheme="minorEastAsia"/>
                <w:color w:val="auto"/>
                <w:sz w:val="24"/>
                <w:szCs w:val="24"/>
                <w:highlight w:val="none"/>
                <w:vertAlign w:val="baseline"/>
                <w:lang w:val="en-US" w:eastAsia="zh-CN"/>
              </w:rPr>
              <w:t>人</w:t>
            </w:r>
          </w:p>
        </w:tc>
        <w:tc>
          <w:tcPr>
            <w:tcW w:w="1152" w:type="pct"/>
            <w:vMerge w:val="continue"/>
            <w:noWrap w:val="0"/>
            <w:vAlign w:val="center"/>
          </w:tcPr>
          <w:p w14:paraId="41EB1E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p>
        </w:tc>
        <w:tc>
          <w:tcPr>
            <w:tcW w:w="1141" w:type="pct"/>
            <w:noWrap w:val="0"/>
            <w:vAlign w:val="center"/>
          </w:tcPr>
          <w:p w14:paraId="415E1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63000元</w:t>
            </w:r>
          </w:p>
        </w:tc>
      </w:tr>
      <w:tr w14:paraId="3D33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5000" w:type="pct"/>
            <w:gridSpan w:val="6"/>
            <w:noWrap w:val="0"/>
            <w:vAlign w:val="center"/>
          </w:tcPr>
          <w:p w14:paraId="00B4A1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合计人民币：大写</w:t>
            </w:r>
            <w:r>
              <w:rPr>
                <w:rFonts w:hint="eastAsia" w:asciiTheme="minorEastAsia" w:hAnsiTheme="minorEastAsia" w:eastAsiaTheme="minorEastAsia" w:cstheme="minorEastAsia"/>
                <w:b/>
                <w:color w:val="auto"/>
                <w:sz w:val="24"/>
                <w:szCs w:val="24"/>
                <w:highlight w:val="none"/>
                <w:lang w:eastAsia="zh-CN"/>
              </w:rPr>
              <w:t>：人民币肆拾贰万玖仟元整</w:t>
            </w:r>
          </w:p>
          <w:p w14:paraId="441C28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b/>
                <w:color w:val="auto"/>
                <w:sz w:val="24"/>
                <w:szCs w:val="24"/>
                <w:highlight w:val="none"/>
              </w:rPr>
              <w:t>小写</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429000元</w:t>
            </w:r>
          </w:p>
        </w:tc>
      </w:tr>
    </w:tbl>
    <w:p w14:paraId="2215CF64">
      <w:pPr>
        <w:spacing w:line="360" w:lineRule="auto"/>
        <w:rPr>
          <w:rFonts w:hint="eastAsia" w:ascii="宋体" w:cs="宋体"/>
          <w:color w:val="auto"/>
          <w:sz w:val="24"/>
          <w:highlight w:val="none"/>
        </w:rPr>
      </w:pPr>
      <w:r>
        <w:rPr>
          <w:rFonts w:hint="eastAsia" w:ascii="宋体" w:cs="宋体"/>
          <w:b/>
          <w:color w:val="auto"/>
          <w:szCs w:val="21"/>
          <w:highlight w:val="none"/>
        </w:rPr>
        <w:t>填报要求：</w:t>
      </w:r>
    </w:p>
    <w:p w14:paraId="4588F117">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1.投标报价是包括完成服务期限内疗休养的交通费、住宿费、餐费，各旅游景点的所有门票、导游、司机的费用、服务费、责任险和意外险费、管理费、招标代理服务费、税金、规费以及履行合同所需的所有风险、责任等其他一切隐含及不可预见的费用。</w:t>
      </w:r>
    </w:p>
    <w:p w14:paraId="5F81CF25">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rPr>
        <w:t>2.</w:t>
      </w:r>
      <w:r>
        <w:rPr>
          <w:rFonts w:hint="eastAsia" w:ascii="宋体" w:hAnsi="Times New Roman" w:eastAsia="宋体" w:cs="宋体"/>
          <w:color w:val="auto"/>
          <w:kern w:val="0"/>
          <w:sz w:val="21"/>
          <w:szCs w:val="21"/>
          <w:highlight w:val="none"/>
          <w:lang w:val="en-US" w:eastAsia="zh-CN"/>
        </w:rPr>
        <w:t>计算结果以元为单位，小数点后一位四舍五入。</w:t>
      </w:r>
    </w:p>
    <w:p w14:paraId="44DF764F">
      <w:pPr>
        <w:pStyle w:val="16"/>
        <w:spacing w:line="360" w:lineRule="auto"/>
        <w:ind w:firstLineChars="200"/>
        <w:rPr>
          <w:rFonts w:hint="eastAsia" w:ascii="宋体" w:hAnsi="Times New Roman" w:eastAsia="宋体" w:cs="宋体"/>
          <w:color w:val="auto"/>
          <w:kern w:val="0"/>
          <w:sz w:val="21"/>
          <w:szCs w:val="21"/>
          <w:highlight w:val="none"/>
        </w:rPr>
      </w:pPr>
      <w:r>
        <w:rPr>
          <w:rFonts w:hint="eastAsia" w:ascii="宋体" w:hAnsi="Times New Roman" w:eastAsia="宋体" w:cs="宋体"/>
          <w:color w:val="auto"/>
          <w:kern w:val="0"/>
          <w:sz w:val="21"/>
          <w:szCs w:val="21"/>
          <w:highlight w:val="none"/>
          <w:lang w:val="en-US" w:eastAsia="zh-CN"/>
        </w:rPr>
        <w:t>3.</w:t>
      </w:r>
      <w:r>
        <w:rPr>
          <w:rFonts w:hint="eastAsia" w:ascii="宋体" w:hAnsi="Times New Roman" w:eastAsia="宋体" w:cs="宋体"/>
          <w:color w:val="auto"/>
          <w:kern w:val="0"/>
          <w:sz w:val="21"/>
          <w:szCs w:val="21"/>
          <w:highlight w:val="none"/>
          <w:lang w:eastAsia="zh-CN"/>
        </w:rPr>
        <w:t>以上人数暂定，具体按实结算</w:t>
      </w:r>
      <w:r>
        <w:rPr>
          <w:rFonts w:hint="eastAsia" w:ascii="宋体" w:hAnsi="Times New Roman" w:eastAsia="宋体" w:cs="宋体"/>
          <w:color w:val="auto"/>
          <w:kern w:val="0"/>
          <w:sz w:val="21"/>
          <w:szCs w:val="21"/>
          <w:highlight w:val="none"/>
        </w:rPr>
        <w:t>。</w:t>
      </w:r>
    </w:p>
    <w:p w14:paraId="3E950AD2">
      <w:pPr>
        <w:pStyle w:val="16"/>
        <w:spacing w:line="360" w:lineRule="auto"/>
        <w:ind w:firstLineChars="200"/>
        <w:rPr>
          <w:rFonts w:hint="default" w:ascii="宋体" w:hAnsi="Times New Roman" w:eastAsia="宋体" w:cs="宋体"/>
          <w:color w:val="auto"/>
          <w:kern w:val="0"/>
          <w:sz w:val="21"/>
          <w:szCs w:val="21"/>
          <w:highlight w:val="none"/>
          <w:lang w:val="en-US" w:eastAsia="zh-CN"/>
        </w:rPr>
      </w:pPr>
      <w:r>
        <w:rPr>
          <w:rFonts w:hint="eastAsia" w:ascii="宋体" w:hAnsi="Times New Roman" w:eastAsia="宋体" w:cs="宋体"/>
          <w:color w:val="auto"/>
          <w:kern w:val="0"/>
          <w:sz w:val="21"/>
          <w:szCs w:val="21"/>
          <w:highlight w:val="none"/>
          <w:lang w:val="en-US" w:eastAsia="zh-CN"/>
        </w:rPr>
        <w:t>4、本表格投标报价不得修改，否则做无效标处理。</w:t>
      </w:r>
    </w:p>
    <w:p w14:paraId="6B48B930">
      <w:pPr>
        <w:spacing w:line="360" w:lineRule="auto"/>
        <w:ind w:left="420"/>
        <w:rPr>
          <w:rFonts w:hint="eastAsia" w:ascii="宋体" w:hAnsi="宋体" w:eastAsia="宋体" w:cs="宋体"/>
          <w:color w:val="auto"/>
          <w:sz w:val="22"/>
          <w:szCs w:val="22"/>
          <w:highlight w:val="none"/>
        </w:rPr>
      </w:pPr>
    </w:p>
    <w:p w14:paraId="4F12D792">
      <w:pPr>
        <w:spacing w:line="360" w:lineRule="auto"/>
        <w:ind w:lef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6F25BB66">
      <w:pPr>
        <w:spacing w:line="360" w:lineRule="auto"/>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法定代表人或授权委托人(签字或盖章)</w:t>
      </w:r>
      <w:r>
        <w:rPr>
          <w:rFonts w:hint="eastAsia" w:ascii="宋体" w:hAnsi="宋体" w:eastAsia="宋体" w:cs="宋体"/>
          <w:color w:val="auto"/>
          <w:sz w:val="22"/>
          <w:szCs w:val="22"/>
          <w:highlight w:val="none"/>
        </w:rPr>
        <w:t>：</w:t>
      </w:r>
    </w:p>
    <w:p w14:paraId="5B54C817">
      <w:pPr>
        <w:spacing w:line="360" w:lineRule="auto"/>
        <w:ind w:firstLine="435"/>
        <w:rPr>
          <w:rFonts w:hint="eastAsia" w:ascii="宋体" w:cs="宋体"/>
          <w:color w:val="auto"/>
          <w:sz w:val="22"/>
          <w:szCs w:val="22"/>
          <w:highlight w:val="none"/>
        </w:rPr>
      </w:pPr>
      <w:r>
        <w:rPr>
          <w:rFonts w:hint="eastAsia" w:ascii="宋体" w:hAnsi="宋体" w:eastAsia="宋体" w:cs="宋体"/>
          <w:color w:val="auto"/>
          <w:sz w:val="22"/>
          <w:szCs w:val="22"/>
          <w:highlight w:val="none"/>
        </w:rPr>
        <w:t>日        期：</w:t>
      </w:r>
    </w:p>
    <w:p w14:paraId="094D31AA">
      <w:pPr>
        <w:pStyle w:val="73"/>
        <w:numPr>
          <w:ilvl w:val="0"/>
          <w:numId w:val="0"/>
        </w:numPr>
        <w:ind w:left="360" w:leftChars="0"/>
        <w:jc w:val="both"/>
        <w:rPr>
          <w:highlight w:val="none"/>
        </w:rPr>
      </w:pPr>
    </w:p>
    <w:p w14:paraId="1197012C">
      <w:pPr>
        <w:shd w:val="clear"/>
        <w:spacing w:line="360" w:lineRule="auto"/>
        <w:ind w:left="-2" w:hanging="2"/>
        <w:jc w:val="center"/>
        <w:rPr>
          <w:rFonts w:hint="eastAsia" w:asciiTheme="minorEastAsia" w:hAnsiTheme="minorEastAsia" w:eastAsiaTheme="minorEastAsia" w:cstheme="minorEastAsia"/>
          <w:b/>
          <w:color w:val="auto"/>
          <w:sz w:val="32"/>
          <w:szCs w:val="32"/>
          <w:highlight w:val="none"/>
          <w:lang w:val="en-US" w:eastAsia="zh-CN"/>
        </w:rPr>
      </w:pPr>
    </w:p>
    <w:p w14:paraId="71E28EA1">
      <w:pPr>
        <w:pStyle w:val="50"/>
        <w:shd w:val="clear"/>
        <w:rPr>
          <w:rFonts w:hint="eastAsia"/>
          <w:highlight w:val="none"/>
        </w:rPr>
        <w:sectPr>
          <w:footerReference r:id="rId15" w:type="default"/>
          <w:pgSz w:w="11906" w:h="16838"/>
          <w:pgMar w:top="1247" w:right="1417" w:bottom="1474" w:left="1417" w:header="851" w:footer="896" w:gutter="0"/>
          <w:cols w:space="0" w:num="1"/>
          <w:titlePg/>
          <w:rtlGutter w:val="0"/>
          <w:docGrid w:type="lines" w:linePitch="312" w:charSpace="0"/>
        </w:sectPr>
      </w:pPr>
    </w:p>
    <w:p w14:paraId="73430F19">
      <w:pPr>
        <w:pStyle w:val="696"/>
        <w:shd w:val="clear"/>
        <w:snapToGrid w:val="0"/>
        <w:spacing w:line="360" w:lineRule="auto"/>
        <w:rPr>
          <w:rFonts w:hint="eastAsia" w:asciiTheme="minorEastAsia" w:hAnsiTheme="minorEastAsia" w:eastAsiaTheme="minorEastAsia" w:cstheme="minorEastAsia"/>
          <w:b/>
          <w:color w:val="auto"/>
          <w:sz w:val="24"/>
          <w:szCs w:val="24"/>
          <w:highlight w:val="none"/>
          <w:lang w:val="en-GB"/>
        </w:rPr>
      </w:pPr>
      <w:r>
        <w:rPr>
          <w:rFonts w:hint="eastAsia" w:asciiTheme="minorEastAsia" w:hAnsiTheme="minorEastAsia" w:eastAsiaTheme="minorEastAsia" w:cstheme="minorEastAsia"/>
          <w:b/>
          <w:color w:val="auto"/>
          <w:sz w:val="28"/>
          <w:szCs w:val="28"/>
          <w:highlight w:val="none"/>
        </w:rPr>
        <w:t xml:space="preserve">附件 </w:t>
      </w:r>
      <w:r>
        <w:rPr>
          <w:rFonts w:hint="eastAsia" w:asciiTheme="minorEastAsia" w:hAnsiTheme="minorEastAsia" w:eastAsiaTheme="minorEastAsia" w:cstheme="minorEastAsia"/>
          <w:b/>
          <w:color w:val="auto"/>
          <w:sz w:val="24"/>
          <w:szCs w:val="24"/>
          <w:highlight w:val="none"/>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auto"/>
          <w:sz w:val="24"/>
          <w:szCs w:val="24"/>
          <w:highlight w:val="none"/>
          <w:lang w:val="en-US" w:eastAsia="zh-CN"/>
        </w:rPr>
        <w:t>1391370120</w:t>
      </w:r>
      <w:r>
        <w:rPr>
          <w:rFonts w:hint="eastAsia" w:asciiTheme="minorEastAsia" w:hAnsiTheme="minorEastAsia" w:eastAsiaTheme="minorEastAsia" w:cstheme="minorEastAsia"/>
          <w:b/>
          <w:color w:val="auto"/>
          <w:sz w:val="24"/>
          <w:szCs w:val="24"/>
          <w:highlight w:val="none"/>
        </w:rPr>
        <w:t>@qq.com</w:t>
      </w:r>
      <w:r>
        <w:rPr>
          <w:rFonts w:hint="eastAsia" w:asciiTheme="minorEastAsia" w:hAnsiTheme="minorEastAsia" w:eastAsiaTheme="minorEastAsia" w:cstheme="minorEastAsia"/>
          <w:b/>
          <w:color w:val="auto"/>
          <w:sz w:val="24"/>
          <w:szCs w:val="24"/>
          <w:highlight w:val="none"/>
          <w:lang w:eastAsia="zh-CN"/>
        </w:rPr>
        <w:t>，不填写或未按规定发出邮件的，视同默认不存在确认声明书中的相关违规情形)</w:t>
      </w:r>
    </w:p>
    <w:p w14:paraId="6A75D5C2">
      <w:pPr>
        <w:shd w:val="clear"/>
        <w:snapToGrid w:val="0"/>
        <w:spacing w:before="156" w:beforeLines="50" w:after="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政府采购活动现场确认声明书</w:t>
      </w:r>
    </w:p>
    <w:p w14:paraId="05DE8FD6">
      <w:pPr>
        <w:pStyle w:val="293"/>
        <w:shd w:val="clear"/>
        <w:tabs>
          <w:tab w:val="left" w:pos="8231"/>
        </w:tabs>
        <w:snapToGrid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建经投资咨询有限公司</w:t>
      </w:r>
      <w:r>
        <w:rPr>
          <w:rFonts w:hint="eastAsia" w:asciiTheme="minorEastAsia" w:hAnsiTheme="minorEastAsia" w:eastAsiaTheme="minorEastAsia" w:cstheme="minorEastAsia"/>
          <w:color w:val="auto"/>
          <w:sz w:val="24"/>
          <w:szCs w:val="24"/>
          <w:highlight w:val="none"/>
        </w:rPr>
        <w:t>（采购组织机构名称）：</w:t>
      </w:r>
      <w:r>
        <w:rPr>
          <w:rFonts w:hint="eastAsia" w:asciiTheme="minorEastAsia" w:hAnsiTheme="minorEastAsia" w:eastAsiaTheme="minorEastAsia" w:cstheme="minorEastAsia"/>
          <w:color w:val="auto"/>
          <w:sz w:val="24"/>
          <w:szCs w:val="24"/>
          <w:highlight w:val="none"/>
        </w:rPr>
        <w:tab/>
      </w:r>
    </w:p>
    <w:p w14:paraId="552AA4F9">
      <w:pPr>
        <w:pStyle w:val="293"/>
        <w:shd w:val="clear"/>
        <w:snapToGrid w:val="0"/>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本人经由</w:t>
      </w:r>
      <w:r>
        <w:rPr>
          <w:rFonts w:hint="eastAsia" w:asciiTheme="minorEastAsia" w:hAnsiTheme="minorEastAsia" w:eastAsiaTheme="minorEastAsia" w:cstheme="minorEastAsia"/>
          <w:color w:val="auto"/>
          <w:spacing w:val="6"/>
          <w:sz w:val="24"/>
          <w:szCs w:val="24"/>
          <w:highlight w:val="none"/>
          <w:u w:val="single"/>
        </w:rPr>
        <w:t xml:space="preserve">                  （单位）</w:t>
      </w:r>
      <w:r>
        <w:rPr>
          <w:rFonts w:hint="eastAsia" w:asciiTheme="minorEastAsia" w:hAnsiTheme="minorEastAsia" w:eastAsiaTheme="minorEastAsia" w:cstheme="minorEastAsia"/>
          <w:color w:val="auto"/>
          <w:spacing w:val="6"/>
          <w:sz w:val="24"/>
          <w:szCs w:val="24"/>
          <w:highlight w:val="none"/>
        </w:rPr>
        <w:t>负责人</w:t>
      </w:r>
      <w:r>
        <w:rPr>
          <w:rFonts w:hint="eastAsia" w:asciiTheme="minorEastAsia" w:hAnsiTheme="minorEastAsia" w:eastAsiaTheme="minorEastAsia" w:cstheme="minorEastAsia"/>
          <w:color w:val="auto"/>
          <w:spacing w:val="6"/>
          <w:sz w:val="24"/>
          <w:szCs w:val="24"/>
          <w:highlight w:val="none"/>
          <w:u w:val="single"/>
        </w:rPr>
        <w:t xml:space="preserve">        （姓名）</w:t>
      </w:r>
      <w:r>
        <w:rPr>
          <w:rFonts w:hint="eastAsia" w:asciiTheme="minorEastAsia" w:hAnsiTheme="minorEastAsia" w:eastAsiaTheme="minorEastAsia" w:cstheme="minorEastAsia"/>
          <w:color w:val="auto"/>
          <w:spacing w:val="6"/>
          <w:sz w:val="24"/>
          <w:szCs w:val="24"/>
          <w:highlight w:val="none"/>
        </w:rPr>
        <w:t>合法授权参加</w:t>
      </w:r>
      <w:r>
        <w:rPr>
          <w:rFonts w:hint="eastAsia" w:asciiTheme="minorEastAsia" w:hAnsiTheme="minorEastAsia" w:eastAsiaTheme="minorEastAsia" w:cstheme="minorEastAsia"/>
          <w:bCs/>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68472391">
      <w:pPr>
        <w:pStyle w:val="236"/>
        <w:numPr>
          <w:ilvl w:val="0"/>
          <w:numId w:val="38"/>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本单位与采购人之间 □不存在利害关系 □存在下列利害关系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ADDD0BD">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A.投资关系    B.行政隶属关系    C.业务指导关系</w:t>
      </w:r>
    </w:p>
    <w:p w14:paraId="7CE4F446">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D.其他可能影响采购公正的利害关系</w:t>
      </w:r>
      <w:r>
        <w:rPr>
          <w:rFonts w:hint="eastAsia" w:asciiTheme="minorEastAsia" w:hAnsiTheme="minorEastAsia" w:eastAsiaTheme="minorEastAsia" w:cstheme="minorEastAsia"/>
          <w:color w:val="auto"/>
          <w:sz w:val="24"/>
          <w:szCs w:val="24"/>
          <w:highlight w:val="none"/>
          <w:u w:val="single"/>
        </w:rPr>
        <w:t xml:space="preserve">（如有，请如实说明）                 </w:t>
      </w:r>
      <w:r>
        <w:rPr>
          <w:rFonts w:hint="eastAsia" w:asciiTheme="minorEastAsia" w:hAnsiTheme="minorEastAsia" w:eastAsiaTheme="minorEastAsia" w:cstheme="minorEastAsia"/>
          <w:color w:val="auto"/>
          <w:sz w:val="24"/>
          <w:szCs w:val="24"/>
          <w:highlight w:val="none"/>
        </w:rPr>
        <w:t>。</w:t>
      </w:r>
    </w:p>
    <w:p w14:paraId="31C2BF9A">
      <w:pPr>
        <w:pStyle w:val="236"/>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二、</w:t>
      </w:r>
      <w:r>
        <w:rPr>
          <w:rFonts w:hint="eastAsia" w:asciiTheme="minorEastAsia" w:hAnsiTheme="minorEastAsia" w:eastAsiaTheme="minorEastAsia" w:cstheme="minorEastAsia"/>
          <w:color w:val="auto"/>
          <w:sz w:val="24"/>
          <w:szCs w:val="24"/>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color w:val="auto"/>
          <w:sz w:val="24"/>
          <w:szCs w:val="24"/>
          <w:highlight w:val="none"/>
          <w:u w:val="single"/>
        </w:rPr>
        <w:t xml:space="preserve">           （供应商名称）</w:t>
      </w:r>
      <w:r>
        <w:rPr>
          <w:rFonts w:hint="eastAsia" w:asciiTheme="minorEastAsia" w:hAnsiTheme="minorEastAsia" w:eastAsiaTheme="minorEastAsia" w:cstheme="minorEastAsia"/>
          <w:color w:val="auto"/>
          <w:sz w:val="24"/>
          <w:szCs w:val="24"/>
          <w:highlight w:val="none"/>
        </w:rPr>
        <w:t>之间存在下列利害关系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438A97B">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A.法定代表人或负责人或实际控制人是同一人</w:t>
      </w:r>
    </w:p>
    <w:p w14:paraId="06D38AA4">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B.法定代表人或负责人或实际控制人是夫妻关系</w:t>
      </w:r>
    </w:p>
    <w:p w14:paraId="66BEB6CA">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C.法定代表人或负责人或实际控制人是直系血亲关系</w:t>
      </w:r>
    </w:p>
    <w:p w14:paraId="64F90101">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D.法定代表人或负责人或实际控制人存在三代以内旁系血亲关系</w:t>
      </w:r>
    </w:p>
    <w:p w14:paraId="502BA55A">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E.法定代表人或负责人或实际控制人存在近姻亲关系</w:t>
      </w:r>
    </w:p>
    <w:p w14:paraId="386ED82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F.法定代表人或负责人或实际控制人存在股份控制或实际控制关系</w:t>
      </w:r>
    </w:p>
    <w:p w14:paraId="696343C8">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G.存在共同直接或间接投资设立子公司、联营企业和合营企业情况</w:t>
      </w:r>
    </w:p>
    <w:p w14:paraId="52FDDC91">
      <w:pPr>
        <w:pStyle w:val="293"/>
        <w:shd w:val="clear"/>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219FB850">
      <w:pPr>
        <w:pStyle w:val="293"/>
        <w:shd w:val="clear"/>
        <w:snapToGrid w:val="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xml:space="preserve">    I.其他利害关系情况</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75B4ED3">
      <w:pPr>
        <w:pStyle w:val="236"/>
        <w:numPr>
          <w:ilvl w:val="0"/>
          <w:numId w:val="39"/>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现已清楚知道并严格遵守政府采购法律法规和现场纪律。</w:t>
      </w:r>
    </w:p>
    <w:p w14:paraId="4EFD821E">
      <w:pPr>
        <w:pStyle w:val="236"/>
        <w:numPr>
          <w:ilvl w:val="0"/>
          <w:numId w:val="39"/>
        </w:numPr>
        <w:shd w:val="clear"/>
        <w:snapToGrid w:val="0"/>
        <w:ind w:firstLine="453" w:firstLineChars="18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我发现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供应商之间存在或可能存在上述第二条第</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项利害关系             （供应商代表签名）                         </w:t>
      </w:r>
    </w:p>
    <w:p w14:paraId="10A7CA97">
      <w:pPr>
        <w:pStyle w:val="293"/>
        <w:shd w:val="clear"/>
        <w:snapToGrid w:val="0"/>
        <w:ind w:firstLine="480" w:firstLineChars="20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xml:space="preserve">      年   月   日</w:t>
      </w:r>
    </w:p>
    <w:p w14:paraId="3BE28FA4">
      <w:pPr>
        <w:shd w:val="clear"/>
        <w:rPr>
          <w:rFonts w:hint="eastAsia"/>
          <w:highlight w:val="none"/>
        </w:rPr>
      </w:pPr>
      <w:r>
        <w:rPr>
          <w:rFonts w:hint="eastAsia"/>
          <w:highlight w:val="none"/>
        </w:rPr>
        <w:br w:type="page"/>
      </w:r>
    </w:p>
    <w:p w14:paraId="5C4DB8FA">
      <w:pPr>
        <w:pStyle w:val="2"/>
        <w:numPr>
          <w:ilvl w:val="0"/>
          <w:numId w:val="0"/>
        </w:numPr>
        <w:tabs>
          <w:tab w:val="clear" w:pos="432"/>
        </w:tabs>
        <w:jc w:val="center"/>
        <w:rPr>
          <w:rFonts w:hint="eastAsia" w:ascii="宋体" w:hAnsi="宋体" w:cs="宋体"/>
          <w:color w:val="auto"/>
          <w:szCs w:val="21"/>
          <w:highlight w:val="none"/>
        </w:rPr>
      </w:pPr>
      <w:r>
        <w:rPr>
          <w:rFonts w:hint="eastAsia" w:ascii="宋体" w:hAnsi="宋体"/>
          <w:sz w:val="36"/>
          <w:szCs w:val="36"/>
          <w:highlight w:val="none"/>
        </w:rPr>
        <w:t>第五部分</w:t>
      </w:r>
      <w:r>
        <w:rPr>
          <w:rFonts w:ascii="宋体" w:hAnsi="宋体"/>
          <w:sz w:val="36"/>
          <w:szCs w:val="36"/>
          <w:highlight w:val="none"/>
        </w:rPr>
        <w:t xml:space="preserve">  </w:t>
      </w:r>
      <w:r>
        <w:rPr>
          <w:rFonts w:hint="eastAsia" w:ascii="宋体" w:hAnsi="宋体"/>
          <w:sz w:val="36"/>
          <w:szCs w:val="36"/>
          <w:highlight w:val="none"/>
        </w:rPr>
        <w:t>采购合同</w:t>
      </w:r>
    </w:p>
    <w:p w14:paraId="2181738B">
      <w:pPr>
        <w:spacing w:line="360" w:lineRule="auto"/>
        <w:jc w:val="center"/>
        <w:outlineLvl w:val="0"/>
        <w:rPr>
          <w:rFonts w:ascii="宋体" w:hAnsi="宋体" w:cs="宋体"/>
          <w:color w:val="auto"/>
          <w:szCs w:val="21"/>
          <w:highlight w:val="none"/>
        </w:rPr>
      </w:pPr>
      <w:r>
        <w:rPr>
          <w:rFonts w:hint="eastAsia" w:ascii="宋体" w:hAnsi="宋体" w:cs="宋体"/>
          <w:color w:val="auto"/>
          <w:szCs w:val="21"/>
          <w:highlight w:val="none"/>
        </w:rPr>
        <w:t>（本合同主要条款为合同样稿，最终定稿待双方协商后确定）</w:t>
      </w:r>
    </w:p>
    <w:p w14:paraId="2137BB1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合同将由</w:t>
      </w:r>
      <w:r>
        <w:rPr>
          <w:rFonts w:hint="eastAsia" w:asciiTheme="minorEastAsia" w:hAnsiTheme="minorEastAsia" w:eastAsiaTheme="minorEastAsia" w:cstheme="minorEastAsia"/>
          <w:color w:val="auto"/>
          <w:sz w:val="21"/>
          <w:szCs w:val="21"/>
          <w:highlight w:val="none"/>
          <w:u w:val="single"/>
          <w:lang w:val="en-US" w:eastAsia="zh-CN"/>
        </w:rPr>
        <w:t>台州市路桥区第二人民医院医疗服务共同体</w:t>
      </w:r>
      <w:r>
        <w:rPr>
          <w:rFonts w:hint="eastAsia" w:asciiTheme="minorEastAsia" w:hAnsiTheme="minorEastAsia" w:eastAsiaTheme="minorEastAsia" w:cstheme="minorEastAsia"/>
          <w:color w:val="auto"/>
          <w:sz w:val="21"/>
          <w:szCs w:val="21"/>
          <w:highlight w:val="none"/>
        </w:rPr>
        <w:t>（以下简称甲方）与经评审最终确定的</w:t>
      </w:r>
      <w:r>
        <w:rPr>
          <w:rFonts w:hint="eastAsia" w:asciiTheme="minorEastAsia" w:hAnsiTheme="minorEastAsia" w:eastAsiaTheme="minorEastAsia" w:cstheme="minorEastAsia"/>
          <w:color w:val="auto"/>
          <w:sz w:val="21"/>
          <w:szCs w:val="21"/>
          <w:highlight w:val="none"/>
          <w:lang w:eastAsia="zh-CN"/>
        </w:rPr>
        <w:t>乙方</w:t>
      </w:r>
      <w:r>
        <w:rPr>
          <w:rFonts w:hint="eastAsia" w:asciiTheme="minorEastAsia" w:hAnsiTheme="minorEastAsia" w:eastAsiaTheme="minorEastAsia" w:cstheme="minorEastAsia"/>
          <w:color w:val="auto"/>
          <w:sz w:val="21"/>
          <w:szCs w:val="21"/>
          <w:highlight w:val="none"/>
        </w:rPr>
        <w:t>（以下简称乙方）结合本项目具体情况协商后签订。以下为</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提出涉及乙方的主要条款，投标人在投标文件中应对其进行确认或拒绝。如投标人在其投标文件中未做拒绝或提出调整完善要求的，</w:t>
      </w:r>
      <w:r>
        <w:rPr>
          <w:rFonts w:hint="eastAsia" w:asciiTheme="minorEastAsia" w:hAnsiTheme="minorEastAsia" w:eastAsiaTheme="minorEastAsia" w:cstheme="minorEastAsia"/>
          <w:color w:val="auto"/>
          <w:sz w:val="21"/>
          <w:szCs w:val="21"/>
          <w:highlight w:val="none"/>
          <w:lang w:eastAsia="zh-CN"/>
        </w:rPr>
        <w:t>甲方</w:t>
      </w:r>
      <w:r>
        <w:rPr>
          <w:rFonts w:hint="eastAsia" w:asciiTheme="minorEastAsia" w:hAnsiTheme="minorEastAsia" w:eastAsiaTheme="minorEastAsia" w:cstheme="minorEastAsia"/>
          <w:color w:val="auto"/>
          <w:sz w:val="21"/>
          <w:szCs w:val="21"/>
          <w:highlight w:val="none"/>
        </w:rPr>
        <w:t>将视作认同。具体如下：</w:t>
      </w:r>
    </w:p>
    <w:p w14:paraId="1F59A15F">
      <w:pPr>
        <w:pStyle w:val="39"/>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招标编号：</w:t>
      </w:r>
    </w:p>
    <w:p w14:paraId="465C0037">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甲方：</w:t>
      </w:r>
      <w:r>
        <w:rPr>
          <w:rFonts w:hint="eastAsia" w:asciiTheme="minorEastAsia" w:hAnsiTheme="minorEastAsia" w:eastAsiaTheme="minorEastAsia" w:cstheme="minorEastAsia"/>
          <w:b w:val="0"/>
          <w:bCs/>
          <w:color w:val="auto"/>
          <w:sz w:val="21"/>
          <w:szCs w:val="21"/>
          <w:highlight w:val="none"/>
          <w:lang w:val="en-US" w:eastAsia="zh-CN"/>
        </w:rPr>
        <w:t>台州市路桥区第二人民医院医疗服务共同体</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rPr>
        <w:t>）</w:t>
      </w:r>
    </w:p>
    <w:p w14:paraId="36B251A4">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乙方：</w:t>
      </w:r>
      <w:r>
        <w:rPr>
          <w:rFonts w:hint="eastAsia" w:asciiTheme="minorEastAsia" w:hAnsiTheme="minorEastAsia" w:eastAsiaTheme="minorEastAsia" w:cstheme="minorEastAsia"/>
          <w:color w:val="auto"/>
          <w:sz w:val="21"/>
          <w:szCs w:val="21"/>
          <w:highlight w:val="none"/>
        </w:rPr>
        <w:t>（供应商）</w:t>
      </w:r>
      <w:r>
        <w:rPr>
          <w:rFonts w:hint="eastAsia" w:asciiTheme="minorEastAsia" w:hAnsiTheme="minorEastAsia" w:eastAsiaTheme="minorEastAsia" w:cstheme="minorEastAsia"/>
          <w:b/>
          <w:color w:val="auto"/>
          <w:sz w:val="21"/>
          <w:szCs w:val="21"/>
          <w:highlight w:val="none"/>
        </w:rPr>
        <w:t xml:space="preserve"> </w:t>
      </w:r>
    </w:p>
    <w:p w14:paraId="69B12C5B">
      <w:pPr>
        <w:pStyle w:val="39"/>
        <w:adjustRightInd w:val="0"/>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val="en-US" w:eastAsia="zh-CN"/>
        </w:rPr>
        <w:t>台州市路桥区第二人民医疗服务共同体工会委员会疗休养服务(含金清分院)</w:t>
      </w:r>
      <w:r>
        <w:rPr>
          <w:rFonts w:hint="eastAsia" w:asciiTheme="minorEastAsia" w:hAnsiTheme="minorEastAsia" w:eastAsiaTheme="minorEastAsia" w:cstheme="minorEastAsia"/>
          <w:color w:val="auto"/>
          <w:sz w:val="21"/>
          <w:szCs w:val="21"/>
          <w:highlight w:val="none"/>
        </w:rPr>
        <w:t>的结果，签署本合同。</w:t>
      </w:r>
    </w:p>
    <w:p w14:paraId="7978639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一、组成合同的文件 </w:t>
      </w:r>
    </w:p>
    <w:p w14:paraId="1C66D5D2">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1、本合同协议书； </w:t>
      </w:r>
    </w:p>
    <w:p w14:paraId="6B03EB3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2、中标通知书； </w:t>
      </w:r>
    </w:p>
    <w:p w14:paraId="3919E3DB">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3、投标文件及其附件； </w:t>
      </w:r>
    </w:p>
    <w:p w14:paraId="0D2205CE">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4、招标文件； </w:t>
      </w:r>
    </w:p>
    <w:p w14:paraId="098E18A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5、标准、规范及有关技术文件。 </w:t>
      </w:r>
    </w:p>
    <w:p w14:paraId="3870D10A">
      <w:pPr>
        <w:pStyle w:val="39"/>
        <w:adjustRightInd w:val="0"/>
        <w:snapToGrid w:val="0"/>
        <w:spacing w:line="360" w:lineRule="auto"/>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有关甲乙双方洽商、变更等书面协议或文件均视为本合同组成部分。</w:t>
      </w:r>
    </w:p>
    <w:p w14:paraId="6138282B">
      <w:pPr>
        <w:pStyle w:val="39"/>
        <w:adjustRightInd w:val="0"/>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二、服务内容</w:t>
      </w:r>
    </w:p>
    <w:p w14:paraId="41EB3375">
      <w:pPr>
        <w:pStyle w:val="28"/>
        <w:numPr>
          <w:ilvl w:val="0"/>
          <w:numId w:val="0"/>
        </w:numPr>
        <w:spacing w:line="360" w:lineRule="auto"/>
        <w:ind w:firstLine="420" w:firstLineChars="200"/>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1</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投标时须提供各行程具体安排方案，如建议出行时间、旅游行程（亮点、行程安排）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接待标准（交通、住宿、车辆、用餐、景点门票、导服、保险、购物安排）、建议成团人数等。</w:t>
      </w:r>
    </w:p>
    <w:p w14:paraId="2431DD0F">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门票要求</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全程门票，包括景区内必游览的小门票及景区内交通费用（缆车、游船</w:t>
      </w:r>
      <w:r>
        <w:rPr>
          <w:rFonts w:hint="eastAsia" w:asciiTheme="minorEastAsia" w:hAnsiTheme="minorEastAsia" w:eastAsiaTheme="minorEastAsia" w:cstheme="minorEastAsia"/>
          <w:color w:val="auto"/>
          <w:kern w:val="0"/>
          <w:sz w:val="21"/>
          <w:szCs w:val="21"/>
          <w:highlight w:val="none"/>
          <w:lang w:val="en-US" w:eastAsia="zh-CN" w:bidi="ar"/>
        </w:rPr>
        <w:t>、观光车等）。</w:t>
      </w:r>
    </w:p>
    <w:p w14:paraId="7928DE10">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3、地接公司要求：</w:t>
      </w:r>
    </w:p>
    <w:p w14:paraId="2BDF836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（1）地接公司要求为优秀资质公司（要求</w:t>
      </w:r>
      <w:r>
        <w:rPr>
          <w:rFonts w:hint="eastAsia" w:asciiTheme="minorEastAsia" w:hAnsiTheme="minorEastAsia" w:eastAsiaTheme="minorEastAsia" w:cstheme="minorEastAsia"/>
          <w:color w:val="auto"/>
          <w:kern w:val="0"/>
          <w:sz w:val="21"/>
          <w:szCs w:val="21"/>
          <w:highlight w:val="none"/>
          <w:lang w:bidi="ar"/>
        </w:rPr>
        <w:t>具有旅游局颁发的</w:t>
      </w:r>
      <w:r>
        <w:rPr>
          <w:rFonts w:hint="eastAsia" w:asciiTheme="minorEastAsia" w:hAnsiTheme="minorEastAsia" w:eastAsiaTheme="minorEastAsia" w:cstheme="minorEastAsia"/>
          <w:color w:val="auto"/>
          <w:kern w:val="0"/>
          <w:sz w:val="21"/>
          <w:szCs w:val="21"/>
          <w:highlight w:val="none"/>
          <w:lang w:val="en-US" w:eastAsia="zh-CN" w:bidi="ar"/>
        </w:rPr>
        <w:t xml:space="preserve">五星级旅行社），有国家导游证的专业导游讲解服务，全程陪同。 </w:t>
      </w:r>
    </w:p>
    <w:p w14:paraId="139F2C9B">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p>
    <w:p w14:paraId="1A19CC75">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（2）由导游要求举行行前会议，制定应急预案，发放《行程安排明细表》及相关行程服务内容的小册子。</w:t>
      </w:r>
    </w:p>
    <w:p w14:paraId="5DC9DFE4">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（3）在出发前分发矿泉水、旅游包、旅游帽等旅游基本用品。</w:t>
      </w:r>
    </w:p>
    <w:p w14:paraId="5BB2259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（4）省外易发生高原反应地区旅行社需提供氧气瓶，风沙大地区应提供丝巾等，特殊天气应配备应急用品。</w:t>
      </w:r>
    </w:p>
    <w:p w14:paraId="36537CEC">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（5）不得限定出行单位活动范围，不得进行选择性服务。</w:t>
      </w:r>
    </w:p>
    <w:p w14:paraId="50E003D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（6）甲方有权指定带团导游，乙方必须无条件配合。</w:t>
      </w:r>
    </w:p>
    <w:p w14:paraId="6B6729A1">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用车：全程空调旅游车。要求车况好，车位充足，空调效果好，司机五年内无不良记录，服务态度好、技术好，确保行程安全。省外要求2019年后的新购车辆，座位按照实际出团人数1：1.2比例配备。每车至少配备1名导游。</w:t>
      </w:r>
    </w:p>
    <w:p w14:paraId="7D8F3009">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住宿：携程网上4.5分及以上的五星级酒店或民宿，要求尽可能在同一楼层且不安排一楼或窗户朝向路边等喧闹环境的房间。房间要求干净整洁，设施齐全且能正常使用（淋浴房沐浴喷头有手持可以活动的喷头），24 小时供应热水。行程中按照约定住宿酒店入住，不得发生分酒店入住现象，中标人最终标项方案中需列出酒店名称或具体的地点、价格。</w:t>
      </w:r>
    </w:p>
    <w:p w14:paraId="70F82287">
      <w:pPr>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6、用餐：</w:t>
      </w:r>
      <w:r>
        <w:rPr>
          <w:rFonts w:hint="eastAsia" w:asciiTheme="minorEastAsia" w:hAnsiTheme="minorEastAsia" w:eastAsiaTheme="minorEastAsia" w:cstheme="minorEastAsia"/>
          <w:color w:val="auto"/>
          <w:kern w:val="0"/>
          <w:sz w:val="21"/>
          <w:szCs w:val="21"/>
          <w:highlight w:val="none"/>
          <w:lang w:val="en-US" w:eastAsia="zh-CN" w:bidi="ar"/>
        </w:rPr>
        <w:t xml:space="preserve">住宿含早。中、晚餐全部桌餐，正餐省外不少于60元/人、省内不少于80元/人/餐标准，食物要求新鲜、安全，适合口味。要求每餐菜品多样，不雷同。餐厅交通便利，环境较好。  </w:t>
      </w:r>
    </w:p>
    <w:p w14:paraId="08AF7975">
      <w:pPr>
        <w:pStyle w:val="26"/>
        <w:spacing w:line="360" w:lineRule="auto"/>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4</w:t>
      </w:r>
      <w:r>
        <w:rPr>
          <w:rFonts w:hint="eastAsia" w:asciiTheme="minorEastAsia" w:hAnsiTheme="minorEastAsia" w:eastAsiaTheme="minorEastAsia" w:cstheme="minorEastAsia"/>
          <w:b/>
          <w:color w:val="000000"/>
          <w:sz w:val="21"/>
          <w:szCs w:val="21"/>
          <w:highlight w:val="none"/>
          <w:lang w:eastAsia="zh-CN"/>
        </w:rPr>
        <w:t>、</w:t>
      </w:r>
      <w:r>
        <w:rPr>
          <w:rFonts w:hint="eastAsia" w:asciiTheme="minorEastAsia" w:hAnsiTheme="minorEastAsia" w:eastAsiaTheme="minorEastAsia" w:cstheme="minorEastAsia"/>
          <w:b/>
          <w:color w:val="000000"/>
          <w:sz w:val="21"/>
          <w:szCs w:val="21"/>
          <w:highlight w:val="none"/>
        </w:rPr>
        <w:t>费用要求</w:t>
      </w:r>
    </w:p>
    <w:p w14:paraId="137ACCB3">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（1）导游不得另行收取费用。</w:t>
      </w:r>
    </w:p>
    <w:p w14:paraId="57DCC3FB">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（2）若因出行单位要求增加景点等原因导致的超出部分由出行单位人员自行支付。超出部分支付方式应在出行前与组团单位自行协商，</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规划路线时应做充分考虑。</w:t>
      </w:r>
    </w:p>
    <w:p w14:paraId="1F53D8EF">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、职工自行选择</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旅行社推出的疗休养活动，</w:t>
      </w:r>
      <w:r>
        <w:rPr>
          <w:rFonts w:hint="eastAsia" w:asciiTheme="minorEastAsia" w:hAnsiTheme="minorEastAsia" w:eastAsiaTheme="minorEastAsia" w:cstheme="minorEastAsia"/>
          <w:color w:val="auto"/>
          <w:kern w:val="0"/>
          <w:sz w:val="21"/>
          <w:szCs w:val="21"/>
          <w:highlight w:val="none"/>
          <w:lang w:val="en-US" w:eastAsia="zh-CN" w:bidi="ar"/>
        </w:rPr>
        <w:t>乙方</w:t>
      </w:r>
      <w:r>
        <w:rPr>
          <w:rFonts w:hint="eastAsia" w:asciiTheme="minorEastAsia" w:hAnsiTheme="minorEastAsia" w:eastAsiaTheme="minorEastAsia" w:cstheme="minorEastAsia"/>
          <w:color w:val="auto"/>
          <w:kern w:val="0"/>
          <w:sz w:val="21"/>
          <w:szCs w:val="21"/>
          <w:highlight w:val="none"/>
          <w:lang w:bidi="ar"/>
        </w:rPr>
        <w:t>不得以任何理由拒绝，否则视为违约。</w:t>
      </w:r>
    </w:p>
    <w:p w14:paraId="39349C6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eastAsiaTheme="minorEastAsia" w:cstheme="minorEastAsia"/>
          <w:color w:val="auto"/>
          <w:kern w:val="0"/>
          <w:sz w:val="21"/>
          <w:szCs w:val="21"/>
          <w:highlight w:val="none"/>
          <w:lang w:bidi="ar"/>
        </w:rPr>
        <w:t>、确定疗休养行程后，若</w:t>
      </w:r>
      <w:r>
        <w:rPr>
          <w:rFonts w:hint="eastAsia" w:asciiTheme="minorEastAsia" w:hAnsiTheme="minorEastAsia" w:eastAsiaTheme="minorEastAsia" w:cstheme="minorEastAsia"/>
          <w:color w:val="auto"/>
          <w:kern w:val="0"/>
          <w:sz w:val="21"/>
          <w:szCs w:val="21"/>
          <w:highlight w:val="none"/>
          <w:lang w:val="en-US" w:eastAsia="zh-CN" w:bidi="ar"/>
        </w:rPr>
        <w:t>甲方</w:t>
      </w:r>
      <w:r>
        <w:rPr>
          <w:rFonts w:hint="eastAsia" w:asciiTheme="minorEastAsia" w:hAnsiTheme="minorEastAsia" w:eastAsiaTheme="minorEastAsia" w:cstheme="minorEastAsia"/>
          <w:color w:val="auto"/>
          <w:kern w:val="0"/>
          <w:sz w:val="21"/>
          <w:szCs w:val="21"/>
          <w:highlight w:val="none"/>
          <w:lang w:bidi="ar"/>
        </w:rPr>
        <w:t>在出发日</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 xml:space="preserve">天前告知旅行社取消行程的，不支付任何费用。 </w:t>
      </w:r>
    </w:p>
    <w:p w14:paraId="352F70F4">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职工参加疗休养按照旅游线路进行报名（具体报名方式由双方协商决定），由甲方统一与中标旅行社签订国家旅游局最新版旅游合同。</w:t>
      </w:r>
    </w:p>
    <w:p w14:paraId="200CD676">
      <w:pPr>
        <w:pStyle w:val="39"/>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47F6E6B0">
      <w:pPr>
        <w:pStyle w:val="39"/>
        <w:snapToGrid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36FEFC4A">
      <w:pPr>
        <w:pStyle w:val="39"/>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1、本合同金额（暂定）为（大写）：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元）人民币，</w:t>
      </w:r>
    </w:p>
    <w:tbl>
      <w:tblPr>
        <w:tblStyle w:val="77"/>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869"/>
        <w:gridCol w:w="2185"/>
        <w:gridCol w:w="961"/>
        <w:gridCol w:w="1278"/>
        <w:gridCol w:w="3035"/>
      </w:tblGrid>
      <w:tr w14:paraId="3FDD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82" w:type="pct"/>
            <w:noWrap w:val="0"/>
            <w:vAlign w:val="center"/>
          </w:tcPr>
          <w:p w14:paraId="43C6B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序号</w:t>
            </w:r>
          </w:p>
        </w:tc>
        <w:tc>
          <w:tcPr>
            <w:tcW w:w="1656" w:type="pct"/>
            <w:gridSpan w:val="2"/>
            <w:noWrap w:val="0"/>
            <w:vAlign w:val="center"/>
          </w:tcPr>
          <w:p w14:paraId="42B238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路线</w:t>
            </w:r>
          </w:p>
        </w:tc>
        <w:tc>
          <w:tcPr>
            <w:tcW w:w="521" w:type="pct"/>
            <w:noWrap w:val="0"/>
            <w:vAlign w:val="center"/>
          </w:tcPr>
          <w:p w14:paraId="22AEEA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天数</w:t>
            </w:r>
          </w:p>
        </w:tc>
        <w:tc>
          <w:tcPr>
            <w:tcW w:w="693" w:type="pct"/>
            <w:noWrap w:val="0"/>
            <w:vAlign w:val="center"/>
          </w:tcPr>
          <w:p w14:paraId="1AA667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中标价</w:t>
            </w:r>
          </w:p>
        </w:tc>
        <w:tc>
          <w:tcPr>
            <w:tcW w:w="1646" w:type="pct"/>
            <w:noWrap w:val="0"/>
            <w:vAlign w:val="center"/>
          </w:tcPr>
          <w:p w14:paraId="65A7A8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bCs/>
                <w:color w:val="auto"/>
                <w:sz w:val="21"/>
                <w:szCs w:val="21"/>
                <w:highlight w:val="none"/>
                <w:vertAlign w:val="baseline"/>
                <w:lang w:eastAsia="zh-CN"/>
              </w:rPr>
            </w:pPr>
            <w:r>
              <w:rPr>
                <w:rFonts w:hint="eastAsia" w:asciiTheme="minorEastAsia" w:hAnsiTheme="minorEastAsia" w:eastAsiaTheme="minorEastAsia" w:cstheme="minorEastAsia"/>
                <w:b/>
                <w:bCs/>
                <w:color w:val="auto"/>
                <w:sz w:val="21"/>
                <w:szCs w:val="21"/>
                <w:highlight w:val="none"/>
                <w:vertAlign w:val="baseline"/>
                <w:lang w:eastAsia="zh-CN"/>
              </w:rPr>
              <w:t>备注</w:t>
            </w:r>
          </w:p>
        </w:tc>
      </w:tr>
      <w:tr w14:paraId="7203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482" w:type="pct"/>
            <w:noWrap w:val="0"/>
            <w:vAlign w:val="center"/>
          </w:tcPr>
          <w:p w14:paraId="541A35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471" w:type="pct"/>
            <w:noWrap w:val="0"/>
            <w:vAlign w:val="center"/>
          </w:tcPr>
          <w:p w14:paraId="551C98E2">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1184" w:type="pct"/>
            <w:noWrap w:val="0"/>
            <w:vAlign w:val="center"/>
          </w:tcPr>
          <w:p w14:paraId="6CF4D91F">
            <w:pPr>
              <w:spacing w:line="360" w:lineRule="auto"/>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521" w:type="pct"/>
            <w:noWrap w:val="0"/>
            <w:vAlign w:val="center"/>
          </w:tcPr>
          <w:p w14:paraId="781899B5">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93" w:type="pct"/>
            <w:noWrap w:val="0"/>
            <w:vAlign w:val="center"/>
          </w:tcPr>
          <w:p w14:paraId="30CB80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vertAlign w:val="baseline"/>
                <w:lang w:val="en-US" w:eastAsia="zh-CN"/>
              </w:rPr>
            </w:pPr>
          </w:p>
        </w:tc>
        <w:tc>
          <w:tcPr>
            <w:tcW w:w="1646" w:type="pct"/>
            <w:noWrap w:val="0"/>
            <w:vAlign w:val="center"/>
          </w:tcPr>
          <w:p w14:paraId="370C6A7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vertAlign w:val="baseline"/>
                <w:lang w:val="en-US" w:eastAsia="zh-CN"/>
              </w:rPr>
            </w:pPr>
          </w:p>
        </w:tc>
      </w:tr>
    </w:tbl>
    <w:p w14:paraId="7AA4B67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本合同金额包括完成服务期限内疗休养的交通费、住宿费、餐费，各旅游景点的所有门票、导游、司机的费用、服务费、责任险和意外险费、管理费、招标代理服务费、税金、规费以及履行合同所需的所有风险、责任等其他一切隐含及不可预见的费用。 </w:t>
      </w:r>
    </w:p>
    <w:p w14:paraId="304FB432">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3、除非因特殊原因并经双方协商同意，否则乙方不得再要求追加任何费用。同时，除非合同条款中另有规定，否则，乙方所报价格在合同实施期间不因市场变化和政策因素而变动。 </w:t>
      </w:r>
    </w:p>
    <w:p w14:paraId="7D7C34F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四、费用结算与付款方法 </w:t>
      </w:r>
    </w:p>
    <w:p w14:paraId="72523F79">
      <w:pPr>
        <w:widowControl/>
        <w:spacing w:line="36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1、合同生效以及具备实施条件后7个工作日内支付合同金额的40%作为预付款，同时中标人提供合同金额的40%预付款保函。该批次疗休养费用根据团队职工满意度测评表（附件1，满分为100分）平均分进行支付，中标人凭正规有效发票原件、旅游合同、名单、身份证及保险复印件，经采购人审核后按批次结算（先从预付款中扣除相应金额，待预付款扣完后不足部分按实结算）。</w:t>
      </w:r>
    </w:p>
    <w:p w14:paraId="641BEAB8">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每批结束后进行满意度测评，满意度测评表平均分≥90分的，该批疗休养费用=中标价（元/人/次）*实际人数*100%；满意度测评表平均分＜90分的，该批疗休养费用=中标价（元/人/次）*实际人数*90%；满意度测评表平均分＜80分的，该批疗休养费用=中标价（元/人/次）*实际人数*80%；满意度测评表平均分＜70分的，该批疗休养费用=中标价（元/人/次）*实际人数*70%；满意度测评表平均分＜60分的，该批疗休养费用=中标价（元/人/次）*实际人数*60%；满意度测评表平均分＜50分的，该批疗休养费用=中标价（元/人/次）*实际人数*50%。</w:t>
      </w:r>
    </w:p>
    <w:p w14:paraId="6F584205">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color w:val="auto"/>
          <w:kern w:val="0"/>
          <w:sz w:val="21"/>
          <w:szCs w:val="21"/>
          <w:highlight w:val="none"/>
          <w:lang w:bidi="ar"/>
        </w:rPr>
        <w:t>五、合同期限</w:t>
      </w:r>
      <w:r>
        <w:rPr>
          <w:rFonts w:hint="eastAsia" w:asciiTheme="minorEastAsia" w:hAnsiTheme="minorEastAsia" w:eastAsiaTheme="minorEastAsia" w:cstheme="minorEastAsia"/>
          <w:b/>
          <w:color w:val="auto"/>
          <w:kern w:val="0"/>
          <w:sz w:val="21"/>
          <w:szCs w:val="21"/>
          <w:highlight w:val="none"/>
          <w:lang w:val="en-US" w:eastAsia="zh-CN" w:bidi="ar"/>
        </w:rPr>
        <w:t>及要求</w:t>
      </w:r>
      <w:r>
        <w:rPr>
          <w:rFonts w:hint="eastAsia" w:asciiTheme="minorEastAsia" w:hAnsiTheme="minorEastAsia" w:eastAsiaTheme="minorEastAsia" w:cstheme="minorEastAsia"/>
          <w:b/>
          <w:color w:val="auto"/>
          <w:kern w:val="0"/>
          <w:sz w:val="21"/>
          <w:szCs w:val="21"/>
          <w:highlight w:val="none"/>
          <w:lang w:bidi="ar"/>
        </w:rPr>
        <w:t xml:space="preserve"> </w:t>
      </w:r>
    </w:p>
    <w:p w14:paraId="5D296285">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1、服务期限：</w:t>
      </w:r>
      <w:r>
        <w:rPr>
          <w:rFonts w:hint="eastAsia" w:asciiTheme="minorEastAsia" w:hAnsiTheme="minorEastAsia" w:eastAsiaTheme="minorEastAsia" w:cstheme="minorEastAsia"/>
          <w:b w:val="0"/>
          <w:bCs w:val="0"/>
          <w:color w:val="auto"/>
          <w:sz w:val="21"/>
          <w:szCs w:val="21"/>
          <w:highlight w:val="none"/>
          <w:lang w:val="en-US" w:eastAsia="zh-CN"/>
        </w:rPr>
        <w:t>截止2025年12月31日</w:t>
      </w:r>
      <w:r>
        <w:rPr>
          <w:rFonts w:hint="eastAsia" w:asciiTheme="minorEastAsia" w:hAnsiTheme="minorEastAsia" w:eastAsiaTheme="minorEastAsia" w:cstheme="minorEastAsia"/>
          <w:color w:val="auto"/>
          <w:kern w:val="0"/>
          <w:sz w:val="21"/>
          <w:szCs w:val="21"/>
          <w:highlight w:val="none"/>
          <w:lang w:val="en-US" w:eastAsia="zh-CN" w:bidi="ar"/>
        </w:rPr>
        <w:t>。</w:t>
      </w:r>
    </w:p>
    <w:p w14:paraId="2D434C37">
      <w:pPr>
        <w:pStyle w:val="73"/>
        <w:ind w:firstLine="420" w:firstLineChars="200"/>
        <w:jc w:val="both"/>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2、具体出行路线和人数以实际出发为主。</w:t>
      </w:r>
    </w:p>
    <w:p w14:paraId="54330573">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六、技术资料 </w:t>
      </w:r>
    </w:p>
    <w:p w14:paraId="05EDAC3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1、乙方应按采购文件规定的时间向甲方提供使用的有关技术资料。 </w:t>
      </w:r>
    </w:p>
    <w:p w14:paraId="02FCA6B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没有甲方事先书面同意，乙方不得将由甲方提供的有关合同或任何合同条文、规格、计划、图纸或资料提供给与履行本合同无关的任何其他人。即使向履行本合同有关的人员提供，也应注意保密并限于履行合同的必需范围。  </w:t>
      </w:r>
    </w:p>
    <w:p w14:paraId="50641157">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七、履约保证金 </w:t>
      </w:r>
    </w:p>
    <w:p w14:paraId="7EB13679">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1、乙方在合同签订</w:t>
      </w:r>
      <w:r>
        <w:rPr>
          <w:rFonts w:hint="eastAsia" w:asciiTheme="minorEastAsia" w:hAnsiTheme="minorEastAsia" w:eastAsiaTheme="minorEastAsia" w:cstheme="minorEastAsia"/>
          <w:color w:val="auto"/>
          <w:kern w:val="0"/>
          <w:sz w:val="21"/>
          <w:szCs w:val="21"/>
          <w:highlight w:val="none"/>
          <w:lang w:val="en-US" w:eastAsia="zh-CN" w:bidi="ar"/>
        </w:rPr>
        <w:t>前</w:t>
      </w:r>
      <w:r>
        <w:rPr>
          <w:rFonts w:hint="eastAsia" w:asciiTheme="minorEastAsia" w:hAnsiTheme="minorEastAsia" w:eastAsiaTheme="minorEastAsia" w:cstheme="minorEastAsia"/>
          <w:color w:val="auto"/>
          <w:kern w:val="0"/>
          <w:sz w:val="21"/>
          <w:szCs w:val="21"/>
          <w:highlight w:val="none"/>
          <w:lang w:bidi="ar"/>
        </w:rPr>
        <w:t>向甲方交纳</w:t>
      </w:r>
      <w:r>
        <w:rPr>
          <w:rFonts w:hint="eastAsia" w:asciiTheme="minorEastAsia" w:hAnsiTheme="minorEastAsia" w:eastAsiaTheme="minorEastAsia" w:cstheme="minorEastAsia"/>
          <w:color w:val="auto"/>
          <w:kern w:val="0"/>
          <w:sz w:val="21"/>
          <w:szCs w:val="21"/>
          <w:highlight w:val="none"/>
          <w:lang w:val="en-US" w:eastAsia="zh-CN" w:bidi="ar"/>
        </w:rPr>
        <w:t>中标价的1%</w:t>
      </w:r>
      <w:r>
        <w:rPr>
          <w:rFonts w:hint="eastAsia" w:asciiTheme="minorEastAsia" w:hAnsiTheme="minorEastAsia" w:eastAsiaTheme="minorEastAsia" w:cstheme="minorEastAsia"/>
          <w:color w:val="auto"/>
          <w:kern w:val="0"/>
          <w:sz w:val="21"/>
          <w:szCs w:val="21"/>
          <w:highlight w:val="none"/>
          <w:lang w:bidi="ar"/>
        </w:rPr>
        <w:t>作为本合同的履约保证金</w:t>
      </w:r>
      <w:r>
        <w:rPr>
          <w:rFonts w:hint="eastAsia" w:asciiTheme="minorEastAsia" w:hAnsiTheme="minorEastAsia" w:eastAsiaTheme="minorEastAsia" w:cstheme="minorEastAsia"/>
          <w:color w:val="auto"/>
          <w:kern w:val="0"/>
          <w:sz w:val="21"/>
          <w:szCs w:val="21"/>
          <w:highlight w:val="none"/>
          <w:lang w:eastAsia="zh-CN" w:bidi="ar"/>
        </w:rPr>
        <w:t>，提交形式为银行保函、保险机构保证保险保单、融资担保公司保函。</w:t>
      </w:r>
      <w:r>
        <w:rPr>
          <w:rFonts w:hint="eastAsia" w:asciiTheme="minorEastAsia" w:hAnsiTheme="minorEastAsia" w:eastAsiaTheme="minorEastAsia" w:cstheme="minorEastAsia"/>
          <w:color w:val="auto"/>
          <w:kern w:val="0"/>
          <w:sz w:val="21"/>
          <w:szCs w:val="21"/>
          <w:highlight w:val="none"/>
          <w:lang w:bidi="ar"/>
        </w:rPr>
        <w:t xml:space="preserve"> </w:t>
      </w:r>
    </w:p>
    <w:p w14:paraId="3E98286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2、履约保证金在乙方完成合同履约后视履行情况不计息退还（但如乙方未履行或未完全履行合同规定的任何义务，给甲方造成损失的，甲方有权在其提交的履约保证金中获得相应赔偿</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 xml:space="preserve">不足部分甲方有权继续向乙方追偿）。 </w:t>
      </w:r>
    </w:p>
    <w:p w14:paraId="5117D8D1">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八、服务承诺 </w:t>
      </w:r>
    </w:p>
    <w:p w14:paraId="1FFE3503">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供应商</w:t>
      </w:r>
      <w:r>
        <w:rPr>
          <w:rFonts w:hint="eastAsia" w:asciiTheme="minorEastAsia" w:hAnsiTheme="minorEastAsia" w:eastAsiaTheme="minorEastAsia" w:cstheme="minorEastAsia"/>
          <w:b w:val="0"/>
          <w:bCs w:val="0"/>
          <w:color w:val="auto"/>
          <w:sz w:val="21"/>
          <w:szCs w:val="21"/>
          <w:highlight w:val="none"/>
        </w:rPr>
        <w:t>必须对本次职工疗休养的有关服务内容做出服务承诺，包括</w:t>
      </w:r>
      <w:r>
        <w:rPr>
          <w:rFonts w:hint="eastAsia" w:asciiTheme="minorEastAsia" w:hAnsiTheme="minorEastAsia" w:eastAsiaTheme="minorEastAsia" w:cstheme="minorEastAsia"/>
          <w:b w:val="0"/>
          <w:bCs w:val="0"/>
          <w:color w:val="auto"/>
          <w:sz w:val="21"/>
          <w:szCs w:val="21"/>
          <w:highlight w:val="none"/>
          <w:lang w:eastAsia="zh-CN"/>
        </w:rPr>
        <w:t>：</w:t>
      </w:r>
    </w:p>
    <w:p w14:paraId="1DBF617F">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 xml:space="preserve">经营质量方面的承诺： </w:t>
      </w:r>
    </w:p>
    <w:p w14:paraId="60E1218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①旅行社向职工提供的旅游服务信息必须真实可靠，不得作虚假宣传。因旅行社原因不能成行，未经职工同意擅自转团、拼团，一经核实，承诺支付该批次疗休养费用总额的 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4DB05C9">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②未经职工同意，旅行社不得在旅游合同约定之外提供其他有偿服务。一经核实，承诺支付</w:t>
      </w:r>
      <w:r>
        <w:rPr>
          <w:rFonts w:hint="eastAsia" w:asciiTheme="minorEastAsia" w:hAnsiTheme="minorEastAsia" w:eastAsiaTheme="minorEastAsia" w:cstheme="minorEastAsia"/>
          <w:b w:val="0"/>
          <w:bCs w:val="0"/>
          <w:color w:val="auto"/>
          <w:sz w:val="21"/>
          <w:szCs w:val="21"/>
          <w:highlight w:val="none"/>
          <w:lang w:val="en-US" w:eastAsia="zh-CN"/>
        </w:rPr>
        <w:t>该</w:t>
      </w:r>
      <w:r>
        <w:rPr>
          <w:rFonts w:hint="eastAsia" w:asciiTheme="minorEastAsia" w:hAnsiTheme="minorEastAsia" w:eastAsiaTheme="minorEastAsia" w:cstheme="minorEastAsia"/>
          <w:b w:val="0"/>
          <w:bCs w:val="0"/>
          <w:color w:val="auto"/>
          <w:sz w:val="21"/>
          <w:szCs w:val="21"/>
          <w:highlight w:val="none"/>
        </w:rPr>
        <w:t>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 xml:space="preserve">有权终止合同，取消其承办资格。 </w:t>
      </w:r>
    </w:p>
    <w:p w14:paraId="60038594">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③疗休养线路不得安排购物点或强制购物。一经核实，承诺支付该批次疗休养费用总额的50%比例违约金，并酌情扣罚 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，取消其承办资格。</w:t>
      </w:r>
    </w:p>
    <w:p w14:paraId="5045374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④旅行社必须严格兑现响应文件内承诺的所有服务标准和内容，若发现为职工提供的服务与 响应文件不符，一经查实，旅行社承诺按该批次疗休养费用总额的 50%支付违约金，并扣罚其全部履约保证金，情节严重的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7D2DC86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⑤旅行社为职工安排或者介绍的旅游活动不得含有违反有关法律、法规规定的内容。一经核实，承诺支付该批次疗休养费用总额的 50%比例违约金，并酌情扣罚20%-50%的履约保证金，情节严重的</w:t>
      </w:r>
      <w:r>
        <w:rPr>
          <w:rFonts w:hint="eastAsia" w:asciiTheme="minorEastAsia" w:hAnsiTheme="minorEastAsia" w:eastAsiaTheme="minorEastAsia" w:cstheme="minorEastAsia"/>
          <w:b w:val="0"/>
          <w:bCs w:val="0"/>
          <w:color w:val="auto"/>
          <w:sz w:val="21"/>
          <w:szCs w:val="21"/>
          <w:highlight w:val="none"/>
          <w:lang w:eastAsia="zh-CN"/>
        </w:rPr>
        <w:t>甲方有权单方面终止合同</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E0EC1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⑥中标旅行社应当按照合同约定履行义务完成项目，不得将项目转让(转包)给其他旅行社，一经查实，旅行社承诺赔偿由此带来的全部损失，并扣罚其全部履约保证金，同时</w:t>
      </w:r>
      <w:r>
        <w:rPr>
          <w:rFonts w:hint="eastAsia" w:asciiTheme="minorEastAsia" w:hAnsiTheme="minorEastAsia" w:eastAsiaTheme="minorEastAsia" w:cstheme="minorEastAsia"/>
          <w:b w:val="0"/>
          <w:bCs w:val="0"/>
          <w:color w:val="auto"/>
          <w:sz w:val="21"/>
          <w:szCs w:val="21"/>
          <w:highlight w:val="none"/>
          <w:lang w:eastAsia="zh-CN"/>
        </w:rPr>
        <w:t>甲方</w:t>
      </w:r>
      <w:r>
        <w:rPr>
          <w:rFonts w:hint="eastAsia" w:asciiTheme="minorEastAsia" w:hAnsiTheme="minorEastAsia" w:eastAsiaTheme="minorEastAsia" w:cstheme="minorEastAsia"/>
          <w:b w:val="0"/>
          <w:bCs w:val="0"/>
          <w:color w:val="auto"/>
          <w:sz w:val="21"/>
          <w:szCs w:val="21"/>
          <w:highlight w:val="none"/>
        </w:rPr>
        <w:t>终止合同</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 xml:space="preserve">取消其承办资格。 </w:t>
      </w:r>
    </w:p>
    <w:p w14:paraId="52199C1D">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 xml:space="preserve">经营服务方面的承诺： </w:t>
      </w:r>
    </w:p>
    <w:p w14:paraId="48E19AA1">
      <w:pPr>
        <w:pStyle w:val="26"/>
        <w:spacing w:line="360" w:lineRule="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旅行社为职工提供服务，应当与职工签订国家旅游局新版旅游合同（最新版）并载明下列事项: </w:t>
      </w:r>
    </w:p>
    <w:p w14:paraId="7FB66F3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①旅行社的名称及其经营范围、地址、联系电话和旅行社业务经营许可证编号； </w:t>
      </w:r>
    </w:p>
    <w:p w14:paraId="449AAC1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②旅行社经办人的姓名、联系电话；</w:t>
      </w:r>
    </w:p>
    <w:p w14:paraId="07DBB205">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③签约地点和日期； </w:t>
      </w:r>
    </w:p>
    <w:p w14:paraId="4A551C2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④旅游行程的出发地、途经地和目的地；</w:t>
      </w:r>
    </w:p>
    <w:p w14:paraId="79F15EEE">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⑤旅游行程中交通、住宿、餐饮服务安排及其标准；</w:t>
      </w:r>
    </w:p>
    <w:p w14:paraId="139125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⑥职工另行付费的游览项目及价格； </w:t>
      </w:r>
    </w:p>
    <w:p w14:paraId="4671DC21">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⑦解除或者变更合同的条件和提前通知的期限；</w:t>
      </w:r>
    </w:p>
    <w:p w14:paraId="2B961FF0">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⑧违反合同的纠纷解决机制及应当承担的责任； </w:t>
      </w:r>
    </w:p>
    <w:p w14:paraId="032522FC">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⑨旅游服务监督、投诉电话； </w:t>
      </w:r>
    </w:p>
    <w:p w14:paraId="70370FA7">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 xml:space="preserve">⑩双方协商一致的其他内容。 </w:t>
      </w:r>
    </w:p>
    <w:p w14:paraId="0A82A3ED">
      <w:pPr>
        <w:pStyle w:val="26"/>
        <w:spacing w:line="360" w:lineRule="auto"/>
        <w:ind w:firstLine="420"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b/>
          <w:bCs/>
          <w:color w:val="auto"/>
          <w:kern w:val="2"/>
          <w:sz w:val="21"/>
          <w:szCs w:val="21"/>
          <w:highlight w:val="none"/>
          <w:lang w:val="en-US" w:eastAsia="zh-CN" w:bidi="ar-SA"/>
        </w:rPr>
        <w:t>、最后一批疗休养职工人数不足最低成团人数要求，乙方应无条件组织成团。</w:t>
      </w:r>
    </w:p>
    <w:p w14:paraId="44115CDC">
      <w:pPr>
        <w:pStyle w:val="27"/>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4、如因甲方属地政府政策调整，甲方有权适当调整疗休养路线，乙方不得以任何理由拒绝，否则视为违约。</w:t>
      </w:r>
    </w:p>
    <w:p w14:paraId="1FDC1F90">
      <w:pPr>
        <w:pStyle w:val="26"/>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九、购买保险</w:t>
      </w:r>
    </w:p>
    <w:p w14:paraId="312DFB3A">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必须为参加疗休养的职工购买旅行社责任险和人身意外保险（费用含在报价中）。</w:t>
      </w:r>
      <w:r>
        <w:rPr>
          <w:rFonts w:hint="eastAsia" w:asciiTheme="minorEastAsia" w:hAnsiTheme="minorEastAsia" w:eastAsiaTheme="minorEastAsia" w:cstheme="minorEastAsia"/>
          <w:b w:val="0"/>
          <w:bCs w:val="0"/>
          <w:color w:val="auto"/>
          <w:sz w:val="21"/>
          <w:szCs w:val="21"/>
          <w:highlight w:val="none"/>
          <w:lang w:val="en-US" w:eastAsia="zh-CN"/>
        </w:rPr>
        <w:t>包含旅行社责任险1000万元及以上，人身意外保险100万元/人及以上（人身意外险包含意外伤害、突发性疾病、伤害医疗、突发性医疗等）。</w:t>
      </w:r>
    </w:p>
    <w:p w14:paraId="644043FB">
      <w:pPr>
        <w:pStyle w:val="26"/>
        <w:spacing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乙方</w:t>
      </w:r>
      <w:r>
        <w:rPr>
          <w:rFonts w:hint="eastAsia" w:asciiTheme="minorEastAsia" w:hAnsiTheme="minorEastAsia" w:eastAsiaTheme="minorEastAsia" w:cstheme="minorEastAsia"/>
          <w:b w:val="0"/>
          <w:bCs w:val="0"/>
          <w:color w:val="auto"/>
          <w:sz w:val="21"/>
          <w:szCs w:val="21"/>
          <w:highlight w:val="none"/>
        </w:rPr>
        <w:t>在</w:t>
      </w:r>
      <w:r>
        <w:rPr>
          <w:rFonts w:hint="eastAsia" w:asciiTheme="minorEastAsia" w:hAnsiTheme="minorEastAsia" w:eastAsiaTheme="minorEastAsia" w:cstheme="minorEastAsia"/>
          <w:b w:val="0"/>
          <w:bCs w:val="0"/>
          <w:color w:val="auto"/>
          <w:sz w:val="21"/>
          <w:szCs w:val="21"/>
          <w:highlight w:val="none"/>
          <w:lang w:val="en-US" w:eastAsia="zh-CN"/>
        </w:rPr>
        <w:t>甲方</w:t>
      </w:r>
      <w:r>
        <w:rPr>
          <w:rFonts w:hint="eastAsia" w:asciiTheme="minorEastAsia" w:hAnsiTheme="minorEastAsia" w:eastAsiaTheme="minorEastAsia" w:cstheme="minorEastAsia"/>
          <w:b w:val="0"/>
          <w:bCs w:val="0"/>
          <w:color w:val="auto"/>
          <w:sz w:val="21"/>
          <w:szCs w:val="21"/>
          <w:highlight w:val="none"/>
          <w:lang w:eastAsia="zh-CN"/>
        </w:rPr>
        <w:t>结账</w:t>
      </w:r>
      <w:r>
        <w:rPr>
          <w:rFonts w:hint="eastAsia" w:asciiTheme="minorEastAsia" w:hAnsiTheme="minorEastAsia" w:eastAsiaTheme="minorEastAsia" w:cstheme="minorEastAsia"/>
          <w:b w:val="0"/>
          <w:bCs w:val="0"/>
          <w:color w:val="auto"/>
          <w:sz w:val="21"/>
          <w:szCs w:val="21"/>
          <w:highlight w:val="none"/>
        </w:rPr>
        <w:t xml:space="preserve">时应提供职工旅游合同复印件一份、投保人身意外保险复印件一份。 </w:t>
      </w:r>
    </w:p>
    <w:p w14:paraId="76520BD6">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十、转包或分包 </w:t>
      </w:r>
    </w:p>
    <w:p w14:paraId="6ACBC9F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1、本合同范围的服务，应由乙方直接提供，不得转让他人； </w:t>
      </w:r>
    </w:p>
    <w:p w14:paraId="5A116447">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2、除非得到甲方的同意，否则乙方不得分包给他人； </w:t>
      </w:r>
    </w:p>
    <w:p w14:paraId="51555B5A">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3、如有转让和未经甲方同意的分包行为，乙方有权给予终止合同。 </w:t>
      </w:r>
    </w:p>
    <w:p w14:paraId="41CA0FEF">
      <w:pPr>
        <w:widowControl/>
        <w:spacing w:line="360" w:lineRule="auto"/>
        <w:jc w:val="left"/>
        <w:rPr>
          <w:rFonts w:hint="eastAsia" w:asciiTheme="minorEastAsia" w:hAnsiTheme="minorEastAsia" w:eastAsiaTheme="minorEastAsia" w:cstheme="minorEastAsia"/>
          <w:b/>
          <w:color w:val="auto"/>
          <w:kern w:val="0"/>
          <w:sz w:val="21"/>
          <w:szCs w:val="21"/>
          <w:highlight w:val="none"/>
          <w:lang w:bidi="ar"/>
        </w:rPr>
      </w:pPr>
      <w:r>
        <w:rPr>
          <w:rFonts w:hint="eastAsia" w:asciiTheme="minorEastAsia" w:hAnsiTheme="minorEastAsia" w:eastAsiaTheme="minorEastAsia" w:cstheme="minorEastAsia"/>
          <w:b/>
          <w:color w:val="auto"/>
          <w:kern w:val="0"/>
          <w:sz w:val="21"/>
          <w:szCs w:val="21"/>
          <w:highlight w:val="none"/>
          <w:lang w:bidi="ar"/>
        </w:rPr>
        <w:t>十一、税费</w:t>
      </w:r>
    </w:p>
    <w:p w14:paraId="60E494B6">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本合同执行中相关的一切税费均由乙方负担。 </w:t>
      </w:r>
    </w:p>
    <w:p w14:paraId="6814D730">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十二、服务质量保证 </w:t>
      </w:r>
    </w:p>
    <w:p w14:paraId="20D11E3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1、乙方应按采购文件规定的技术要求、服务质量标准向甲方提供服务。 </w:t>
      </w:r>
    </w:p>
    <w:p w14:paraId="748D4445">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2、服务期内因乙方服务本身的质量问题而导致甲方无法正常使用服务成果或活动不能正常 </w:t>
      </w:r>
    </w:p>
    <w:p w14:paraId="49841CEF">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进行的，须由乙方承担相关费用，并负责处理赔偿和补救措施。 </w:t>
      </w:r>
    </w:p>
    <w:p w14:paraId="7EAF7D9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3、如在服务过程中发生问题且须在服务现场解决的，乙方在接到甲方通知后在 1 小时内响应，</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 xml:space="preserve">小时内到达甲方现场。 </w:t>
      </w:r>
    </w:p>
    <w:p w14:paraId="7BB013BA">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bidi="ar"/>
        </w:rPr>
        <w:t xml:space="preserve">十三、违约责任 </w:t>
      </w:r>
    </w:p>
    <w:p w14:paraId="5D9EE49E">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1、甲方无正当理由拒收接受服务的，甲方向乙方偿付合同款项百分之五作为违约金。 </w:t>
      </w:r>
    </w:p>
    <w:p w14:paraId="1484C54D">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2、甲方无故逾期验收和办理款项支付手续的，甲方应按逾期付款总额每日万分之五向乙方支付违约金。 </w:t>
      </w:r>
    </w:p>
    <w:p w14:paraId="6364B1D4">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 xml:space="preserve">3、乙方未能如期提供服务的，每日向甲方支付合同款项的千分之六作为违约金。乙方超过约定日期 10 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0C279BAB">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4、签订合同后项目不得转包，如发现转包，视为违反约定罚款</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 xml:space="preserve">万元并终止合同。 </w:t>
      </w:r>
    </w:p>
    <w:p w14:paraId="19482BF0">
      <w:pPr>
        <w:widowControl/>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5、签订合同后，任何一方违约均应赔偿给对方造成的经济损失，并支付对方违约金</w:t>
      </w: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万元。任何一方未经协商或通知对方而擅自单方终止合同的，应赔偿对方违约金 5 万元，以补偿对方的损失。</w:t>
      </w:r>
    </w:p>
    <w:p w14:paraId="22AF0D7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十四、不可抗力事件处理</w:t>
      </w:r>
    </w:p>
    <w:p w14:paraId="1E108AB6">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1、在合同有效期内，任何一方因不可抗力事件导致不能履行合同，则合同履行期可延长，其延长期与不可抗力影响期相同。</w:t>
      </w:r>
    </w:p>
    <w:p w14:paraId="57DBA807">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2、不可抗力事件发生后，应立即通知对方，并寄送有关权威机构出具的证明。</w:t>
      </w:r>
    </w:p>
    <w:p w14:paraId="232CCF4E">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3、不可抗力事件延续120天以上，双方应通过友好协商，确定是否继续履行合同。</w:t>
      </w:r>
    </w:p>
    <w:p w14:paraId="56EF0145">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十五、诉讼</w:t>
      </w:r>
    </w:p>
    <w:p w14:paraId="7F5DD68C">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双方在执行合同中所发生的一切争议，应通过协商解决。如协商不成，可向甲方所在地法院起诉。</w:t>
      </w:r>
    </w:p>
    <w:p w14:paraId="556CFF08">
      <w:pPr>
        <w:pStyle w:val="39"/>
        <w:snapToGrid w:val="0"/>
        <w:spacing w:line="360" w:lineRule="auto"/>
        <w:textAlignment w:val="baseline"/>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十六、合同生效及其它</w:t>
      </w:r>
    </w:p>
    <w:p w14:paraId="2921257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1、合同经双方法定代表人或授权代表签字并加盖单位公章后生效。</w:t>
      </w:r>
    </w:p>
    <w:p w14:paraId="1840290D">
      <w:pPr>
        <w:pStyle w:val="39"/>
        <w:snapToGrid w:val="0"/>
        <w:spacing w:line="360" w:lineRule="auto"/>
        <w:ind w:firstLine="420" w:firstLineChars="200"/>
        <w:textAlignment w:val="baseline"/>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2、本合同未尽事宜，遵照《</w:t>
      </w:r>
      <w:r>
        <w:rPr>
          <w:rFonts w:hint="eastAsia" w:asciiTheme="minorEastAsia" w:hAnsiTheme="minorEastAsia" w:eastAsiaTheme="minorEastAsia" w:cstheme="minorEastAsia"/>
          <w:color w:val="auto"/>
          <w:sz w:val="21"/>
          <w:szCs w:val="21"/>
          <w:highlight w:val="none"/>
          <w:lang w:val="en-US" w:eastAsia="zh-CN"/>
        </w:rPr>
        <w:t>民法典</w:t>
      </w:r>
      <w:r>
        <w:rPr>
          <w:rFonts w:hint="eastAsia" w:asciiTheme="minorEastAsia" w:hAnsiTheme="minorEastAsia" w:eastAsiaTheme="minorEastAsia" w:cstheme="minorEastAsia"/>
          <w:snapToGrid w:val="0"/>
          <w:color w:val="auto"/>
          <w:sz w:val="21"/>
          <w:szCs w:val="21"/>
          <w:highlight w:val="none"/>
        </w:rPr>
        <w:t>》有关条文执行。</w:t>
      </w:r>
    </w:p>
    <w:p w14:paraId="36A54884">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3、本合同</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式</w:t>
      </w:r>
      <w:r>
        <w:rPr>
          <w:rFonts w:hint="eastAsia" w:asciiTheme="minorEastAsia" w:hAnsiTheme="minorEastAsia" w:eastAsiaTheme="minorEastAsia" w:cstheme="minorEastAsia"/>
          <w:color w:val="auto"/>
          <w:spacing w:val="-6"/>
          <w:kern w:val="0"/>
          <w:sz w:val="21"/>
          <w:szCs w:val="21"/>
          <w:highlight w:val="none"/>
          <w:lang w:val="en-US" w:eastAsia="zh-CN"/>
        </w:rPr>
        <w:t>七</w:t>
      </w:r>
      <w:r>
        <w:rPr>
          <w:rFonts w:hint="eastAsia" w:asciiTheme="minorEastAsia" w:hAnsiTheme="minorEastAsia" w:eastAsiaTheme="minorEastAsia" w:cstheme="minorEastAsia"/>
          <w:color w:val="auto"/>
          <w:spacing w:val="-6"/>
          <w:kern w:val="0"/>
          <w:sz w:val="21"/>
          <w:szCs w:val="21"/>
          <w:highlight w:val="none"/>
        </w:rPr>
        <w:t>份，甲、乙双方</w:t>
      </w:r>
      <w:r>
        <w:rPr>
          <w:rFonts w:hint="eastAsia" w:asciiTheme="minorEastAsia" w:hAnsiTheme="minorEastAsia" w:eastAsiaTheme="minorEastAsia" w:cstheme="minorEastAsia"/>
          <w:color w:val="auto"/>
          <w:spacing w:val="-6"/>
          <w:kern w:val="0"/>
          <w:sz w:val="21"/>
          <w:szCs w:val="21"/>
          <w:highlight w:val="none"/>
          <w:lang w:val="en-US" w:eastAsia="zh-CN"/>
        </w:rPr>
        <w:t>各执三份</w:t>
      </w:r>
      <w:r>
        <w:rPr>
          <w:rFonts w:hint="eastAsia" w:asciiTheme="minorEastAsia" w:hAnsiTheme="minorEastAsia" w:eastAsiaTheme="minorEastAsia" w:cstheme="minorEastAsia"/>
          <w:color w:val="auto"/>
          <w:spacing w:val="-6"/>
          <w:kern w:val="0"/>
          <w:sz w:val="21"/>
          <w:szCs w:val="21"/>
          <w:highlight w:val="none"/>
        </w:rPr>
        <w:t>、招标代理公司</w:t>
      </w:r>
      <w:r>
        <w:rPr>
          <w:rFonts w:hint="eastAsia" w:asciiTheme="minorEastAsia" w:hAnsiTheme="minorEastAsia" w:eastAsiaTheme="minorEastAsia" w:cstheme="minorEastAsia"/>
          <w:color w:val="auto"/>
          <w:spacing w:val="-6"/>
          <w:kern w:val="0"/>
          <w:sz w:val="21"/>
          <w:szCs w:val="21"/>
          <w:highlight w:val="none"/>
          <w:lang w:val="en-US" w:eastAsia="zh-CN"/>
        </w:rPr>
        <w:t>一</w:t>
      </w:r>
      <w:r>
        <w:rPr>
          <w:rFonts w:hint="eastAsia" w:asciiTheme="minorEastAsia" w:hAnsiTheme="minorEastAsia" w:eastAsiaTheme="minorEastAsia" w:cstheme="minorEastAsia"/>
          <w:color w:val="auto"/>
          <w:spacing w:val="-6"/>
          <w:kern w:val="0"/>
          <w:sz w:val="21"/>
          <w:szCs w:val="21"/>
          <w:highlight w:val="none"/>
        </w:rPr>
        <w:t>份。</w:t>
      </w:r>
    </w:p>
    <w:p w14:paraId="5B3E0DC7">
      <w:pPr>
        <w:widowControl/>
        <w:spacing w:line="360" w:lineRule="auto"/>
        <w:ind w:firstLine="396"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4、与本合同有关标书及记录同本合同具有同等法律效果。</w:t>
      </w:r>
    </w:p>
    <w:p w14:paraId="06AC158E">
      <w:pPr>
        <w:widowControl/>
        <w:spacing w:line="360" w:lineRule="auto"/>
        <w:rPr>
          <w:rFonts w:hint="eastAsia" w:asciiTheme="minorEastAsia" w:hAnsiTheme="minorEastAsia" w:eastAsiaTheme="minorEastAsia" w:cstheme="minorEastAsia"/>
          <w:color w:val="auto"/>
          <w:kern w:val="0"/>
          <w:sz w:val="21"/>
          <w:szCs w:val="21"/>
          <w:highlight w:val="none"/>
        </w:rPr>
      </w:pPr>
    </w:p>
    <w:p w14:paraId="2F5E7351">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甲方（公章）：                             乙方（公章）：          </w:t>
      </w:r>
    </w:p>
    <w:p w14:paraId="5F6B0BD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法定代表人或委托人：                      法定代表人或委托人：         </w:t>
      </w:r>
    </w:p>
    <w:p w14:paraId="0CA04CD9">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联系电话：                                联系电话：</w:t>
      </w:r>
    </w:p>
    <w:p w14:paraId="66FC4E4D">
      <w:pPr>
        <w:widowControl/>
        <w:spacing w:line="360" w:lineRule="auto"/>
        <w:ind w:firstLine="315"/>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开户银行：    </w:t>
      </w:r>
    </w:p>
    <w:p w14:paraId="51369FFC">
      <w:pPr>
        <w:widowControl/>
        <w:spacing w:line="360" w:lineRule="auto"/>
        <w:ind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账    号：                                账    号：</w:t>
      </w:r>
    </w:p>
    <w:p w14:paraId="5878176D">
      <w:pPr>
        <w:pStyle w:val="26"/>
        <w:rPr>
          <w:rFonts w:hint="eastAsia" w:asciiTheme="minorEastAsia" w:hAnsiTheme="minorEastAsia" w:eastAsiaTheme="minorEastAsia" w:cstheme="minorEastAsia"/>
          <w:color w:val="auto"/>
          <w:sz w:val="21"/>
          <w:szCs w:val="21"/>
          <w:highlight w:val="none"/>
        </w:rPr>
      </w:pPr>
    </w:p>
    <w:p w14:paraId="6604BCB6">
      <w:pPr>
        <w:pStyle w:val="26"/>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鉴 证 方：</w:t>
      </w:r>
      <w:r>
        <w:rPr>
          <w:rFonts w:hint="eastAsia" w:asciiTheme="minorEastAsia" w:hAnsiTheme="minorEastAsia" w:eastAsiaTheme="minorEastAsia" w:cstheme="minorEastAsia"/>
          <w:color w:val="auto"/>
          <w:sz w:val="21"/>
          <w:szCs w:val="21"/>
          <w:highlight w:val="none"/>
          <w:lang w:val="en-US" w:eastAsia="zh-CN"/>
        </w:rPr>
        <w:t xml:space="preserve"> </w:t>
      </w:r>
    </w:p>
    <w:p w14:paraId="5EA37A90">
      <w:pPr>
        <w:pStyle w:val="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    称：（印章）</w:t>
      </w:r>
    </w:p>
    <w:p w14:paraId="068DA900">
      <w:pPr>
        <w:spacing w:line="360" w:lineRule="auto"/>
        <w:jc w:val="right"/>
        <w:rPr>
          <w:rFonts w:hint="eastAsia" w:asciiTheme="minorEastAsia" w:hAnsiTheme="minorEastAsia" w:eastAsiaTheme="minorEastAsia" w:cstheme="minorEastAsia"/>
          <w:color w:val="auto"/>
          <w:kern w:val="0"/>
          <w:sz w:val="21"/>
          <w:szCs w:val="21"/>
          <w:highlight w:val="none"/>
        </w:rPr>
        <w:sectPr>
          <w:headerReference r:id="rId16" w:type="default"/>
          <w:footerReference r:id="rId17" w:type="default"/>
          <w:pgSz w:w="11906" w:h="16838"/>
          <w:pgMar w:top="1247" w:right="1417" w:bottom="1474" w:left="1417" w:header="851" w:footer="896" w:gutter="0"/>
          <w:cols w:space="0" w:num="1"/>
          <w:titlePg/>
          <w:rtlGutter w:val="0"/>
          <w:docGrid w:type="lines" w:linePitch="312" w:charSpace="0"/>
        </w:sectPr>
      </w:pPr>
      <w:r>
        <w:rPr>
          <w:rFonts w:hint="eastAsia" w:asciiTheme="minorEastAsia" w:hAnsiTheme="minorEastAsia" w:eastAsiaTheme="minorEastAsia" w:cstheme="minorEastAsia"/>
          <w:color w:val="auto"/>
          <w:kern w:val="0"/>
          <w:sz w:val="21"/>
          <w:szCs w:val="21"/>
          <w:highlight w:val="none"/>
        </w:rPr>
        <w:t>签订日期：       年     月     日</w:t>
      </w:r>
    </w:p>
    <w:p w14:paraId="0F80CC50">
      <w:pPr>
        <w:spacing w:line="360" w:lineRule="auto"/>
        <w:ind w:firstLine="435"/>
        <w:rPr>
          <w:rFonts w:hint="eastAsia" w:ascii="宋体" w:hAnsi="宋体" w:eastAsia="宋体"/>
          <w:b/>
          <w:sz w:val="30"/>
          <w:highlight w:val="none"/>
          <w:lang w:eastAsia="zh-CN"/>
        </w:rPr>
      </w:pPr>
      <w:r>
        <w:rPr>
          <w:rFonts w:hint="eastAsia" w:ascii="宋体" w:hAnsi="宋体"/>
          <w:b/>
          <w:sz w:val="30"/>
          <w:highlight w:val="none"/>
        </w:rPr>
        <w:t>附件</w:t>
      </w:r>
      <w:r>
        <w:rPr>
          <w:rFonts w:hint="eastAsia" w:ascii="宋体" w:hAnsi="宋体"/>
          <w:b/>
          <w:sz w:val="30"/>
          <w:highlight w:val="none"/>
          <w:lang w:val="en-US" w:eastAsia="zh-CN"/>
        </w:rPr>
        <w:t>1：</w:t>
      </w:r>
    </w:p>
    <w:p w14:paraId="24D97D48">
      <w:pPr>
        <w:jc w:val="center"/>
        <w:rPr>
          <w:rFonts w:hint="eastAsia" w:ascii="宋体" w:hAnsi="宋体" w:eastAsia="宋体" w:cs="楷体"/>
          <w:b/>
          <w:sz w:val="36"/>
          <w:szCs w:val="32"/>
          <w:highlight w:val="none"/>
          <w:lang w:eastAsia="zh-CN"/>
        </w:rPr>
      </w:pPr>
      <w:r>
        <w:rPr>
          <w:rFonts w:hint="eastAsia" w:ascii="宋体" w:hAnsi="宋体" w:cs="楷体"/>
          <w:b/>
          <w:sz w:val="32"/>
          <w:szCs w:val="32"/>
          <w:highlight w:val="none"/>
        </w:rPr>
        <w:t>职工疗休养满意度测评表</w:t>
      </w:r>
      <w:r>
        <w:rPr>
          <w:rFonts w:hint="eastAsia" w:ascii="宋体" w:hAnsi="宋体" w:cs="楷体"/>
          <w:b/>
          <w:sz w:val="32"/>
          <w:szCs w:val="32"/>
          <w:highlight w:val="none"/>
          <w:lang w:eastAsia="zh-CN"/>
        </w:rPr>
        <w:t>（</w:t>
      </w:r>
      <w:r>
        <w:rPr>
          <w:rFonts w:hint="eastAsia" w:ascii="宋体" w:hAnsi="宋体" w:cs="楷体"/>
          <w:b/>
          <w:sz w:val="32"/>
          <w:szCs w:val="32"/>
          <w:highlight w:val="none"/>
          <w:lang w:val="en-US" w:eastAsia="zh-CN"/>
        </w:rPr>
        <w:t>暂定</w:t>
      </w:r>
      <w:r>
        <w:rPr>
          <w:rFonts w:hint="eastAsia" w:ascii="宋体" w:hAnsi="宋体" w:cs="楷体"/>
          <w:b/>
          <w:sz w:val="32"/>
          <w:szCs w:val="32"/>
          <w:highlight w:val="none"/>
          <w:lang w:eastAsia="zh-CN"/>
        </w:rPr>
        <w:t>）</w:t>
      </w:r>
    </w:p>
    <w:p w14:paraId="57ECE472">
      <w:pPr>
        <w:widowControl/>
        <w:rPr>
          <w:rFonts w:ascii="宋体" w:hAnsi="宋体" w:cs="楷体"/>
          <w:kern w:val="0"/>
          <w:sz w:val="24"/>
          <w:szCs w:val="21"/>
          <w:highlight w:val="none"/>
          <w:u w:val="single"/>
        </w:rPr>
      </w:pPr>
      <w:r>
        <w:rPr>
          <w:rFonts w:hint="eastAsia" w:ascii="宋体" w:hAnsi="宋体" w:cs="楷体"/>
          <w:kern w:val="0"/>
          <w:sz w:val="24"/>
          <w:szCs w:val="21"/>
          <w:highlight w:val="none"/>
        </w:rPr>
        <w:t>疗休养组织单位（盖章）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疗休养承办单位（盖章）</w:t>
      </w:r>
      <w:r>
        <w:rPr>
          <w:rFonts w:hint="eastAsia" w:ascii="宋体" w:hAnsi="宋体" w:cs="楷体"/>
          <w:kern w:val="0"/>
          <w:sz w:val="24"/>
          <w:szCs w:val="21"/>
          <w:highlight w:val="none"/>
          <w:u w:val="single"/>
        </w:rPr>
        <w:t xml:space="preserve">                 </w:t>
      </w:r>
      <w:r>
        <w:rPr>
          <w:rFonts w:hint="eastAsia" w:ascii="宋体" w:hAnsi="宋体" w:cs="楷体"/>
          <w:kern w:val="0"/>
          <w:sz w:val="24"/>
          <w:szCs w:val="21"/>
          <w:highlight w:val="none"/>
        </w:rPr>
        <w:t xml:space="preserve"> </w:t>
      </w:r>
      <w:r>
        <w:rPr>
          <w:rFonts w:ascii="宋体" w:hAnsi="宋体" w:cs="楷体"/>
          <w:kern w:val="0"/>
          <w:sz w:val="24"/>
          <w:szCs w:val="21"/>
          <w:highlight w:val="none"/>
        </w:rPr>
        <w:t xml:space="preserve">  </w:t>
      </w:r>
      <w:r>
        <w:rPr>
          <w:rFonts w:ascii="宋体" w:hAnsi="宋体" w:cs="楷体"/>
          <w:kern w:val="0"/>
          <w:sz w:val="24"/>
          <w:szCs w:val="21"/>
          <w:highlight w:val="none"/>
          <w:u w:val="single"/>
        </w:rPr>
        <w:t xml:space="preserve">   </w:t>
      </w:r>
    </w:p>
    <w:tbl>
      <w:tblPr>
        <w:tblStyle w:val="76"/>
        <w:tblW w:w="0" w:type="auto"/>
        <w:jc w:val="center"/>
        <w:tblLayout w:type="fixed"/>
        <w:tblCellMar>
          <w:top w:w="0" w:type="dxa"/>
          <w:left w:w="108" w:type="dxa"/>
          <w:bottom w:w="0" w:type="dxa"/>
          <w:right w:w="108" w:type="dxa"/>
        </w:tblCellMar>
      </w:tblPr>
      <w:tblGrid>
        <w:gridCol w:w="1734"/>
        <w:gridCol w:w="1031"/>
        <w:gridCol w:w="867"/>
        <w:gridCol w:w="692"/>
        <w:gridCol w:w="443"/>
        <w:gridCol w:w="696"/>
        <w:gridCol w:w="1105"/>
        <w:gridCol w:w="87"/>
        <w:gridCol w:w="947"/>
        <w:gridCol w:w="13"/>
        <w:gridCol w:w="835"/>
        <w:gridCol w:w="852"/>
      </w:tblGrid>
      <w:tr w14:paraId="6E425308">
        <w:tblPrEx>
          <w:tblCellMar>
            <w:top w:w="0" w:type="dxa"/>
            <w:left w:w="108" w:type="dxa"/>
            <w:bottom w:w="0" w:type="dxa"/>
            <w:right w:w="108" w:type="dxa"/>
          </w:tblCellMar>
        </w:tblPrEx>
        <w:trPr>
          <w:trHeight w:val="834"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AC9FE06">
            <w:pPr>
              <w:widowControl/>
              <w:jc w:val="center"/>
              <w:rPr>
                <w:rFonts w:ascii="宋体" w:hAnsi="宋体" w:cs="楷体"/>
                <w:kern w:val="0"/>
                <w:szCs w:val="21"/>
                <w:highlight w:val="none"/>
              </w:rPr>
            </w:pPr>
            <w:r>
              <w:rPr>
                <w:rFonts w:hint="eastAsia" w:ascii="宋体" w:hAnsi="宋体" w:cs="楷体"/>
                <w:kern w:val="0"/>
                <w:szCs w:val="21"/>
                <w:highlight w:val="none"/>
              </w:rPr>
              <w:t>疗休养时间</w:t>
            </w:r>
          </w:p>
        </w:tc>
        <w:tc>
          <w:tcPr>
            <w:tcW w:w="1898" w:type="dxa"/>
            <w:gridSpan w:val="2"/>
            <w:tcBorders>
              <w:top w:val="single" w:color="000000" w:sz="4" w:space="0"/>
              <w:left w:val="nil"/>
              <w:bottom w:val="single" w:color="000000" w:sz="4" w:space="0"/>
              <w:right w:val="single" w:color="000000" w:sz="4" w:space="0"/>
            </w:tcBorders>
            <w:noWrap w:val="0"/>
            <w:vAlign w:val="center"/>
          </w:tcPr>
          <w:p w14:paraId="427905AB">
            <w:pPr>
              <w:widowControl/>
              <w:ind w:firstLine="210" w:firstLineChars="100"/>
              <w:rPr>
                <w:rFonts w:ascii="宋体" w:hAnsi="宋体" w:cs="楷体"/>
                <w:kern w:val="0"/>
                <w:szCs w:val="21"/>
                <w:highlight w:val="none"/>
              </w:rPr>
            </w:pPr>
            <w:r>
              <w:rPr>
                <w:rFonts w:hint="eastAsia" w:ascii="宋体" w:hAnsi="宋体" w:cs="楷体"/>
                <w:kern w:val="0"/>
                <w:szCs w:val="21"/>
                <w:highlight w:val="none"/>
              </w:rPr>
              <w:t>月 日—  月 日</w:t>
            </w:r>
          </w:p>
        </w:tc>
        <w:tc>
          <w:tcPr>
            <w:tcW w:w="692" w:type="dxa"/>
            <w:tcBorders>
              <w:top w:val="single" w:color="000000" w:sz="4" w:space="0"/>
              <w:left w:val="nil"/>
              <w:bottom w:val="single" w:color="000000" w:sz="4" w:space="0"/>
              <w:right w:val="single" w:color="000000" w:sz="4" w:space="0"/>
            </w:tcBorders>
            <w:noWrap w:val="0"/>
            <w:vAlign w:val="center"/>
          </w:tcPr>
          <w:p w14:paraId="334AE4ED">
            <w:pPr>
              <w:widowControl/>
              <w:rPr>
                <w:rFonts w:ascii="宋体" w:hAnsi="宋体" w:cs="楷体"/>
                <w:kern w:val="0"/>
                <w:szCs w:val="21"/>
                <w:highlight w:val="none"/>
              </w:rPr>
            </w:pPr>
            <w:r>
              <w:rPr>
                <w:rFonts w:hint="eastAsia" w:ascii="宋体" w:hAnsi="宋体" w:cs="楷体"/>
                <w:kern w:val="0"/>
                <w:szCs w:val="21"/>
                <w:highlight w:val="none"/>
              </w:rPr>
              <w:t>地点</w:t>
            </w:r>
          </w:p>
        </w:tc>
        <w:tc>
          <w:tcPr>
            <w:tcW w:w="2244" w:type="dxa"/>
            <w:gridSpan w:val="3"/>
            <w:tcBorders>
              <w:top w:val="single" w:color="000000" w:sz="4" w:space="0"/>
              <w:left w:val="nil"/>
              <w:bottom w:val="single" w:color="000000" w:sz="4" w:space="0"/>
              <w:right w:val="single" w:color="000000" w:sz="4" w:space="0"/>
            </w:tcBorders>
            <w:noWrap w:val="0"/>
            <w:vAlign w:val="center"/>
          </w:tcPr>
          <w:p w14:paraId="340841E7">
            <w:pPr>
              <w:widowControl/>
              <w:jc w:val="center"/>
              <w:rPr>
                <w:rFonts w:ascii="宋体" w:hAnsi="宋体" w:cs="楷体"/>
                <w:kern w:val="0"/>
                <w:szCs w:val="21"/>
                <w:highlight w:val="none"/>
              </w:rPr>
            </w:pPr>
          </w:p>
        </w:tc>
        <w:tc>
          <w:tcPr>
            <w:tcW w:w="1047" w:type="dxa"/>
            <w:gridSpan w:val="3"/>
            <w:tcBorders>
              <w:top w:val="single" w:color="000000" w:sz="4" w:space="0"/>
              <w:left w:val="nil"/>
              <w:bottom w:val="single" w:color="000000" w:sz="4" w:space="0"/>
              <w:right w:val="single" w:color="000000" w:sz="4" w:space="0"/>
            </w:tcBorders>
            <w:noWrap w:val="0"/>
            <w:vAlign w:val="center"/>
          </w:tcPr>
          <w:p w14:paraId="37781FE4">
            <w:pPr>
              <w:widowControl/>
              <w:rPr>
                <w:rFonts w:ascii="宋体" w:hAnsi="宋体" w:cs="楷体"/>
                <w:kern w:val="0"/>
                <w:szCs w:val="21"/>
                <w:highlight w:val="none"/>
              </w:rPr>
            </w:pPr>
            <w:r>
              <w:rPr>
                <w:rFonts w:hint="eastAsia" w:ascii="宋体" w:hAnsi="宋体" w:cs="楷体"/>
                <w:kern w:val="0"/>
                <w:szCs w:val="21"/>
                <w:highlight w:val="none"/>
              </w:rPr>
              <w:t>人数</w:t>
            </w:r>
          </w:p>
        </w:tc>
        <w:tc>
          <w:tcPr>
            <w:tcW w:w="1687" w:type="dxa"/>
            <w:gridSpan w:val="2"/>
            <w:tcBorders>
              <w:top w:val="single" w:color="000000" w:sz="4" w:space="0"/>
              <w:left w:val="nil"/>
              <w:bottom w:val="single" w:color="000000" w:sz="4" w:space="0"/>
              <w:right w:val="single" w:color="000000" w:sz="4" w:space="0"/>
            </w:tcBorders>
            <w:noWrap w:val="0"/>
            <w:vAlign w:val="center"/>
          </w:tcPr>
          <w:p w14:paraId="3DD4378C">
            <w:pPr>
              <w:widowControl/>
              <w:jc w:val="center"/>
              <w:rPr>
                <w:rFonts w:ascii="宋体" w:hAnsi="宋体" w:cs="楷体"/>
                <w:kern w:val="0"/>
                <w:szCs w:val="21"/>
                <w:highlight w:val="none"/>
              </w:rPr>
            </w:pPr>
          </w:p>
        </w:tc>
      </w:tr>
      <w:tr w14:paraId="562C8CA6">
        <w:tblPrEx>
          <w:tblCellMar>
            <w:top w:w="0" w:type="dxa"/>
            <w:left w:w="108" w:type="dxa"/>
            <w:bottom w:w="0" w:type="dxa"/>
            <w:right w:w="108" w:type="dxa"/>
          </w:tblCellMar>
        </w:tblPrEx>
        <w:trPr>
          <w:trHeight w:val="780" w:hRule="atLeast"/>
          <w:jc w:val="center"/>
        </w:trPr>
        <w:tc>
          <w:tcPr>
            <w:tcW w:w="1734" w:type="dxa"/>
            <w:vMerge w:val="restart"/>
            <w:tcBorders>
              <w:top w:val="single" w:color="000000" w:sz="4" w:space="0"/>
              <w:left w:val="single" w:color="000000" w:sz="4" w:space="0"/>
              <w:right w:val="single" w:color="000000" w:sz="4" w:space="0"/>
            </w:tcBorders>
            <w:noWrap w:val="0"/>
            <w:vAlign w:val="center"/>
          </w:tcPr>
          <w:p w14:paraId="17CEC2F3">
            <w:pPr>
              <w:widowControl/>
              <w:rPr>
                <w:rFonts w:ascii="宋体" w:hAnsi="宋体" w:cs="楷体"/>
                <w:kern w:val="0"/>
                <w:szCs w:val="21"/>
                <w:highlight w:val="none"/>
              </w:rPr>
            </w:pPr>
            <w:r>
              <w:rPr>
                <w:rFonts w:hint="eastAsia" w:ascii="宋体" w:hAnsi="宋体" w:cs="楷体"/>
                <w:kern w:val="0"/>
                <w:szCs w:val="21"/>
                <w:highlight w:val="none"/>
              </w:rPr>
              <w:t>评分项目及分值（100分）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4AA47203">
            <w:pPr>
              <w:widowControl/>
              <w:jc w:val="center"/>
              <w:rPr>
                <w:rFonts w:ascii="宋体" w:hAnsi="宋体" w:cs="楷体"/>
                <w:kern w:val="0"/>
                <w:szCs w:val="21"/>
                <w:highlight w:val="none"/>
              </w:rPr>
            </w:pPr>
            <w:r>
              <w:rPr>
                <w:rFonts w:hint="eastAsia" w:ascii="宋体" w:hAnsi="宋体" w:cs="楷体"/>
                <w:kern w:val="0"/>
                <w:szCs w:val="21"/>
                <w:highlight w:val="none"/>
              </w:rPr>
              <w:t>满意度评价（请您在认为的选项后空格内评分）</w:t>
            </w:r>
          </w:p>
        </w:tc>
      </w:tr>
      <w:tr w14:paraId="49DB7E9A">
        <w:tblPrEx>
          <w:tblCellMar>
            <w:top w:w="0" w:type="dxa"/>
            <w:left w:w="108" w:type="dxa"/>
            <w:bottom w:w="0" w:type="dxa"/>
            <w:right w:w="108" w:type="dxa"/>
          </w:tblCellMar>
        </w:tblPrEx>
        <w:trPr>
          <w:trHeight w:val="696" w:hRule="atLeast"/>
          <w:jc w:val="center"/>
        </w:trPr>
        <w:tc>
          <w:tcPr>
            <w:tcW w:w="1734" w:type="dxa"/>
            <w:vMerge w:val="continue"/>
            <w:tcBorders>
              <w:left w:val="single" w:color="000000" w:sz="4" w:space="0"/>
              <w:bottom w:val="single" w:color="000000" w:sz="4" w:space="0"/>
              <w:right w:val="single" w:color="000000" w:sz="4" w:space="0"/>
            </w:tcBorders>
            <w:noWrap w:val="0"/>
            <w:vAlign w:val="center"/>
          </w:tcPr>
          <w:p w14:paraId="1C17681A">
            <w:pPr>
              <w:widowControl/>
              <w:jc w:val="center"/>
              <w:rPr>
                <w:rFonts w:ascii="宋体" w:hAnsi="宋体" w:cs="楷体"/>
                <w:kern w:val="0"/>
                <w:szCs w:val="21"/>
                <w:highlight w:val="none"/>
              </w:rPr>
            </w:pPr>
          </w:p>
        </w:tc>
        <w:tc>
          <w:tcPr>
            <w:tcW w:w="1898" w:type="dxa"/>
            <w:gridSpan w:val="2"/>
            <w:tcBorders>
              <w:top w:val="single" w:color="000000" w:sz="4" w:space="0"/>
              <w:left w:val="nil"/>
              <w:bottom w:val="single" w:color="000000" w:sz="4" w:space="0"/>
              <w:right w:val="single" w:color="000000" w:sz="4" w:space="0"/>
            </w:tcBorders>
            <w:noWrap w:val="0"/>
            <w:vAlign w:val="center"/>
          </w:tcPr>
          <w:p w14:paraId="7F2015A0">
            <w:pPr>
              <w:widowControl/>
              <w:jc w:val="center"/>
              <w:rPr>
                <w:rFonts w:ascii="宋体" w:hAnsi="宋体" w:cs="楷体"/>
                <w:kern w:val="0"/>
                <w:szCs w:val="21"/>
                <w:highlight w:val="none"/>
              </w:rPr>
            </w:pPr>
            <w:r>
              <w:rPr>
                <w:rFonts w:hint="eastAsia" w:ascii="宋体" w:hAnsi="宋体" w:cs="楷体"/>
                <w:kern w:val="0"/>
                <w:szCs w:val="21"/>
                <w:highlight w:val="none"/>
              </w:rPr>
              <w:t>好</w:t>
            </w:r>
          </w:p>
        </w:tc>
        <w:tc>
          <w:tcPr>
            <w:tcW w:w="1831" w:type="dxa"/>
            <w:gridSpan w:val="3"/>
            <w:tcBorders>
              <w:top w:val="single" w:color="000000" w:sz="4" w:space="0"/>
              <w:left w:val="nil"/>
              <w:bottom w:val="single" w:color="000000" w:sz="4" w:space="0"/>
              <w:right w:val="single" w:color="000000" w:sz="4" w:space="0"/>
            </w:tcBorders>
            <w:noWrap w:val="0"/>
            <w:vAlign w:val="center"/>
          </w:tcPr>
          <w:p w14:paraId="483B6DAB">
            <w:pPr>
              <w:widowControl/>
              <w:jc w:val="center"/>
              <w:rPr>
                <w:rFonts w:ascii="宋体" w:hAnsi="宋体" w:cs="楷体"/>
                <w:kern w:val="0"/>
                <w:szCs w:val="21"/>
                <w:highlight w:val="none"/>
              </w:rPr>
            </w:pPr>
            <w:r>
              <w:rPr>
                <w:rFonts w:hint="eastAsia" w:ascii="宋体" w:hAnsi="宋体" w:cs="楷体"/>
                <w:kern w:val="0"/>
                <w:szCs w:val="21"/>
                <w:highlight w:val="none"/>
              </w:rPr>
              <w:t>较好</w:t>
            </w:r>
          </w:p>
        </w:tc>
        <w:tc>
          <w:tcPr>
            <w:tcW w:w="2139" w:type="dxa"/>
            <w:gridSpan w:val="3"/>
            <w:tcBorders>
              <w:top w:val="single" w:color="000000" w:sz="4" w:space="0"/>
              <w:left w:val="nil"/>
              <w:bottom w:val="single" w:color="000000" w:sz="4" w:space="0"/>
              <w:right w:val="single" w:color="000000" w:sz="4" w:space="0"/>
            </w:tcBorders>
            <w:noWrap w:val="0"/>
            <w:vAlign w:val="center"/>
          </w:tcPr>
          <w:p w14:paraId="741C7D1B">
            <w:pPr>
              <w:widowControl/>
              <w:jc w:val="center"/>
              <w:rPr>
                <w:rFonts w:ascii="宋体" w:hAnsi="宋体" w:cs="楷体"/>
                <w:kern w:val="0"/>
                <w:szCs w:val="21"/>
                <w:highlight w:val="none"/>
              </w:rPr>
            </w:pPr>
            <w:r>
              <w:rPr>
                <w:rFonts w:hint="eastAsia" w:ascii="宋体" w:hAnsi="宋体" w:cs="楷体"/>
                <w:kern w:val="0"/>
                <w:szCs w:val="21"/>
                <w:highlight w:val="none"/>
              </w:rPr>
              <w:t>一般</w:t>
            </w:r>
          </w:p>
        </w:tc>
        <w:tc>
          <w:tcPr>
            <w:tcW w:w="1700" w:type="dxa"/>
            <w:gridSpan w:val="3"/>
            <w:tcBorders>
              <w:top w:val="single" w:color="000000" w:sz="4" w:space="0"/>
              <w:left w:val="nil"/>
              <w:bottom w:val="single" w:color="000000" w:sz="4" w:space="0"/>
              <w:right w:val="single" w:color="000000" w:sz="4" w:space="0"/>
            </w:tcBorders>
            <w:noWrap w:val="0"/>
            <w:vAlign w:val="center"/>
          </w:tcPr>
          <w:p w14:paraId="7E8280B0">
            <w:pPr>
              <w:widowControl/>
              <w:jc w:val="center"/>
              <w:rPr>
                <w:rFonts w:ascii="宋体" w:hAnsi="宋体" w:cs="楷体"/>
                <w:kern w:val="0"/>
                <w:szCs w:val="21"/>
                <w:highlight w:val="none"/>
              </w:rPr>
            </w:pPr>
            <w:r>
              <w:rPr>
                <w:rFonts w:hint="eastAsia" w:ascii="宋体" w:hAnsi="宋体" w:cs="楷体"/>
                <w:kern w:val="0"/>
                <w:szCs w:val="21"/>
                <w:highlight w:val="none"/>
              </w:rPr>
              <w:t>差</w:t>
            </w:r>
          </w:p>
        </w:tc>
      </w:tr>
      <w:tr w14:paraId="47EAFBCF">
        <w:tblPrEx>
          <w:tblCellMar>
            <w:top w:w="0" w:type="dxa"/>
            <w:left w:w="108" w:type="dxa"/>
            <w:bottom w:w="0" w:type="dxa"/>
            <w:right w:w="108" w:type="dxa"/>
          </w:tblCellMar>
        </w:tblPrEx>
        <w:trPr>
          <w:trHeight w:val="703"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345851A">
            <w:pPr>
              <w:widowControl/>
              <w:rPr>
                <w:rFonts w:ascii="宋体" w:hAnsi="宋体" w:cs="楷体"/>
                <w:kern w:val="0"/>
                <w:szCs w:val="21"/>
                <w:highlight w:val="none"/>
              </w:rPr>
            </w:pPr>
            <w:r>
              <w:rPr>
                <w:rFonts w:hint="eastAsia" w:ascii="宋体" w:hAnsi="宋体" w:cs="楷体"/>
                <w:kern w:val="0"/>
                <w:szCs w:val="21"/>
                <w:highlight w:val="none"/>
              </w:rPr>
              <w:t>餐饮状况（20分）</w:t>
            </w:r>
          </w:p>
        </w:tc>
        <w:tc>
          <w:tcPr>
            <w:tcW w:w="1031" w:type="dxa"/>
            <w:tcBorders>
              <w:top w:val="single" w:color="000000" w:sz="4" w:space="0"/>
              <w:left w:val="nil"/>
              <w:bottom w:val="single" w:color="000000" w:sz="4" w:space="0"/>
              <w:right w:val="single" w:color="000000" w:sz="4" w:space="0"/>
            </w:tcBorders>
            <w:noWrap w:val="0"/>
            <w:vAlign w:val="center"/>
          </w:tcPr>
          <w:p w14:paraId="40EB5E34">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68F6DA0D">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3B383E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6C190C34">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C2188B2">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0E187EF">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47EF274F">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08DEEE">
            <w:pPr>
              <w:widowControl/>
              <w:jc w:val="center"/>
              <w:rPr>
                <w:rFonts w:ascii="宋体" w:hAnsi="宋体" w:cs="楷体"/>
                <w:kern w:val="0"/>
                <w:szCs w:val="21"/>
                <w:highlight w:val="none"/>
              </w:rPr>
            </w:pPr>
          </w:p>
        </w:tc>
      </w:tr>
      <w:tr w14:paraId="6B665818">
        <w:tblPrEx>
          <w:tblCellMar>
            <w:top w:w="0" w:type="dxa"/>
            <w:left w:w="108" w:type="dxa"/>
            <w:bottom w:w="0" w:type="dxa"/>
            <w:right w:w="108" w:type="dxa"/>
          </w:tblCellMar>
        </w:tblPrEx>
        <w:trPr>
          <w:trHeight w:val="89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79FD3357">
            <w:pPr>
              <w:widowControl/>
              <w:rPr>
                <w:rFonts w:ascii="宋体" w:hAnsi="宋体" w:cs="楷体"/>
                <w:kern w:val="0"/>
                <w:szCs w:val="21"/>
                <w:highlight w:val="none"/>
              </w:rPr>
            </w:pPr>
            <w:r>
              <w:rPr>
                <w:rFonts w:hint="eastAsia" w:ascii="宋体" w:hAnsi="宋体" w:cs="楷体"/>
                <w:kern w:val="0"/>
                <w:szCs w:val="21"/>
                <w:highlight w:val="none"/>
              </w:rPr>
              <w:t>住宿条件（20分）</w:t>
            </w:r>
          </w:p>
        </w:tc>
        <w:tc>
          <w:tcPr>
            <w:tcW w:w="1031" w:type="dxa"/>
            <w:tcBorders>
              <w:top w:val="single" w:color="000000" w:sz="4" w:space="0"/>
              <w:left w:val="nil"/>
              <w:bottom w:val="single" w:color="000000" w:sz="4" w:space="0"/>
              <w:right w:val="single" w:color="000000" w:sz="4" w:space="0"/>
            </w:tcBorders>
            <w:noWrap w:val="0"/>
            <w:vAlign w:val="center"/>
          </w:tcPr>
          <w:p w14:paraId="5166EF90">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3ADD6320">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103B3CB">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15DD0FB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4B889D86">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62E98562">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7FD43B9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38F9E409">
            <w:pPr>
              <w:widowControl/>
              <w:jc w:val="center"/>
              <w:rPr>
                <w:rFonts w:ascii="宋体" w:hAnsi="宋体" w:cs="楷体"/>
                <w:kern w:val="0"/>
                <w:szCs w:val="21"/>
                <w:highlight w:val="none"/>
              </w:rPr>
            </w:pPr>
          </w:p>
        </w:tc>
      </w:tr>
      <w:tr w14:paraId="1C67BEA1">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11C3D4A4">
            <w:pPr>
              <w:widowControl/>
              <w:rPr>
                <w:rFonts w:ascii="宋体" w:hAnsi="宋体" w:cs="楷体"/>
                <w:kern w:val="0"/>
                <w:szCs w:val="21"/>
                <w:highlight w:val="none"/>
              </w:rPr>
            </w:pPr>
            <w:r>
              <w:rPr>
                <w:rFonts w:hint="eastAsia" w:ascii="宋体" w:hAnsi="宋体" w:cs="楷体"/>
                <w:kern w:val="0"/>
                <w:szCs w:val="21"/>
                <w:highlight w:val="none"/>
              </w:rPr>
              <w:t>参观行程（20分）</w:t>
            </w:r>
          </w:p>
        </w:tc>
        <w:tc>
          <w:tcPr>
            <w:tcW w:w="1031" w:type="dxa"/>
            <w:tcBorders>
              <w:top w:val="single" w:color="000000" w:sz="4" w:space="0"/>
              <w:left w:val="nil"/>
              <w:bottom w:val="single" w:color="000000" w:sz="4" w:space="0"/>
              <w:right w:val="single" w:color="000000" w:sz="4" w:space="0"/>
            </w:tcBorders>
            <w:noWrap w:val="0"/>
            <w:vAlign w:val="center"/>
          </w:tcPr>
          <w:p w14:paraId="01E4C026">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850EB5A">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9D579E2">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06BE34FA">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7EA95B8A">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26E87DA0">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09FCB455">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05A89121">
            <w:pPr>
              <w:widowControl/>
              <w:jc w:val="center"/>
              <w:rPr>
                <w:rFonts w:ascii="宋体" w:hAnsi="宋体" w:cs="楷体"/>
                <w:kern w:val="0"/>
                <w:szCs w:val="21"/>
                <w:highlight w:val="none"/>
              </w:rPr>
            </w:pPr>
          </w:p>
        </w:tc>
      </w:tr>
      <w:tr w14:paraId="7888B90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1398A91">
            <w:pPr>
              <w:widowControl/>
              <w:rPr>
                <w:rFonts w:ascii="宋体" w:hAnsi="宋体" w:cs="楷体"/>
                <w:kern w:val="0"/>
                <w:szCs w:val="21"/>
                <w:highlight w:val="none"/>
              </w:rPr>
            </w:pPr>
            <w:r>
              <w:rPr>
                <w:rFonts w:hint="eastAsia" w:ascii="宋体" w:hAnsi="宋体" w:cs="楷体"/>
                <w:kern w:val="0"/>
                <w:szCs w:val="21"/>
                <w:highlight w:val="none"/>
              </w:rPr>
              <w:t>车辆状况和司机服务（20分）</w:t>
            </w:r>
          </w:p>
        </w:tc>
        <w:tc>
          <w:tcPr>
            <w:tcW w:w="1031" w:type="dxa"/>
            <w:tcBorders>
              <w:top w:val="single" w:color="000000" w:sz="4" w:space="0"/>
              <w:left w:val="nil"/>
              <w:bottom w:val="single" w:color="000000" w:sz="4" w:space="0"/>
              <w:right w:val="single" w:color="000000" w:sz="4" w:space="0"/>
            </w:tcBorders>
            <w:noWrap w:val="0"/>
            <w:vAlign w:val="center"/>
          </w:tcPr>
          <w:p w14:paraId="48075562">
            <w:pPr>
              <w:widowControl/>
              <w:rPr>
                <w:rFonts w:ascii="宋体" w:hAnsi="宋体" w:cs="楷体"/>
                <w:kern w:val="0"/>
                <w:szCs w:val="21"/>
                <w:highlight w:val="none"/>
              </w:rPr>
            </w:pPr>
            <w:r>
              <w:rPr>
                <w:rFonts w:hint="eastAsia" w:ascii="宋体" w:hAnsi="宋体" w:cs="楷体"/>
                <w:kern w:val="0"/>
                <w:szCs w:val="21"/>
                <w:highlight w:val="none"/>
              </w:rPr>
              <w:t>≧18</w:t>
            </w:r>
          </w:p>
        </w:tc>
        <w:tc>
          <w:tcPr>
            <w:tcW w:w="867" w:type="dxa"/>
            <w:tcBorders>
              <w:top w:val="single" w:color="000000" w:sz="4" w:space="0"/>
              <w:left w:val="nil"/>
              <w:bottom w:val="single" w:color="000000" w:sz="4" w:space="0"/>
              <w:right w:val="single" w:color="000000" w:sz="4" w:space="0"/>
            </w:tcBorders>
            <w:noWrap w:val="0"/>
            <w:vAlign w:val="center"/>
          </w:tcPr>
          <w:p w14:paraId="4E26F025">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4C313235">
            <w:pPr>
              <w:widowControl/>
              <w:rPr>
                <w:rFonts w:ascii="宋体" w:hAnsi="宋体" w:cs="楷体"/>
                <w:kern w:val="0"/>
                <w:szCs w:val="21"/>
                <w:highlight w:val="none"/>
              </w:rPr>
            </w:pPr>
            <w:r>
              <w:rPr>
                <w:rFonts w:hint="eastAsia" w:ascii="宋体" w:hAnsi="宋体" w:cs="楷体"/>
                <w:kern w:val="0"/>
                <w:szCs w:val="21"/>
                <w:highlight w:val="none"/>
              </w:rPr>
              <w:t>﹤18≧16</w:t>
            </w:r>
          </w:p>
        </w:tc>
        <w:tc>
          <w:tcPr>
            <w:tcW w:w="696" w:type="dxa"/>
            <w:tcBorders>
              <w:top w:val="single" w:color="000000" w:sz="4" w:space="0"/>
              <w:left w:val="nil"/>
              <w:bottom w:val="single" w:color="000000" w:sz="4" w:space="0"/>
              <w:right w:val="single" w:color="000000" w:sz="4" w:space="0"/>
            </w:tcBorders>
            <w:noWrap w:val="0"/>
            <w:vAlign w:val="center"/>
          </w:tcPr>
          <w:p w14:paraId="539F3238">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092666D1">
            <w:pPr>
              <w:widowControl/>
              <w:rPr>
                <w:rFonts w:ascii="宋体" w:hAnsi="宋体" w:cs="楷体"/>
                <w:kern w:val="0"/>
                <w:szCs w:val="21"/>
                <w:highlight w:val="none"/>
              </w:rPr>
            </w:pPr>
            <w:r>
              <w:rPr>
                <w:rFonts w:hint="eastAsia" w:ascii="宋体" w:hAnsi="宋体" w:cs="楷体"/>
                <w:kern w:val="0"/>
                <w:szCs w:val="21"/>
                <w:highlight w:val="none"/>
              </w:rPr>
              <w:t>﹤16≧12</w:t>
            </w:r>
          </w:p>
        </w:tc>
        <w:tc>
          <w:tcPr>
            <w:tcW w:w="947" w:type="dxa"/>
            <w:tcBorders>
              <w:top w:val="single" w:color="000000" w:sz="4" w:space="0"/>
              <w:left w:val="nil"/>
              <w:bottom w:val="single" w:color="000000" w:sz="4" w:space="0"/>
              <w:right w:val="single" w:color="000000" w:sz="4" w:space="0"/>
            </w:tcBorders>
            <w:noWrap w:val="0"/>
            <w:vAlign w:val="center"/>
          </w:tcPr>
          <w:p w14:paraId="5AAFEF8B">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5382111B">
            <w:pPr>
              <w:widowControl/>
              <w:rPr>
                <w:rFonts w:ascii="宋体" w:hAnsi="宋体" w:cs="楷体"/>
                <w:kern w:val="0"/>
                <w:szCs w:val="21"/>
                <w:highlight w:val="none"/>
              </w:rPr>
            </w:pPr>
            <w:r>
              <w:rPr>
                <w:rFonts w:hint="eastAsia" w:ascii="宋体" w:hAnsi="宋体" w:cs="楷体"/>
                <w:kern w:val="0"/>
                <w:szCs w:val="21"/>
                <w:highlight w:val="none"/>
              </w:rPr>
              <w:t>﹤12</w:t>
            </w:r>
          </w:p>
        </w:tc>
        <w:tc>
          <w:tcPr>
            <w:tcW w:w="852" w:type="dxa"/>
            <w:tcBorders>
              <w:top w:val="single" w:color="000000" w:sz="4" w:space="0"/>
              <w:left w:val="nil"/>
              <w:bottom w:val="single" w:color="000000" w:sz="4" w:space="0"/>
              <w:right w:val="single" w:color="000000" w:sz="4" w:space="0"/>
            </w:tcBorders>
            <w:noWrap w:val="0"/>
            <w:vAlign w:val="center"/>
          </w:tcPr>
          <w:p w14:paraId="5C7A6684">
            <w:pPr>
              <w:widowControl/>
              <w:jc w:val="center"/>
              <w:rPr>
                <w:rFonts w:ascii="宋体" w:hAnsi="宋体" w:cs="楷体"/>
                <w:kern w:val="0"/>
                <w:szCs w:val="21"/>
                <w:highlight w:val="none"/>
              </w:rPr>
            </w:pPr>
          </w:p>
        </w:tc>
      </w:tr>
      <w:tr w14:paraId="7BF8BDDA">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36A2D6C9">
            <w:pPr>
              <w:widowControl/>
              <w:rPr>
                <w:rFonts w:ascii="宋体" w:hAnsi="宋体" w:cs="楷体"/>
                <w:kern w:val="0"/>
                <w:szCs w:val="21"/>
                <w:highlight w:val="none"/>
              </w:rPr>
            </w:pPr>
            <w:r>
              <w:rPr>
                <w:rFonts w:hint="eastAsia" w:ascii="宋体" w:hAnsi="宋体" w:cs="楷体"/>
                <w:kern w:val="0"/>
                <w:szCs w:val="21"/>
                <w:highlight w:val="none"/>
              </w:rPr>
              <w:t>全陪导游服务（10分）</w:t>
            </w:r>
          </w:p>
        </w:tc>
        <w:tc>
          <w:tcPr>
            <w:tcW w:w="1031" w:type="dxa"/>
            <w:tcBorders>
              <w:top w:val="single" w:color="000000" w:sz="4" w:space="0"/>
              <w:left w:val="nil"/>
              <w:bottom w:val="single" w:color="000000" w:sz="4" w:space="0"/>
              <w:right w:val="single" w:color="000000" w:sz="4" w:space="0"/>
            </w:tcBorders>
            <w:noWrap w:val="0"/>
            <w:vAlign w:val="center"/>
          </w:tcPr>
          <w:p w14:paraId="5D289643">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1833A96F">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1E6C914F">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D12D62D">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1ED438C6">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53D329EE">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D9998BE">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3D7F7C9E">
            <w:pPr>
              <w:widowControl/>
              <w:jc w:val="center"/>
              <w:rPr>
                <w:rFonts w:ascii="宋体" w:hAnsi="宋体" w:cs="楷体"/>
                <w:kern w:val="0"/>
                <w:szCs w:val="21"/>
                <w:highlight w:val="none"/>
              </w:rPr>
            </w:pPr>
          </w:p>
        </w:tc>
      </w:tr>
      <w:tr w14:paraId="2B775AF7">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413F5AE6">
            <w:pPr>
              <w:widowControl/>
              <w:jc w:val="center"/>
              <w:rPr>
                <w:rFonts w:ascii="宋体" w:hAnsi="宋体" w:cs="楷体"/>
                <w:kern w:val="0"/>
                <w:szCs w:val="21"/>
                <w:highlight w:val="none"/>
              </w:rPr>
            </w:pPr>
            <w:r>
              <w:rPr>
                <w:rFonts w:hint="eastAsia" w:ascii="宋体" w:hAnsi="宋体" w:cs="楷体"/>
                <w:kern w:val="0"/>
                <w:szCs w:val="21"/>
                <w:highlight w:val="none"/>
              </w:rPr>
              <w:t>地接导游服务</w:t>
            </w:r>
          </w:p>
          <w:p w14:paraId="0221346B">
            <w:pPr>
              <w:widowControl/>
              <w:jc w:val="center"/>
              <w:rPr>
                <w:rFonts w:ascii="宋体" w:hAnsi="宋体" w:cs="楷体"/>
                <w:kern w:val="0"/>
                <w:szCs w:val="21"/>
                <w:highlight w:val="none"/>
              </w:rPr>
            </w:pPr>
            <w:r>
              <w:rPr>
                <w:rFonts w:hint="eastAsia" w:ascii="宋体" w:hAnsi="宋体" w:cs="楷体"/>
                <w:kern w:val="0"/>
                <w:szCs w:val="21"/>
                <w:highlight w:val="none"/>
              </w:rPr>
              <w:t>（10分）</w:t>
            </w:r>
          </w:p>
        </w:tc>
        <w:tc>
          <w:tcPr>
            <w:tcW w:w="1031" w:type="dxa"/>
            <w:tcBorders>
              <w:top w:val="single" w:color="000000" w:sz="4" w:space="0"/>
              <w:left w:val="nil"/>
              <w:bottom w:val="single" w:color="000000" w:sz="4" w:space="0"/>
              <w:right w:val="single" w:color="000000" w:sz="4" w:space="0"/>
            </w:tcBorders>
            <w:noWrap w:val="0"/>
            <w:vAlign w:val="center"/>
          </w:tcPr>
          <w:p w14:paraId="60935DF6">
            <w:pPr>
              <w:widowControl/>
              <w:rPr>
                <w:rFonts w:ascii="宋体" w:hAnsi="宋体" w:cs="楷体"/>
                <w:kern w:val="0"/>
                <w:szCs w:val="21"/>
                <w:highlight w:val="none"/>
              </w:rPr>
            </w:pPr>
            <w:r>
              <w:rPr>
                <w:rFonts w:hint="eastAsia" w:ascii="宋体" w:hAnsi="宋体" w:cs="楷体"/>
                <w:kern w:val="0"/>
                <w:szCs w:val="21"/>
                <w:highlight w:val="none"/>
              </w:rPr>
              <w:t>≧9</w:t>
            </w:r>
          </w:p>
        </w:tc>
        <w:tc>
          <w:tcPr>
            <w:tcW w:w="867" w:type="dxa"/>
            <w:tcBorders>
              <w:top w:val="single" w:color="000000" w:sz="4" w:space="0"/>
              <w:left w:val="nil"/>
              <w:bottom w:val="single" w:color="000000" w:sz="4" w:space="0"/>
              <w:right w:val="single" w:color="000000" w:sz="4" w:space="0"/>
            </w:tcBorders>
            <w:noWrap w:val="0"/>
            <w:vAlign w:val="center"/>
          </w:tcPr>
          <w:p w14:paraId="449FAFFE">
            <w:pPr>
              <w:widowControl/>
              <w:jc w:val="center"/>
              <w:rPr>
                <w:rFonts w:ascii="宋体" w:hAnsi="宋体" w:cs="楷体"/>
                <w:kern w:val="0"/>
                <w:szCs w:val="21"/>
                <w:highlight w:val="none"/>
              </w:rPr>
            </w:pPr>
          </w:p>
        </w:tc>
        <w:tc>
          <w:tcPr>
            <w:tcW w:w="1135" w:type="dxa"/>
            <w:gridSpan w:val="2"/>
            <w:tcBorders>
              <w:top w:val="single" w:color="000000" w:sz="4" w:space="0"/>
              <w:left w:val="nil"/>
              <w:bottom w:val="single" w:color="000000" w:sz="4" w:space="0"/>
              <w:right w:val="single" w:color="000000" w:sz="4" w:space="0"/>
            </w:tcBorders>
            <w:noWrap w:val="0"/>
            <w:vAlign w:val="center"/>
          </w:tcPr>
          <w:p w14:paraId="25D61648">
            <w:pPr>
              <w:widowControl/>
              <w:rPr>
                <w:rFonts w:ascii="宋体" w:hAnsi="宋体" w:cs="楷体"/>
                <w:kern w:val="0"/>
                <w:szCs w:val="21"/>
                <w:highlight w:val="none"/>
              </w:rPr>
            </w:pPr>
            <w:r>
              <w:rPr>
                <w:rFonts w:hint="eastAsia" w:ascii="宋体" w:hAnsi="宋体" w:cs="楷体"/>
                <w:kern w:val="0"/>
                <w:szCs w:val="21"/>
                <w:highlight w:val="none"/>
              </w:rPr>
              <w:t>﹤9≧8</w:t>
            </w:r>
          </w:p>
        </w:tc>
        <w:tc>
          <w:tcPr>
            <w:tcW w:w="696" w:type="dxa"/>
            <w:tcBorders>
              <w:top w:val="single" w:color="000000" w:sz="4" w:space="0"/>
              <w:left w:val="nil"/>
              <w:bottom w:val="single" w:color="000000" w:sz="4" w:space="0"/>
              <w:right w:val="single" w:color="000000" w:sz="4" w:space="0"/>
            </w:tcBorders>
            <w:noWrap w:val="0"/>
            <w:vAlign w:val="center"/>
          </w:tcPr>
          <w:p w14:paraId="734274D9">
            <w:pPr>
              <w:widowControl/>
              <w:jc w:val="center"/>
              <w:rPr>
                <w:rFonts w:ascii="宋体" w:hAnsi="宋体" w:cs="楷体"/>
                <w:kern w:val="0"/>
                <w:szCs w:val="21"/>
                <w:highlight w:val="none"/>
              </w:rPr>
            </w:pPr>
          </w:p>
        </w:tc>
        <w:tc>
          <w:tcPr>
            <w:tcW w:w="1192" w:type="dxa"/>
            <w:gridSpan w:val="2"/>
            <w:tcBorders>
              <w:top w:val="single" w:color="000000" w:sz="4" w:space="0"/>
              <w:left w:val="nil"/>
              <w:bottom w:val="single" w:color="000000" w:sz="4" w:space="0"/>
              <w:right w:val="single" w:color="000000" w:sz="4" w:space="0"/>
            </w:tcBorders>
            <w:noWrap w:val="0"/>
            <w:vAlign w:val="center"/>
          </w:tcPr>
          <w:p w14:paraId="50B3A2D1">
            <w:pPr>
              <w:widowControl/>
              <w:rPr>
                <w:rFonts w:ascii="宋体" w:hAnsi="宋体" w:cs="楷体"/>
                <w:kern w:val="0"/>
                <w:szCs w:val="21"/>
                <w:highlight w:val="none"/>
              </w:rPr>
            </w:pPr>
            <w:r>
              <w:rPr>
                <w:rFonts w:hint="eastAsia" w:ascii="宋体" w:hAnsi="宋体" w:cs="楷体"/>
                <w:kern w:val="0"/>
                <w:szCs w:val="21"/>
                <w:highlight w:val="none"/>
              </w:rPr>
              <w:t>﹤8≧6</w:t>
            </w:r>
          </w:p>
        </w:tc>
        <w:tc>
          <w:tcPr>
            <w:tcW w:w="947" w:type="dxa"/>
            <w:tcBorders>
              <w:top w:val="single" w:color="000000" w:sz="4" w:space="0"/>
              <w:left w:val="nil"/>
              <w:bottom w:val="single" w:color="000000" w:sz="4" w:space="0"/>
              <w:right w:val="single" w:color="000000" w:sz="4" w:space="0"/>
            </w:tcBorders>
            <w:noWrap w:val="0"/>
            <w:vAlign w:val="center"/>
          </w:tcPr>
          <w:p w14:paraId="4D4C8484">
            <w:pPr>
              <w:widowControl/>
              <w:jc w:val="center"/>
              <w:rPr>
                <w:rFonts w:ascii="宋体" w:hAnsi="宋体" w:cs="楷体"/>
                <w:kern w:val="0"/>
                <w:szCs w:val="21"/>
                <w:highlight w:val="none"/>
              </w:rPr>
            </w:pPr>
          </w:p>
        </w:tc>
        <w:tc>
          <w:tcPr>
            <w:tcW w:w="848" w:type="dxa"/>
            <w:gridSpan w:val="2"/>
            <w:tcBorders>
              <w:top w:val="single" w:color="000000" w:sz="4" w:space="0"/>
              <w:left w:val="nil"/>
              <w:bottom w:val="single" w:color="000000" w:sz="4" w:space="0"/>
              <w:right w:val="single" w:color="000000" w:sz="4" w:space="0"/>
            </w:tcBorders>
            <w:noWrap w:val="0"/>
            <w:vAlign w:val="center"/>
          </w:tcPr>
          <w:p w14:paraId="6C76136C">
            <w:pPr>
              <w:widowControl/>
              <w:rPr>
                <w:rFonts w:ascii="宋体" w:hAnsi="宋体" w:cs="楷体"/>
                <w:kern w:val="0"/>
                <w:szCs w:val="21"/>
                <w:highlight w:val="none"/>
              </w:rPr>
            </w:pPr>
            <w:r>
              <w:rPr>
                <w:rFonts w:hint="eastAsia" w:ascii="宋体" w:hAnsi="宋体" w:cs="楷体"/>
                <w:kern w:val="0"/>
                <w:szCs w:val="21"/>
                <w:highlight w:val="none"/>
              </w:rPr>
              <w:t>﹤6</w:t>
            </w:r>
          </w:p>
        </w:tc>
        <w:tc>
          <w:tcPr>
            <w:tcW w:w="852" w:type="dxa"/>
            <w:tcBorders>
              <w:top w:val="single" w:color="000000" w:sz="4" w:space="0"/>
              <w:left w:val="nil"/>
              <w:bottom w:val="single" w:color="000000" w:sz="4" w:space="0"/>
              <w:right w:val="single" w:color="000000" w:sz="4" w:space="0"/>
            </w:tcBorders>
            <w:noWrap w:val="0"/>
            <w:vAlign w:val="center"/>
          </w:tcPr>
          <w:p w14:paraId="70B8481C">
            <w:pPr>
              <w:widowControl/>
              <w:jc w:val="center"/>
              <w:rPr>
                <w:rFonts w:ascii="宋体" w:hAnsi="宋体" w:cs="楷体"/>
                <w:kern w:val="0"/>
                <w:szCs w:val="21"/>
                <w:highlight w:val="none"/>
              </w:rPr>
            </w:pPr>
          </w:p>
        </w:tc>
      </w:tr>
      <w:tr w14:paraId="21FDB0F4">
        <w:tblPrEx>
          <w:tblCellMar>
            <w:top w:w="0" w:type="dxa"/>
            <w:left w:w="108" w:type="dxa"/>
            <w:bottom w:w="0" w:type="dxa"/>
            <w:right w:w="108" w:type="dxa"/>
          </w:tblCellMar>
        </w:tblPrEx>
        <w:trPr>
          <w:trHeight w:val="567" w:hRule="atLeast"/>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14:paraId="0CAEBA4F">
            <w:pPr>
              <w:widowControl/>
              <w:jc w:val="center"/>
              <w:rPr>
                <w:rFonts w:ascii="宋体" w:hAnsi="宋体" w:cs="楷体"/>
                <w:kern w:val="0"/>
                <w:szCs w:val="21"/>
                <w:highlight w:val="none"/>
              </w:rPr>
            </w:pPr>
            <w:r>
              <w:rPr>
                <w:rFonts w:hint="eastAsia" w:ascii="宋体" w:hAnsi="宋体" w:cs="楷体"/>
                <w:kern w:val="0"/>
                <w:szCs w:val="21"/>
                <w:highlight w:val="none"/>
              </w:rPr>
              <w:t>合计得分</w:t>
            </w:r>
          </w:p>
        </w:tc>
        <w:tc>
          <w:tcPr>
            <w:tcW w:w="7568" w:type="dxa"/>
            <w:gridSpan w:val="11"/>
            <w:tcBorders>
              <w:top w:val="single" w:color="000000" w:sz="4" w:space="0"/>
              <w:left w:val="nil"/>
              <w:bottom w:val="single" w:color="000000" w:sz="4" w:space="0"/>
              <w:right w:val="single" w:color="000000" w:sz="4" w:space="0"/>
            </w:tcBorders>
            <w:noWrap w:val="0"/>
            <w:vAlign w:val="center"/>
          </w:tcPr>
          <w:p w14:paraId="037F17DF">
            <w:pPr>
              <w:widowControl/>
              <w:jc w:val="center"/>
              <w:rPr>
                <w:rFonts w:ascii="宋体" w:hAnsi="宋体" w:cs="楷体"/>
                <w:kern w:val="0"/>
                <w:szCs w:val="21"/>
                <w:highlight w:val="none"/>
              </w:rPr>
            </w:pPr>
          </w:p>
        </w:tc>
      </w:tr>
      <w:tr w14:paraId="5CBF7426">
        <w:tblPrEx>
          <w:tblCellMar>
            <w:top w:w="0" w:type="dxa"/>
            <w:left w:w="108" w:type="dxa"/>
            <w:bottom w:w="0" w:type="dxa"/>
            <w:right w:w="108" w:type="dxa"/>
          </w:tblCellMar>
        </w:tblPrEx>
        <w:trPr>
          <w:trHeight w:val="1402"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1BEC7A97">
            <w:pPr>
              <w:widowControl/>
              <w:spacing w:before="156"/>
              <w:rPr>
                <w:rFonts w:ascii="宋体" w:hAnsi="宋体" w:cs="楷体"/>
                <w:kern w:val="0"/>
                <w:szCs w:val="21"/>
                <w:highlight w:val="none"/>
              </w:rPr>
            </w:pPr>
            <w:r>
              <w:rPr>
                <w:rFonts w:hint="eastAsia" w:ascii="宋体" w:hAnsi="宋体" w:cs="楷体"/>
                <w:kern w:val="0"/>
                <w:szCs w:val="21"/>
                <w:highlight w:val="none"/>
              </w:rPr>
              <w:t xml:space="preserve">对这次疗休养的总体评价及建议：    </w:t>
            </w:r>
          </w:p>
          <w:p w14:paraId="5A4BCAFD">
            <w:pPr>
              <w:widowControl/>
              <w:spacing w:before="156"/>
              <w:ind w:firstLine="3780" w:firstLineChars="1800"/>
              <w:rPr>
                <w:rFonts w:ascii="宋体" w:hAnsi="宋体" w:cs="楷体"/>
                <w:kern w:val="0"/>
                <w:szCs w:val="21"/>
                <w:highlight w:val="none"/>
              </w:rPr>
            </w:pPr>
            <w:r>
              <w:rPr>
                <w:rFonts w:hint="eastAsia" w:ascii="宋体" w:hAnsi="宋体" w:cs="楷体"/>
                <w:kern w:val="0"/>
                <w:szCs w:val="21"/>
                <w:highlight w:val="none"/>
              </w:rPr>
              <w:t xml:space="preserve">签名：             联系电话      </w:t>
            </w:r>
          </w:p>
          <w:p w14:paraId="729CBB29">
            <w:pPr>
              <w:widowControl/>
              <w:spacing w:before="156"/>
              <w:jc w:val="right"/>
              <w:rPr>
                <w:rFonts w:hint="eastAsia" w:ascii="宋体" w:hAnsi="宋体" w:cs="楷体"/>
                <w:kern w:val="0"/>
                <w:szCs w:val="21"/>
                <w:highlight w:val="none"/>
              </w:rPr>
            </w:pP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 xml:space="preserve">年 </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月</w:t>
            </w:r>
            <w:r>
              <w:rPr>
                <w:rFonts w:hint="eastAsia" w:ascii="宋体" w:hAnsi="宋体" w:cs="楷体"/>
                <w:kern w:val="0"/>
                <w:szCs w:val="21"/>
                <w:highlight w:val="none"/>
                <w:lang w:val="en-US" w:eastAsia="zh-CN"/>
              </w:rPr>
              <w:t xml:space="preserve">    </w:t>
            </w:r>
            <w:r>
              <w:rPr>
                <w:rFonts w:hint="eastAsia" w:ascii="宋体" w:hAnsi="宋体" w:cs="楷体"/>
                <w:kern w:val="0"/>
                <w:szCs w:val="21"/>
                <w:highlight w:val="none"/>
              </w:rPr>
              <w:t>日</w:t>
            </w:r>
          </w:p>
        </w:tc>
      </w:tr>
      <w:tr w14:paraId="242217DC">
        <w:tblPrEx>
          <w:tblCellMar>
            <w:top w:w="0" w:type="dxa"/>
            <w:left w:w="108" w:type="dxa"/>
            <w:bottom w:w="0" w:type="dxa"/>
            <w:right w:w="108" w:type="dxa"/>
          </w:tblCellMar>
        </w:tblPrEx>
        <w:trPr>
          <w:trHeight w:val="391" w:hRule="atLeast"/>
          <w:jc w:val="center"/>
        </w:trPr>
        <w:tc>
          <w:tcPr>
            <w:tcW w:w="9302" w:type="dxa"/>
            <w:gridSpan w:val="12"/>
            <w:tcBorders>
              <w:top w:val="single" w:color="000000" w:sz="4" w:space="0"/>
              <w:left w:val="single" w:color="000000" w:sz="4" w:space="0"/>
              <w:bottom w:val="single" w:color="000000" w:sz="4" w:space="0"/>
              <w:right w:val="single" w:color="000000" w:sz="4" w:space="0"/>
            </w:tcBorders>
            <w:noWrap w:val="0"/>
            <w:vAlign w:val="top"/>
          </w:tcPr>
          <w:p w14:paraId="57B830B0">
            <w:pPr>
              <w:widowControl/>
              <w:spacing w:before="156"/>
              <w:rPr>
                <w:rFonts w:ascii="宋体" w:hAnsi="宋体" w:cs="楷体"/>
                <w:kern w:val="0"/>
                <w:szCs w:val="21"/>
                <w:highlight w:val="none"/>
              </w:rPr>
            </w:pPr>
            <w:r>
              <w:rPr>
                <w:rFonts w:hint="eastAsia" w:ascii="宋体" w:hAnsi="宋体" w:cs="楷体"/>
                <w:kern w:val="0"/>
                <w:szCs w:val="21"/>
                <w:highlight w:val="none"/>
              </w:rPr>
              <w:t>导游自我点评、带团总结：</w:t>
            </w:r>
          </w:p>
        </w:tc>
      </w:tr>
    </w:tbl>
    <w:p w14:paraId="3E154B5C">
      <w:pPr>
        <w:snapToGrid w:val="0"/>
        <w:spacing w:before="156" w:beforeLines="50" w:after="50"/>
        <w:rPr>
          <w:rFonts w:hint="eastAsia" w:ascii="宋体" w:hAnsi="宋体"/>
          <w:sz w:val="24"/>
          <w:highlight w:val="none"/>
        </w:rPr>
      </w:pPr>
      <w:r>
        <w:rPr>
          <w:rFonts w:hint="eastAsia" w:ascii="宋体" w:hAnsi="宋体"/>
          <w:sz w:val="24"/>
          <w:highlight w:val="none"/>
          <w:lang w:val="en-US" w:eastAsia="zh-CN"/>
        </w:rPr>
        <w:t>注：本职工疗休养满意度测评表为暂定表格，采购人有权对该表格进行修改，中标人不得拒绝。</w:t>
      </w:r>
    </w:p>
    <w:p w14:paraId="097C40EA">
      <w:pPr>
        <w:pStyle w:val="2"/>
        <w:numPr>
          <w:ilvl w:val="0"/>
          <w:numId w:val="0"/>
        </w:numPr>
        <w:shd w:val="clear"/>
        <w:tabs>
          <w:tab w:val="clear" w:pos="432"/>
        </w:tabs>
        <w:jc w:val="center"/>
        <w:rPr>
          <w:rFonts w:hint="default" w:ascii="宋体" w:hAnsi="宋体" w:eastAsia="宋体" w:cs="Times New Roman"/>
          <w:sz w:val="36"/>
          <w:szCs w:val="36"/>
          <w:highlight w:val="none"/>
        </w:rPr>
      </w:pPr>
      <w:r>
        <w:rPr>
          <w:rFonts w:hint="default" w:ascii="宋体" w:hAnsi="宋体" w:eastAsia="宋体" w:cs="Times New Roman"/>
          <w:sz w:val="36"/>
          <w:szCs w:val="36"/>
          <w:highlight w:val="none"/>
        </w:rPr>
        <w:t>廉政合同</w:t>
      </w:r>
    </w:p>
    <w:p w14:paraId="5AC266B2">
      <w:pPr>
        <w:widowControl/>
        <w:shd w:val="clear"/>
        <w:spacing w:line="360" w:lineRule="auto"/>
        <w:ind w:firstLine="420" w:firstLineChars="200"/>
        <w:jc w:val="left"/>
        <w:rPr>
          <w:rFonts w:hint="default" w:ascii="宋体" w:hAnsi="宋体" w:eastAsia="宋体" w:cs="宋体"/>
          <w:kern w:val="0"/>
          <w:sz w:val="21"/>
          <w:szCs w:val="21"/>
          <w:highlight w:val="none"/>
          <w:u w:val="single"/>
          <w:lang w:val="en-US" w:eastAsia="zh-CN"/>
        </w:rPr>
      </w:pPr>
      <w:r>
        <w:rPr>
          <w:rFonts w:hint="eastAsia" w:ascii="宋体" w:hAnsi="宋体" w:eastAsia="宋体" w:cs="宋体"/>
          <w:bCs/>
          <w:kern w:val="0"/>
          <w:sz w:val="21"/>
          <w:szCs w:val="21"/>
          <w:highlight w:val="none"/>
        </w:rPr>
        <w:t>甲方（采购人）：</w:t>
      </w:r>
      <w:r>
        <w:rPr>
          <w:rFonts w:hint="eastAsia" w:ascii="宋体" w:hAnsi="宋体" w:eastAsia="宋体" w:cs="宋体"/>
          <w:bCs/>
          <w:kern w:val="0"/>
          <w:sz w:val="21"/>
          <w:szCs w:val="21"/>
          <w:highlight w:val="none"/>
          <w:u w:val="single"/>
          <w:lang w:val="en-US" w:eastAsia="zh-CN"/>
        </w:rPr>
        <w:t xml:space="preserve">                             </w:t>
      </w:r>
    </w:p>
    <w:p w14:paraId="4A151845">
      <w:pPr>
        <w:widowControl/>
        <w:shd w:val="clear"/>
        <w:spacing w:line="360" w:lineRule="auto"/>
        <w:ind w:firstLine="420" w:firstLineChars="200"/>
        <w:jc w:val="left"/>
        <w:rPr>
          <w:rFonts w:hint="default" w:ascii="宋体" w:hAnsi="宋体" w:eastAsia="宋体" w:cs="Times New Roman"/>
          <w:b/>
          <w:bCs/>
          <w:color w:val="auto"/>
          <w:sz w:val="21"/>
          <w:szCs w:val="21"/>
          <w:highlight w:val="none"/>
          <w:u w:val="single"/>
          <w:lang w:val="en-US" w:eastAsia="zh-CN"/>
        </w:rPr>
      </w:pPr>
      <w:r>
        <w:rPr>
          <w:rFonts w:hint="eastAsia" w:ascii="宋体" w:hAnsi="宋体" w:eastAsia="宋体" w:cs="宋体"/>
          <w:bCs/>
          <w:kern w:val="0"/>
          <w:sz w:val="21"/>
          <w:szCs w:val="21"/>
          <w:highlight w:val="none"/>
        </w:rPr>
        <w:t>乙方（</w:t>
      </w:r>
      <w:r>
        <w:rPr>
          <w:rFonts w:hint="eastAsia" w:ascii="宋体" w:hAnsi="宋体" w:eastAsia="宋体" w:cs="宋体"/>
          <w:bCs/>
          <w:kern w:val="0"/>
          <w:sz w:val="21"/>
          <w:szCs w:val="21"/>
          <w:highlight w:val="none"/>
          <w:lang w:val="en-US" w:eastAsia="zh-CN"/>
        </w:rPr>
        <w:t>供应商</w:t>
      </w: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u w:val="single"/>
          <w:lang w:val="en-US" w:eastAsia="zh-CN"/>
        </w:rPr>
        <w:t xml:space="preserve">                 </w:t>
      </w:r>
    </w:p>
    <w:p w14:paraId="536E453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为促进甲乙双方廉洁高效合作，促使甲乙双方工作人员廉洁从业，不断推动党风廉政建设工作，按照国家有关法律法规、廉政规定，经甲乙双方协商一致，签订以下廉政合同。 </w:t>
      </w:r>
    </w:p>
    <w:p w14:paraId="6472BDF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第一条 甲乙双方的权利和义务 </w:t>
      </w:r>
    </w:p>
    <w:p w14:paraId="15C966C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（一）严格遵守党和国家有关法律法规及党风廉政建设各项规定。</w:t>
      </w:r>
    </w:p>
    <w:p w14:paraId="3203F72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（二）严格履行各项约定，杜绝违约行为的发生。 </w:t>
      </w:r>
    </w:p>
    <w:p w14:paraId="1B65D04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（三）加强反腐倡廉建设，对本方工作人员开展廉政教育，加大监督检查力度。  </w:t>
      </w:r>
    </w:p>
    <w:p w14:paraId="10B56F07">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（四）发现对方在业务活动中有违反廉政规定和本合同约定的行为时，有及时提醒和督促对方纠正的权利和义务。  </w:t>
      </w:r>
    </w:p>
    <w:p w14:paraId="6629434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（五）发现对方在业务活动中有严重违法违纪和违反本合同约定的行为时，有权向对方主管部门、纪检监察、检察机关反映和举报、建议给予处理并要求告知处理结果的权利。</w:t>
      </w:r>
    </w:p>
    <w:p w14:paraId="3D1BE58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（六）经济合同变更时廉政合同内容也应做相应调整，并履行有关手续。  </w:t>
      </w:r>
    </w:p>
    <w:p w14:paraId="784A6AD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第二条 甲方在廉政建设方面义务 </w:t>
      </w:r>
    </w:p>
    <w:p w14:paraId="1A6DFA54">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甲方的领导和从事该项目的工作人员，在项目实施的事前、事中、事后应遵守以下规定：</w:t>
      </w:r>
    </w:p>
    <w:p w14:paraId="03FB9089">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（一）不准向乙方和相关单位索要或接受回扣、礼金、有价证券、贵重物品和好处费、感谢费等。 </w:t>
      </w:r>
    </w:p>
    <w:p w14:paraId="49D4B13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（二）不准在乙方和相关单位报销任何应由甲方或个人支付的费用。 </w:t>
      </w:r>
    </w:p>
    <w:p w14:paraId="2C6CD9A2">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（三）不准要求、暗示和接受乙方和相关单位为个人装修住房、婚丧嫁娶、配偶子女的工作安排以及出国（境）、旅游等提供方便。</w:t>
      </w:r>
    </w:p>
    <w:p w14:paraId="3750335D">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（四）不准参加有可能影响公正执行公务的乙方和相关单位的宴请和健身、娱乐等活动。</w:t>
      </w:r>
    </w:p>
    <w:p w14:paraId="47F92E4C">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（五）不准向乙方介绍或为配偶、子女、亲属参与同甲方采购项目有关的材料、设备供应、工程分包、劳务等经济业务。</w:t>
      </w:r>
    </w:p>
    <w:p w14:paraId="567CDEB8">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第三条  乙方在廉政建设方面的义务 </w:t>
      </w:r>
    </w:p>
    <w:p w14:paraId="4661364E">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乙方应与甲方保持正常的业务交往，按照有关法律法规和程序开展业务工作，严格执行有关方针、政策，并遵守以下规定：</w:t>
      </w:r>
    </w:p>
    <w:p w14:paraId="59DD8653">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（一）不准以任何理由向甲方、相关单位及其工作人员索要、接受或赠送礼金、有价证券、贵重物品和回扣、感谢费等。</w:t>
      </w:r>
    </w:p>
    <w:p w14:paraId="197AF971">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（二）不准以任何理由为甲方和相关单位报销应由对方或个人支付的费用。</w:t>
      </w:r>
    </w:p>
    <w:p w14:paraId="580C083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（三）不准接受或暗示为甲方、相关单位或个人装修住房、婚丧嫁娶、配偶子女的工作安排以及出国（境）、旅游等提供方便。</w:t>
      </w:r>
    </w:p>
    <w:p w14:paraId="06D00F9B">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（四）不准以任何理由为甲方、相关单位或个人组织有可能影响公正执行公务的宴请、健身、娱乐等活动。</w:t>
      </w:r>
    </w:p>
    <w:p w14:paraId="277DD1C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第四条 违约责任 </w:t>
      </w:r>
    </w:p>
    <w:p w14:paraId="3EC4614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甲方工作人员有违反本《廉政合同》第一、二条规定的行为，按照管理权限，依据有关法律法规和规定给予党纪、政纪处分或组织处理；涉嫌犯罪的，移交司法机关追究刑事责任；给乙方单位造成经济损失的，应予以赔偿。</w:t>
      </w:r>
    </w:p>
    <w:p w14:paraId="5306DEAF">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乙方工作人员有违反本《廉政合同》第一、三条规定的行为，按照管理权限，依据有关法律法规和规定给予党纪、政纪处分或组织处理；涉嫌犯罪的，移交司法机关追究刑事责任；给甲方单位造成经济损失的，应予以赔偿。</w:t>
      </w:r>
    </w:p>
    <w:p w14:paraId="07B9FCB5">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第五条 本合同有效期同经济合同期限。   </w:t>
      </w:r>
    </w:p>
    <w:p w14:paraId="64158C4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第六条 本合同为经济合同附件，与主合同具有同等法律效力，甲乙双方签署后生效。</w:t>
      </w:r>
    </w:p>
    <w:p w14:paraId="4742037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第七条 本合同与合同协议书份数一致。</w:t>
      </w:r>
    </w:p>
    <w:p w14:paraId="31752037">
      <w:pPr>
        <w:shd w:val="clear"/>
        <w:spacing w:line="360" w:lineRule="auto"/>
        <w:ind w:firstLine="420" w:firstLineChars="200"/>
        <w:rPr>
          <w:rFonts w:hint="eastAsia" w:ascii="宋体" w:hAnsi="宋体" w:eastAsia="宋体" w:cs="Times New Roman"/>
          <w:color w:val="auto"/>
          <w:sz w:val="21"/>
          <w:szCs w:val="21"/>
          <w:highlight w:val="none"/>
        </w:rPr>
      </w:pPr>
    </w:p>
    <w:p w14:paraId="58A7CD04">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甲方单位：（盖章）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乙方单位：（盖章）</w:t>
      </w:r>
    </w:p>
    <w:p w14:paraId="2D056BEE">
      <w:pPr>
        <w:shd w:val="clear"/>
        <w:tabs>
          <w:tab w:val="left" w:pos="1255"/>
          <w:tab w:val="left" w:pos="1506"/>
        </w:tabs>
        <w:adjustRightInd w:val="0"/>
        <w:snapToGri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法定代表人（签字或盖章）</w:t>
      </w:r>
      <w:r>
        <w:rPr>
          <w:rFonts w:hint="eastAsia" w:ascii="宋体" w:hAnsi="宋体" w:eastAsia="宋体" w:cs="宋体"/>
          <w:sz w:val="21"/>
          <w:szCs w:val="21"/>
          <w:highlight w:val="none"/>
          <w:lang w:eastAsia="zh-CN"/>
        </w:rPr>
        <w:t>：</w:t>
      </w:r>
    </w:p>
    <w:p w14:paraId="34234407">
      <w:pPr>
        <w:shd w:val="clear"/>
        <w:tabs>
          <w:tab w:val="left" w:pos="1255"/>
          <w:tab w:val="left" w:pos="1506"/>
        </w:tabs>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或授权代表（签字或盖章）：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或授权代表（签字或盖章）：</w:t>
      </w:r>
    </w:p>
    <w:p w14:paraId="2D60894F">
      <w:pPr>
        <w:shd w:val="clea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联系电话：                         </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联系电话：</w:t>
      </w:r>
    </w:p>
    <w:p w14:paraId="2F795586">
      <w:pPr>
        <w:shd w:val="clea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rPr>
        <w:t xml:space="preserve">    年   月   日                        年   月   日</w:t>
      </w:r>
    </w:p>
    <w:p w14:paraId="45691136">
      <w:pPr>
        <w:shd w:val="clear"/>
        <w:rPr>
          <w:rFonts w:hint="default" w:eastAsia="宋体"/>
          <w:highlight w:val="none"/>
          <w:lang w:val="en-US" w:eastAsia="zh-CN"/>
        </w:rPr>
      </w:pPr>
    </w:p>
    <w:p w14:paraId="3E1AA876">
      <w:pPr>
        <w:shd w:val="clear"/>
        <w:rPr>
          <w:rFonts w:hint="eastAsia"/>
          <w:highlight w:val="none"/>
        </w:rPr>
        <w:sectPr>
          <w:pgSz w:w="11906" w:h="16838"/>
          <w:pgMar w:top="1247" w:right="1417" w:bottom="1474" w:left="1417" w:header="851" w:footer="896" w:gutter="0"/>
          <w:cols w:space="0" w:num="1"/>
          <w:titlePg/>
          <w:rtlGutter w:val="0"/>
          <w:docGrid w:type="lines" w:linePitch="312" w:charSpace="0"/>
        </w:sectPr>
      </w:pPr>
    </w:p>
    <w:p w14:paraId="388BD5EA">
      <w:pPr>
        <w:pStyle w:val="2"/>
        <w:numPr>
          <w:ilvl w:val="0"/>
          <w:numId w:val="0"/>
        </w:numPr>
        <w:shd w:val="clear"/>
        <w:spacing w:after="120"/>
        <w:jc w:val="center"/>
        <w:rPr>
          <w:rFonts w:hint="eastAsia" w:asciiTheme="minorEastAsia" w:hAnsiTheme="minorEastAsia" w:eastAsiaTheme="minorEastAsia" w:cstheme="minorEastAsia"/>
          <w:b w:val="0"/>
          <w:color w:val="auto"/>
          <w:sz w:val="32"/>
          <w:highlight w:val="none"/>
        </w:rPr>
      </w:pPr>
      <w:r>
        <w:rPr>
          <w:rFonts w:hint="eastAsia" w:asciiTheme="minorEastAsia" w:hAnsiTheme="minorEastAsia" w:eastAsiaTheme="minorEastAsia" w:cstheme="minorEastAsia"/>
          <w:color w:val="auto"/>
          <w:sz w:val="32"/>
          <w:highlight w:val="none"/>
        </w:rPr>
        <w:t>第六部分、评标办法</w:t>
      </w:r>
    </w:p>
    <w:p w14:paraId="5952E1CE">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61F8136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一、总  则</w:t>
      </w:r>
    </w:p>
    <w:p w14:paraId="31D8533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报价文件、技术资信要求，对投标文件进行综合评定，提出优选方案，编写评标报告。对落标单位，评委会不作任何落标解释。投标人不得以任何方式干扰招投标工作的进行，一经发现其投标文件将被否决。</w:t>
      </w:r>
    </w:p>
    <w:p w14:paraId="4281FE99">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二、评标组织</w:t>
      </w:r>
    </w:p>
    <w:p w14:paraId="75582E6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评标工作由评标委员会负责，评标全过程由有关部门指导监督。</w:t>
      </w:r>
    </w:p>
    <w:p w14:paraId="59AFE48C">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三、评标程序</w:t>
      </w:r>
    </w:p>
    <w:p w14:paraId="729A083D">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评标委员会对合格投标人的</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进行评审；</w:t>
      </w:r>
      <w:r>
        <w:rPr>
          <w:rFonts w:hint="eastAsia" w:asciiTheme="minorEastAsia" w:hAnsiTheme="minorEastAsia" w:eastAsiaTheme="minorEastAsia" w:cstheme="minorEastAsia"/>
          <w:color w:val="auto"/>
          <w:sz w:val="21"/>
          <w:szCs w:val="21"/>
          <w:highlight w:val="none"/>
          <w:lang w:eastAsia="zh-CN"/>
        </w:rPr>
        <w:t>商务与技术文件</w:t>
      </w:r>
      <w:r>
        <w:rPr>
          <w:rFonts w:hint="eastAsia" w:asciiTheme="minorEastAsia" w:hAnsiTheme="minorEastAsia" w:eastAsiaTheme="minorEastAsia" w:cstheme="minorEastAsia"/>
          <w:color w:val="auto"/>
          <w:sz w:val="21"/>
          <w:szCs w:val="21"/>
          <w:highlight w:val="none"/>
        </w:rPr>
        <w:t>评审结束后即公布投标人技术资信得分情况，之后评审报价文件；对报价文件评审后，根据综合评审结果，提交评审报告。</w:t>
      </w:r>
    </w:p>
    <w:p w14:paraId="2D8669BA">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lang w:val="zh-CN"/>
        </w:rPr>
        <w:t>、评标办法</w:t>
      </w:r>
    </w:p>
    <w:p w14:paraId="1D347A45">
      <w:pPr>
        <w:spacing w:line="460" w:lineRule="exact"/>
        <w:ind w:firstLine="517" w:firstLineChars="245"/>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1、本项目分为两个标项，每个供应商可自行选择标项响应投标，但每个供应商只能中一个标项，根据标项一、标项二的顺序依次进行开评标，如投标供应商已中先开评中标标项，则自动失去未开标项的投标响应资格。</w:t>
      </w:r>
    </w:p>
    <w:p w14:paraId="17D9C911">
      <w:pPr>
        <w:spacing w:line="460" w:lineRule="exact"/>
        <w:ind w:firstLine="514" w:firstLineChars="245"/>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、本次采购采用综合评分法，即投标人最大限度地满足招标文件实质性要求的基础上，按照招标文件的各项因素进行综合评审后，</w:t>
      </w:r>
      <w:r>
        <w:rPr>
          <w:rFonts w:hint="eastAsia" w:asciiTheme="minorEastAsia" w:hAnsiTheme="minorEastAsia" w:eastAsiaTheme="minorEastAsia" w:cstheme="minorEastAsia"/>
          <w:color w:val="FF0000"/>
          <w:spacing w:val="10"/>
          <w:sz w:val="21"/>
          <w:szCs w:val="21"/>
          <w:highlight w:val="none"/>
        </w:rPr>
        <w:t>根据评标总分高低排定顺序，推荐第一名</w:t>
      </w:r>
      <w:r>
        <w:rPr>
          <w:rFonts w:hint="eastAsia" w:asciiTheme="minorEastAsia" w:hAnsiTheme="minorEastAsia" w:eastAsiaTheme="minorEastAsia" w:cstheme="minorEastAsia"/>
          <w:color w:val="FF0000"/>
          <w:spacing w:val="10"/>
          <w:sz w:val="21"/>
          <w:szCs w:val="21"/>
          <w:highlight w:val="none"/>
          <w:lang w:val="en-US" w:eastAsia="zh-CN"/>
        </w:rPr>
        <w:t>为中标</w:t>
      </w:r>
      <w:r>
        <w:rPr>
          <w:rFonts w:hint="eastAsia" w:asciiTheme="minorEastAsia" w:hAnsiTheme="minorEastAsia" w:eastAsiaTheme="minorEastAsia" w:cstheme="minorEastAsia"/>
          <w:color w:val="FF0000"/>
          <w:sz w:val="21"/>
          <w:szCs w:val="21"/>
          <w:highlight w:val="none"/>
          <w:lang w:val="zh-CN"/>
        </w:rPr>
        <w:t>供应商</w:t>
      </w:r>
      <w:r>
        <w:rPr>
          <w:rFonts w:hint="eastAsia" w:asciiTheme="minorEastAsia" w:hAnsiTheme="minorEastAsia" w:eastAsiaTheme="minorEastAsia" w:cstheme="minorEastAsia"/>
          <w:sz w:val="21"/>
          <w:szCs w:val="21"/>
          <w:highlight w:val="none"/>
        </w:rPr>
        <w:t>。根据采购要求，</w:t>
      </w:r>
      <w:r>
        <w:rPr>
          <w:rFonts w:hint="eastAsia" w:asciiTheme="minorEastAsia" w:hAnsiTheme="minorEastAsia" w:eastAsiaTheme="minorEastAsia" w:cstheme="minorEastAsia"/>
          <w:b/>
          <w:sz w:val="21"/>
          <w:szCs w:val="21"/>
          <w:highlight w:val="none"/>
        </w:rPr>
        <w:t>总分设定为100分：其中</w:t>
      </w:r>
      <w:r>
        <w:rPr>
          <w:rFonts w:hint="eastAsia" w:asciiTheme="minorEastAsia" w:hAnsiTheme="minorEastAsia" w:eastAsiaTheme="minorEastAsia" w:cstheme="minorEastAsia"/>
          <w:b/>
          <w:sz w:val="21"/>
          <w:szCs w:val="21"/>
          <w:highlight w:val="none"/>
          <w:lang w:eastAsia="zh-CN"/>
        </w:rPr>
        <w:t>商务与技术文件</w:t>
      </w:r>
      <w:r>
        <w:rPr>
          <w:rFonts w:hint="eastAsia" w:asciiTheme="minorEastAsia" w:hAnsiTheme="minorEastAsia" w:eastAsiaTheme="minorEastAsia" w:cstheme="minorEastAsia"/>
          <w:b/>
          <w:sz w:val="21"/>
          <w:szCs w:val="21"/>
          <w:highlight w:val="none"/>
          <w:lang w:val="en-US" w:eastAsia="zh-CN"/>
        </w:rPr>
        <w:t>90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90</w:t>
      </w:r>
      <w:r>
        <w:rPr>
          <w:rFonts w:hint="eastAsia" w:asciiTheme="minorEastAsia" w:hAnsiTheme="minorEastAsia" w:eastAsiaTheme="minorEastAsia" w:cstheme="minorEastAsia"/>
          <w:b/>
          <w:sz w:val="21"/>
          <w:szCs w:val="21"/>
          <w:highlight w:val="none"/>
        </w:rPr>
        <w:t>%），报价评分</w:t>
      </w:r>
      <w:r>
        <w:rPr>
          <w:rFonts w:hint="eastAsia" w:asciiTheme="minorEastAsia" w:hAnsiTheme="minorEastAsia" w:eastAsiaTheme="minorEastAsia" w:cstheme="minorEastAsia"/>
          <w:b/>
          <w:sz w:val="21"/>
          <w:szCs w:val="21"/>
          <w:highlight w:val="none"/>
          <w:lang w:val="en-US" w:eastAsia="zh-CN"/>
        </w:rPr>
        <w:t>10</w:t>
      </w:r>
      <w:r>
        <w:rPr>
          <w:rFonts w:hint="eastAsia" w:asciiTheme="minorEastAsia" w:hAnsiTheme="minorEastAsia" w:eastAsiaTheme="minorEastAsia" w:cstheme="minorEastAsia"/>
          <w:b/>
          <w:sz w:val="21"/>
          <w:szCs w:val="21"/>
          <w:highlight w:val="none"/>
        </w:rPr>
        <w:t>分（权值</w:t>
      </w:r>
      <w:r>
        <w:rPr>
          <w:rFonts w:hint="eastAsia" w:asciiTheme="minorEastAsia" w:hAnsiTheme="minorEastAsia" w:eastAsiaTheme="minorEastAsia" w:cstheme="minorEastAsia"/>
          <w:b/>
          <w:sz w:val="21"/>
          <w:szCs w:val="21"/>
          <w:highlight w:val="none"/>
          <w:lang w:val="en-US" w:eastAsia="zh-CN"/>
        </w:rPr>
        <w:t>10</w:t>
      </w:r>
      <w:r>
        <w:rPr>
          <w:rFonts w:hint="eastAsia" w:asciiTheme="minorEastAsia" w:hAnsiTheme="minorEastAsia" w:eastAsiaTheme="minorEastAsia" w:cstheme="minorEastAsia"/>
          <w:b/>
          <w:sz w:val="21"/>
          <w:szCs w:val="21"/>
          <w:highlight w:val="none"/>
        </w:rPr>
        <w:t>%）。</w:t>
      </w:r>
    </w:p>
    <w:p w14:paraId="718AF933">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、投标文件递交截止时间止及评审期间，出现有效供应商不足3家情况的，此</w:t>
      </w:r>
      <w:r>
        <w:rPr>
          <w:rFonts w:hint="eastAsia" w:asciiTheme="minorEastAsia" w:hAnsiTheme="minorEastAsia" w:eastAsiaTheme="minorEastAsia" w:cstheme="minorEastAsia"/>
          <w:b/>
          <w:color w:val="auto"/>
          <w:sz w:val="21"/>
          <w:szCs w:val="21"/>
          <w:highlight w:val="none"/>
          <w:lang w:val="en-US" w:eastAsia="zh-CN"/>
        </w:rPr>
        <w:t>标段</w:t>
      </w:r>
      <w:r>
        <w:rPr>
          <w:rFonts w:hint="eastAsia" w:asciiTheme="minorEastAsia" w:hAnsiTheme="minorEastAsia" w:eastAsiaTheme="minorEastAsia" w:cstheme="minorEastAsia"/>
          <w:b/>
          <w:color w:val="auto"/>
          <w:sz w:val="21"/>
          <w:szCs w:val="21"/>
          <w:highlight w:val="none"/>
        </w:rPr>
        <w:t>流标，重新组织招标。</w:t>
      </w:r>
    </w:p>
    <w:p w14:paraId="686E9952">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、评分细则</w:t>
      </w:r>
    </w:p>
    <w:p w14:paraId="722A65D9">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各评委成员按下列评分项目进行评判。投标文件各项评分内容由评标委员会成员各自评分</w:t>
      </w:r>
      <w:r>
        <w:rPr>
          <w:rFonts w:hint="eastAsia" w:asciiTheme="minorEastAsia" w:hAnsiTheme="minorEastAsia" w:eastAsiaTheme="minorEastAsia" w:cstheme="minorEastAsia"/>
          <w:color w:val="auto"/>
          <w:sz w:val="21"/>
          <w:szCs w:val="21"/>
          <w:highlight w:val="none"/>
          <w:lang w:eastAsia="zh-CN"/>
        </w:rPr>
        <w:t>（小数点后保留一位小数）</w:t>
      </w:r>
      <w:r>
        <w:rPr>
          <w:rFonts w:hint="eastAsia" w:asciiTheme="minorEastAsia" w:hAnsiTheme="minorEastAsia" w:eastAsiaTheme="minorEastAsia" w:cstheme="minorEastAsia"/>
          <w:color w:val="auto"/>
          <w:sz w:val="21"/>
          <w:szCs w:val="21"/>
          <w:highlight w:val="none"/>
        </w:rPr>
        <w:t>。各评标委员会成员对各投标人的各项评分内容评分的算术平均值为各投标人技术资信分得分（小数点后保留2位，第三位四舍五入）。</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25"/>
        <w:gridCol w:w="927"/>
        <w:gridCol w:w="6353"/>
        <w:gridCol w:w="983"/>
      </w:tblGrid>
      <w:tr w14:paraId="34F3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jc w:val="center"/>
        </w:trPr>
        <w:tc>
          <w:tcPr>
            <w:tcW w:w="0" w:type="auto"/>
            <w:gridSpan w:val="2"/>
            <w:shd w:val="clear" w:color="auto" w:fill="auto"/>
            <w:vAlign w:val="center"/>
          </w:tcPr>
          <w:p w14:paraId="538A9C5F">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评审项目</w:t>
            </w:r>
          </w:p>
        </w:tc>
        <w:tc>
          <w:tcPr>
            <w:tcW w:w="6353" w:type="dxa"/>
            <w:shd w:val="clear" w:color="auto" w:fill="auto"/>
            <w:vAlign w:val="center"/>
          </w:tcPr>
          <w:p w14:paraId="6A086BFA">
            <w:pPr>
              <w:pStyle w:val="99"/>
              <w:spacing w:line="240" w:lineRule="auto"/>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评审标准</w:t>
            </w:r>
          </w:p>
        </w:tc>
        <w:tc>
          <w:tcPr>
            <w:tcW w:w="983" w:type="dxa"/>
            <w:shd w:val="clear" w:color="auto" w:fill="auto"/>
            <w:vAlign w:val="center"/>
          </w:tcPr>
          <w:p w14:paraId="36E09E9C">
            <w:pPr>
              <w:pStyle w:val="99"/>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sz w:val="21"/>
                <w:szCs w:val="21"/>
                <w:highlight w:val="none"/>
                <w:vertAlign w:val="baseline"/>
                <w:lang w:val="en-US" w:eastAsia="zh-CN"/>
              </w:rPr>
              <w:t>分</w:t>
            </w:r>
            <w:r>
              <w:rPr>
                <w:rFonts w:hint="eastAsia" w:asciiTheme="minorEastAsia" w:hAnsiTheme="minorEastAsia" w:eastAsiaTheme="minorEastAsia" w:cstheme="minorEastAsia"/>
                <w:color w:val="auto"/>
                <w:sz w:val="21"/>
                <w:szCs w:val="21"/>
                <w:highlight w:val="none"/>
              </w:rPr>
              <w:t>值</w:t>
            </w:r>
          </w:p>
        </w:tc>
      </w:tr>
      <w:tr w14:paraId="5CA1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0" w:type="auto"/>
            <w:vMerge w:val="restart"/>
            <w:shd w:val="clear" w:color="auto" w:fill="auto"/>
            <w:vAlign w:val="center"/>
          </w:tcPr>
          <w:p w14:paraId="7BEF7AD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5687F1A5">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7EBC7B5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30BF2C8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2B6EC171">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商务与技术文件得分</w:t>
            </w:r>
          </w:p>
          <w:p w14:paraId="5E46FF8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（90分）</w:t>
            </w:r>
          </w:p>
        </w:tc>
        <w:tc>
          <w:tcPr>
            <w:tcW w:w="0" w:type="auto"/>
            <w:shd w:val="clear" w:color="auto" w:fill="auto"/>
            <w:vAlign w:val="center"/>
          </w:tcPr>
          <w:p w14:paraId="5D9CE14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p w14:paraId="44CFAA6E">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w:t>
            </w:r>
          </w:p>
          <w:p w14:paraId="0BC23B4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业绩</w:t>
            </w:r>
          </w:p>
          <w:p w14:paraId="73E9C5C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6353" w:type="dxa"/>
            <w:shd w:val="clear" w:color="auto" w:fill="auto"/>
            <w:vAlign w:val="center"/>
          </w:tcPr>
          <w:p w14:paraId="7549EF2F">
            <w:pPr>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 2022年 01月 01 日以来（以合同签订时间为准）承接</w:t>
            </w:r>
            <w:r>
              <w:rPr>
                <w:rFonts w:hint="eastAsia" w:asciiTheme="minorEastAsia" w:hAnsiTheme="minorEastAsia" w:eastAsiaTheme="minorEastAsia" w:cstheme="minorEastAsia"/>
                <w:color w:val="auto"/>
                <w:kern w:val="0"/>
                <w:sz w:val="21"/>
                <w:szCs w:val="21"/>
                <w:highlight w:val="none"/>
                <w:lang w:eastAsia="zh-CN" w:bidi="ar"/>
              </w:rPr>
              <w:t>疗休养项目</w:t>
            </w:r>
            <w:r>
              <w:rPr>
                <w:rFonts w:hint="eastAsia" w:asciiTheme="minorEastAsia" w:hAnsiTheme="minorEastAsia" w:eastAsiaTheme="minorEastAsia" w:cstheme="minorEastAsia"/>
                <w:color w:val="auto"/>
                <w:kern w:val="0"/>
                <w:sz w:val="21"/>
                <w:szCs w:val="21"/>
                <w:highlight w:val="none"/>
                <w:lang w:val="en-US" w:eastAsia="zh-CN" w:bidi="ar"/>
              </w:rPr>
              <w:t>的</w:t>
            </w:r>
            <w:r>
              <w:rPr>
                <w:rFonts w:hint="eastAsia" w:asciiTheme="minorEastAsia" w:hAnsiTheme="minorEastAsia" w:eastAsiaTheme="minorEastAsia" w:cstheme="minorEastAsia"/>
                <w:color w:val="auto"/>
                <w:sz w:val="21"/>
                <w:szCs w:val="21"/>
                <w:highlight w:val="none"/>
                <w:lang w:val="en-US" w:eastAsia="zh-CN"/>
              </w:rPr>
              <w:t>同类项目业绩，每提供1个得1.0分。</w:t>
            </w:r>
          </w:p>
          <w:p w14:paraId="48676E64">
            <w:pPr>
              <w:spacing w:line="240" w:lineRule="auto"/>
              <w:ind w:firstLine="42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注：提供合同扫描件及满意度反馈单（格式自拟）的扫描件（如无满意度反馈单必须由此项目的业主予以盖章证明）,否则不得分，未提供不予得分。）</w:t>
            </w:r>
          </w:p>
        </w:tc>
        <w:tc>
          <w:tcPr>
            <w:tcW w:w="983" w:type="dxa"/>
            <w:shd w:val="clear" w:color="auto" w:fill="auto"/>
            <w:vAlign w:val="center"/>
          </w:tcPr>
          <w:p w14:paraId="4769D54A">
            <w:pPr>
              <w:pStyle w:val="26"/>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0-1分</w:t>
            </w:r>
          </w:p>
        </w:tc>
      </w:tr>
      <w:tr w14:paraId="1C2A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609B6A29">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3F931877">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项目组人员</w:t>
            </w:r>
          </w:p>
        </w:tc>
        <w:tc>
          <w:tcPr>
            <w:tcW w:w="6353" w:type="dxa"/>
            <w:shd w:val="clear" w:color="auto" w:fill="auto"/>
            <w:vAlign w:val="top"/>
          </w:tcPr>
          <w:p w14:paraId="6D75C0E8">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供应商明确投入本项目带团的人员具有</w:t>
            </w:r>
            <w:r>
              <w:rPr>
                <w:rFonts w:hint="eastAsia" w:asciiTheme="minorEastAsia" w:hAnsiTheme="minorEastAsia" w:eastAsiaTheme="minorEastAsia" w:cstheme="minorEastAsia"/>
                <w:sz w:val="21"/>
                <w:szCs w:val="21"/>
                <w:highlight w:val="none"/>
                <w:lang w:val="en-US" w:eastAsia="zh-CN"/>
              </w:rPr>
              <w:t>国家级导游证书</w:t>
            </w:r>
            <w:r>
              <w:rPr>
                <w:rFonts w:hint="eastAsia" w:asciiTheme="minorEastAsia" w:hAnsiTheme="minorEastAsia" w:eastAsiaTheme="minorEastAsia" w:cstheme="minorEastAsia"/>
                <w:color w:val="auto"/>
                <w:kern w:val="0"/>
                <w:sz w:val="21"/>
                <w:szCs w:val="21"/>
                <w:highlight w:val="none"/>
                <w:lang w:val="en-US" w:eastAsia="zh-CN" w:bidi="ar"/>
              </w:rPr>
              <w:t>的得 1.0分，最高得 4.0 分；</w:t>
            </w:r>
          </w:p>
          <w:p w14:paraId="6F497D1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注：投标文件中须提供国家级导游电子证书扫描件及人员在职近1年及以上社保缴纳证明，未提供或提供不全的不得分）。 </w:t>
            </w:r>
          </w:p>
        </w:tc>
        <w:tc>
          <w:tcPr>
            <w:tcW w:w="983" w:type="dxa"/>
            <w:shd w:val="clear" w:color="auto" w:fill="auto"/>
            <w:vAlign w:val="center"/>
          </w:tcPr>
          <w:p w14:paraId="591F22BB">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7024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0" w:type="auto"/>
            <w:vMerge w:val="continue"/>
            <w:shd w:val="clear" w:color="auto" w:fill="auto"/>
            <w:vAlign w:val="center"/>
          </w:tcPr>
          <w:p w14:paraId="76F1E61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1E7278BA">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旅行安全事故</w:t>
            </w:r>
          </w:p>
        </w:tc>
        <w:tc>
          <w:tcPr>
            <w:tcW w:w="6353" w:type="dxa"/>
            <w:shd w:val="clear" w:color="auto" w:fill="auto"/>
            <w:vAlign w:val="top"/>
          </w:tcPr>
          <w:p w14:paraId="48928B2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供应商近三年（2022年1月至本项目投标截止前）单位旅行安全责任事故情况：没有事故得4.0分，发生事故不得分。</w:t>
            </w:r>
          </w:p>
          <w:p w14:paraId="2EB5EEE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投标时须提供当地旅游局开具的旅行安全事故证明扫描件，否则不得分。</w:t>
            </w:r>
          </w:p>
        </w:tc>
        <w:tc>
          <w:tcPr>
            <w:tcW w:w="983" w:type="dxa"/>
            <w:shd w:val="clear" w:color="auto" w:fill="auto"/>
            <w:vAlign w:val="center"/>
          </w:tcPr>
          <w:p w14:paraId="702B99B3">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0-4分</w:t>
            </w:r>
          </w:p>
        </w:tc>
      </w:tr>
      <w:tr w14:paraId="5C8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0" w:type="auto"/>
            <w:vMerge w:val="continue"/>
            <w:shd w:val="clear" w:color="auto" w:fill="auto"/>
            <w:vAlign w:val="center"/>
          </w:tcPr>
          <w:p w14:paraId="257B58A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233409A8">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疗休养路线方案</w:t>
            </w:r>
          </w:p>
        </w:tc>
        <w:tc>
          <w:tcPr>
            <w:tcW w:w="6353" w:type="dxa"/>
            <w:shd w:val="clear" w:color="auto" w:fill="auto"/>
            <w:vAlign w:val="top"/>
          </w:tcPr>
          <w:p w14:paraId="659BDBFD">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1、根据供应商针对疗休养提供的路线景点方案进行打分：</w:t>
            </w:r>
          </w:p>
          <w:p w14:paraId="109FB29D">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①路线景点方案对口支援省份、周边省份、满足项目要求、标明各景点特色情况、特色活动安排方案详细、具有针对性，合理完整的得7.0-9.0分；</w:t>
            </w:r>
          </w:p>
          <w:p w14:paraId="6D6D9AB5">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②路线景点方案对口支援省份、周边省份、满足项目要求、标明各景点特色情况、特色活动安排方案不够详细、缺乏针对性，安排不够完整的得3.0-6.9分；</w:t>
            </w:r>
          </w:p>
          <w:p w14:paraId="61005E82">
            <w:pPr>
              <w:widowControl/>
              <w:spacing w:line="240" w:lineRule="auto"/>
              <w:jc w:val="both"/>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③路线景点方案对口支援省份、周边省份、满足项目要求、未标明各景点特色情况、特色活动安排方案不详细、无特色的得0.0-2.9分。</w:t>
            </w:r>
          </w:p>
        </w:tc>
        <w:tc>
          <w:tcPr>
            <w:tcW w:w="983" w:type="dxa"/>
            <w:shd w:val="clear" w:color="auto" w:fill="auto"/>
            <w:vAlign w:val="center"/>
          </w:tcPr>
          <w:p w14:paraId="4D228E0C">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0-9分</w:t>
            </w:r>
          </w:p>
          <w:p w14:paraId="4BE6EDE1">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p>
        </w:tc>
      </w:tr>
      <w:tr w14:paraId="314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0" w:type="auto"/>
            <w:vMerge w:val="continue"/>
            <w:shd w:val="clear" w:color="auto" w:fill="auto"/>
            <w:vAlign w:val="center"/>
          </w:tcPr>
          <w:p w14:paraId="07B797B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77D129DB">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6353" w:type="dxa"/>
            <w:shd w:val="clear" w:color="auto" w:fill="auto"/>
            <w:vAlign w:val="center"/>
          </w:tcPr>
          <w:p w14:paraId="38AADAD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2、根据供应商针对疗休养提供的路线时间安排方案进行打分</w:t>
            </w:r>
          </w:p>
          <w:p w14:paraId="1759C594">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①路线时间安排方案标明游玩时间、景点与住宿之间的车程时间、方案编制详细，安排合理的得6.0-8.0分；</w:t>
            </w:r>
          </w:p>
          <w:p w14:paraId="12902940">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②路线时间安排方案标明游玩时间、景点与住宿之间的车程时间、方案编制较详细，安排比较合理的得3.0-5.9分；</w:t>
            </w:r>
          </w:p>
          <w:p w14:paraId="5FD1223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③路线时间安排方案标明游玩时间、景点与住宿之间的车程时间、方案编制不详细，安排不够合理的得0.0-2.9分。</w:t>
            </w:r>
          </w:p>
        </w:tc>
        <w:tc>
          <w:tcPr>
            <w:tcW w:w="983" w:type="dxa"/>
            <w:shd w:val="clear" w:color="auto" w:fill="auto"/>
            <w:vAlign w:val="center"/>
          </w:tcPr>
          <w:p w14:paraId="44D6DC7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0-8分</w:t>
            </w:r>
          </w:p>
        </w:tc>
      </w:tr>
      <w:tr w14:paraId="45EA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14:paraId="64A80B62">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59CF58A4">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餐费</w:t>
            </w:r>
          </w:p>
          <w:p w14:paraId="54BF58D9">
            <w:pPr>
              <w:numPr>
                <w:ilvl w:val="0"/>
                <w:numId w:val="0"/>
              </w:numPr>
              <w:spacing w:line="240" w:lineRule="auto"/>
              <w:ind w:left="0" w:lef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6353" w:type="dxa"/>
            <w:shd w:val="clear" w:color="auto" w:fill="auto"/>
            <w:vAlign w:val="center"/>
          </w:tcPr>
          <w:p w14:paraId="584340C6">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1、根据旅游过程中各餐标准（详见项目需求）及荤素搭配、营养丰富、就</w:t>
            </w:r>
            <w:r>
              <w:rPr>
                <w:rFonts w:hint="eastAsia" w:asciiTheme="minorEastAsia" w:hAnsiTheme="minorEastAsia" w:eastAsiaTheme="minorEastAsia" w:cstheme="minorEastAsia"/>
                <w:color w:val="auto"/>
                <w:kern w:val="0"/>
                <w:sz w:val="21"/>
                <w:szCs w:val="21"/>
                <w:highlight w:val="none"/>
                <w:lang w:bidi="ar"/>
              </w:rPr>
              <w:t>餐安排</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kern w:val="0"/>
                <w:sz w:val="21"/>
                <w:szCs w:val="21"/>
                <w:highlight w:val="none"/>
                <w:lang w:eastAsia="zh-CN"/>
              </w:rPr>
              <w:t>须提供参考菜单</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、就餐环境、餐饮标准</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具有当地特点</w:t>
            </w:r>
            <w:r>
              <w:rPr>
                <w:rFonts w:hint="eastAsia" w:asciiTheme="minorEastAsia" w:hAnsiTheme="minorEastAsia" w:eastAsiaTheme="minorEastAsia" w:cstheme="minorEastAsia"/>
                <w:color w:val="auto"/>
                <w:kern w:val="0"/>
                <w:sz w:val="21"/>
                <w:szCs w:val="21"/>
                <w:highlight w:val="none"/>
                <w:lang w:bidi="ar"/>
              </w:rPr>
              <w:t>等各方面内容进行综合打分。</w:t>
            </w:r>
          </w:p>
          <w:p w14:paraId="7C8D23D5">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①具有当地特色、菜肴搭配丰富均衡、综合评价好的社会餐厅得</w:t>
            </w:r>
            <w:r>
              <w:rPr>
                <w:rFonts w:hint="eastAsia" w:asciiTheme="minorEastAsia" w:hAnsiTheme="minorEastAsia" w:eastAsiaTheme="minorEastAsia" w:cstheme="minorEastAsia"/>
                <w:sz w:val="21"/>
                <w:szCs w:val="21"/>
                <w:highlight w:val="none"/>
                <w:lang w:val="en-US" w:eastAsia="zh-CN"/>
              </w:rPr>
              <w:t>8.0-12.0</w:t>
            </w:r>
            <w:r>
              <w:rPr>
                <w:rFonts w:hint="eastAsia" w:asciiTheme="minorEastAsia" w:hAnsiTheme="minorEastAsia" w:eastAsiaTheme="minorEastAsia" w:cstheme="minorEastAsia"/>
                <w:color w:val="auto"/>
                <w:kern w:val="0"/>
                <w:sz w:val="21"/>
                <w:szCs w:val="21"/>
                <w:highlight w:val="none"/>
                <w:lang w:val="en-US" w:eastAsia="zh-CN" w:bidi="ar"/>
              </w:rPr>
              <w:t>分；</w:t>
            </w:r>
          </w:p>
          <w:p w14:paraId="275DC2E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②具有当地特色、菜肴搭配较为丰富均衡、评价较好的社会餐厅得</w:t>
            </w:r>
            <w:r>
              <w:rPr>
                <w:rFonts w:hint="eastAsia" w:asciiTheme="minorEastAsia" w:hAnsiTheme="minorEastAsia" w:eastAsiaTheme="minorEastAsia" w:cstheme="minorEastAsia"/>
                <w:sz w:val="21"/>
                <w:szCs w:val="21"/>
                <w:highlight w:val="none"/>
                <w:lang w:val="en-US" w:eastAsia="zh-CN"/>
              </w:rPr>
              <w:t>4.0-7.9</w:t>
            </w:r>
            <w:r>
              <w:rPr>
                <w:rFonts w:hint="eastAsia" w:asciiTheme="minorEastAsia" w:hAnsiTheme="minorEastAsia" w:eastAsiaTheme="minorEastAsia" w:cstheme="minorEastAsia"/>
                <w:color w:val="auto"/>
                <w:kern w:val="0"/>
                <w:sz w:val="21"/>
                <w:szCs w:val="21"/>
                <w:highlight w:val="none"/>
                <w:lang w:val="en-US" w:eastAsia="zh-CN" w:bidi="ar"/>
              </w:rPr>
              <w:t>分；</w:t>
            </w:r>
          </w:p>
          <w:p w14:paraId="27E3D81B">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③菜肴搭配一般、缺少当地特色、评价一般的社会餐厅得0.0-3.9分；未提供方案的不得分。</w:t>
            </w:r>
          </w:p>
          <w:p w14:paraId="60D93AA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注：</w:t>
            </w:r>
            <w:r>
              <w:rPr>
                <w:rFonts w:hint="eastAsia" w:asciiTheme="minorEastAsia" w:hAnsiTheme="minorEastAsia" w:eastAsiaTheme="minorEastAsia" w:cstheme="minorEastAsia"/>
                <w:color w:val="auto"/>
                <w:kern w:val="0"/>
                <w:sz w:val="21"/>
                <w:szCs w:val="21"/>
                <w:highlight w:val="none"/>
                <w:lang w:bidi="ar"/>
              </w:rPr>
              <w:t>提供</w:t>
            </w:r>
            <w:r>
              <w:rPr>
                <w:rFonts w:hint="eastAsia" w:asciiTheme="minorEastAsia" w:hAnsiTheme="minorEastAsia" w:eastAsiaTheme="minorEastAsia" w:cstheme="minorEastAsia"/>
                <w:color w:val="auto"/>
                <w:kern w:val="0"/>
                <w:sz w:val="21"/>
                <w:szCs w:val="21"/>
                <w:highlight w:val="none"/>
                <w:lang w:eastAsia="zh-CN" w:bidi="ar"/>
              </w:rPr>
              <w:t>的</w:t>
            </w:r>
            <w:r>
              <w:rPr>
                <w:rFonts w:hint="eastAsia" w:asciiTheme="minorEastAsia" w:hAnsiTheme="minorEastAsia" w:eastAsiaTheme="minorEastAsia" w:cstheme="minorEastAsia"/>
                <w:color w:val="auto"/>
                <w:kern w:val="0"/>
                <w:sz w:val="21"/>
                <w:szCs w:val="21"/>
                <w:highlight w:val="none"/>
                <w:lang w:bidi="ar"/>
              </w:rPr>
              <w:t>就餐</w:t>
            </w:r>
            <w:r>
              <w:rPr>
                <w:rFonts w:hint="eastAsia" w:asciiTheme="minorEastAsia" w:hAnsiTheme="minorEastAsia" w:eastAsiaTheme="minorEastAsia" w:cstheme="minorEastAsia"/>
                <w:color w:val="auto"/>
                <w:kern w:val="0"/>
                <w:sz w:val="21"/>
                <w:szCs w:val="21"/>
                <w:highlight w:val="none"/>
                <w:lang w:eastAsia="zh-CN" w:bidi="ar"/>
              </w:rPr>
              <w:t>酒店菜单、环境</w:t>
            </w:r>
            <w:r>
              <w:rPr>
                <w:rFonts w:hint="eastAsia" w:asciiTheme="minorEastAsia" w:hAnsiTheme="minorEastAsia" w:eastAsiaTheme="minorEastAsia" w:cstheme="minorEastAsia"/>
                <w:color w:val="auto"/>
                <w:kern w:val="0"/>
                <w:sz w:val="21"/>
                <w:szCs w:val="21"/>
                <w:highlight w:val="none"/>
                <w:lang w:val="en-US" w:eastAsia="zh-CN" w:bidi="ar"/>
              </w:rPr>
              <w:t>彩照</w:t>
            </w:r>
            <w:r>
              <w:rPr>
                <w:rFonts w:hint="eastAsia" w:asciiTheme="minorEastAsia" w:hAnsiTheme="minorEastAsia" w:eastAsiaTheme="minorEastAsia" w:cstheme="minorEastAsia"/>
                <w:color w:val="auto"/>
                <w:kern w:val="0"/>
                <w:sz w:val="21"/>
                <w:szCs w:val="21"/>
                <w:highlight w:val="none"/>
                <w:lang w:eastAsia="zh-CN" w:bidi="ar"/>
              </w:rPr>
              <w:t>须有近半年的时间水印</w:t>
            </w:r>
            <w:r>
              <w:rPr>
                <w:rFonts w:hint="eastAsia" w:asciiTheme="minorEastAsia" w:hAnsiTheme="minorEastAsia" w:eastAsiaTheme="minorEastAsia" w:cstheme="minorEastAsia"/>
                <w:color w:val="auto"/>
                <w:kern w:val="0"/>
                <w:sz w:val="21"/>
                <w:szCs w:val="21"/>
                <w:highlight w:val="none"/>
                <w:lang w:bidi="ar"/>
              </w:rPr>
              <w:t>、地理位置情况说明并提供餐饮标准说明等。</w:t>
            </w:r>
          </w:p>
        </w:tc>
        <w:tc>
          <w:tcPr>
            <w:tcW w:w="983" w:type="dxa"/>
            <w:shd w:val="clear" w:color="auto" w:fill="auto"/>
            <w:vAlign w:val="center"/>
          </w:tcPr>
          <w:p w14:paraId="04E78E9D">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0-12分</w:t>
            </w:r>
          </w:p>
        </w:tc>
      </w:tr>
      <w:tr w14:paraId="069B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0" w:type="auto"/>
            <w:vMerge w:val="continue"/>
            <w:shd w:val="clear" w:color="auto" w:fill="auto"/>
            <w:vAlign w:val="center"/>
          </w:tcPr>
          <w:p w14:paraId="1FDB1BB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317CF53C">
            <w:pPr>
              <w:numPr>
                <w:ilvl w:val="0"/>
                <w:numId w:val="0"/>
              </w:numPr>
              <w:spacing w:line="240" w:lineRule="auto"/>
              <w:ind w:left="0" w:leftChars="0" w:firstLine="0" w:firstLineChars="0"/>
              <w:jc w:val="center"/>
              <w:rPr>
                <w:rFonts w:hint="eastAsia" w:asciiTheme="minorEastAsia" w:hAnsiTheme="minorEastAsia" w:eastAsiaTheme="minorEastAsia" w:cstheme="minorEastAsia"/>
                <w:b/>
                <w:bCs/>
                <w:color w:val="auto"/>
                <w:sz w:val="21"/>
                <w:szCs w:val="21"/>
                <w:highlight w:val="none"/>
              </w:rPr>
            </w:pPr>
          </w:p>
        </w:tc>
        <w:tc>
          <w:tcPr>
            <w:tcW w:w="6353" w:type="dxa"/>
            <w:shd w:val="clear" w:color="auto" w:fill="auto"/>
            <w:vAlign w:val="center"/>
          </w:tcPr>
          <w:p w14:paraId="5CB10337">
            <w:pPr>
              <w:widowControl/>
              <w:spacing w:line="240" w:lineRule="auto"/>
              <w:ind w:firstLine="210" w:firstLineChars="1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2、承诺住宿酒店或民宿</w:t>
            </w:r>
            <w:r>
              <w:rPr>
                <w:rFonts w:hint="eastAsia" w:asciiTheme="minorEastAsia" w:hAnsiTheme="minorEastAsia" w:eastAsiaTheme="minorEastAsia" w:cstheme="minorEastAsia"/>
                <w:color w:val="auto"/>
                <w:kern w:val="0"/>
                <w:sz w:val="21"/>
                <w:szCs w:val="21"/>
                <w:highlight w:val="none"/>
                <w:lang w:bidi="ar"/>
              </w:rPr>
              <w:t>提供自助早餐（部分景区酒店由于条件限制，早餐需安排加餐）</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餐厅交通便利，环境好，用餐次数按疗休养天数算足</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rPr>
              <w:t>得2.0分</w:t>
            </w:r>
            <w:r>
              <w:rPr>
                <w:rFonts w:hint="eastAsia" w:asciiTheme="minorEastAsia" w:hAnsiTheme="minorEastAsia" w:eastAsiaTheme="minorEastAsia" w:cstheme="minorEastAsia"/>
                <w:color w:val="auto"/>
                <w:kern w:val="0"/>
                <w:sz w:val="21"/>
                <w:szCs w:val="21"/>
                <w:highlight w:val="none"/>
                <w:lang w:bidi="ar"/>
              </w:rPr>
              <w:t xml:space="preserve"> </w:t>
            </w:r>
            <w:r>
              <w:rPr>
                <w:rFonts w:hint="eastAsia" w:asciiTheme="minorEastAsia" w:hAnsiTheme="minorEastAsia" w:eastAsiaTheme="minorEastAsia" w:cstheme="minorEastAsia"/>
                <w:color w:val="auto"/>
                <w:kern w:val="0"/>
                <w:sz w:val="21"/>
                <w:szCs w:val="21"/>
                <w:highlight w:val="none"/>
                <w:lang w:val="en-US" w:eastAsia="zh-CN" w:bidi="ar"/>
              </w:rPr>
              <w:t>。</w:t>
            </w:r>
          </w:p>
          <w:p w14:paraId="09CE1E30">
            <w:pPr>
              <w:widowControl/>
              <w:spacing w:line="240" w:lineRule="auto"/>
              <w:jc w:val="left"/>
              <w:rPr>
                <w:rFonts w:hint="eastAsia" w:asciiTheme="minorEastAsia" w:hAnsiTheme="minorEastAsia" w:eastAsiaTheme="minorEastAsia" w:cstheme="minorEastAsia"/>
                <w:color w:val="auto"/>
                <w:kern w:val="0"/>
                <w:sz w:val="21"/>
                <w:szCs w:val="21"/>
                <w:highlight w:val="none"/>
                <w:lang w:val="en-US" w:bidi="ar"/>
              </w:rPr>
            </w:pPr>
            <w:r>
              <w:rPr>
                <w:rFonts w:hint="eastAsia" w:asciiTheme="minorEastAsia" w:hAnsiTheme="minorEastAsia" w:eastAsiaTheme="minorEastAsia" w:cstheme="minorEastAsia"/>
                <w:color w:val="auto"/>
                <w:kern w:val="0"/>
                <w:sz w:val="21"/>
                <w:szCs w:val="21"/>
                <w:highlight w:val="none"/>
                <w:lang w:bidi="ar"/>
              </w:rPr>
              <w:t>注：</w:t>
            </w:r>
            <w:r>
              <w:rPr>
                <w:rFonts w:hint="eastAsia" w:asciiTheme="minorEastAsia" w:hAnsiTheme="minorEastAsia" w:eastAsiaTheme="minorEastAsia" w:cstheme="minorEastAsia"/>
                <w:color w:val="auto"/>
                <w:kern w:val="0"/>
                <w:sz w:val="21"/>
                <w:szCs w:val="21"/>
                <w:highlight w:val="none"/>
                <w:lang w:eastAsia="zh-CN" w:bidi="ar"/>
              </w:rPr>
              <w:t>提供相应承诺函，格式自拟，</w:t>
            </w:r>
            <w:r>
              <w:rPr>
                <w:rFonts w:hint="eastAsia" w:asciiTheme="minorEastAsia" w:hAnsiTheme="minorEastAsia" w:eastAsiaTheme="minorEastAsia" w:cstheme="minorEastAsia"/>
                <w:color w:val="auto"/>
                <w:kern w:val="0"/>
                <w:sz w:val="21"/>
                <w:szCs w:val="21"/>
                <w:highlight w:val="none"/>
                <w:lang w:val="en-US" w:eastAsia="zh-CN" w:bidi="ar"/>
              </w:rPr>
              <w:t>未提供不得分。</w:t>
            </w:r>
          </w:p>
        </w:tc>
        <w:tc>
          <w:tcPr>
            <w:tcW w:w="983" w:type="dxa"/>
            <w:shd w:val="clear" w:color="auto" w:fill="auto"/>
            <w:vAlign w:val="center"/>
          </w:tcPr>
          <w:p w14:paraId="44D4B437">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0-2分</w:t>
            </w:r>
          </w:p>
        </w:tc>
      </w:tr>
      <w:tr w14:paraId="44DB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Merge w:val="continue"/>
            <w:shd w:val="clear" w:color="auto" w:fill="auto"/>
            <w:vAlign w:val="center"/>
          </w:tcPr>
          <w:p w14:paraId="2BB8068C">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95E1B7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住宿</w:t>
            </w:r>
          </w:p>
          <w:p w14:paraId="67918425">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安排</w:t>
            </w:r>
          </w:p>
        </w:tc>
        <w:tc>
          <w:tcPr>
            <w:tcW w:w="6353" w:type="dxa"/>
            <w:shd w:val="clear" w:color="auto" w:fill="auto"/>
            <w:vAlign w:val="center"/>
          </w:tcPr>
          <w:p w14:paraId="6B1C5269">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满足项目需求，需标明酒店星级、周边环境、配套设施等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方案进行打分：</w:t>
            </w:r>
          </w:p>
          <w:p w14:paraId="321CA2F8">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①根据提供的住宿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整体方案编制详细，性价比高的得8.0-12.0分；</w:t>
            </w:r>
          </w:p>
          <w:p w14:paraId="0B2F38C4">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②根据提供的住宿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整体方案编制较好，性价比较高的得4.0-7.9分；</w:t>
            </w:r>
          </w:p>
          <w:p w14:paraId="04E24EFB">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③根据提供的住宿</w:t>
            </w:r>
            <w:r>
              <w:rPr>
                <w:rFonts w:hint="eastAsia" w:asciiTheme="minorEastAsia" w:hAnsiTheme="minorEastAsia" w:eastAsiaTheme="minorEastAsia" w:cstheme="minorEastAsia"/>
                <w:color w:val="auto"/>
                <w:sz w:val="21"/>
                <w:szCs w:val="21"/>
                <w:highlight w:val="none"/>
                <w:lang w:val="en-US" w:eastAsia="zh-CN"/>
              </w:rPr>
              <w:t>酒店或民宿品质</w:t>
            </w:r>
            <w:r>
              <w:rPr>
                <w:rFonts w:hint="eastAsia" w:asciiTheme="minorEastAsia" w:hAnsiTheme="minorEastAsia" w:eastAsiaTheme="minorEastAsia" w:cstheme="minorEastAsia"/>
                <w:color w:val="auto"/>
                <w:sz w:val="21"/>
                <w:szCs w:val="21"/>
                <w:highlight w:val="none"/>
                <w:lang w:eastAsia="zh-CN"/>
              </w:rPr>
              <w:t>安排</w:t>
            </w:r>
            <w:r>
              <w:rPr>
                <w:rFonts w:hint="eastAsia" w:asciiTheme="minorEastAsia" w:hAnsiTheme="minorEastAsia" w:eastAsiaTheme="minorEastAsia" w:cstheme="minorEastAsia"/>
                <w:color w:val="auto"/>
                <w:sz w:val="21"/>
                <w:szCs w:val="21"/>
                <w:highlight w:val="none"/>
                <w:lang w:val="en-US" w:eastAsia="zh-CN"/>
              </w:rPr>
              <w:t>满足项目需求，需标明等级，</w:t>
            </w:r>
            <w:r>
              <w:rPr>
                <w:rFonts w:hint="eastAsia" w:asciiTheme="minorEastAsia" w:hAnsiTheme="minorEastAsia" w:eastAsiaTheme="minorEastAsia" w:cstheme="minorEastAsia"/>
                <w:color w:val="auto"/>
                <w:sz w:val="21"/>
                <w:szCs w:val="21"/>
                <w:highlight w:val="none"/>
                <w:lang w:eastAsia="zh-CN"/>
              </w:rPr>
              <w:t>地理位置情况说明，</w:t>
            </w:r>
            <w:r>
              <w:rPr>
                <w:rFonts w:hint="eastAsia" w:asciiTheme="minorEastAsia" w:hAnsiTheme="minorEastAsia" w:eastAsiaTheme="minorEastAsia" w:cstheme="minorEastAsia"/>
                <w:color w:val="auto"/>
                <w:sz w:val="21"/>
                <w:szCs w:val="21"/>
                <w:highlight w:val="none"/>
                <w:lang w:val="en-US" w:eastAsia="zh-CN"/>
              </w:rPr>
              <w:t>交通便利，房间大小（要求</w:t>
            </w:r>
            <w:r>
              <w:rPr>
                <w:rFonts w:hint="eastAsia" w:asciiTheme="minorEastAsia" w:hAnsiTheme="minorEastAsia" w:eastAsiaTheme="minorEastAsia" w:cstheme="minorEastAsia"/>
                <w:color w:val="auto"/>
                <w:sz w:val="21"/>
                <w:szCs w:val="21"/>
                <w:highlight w:val="none"/>
                <w:lang w:eastAsia="zh-CN"/>
              </w:rPr>
              <w:t>住宿标准为标准间（双人间）</w:t>
            </w:r>
            <w:r>
              <w:rPr>
                <w:rFonts w:hint="eastAsia" w:asciiTheme="minorEastAsia" w:hAnsiTheme="minorEastAsia" w:eastAsiaTheme="minorEastAsia" w:cstheme="minorEastAsia"/>
                <w:color w:val="auto"/>
                <w:sz w:val="21"/>
                <w:szCs w:val="21"/>
                <w:highlight w:val="none"/>
                <w:lang w:val="en-US" w:eastAsia="zh-CN"/>
              </w:rPr>
              <w:t>）、朝向、服务设施齐全，</w:t>
            </w:r>
            <w:r>
              <w:rPr>
                <w:rFonts w:hint="eastAsia" w:asciiTheme="minorEastAsia" w:hAnsiTheme="minorEastAsia" w:eastAsiaTheme="minorEastAsia" w:cstheme="minorEastAsia"/>
                <w:color w:val="auto"/>
                <w:sz w:val="21"/>
                <w:szCs w:val="21"/>
                <w:highlight w:val="none"/>
                <w:lang w:eastAsia="zh-CN"/>
              </w:rPr>
              <w:t>环境好、干净卫生，</w:t>
            </w:r>
            <w:r>
              <w:rPr>
                <w:rFonts w:hint="eastAsia" w:asciiTheme="minorEastAsia" w:hAnsiTheme="minorEastAsia" w:eastAsiaTheme="minorEastAsia" w:cstheme="minorEastAsia"/>
                <w:color w:val="auto"/>
                <w:sz w:val="21"/>
                <w:szCs w:val="21"/>
                <w:highlight w:val="none"/>
                <w:lang w:val="en-US" w:eastAsia="zh-CN"/>
              </w:rPr>
              <w:t>整体方案编制不够完善，性价比较差的得0.0-3.9分。</w:t>
            </w:r>
          </w:p>
          <w:p w14:paraId="20BE71E4">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kern w:val="0"/>
                <w:sz w:val="21"/>
                <w:szCs w:val="21"/>
                <w:highlight w:val="none"/>
                <w:lang w:eastAsia="zh-CN" w:bidi="ar"/>
              </w:rPr>
              <w:t>各入住酒店大堂、客房、</w:t>
            </w:r>
            <w:r>
              <w:rPr>
                <w:rFonts w:hint="eastAsia" w:asciiTheme="minorEastAsia" w:hAnsiTheme="minorEastAsia" w:eastAsiaTheme="minorEastAsia" w:cstheme="minorEastAsia"/>
                <w:color w:val="auto"/>
                <w:kern w:val="0"/>
                <w:sz w:val="21"/>
                <w:szCs w:val="21"/>
                <w:highlight w:val="none"/>
                <w:lang w:val="en-US" w:eastAsia="zh-CN" w:bidi="ar"/>
              </w:rPr>
              <w:t>民宿</w:t>
            </w:r>
            <w:r>
              <w:rPr>
                <w:rFonts w:hint="eastAsia" w:asciiTheme="minorEastAsia" w:hAnsiTheme="minorEastAsia" w:eastAsiaTheme="minorEastAsia" w:cstheme="minorEastAsia"/>
                <w:color w:val="auto"/>
                <w:kern w:val="0"/>
                <w:sz w:val="21"/>
                <w:szCs w:val="21"/>
                <w:highlight w:val="none"/>
                <w:lang w:eastAsia="zh-CN" w:bidi="ar"/>
              </w:rPr>
              <w:t>真实彩照（彩照须</w:t>
            </w:r>
            <w:r>
              <w:rPr>
                <w:rFonts w:hint="eastAsia" w:asciiTheme="minorEastAsia" w:hAnsiTheme="minorEastAsia" w:eastAsiaTheme="minorEastAsia" w:cstheme="minorEastAsia"/>
                <w:color w:val="auto"/>
                <w:kern w:val="0"/>
                <w:sz w:val="21"/>
                <w:szCs w:val="21"/>
                <w:highlight w:val="none"/>
                <w:lang w:val="en-US" w:eastAsia="zh-CN" w:bidi="ar"/>
              </w:rPr>
              <w:t>有</w:t>
            </w:r>
            <w:r>
              <w:rPr>
                <w:rFonts w:hint="eastAsia" w:asciiTheme="minorEastAsia" w:hAnsiTheme="minorEastAsia" w:eastAsiaTheme="minorEastAsia" w:cstheme="minorEastAsia"/>
                <w:color w:val="auto"/>
                <w:kern w:val="0"/>
                <w:sz w:val="21"/>
                <w:szCs w:val="21"/>
                <w:highlight w:val="none"/>
                <w:lang w:eastAsia="zh-CN" w:bidi="ar"/>
              </w:rPr>
              <w:t>一年内时间水印）</w:t>
            </w:r>
            <w:r>
              <w:rPr>
                <w:rFonts w:hint="eastAsia" w:asciiTheme="minorEastAsia" w:hAnsiTheme="minorEastAsia" w:eastAsiaTheme="minorEastAsia" w:cstheme="minorEastAsia"/>
                <w:color w:val="auto"/>
                <w:sz w:val="21"/>
                <w:szCs w:val="21"/>
                <w:highlight w:val="none"/>
                <w:lang w:val="en-US" w:eastAsia="zh-CN"/>
              </w:rPr>
              <w:t>未提供不得分。</w:t>
            </w:r>
          </w:p>
        </w:tc>
        <w:tc>
          <w:tcPr>
            <w:tcW w:w="983" w:type="dxa"/>
            <w:shd w:val="clear" w:color="auto" w:fill="auto"/>
            <w:vAlign w:val="center"/>
          </w:tcPr>
          <w:p w14:paraId="485BB87A">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0-12分</w:t>
            </w:r>
          </w:p>
        </w:tc>
      </w:tr>
      <w:tr w14:paraId="7FE0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0" w:type="auto"/>
            <w:vMerge w:val="continue"/>
            <w:shd w:val="clear" w:color="auto" w:fill="auto"/>
            <w:vAlign w:val="center"/>
          </w:tcPr>
          <w:p w14:paraId="558B6A0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73D05C31">
            <w:pPr>
              <w:numPr>
                <w:ilvl w:val="0"/>
                <w:numId w:val="0"/>
              </w:numPr>
              <w:spacing w:line="24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交通安排</w:t>
            </w:r>
          </w:p>
        </w:tc>
        <w:tc>
          <w:tcPr>
            <w:tcW w:w="6353" w:type="dxa"/>
            <w:shd w:val="clear" w:color="auto" w:fill="auto"/>
            <w:vAlign w:val="center"/>
          </w:tcPr>
          <w:p w14:paraId="70F4B87B">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根据本项目行程安排提供的地面交通工具（车辆、出行方式等安排）的安全性、舒适性进行综合打分，提供相应承诺函，格式自拟：</w:t>
            </w:r>
          </w:p>
          <w:p w14:paraId="44AE4462">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①承诺提供2019年后的车辆，车况优的得2.0分；</w:t>
            </w:r>
          </w:p>
          <w:p w14:paraId="6126C94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②承诺地接用车和接送用车为正规旅游车队的标准空调旅游车，车况良好，车位充足(每车次须确保2个以上空位)，空调效果好，司机服务态度好、技术好，确保行程安全的得2.0分。</w:t>
            </w:r>
          </w:p>
          <w:p w14:paraId="3D8C103E">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注：供应商须提供车辆行驶证扫描件、车辆内部真实彩照、承诺函等，未提供不得分。</w:t>
            </w:r>
          </w:p>
          <w:p w14:paraId="71917331">
            <w:pPr>
              <w:widowControl/>
              <w:spacing w:line="240" w:lineRule="auto"/>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 xml:space="preserve"> ③承诺如乘坐火车出行，应选择高铁、城际列车、动车、直达特快列车、特快列车的得1.0分；</w:t>
            </w:r>
          </w:p>
          <w:p w14:paraId="40566007">
            <w:pPr>
              <w:widowControl/>
              <w:spacing w:line="240" w:lineRule="auto"/>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注：供应商须提供承诺函，未提供不得分。</w:t>
            </w:r>
          </w:p>
        </w:tc>
        <w:tc>
          <w:tcPr>
            <w:tcW w:w="983" w:type="dxa"/>
            <w:shd w:val="clear" w:color="auto" w:fill="auto"/>
            <w:vAlign w:val="center"/>
          </w:tcPr>
          <w:p w14:paraId="5DBC1DC0">
            <w:pPr>
              <w:spacing w:line="240" w:lineRule="auto"/>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0-5分</w:t>
            </w:r>
          </w:p>
        </w:tc>
      </w:tr>
      <w:tr w14:paraId="3F18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9" w:hRule="atLeast"/>
          <w:jc w:val="center"/>
        </w:trPr>
        <w:tc>
          <w:tcPr>
            <w:tcW w:w="0" w:type="auto"/>
            <w:vMerge w:val="continue"/>
            <w:shd w:val="clear" w:color="auto" w:fill="auto"/>
            <w:vAlign w:val="center"/>
          </w:tcPr>
          <w:p w14:paraId="5A0D36B4">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45352BB9">
            <w:pPr>
              <w:numPr>
                <w:ilvl w:val="0"/>
                <w:numId w:val="0"/>
              </w:numPr>
              <w:spacing w:line="240" w:lineRule="auto"/>
              <w:ind w:left="0" w:lef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运行管理制度</w:t>
            </w:r>
          </w:p>
        </w:tc>
        <w:tc>
          <w:tcPr>
            <w:tcW w:w="6353" w:type="dxa"/>
            <w:shd w:val="clear" w:color="auto" w:fill="auto"/>
            <w:vAlign w:val="top"/>
          </w:tcPr>
          <w:p w14:paraId="757B8C1D">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napToGrid w:val="0"/>
                <w:sz w:val="21"/>
                <w:szCs w:val="21"/>
                <w:highlight w:val="none"/>
                <w:lang w:eastAsia="zh-CN"/>
              </w:rPr>
            </w:pP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zh-CN"/>
              </w:rPr>
              <w:t>是否有完善的组织管理架构（附组织机构图），有合理的运作流程（附运作流程图）、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napToGrid w:val="0"/>
                <w:sz w:val="21"/>
                <w:szCs w:val="21"/>
                <w:highlight w:val="none"/>
                <w:lang w:val="zh-CN"/>
              </w:rPr>
              <w:t>等</w:t>
            </w:r>
            <w:r>
              <w:rPr>
                <w:rFonts w:hint="eastAsia" w:asciiTheme="minorEastAsia" w:hAnsiTheme="minorEastAsia" w:eastAsiaTheme="minorEastAsia" w:cstheme="minorEastAsia"/>
                <w:b w:val="0"/>
                <w:bCs w:val="0"/>
                <w:snapToGrid w:val="0"/>
                <w:sz w:val="21"/>
                <w:szCs w:val="21"/>
                <w:highlight w:val="none"/>
              </w:rPr>
              <w:t>综合评审</w:t>
            </w:r>
            <w:r>
              <w:rPr>
                <w:rFonts w:hint="eastAsia" w:asciiTheme="minorEastAsia" w:hAnsiTheme="minorEastAsia" w:eastAsiaTheme="minorEastAsia" w:cstheme="minorEastAsia"/>
                <w:b w:val="0"/>
                <w:bCs w:val="0"/>
                <w:snapToGrid w:val="0"/>
                <w:sz w:val="21"/>
                <w:szCs w:val="21"/>
                <w:highlight w:val="none"/>
                <w:lang w:val="en-US" w:eastAsia="zh-CN"/>
              </w:rPr>
              <w:t>进行打分</w:t>
            </w:r>
            <w:r>
              <w:rPr>
                <w:rFonts w:hint="eastAsia" w:asciiTheme="minorEastAsia" w:hAnsiTheme="minorEastAsia" w:eastAsiaTheme="minorEastAsia" w:cstheme="minorEastAsia"/>
                <w:b w:val="0"/>
                <w:bCs w:val="0"/>
                <w:snapToGrid w:val="0"/>
                <w:sz w:val="21"/>
                <w:szCs w:val="21"/>
                <w:highlight w:val="none"/>
                <w:lang w:eastAsia="zh-CN"/>
              </w:rPr>
              <w:t>：</w:t>
            </w:r>
          </w:p>
          <w:p w14:paraId="784CB0EF">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①</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内容齐全、方案完整</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b w:val="0"/>
                <w:bCs w:val="0"/>
                <w:sz w:val="21"/>
                <w:szCs w:val="21"/>
                <w:highlight w:val="none"/>
                <w:lang w:val="en-US" w:eastAsia="zh-CN"/>
              </w:rPr>
              <w:t>2.0-3.0</w:t>
            </w:r>
            <w:r>
              <w:rPr>
                <w:rFonts w:hint="eastAsia" w:asciiTheme="minorEastAsia" w:hAnsiTheme="minorEastAsia" w:eastAsiaTheme="minorEastAsia" w:cstheme="minorEastAsia"/>
                <w:b w:val="0"/>
                <w:bCs w:val="0"/>
                <w:sz w:val="21"/>
                <w:szCs w:val="21"/>
                <w:highlight w:val="none"/>
              </w:rPr>
              <w:t>分；</w:t>
            </w:r>
          </w:p>
          <w:p w14:paraId="5AFF01F7">
            <w:pPr>
              <w:keepNext w:val="0"/>
              <w:keepLines w:val="0"/>
              <w:widowControl w:val="0"/>
              <w:suppressLineNumbers w:val="0"/>
              <w:spacing w:before="0" w:beforeAutospacing="0" w:after="0" w:afterAutospacing="0" w:line="240" w:lineRule="auto"/>
              <w:ind w:left="0" w:leftChars="0" w:right="0" w:rightChars="0"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②</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内容齐全、方案不够完整详细</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1.0-1.9</w:t>
            </w:r>
            <w:r>
              <w:rPr>
                <w:rFonts w:hint="eastAsia" w:asciiTheme="minorEastAsia" w:hAnsiTheme="minorEastAsia" w:eastAsiaTheme="minorEastAsia" w:cstheme="minorEastAsia"/>
                <w:b w:val="0"/>
                <w:bCs w:val="0"/>
                <w:sz w:val="21"/>
                <w:szCs w:val="21"/>
                <w:highlight w:val="none"/>
              </w:rPr>
              <w:t>分；</w:t>
            </w:r>
          </w:p>
          <w:p w14:paraId="56C4E276">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val="0"/>
                <w:bCs w:val="0"/>
                <w:sz w:val="21"/>
                <w:szCs w:val="21"/>
                <w:highlight w:val="none"/>
              </w:rPr>
              <w:t>③</w:t>
            </w:r>
            <w:r>
              <w:rPr>
                <w:rFonts w:hint="eastAsia" w:asciiTheme="minorEastAsia" w:hAnsiTheme="minorEastAsia" w:eastAsiaTheme="minorEastAsia" w:cstheme="minorEastAsia"/>
                <w:b w:val="0"/>
                <w:bCs w:val="0"/>
                <w:snapToGrid w:val="0"/>
                <w:sz w:val="21"/>
                <w:szCs w:val="21"/>
                <w:highlight w:val="none"/>
                <w:lang w:val="zh-CN"/>
              </w:rPr>
              <w:t>根据</w:t>
            </w:r>
            <w:r>
              <w:rPr>
                <w:rFonts w:hint="eastAsia" w:asciiTheme="minorEastAsia" w:hAnsiTheme="minorEastAsia" w:eastAsiaTheme="minorEastAsia" w:cstheme="minorEastAsia"/>
                <w:b w:val="0"/>
                <w:bCs w:val="0"/>
                <w:snapToGrid w:val="0"/>
                <w:sz w:val="21"/>
                <w:szCs w:val="21"/>
                <w:highlight w:val="none"/>
                <w:lang w:val="zh-CN" w:eastAsia="zh-CN"/>
              </w:rPr>
              <w:t>供应商</w:t>
            </w:r>
            <w:r>
              <w:rPr>
                <w:rFonts w:hint="eastAsia" w:asciiTheme="minorEastAsia" w:hAnsiTheme="minorEastAsia" w:eastAsiaTheme="minorEastAsia" w:cstheme="minorEastAsia"/>
                <w:b w:val="0"/>
                <w:bCs w:val="0"/>
                <w:snapToGrid w:val="0"/>
                <w:sz w:val="21"/>
                <w:szCs w:val="21"/>
                <w:highlight w:val="none"/>
                <w:lang w:val="en-US" w:eastAsia="zh-CN"/>
              </w:rPr>
              <w:t>提供的</w:t>
            </w:r>
            <w:r>
              <w:rPr>
                <w:rFonts w:hint="eastAsia" w:asciiTheme="minorEastAsia" w:hAnsiTheme="minorEastAsia" w:eastAsiaTheme="minorEastAsia" w:cstheme="minorEastAsia"/>
                <w:b w:val="0"/>
                <w:bCs w:val="0"/>
                <w:snapToGrid w:val="0"/>
                <w:sz w:val="21"/>
                <w:szCs w:val="21"/>
                <w:highlight w:val="none"/>
                <w:lang w:val="zh-CN"/>
              </w:rPr>
              <w:t>完善的组织管理架构（附组织机构图），有合理的运作流程（附运作流程图）、</w:t>
            </w:r>
            <w:r>
              <w:rPr>
                <w:rFonts w:hint="eastAsia" w:asciiTheme="minorEastAsia" w:hAnsiTheme="minorEastAsia" w:eastAsiaTheme="minorEastAsia" w:cstheme="minorEastAsia"/>
                <w:b w:val="0"/>
                <w:bCs w:val="0"/>
                <w:snapToGrid w:val="0"/>
                <w:sz w:val="21"/>
                <w:szCs w:val="21"/>
                <w:highlight w:val="none"/>
              </w:rPr>
              <w:t>管理制度</w:t>
            </w:r>
            <w:r>
              <w:rPr>
                <w:rFonts w:hint="eastAsia" w:asciiTheme="minorEastAsia" w:hAnsiTheme="minorEastAsia" w:eastAsiaTheme="minorEastAsia" w:cstheme="minorEastAsia"/>
                <w:b w:val="0"/>
                <w:bCs w:val="0"/>
                <w:snapToGrid w:val="0"/>
                <w:sz w:val="21"/>
                <w:szCs w:val="21"/>
                <w:highlight w:val="none"/>
                <w:lang w:val="zh-CN"/>
              </w:rPr>
              <w:t>、信息反馈渠道及处置机制、</w:t>
            </w:r>
            <w:r>
              <w:rPr>
                <w:rFonts w:hint="eastAsia" w:asciiTheme="minorEastAsia" w:hAnsiTheme="minorEastAsia" w:eastAsiaTheme="minorEastAsia" w:cstheme="minorEastAsia"/>
                <w:b w:val="0"/>
                <w:bCs w:val="0"/>
                <w:snapToGrid w:val="0"/>
                <w:sz w:val="21"/>
                <w:szCs w:val="21"/>
                <w:highlight w:val="none"/>
                <w:lang w:val="en-US" w:eastAsia="zh-CN"/>
              </w:rPr>
              <w:t>针对本项目人员配备情况</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b w:val="0"/>
                <w:bCs w:val="0"/>
                <w:sz w:val="21"/>
                <w:szCs w:val="21"/>
                <w:highlight w:val="none"/>
                <w:lang w:val="en-US" w:eastAsia="zh-CN"/>
              </w:rPr>
              <w:t>内容缺乏、方案简略</w:t>
            </w:r>
            <w:r>
              <w:rPr>
                <w:rFonts w:hint="eastAsia" w:asciiTheme="minorEastAsia" w:hAnsiTheme="minorEastAsia" w:eastAsiaTheme="minorEastAsia" w:cstheme="minorEastAsia"/>
                <w:b w:val="0"/>
                <w:bCs w:val="0"/>
                <w:sz w:val="21"/>
                <w:szCs w:val="21"/>
                <w:highlight w:val="none"/>
              </w:rPr>
              <w:t>的得</w:t>
            </w:r>
            <w:r>
              <w:rPr>
                <w:rFonts w:hint="eastAsia" w:asciiTheme="minorEastAsia" w:hAnsiTheme="minorEastAsia" w:eastAsiaTheme="minorEastAsia" w:cstheme="minorEastAsia"/>
                <w:sz w:val="21"/>
                <w:szCs w:val="21"/>
                <w:highlight w:val="none"/>
                <w:lang w:val="en-US" w:eastAsia="zh-CN"/>
              </w:rPr>
              <w:t>0.0-0.9</w:t>
            </w:r>
            <w:r>
              <w:rPr>
                <w:rFonts w:hint="eastAsia" w:asciiTheme="minorEastAsia" w:hAnsiTheme="minorEastAsia" w:eastAsiaTheme="minorEastAsia" w:cstheme="minorEastAsia"/>
                <w:b w:val="0"/>
                <w:bCs w:val="0"/>
                <w:sz w:val="21"/>
                <w:szCs w:val="21"/>
                <w:highlight w:val="none"/>
              </w:rPr>
              <w:t>分</w:t>
            </w:r>
            <w:r>
              <w:rPr>
                <w:rFonts w:hint="eastAsia" w:asciiTheme="minorEastAsia" w:hAnsiTheme="minorEastAsia" w:eastAsiaTheme="minorEastAsia" w:cstheme="minorEastAsia"/>
                <w:b w:val="0"/>
                <w:bCs w:val="0"/>
                <w:sz w:val="21"/>
                <w:szCs w:val="21"/>
                <w:highlight w:val="none"/>
                <w:lang w:eastAsia="zh-CN"/>
              </w:rPr>
              <w:t>。</w:t>
            </w:r>
          </w:p>
        </w:tc>
        <w:tc>
          <w:tcPr>
            <w:tcW w:w="983" w:type="dxa"/>
            <w:shd w:val="clear" w:color="auto" w:fill="auto"/>
            <w:vAlign w:val="center"/>
          </w:tcPr>
          <w:p w14:paraId="1D9795EA">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0-3分</w:t>
            </w:r>
          </w:p>
        </w:tc>
      </w:tr>
      <w:tr w14:paraId="70E3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jc w:val="center"/>
        </w:trPr>
        <w:tc>
          <w:tcPr>
            <w:tcW w:w="0" w:type="auto"/>
            <w:vMerge w:val="continue"/>
            <w:shd w:val="clear" w:color="auto" w:fill="auto"/>
            <w:vAlign w:val="center"/>
          </w:tcPr>
          <w:p w14:paraId="1CD79B2F">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shd w:val="clear" w:color="auto" w:fill="auto"/>
            <w:vAlign w:val="center"/>
          </w:tcPr>
          <w:p w14:paraId="5DC8A0D0">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w:t>
            </w:r>
          </w:p>
        </w:tc>
        <w:tc>
          <w:tcPr>
            <w:tcW w:w="6353" w:type="dxa"/>
            <w:shd w:val="clear" w:color="auto" w:fill="auto"/>
            <w:vAlign w:val="center"/>
          </w:tcPr>
          <w:p w14:paraId="412D92C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最低成团人数方案，根据供应商提供的成团人数方案综合比较。</w:t>
            </w:r>
          </w:p>
          <w:p w14:paraId="53A2B3E2">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①最低成团人数方案，提供的成团人数方案合理全面的得</w:t>
            </w:r>
            <w:r>
              <w:rPr>
                <w:rFonts w:hint="eastAsia" w:asciiTheme="minorEastAsia" w:hAnsiTheme="minorEastAsia" w:eastAsiaTheme="minorEastAsia" w:cstheme="minorEastAsia"/>
                <w:i w:val="0"/>
                <w:iCs w:val="0"/>
                <w:sz w:val="21"/>
                <w:szCs w:val="21"/>
                <w:highlight w:val="none"/>
                <w:lang w:val="en-US" w:eastAsia="zh-CN"/>
              </w:rPr>
              <w:t>6.0-8.0分；</w:t>
            </w:r>
          </w:p>
          <w:p w14:paraId="2CD524B3">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②最低成团人数方案，提供的成团人数方案存在欠缺，但基本完整合理的得3.0-5.9分；</w:t>
            </w:r>
          </w:p>
          <w:p w14:paraId="77AD4F1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③最低成团人数方案，提供的成团人数方案不完整，但具有可行性的得0.0-2.9分；未提供不得分。</w:t>
            </w:r>
          </w:p>
        </w:tc>
        <w:tc>
          <w:tcPr>
            <w:tcW w:w="983" w:type="dxa"/>
            <w:shd w:val="clear" w:color="auto" w:fill="auto"/>
            <w:vAlign w:val="center"/>
          </w:tcPr>
          <w:p w14:paraId="1F0001D8">
            <w:pPr>
              <w:widowControl/>
              <w:spacing w:line="240" w:lineRule="auto"/>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0-8分</w:t>
            </w:r>
          </w:p>
        </w:tc>
      </w:tr>
      <w:tr w14:paraId="28BF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shd w:val="clear" w:color="auto" w:fill="auto"/>
            <w:vAlign w:val="center"/>
          </w:tcPr>
          <w:p w14:paraId="43E02BB6">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restart"/>
            <w:shd w:val="clear" w:color="auto" w:fill="auto"/>
            <w:vAlign w:val="center"/>
          </w:tcPr>
          <w:p w14:paraId="31FFA68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保险承诺</w:t>
            </w:r>
          </w:p>
        </w:tc>
        <w:tc>
          <w:tcPr>
            <w:tcW w:w="6353" w:type="dxa"/>
            <w:shd w:val="clear" w:color="auto" w:fill="auto"/>
            <w:vAlign w:val="center"/>
          </w:tcPr>
          <w:p w14:paraId="46327CF8">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根据供应商投保的旅行社责任险保险金额1000万元（不含）-1500万元（含）的得1.0分；投保的旅行社责任险保险金额1500万元（不含）-2000万元（含）的得2.0分；投保的旅行社责任险保险金额2000万元以上的得3.0分。</w:t>
            </w:r>
          </w:p>
          <w:p w14:paraId="24818219">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注：须提供保单扫描件，未提供不得分。</w:t>
            </w:r>
          </w:p>
        </w:tc>
        <w:tc>
          <w:tcPr>
            <w:tcW w:w="983" w:type="dxa"/>
            <w:shd w:val="clear" w:color="auto" w:fill="auto"/>
            <w:vAlign w:val="center"/>
          </w:tcPr>
          <w:p w14:paraId="5AA5B50C">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56ED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0" w:type="auto"/>
            <w:vMerge w:val="continue"/>
            <w:shd w:val="clear" w:color="auto" w:fill="auto"/>
            <w:vAlign w:val="center"/>
          </w:tcPr>
          <w:p w14:paraId="5175D3FB">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4F009B3">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shd w:val="clear" w:color="auto" w:fill="auto"/>
            <w:vAlign w:val="center"/>
          </w:tcPr>
          <w:p w14:paraId="17D84F53">
            <w:pPr>
              <w:widowControl/>
              <w:numPr>
                <w:ilvl w:val="0"/>
                <w:numId w:val="0"/>
              </w:numPr>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承诺旅行社人身意外险每人100万（不含）-150万（含）的得2.0分；承诺旅行社人身意外险每人150万（不含）-200万（含）的得3.0分；承诺旅行社人身意外险每人200万以上的得4.0分。注：需提供承诺函，格式自拟，未提供承诺函不得分。</w:t>
            </w:r>
          </w:p>
          <w:p w14:paraId="766F8BEF">
            <w:pPr>
              <w:widowControl/>
              <w:numPr>
                <w:ilvl w:val="0"/>
                <w:numId w:val="0"/>
              </w:numPr>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注：需提供承诺函，格式自拟，未提供承诺函不得分。</w:t>
            </w:r>
          </w:p>
        </w:tc>
        <w:tc>
          <w:tcPr>
            <w:tcW w:w="983" w:type="dxa"/>
            <w:shd w:val="clear" w:color="auto" w:fill="auto"/>
            <w:vAlign w:val="center"/>
          </w:tcPr>
          <w:p w14:paraId="7DCD88D6">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p>
        </w:tc>
      </w:tr>
      <w:tr w14:paraId="74AD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0" w:type="auto"/>
            <w:vMerge w:val="continue"/>
            <w:shd w:val="clear" w:color="auto" w:fill="auto"/>
            <w:vAlign w:val="center"/>
          </w:tcPr>
          <w:p w14:paraId="58BD6A6A">
            <w:pPr>
              <w:numPr>
                <w:ilvl w:val="0"/>
                <w:numId w:val="0"/>
              </w:numPr>
              <w:spacing w:line="240" w:lineRule="auto"/>
              <w:jc w:val="center"/>
              <w:rPr>
                <w:rFonts w:hint="eastAsia" w:asciiTheme="minorEastAsia" w:hAnsiTheme="minorEastAsia" w:eastAsiaTheme="minorEastAsia" w:cstheme="minorEastAsia"/>
                <w:color w:val="auto"/>
                <w:sz w:val="21"/>
                <w:szCs w:val="21"/>
                <w:highlight w:val="none"/>
                <w:lang w:val="en-US" w:eastAsia="zh-CN"/>
              </w:rPr>
            </w:pPr>
          </w:p>
        </w:tc>
        <w:tc>
          <w:tcPr>
            <w:tcW w:w="0" w:type="auto"/>
            <w:vMerge w:val="continue"/>
            <w:shd w:val="clear" w:color="auto" w:fill="auto"/>
            <w:vAlign w:val="center"/>
          </w:tcPr>
          <w:p w14:paraId="6736D8D7">
            <w:pPr>
              <w:widowControl/>
              <w:spacing w:line="240" w:lineRule="auto"/>
              <w:jc w:val="left"/>
              <w:rPr>
                <w:rFonts w:hint="eastAsia" w:asciiTheme="minorEastAsia" w:hAnsiTheme="minorEastAsia" w:eastAsiaTheme="minorEastAsia" w:cstheme="minorEastAsia"/>
                <w:sz w:val="21"/>
                <w:szCs w:val="21"/>
                <w:highlight w:val="none"/>
                <w:lang w:val="en-US" w:eastAsia="zh-CN"/>
              </w:rPr>
            </w:pPr>
          </w:p>
        </w:tc>
        <w:tc>
          <w:tcPr>
            <w:tcW w:w="6353" w:type="dxa"/>
            <w:shd w:val="clear" w:color="auto" w:fill="auto"/>
            <w:vAlign w:val="center"/>
          </w:tcPr>
          <w:p w14:paraId="0BE5A231">
            <w:pPr>
              <w:widowControl/>
              <w:spacing w:line="240" w:lineRule="auto"/>
              <w:ind w:firstLine="420" w:firstLineChars="200"/>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3、承诺提供小额赔款（500元及以下）先行赔付的得2.0分。</w:t>
            </w:r>
          </w:p>
          <w:p w14:paraId="490B00A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注：需提供承诺函，格式自拟，未提供承诺函不得分。</w:t>
            </w:r>
          </w:p>
        </w:tc>
        <w:tc>
          <w:tcPr>
            <w:tcW w:w="983" w:type="dxa"/>
            <w:shd w:val="clear" w:color="auto" w:fill="auto"/>
            <w:vAlign w:val="center"/>
          </w:tcPr>
          <w:p w14:paraId="2F779D6D">
            <w:pPr>
              <w:widowControl/>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0-2分</w:t>
            </w:r>
          </w:p>
        </w:tc>
      </w:tr>
      <w:tr w14:paraId="2297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5545BC65">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688894CD">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应急方案</w:t>
            </w:r>
          </w:p>
        </w:tc>
        <w:tc>
          <w:tcPr>
            <w:tcW w:w="6353" w:type="dxa"/>
            <w:shd w:val="clear" w:color="auto" w:fill="auto"/>
            <w:vAlign w:val="center"/>
          </w:tcPr>
          <w:p w14:paraId="3E71C637">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应急响应方案评价：</w:t>
            </w:r>
          </w:p>
          <w:p w14:paraId="77258249">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①整个疗休养活动中可能预见的应急事件、解决办法等内容阐述全面且合理的，得2.0-3.0分；</w:t>
            </w:r>
          </w:p>
          <w:p w14:paraId="07E6F5FD">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②整个疗休养活动中可能预见的应急事件、解决办法等内容阐述存在欠缺，但基本完整、合理的，得1.0-1.9分；</w:t>
            </w:r>
          </w:p>
          <w:p w14:paraId="26B21AB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③整个疗休养活动中可能预见的应急事件、解决办法等内容阐述不完整或不具备合理性的得0.0-0.9分，未提供不得分。</w:t>
            </w:r>
          </w:p>
        </w:tc>
        <w:tc>
          <w:tcPr>
            <w:tcW w:w="983" w:type="dxa"/>
            <w:shd w:val="clear" w:color="auto" w:fill="auto"/>
            <w:vAlign w:val="center"/>
          </w:tcPr>
          <w:p w14:paraId="2D81C614">
            <w:pPr>
              <w:numPr>
                <w:ilvl w:val="0"/>
                <w:numId w:val="0"/>
              </w:numPr>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0-3分</w:t>
            </w:r>
          </w:p>
        </w:tc>
      </w:tr>
      <w:tr w14:paraId="5DE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0" w:type="auto"/>
            <w:vMerge w:val="continue"/>
            <w:shd w:val="clear" w:color="auto" w:fill="auto"/>
            <w:vAlign w:val="center"/>
          </w:tcPr>
          <w:p w14:paraId="39BDD82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7D2A32AA">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服务质量</w:t>
            </w:r>
          </w:p>
        </w:tc>
        <w:tc>
          <w:tcPr>
            <w:tcW w:w="6353" w:type="dxa"/>
            <w:shd w:val="clear" w:color="auto" w:fill="auto"/>
            <w:vAlign w:val="center"/>
          </w:tcPr>
          <w:p w14:paraId="3114D32D">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相关服务质量标准、回访服务及总结方案等内容进行评审。</w:t>
            </w:r>
          </w:p>
          <w:p w14:paraId="16F19701">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①服务质量标准严谨、详细，方案考虑周全完整的得2.0-3.0分；</w:t>
            </w:r>
          </w:p>
          <w:p w14:paraId="1DE2430E">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②服务质量标准较严谨、较详细，方案考虑不够周全完整的得1.0-1.9分；</w:t>
            </w:r>
          </w:p>
          <w:p w14:paraId="77A75DD5">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③服务质量标准内容缺乏、方案尚有不足的得0.0-0.9分；</w:t>
            </w:r>
          </w:p>
          <w:p w14:paraId="2C7C7F06">
            <w:pPr>
              <w:widowControl/>
              <w:spacing w:line="240" w:lineRule="auto"/>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未提供方案的不得分。</w:t>
            </w:r>
          </w:p>
        </w:tc>
        <w:tc>
          <w:tcPr>
            <w:tcW w:w="983" w:type="dxa"/>
            <w:shd w:val="clear" w:color="auto" w:fill="auto"/>
            <w:vAlign w:val="center"/>
          </w:tcPr>
          <w:p w14:paraId="765AE0E6">
            <w:pPr>
              <w:widowControl/>
              <w:spacing w:line="240" w:lineRule="auto"/>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0-3分</w:t>
            </w:r>
          </w:p>
        </w:tc>
      </w:tr>
      <w:tr w14:paraId="4BE4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Merge w:val="continue"/>
            <w:shd w:val="clear" w:color="auto" w:fill="auto"/>
            <w:vAlign w:val="center"/>
          </w:tcPr>
          <w:p w14:paraId="02154646">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40014DC1">
            <w:pPr>
              <w:widowControl/>
              <w:spacing w:line="24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合理化建议及解决方案</w:t>
            </w:r>
          </w:p>
        </w:tc>
        <w:tc>
          <w:tcPr>
            <w:tcW w:w="6353" w:type="dxa"/>
            <w:shd w:val="clear" w:color="auto" w:fill="auto"/>
            <w:vAlign w:val="center"/>
          </w:tcPr>
          <w:p w14:paraId="0D336DC0">
            <w:pPr>
              <w:widowControl/>
              <w:spacing w:line="240" w:lineRule="auto"/>
              <w:ind w:firstLine="420" w:firstLineChars="20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结合实际情况，分析出服务的重点、难点，且根据分析出的重点难点，具有针对性的提出解决方案。</w:t>
            </w:r>
          </w:p>
          <w:p w14:paraId="394374E6">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①解决方案切合实际，能有效解决服务中的问题得2.0-3.0分；</w:t>
            </w:r>
          </w:p>
          <w:p w14:paraId="179B123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②有重点、难点的分析，且提出了较为实用的解决方案得1.0-1.9分；</w:t>
            </w:r>
          </w:p>
          <w:p w14:paraId="0269E9CF">
            <w:pPr>
              <w:widowControl/>
              <w:spacing w:line="240"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③重点、难点分析一般，但与实际情况有一定出入，解决方案也不能完全有效解决问题得0.0-0.9分；未提供不得分。</w:t>
            </w:r>
          </w:p>
        </w:tc>
        <w:tc>
          <w:tcPr>
            <w:tcW w:w="983" w:type="dxa"/>
            <w:shd w:val="clear" w:color="auto" w:fill="auto"/>
            <w:vAlign w:val="center"/>
          </w:tcPr>
          <w:p w14:paraId="2CD9483F">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0-3分</w:t>
            </w:r>
          </w:p>
        </w:tc>
      </w:tr>
      <w:tr w14:paraId="144C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0" w:type="auto"/>
            <w:vMerge w:val="continue"/>
            <w:shd w:val="clear" w:color="auto" w:fill="auto"/>
            <w:vAlign w:val="center"/>
          </w:tcPr>
          <w:p w14:paraId="1F0F47D0">
            <w:pPr>
              <w:keepNext w:val="0"/>
              <w:keepLines w:val="0"/>
              <w:widowControl/>
              <w:suppressLineNumbers w:val="0"/>
              <w:spacing w:line="240" w:lineRule="auto"/>
              <w:jc w:val="center"/>
              <w:rPr>
                <w:rFonts w:hint="eastAsia" w:asciiTheme="minorEastAsia" w:hAnsiTheme="minorEastAsia" w:eastAsiaTheme="minorEastAsia" w:cstheme="minorEastAsia"/>
                <w:color w:val="000000"/>
                <w:kern w:val="0"/>
                <w:sz w:val="21"/>
                <w:szCs w:val="21"/>
                <w:highlight w:val="none"/>
                <w:lang w:val="en-US" w:eastAsia="zh-CN" w:bidi="ar"/>
              </w:rPr>
            </w:pPr>
          </w:p>
        </w:tc>
        <w:tc>
          <w:tcPr>
            <w:tcW w:w="0" w:type="auto"/>
            <w:tcBorders>
              <w:left w:val="single" w:color="auto" w:sz="4" w:space="0"/>
            </w:tcBorders>
            <w:shd w:val="clear" w:color="auto" w:fill="auto"/>
            <w:vAlign w:val="center"/>
          </w:tcPr>
          <w:p w14:paraId="1C87271B">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增值服务</w:t>
            </w:r>
          </w:p>
        </w:tc>
        <w:tc>
          <w:tcPr>
            <w:tcW w:w="6353" w:type="dxa"/>
            <w:shd w:val="clear" w:color="auto" w:fill="auto"/>
            <w:vAlign w:val="center"/>
          </w:tcPr>
          <w:p w14:paraId="70DC0909">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根据供应商针对本项目，在满足项目需求的基础上提供的增值服务或额外优惠承诺。每提供一条有价值的加1.0分，满分4.0分。</w:t>
            </w:r>
          </w:p>
        </w:tc>
        <w:tc>
          <w:tcPr>
            <w:tcW w:w="983" w:type="dxa"/>
            <w:shd w:val="clear" w:color="auto" w:fill="auto"/>
            <w:vAlign w:val="center"/>
          </w:tcPr>
          <w:p w14:paraId="71797A65">
            <w:pPr>
              <w:widowControl/>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0-4分</w:t>
            </w:r>
            <w:bookmarkStart w:id="19" w:name="_GoBack"/>
            <w:bookmarkEnd w:id="19"/>
          </w:p>
        </w:tc>
      </w:tr>
      <w:tr w14:paraId="6D79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9" w:hRule="atLeast"/>
          <w:jc w:val="center"/>
        </w:trPr>
        <w:tc>
          <w:tcPr>
            <w:tcW w:w="0" w:type="auto"/>
            <w:tcBorders>
              <w:left w:val="single" w:color="auto" w:sz="4" w:space="0"/>
              <w:right w:val="single" w:color="auto" w:sz="4" w:space="0"/>
            </w:tcBorders>
            <w:shd w:val="clear" w:color="auto" w:fill="auto"/>
            <w:vAlign w:val="top"/>
          </w:tcPr>
          <w:p w14:paraId="4E45408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32AA5B30">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0DB11322">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336FB9C">
            <w:pPr>
              <w:keepNext w:val="0"/>
              <w:keepLines w:val="0"/>
              <w:widowControl/>
              <w:suppressLineNumbers w:val="0"/>
              <w:spacing w:line="240" w:lineRule="auto"/>
              <w:ind w:firstLine="630" w:firstLineChars="300"/>
              <w:jc w:val="left"/>
              <w:rPr>
                <w:rFonts w:hint="eastAsia" w:asciiTheme="minorEastAsia" w:hAnsiTheme="minorEastAsia" w:eastAsiaTheme="minorEastAsia" w:cstheme="minorEastAsia"/>
                <w:color w:val="000000"/>
                <w:kern w:val="0"/>
                <w:sz w:val="21"/>
                <w:szCs w:val="21"/>
                <w:highlight w:val="none"/>
                <w:lang w:val="en-US" w:eastAsia="zh-CN" w:bidi="ar"/>
              </w:rPr>
            </w:pPr>
          </w:p>
          <w:p w14:paraId="1781851F">
            <w:pPr>
              <w:keepNext w:val="0"/>
              <w:keepLines w:val="0"/>
              <w:widowControl/>
              <w:suppressLineNumbers w:val="0"/>
              <w:spacing w:line="24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报价得分 （10 分）</w:t>
            </w:r>
          </w:p>
          <w:p w14:paraId="74200882">
            <w:pPr>
              <w:keepNext w:val="0"/>
              <w:keepLines w:val="0"/>
              <w:widowControl/>
              <w:suppressLineNumbers w:val="0"/>
              <w:spacing w:line="240" w:lineRule="auto"/>
              <w:jc w:val="left"/>
              <w:rPr>
                <w:rFonts w:hint="eastAsia" w:asciiTheme="minorEastAsia" w:hAnsiTheme="minorEastAsia" w:eastAsiaTheme="minorEastAsia" w:cstheme="minorEastAsia"/>
                <w:color w:val="000000"/>
                <w:kern w:val="0"/>
                <w:sz w:val="21"/>
                <w:szCs w:val="21"/>
                <w:highlight w:val="none"/>
                <w:lang w:val="en-US" w:eastAsia="zh-CN" w:bidi="ar"/>
              </w:rPr>
            </w:pPr>
          </w:p>
        </w:tc>
        <w:tc>
          <w:tcPr>
            <w:tcW w:w="7280" w:type="dxa"/>
            <w:gridSpan w:val="2"/>
            <w:tcBorders>
              <w:left w:val="single" w:color="auto" w:sz="4" w:space="0"/>
            </w:tcBorders>
            <w:shd w:val="clear" w:color="auto" w:fill="auto"/>
            <w:vAlign w:val="top"/>
          </w:tcPr>
          <w:p w14:paraId="790EFA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1、评标基准价的确定</w:t>
            </w:r>
          </w:p>
          <w:p w14:paraId="560DB3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资格审查和商务与技术文件评审完后计算评标基准价。</w:t>
            </w:r>
          </w:p>
          <w:p w14:paraId="3F73B2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商务价格为无效标的条件：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407CB05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2、出现以下情况时，则该投标报价不再进入评标基准价的计算：</w:t>
            </w:r>
          </w:p>
          <w:p w14:paraId="4E042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（1）资格审查及商务与技术文件评审过程中已做无效标处理的；</w:t>
            </w:r>
          </w:p>
          <w:p w14:paraId="1C0446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3、评标基准价的确定：满足招标文件要求且投标报价最低的投标报价为评标基准价。评标基准值按上述方法确定后，不再受其他任何因素的影响而改变。</w:t>
            </w:r>
          </w:p>
          <w:p w14:paraId="683C45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4、投标报价得分计算方法</w:t>
            </w:r>
          </w:p>
          <w:p w14:paraId="131F0D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计算价格评分：价格分采用低价优先法计算，各有效投标人的评标价中，取有效报价中的投标报价为评标基准价，其价格分为满分。其他投标人的价格分统一按照下列公式计算：价格评分=（评标基准价／</w:t>
            </w:r>
            <w:r>
              <w:rPr>
                <w:rFonts w:hint="eastAsia" w:asciiTheme="minorEastAsia" w:hAnsiTheme="minorEastAsia" w:eastAsiaTheme="minorEastAsia" w:cstheme="minorEastAsia"/>
                <w:sz w:val="21"/>
                <w:szCs w:val="21"/>
                <w:highlight w:val="none"/>
                <w:vertAlign w:val="baseline"/>
                <w:lang w:val="en-US" w:eastAsia="zh-CN"/>
              </w:rPr>
              <w:t xml:space="preserve">投标报价 </w:t>
            </w:r>
            <w:r>
              <w:rPr>
                <w:rFonts w:hint="eastAsia" w:asciiTheme="minorEastAsia" w:hAnsiTheme="minorEastAsia" w:eastAsiaTheme="minorEastAsia" w:cstheme="minorEastAsia"/>
                <w:sz w:val="21"/>
                <w:szCs w:val="21"/>
                <w:highlight w:val="none"/>
                <w:lang w:val="en-US" w:eastAsia="zh-CN"/>
              </w:rPr>
              <w:t>）×10%×100（小数点后保留2位，第三位四舍五入），投标报价超过预算价，按无效标处理。</w:t>
            </w:r>
          </w:p>
        </w:tc>
        <w:tc>
          <w:tcPr>
            <w:tcW w:w="983" w:type="dxa"/>
            <w:shd w:val="clear" w:color="auto" w:fill="auto"/>
            <w:vAlign w:val="center"/>
          </w:tcPr>
          <w:p w14:paraId="60720149">
            <w:pPr>
              <w:pStyle w:val="99"/>
              <w:spacing w:line="240" w:lineRule="auto"/>
              <w:ind w:left="0" w:lef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10分</w:t>
            </w:r>
          </w:p>
        </w:tc>
      </w:tr>
    </w:tbl>
    <w:p w14:paraId="521BC05B">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2、有效投标人的综合得分=商务与技术文件得分+报价文件得分。</w:t>
      </w:r>
    </w:p>
    <w:p w14:paraId="5A208D3F">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210" w:firstLineChars="1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评标委员会按综合得分从高到低顺序排列，在最大限度地满足采购文件实质性要求前提下，评标委员会按照采购文件中规定的各项因素进行综合评审后，以评标总得分最高的投标人为中标供应商。如综合得分相同，投标报价低者为先；如综合得分且投标报价相同的，由采购人抽签确定(抽签规则：采购人代表对进入抽签的各供应商依次抽取对应单位编号，再由采购人代表在上述对应单位编号中进行抽取，抽中的第一个编号所对应的供应商即为中标单位。）。</w:t>
      </w:r>
    </w:p>
    <w:p w14:paraId="23852522">
      <w:pPr>
        <w:keepNext w:val="0"/>
        <w:keepLines w:val="0"/>
        <w:pageBreakBefore w:val="0"/>
        <w:widowControl/>
        <w:suppressLineNumbers w:val="0"/>
        <w:shd w:val="clear"/>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六、中标候选人放弃中标、因不可抗力提出不能履行合同，采购人可以确定排名次之的中标候选人为中标人。评标办法的解释权归采购人。</w:t>
      </w:r>
    </w:p>
    <w:p w14:paraId="6715D4ED">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、确定中标人</w:t>
      </w:r>
    </w:p>
    <w:p w14:paraId="67EEADB7">
      <w:pPr>
        <w:shd w:val="clear"/>
        <w:spacing w:line="360" w:lineRule="auto"/>
        <w:ind w:firstLine="514" w:firstLineChars="2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评标结束后，</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将在</w:t>
      </w:r>
      <w:r>
        <w:rPr>
          <w:rFonts w:hint="eastAsia" w:asciiTheme="minorEastAsia" w:hAnsiTheme="minorEastAsia" w:eastAsiaTheme="minorEastAsia" w:cstheme="minorEastAsia"/>
          <w:color w:val="auto"/>
          <w:sz w:val="21"/>
          <w:szCs w:val="21"/>
          <w:highlight w:val="none"/>
          <w:lang w:eastAsia="zh-CN"/>
        </w:rPr>
        <w:t>发布招标</w:t>
      </w:r>
      <w:r>
        <w:rPr>
          <w:rFonts w:hint="eastAsia" w:asciiTheme="minorEastAsia" w:hAnsiTheme="minorEastAsia" w:eastAsiaTheme="minorEastAsia" w:cstheme="minorEastAsia"/>
          <w:color w:val="auto"/>
          <w:sz w:val="21"/>
          <w:szCs w:val="21"/>
          <w:highlight w:val="none"/>
        </w:rPr>
        <w:t>公告</w:t>
      </w:r>
      <w:r>
        <w:rPr>
          <w:rFonts w:hint="eastAsia" w:asciiTheme="minorEastAsia" w:hAnsiTheme="minorEastAsia" w:eastAsiaTheme="minorEastAsia" w:cstheme="minorEastAsia"/>
          <w:color w:val="auto"/>
          <w:sz w:val="21"/>
          <w:szCs w:val="21"/>
          <w:highlight w:val="none"/>
          <w:lang w:eastAsia="zh-CN"/>
        </w:rPr>
        <w:t>媒体发布</w:t>
      </w:r>
      <w:r>
        <w:rPr>
          <w:rFonts w:hint="eastAsia" w:asciiTheme="minorEastAsia" w:hAnsiTheme="minorEastAsia" w:eastAsiaTheme="minorEastAsia" w:cstheme="minorEastAsia"/>
          <w:color w:val="auto"/>
          <w:sz w:val="21"/>
          <w:szCs w:val="21"/>
          <w:highlight w:val="none"/>
        </w:rPr>
        <w:t>中标结果，</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向中标人发出中标通知书。</w:t>
      </w:r>
    </w:p>
    <w:p w14:paraId="0D6F8EFF">
      <w:pPr>
        <w:shd w:val="clear"/>
        <w:spacing w:line="360" w:lineRule="auto"/>
        <w:ind w:firstLine="517" w:firstLineChars="245"/>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、投标人义务</w:t>
      </w:r>
    </w:p>
    <w:p w14:paraId="004DCF70">
      <w:pPr>
        <w:shd w:val="clear"/>
        <w:spacing w:line="360" w:lineRule="auto"/>
        <w:ind w:firstLine="514" w:firstLineChars="245"/>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投标人应随时接受评标委员会的询标，解答包括有关的报价文件、技术资信问题等。评标结束，所有评标资料存招标机构备查。</w:t>
      </w:r>
    </w:p>
    <w:p w14:paraId="0DCA20A1">
      <w:pPr>
        <w:shd w:val="clear"/>
        <w:spacing w:line="360" w:lineRule="auto"/>
        <w:ind w:firstLine="588" w:firstLineChars="245"/>
        <w:rPr>
          <w:rFonts w:hint="eastAsia" w:asciiTheme="minorEastAsia" w:hAnsiTheme="minorEastAsia" w:eastAsiaTheme="minorEastAsia" w:cstheme="minorEastAsia"/>
          <w:color w:val="auto"/>
          <w:sz w:val="24"/>
          <w:szCs w:val="24"/>
          <w:highlight w:val="none"/>
          <w:lang w:val="en-US" w:eastAsia="zh-CN"/>
        </w:rPr>
      </w:pPr>
    </w:p>
    <w:sectPr>
      <w:headerReference r:id="rId18" w:type="default"/>
      <w:footerReference r:id="rId19" w:type="default"/>
      <w:pgSz w:w="11906" w:h="16838"/>
      <w:pgMar w:top="1247" w:right="1417" w:bottom="1474" w:left="1417" w:header="851" w:footer="896"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default"/>
    <w:sig w:usb0="E4002EFF" w:usb1="C0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auto"/>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长城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ED2F">
    <w:pPr>
      <w:pStyle w:val="47"/>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2DA9">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3B19">
    <w:pPr>
      <w:pStyle w:val="47"/>
      <w:ind w:firstLine="480"/>
      <w:jc w:val="center"/>
    </w:pPr>
    <w:r>
      <w:fldChar w:fldCharType="begin"/>
    </w:r>
    <w:r>
      <w:instrText xml:space="preserve">PAGE   \* MERGEFORMAT</w:instrText>
    </w:r>
    <w:r>
      <w:fldChar w:fldCharType="separate"/>
    </w:r>
    <w:r>
      <w:rPr>
        <w:lang w:val="zh-CN"/>
      </w:rPr>
      <w:t>2</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64DC">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75965A01">
    <w:pPr>
      <w:pStyle w:val="4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06AE">
    <w:pPr>
      <w:pStyle w:val="4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5F824">
                          <w:pPr>
                            <w:pStyle w:val="4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9D5F824">
                    <w:pPr>
                      <w:pStyle w:val="4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28EE">
    <w:pPr>
      <w:pStyle w:val="47"/>
      <w:ind w:firstLine="48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0F730">
                          <w:pPr>
                            <w:pStyle w:val="4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0F730">
                    <w:pPr>
                      <w:pStyle w:val="4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385B">
    <w:pPr>
      <w:pStyle w:val="4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07A122">
                    <w:pPr>
                      <w:pStyle w:val="4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6F65">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B597CE3">
    <w:pPr>
      <w:pStyle w:val="4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C4AF9">
    <w:pPr>
      <w:pStyle w:val="47"/>
      <w:ind w:firstLine="480"/>
      <w:jc w:val="center"/>
    </w:pPr>
    <w:r>
      <w:fldChar w:fldCharType="begin"/>
    </w:r>
    <w:r>
      <w:instrText xml:space="preserve">PAGE   \* MERGEFORMAT</w:instrText>
    </w:r>
    <w:r>
      <w:fldChar w:fldCharType="separate"/>
    </w:r>
    <w:r>
      <w:rPr>
        <w:lang w:val="zh-CN"/>
      </w:rPr>
      <w:t>20</w:t>
    </w:r>
    <w:r>
      <w:rPr>
        <w:lang w:val="zh-CN"/>
      </w:rPr>
      <w:fldChar w:fldCharType="end"/>
    </w:r>
  </w:p>
  <w:p w14:paraId="419B8024">
    <w:pPr>
      <w:pStyle w:val="4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B58E">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9C6C4">
    <w:pPr>
      <w:pStyle w:val="4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9C71">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77FB">
    <w:pPr>
      <w:pStyle w:val="4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0567">
    <w:pPr>
      <w:pStyle w:val="4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80C7">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7D112"/>
    <w:multiLevelType w:val="singleLevel"/>
    <w:tmpl w:val="B1B7D112"/>
    <w:lvl w:ilvl="0" w:tentative="0">
      <w:start w:val="2"/>
      <w:numFmt w:val="chineseCounting"/>
      <w:suff w:val="nothing"/>
      <w:lvlText w:val="%1、"/>
      <w:lvlJc w:val="left"/>
      <w:rPr>
        <w:rFonts w:hint="eastAsia"/>
      </w:rPr>
    </w:lvl>
  </w:abstractNum>
  <w:abstractNum w:abstractNumId="1">
    <w:nsid w:val="B4489103"/>
    <w:multiLevelType w:val="singleLevel"/>
    <w:tmpl w:val="B4489103"/>
    <w:lvl w:ilvl="0" w:tentative="0">
      <w:start w:val="1"/>
      <w:numFmt w:val="decimal"/>
      <w:suff w:val="nothing"/>
      <w:lvlText w:val="%1、"/>
      <w:lvlJc w:val="left"/>
      <w:pPr>
        <w:ind w:left="525" w:firstLine="0"/>
      </w:pPr>
    </w:lvl>
  </w:abstractNum>
  <w:abstractNum w:abstractNumId="2">
    <w:nsid w:val="00000001"/>
    <w:multiLevelType w:val="multilevel"/>
    <w:tmpl w:val="00000001"/>
    <w:lvl w:ilvl="0" w:tentative="0">
      <w:start w:val="1"/>
      <w:numFmt w:val="decimal"/>
      <w:lvlText w:val="%1."/>
      <w:lvlJc w:val="left"/>
      <w:pPr>
        <w:tabs>
          <w:tab w:val="left" w:pos="1140"/>
        </w:tabs>
        <w:ind w:left="1140" w:hanging="420"/>
      </w:pPr>
      <w:rPr>
        <w:rFonts w:cs="Times New Roman"/>
      </w:rPr>
    </w:lvl>
    <w:lvl w:ilvl="1" w:tentative="0">
      <w:start w:val="1"/>
      <w:numFmt w:val="lowerLetter"/>
      <w:pStyle w:val="600"/>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3">
    <w:nsid w:val="00000003"/>
    <w:multiLevelType w:val="multilevel"/>
    <w:tmpl w:val="00000003"/>
    <w:lvl w:ilvl="0" w:tentative="0">
      <w:start w:val="1"/>
      <w:numFmt w:val="decimal"/>
      <w:pStyle w:val="210"/>
      <w:lvlText w:val="%1"/>
      <w:lvlJc w:val="left"/>
      <w:pPr>
        <w:tabs>
          <w:tab w:val="left" w:pos="480"/>
        </w:tabs>
        <w:ind w:left="480" w:hanging="480"/>
      </w:pPr>
      <w:rPr>
        <w:rFonts w:hint="eastAsia" w:cs="Times New Roman"/>
        <w:sz w:val="44"/>
        <w:szCs w:val="44"/>
      </w:rPr>
    </w:lvl>
    <w:lvl w:ilvl="1" w:tentative="0">
      <w:start w:val="1"/>
      <w:numFmt w:val="decimal"/>
      <w:pStyle w:val="206"/>
      <w:lvlText w:val="%1.%2"/>
      <w:lvlJc w:val="left"/>
      <w:pPr>
        <w:tabs>
          <w:tab w:val="left" w:pos="480"/>
        </w:tabs>
        <w:ind w:left="480" w:hanging="480"/>
      </w:pPr>
      <w:rPr>
        <w:rFonts w:hint="default" w:cs="Times New Roman"/>
        <w:sz w:val="32"/>
        <w:szCs w:val="32"/>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620"/>
        </w:tabs>
        <w:ind w:left="16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4">
    <w:nsid w:val="00000006"/>
    <w:multiLevelType w:val="singleLevel"/>
    <w:tmpl w:val="00000006"/>
    <w:lvl w:ilvl="0" w:tentative="0">
      <w:start w:val="1"/>
      <w:numFmt w:val="decimal"/>
      <w:pStyle w:val="357"/>
      <w:lvlText w:val="%1."/>
      <w:lvlJc w:val="left"/>
      <w:pPr>
        <w:tabs>
          <w:tab w:val="left" w:pos="1620"/>
        </w:tabs>
        <w:ind w:left="1620" w:hanging="360"/>
      </w:pPr>
      <w:rPr>
        <w:rFonts w:cs="Times New Roman"/>
      </w:rPr>
    </w:lvl>
  </w:abstractNum>
  <w:abstractNum w:abstractNumId="5">
    <w:nsid w:val="00000008"/>
    <w:multiLevelType w:val="multilevel"/>
    <w:tmpl w:val="00000008"/>
    <w:lvl w:ilvl="0" w:tentative="0">
      <w:start w:val="1"/>
      <w:numFmt w:val="decimal"/>
      <w:pStyle w:val="494"/>
      <w:lvlText w:val="%1."/>
      <w:lvlJc w:val="left"/>
      <w:pPr>
        <w:tabs>
          <w:tab w:val="left" w:pos="720"/>
        </w:tabs>
        <w:ind w:left="720" w:hanging="720"/>
      </w:pPr>
      <w:rPr>
        <w:rFonts w:hint="default" w:cs="Times New Roman"/>
      </w:rPr>
    </w:lvl>
    <w:lvl w:ilvl="1" w:tentative="0">
      <w:start w:val="1"/>
      <w:numFmt w:val="decimal"/>
      <w:pStyle w:val="495"/>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0000000A"/>
    <w:multiLevelType w:val="multilevel"/>
    <w:tmpl w:val="0000000A"/>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rPr>
    </w:lvl>
    <w:lvl w:ilvl="2" w:tentative="0">
      <w:start w:val="1"/>
      <w:numFmt w:val="bullet"/>
      <w:pStyle w:val="50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0000000B"/>
    <w:multiLevelType w:val="singleLevel"/>
    <w:tmpl w:val="0000000B"/>
    <w:lvl w:ilvl="0" w:tentative="0">
      <w:start w:val="1"/>
      <w:numFmt w:val="decimal"/>
      <w:pStyle w:val="532"/>
      <w:lvlText w:val="%1．"/>
      <w:lvlJc w:val="left"/>
      <w:pPr>
        <w:tabs>
          <w:tab w:val="left" w:pos="360"/>
        </w:tabs>
        <w:ind w:left="245" w:hanging="245"/>
      </w:pPr>
      <w:rPr>
        <w:rFonts w:ascii="Times New Roman" w:hAnsi="Times New Roman" w:eastAsia="Times New Roman" w:cs="Times New Roman"/>
      </w:rPr>
    </w:lvl>
  </w:abstractNum>
  <w:abstractNum w:abstractNumId="8">
    <w:nsid w:val="0000000C"/>
    <w:multiLevelType w:val="multilevel"/>
    <w:tmpl w:val="0000000C"/>
    <w:lvl w:ilvl="0" w:tentative="0">
      <w:start w:val="1"/>
      <w:numFmt w:val="bullet"/>
      <w:pStyle w:val="36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2"/>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576"/>
        </w:tabs>
        <w:ind w:left="576" w:hanging="576"/>
      </w:pPr>
      <w:rPr>
        <w:rFonts w:hint="default" w:cs="Times New Roman"/>
      </w:rPr>
    </w:lvl>
    <w:lvl w:ilvl="2" w:tentative="0">
      <w:start w:val="1"/>
      <w:numFmt w:val="decimal"/>
      <w:pStyle w:val="531"/>
      <w:lvlText w:val="%1.%2.%3."/>
      <w:lvlJc w:val="left"/>
      <w:pPr>
        <w:tabs>
          <w:tab w:val="left" w:pos="720"/>
        </w:tabs>
        <w:ind w:left="720" w:hanging="720"/>
      </w:pPr>
      <w:rPr>
        <w:rFonts w:hint="default" w:cs="Times New Roman"/>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0">
    <w:nsid w:val="0000000E"/>
    <w:multiLevelType w:val="multilevel"/>
    <w:tmpl w:val="0000000E"/>
    <w:lvl w:ilvl="0" w:tentative="0">
      <w:start w:val="0"/>
      <w:numFmt w:val="bullet"/>
      <w:pStyle w:val="608"/>
      <w:lvlText w:val="●"/>
      <w:lvlJc w:val="left"/>
      <w:pPr>
        <w:ind w:left="420" w:hanging="420"/>
      </w:pPr>
      <w:rPr>
        <w:rFonts w:hint="eastAsia" w:ascii="微软雅黑" w:hAnsi="微软雅黑" w:eastAsia="微软雅黑"/>
      </w:rPr>
    </w:lvl>
    <w:lvl w:ilvl="1" w:tentative="0">
      <w:start w:val="0"/>
      <w:numFmt w:val="bullet"/>
      <w:lvlText w:val="●"/>
      <w:lvlJc w:val="left"/>
      <w:pPr>
        <w:ind w:left="840" w:hanging="420"/>
      </w:pPr>
      <w:rPr>
        <w:rFonts w:hint="eastAsia" w:ascii="微软雅黑" w:hAnsi="微软雅黑" w:eastAsia="微软雅黑"/>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0F"/>
    <w:multiLevelType w:val="multilevel"/>
    <w:tmpl w:val="0000000F"/>
    <w:lvl w:ilvl="0" w:tentative="0">
      <w:start w:val="1"/>
      <w:numFmt w:val="decimal"/>
      <w:pStyle w:val="253"/>
      <w:suff w:val="space"/>
      <w:lvlText w:val="%1"/>
      <w:lvlJc w:val="left"/>
      <w:rPr>
        <w:rFonts w:hint="eastAsia" w:cs="Times New Roman"/>
      </w:rPr>
    </w:lvl>
    <w:lvl w:ilvl="1" w:tentative="0">
      <w:start w:val="1"/>
      <w:numFmt w:val="decimal"/>
      <w:pStyle w:val="250"/>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suff w:val="space"/>
      <w:lvlText w:val="%1.%2.%3.%4"/>
      <w:lvlJc w:val="left"/>
      <w:pPr>
        <w:ind w:left="709"/>
      </w:pPr>
      <w:rPr>
        <w:rFonts w:hint="eastAsia" w:cs="Times New Roman"/>
      </w:rPr>
    </w:lvl>
    <w:lvl w:ilvl="4" w:tentative="0">
      <w:start w:val="1"/>
      <w:numFmt w:val="decimal"/>
      <w:suff w:val="space"/>
      <w:lvlText w:val="%1.%2.%3.%4.%5"/>
      <w:lvlJc w:val="left"/>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2">
    <w:nsid w:val="00000010"/>
    <w:multiLevelType w:val="multilevel"/>
    <w:tmpl w:val="00000010"/>
    <w:lvl w:ilvl="0" w:tentative="0">
      <w:start w:val="1"/>
      <w:numFmt w:val="bullet"/>
      <w:pStyle w:val="5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704"/>
        </w:tabs>
        <w:ind w:left="704" w:hanging="420"/>
      </w:pPr>
      <w:rPr>
        <w:rFonts w:hint="default" w:ascii="Wingdings" w:hAnsi="Wingdings"/>
        <w:color w:val="auto"/>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1"/>
    <w:multiLevelType w:val="multilevel"/>
    <w:tmpl w:val="00000011"/>
    <w:lvl w:ilvl="0" w:tentative="0">
      <w:start w:val="1"/>
      <w:numFmt w:val="decimal"/>
      <w:lvlText w:val="%1"/>
      <w:lvlJc w:val="left"/>
      <w:pPr>
        <w:tabs>
          <w:tab w:val="left" w:pos="1440"/>
        </w:tabs>
        <w:ind w:left="1440" w:hanging="720"/>
      </w:pPr>
      <w:rPr>
        <w:rFonts w:hint="default" w:cs="Times New Roman"/>
      </w:rPr>
    </w:lvl>
    <w:lvl w:ilvl="1" w:tentative="0">
      <w:start w:val="1"/>
      <w:numFmt w:val="decimal"/>
      <w:pStyle w:val="503"/>
      <w:isLgl/>
      <w:lvlText w:val="%1.%2"/>
      <w:lvlJc w:val="left"/>
      <w:pPr>
        <w:tabs>
          <w:tab w:val="left" w:pos="1440"/>
        </w:tabs>
        <w:ind w:left="1440" w:hanging="720"/>
      </w:pPr>
      <w:rPr>
        <w:rFonts w:hint="default" w:cs="Times New Roman"/>
      </w:rPr>
    </w:lvl>
    <w:lvl w:ilvl="2" w:tentative="0">
      <w:start w:val="1"/>
      <w:numFmt w:val="decimal"/>
      <w:isLgl/>
      <w:lvlText w:val="%1.%2.%3"/>
      <w:lvlJc w:val="left"/>
      <w:pPr>
        <w:tabs>
          <w:tab w:val="left" w:pos="1440"/>
        </w:tabs>
        <w:ind w:left="1440" w:hanging="720"/>
      </w:pPr>
      <w:rPr>
        <w:rFonts w:hint="default" w:ascii="Arial (W1)" w:hAnsi="Arial (W1)" w:cs="Times New Roman"/>
        <w:b w:val="0"/>
        <w:i w:val="0"/>
        <w:caps/>
        <w:sz w:val="24"/>
      </w:rPr>
    </w:lvl>
    <w:lvl w:ilvl="3" w:tentative="0">
      <w:start w:val="1"/>
      <w:numFmt w:val="decimal"/>
      <w:pStyle w:val="519"/>
      <w:isLgl/>
      <w:lvlText w:val="%1.%2.%3.%4"/>
      <w:lvlJc w:val="left"/>
      <w:pPr>
        <w:tabs>
          <w:tab w:val="left" w:pos="1440"/>
        </w:tabs>
        <w:ind w:left="1440" w:hanging="720"/>
      </w:pPr>
      <w:rPr>
        <w:rFonts w:hint="default" w:cs="Times New Roman"/>
      </w:rPr>
    </w:lvl>
    <w:lvl w:ilvl="4" w:tentative="0">
      <w:start w:val="1"/>
      <w:numFmt w:val="decimal"/>
      <w:isLgl/>
      <w:lvlText w:val="%1.%2.%3.%4.%5"/>
      <w:lvlJc w:val="left"/>
      <w:pPr>
        <w:tabs>
          <w:tab w:val="left" w:pos="1440"/>
        </w:tabs>
        <w:ind w:left="1440" w:hanging="720"/>
      </w:pPr>
      <w:rPr>
        <w:rFonts w:hint="default" w:cs="Times New Roman"/>
      </w:rPr>
    </w:lvl>
    <w:lvl w:ilvl="5" w:tentative="0">
      <w:start w:val="1"/>
      <w:numFmt w:val="decimal"/>
      <w:isLgl/>
      <w:lvlText w:val="%1.%2.%3.%4.%5.%6"/>
      <w:lvlJc w:val="left"/>
      <w:pPr>
        <w:tabs>
          <w:tab w:val="left" w:pos="1800"/>
        </w:tabs>
        <w:ind w:left="1800" w:hanging="1080"/>
      </w:pPr>
      <w:rPr>
        <w:rFonts w:hint="default" w:cs="Times New Roman"/>
      </w:rPr>
    </w:lvl>
    <w:lvl w:ilvl="6" w:tentative="0">
      <w:start w:val="1"/>
      <w:numFmt w:val="decimal"/>
      <w:isLgl/>
      <w:lvlText w:val="%1.%2.%3.%4.%5.%6.%7"/>
      <w:lvlJc w:val="left"/>
      <w:pPr>
        <w:tabs>
          <w:tab w:val="left" w:pos="1800"/>
        </w:tabs>
        <w:ind w:left="1800" w:hanging="1080"/>
      </w:pPr>
      <w:rPr>
        <w:rFonts w:hint="default" w:cs="Times New Roman"/>
      </w:rPr>
    </w:lvl>
    <w:lvl w:ilvl="7" w:tentative="0">
      <w:start w:val="1"/>
      <w:numFmt w:val="decimal"/>
      <w:isLgl/>
      <w:lvlText w:val="%1.%2.%3.%4.%5.%6.%7.%8"/>
      <w:lvlJc w:val="left"/>
      <w:pPr>
        <w:tabs>
          <w:tab w:val="left" w:pos="2160"/>
        </w:tabs>
        <w:ind w:left="2160" w:hanging="1440"/>
      </w:pPr>
      <w:rPr>
        <w:rFonts w:hint="default" w:cs="Times New Roman"/>
      </w:rPr>
    </w:lvl>
    <w:lvl w:ilvl="8" w:tentative="0">
      <w:start w:val="1"/>
      <w:numFmt w:val="decimal"/>
      <w:isLgl/>
      <w:lvlText w:val="%1.%2.%3.%4.%5.%6.%7.%8.%9"/>
      <w:lvlJc w:val="left"/>
      <w:pPr>
        <w:tabs>
          <w:tab w:val="left" w:pos="2160"/>
        </w:tabs>
        <w:ind w:left="2160" w:hanging="1440"/>
      </w:pPr>
      <w:rPr>
        <w:rFonts w:hint="default" w:cs="Times New Roman"/>
      </w:rPr>
    </w:lvl>
  </w:abstractNum>
  <w:abstractNum w:abstractNumId="14">
    <w:nsid w:val="00000013"/>
    <w:multiLevelType w:val="multilevel"/>
    <w:tmpl w:val="00000013"/>
    <w:lvl w:ilvl="0" w:tentative="0">
      <w:start w:val="1"/>
      <w:numFmt w:val="decimal"/>
      <w:pStyle w:val="242"/>
      <w:lvlText w:val="%1)"/>
      <w:lvlJc w:val="left"/>
      <w:pPr>
        <w:tabs>
          <w:tab w:val="left" w:pos="1440"/>
        </w:tabs>
        <w:ind w:left="1440" w:hanging="420"/>
      </w:pPr>
      <w:rPr>
        <w:rFonts w:hint="eastAsia" w:cs="Times New Roman"/>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15">
    <w:nsid w:val="00000014"/>
    <w:multiLevelType w:val="singleLevel"/>
    <w:tmpl w:val="00000014"/>
    <w:lvl w:ilvl="0" w:tentative="0">
      <w:start w:val="1"/>
      <w:numFmt w:val="decimal"/>
      <w:pStyle w:val="15"/>
      <w:lvlText w:val="%1."/>
      <w:lvlJc w:val="left"/>
      <w:pPr>
        <w:tabs>
          <w:tab w:val="left" w:pos="360"/>
        </w:tabs>
        <w:ind w:left="360" w:hanging="360"/>
      </w:pPr>
      <w:rPr>
        <w:rFonts w:cs="Times New Roman"/>
      </w:rPr>
    </w:lvl>
  </w:abstractNum>
  <w:abstractNum w:abstractNumId="16">
    <w:nsid w:val="00000015"/>
    <w:multiLevelType w:val="multilevel"/>
    <w:tmpl w:val="00000015"/>
    <w:lvl w:ilvl="0" w:tentative="0">
      <w:start w:val="1"/>
      <w:numFmt w:val="decimal"/>
      <w:pStyle w:val="182"/>
      <w:lvlText w:val="%1."/>
      <w:lvlJc w:val="left"/>
      <w:pPr>
        <w:tabs>
          <w:tab w:val="left" w:pos="900"/>
        </w:tabs>
        <w:ind w:left="900" w:hanging="420"/>
      </w:pPr>
      <w:rPr>
        <w:rFonts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upperLetter"/>
      <w:lvlText w:val="%3、"/>
      <w:lvlJc w:val="left"/>
      <w:pPr>
        <w:tabs>
          <w:tab w:val="left" w:pos="1680"/>
        </w:tabs>
        <w:ind w:left="1680" w:hanging="360"/>
      </w:pPr>
      <w:rPr>
        <w:rFonts w:hint="eastAsia"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7">
    <w:nsid w:val="00000017"/>
    <w:multiLevelType w:val="multilevel"/>
    <w:tmpl w:val="00000017"/>
    <w:lvl w:ilvl="0" w:tentative="0">
      <w:start w:val="1"/>
      <w:numFmt w:val="decimal"/>
      <w:pStyle w:val="538"/>
      <w:lvlText w:val="%1."/>
      <w:lvlJc w:val="left"/>
      <w:pPr>
        <w:tabs>
          <w:tab w:val="left" w:pos="902"/>
        </w:tabs>
        <w:ind w:left="902" w:hanging="420"/>
      </w:pPr>
      <w:rPr>
        <w:rFonts w:hint="eastAsia" w:cs="Times New Roman"/>
      </w:rPr>
    </w:lvl>
    <w:lvl w:ilvl="1" w:tentative="0">
      <w:start w:val="1"/>
      <w:numFmt w:val="decimal"/>
      <w:lvlText w:val="%2）"/>
      <w:lvlJc w:val="left"/>
      <w:pPr>
        <w:tabs>
          <w:tab w:val="left" w:pos="1262"/>
        </w:tabs>
        <w:ind w:left="1262" w:hanging="360"/>
      </w:pPr>
      <w:rPr>
        <w:rFonts w:hint="eastAsia" w:cs="Times New Roman"/>
      </w:rPr>
    </w:lvl>
    <w:lvl w:ilvl="2" w:tentative="0">
      <w:start w:val="1"/>
      <w:numFmt w:val="japaneseCounting"/>
      <w:lvlText w:val="%3．"/>
      <w:lvlJc w:val="left"/>
      <w:pPr>
        <w:tabs>
          <w:tab w:val="left" w:pos="1742"/>
        </w:tabs>
        <w:ind w:left="1742" w:hanging="420"/>
      </w:pPr>
      <w:rPr>
        <w:rFonts w:hint="eastAsia" w:cs="Times New Roman"/>
      </w:rPr>
    </w:lvl>
    <w:lvl w:ilvl="3" w:tentative="0">
      <w:start w:val="1"/>
      <w:numFmt w:val="japaneseCounting"/>
      <w:lvlText w:val="（%4）"/>
      <w:lvlJc w:val="left"/>
      <w:pPr>
        <w:tabs>
          <w:tab w:val="left" w:pos="720"/>
        </w:tabs>
        <w:ind w:left="720" w:hanging="720"/>
      </w:pPr>
      <w:rPr>
        <w:rFonts w:hint="eastAsia" w:cs="Times New Roman"/>
      </w:rPr>
    </w:lvl>
    <w:lvl w:ilvl="4" w:tentative="0">
      <w:start w:val="1"/>
      <w:numFmt w:val="decimal"/>
      <w:lvlText w:val="%5)"/>
      <w:lvlJc w:val="left"/>
      <w:pPr>
        <w:tabs>
          <w:tab w:val="left" w:pos="2582"/>
        </w:tabs>
        <w:ind w:left="2582" w:hanging="420"/>
      </w:pPr>
      <w:rPr>
        <w:rFonts w:hint="eastAsia" w:cs="Times New Roman"/>
      </w:rPr>
    </w:lvl>
    <w:lvl w:ilvl="5" w:tentative="0">
      <w:start w:val="1"/>
      <w:numFmt w:val="japaneseCounting"/>
      <w:lvlText w:val="%6、"/>
      <w:lvlJc w:val="left"/>
      <w:pPr>
        <w:tabs>
          <w:tab w:val="left" w:pos="3062"/>
        </w:tabs>
        <w:ind w:left="3062" w:hanging="480"/>
      </w:pPr>
      <w:rPr>
        <w:rFonts w:hint="eastAsia" w:cs="Times New Roman"/>
      </w:rPr>
    </w:lvl>
    <w:lvl w:ilvl="6" w:tentative="0">
      <w:start w:val="1"/>
      <w:numFmt w:val="decimal"/>
      <w:lvlText w:val="%7."/>
      <w:lvlJc w:val="left"/>
      <w:pPr>
        <w:tabs>
          <w:tab w:val="left" w:pos="3422"/>
        </w:tabs>
        <w:ind w:left="3422" w:hanging="420"/>
      </w:pPr>
      <w:rPr>
        <w:rFonts w:cs="Times New Roman"/>
      </w:rPr>
    </w:lvl>
    <w:lvl w:ilvl="7" w:tentative="0">
      <w:start w:val="1"/>
      <w:numFmt w:val="lowerLetter"/>
      <w:lvlText w:val="%8)"/>
      <w:lvlJc w:val="left"/>
      <w:pPr>
        <w:tabs>
          <w:tab w:val="left" w:pos="3842"/>
        </w:tabs>
        <w:ind w:left="3842" w:hanging="420"/>
      </w:pPr>
      <w:rPr>
        <w:rFonts w:cs="Times New Roman"/>
      </w:rPr>
    </w:lvl>
    <w:lvl w:ilvl="8" w:tentative="0">
      <w:start w:val="1"/>
      <w:numFmt w:val="lowerRoman"/>
      <w:lvlText w:val="%9."/>
      <w:lvlJc w:val="right"/>
      <w:pPr>
        <w:tabs>
          <w:tab w:val="left" w:pos="4262"/>
        </w:tabs>
        <w:ind w:left="4262" w:hanging="420"/>
      </w:pPr>
      <w:rPr>
        <w:rFonts w:cs="Times New Roman"/>
      </w:rPr>
    </w:lvl>
  </w:abstractNum>
  <w:abstractNum w:abstractNumId="18">
    <w:nsid w:val="00000018"/>
    <w:multiLevelType w:val="multilevel"/>
    <w:tmpl w:val="00000018"/>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501"/>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0000001A"/>
    <w:multiLevelType w:val="multilevel"/>
    <w:tmpl w:val="0000001A"/>
    <w:lvl w:ilvl="0" w:tentative="0">
      <w:start w:val="1"/>
      <w:numFmt w:val="lowerLetter"/>
      <w:pStyle w:val="520"/>
      <w:lvlText w:val="%1."/>
      <w:lvlJc w:val="left"/>
      <w:pPr>
        <w:tabs>
          <w:tab w:val="left" w:pos="2304"/>
        </w:tabs>
        <w:ind w:left="2304" w:hanging="576"/>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0000001B"/>
    <w:multiLevelType w:val="multilevel"/>
    <w:tmpl w:val="0000001B"/>
    <w:lvl w:ilvl="0" w:tentative="0">
      <w:start w:val="1"/>
      <w:numFmt w:val="decimal"/>
      <w:pStyle w:val="5"/>
      <w:lvlText w:val="%1.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0000001C"/>
    <w:multiLevelType w:val="multilevel"/>
    <w:tmpl w:val="0000001C"/>
    <w:lvl w:ilvl="0" w:tentative="0">
      <w:start w:val="1"/>
      <w:numFmt w:val="lowerLetter"/>
      <w:pStyle w:val="506"/>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0000001D"/>
    <w:multiLevelType w:val="multilevel"/>
    <w:tmpl w:val="0000001D"/>
    <w:lvl w:ilvl="0" w:tentative="0">
      <w:start w:val="1"/>
      <w:numFmt w:val="none"/>
      <w:pStyle w:val="190"/>
      <w:suff w:val="nothing"/>
      <w:lvlText w:val="%1"/>
      <w:lvlJc w:val="left"/>
      <w:rPr>
        <w:rFonts w:hint="default" w:ascii="Times New Roman" w:hAnsi="Times New Roman" w:cs="Times New Roman"/>
        <w:b/>
        <w:i w:val="0"/>
        <w:sz w:val="21"/>
      </w:rPr>
    </w:lvl>
    <w:lvl w:ilvl="1" w:tentative="0">
      <w:start w:val="1"/>
      <w:numFmt w:val="decimal"/>
      <w:pStyle w:val="192"/>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pPr>
        <w:ind w:left="525"/>
      </w:pPr>
      <w:rPr>
        <w:rFonts w:hint="eastAsia" w:ascii="黑体" w:hAnsi="Times New Roman" w:eastAsia="黑体" w:cs="Times New Roman"/>
        <w:b w:val="0"/>
        <w:i w:val="0"/>
        <w:sz w:val="21"/>
      </w:rPr>
    </w:lvl>
    <w:lvl w:ilvl="3" w:tentative="0">
      <w:start w:val="1"/>
      <w:numFmt w:val="decimal"/>
      <w:suff w:val="nothing"/>
      <w:lvlText w:val="%1%2.%3.%4　"/>
      <w:lvlJc w:val="left"/>
      <w:pPr>
        <w:ind w:left="18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3">
    <w:nsid w:val="0000001F"/>
    <w:multiLevelType w:val="singleLevel"/>
    <w:tmpl w:val="0000001F"/>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4">
    <w:nsid w:val="00000021"/>
    <w:multiLevelType w:val="multilevel"/>
    <w:tmpl w:val="00000021"/>
    <w:lvl w:ilvl="0" w:tentative="0">
      <w:start w:val="1"/>
      <w:numFmt w:val="none"/>
      <w:pStyle w:val="516"/>
      <w:suff w:val="nothing"/>
      <w:lvlText w:val="%1"/>
      <w:lvlJc w:val="left"/>
      <w:rPr>
        <w:rFonts w:cs="Times New Roman"/>
      </w:rPr>
    </w:lvl>
    <w:lvl w:ilvl="1" w:tentative="0">
      <w:start w:val="1"/>
      <w:numFmt w:val="decimal"/>
      <w:pStyle w:val="508"/>
      <w:lvlText w:val="%1%2.0"/>
      <w:lvlJc w:val="left"/>
      <w:pPr>
        <w:tabs>
          <w:tab w:val="left" w:pos="576"/>
        </w:tabs>
        <w:ind w:left="576" w:hanging="576"/>
      </w:pPr>
      <w:rPr>
        <w:rFonts w:cs="Times New Roman"/>
      </w:rPr>
    </w:lvl>
    <w:lvl w:ilvl="2" w:tentative="0">
      <w:start w:val="1"/>
      <w:numFmt w:val="decimal"/>
      <w:pStyle w:val="509"/>
      <w:lvlText w:val="%1%2.%3"/>
      <w:lvlJc w:val="left"/>
      <w:pPr>
        <w:tabs>
          <w:tab w:val="left" w:pos="576"/>
        </w:tabs>
        <w:ind w:left="576" w:hanging="576"/>
      </w:pPr>
      <w:rPr>
        <w:rFonts w:cs="Times New Roman"/>
      </w:rPr>
    </w:lvl>
    <w:lvl w:ilvl="3" w:tentative="0">
      <w:start w:val="1"/>
      <w:numFmt w:val="lowerLetter"/>
      <w:pStyle w:val="510"/>
      <w:lvlText w:val="%1%4."/>
      <w:lvlJc w:val="left"/>
      <w:pPr>
        <w:tabs>
          <w:tab w:val="left" w:pos="720"/>
        </w:tabs>
        <w:ind w:left="360" w:hanging="360"/>
      </w:pPr>
      <w:rPr>
        <w:rFonts w:cs="Times New Roman"/>
      </w:rPr>
    </w:lvl>
    <w:lvl w:ilvl="4" w:tentative="0">
      <w:start w:val="1"/>
      <w:numFmt w:val="decimal"/>
      <w:pStyle w:val="511"/>
      <w:lvlText w:val="%5."/>
      <w:lvlJc w:val="left"/>
      <w:pPr>
        <w:tabs>
          <w:tab w:val="left" w:pos="720"/>
        </w:tabs>
        <w:ind w:left="720" w:hanging="360"/>
      </w:pPr>
      <w:rPr>
        <w:rFonts w:cs="Times New Roman"/>
      </w:rPr>
    </w:lvl>
    <w:lvl w:ilvl="5" w:tentative="0">
      <w:start w:val="1"/>
      <w:numFmt w:val="lowerLetter"/>
      <w:pStyle w:val="512"/>
      <w:lvlText w:val="%1(%6)"/>
      <w:lvlJc w:val="left"/>
      <w:pPr>
        <w:tabs>
          <w:tab w:val="left" w:pos="1440"/>
        </w:tabs>
        <w:ind w:left="720"/>
      </w:pPr>
      <w:rPr>
        <w:rFonts w:cs="Times New Roman"/>
      </w:rPr>
    </w:lvl>
    <w:lvl w:ilvl="6" w:tentative="0">
      <w:start w:val="1"/>
      <w:numFmt w:val="lowerRoman"/>
      <w:pStyle w:val="513"/>
      <w:lvlText w:val="(%7)"/>
      <w:lvlJc w:val="left"/>
      <w:pPr>
        <w:tabs>
          <w:tab w:val="left" w:pos="1800"/>
        </w:tabs>
        <w:ind w:left="1440" w:hanging="360"/>
      </w:pPr>
      <w:rPr>
        <w:rFonts w:cs="Times New Roman"/>
      </w:rPr>
    </w:lvl>
    <w:lvl w:ilvl="7" w:tentative="0">
      <w:start w:val="1"/>
      <w:numFmt w:val="decimal"/>
      <w:pStyle w:val="514"/>
      <w:lvlText w:val="(%8)"/>
      <w:lvlJc w:val="left"/>
      <w:pPr>
        <w:tabs>
          <w:tab w:val="left" w:pos="1800"/>
        </w:tabs>
        <w:ind w:left="1800" w:hanging="360"/>
      </w:pPr>
      <w:rPr>
        <w:rFonts w:cs="Times New Roman"/>
      </w:rPr>
    </w:lvl>
    <w:lvl w:ilvl="8" w:tentative="0">
      <w:start w:val="1"/>
      <w:numFmt w:val="lowerRoman"/>
      <w:pStyle w:val="515"/>
      <w:lvlText w:val="(%9)"/>
      <w:lvlJc w:val="left"/>
      <w:pPr>
        <w:tabs>
          <w:tab w:val="left" w:pos="2520"/>
        </w:tabs>
        <w:ind w:left="2160" w:hanging="360"/>
      </w:pPr>
      <w:rPr>
        <w:rFonts w:cs="Times New Roman"/>
      </w:rPr>
    </w:lvl>
  </w:abstractNum>
  <w:abstractNum w:abstractNumId="25">
    <w:nsid w:val="00000023"/>
    <w:multiLevelType w:val="multilevel"/>
    <w:tmpl w:val="00000023"/>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pStyle w:val="8"/>
      <w:lvlText w:val="%1.%2.%3.%4.%5.%6.%7"/>
      <w:lvlJc w:val="left"/>
      <w:pPr>
        <w:tabs>
          <w:tab w:val="left" w:pos="1296"/>
        </w:tabs>
        <w:ind w:left="1296" w:hanging="1296"/>
      </w:pPr>
      <w:rPr>
        <w:rFonts w:cs="Times New Roman"/>
      </w:rPr>
    </w:lvl>
    <w:lvl w:ilvl="7" w:tentative="0">
      <w:start w:val="1"/>
      <w:numFmt w:val="decimal"/>
      <w:pStyle w:val="9"/>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26">
    <w:nsid w:val="00000024"/>
    <w:multiLevelType w:val="multilevel"/>
    <w:tmpl w:val="00000024"/>
    <w:lvl w:ilvl="0" w:tentative="0">
      <w:start w:val="1"/>
      <w:numFmt w:val="bullet"/>
      <w:pStyle w:val="53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8"/>
    <w:multiLevelType w:val="multilevel"/>
    <w:tmpl w:val="00000028"/>
    <w:lvl w:ilvl="0" w:tentative="0">
      <w:start w:val="1"/>
      <w:numFmt w:val="decimal"/>
      <w:pStyle w:val="198"/>
      <w:suff w:val="nothing"/>
      <w:lvlText w:val="表%1　"/>
      <w:lvlJc w:val="left"/>
      <w:pPr>
        <w:ind w:left="3240"/>
      </w:pPr>
      <w:rPr>
        <w:rFonts w:hint="eastAsia" w:ascii="黑体" w:hAnsi="Times New Roman" w:eastAsia="黑体" w:cs="Times New Roman"/>
        <w:b w:val="0"/>
        <w:i w:val="0"/>
        <w:sz w:val="21"/>
      </w:rPr>
    </w:lvl>
    <w:lvl w:ilvl="1" w:tentative="0">
      <w:start w:val="1"/>
      <w:numFmt w:val="decimal"/>
      <w:lvlText w:val="%1.%2"/>
      <w:lvlJc w:val="left"/>
      <w:pPr>
        <w:tabs>
          <w:tab w:val="left" w:pos="872"/>
        </w:tabs>
        <w:ind w:left="872" w:hanging="567"/>
      </w:pPr>
      <w:rPr>
        <w:rFonts w:hint="eastAsia" w:cs="Times New Roman"/>
      </w:rPr>
    </w:lvl>
    <w:lvl w:ilvl="2" w:tentative="0">
      <w:start w:val="1"/>
      <w:numFmt w:val="decimal"/>
      <w:lvlText w:val="%1.%2.%3"/>
      <w:lvlJc w:val="left"/>
      <w:pPr>
        <w:tabs>
          <w:tab w:val="left" w:pos="1298"/>
        </w:tabs>
        <w:ind w:left="1298" w:hanging="567"/>
      </w:pPr>
      <w:rPr>
        <w:rFonts w:hint="eastAsia" w:cs="Times New Roman"/>
      </w:rPr>
    </w:lvl>
    <w:lvl w:ilvl="3" w:tentative="0">
      <w:start w:val="1"/>
      <w:numFmt w:val="decimal"/>
      <w:lvlText w:val="%1.%2.%3.%4"/>
      <w:lvlJc w:val="left"/>
      <w:pPr>
        <w:tabs>
          <w:tab w:val="left" w:pos="1864"/>
        </w:tabs>
        <w:ind w:left="1864" w:hanging="708"/>
      </w:pPr>
      <w:rPr>
        <w:rFonts w:hint="eastAsia" w:cs="Times New Roman"/>
      </w:rPr>
    </w:lvl>
    <w:lvl w:ilvl="4" w:tentative="0">
      <w:start w:val="1"/>
      <w:numFmt w:val="decimal"/>
      <w:lvlText w:val="%1.%2.%3.%4.%5"/>
      <w:lvlJc w:val="left"/>
      <w:pPr>
        <w:tabs>
          <w:tab w:val="left" w:pos="2431"/>
        </w:tabs>
        <w:ind w:left="2431" w:hanging="850"/>
      </w:pPr>
      <w:rPr>
        <w:rFonts w:hint="eastAsia" w:cs="Times New Roman"/>
      </w:rPr>
    </w:lvl>
    <w:lvl w:ilvl="5" w:tentative="0">
      <w:start w:val="1"/>
      <w:numFmt w:val="decimal"/>
      <w:lvlText w:val="%1.%2.%3.%4.%5.%6"/>
      <w:lvlJc w:val="left"/>
      <w:pPr>
        <w:tabs>
          <w:tab w:val="left" w:pos="3140"/>
        </w:tabs>
        <w:ind w:left="3140" w:hanging="1134"/>
      </w:pPr>
      <w:rPr>
        <w:rFonts w:hint="eastAsia" w:cs="Times New Roman"/>
      </w:rPr>
    </w:lvl>
    <w:lvl w:ilvl="6" w:tentative="0">
      <w:start w:val="1"/>
      <w:numFmt w:val="decimal"/>
      <w:lvlText w:val="%1.%2.%3.%4.%5.%6.%7"/>
      <w:lvlJc w:val="left"/>
      <w:pPr>
        <w:tabs>
          <w:tab w:val="left" w:pos="3707"/>
        </w:tabs>
        <w:ind w:left="3707" w:hanging="1276"/>
      </w:pPr>
      <w:rPr>
        <w:rFonts w:hint="eastAsia" w:cs="Times New Roman"/>
      </w:rPr>
    </w:lvl>
    <w:lvl w:ilvl="7" w:tentative="0">
      <w:start w:val="1"/>
      <w:numFmt w:val="decimal"/>
      <w:lvlText w:val="%1.%2.%3.%4.%5.%6.%7.%8"/>
      <w:lvlJc w:val="left"/>
      <w:pPr>
        <w:tabs>
          <w:tab w:val="left" w:pos="4274"/>
        </w:tabs>
        <w:ind w:left="4274" w:hanging="1418"/>
      </w:pPr>
      <w:rPr>
        <w:rFonts w:hint="eastAsia" w:cs="Times New Roman"/>
      </w:rPr>
    </w:lvl>
    <w:lvl w:ilvl="8" w:tentative="0">
      <w:start w:val="1"/>
      <w:numFmt w:val="decimal"/>
      <w:lvlText w:val="%1.%2.%3.%4.%5.%6.%7.%8.%9"/>
      <w:lvlJc w:val="left"/>
      <w:pPr>
        <w:tabs>
          <w:tab w:val="left" w:pos="4982"/>
        </w:tabs>
        <w:ind w:left="4982" w:hanging="1700"/>
      </w:pPr>
      <w:rPr>
        <w:rFonts w:hint="eastAsia" w:cs="Times New Roman"/>
      </w:rPr>
    </w:lvl>
  </w:abstractNum>
  <w:abstractNum w:abstractNumId="28">
    <w:nsid w:val="00000029"/>
    <w:multiLevelType w:val="multilevel"/>
    <w:tmpl w:val="00000029"/>
    <w:lvl w:ilvl="0" w:tentative="0">
      <w:start w:val="1"/>
      <w:numFmt w:val="decimal"/>
      <w:pStyle w:val="30"/>
      <w:lvlText w:val="%1."/>
      <w:lvlJc w:val="left"/>
      <w:pPr>
        <w:tabs>
          <w:tab w:val="left" w:pos="1140"/>
        </w:tabs>
        <w:ind w:left="1140" w:hanging="420"/>
      </w:pPr>
      <w:rPr>
        <w:rFonts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9">
    <w:nsid w:val="0000002C"/>
    <w:multiLevelType w:val="multilevel"/>
    <w:tmpl w:val="0000002C"/>
    <w:lvl w:ilvl="0" w:tentative="0">
      <w:start w:val="1"/>
      <w:numFmt w:val="decimal"/>
      <w:pStyle w:val="370"/>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30">
    <w:nsid w:val="0000002D"/>
    <w:multiLevelType w:val="multilevel"/>
    <w:tmpl w:val="0000002D"/>
    <w:lvl w:ilvl="0" w:tentative="0">
      <w:start w:val="1"/>
      <w:numFmt w:val="chineseCountingThousand"/>
      <w:lvlText w:val="第%1章 "/>
      <w:lvlJc w:val="left"/>
      <w:pPr>
        <w:tabs>
          <w:tab w:val="left" w:pos="420"/>
        </w:tabs>
        <w:ind w:left="420" w:hanging="420"/>
      </w:pPr>
      <w:rPr>
        <w:rFonts w:hint="eastAsia" w:cs="Times New Roman"/>
      </w:rPr>
    </w:lvl>
    <w:lvl w:ilvl="1" w:tentative="0">
      <w:start w:val="1"/>
      <w:numFmt w:val="chineseCountingThousand"/>
      <w:lvlText w:val="第%2节"/>
      <w:lvlJc w:val="left"/>
      <w:pPr>
        <w:tabs>
          <w:tab w:val="left" w:pos="2315"/>
        </w:tabs>
        <w:ind w:left="2315" w:hanging="575"/>
      </w:pPr>
      <w:rPr>
        <w:rFonts w:hint="eastAsia" w:cs="Times New Roman"/>
      </w:rPr>
    </w:lvl>
    <w:lvl w:ilvl="2" w:tentative="0">
      <w:start w:val="1"/>
      <w:numFmt w:val="chineseCounting"/>
      <w:lvlText w:val="%3、"/>
      <w:lvlJc w:val="left"/>
      <w:pPr>
        <w:tabs>
          <w:tab w:val="left" w:pos="1020"/>
        </w:tabs>
        <w:ind w:left="1020" w:hanging="720"/>
      </w:pPr>
      <w:rPr>
        <w:rFonts w:hint="eastAsia" w:ascii="宋体" w:hAnsi="宋体" w:eastAsia="宋体" w:cs="Times New Roman"/>
      </w:rPr>
    </w:lvl>
    <w:lvl w:ilvl="3" w:tentative="0">
      <w:start w:val="1"/>
      <w:numFmt w:val="decimal"/>
      <w:lvlText w:val="%4"/>
      <w:lvlJc w:val="left"/>
      <w:pPr>
        <w:tabs>
          <w:tab w:val="left" w:pos="2604"/>
        </w:tabs>
        <w:ind w:left="2604" w:hanging="864"/>
      </w:pPr>
      <w:rPr>
        <w:rFonts w:hint="eastAsia" w:ascii="宋体" w:hAnsi="宋体" w:eastAsia="宋体" w:cs="Times New Roman"/>
      </w:rPr>
    </w:lvl>
    <w:lvl w:ilvl="4" w:tentative="0">
      <w:start w:val="1"/>
      <w:numFmt w:val="decimal"/>
      <w:pStyle w:val="135"/>
      <w:lvlText w:val="%3.%4.%5"/>
      <w:lvlJc w:val="left"/>
      <w:pPr>
        <w:tabs>
          <w:tab w:val="left" w:pos="1008"/>
        </w:tabs>
        <w:ind w:left="1008" w:hanging="1008"/>
      </w:pPr>
      <w:rPr>
        <w:rFonts w:hint="eastAsia" w:cs="Times New Roman"/>
      </w:rPr>
    </w:lvl>
    <w:lvl w:ilvl="5" w:tentative="0">
      <w:start w:val="1"/>
      <w:numFmt w:val="decimal"/>
      <w:lvlText w:val="%1.%2.%3.%4.%5.%6."/>
      <w:lvlJc w:val="left"/>
      <w:pPr>
        <w:tabs>
          <w:tab w:val="left" w:pos="1151"/>
        </w:tabs>
        <w:ind w:left="1151" w:hanging="1151"/>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3"/>
        </w:tabs>
        <w:ind w:left="1583" w:hanging="1583"/>
      </w:pPr>
      <w:rPr>
        <w:rFonts w:hint="eastAsia" w:cs="Times New Roman"/>
      </w:rPr>
    </w:lvl>
  </w:abstractNum>
  <w:abstractNum w:abstractNumId="31">
    <w:nsid w:val="0E02BFB3"/>
    <w:multiLevelType w:val="singleLevel"/>
    <w:tmpl w:val="0E02BFB3"/>
    <w:lvl w:ilvl="0" w:tentative="0">
      <w:start w:val="1"/>
      <w:numFmt w:val="decimal"/>
      <w:suff w:val="space"/>
      <w:lvlText w:val="%1."/>
      <w:lvlJc w:val="left"/>
    </w:lvl>
  </w:abstractNum>
  <w:abstractNum w:abstractNumId="32">
    <w:nsid w:val="11595245"/>
    <w:multiLevelType w:val="singleLevel"/>
    <w:tmpl w:val="11595245"/>
    <w:lvl w:ilvl="0" w:tentative="0">
      <w:start w:val="2"/>
      <w:numFmt w:val="chineseCounting"/>
      <w:suff w:val="space"/>
      <w:lvlText w:val="第%1部分"/>
      <w:lvlJc w:val="left"/>
      <w:rPr>
        <w:rFonts w:hint="eastAsia"/>
        <w:sz w:val="36"/>
        <w:szCs w:val="36"/>
      </w:rPr>
    </w:lvl>
  </w:abstractNum>
  <w:abstractNum w:abstractNumId="33">
    <w:nsid w:val="54F403B5"/>
    <w:multiLevelType w:val="singleLevel"/>
    <w:tmpl w:val="54F403B5"/>
    <w:lvl w:ilvl="0" w:tentative="0">
      <w:start w:val="1"/>
      <w:numFmt w:val="chineseCounting"/>
      <w:suff w:val="nothing"/>
      <w:lvlText w:val="%1、"/>
      <w:lvlJc w:val="left"/>
    </w:lvl>
  </w:abstractNum>
  <w:abstractNum w:abstractNumId="34">
    <w:nsid w:val="557FD3DA"/>
    <w:multiLevelType w:val="singleLevel"/>
    <w:tmpl w:val="557FD3DA"/>
    <w:lvl w:ilvl="0" w:tentative="0">
      <w:start w:val="3"/>
      <w:numFmt w:val="chineseCounting"/>
      <w:suff w:val="nothing"/>
      <w:lvlText w:val="%1、"/>
      <w:lvlJc w:val="left"/>
    </w:lvl>
  </w:abstractNum>
  <w:abstractNum w:abstractNumId="35">
    <w:nsid w:val="59C2244E"/>
    <w:multiLevelType w:val="multilevel"/>
    <w:tmpl w:val="59C2244E"/>
    <w:lvl w:ilvl="0" w:tentative="0">
      <w:start w:val="1"/>
      <w:numFmt w:val="decimal"/>
      <w:pStyle w:val="204"/>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6">
    <w:nsid w:val="60AE2CA3"/>
    <w:multiLevelType w:val="singleLevel"/>
    <w:tmpl w:val="60AE2CA3"/>
    <w:lvl w:ilvl="0" w:tentative="0">
      <w:start w:val="2"/>
      <w:numFmt w:val="decimal"/>
      <w:suff w:val="nothing"/>
      <w:lvlText w:val="（%1）"/>
      <w:lvlJc w:val="left"/>
    </w:lvl>
  </w:abstractNum>
  <w:abstractNum w:abstractNumId="37">
    <w:nsid w:val="625E924F"/>
    <w:multiLevelType w:val="singleLevel"/>
    <w:tmpl w:val="625E924F"/>
    <w:lvl w:ilvl="0" w:tentative="0">
      <w:start w:val="2"/>
      <w:numFmt w:val="decimal"/>
      <w:suff w:val="nothing"/>
      <w:lvlText w:val="%1、"/>
      <w:lvlJc w:val="left"/>
    </w:lvl>
  </w:abstractNum>
  <w:abstractNum w:abstractNumId="38">
    <w:nsid w:val="79189F0A"/>
    <w:multiLevelType w:val="singleLevel"/>
    <w:tmpl w:val="79189F0A"/>
    <w:lvl w:ilvl="0" w:tentative="0">
      <w:start w:val="5"/>
      <w:numFmt w:val="decimal"/>
      <w:suff w:val="nothing"/>
      <w:lvlText w:val="%1、"/>
      <w:lvlJc w:val="left"/>
    </w:lvl>
  </w:abstractNum>
  <w:num w:numId="1">
    <w:abstractNumId w:val="25"/>
  </w:num>
  <w:num w:numId="2">
    <w:abstractNumId w:val="20"/>
  </w:num>
  <w:num w:numId="3">
    <w:abstractNumId w:val="15"/>
  </w:num>
  <w:num w:numId="4">
    <w:abstractNumId w:val="23"/>
  </w:num>
  <w:num w:numId="5">
    <w:abstractNumId w:val="28"/>
  </w:num>
  <w:num w:numId="6">
    <w:abstractNumId w:val="12"/>
  </w:num>
  <w:num w:numId="7">
    <w:abstractNumId w:val="30"/>
  </w:num>
  <w:num w:numId="8">
    <w:abstractNumId w:val="16"/>
  </w:num>
  <w:num w:numId="9">
    <w:abstractNumId w:val="22"/>
  </w:num>
  <w:num w:numId="10">
    <w:abstractNumId w:val="27"/>
  </w:num>
  <w:num w:numId="11">
    <w:abstractNumId w:val="35"/>
  </w:num>
  <w:num w:numId="12">
    <w:abstractNumId w:val="3"/>
  </w:num>
  <w:num w:numId="13">
    <w:abstractNumId w:val="14"/>
  </w:num>
  <w:num w:numId="14">
    <w:abstractNumId w:val="11"/>
  </w:num>
  <w:num w:numId="15">
    <w:abstractNumId w:val="4"/>
  </w:num>
  <w:num w:numId="16">
    <w:abstractNumId w:val="8"/>
  </w:num>
  <w:num w:numId="17">
    <w:abstractNumId w:val="29"/>
  </w:num>
  <w:num w:numId="18">
    <w:abstractNumId w:val="5"/>
  </w:num>
  <w:num w:numId="19">
    <w:abstractNumId w:val="6"/>
  </w:num>
  <w:num w:numId="20">
    <w:abstractNumId w:val="18"/>
  </w:num>
  <w:num w:numId="21">
    <w:abstractNumId w:val="13"/>
  </w:num>
  <w:num w:numId="22">
    <w:abstractNumId w:val="21"/>
  </w:num>
  <w:num w:numId="23">
    <w:abstractNumId w:val="24"/>
  </w:num>
  <w:num w:numId="24">
    <w:abstractNumId w:val="19"/>
  </w:num>
  <w:num w:numId="25">
    <w:abstractNumId w:val="9"/>
  </w:num>
  <w:num w:numId="26">
    <w:abstractNumId w:val="7"/>
    <w:lvlOverride w:ilvl="0">
      <w:startOverride w:val="1"/>
    </w:lvlOverride>
  </w:num>
  <w:num w:numId="27">
    <w:abstractNumId w:val="26"/>
  </w:num>
  <w:num w:numId="28">
    <w:abstractNumId w:val="17"/>
  </w:num>
  <w:num w:numId="29">
    <w:abstractNumId w:val="2"/>
  </w:num>
  <w:num w:numId="30">
    <w:abstractNumId w:val="10"/>
  </w:num>
  <w:num w:numId="31">
    <w:abstractNumId w:val="38"/>
  </w:num>
  <w:num w:numId="32">
    <w:abstractNumId w:val="37"/>
  </w:num>
  <w:num w:numId="33">
    <w:abstractNumId w:val="32"/>
  </w:num>
  <w:num w:numId="34">
    <w:abstractNumId w:val="0"/>
  </w:num>
  <w:num w:numId="35">
    <w:abstractNumId w:val="1"/>
  </w:num>
  <w:num w:numId="36">
    <w:abstractNumId w:val="36"/>
  </w:num>
  <w:num w:numId="37">
    <w:abstractNumId w:val="31"/>
  </w:num>
  <w:num w:numId="38">
    <w:abstractNumId w:val="3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M2ODc3NzNkZjgwMmU0Y2VhNGFlOTg4MzMyZDcifQ=="/>
  </w:docVars>
  <w:rsids>
    <w:rsidRoot w:val="00E1598F"/>
    <w:rsid w:val="0005247E"/>
    <w:rsid w:val="00222F5D"/>
    <w:rsid w:val="002814B1"/>
    <w:rsid w:val="00310B0C"/>
    <w:rsid w:val="00325D15"/>
    <w:rsid w:val="00501FD2"/>
    <w:rsid w:val="006E2D5D"/>
    <w:rsid w:val="00823AB7"/>
    <w:rsid w:val="00A11CA9"/>
    <w:rsid w:val="00E1598F"/>
    <w:rsid w:val="01275768"/>
    <w:rsid w:val="01536131"/>
    <w:rsid w:val="01682B5C"/>
    <w:rsid w:val="01A30E5C"/>
    <w:rsid w:val="01A619B0"/>
    <w:rsid w:val="01AB6CFC"/>
    <w:rsid w:val="01AD174B"/>
    <w:rsid w:val="01B54C6B"/>
    <w:rsid w:val="020170DE"/>
    <w:rsid w:val="0263128E"/>
    <w:rsid w:val="02C44E0D"/>
    <w:rsid w:val="02FC432C"/>
    <w:rsid w:val="035C1ECD"/>
    <w:rsid w:val="039E740C"/>
    <w:rsid w:val="044445A6"/>
    <w:rsid w:val="044738B0"/>
    <w:rsid w:val="046F46C7"/>
    <w:rsid w:val="04AD688B"/>
    <w:rsid w:val="04E26B3E"/>
    <w:rsid w:val="04F14CE6"/>
    <w:rsid w:val="0518245C"/>
    <w:rsid w:val="05265AFA"/>
    <w:rsid w:val="055558D3"/>
    <w:rsid w:val="0559570F"/>
    <w:rsid w:val="0586718C"/>
    <w:rsid w:val="05892753"/>
    <w:rsid w:val="059B7F92"/>
    <w:rsid w:val="05C16AE4"/>
    <w:rsid w:val="05EF077E"/>
    <w:rsid w:val="060043AE"/>
    <w:rsid w:val="064B2580"/>
    <w:rsid w:val="06833D1C"/>
    <w:rsid w:val="06E50636"/>
    <w:rsid w:val="07074284"/>
    <w:rsid w:val="07225B82"/>
    <w:rsid w:val="073F4C20"/>
    <w:rsid w:val="07C3509B"/>
    <w:rsid w:val="080E191A"/>
    <w:rsid w:val="08357CBD"/>
    <w:rsid w:val="08397DAD"/>
    <w:rsid w:val="08A91BB0"/>
    <w:rsid w:val="08A94275"/>
    <w:rsid w:val="08A96943"/>
    <w:rsid w:val="08C60B95"/>
    <w:rsid w:val="09105B46"/>
    <w:rsid w:val="091D56DE"/>
    <w:rsid w:val="09232761"/>
    <w:rsid w:val="092704E6"/>
    <w:rsid w:val="09580A74"/>
    <w:rsid w:val="09B03566"/>
    <w:rsid w:val="09BF32CC"/>
    <w:rsid w:val="09C94ADB"/>
    <w:rsid w:val="09E01016"/>
    <w:rsid w:val="09E80C72"/>
    <w:rsid w:val="0A166BDB"/>
    <w:rsid w:val="0A193A65"/>
    <w:rsid w:val="0A3E54A5"/>
    <w:rsid w:val="0A7669ED"/>
    <w:rsid w:val="0AA66385"/>
    <w:rsid w:val="0AAD4527"/>
    <w:rsid w:val="0AE1568B"/>
    <w:rsid w:val="0AFB1FC0"/>
    <w:rsid w:val="0B4279C0"/>
    <w:rsid w:val="0B581F2E"/>
    <w:rsid w:val="0B5D6DDE"/>
    <w:rsid w:val="0B906504"/>
    <w:rsid w:val="0B9F7DB5"/>
    <w:rsid w:val="0BB9723C"/>
    <w:rsid w:val="0BBC3E22"/>
    <w:rsid w:val="0BEA3594"/>
    <w:rsid w:val="0BF1193B"/>
    <w:rsid w:val="0C3253B8"/>
    <w:rsid w:val="0C632FA1"/>
    <w:rsid w:val="0C7A1FEE"/>
    <w:rsid w:val="0C9D254D"/>
    <w:rsid w:val="0CA15148"/>
    <w:rsid w:val="0CDF3565"/>
    <w:rsid w:val="0D327C6B"/>
    <w:rsid w:val="0D7A65C0"/>
    <w:rsid w:val="0D887163"/>
    <w:rsid w:val="0DD979BE"/>
    <w:rsid w:val="0DED554B"/>
    <w:rsid w:val="0E0570A9"/>
    <w:rsid w:val="0E457122"/>
    <w:rsid w:val="0EB3133C"/>
    <w:rsid w:val="0EF058CD"/>
    <w:rsid w:val="0EF525AC"/>
    <w:rsid w:val="0F156F90"/>
    <w:rsid w:val="0F1C53AD"/>
    <w:rsid w:val="0F273E2A"/>
    <w:rsid w:val="0F287E9C"/>
    <w:rsid w:val="0F50480B"/>
    <w:rsid w:val="0FBF4F59"/>
    <w:rsid w:val="0FE86497"/>
    <w:rsid w:val="101557D4"/>
    <w:rsid w:val="1099671F"/>
    <w:rsid w:val="10C12DD0"/>
    <w:rsid w:val="10D32719"/>
    <w:rsid w:val="1102722C"/>
    <w:rsid w:val="112057C6"/>
    <w:rsid w:val="1156073D"/>
    <w:rsid w:val="11601302"/>
    <w:rsid w:val="11B4235F"/>
    <w:rsid w:val="11B53B4E"/>
    <w:rsid w:val="11E550BF"/>
    <w:rsid w:val="11F50FEF"/>
    <w:rsid w:val="124D3C23"/>
    <w:rsid w:val="12803C35"/>
    <w:rsid w:val="129272BC"/>
    <w:rsid w:val="12973BBA"/>
    <w:rsid w:val="12C52AF5"/>
    <w:rsid w:val="12FA1FCF"/>
    <w:rsid w:val="13121E19"/>
    <w:rsid w:val="1343695E"/>
    <w:rsid w:val="134F5DF8"/>
    <w:rsid w:val="135D3225"/>
    <w:rsid w:val="136F1AB8"/>
    <w:rsid w:val="13841114"/>
    <w:rsid w:val="13DE2E3D"/>
    <w:rsid w:val="13ED78BA"/>
    <w:rsid w:val="13EF1C95"/>
    <w:rsid w:val="14043624"/>
    <w:rsid w:val="14202864"/>
    <w:rsid w:val="146029EE"/>
    <w:rsid w:val="147C72F5"/>
    <w:rsid w:val="148023CF"/>
    <w:rsid w:val="14E8239F"/>
    <w:rsid w:val="14F84FB6"/>
    <w:rsid w:val="15406E6B"/>
    <w:rsid w:val="157C333C"/>
    <w:rsid w:val="15FA6925"/>
    <w:rsid w:val="1611078E"/>
    <w:rsid w:val="164F1ADC"/>
    <w:rsid w:val="168D067E"/>
    <w:rsid w:val="16EC4DE7"/>
    <w:rsid w:val="16EE7005"/>
    <w:rsid w:val="171C5CC3"/>
    <w:rsid w:val="172060D1"/>
    <w:rsid w:val="175C51BC"/>
    <w:rsid w:val="177511E7"/>
    <w:rsid w:val="17A6070F"/>
    <w:rsid w:val="17EF1F6F"/>
    <w:rsid w:val="184C55D6"/>
    <w:rsid w:val="18B13530"/>
    <w:rsid w:val="18BA2FC2"/>
    <w:rsid w:val="18BE612E"/>
    <w:rsid w:val="18C03BF0"/>
    <w:rsid w:val="18D86472"/>
    <w:rsid w:val="18F86BFA"/>
    <w:rsid w:val="192667D1"/>
    <w:rsid w:val="198E2420"/>
    <w:rsid w:val="19FC665D"/>
    <w:rsid w:val="1A143B2C"/>
    <w:rsid w:val="1A743E61"/>
    <w:rsid w:val="1AA330CF"/>
    <w:rsid w:val="1AB92E30"/>
    <w:rsid w:val="1AE462D0"/>
    <w:rsid w:val="1B59415F"/>
    <w:rsid w:val="1BA60B01"/>
    <w:rsid w:val="1BA93514"/>
    <w:rsid w:val="1BFA0483"/>
    <w:rsid w:val="1C1B69E9"/>
    <w:rsid w:val="1C1D78A1"/>
    <w:rsid w:val="1C35743A"/>
    <w:rsid w:val="1C6012AB"/>
    <w:rsid w:val="1CAA2535"/>
    <w:rsid w:val="1CC5494E"/>
    <w:rsid w:val="1CEF35D1"/>
    <w:rsid w:val="1D3D556A"/>
    <w:rsid w:val="1D4D182F"/>
    <w:rsid w:val="1D742EEF"/>
    <w:rsid w:val="1D8A3BBF"/>
    <w:rsid w:val="1DBA7A97"/>
    <w:rsid w:val="1E222CBC"/>
    <w:rsid w:val="1E2E7117"/>
    <w:rsid w:val="1E314C15"/>
    <w:rsid w:val="1E4A5725"/>
    <w:rsid w:val="1E9774BE"/>
    <w:rsid w:val="1ED53482"/>
    <w:rsid w:val="1ED67524"/>
    <w:rsid w:val="1F5F5540"/>
    <w:rsid w:val="1FA14832"/>
    <w:rsid w:val="1FFF4924"/>
    <w:rsid w:val="20127FAD"/>
    <w:rsid w:val="20203AED"/>
    <w:rsid w:val="20284600"/>
    <w:rsid w:val="2052633C"/>
    <w:rsid w:val="20574252"/>
    <w:rsid w:val="205A00E7"/>
    <w:rsid w:val="205F3E3A"/>
    <w:rsid w:val="20834810"/>
    <w:rsid w:val="20922DB2"/>
    <w:rsid w:val="20B21F00"/>
    <w:rsid w:val="20CC4073"/>
    <w:rsid w:val="21034FB5"/>
    <w:rsid w:val="210B760B"/>
    <w:rsid w:val="21366341"/>
    <w:rsid w:val="22101661"/>
    <w:rsid w:val="227B13F1"/>
    <w:rsid w:val="22A763E9"/>
    <w:rsid w:val="22BD7B49"/>
    <w:rsid w:val="22EE26E9"/>
    <w:rsid w:val="22FB7F7F"/>
    <w:rsid w:val="233126BC"/>
    <w:rsid w:val="23F933A6"/>
    <w:rsid w:val="24182D55"/>
    <w:rsid w:val="24373B16"/>
    <w:rsid w:val="24B50750"/>
    <w:rsid w:val="24BB306B"/>
    <w:rsid w:val="24EF4F40"/>
    <w:rsid w:val="24FD0D07"/>
    <w:rsid w:val="250C5FA7"/>
    <w:rsid w:val="251F6FA3"/>
    <w:rsid w:val="252E3D36"/>
    <w:rsid w:val="25FC470C"/>
    <w:rsid w:val="261854C9"/>
    <w:rsid w:val="261F3807"/>
    <w:rsid w:val="26375CDF"/>
    <w:rsid w:val="26630315"/>
    <w:rsid w:val="26970406"/>
    <w:rsid w:val="26D032B8"/>
    <w:rsid w:val="272F7091"/>
    <w:rsid w:val="28165D62"/>
    <w:rsid w:val="28B4585B"/>
    <w:rsid w:val="28BA32E0"/>
    <w:rsid w:val="28CA434D"/>
    <w:rsid w:val="29205FE3"/>
    <w:rsid w:val="29A2661C"/>
    <w:rsid w:val="2A0240FC"/>
    <w:rsid w:val="2A503E32"/>
    <w:rsid w:val="2A5A22A7"/>
    <w:rsid w:val="2B015933"/>
    <w:rsid w:val="2B675D46"/>
    <w:rsid w:val="2BA03516"/>
    <w:rsid w:val="2BD557EE"/>
    <w:rsid w:val="2C2476EA"/>
    <w:rsid w:val="2C9C76E9"/>
    <w:rsid w:val="2CED4E55"/>
    <w:rsid w:val="2D054929"/>
    <w:rsid w:val="2D1D3EAC"/>
    <w:rsid w:val="2D203B1C"/>
    <w:rsid w:val="2D413944"/>
    <w:rsid w:val="2D5F048F"/>
    <w:rsid w:val="2D7B2FA8"/>
    <w:rsid w:val="2DBA58ED"/>
    <w:rsid w:val="2DC27ECF"/>
    <w:rsid w:val="2E7E24F5"/>
    <w:rsid w:val="2E9C0C99"/>
    <w:rsid w:val="2F255DDC"/>
    <w:rsid w:val="2F640A7D"/>
    <w:rsid w:val="2F68220A"/>
    <w:rsid w:val="2F7130B6"/>
    <w:rsid w:val="2F8F2ACB"/>
    <w:rsid w:val="2FA3072F"/>
    <w:rsid w:val="2FA630D2"/>
    <w:rsid w:val="2FB145FA"/>
    <w:rsid w:val="2FD52566"/>
    <w:rsid w:val="306525BC"/>
    <w:rsid w:val="30877EF4"/>
    <w:rsid w:val="30986EFA"/>
    <w:rsid w:val="30C922AC"/>
    <w:rsid w:val="30FF0C3A"/>
    <w:rsid w:val="31174E93"/>
    <w:rsid w:val="314E1A65"/>
    <w:rsid w:val="31596CD5"/>
    <w:rsid w:val="315C7E3B"/>
    <w:rsid w:val="31E967CA"/>
    <w:rsid w:val="31EE13E9"/>
    <w:rsid w:val="31F44517"/>
    <w:rsid w:val="32003B33"/>
    <w:rsid w:val="328C01C2"/>
    <w:rsid w:val="32BE2DB2"/>
    <w:rsid w:val="32D77515"/>
    <w:rsid w:val="332605A0"/>
    <w:rsid w:val="33940A6E"/>
    <w:rsid w:val="33B35CAF"/>
    <w:rsid w:val="33BF410F"/>
    <w:rsid w:val="340D68B4"/>
    <w:rsid w:val="341A467A"/>
    <w:rsid w:val="342153E0"/>
    <w:rsid w:val="343E20CB"/>
    <w:rsid w:val="3450262B"/>
    <w:rsid w:val="34713F0B"/>
    <w:rsid w:val="34890EB6"/>
    <w:rsid w:val="349F0D85"/>
    <w:rsid w:val="34F939FA"/>
    <w:rsid w:val="362C09C6"/>
    <w:rsid w:val="365612FD"/>
    <w:rsid w:val="366E64FF"/>
    <w:rsid w:val="36775511"/>
    <w:rsid w:val="36A20DF7"/>
    <w:rsid w:val="36A627A2"/>
    <w:rsid w:val="36B357B5"/>
    <w:rsid w:val="36B35B09"/>
    <w:rsid w:val="36D27571"/>
    <w:rsid w:val="36E3234C"/>
    <w:rsid w:val="372B6579"/>
    <w:rsid w:val="373F73AF"/>
    <w:rsid w:val="37452986"/>
    <w:rsid w:val="379C6E45"/>
    <w:rsid w:val="37C14D20"/>
    <w:rsid w:val="37D11229"/>
    <w:rsid w:val="38EF1572"/>
    <w:rsid w:val="38FB68BC"/>
    <w:rsid w:val="391453E5"/>
    <w:rsid w:val="39453979"/>
    <w:rsid w:val="398D25E9"/>
    <w:rsid w:val="398D353D"/>
    <w:rsid w:val="39B1263C"/>
    <w:rsid w:val="39D939E5"/>
    <w:rsid w:val="39DD13BB"/>
    <w:rsid w:val="39DE3CCA"/>
    <w:rsid w:val="3A5540C8"/>
    <w:rsid w:val="3A7F51BD"/>
    <w:rsid w:val="3A9756E5"/>
    <w:rsid w:val="3A9869E4"/>
    <w:rsid w:val="3AD37C55"/>
    <w:rsid w:val="3AE12510"/>
    <w:rsid w:val="3AF462B0"/>
    <w:rsid w:val="3B24674A"/>
    <w:rsid w:val="3B345A5B"/>
    <w:rsid w:val="3B383B2B"/>
    <w:rsid w:val="3B7250A6"/>
    <w:rsid w:val="3B9528C7"/>
    <w:rsid w:val="3BE54651"/>
    <w:rsid w:val="3BFE5535"/>
    <w:rsid w:val="3C31128F"/>
    <w:rsid w:val="3C422951"/>
    <w:rsid w:val="3C463E89"/>
    <w:rsid w:val="3C5B18A3"/>
    <w:rsid w:val="3C6F750E"/>
    <w:rsid w:val="3C820841"/>
    <w:rsid w:val="3CA10278"/>
    <w:rsid w:val="3CB21686"/>
    <w:rsid w:val="3CDB5695"/>
    <w:rsid w:val="3CE949E8"/>
    <w:rsid w:val="3CF50EFC"/>
    <w:rsid w:val="3D035E9B"/>
    <w:rsid w:val="3D113564"/>
    <w:rsid w:val="3D4B7FB5"/>
    <w:rsid w:val="3D4D1310"/>
    <w:rsid w:val="3D6A2B17"/>
    <w:rsid w:val="3D89645B"/>
    <w:rsid w:val="3DA23079"/>
    <w:rsid w:val="3DD5509A"/>
    <w:rsid w:val="3DDA3A0D"/>
    <w:rsid w:val="3E2C1CF5"/>
    <w:rsid w:val="3E3C0A74"/>
    <w:rsid w:val="3E640B14"/>
    <w:rsid w:val="3E68729F"/>
    <w:rsid w:val="3E6B41E7"/>
    <w:rsid w:val="3E727DFD"/>
    <w:rsid w:val="3E7737E6"/>
    <w:rsid w:val="3E9E3C42"/>
    <w:rsid w:val="3ED07279"/>
    <w:rsid w:val="3EF77818"/>
    <w:rsid w:val="3F22062B"/>
    <w:rsid w:val="3F235EA4"/>
    <w:rsid w:val="3F2D31C1"/>
    <w:rsid w:val="3F3A5660"/>
    <w:rsid w:val="3F664A45"/>
    <w:rsid w:val="3FB134B1"/>
    <w:rsid w:val="3FDA4DAD"/>
    <w:rsid w:val="3FEA0364"/>
    <w:rsid w:val="3FF132B2"/>
    <w:rsid w:val="3FFF4431"/>
    <w:rsid w:val="400619E3"/>
    <w:rsid w:val="401D3450"/>
    <w:rsid w:val="405B584D"/>
    <w:rsid w:val="405F332D"/>
    <w:rsid w:val="40C01A9B"/>
    <w:rsid w:val="40EB5702"/>
    <w:rsid w:val="41030CE0"/>
    <w:rsid w:val="41446784"/>
    <w:rsid w:val="416835BC"/>
    <w:rsid w:val="41771D01"/>
    <w:rsid w:val="41C52E1A"/>
    <w:rsid w:val="41F2621D"/>
    <w:rsid w:val="41FC033A"/>
    <w:rsid w:val="424E1BB1"/>
    <w:rsid w:val="425C40F6"/>
    <w:rsid w:val="427E374E"/>
    <w:rsid w:val="42DF2858"/>
    <w:rsid w:val="43087695"/>
    <w:rsid w:val="434B5213"/>
    <w:rsid w:val="435B3E2F"/>
    <w:rsid w:val="43AF70CA"/>
    <w:rsid w:val="43C50BD5"/>
    <w:rsid w:val="441403B9"/>
    <w:rsid w:val="442347E8"/>
    <w:rsid w:val="4467266C"/>
    <w:rsid w:val="45031EEB"/>
    <w:rsid w:val="452E1696"/>
    <w:rsid w:val="458052C7"/>
    <w:rsid w:val="45BA7DC0"/>
    <w:rsid w:val="46006CB9"/>
    <w:rsid w:val="463B0619"/>
    <w:rsid w:val="46734EEB"/>
    <w:rsid w:val="468050F2"/>
    <w:rsid w:val="46A71700"/>
    <w:rsid w:val="46A75D53"/>
    <w:rsid w:val="46B7075B"/>
    <w:rsid w:val="4702616C"/>
    <w:rsid w:val="474B5FC3"/>
    <w:rsid w:val="47AB1A53"/>
    <w:rsid w:val="47D349C0"/>
    <w:rsid w:val="480621CB"/>
    <w:rsid w:val="48120AA5"/>
    <w:rsid w:val="48317CE8"/>
    <w:rsid w:val="48390A7E"/>
    <w:rsid w:val="48B43671"/>
    <w:rsid w:val="48CC7CBB"/>
    <w:rsid w:val="490F5D4D"/>
    <w:rsid w:val="494C3C4F"/>
    <w:rsid w:val="49724CD2"/>
    <w:rsid w:val="498830D0"/>
    <w:rsid w:val="4A122A1B"/>
    <w:rsid w:val="4A1F2F5F"/>
    <w:rsid w:val="4A2A0AE9"/>
    <w:rsid w:val="4A4853D7"/>
    <w:rsid w:val="4A585DE2"/>
    <w:rsid w:val="4A8227D3"/>
    <w:rsid w:val="4AB55081"/>
    <w:rsid w:val="4AB90F9C"/>
    <w:rsid w:val="4B3F6FB5"/>
    <w:rsid w:val="4B716136"/>
    <w:rsid w:val="4BB73C19"/>
    <w:rsid w:val="4CAA55DC"/>
    <w:rsid w:val="4CC72AFC"/>
    <w:rsid w:val="4CE6103A"/>
    <w:rsid w:val="4CE801F2"/>
    <w:rsid w:val="4CEE0089"/>
    <w:rsid w:val="4CF05D0A"/>
    <w:rsid w:val="4D283EF6"/>
    <w:rsid w:val="4D5C23F6"/>
    <w:rsid w:val="4D7A1DD1"/>
    <w:rsid w:val="4DA94D8A"/>
    <w:rsid w:val="4E4732FF"/>
    <w:rsid w:val="4E682EA3"/>
    <w:rsid w:val="4E7C569D"/>
    <w:rsid w:val="4E836AA7"/>
    <w:rsid w:val="4EE4165B"/>
    <w:rsid w:val="4EF97AB3"/>
    <w:rsid w:val="4F363489"/>
    <w:rsid w:val="4F3E05BC"/>
    <w:rsid w:val="4F506937"/>
    <w:rsid w:val="4FE74F27"/>
    <w:rsid w:val="5004288A"/>
    <w:rsid w:val="501A4743"/>
    <w:rsid w:val="50BF6371"/>
    <w:rsid w:val="50FE5901"/>
    <w:rsid w:val="51733692"/>
    <w:rsid w:val="5177264C"/>
    <w:rsid w:val="51982918"/>
    <w:rsid w:val="51E171AE"/>
    <w:rsid w:val="51F75D3B"/>
    <w:rsid w:val="51F9433B"/>
    <w:rsid w:val="52310E4C"/>
    <w:rsid w:val="53275F83"/>
    <w:rsid w:val="53815F32"/>
    <w:rsid w:val="538422FC"/>
    <w:rsid w:val="539D310A"/>
    <w:rsid w:val="542601E5"/>
    <w:rsid w:val="5480324C"/>
    <w:rsid w:val="54907FC7"/>
    <w:rsid w:val="549E4143"/>
    <w:rsid w:val="55117C70"/>
    <w:rsid w:val="554F6049"/>
    <w:rsid w:val="559B472D"/>
    <w:rsid w:val="55AD0A9C"/>
    <w:rsid w:val="55D75E97"/>
    <w:rsid w:val="55E61F20"/>
    <w:rsid w:val="565D3B8A"/>
    <w:rsid w:val="575416C6"/>
    <w:rsid w:val="57792DCA"/>
    <w:rsid w:val="577B243E"/>
    <w:rsid w:val="57C71BE6"/>
    <w:rsid w:val="57D72CC2"/>
    <w:rsid w:val="57E86555"/>
    <w:rsid w:val="581016F4"/>
    <w:rsid w:val="58186876"/>
    <w:rsid w:val="58226081"/>
    <w:rsid w:val="58480F47"/>
    <w:rsid w:val="58BC16C5"/>
    <w:rsid w:val="592C1AAA"/>
    <w:rsid w:val="593849BB"/>
    <w:rsid w:val="593D6EE9"/>
    <w:rsid w:val="593E51BB"/>
    <w:rsid w:val="594B1014"/>
    <w:rsid w:val="5A8A1FBA"/>
    <w:rsid w:val="5AD80387"/>
    <w:rsid w:val="5AE91E90"/>
    <w:rsid w:val="5B0C47C2"/>
    <w:rsid w:val="5B7C5DC2"/>
    <w:rsid w:val="5B8E2084"/>
    <w:rsid w:val="5BCA1815"/>
    <w:rsid w:val="5BCA7F13"/>
    <w:rsid w:val="5C0514DA"/>
    <w:rsid w:val="5C3518A0"/>
    <w:rsid w:val="5C664E7B"/>
    <w:rsid w:val="5CC52489"/>
    <w:rsid w:val="5CEB159D"/>
    <w:rsid w:val="5CF502C2"/>
    <w:rsid w:val="5D034741"/>
    <w:rsid w:val="5D12374A"/>
    <w:rsid w:val="5D14574C"/>
    <w:rsid w:val="5D2B371C"/>
    <w:rsid w:val="5D6109D9"/>
    <w:rsid w:val="5D7A7717"/>
    <w:rsid w:val="5D886665"/>
    <w:rsid w:val="5DBD7EB8"/>
    <w:rsid w:val="5DEB577C"/>
    <w:rsid w:val="5E784599"/>
    <w:rsid w:val="5EA56E2A"/>
    <w:rsid w:val="5EBB7BEA"/>
    <w:rsid w:val="5EBF0EC5"/>
    <w:rsid w:val="5ED84BDD"/>
    <w:rsid w:val="5F2177AA"/>
    <w:rsid w:val="5F217E4A"/>
    <w:rsid w:val="5F4527A3"/>
    <w:rsid w:val="5F596A63"/>
    <w:rsid w:val="5F636C82"/>
    <w:rsid w:val="5F7B767F"/>
    <w:rsid w:val="5F8E3DD4"/>
    <w:rsid w:val="5FC0446B"/>
    <w:rsid w:val="6008771F"/>
    <w:rsid w:val="6058507D"/>
    <w:rsid w:val="607046D5"/>
    <w:rsid w:val="60732BDB"/>
    <w:rsid w:val="608A3A03"/>
    <w:rsid w:val="60E83D77"/>
    <w:rsid w:val="60EC5830"/>
    <w:rsid w:val="616D550B"/>
    <w:rsid w:val="618A01A8"/>
    <w:rsid w:val="61DF288D"/>
    <w:rsid w:val="622A539F"/>
    <w:rsid w:val="62AC0373"/>
    <w:rsid w:val="62D56502"/>
    <w:rsid w:val="62EB733F"/>
    <w:rsid w:val="630F26B0"/>
    <w:rsid w:val="637F5E9D"/>
    <w:rsid w:val="63810DB0"/>
    <w:rsid w:val="64877CD9"/>
    <w:rsid w:val="648A0D94"/>
    <w:rsid w:val="64990050"/>
    <w:rsid w:val="64B01B49"/>
    <w:rsid w:val="64F97D5F"/>
    <w:rsid w:val="65053A72"/>
    <w:rsid w:val="650F603E"/>
    <w:rsid w:val="651010B1"/>
    <w:rsid w:val="65320772"/>
    <w:rsid w:val="653363A2"/>
    <w:rsid w:val="654C7BEB"/>
    <w:rsid w:val="65890555"/>
    <w:rsid w:val="65BE1184"/>
    <w:rsid w:val="65C27AD4"/>
    <w:rsid w:val="66193A20"/>
    <w:rsid w:val="665140AA"/>
    <w:rsid w:val="666C4AE3"/>
    <w:rsid w:val="66842C3B"/>
    <w:rsid w:val="670A5B23"/>
    <w:rsid w:val="673227BE"/>
    <w:rsid w:val="673B73D4"/>
    <w:rsid w:val="674768BC"/>
    <w:rsid w:val="674B5231"/>
    <w:rsid w:val="67572E7D"/>
    <w:rsid w:val="67E4235D"/>
    <w:rsid w:val="68386205"/>
    <w:rsid w:val="68416B8D"/>
    <w:rsid w:val="68456F48"/>
    <w:rsid w:val="684B5F38"/>
    <w:rsid w:val="68834213"/>
    <w:rsid w:val="68C5726A"/>
    <w:rsid w:val="68CF15DE"/>
    <w:rsid w:val="69592E96"/>
    <w:rsid w:val="695F7B33"/>
    <w:rsid w:val="697A4395"/>
    <w:rsid w:val="69AC7055"/>
    <w:rsid w:val="69B15BED"/>
    <w:rsid w:val="6A366774"/>
    <w:rsid w:val="6A8273BB"/>
    <w:rsid w:val="6AB130B3"/>
    <w:rsid w:val="6AB210D1"/>
    <w:rsid w:val="6AD73B91"/>
    <w:rsid w:val="6B0B0DDE"/>
    <w:rsid w:val="6B425E84"/>
    <w:rsid w:val="6B603A76"/>
    <w:rsid w:val="6BFF6419"/>
    <w:rsid w:val="6C2E7A10"/>
    <w:rsid w:val="6C376B7B"/>
    <w:rsid w:val="6C7F66B2"/>
    <w:rsid w:val="6CB218EF"/>
    <w:rsid w:val="6CDC7AA6"/>
    <w:rsid w:val="6D08089B"/>
    <w:rsid w:val="6D4A09F2"/>
    <w:rsid w:val="6D9E5BE6"/>
    <w:rsid w:val="6DE25F58"/>
    <w:rsid w:val="6E181665"/>
    <w:rsid w:val="6EDB25B8"/>
    <w:rsid w:val="6F01232B"/>
    <w:rsid w:val="6F536E5D"/>
    <w:rsid w:val="6F765F90"/>
    <w:rsid w:val="6F8F6624"/>
    <w:rsid w:val="6FAC7E0B"/>
    <w:rsid w:val="6FBE16A4"/>
    <w:rsid w:val="6FC0088D"/>
    <w:rsid w:val="70427C01"/>
    <w:rsid w:val="70863518"/>
    <w:rsid w:val="70B37B3D"/>
    <w:rsid w:val="70C96594"/>
    <w:rsid w:val="70F24F67"/>
    <w:rsid w:val="70FD511C"/>
    <w:rsid w:val="712623D3"/>
    <w:rsid w:val="71CF1A4A"/>
    <w:rsid w:val="71EA1747"/>
    <w:rsid w:val="724C52A4"/>
    <w:rsid w:val="724F1C7B"/>
    <w:rsid w:val="726C07DF"/>
    <w:rsid w:val="72794A50"/>
    <w:rsid w:val="728D1592"/>
    <w:rsid w:val="72970D3A"/>
    <w:rsid w:val="729B0F70"/>
    <w:rsid w:val="73B429F2"/>
    <w:rsid w:val="73B97EDC"/>
    <w:rsid w:val="73D17F16"/>
    <w:rsid w:val="73ED7CFF"/>
    <w:rsid w:val="74100036"/>
    <w:rsid w:val="744A2E4C"/>
    <w:rsid w:val="74583304"/>
    <w:rsid w:val="75166F61"/>
    <w:rsid w:val="755328D0"/>
    <w:rsid w:val="75637B60"/>
    <w:rsid w:val="757F0D52"/>
    <w:rsid w:val="75BA3149"/>
    <w:rsid w:val="75E73724"/>
    <w:rsid w:val="75E77B83"/>
    <w:rsid w:val="762419A4"/>
    <w:rsid w:val="764A3287"/>
    <w:rsid w:val="764D4EA7"/>
    <w:rsid w:val="76507F6E"/>
    <w:rsid w:val="7703171D"/>
    <w:rsid w:val="77D27668"/>
    <w:rsid w:val="77F43EDB"/>
    <w:rsid w:val="781B6280"/>
    <w:rsid w:val="78295EEB"/>
    <w:rsid w:val="7850370B"/>
    <w:rsid w:val="7863464A"/>
    <w:rsid w:val="78724DB3"/>
    <w:rsid w:val="78EC4500"/>
    <w:rsid w:val="78F10938"/>
    <w:rsid w:val="79544CB5"/>
    <w:rsid w:val="799F53FC"/>
    <w:rsid w:val="79A13DD6"/>
    <w:rsid w:val="79A574C3"/>
    <w:rsid w:val="7A222B43"/>
    <w:rsid w:val="7A802A28"/>
    <w:rsid w:val="7AC7215A"/>
    <w:rsid w:val="7AE52816"/>
    <w:rsid w:val="7AF41F55"/>
    <w:rsid w:val="7AFA28C3"/>
    <w:rsid w:val="7B5A6B70"/>
    <w:rsid w:val="7B99730D"/>
    <w:rsid w:val="7BB06348"/>
    <w:rsid w:val="7BFD69D2"/>
    <w:rsid w:val="7C3E5392"/>
    <w:rsid w:val="7C4667C6"/>
    <w:rsid w:val="7C630BF4"/>
    <w:rsid w:val="7C87492A"/>
    <w:rsid w:val="7CC95FCF"/>
    <w:rsid w:val="7D0F17D2"/>
    <w:rsid w:val="7D300E0F"/>
    <w:rsid w:val="7D3A2967"/>
    <w:rsid w:val="7D6B0AB9"/>
    <w:rsid w:val="7D766291"/>
    <w:rsid w:val="7DA64F30"/>
    <w:rsid w:val="7DC94321"/>
    <w:rsid w:val="7E0E3CFF"/>
    <w:rsid w:val="7E313DDB"/>
    <w:rsid w:val="7E8C7481"/>
    <w:rsid w:val="7E8D2D1F"/>
    <w:rsid w:val="7EB47DF6"/>
    <w:rsid w:val="7EF319D8"/>
    <w:rsid w:val="7F001BE0"/>
    <w:rsid w:val="7F1B694F"/>
    <w:rsid w:val="7F3E0DDC"/>
    <w:rsid w:val="7F476E45"/>
    <w:rsid w:val="7F805B09"/>
    <w:rsid w:val="7FE9368F"/>
    <w:rsid w:val="7FF75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99"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99"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12"/>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autoRedefine/>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2"/>
    <w:autoRedefine/>
    <w:qFormat/>
    <w:uiPriority w:val="99"/>
    <w:pPr>
      <w:keepNext/>
      <w:keepLines/>
      <w:ind w:left="992" w:firstLine="482"/>
      <w:jc w:val="center"/>
      <w:outlineLvl w:val="1"/>
    </w:pPr>
    <w:rPr>
      <w:rFonts w:ascii="宋体" w:hAnsi="宋体"/>
      <w:b/>
      <w:bCs/>
      <w:kern w:val="0"/>
      <w:sz w:val="30"/>
      <w:szCs w:val="30"/>
      <w:lang w:val="zh-CN"/>
    </w:rPr>
  </w:style>
  <w:style w:type="paragraph" w:styleId="4">
    <w:name w:val="heading 3"/>
    <w:basedOn w:val="1"/>
    <w:next w:val="1"/>
    <w:link w:val="103"/>
    <w:autoRedefine/>
    <w:qFormat/>
    <w:uiPriority w:val="99"/>
    <w:pPr>
      <w:keepNext/>
      <w:keepLines/>
      <w:tabs>
        <w:tab w:val="left" w:pos="432"/>
        <w:tab w:val="left" w:pos="720"/>
      </w:tabs>
      <w:spacing w:before="260" w:after="260" w:line="240" w:lineRule="exact"/>
      <w:outlineLvl w:val="2"/>
    </w:pPr>
    <w:rPr>
      <w:b/>
      <w:bCs/>
      <w:sz w:val="32"/>
      <w:szCs w:val="32"/>
    </w:rPr>
  </w:style>
  <w:style w:type="paragraph" w:styleId="5">
    <w:name w:val="heading 4"/>
    <w:basedOn w:val="1"/>
    <w:next w:val="1"/>
    <w:link w:val="104"/>
    <w:autoRedefine/>
    <w:qFormat/>
    <w:uiPriority w:val="99"/>
    <w:pPr>
      <w:keepNext/>
      <w:keepLines/>
      <w:numPr>
        <w:ilvl w:val="0"/>
        <w:numId w:val="2"/>
      </w:numPr>
      <w:tabs>
        <w:tab w:val="left" w:pos="432"/>
      </w:tabs>
      <w:spacing w:before="280" w:after="290" w:line="560" w:lineRule="exact"/>
      <w:outlineLvl w:val="3"/>
    </w:pPr>
    <w:rPr>
      <w:rFonts w:ascii="Arial" w:hAnsi="Arial"/>
      <w:bCs/>
      <w:sz w:val="28"/>
      <w:szCs w:val="28"/>
      <w:lang w:val="zh-CN"/>
    </w:rPr>
  </w:style>
  <w:style w:type="paragraph" w:styleId="6">
    <w:name w:val="heading 5"/>
    <w:basedOn w:val="1"/>
    <w:next w:val="1"/>
    <w:link w:val="105"/>
    <w:autoRedefine/>
    <w:qFormat/>
    <w:uiPriority w:val="99"/>
    <w:pPr>
      <w:keepNext/>
      <w:keepLines/>
      <w:numPr>
        <w:ilvl w:val="4"/>
        <w:numId w:val="1"/>
      </w:numPr>
      <w:tabs>
        <w:tab w:val="left" w:pos="432"/>
      </w:tabs>
      <w:spacing w:before="280" w:after="290" w:line="376" w:lineRule="auto"/>
      <w:outlineLvl w:val="4"/>
    </w:pPr>
    <w:rPr>
      <w:b/>
      <w:bCs/>
      <w:sz w:val="28"/>
      <w:szCs w:val="28"/>
    </w:rPr>
  </w:style>
  <w:style w:type="paragraph" w:styleId="7">
    <w:name w:val="heading 6"/>
    <w:basedOn w:val="1"/>
    <w:next w:val="1"/>
    <w:link w:val="106"/>
    <w:autoRedefine/>
    <w:qFormat/>
    <w:uiPriority w:val="99"/>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8">
    <w:name w:val="heading 7"/>
    <w:basedOn w:val="1"/>
    <w:next w:val="1"/>
    <w:link w:val="107"/>
    <w:autoRedefine/>
    <w:qFormat/>
    <w:uiPriority w:val="99"/>
    <w:pPr>
      <w:keepNext/>
      <w:keepLines/>
      <w:numPr>
        <w:ilvl w:val="6"/>
        <w:numId w:val="1"/>
      </w:numPr>
      <w:tabs>
        <w:tab w:val="left" w:pos="432"/>
      </w:tabs>
      <w:spacing w:before="240" w:after="64" w:line="320" w:lineRule="auto"/>
      <w:outlineLvl w:val="6"/>
    </w:pPr>
    <w:rPr>
      <w:b/>
      <w:bCs/>
      <w:sz w:val="24"/>
    </w:rPr>
  </w:style>
  <w:style w:type="paragraph" w:styleId="9">
    <w:name w:val="heading 8"/>
    <w:basedOn w:val="1"/>
    <w:next w:val="1"/>
    <w:link w:val="108"/>
    <w:autoRedefine/>
    <w:qFormat/>
    <w:uiPriority w:val="99"/>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0">
    <w:name w:val="heading 9"/>
    <w:basedOn w:val="1"/>
    <w:next w:val="1"/>
    <w:link w:val="109"/>
    <w:autoRedefine/>
    <w:qFormat/>
    <w:uiPriority w:val="99"/>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81">
    <w:name w:val="Default Paragraph Font"/>
    <w:autoRedefine/>
    <w:semiHidden/>
    <w:qFormat/>
    <w:uiPriority w:val="99"/>
  </w:style>
  <w:style w:type="table" w:default="1" w:styleId="76">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adjustRightInd w:val="0"/>
      <w:snapToGrid w:val="0"/>
      <w:ind w:left="1080" w:hanging="360"/>
      <w:jc w:val="left"/>
    </w:pPr>
    <w:rPr>
      <w:kern w:val="0"/>
      <w:sz w:val="24"/>
    </w:rPr>
  </w:style>
  <w:style w:type="paragraph" w:styleId="12">
    <w:name w:val="toc 7"/>
    <w:basedOn w:val="1"/>
    <w:next w:val="1"/>
    <w:autoRedefine/>
    <w:qFormat/>
    <w:uiPriority w:val="99"/>
    <w:pPr>
      <w:ind w:left="2520" w:leftChars="1200"/>
    </w:pPr>
  </w:style>
  <w:style w:type="paragraph" w:styleId="13">
    <w:name w:val="table of authorities"/>
    <w:basedOn w:val="1"/>
    <w:next w:val="1"/>
    <w:autoRedefine/>
    <w:qFormat/>
    <w:uiPriority w:val="99"/>
    <w:pPr>
      <w:spacing w:line="240" w:lineRule="auto"/>
      <w:ind w:left="420" w:leftChars="200"/>
    </w:pPr>
  </w:style>
  <w:style w:type="paragraph" w:styleId="14">
    <w:name w:val="index 8"/>
    <w:basedOn w:val="1"/>
    <w:next w:val="1"/>
    <w:autoRedefine/>
    <w:qFormat/>
    <w:uiPriority w:val="99"/>
    <w:pPr>
      <w:widowControl/>
      <w:adjustRightInd w:val="0"/>
      <w:snapToGrid w:val="0"/>
      <w:ind w:left="1920" w:hanging="240"/>
      <w:jc w:val="left"/>
    </w:pPr>
    <w:rPr>
      <w:kern w:val="0"/>
      <w:sz w:val="24"/>
    </w:rPr>
  </w:style>
  <w:style w:type="paragraph" w:styleId="15">
    <w:name w:val="List Number"/>
    <w:basedOn w:val="1"/>
    <w:autoRedefine/>
    <w:qFormat/>
    <w:uiPriority w:val="99"/>
    <w:pPr>
      <w:numPr>
        <w:ilvl w:val="0"/>
        <w:numId w:val="3"/>
      </w:numPr>
      <w:adjustRightInd w:val="0"/>
      <w:snapToGrid w:val="0"/>
      <w:ind w:hangingChars="200"/>
    </w:pPr>
    <w:rPr>
      <w:rFonts w:eastAsia="仿宋"/>
    </w:rPr>
  </w:style>
  <w:style w:type="paragraph" w:styleId="16">
    <w:name w:val="Normal Indent"/>
    <w:basedOn w:val="1"/>
    <w:next w:val="1"/>
    <w:link w:val="408"/>
    <w:autoRedefine/>
    <w:qFormat/>
    <w:uiPriority w:val="99"/>
    <w:pPr>
      <w:widowControl/>
      <w:adjustRightInd w:val="0"/>
      <w:snapToGrid w:val="0"/>
      <w:spacing w:line="480" w:lineRule="exact"/>
      <w:ind w:firstLine="567"/>
    </w:pPr>
    <w:rPr>
      <w:rFonts w:ascii="宋体"/>
      <w:color w:val="000000"/>
      <w:kern w:val="28"/>
      <w:sz w:val="28"/>
      <w:szCs w:val="20"/>
    </w:rPr>
  </w:style>
  <w:style w:type="paragraph" w:styleId="17">
    <w:name w:val="caption"/>
    <w:basedOn w:val="1"/>
    <w:next w:val="1"/>
    <w:link w:val="610"/>
    <w:autoRedefine/>
    <w:qFormat/>
    <w:uiPriority w:val="99"/>
    <w:rPr>
      <w:b/>
      <w:sz w:val="28"/>
      <w:szCs w:val="20"/>
    </w:rPr>
  </w:style>
  <w:style w:type="paragraph" w:styleId="18">
    <w:name w:val="index 5"/>
    <w:basedOn w:val="1"/>
    <w:next w:val="1"/>
    <w:autoRedefine/>
    <w:qFormat/>
    <w:uiPriority w:val="99"/>
    <w:pPr>
      <w:widowControl/>
      <w:adjustRightInd w:val="0"/>
      <w:snapToGrid w:val="0"/>
      <w:ind w:left="1200" w:hanging="240"/>
      <w:jc w:val="left"/>
    </w:pPr>
    <w:rPr>
      <w:kern w:val="0"/>
      <w:sz w:val="24"/>
    </w:rPr>
  </w:style>
  <w:style w:type="paragraph" w:styleId="19">
    <w:name w:val="List Bullet"/>
    <w:basedOn w:val="1"/>
    <w:autoRedefine/>
    <w:qFormat/>
    <w:uiPriority w:val="99"/>
    <w:pPr>
      <w:numPr>
        <w:ilvl w:val="0"/>
        <w:numId w:val="4"/>
      </w:numPr>
      <w:autoSpaceDE w:val="0"/>
      <w:autoSpaceDN w:val="0"/>
      <w:adjustRightInd w:val="0"/>
      <w:snapToGrid w:val="0"/>
      <w:ind w:hangingChars="200"/>
    </w:pPr>
    <w:rPr>
      <w:rFonts w:ascii="宋体" w:hAnsi="Tms Rmn"/>
      <w:color w:val="000000"/>
      <w:kern w:val="24"/>
      <w:sz w:val="28"/>
      <w:szCs w:val="20"/>
    </w:rPr>
  </w:style>
  <w:style w:type="paragraph" w:styleId="20">
    <w:name w:val="Document Map"/>
    <w:basedOn w:val="1"/>
    <w:link w:val="115"/>
    <w:autoRedefine/>
    <w:qFormat/>
    <w:uiPriority w:val="99"/>
    <w:pPr>
      <w:shd w:val="clear" w:color="auto" w:fill="000080"/>
    </w:pPr>
  </w:style>
  <w:style w:type="paragraph" w:styleId="21">
    <w:name w:val="toa heading"/>
    <w:basedOn w:val="1"/>
    <w:next w:val="1"/>
    <w:autoRedefine/>
    <w:qFormat/>
    <w:uiPriority w:val="99"/>
    <w:pPr>
      <w:spacing w:before="120" w:line="240" w:lineRule="auto"/>
    </w:pPr>
    <w:rPr>
      <w:rFonts w:ascii="Arial" w:hAnsi="Arial" w:cs="Arial"/>
      <w:sz w:val="24"/>
    </w:rPr>
  </w:style>
  <w:style w:type="paragraph" w:styleId="22">
    <w:name w:val="annotation text"/>
    <w:basedOn w:val="1"/>
    <w:link w:val="110"/>
    <w:autoRedefine/>
    <w:qFormat/>
    <w:uiPriority w:val="99"/>
    <w:pPr>
      <w:jc w:val="left"/>
    </w:pPr>
    <w:rPr>
      <w:kern w:val="0"/>
      <w:sz w:val="20"/>
    </w:rPr>
  </w:style>
  <w:style w:type="paragraph" w:styleId="23">
    <w:name w:val="index 6"/>
    <w:basedOn w:val="1"/>
    <w:next w:val="1"/>
    <w:autoRedefine/>
    <w:qFormat/>
    <w:uiPriority w:val="99"/>
    <w:pPr>
      <w:widowControl/>
      <w:adjustRightInd w:val="0"/>
      <w:snapToGrid w:val="0"/>
      <w:ind w:left="1440" w:hanging="240"/>
      <w:jc w:val="left"/>
    </w:pPr>
    <w:rPr>
      <w:kern w:val="0"/>
      <w:sz w:val="24"/>
    </w:rPr>
  </w:style>
  <w:style w:type="paragraph" w:styleId="24">
    <w:name w:val="Salutation"/>
    <w:basedOn w:val="1"/>
    <w:next w:val="1"/>
    <w:link w:val="116"/>
    <w:autoRedefine/>
    <w:qFormat/>
    <w:uiPriority w:val="99"/>
    <w:rPr>
      <w:rFonts w:ascii="仿宋_GB2312" w:eastAsia="仿宋_GB2312"/>
      <w:kern w:val="0"/>
      <w:sz w:val="28"/>
      <w:szCs w:val="20"/>
    </w:rPr>
  </w:style>
  <w:style w:type="paragraph" w:styleId="25">
    <w:name w:val="Body Text 3"/>
    <w:basedOn w:val="1"/>
    <w:link w:val="117"/>
    <w:autoRedefine/>
    <w:qFormat/>
    <w:uiPriority w:val="99"/>
    <w:pPr>
      <w:jc w:val="center"/>
    </w:pPr>
    <w:rPr>
      <w:kern w:val="0"/>
      <w:sz w:val="20"/>
      <w:szCs w:val="20"/>
    </w:rPr>
  </w:style>
  <w:style w:type="paragraph" w:styleId="26">
    <w:name w:val="Body Text"/>
    <w:basedOn w:val="1"/>
    <w:next w:val="27"/>
    <w:link w:val="113"/>
    <w:autoRedefine/>
    <w:qFormat/>
    <w:uiPriority w:val="99"/>
    <w:pPr>
      <w:autoSpaceDE w:val="0"/>
      <w:autoSpaceDN w:val="0"/>
      <w:adjustRightInd w:val="0"/>
    </w:pPr>
    <w:rPr>
      <w:rFonts w:ascii="宋体"/>
      <w:sz w:val="24"/>
      <w:szCs w:val="21"/>
      <w:lang w:val="zh-CN"/>
    </w:rPr>
  </w:style>
  <w:style w:type="paragraph" w:styleId="27">
    <w:name w:val="Body Text First Indent"/>
    <w:basedOn w:val="26"/>
    <w:next w:val="28"/>
    <w:link w:val="114"/>
    <w:autoRedefine/>
    <w:qFormat/>
    <w:uiPriority w:val="99"/>
    <w:pPr>
      <w:ind w:firstLine="420"/>
    </w:pPr>
    <w:rPr>
      <w:kern w:val="0"/>
      <w:szCs w:val="20"/>
    </w:rPr>
  </w:style>
  <w:style w:type="paragraph" w:styleId="28">
    <w:name w:val="toc 6"/>
    <w:basedOn w:val="1"/>
    <w:next w:val="1"/>
    <w:autoRedefine/>
    <w:qFormat/>
    <w:uiPriority w:val="99"/>
    <w:pPr>
      <w:ind w:left="2100" w:leftChars="1000"/>
    </w:pPr>
  </w:style>
  <w:style w:type="paragraph" w:styleId="29">
    <w:name w:val="Body Text Indent"/>
    <w:basedOn w:val="1"/>
    <w:next w:val="1"/>
    <w:link w:val="118"/>
    <w:autoRedefine/>
    <w:qFormat/>
    <w:uiPriority w:val="99"/>
    <w:pPr>
      <w:spacing w:line="480" w:lineRule="exact"/>
      <w:ind w:firstLine="480" w:firstLineChars="200"/>
    </w:pPr>
    <w:rPr>
      <w:rFonts w:ascii="宋体" w:hAnsi="宋体"/>
      <w:kern w:val="0"/>
      <w:sz w:val="24"/>
    </w:rPr>
  </w:style>
  <w:style w:type="paragraph" w:styleId="30">
    <w:name w:val="List Number 3"/>
    <w:basedOn w:val="1"/>
    <w:autoRedefine/>
    <w:qFormat/>
    <w:uiPriority w:val="99"/>
    <w:pPr>
      <w:numPr>
        <w:ilvl w:val="0"/>
        <w:numId w:val="5"/>
      </w:numPr>
      <w:tabs>
        <w:tab w:val="left" w:pos="1200"/>
      </w:tabs>
      <w:spacing w:line="240" w:lineRule="auto"/>
    </w:pPr>
  </w:style>
  <w:style w:type="paragraph" w:styleId="31">
    <w:name w:val="List 2"/>
    <w:basedOn w:val="1"/>
    <w:autoRedefine/>
    <w:qFormat/>
    <w:uiPriority w:val="99"/>
    <w:pPr>
      <w:tabs>
        <w:tab w:val="left" w:pos="420"/>
      </w:tabs>
      <w:spacing w:after="120" w:line="400" w:lineRule="exact"/>
    </w:pPr>
    <w:rPr>
      <w:szCs w:val="20"/>
    </w:rPr>
  </w:style>
  <w:style w:type="paragraph" w:styleId="32">
    <w:name w:val="List Continue"/>
    <w:basedOn w:val="1"/>
    <w:autoRedefine/>
    <w:qFormat/>
    <w:uiPriority w:val="99"/>
    <w:pPr>
      <w:spacing w:after="120" w:line="240" w:lineRule="auto"/>
      <w:ind w:left="420" w:leftChars="200"/>
    </w:pPr>
    <w:rPr>
      <w:szCs w:val="20"/>
    </w:rPr>
  </w:style>
  <w:style w:type="paragraph" w:styleId="33">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99"/>
    <w:pPr>
      <w:widowControl/>
      <w:tabs>
        <w:tab w:val="left" w:pos="1440"/>
      </w:tabs>
      <w:adjustRightInd w:val="0"/>
      <w:snapToGrid w:val="0"/>
      <w:ind w:left="1440" w:hanging="720"/>
      <w:jc w:val="left"/>
    </w:pPr>
    <w:rPr>
      <w:rFonts w:ascii="Tahoma" w:hAnsi="Tahoma" w:cs="Tahoma"/>
      <w:kern w:val="0"/>
      <w:sz w:val="24"/>
      <w:lang w:eastAsia="en-US"/>
    </w:rPr>
  </w:style>
  <w:style w:type="paragraph" w:styleId="35">
    <w:name w:val="HTML Address"/>
    <w:basedOn w:val="1"/>
    <w:link w:val="119"/>
    <w:autoRedefine/>
    <w:qFormat/>
    <w:uiPriority w:val="99"/>
    <w:pPr>
      <w:widowControl/>
      <w:adjustRightInd w:val="0"/>
      <w:snapToGrid w:val="0"/>
      <w:jc w:val="left"/>
    </w:pPr>
    <w:rPr>
      <w:rFonts w:ascii="宋体" w:hAnsi="宋体" w:eastAsia="仿宋"/>
      <w:i/>
      <w:iCs/>
      <w:kern w:val="0"/>
      <w:sz w:val="24"/>
    </w:rPr>
  </w:style>
  <w:style w:type="paragraph" w:styleId="36">
    <w:name w:val="index 4"/>
    <w:basedOn w:val="1"/>
    <w:next w:val="1"/>
    <w:autoRedefine/>
    <w:qFormat/>
    <w:uiPriority w:val="99"/>
    <w:pPr>
      <w:widowControl/>
      <w:adjustRightInd w:val="0"/>
      <w:snapToGrid w:val="0"/>
      <w:ind w:left="960" w:hanging="240"/>
      <w:jc w:val="left"/>
    </w:pPr>
    <w:rPr>
      <w:kern w:val="0"/>
      <w:sz w:val="24"/>
    </w:rPr>
  </w:style>
  <w:style w:type="paragraph" w:styleId="37">
    <w:name w:val="toc 5"/>
    <w:basedOn w:val="1"/>
    <w:next w:val="1"/>
    <w:autoRedefine/>
    <w:qFormat/>
    <w:uiPriority w:val="99"/>
    <w:pPr>
      <w:ind w:left="1680" w:leftChars="800"/>
    </w:pPr>
  </w:style>
  <w:style w:type="paragraph" w:styleId="38">
    <w:name w:val="toc 3"/>
    <w:basedOn w:val="1"/>
    <w:next w:val="1"/>
    <w:autoRedefine/>
    <w:qFormat/>
    <w:uiPriority w:val="99"/>
    <w:pPr>
      <w:tabs>
        <w:tab w:val="right" w:leader="dot" w:pos="8268"/>
      </w:tabs>
      <w:ind w:left="840" w:leftChars="400"/>
    </w:pPr>
    <w:rPr>
      <w:rFonts w:ascii="宋体" w:hAnsi="宋体"/>
    </w:rPr>
  </w:style>
  <w:style w:type="paragraph" w:styleId="39">
    <w:name w:val="Plain Text"/>
    <w:basedOn w:val="1"/>
    <w:next w:val="40"/>
    <w:link w:val="120"/>
    <w:autoRedefine/>
    <w:qFormat/>
    <w:uiPriority w:val="99"/>
    <w:rPr>
      <w:rFonts w:ascii="宋体" w:hAnsi="Courier New"/>
      <w:kern w:val="0"/>
      <w:sz w:val="20"/>
      <w:szCs w:val="20"/>
    </w:rPr>
  </w:style>
  <w:style w:type="paragraph" w:styleId="40">
    <w:name w:val="Date"/>
    <w:basedOn w:val="1"/>
    <w:next w:val="1"/>
    <w:link w:val="121"/>
    <w:autoRedefine/>
    <w:qFormat/>
    <w:uiPriority w:val="99"/>
    <w:pPr>
      <w:ind w:left="100" w:leftChars="2500"/>
    </w:pPr>
    <w:rPr>
      <w:rFonts w:ascii="宋体"/>
      <w:sz w:val="24"/>
      <w:szCs w:val="21"/>
      <w:lang w:val="zh-CN"/>
    </w:rPr>
  </w:style>
  <w:style w:type="paragraph" w:styleId="41">
    <w:name w:val="List Number 4"/>
    <w:basedOn w:val="1"/>
    <w:autoRedefine/>
    <w:qFormat/>
    <w:uiPriority w:val="99"/>
    <w:pPr>
      <w:tabs>
        <w:tab w:val="left" w:pos="840"/>
      </w:tabs>
      <w:autoSpaceDE w:val="0"/>
      <w:autoSpaceDN w:val="0"/>
      <w:adjustRightInd w:val="0"/>
      <w:spacing w:line="360" w:lineRule="atLeast"/>
      <w:ind w:left="840" w:hanging="420"/>
    </w:pPr>
    <w:rPr>
      <w:kern w:val="0"/>
      <w:sz w:val="24"/>
    </w:rPr>
  </w:style>
  <w:style w:type="paragraph" w:styleId="42">
    <w:name w:val="toc 8"/>
    <w:basedOn w:val="1"/>
    <w:next w:val="1"/>
    <w:autoRedefine/>
    <w:qFormat/>
    <w:uiPriority w:val="99"/>
    <w:pPr>
      <w:ind w:left="2940" w:leftChars="1400"/>
    </w:pPr>
  </w:style>
  <w:style w:type="paragraph" w:styleId="43">
    <w:name w:val="index 3"/>
    <w:basedOn w:val="1"/>
    <w:next w:val="1"/>
    <w:autoRedefine/>
    <w:qFormat/>
    <w:uiPriority w:val="99"/>
    <w:pPr>
      <w:widowControl/>
      <w:adjustRightInd w:val="0"/>
      <w:snapToGrid w:val="0"/>
      <w:ind w:left="720" w:hanging="240"/>
      <w:jc w:val="left"/>
    </w:pPr>
    <w:rPr>
      <w:kern w:val="0"/>
      <w:sz w:val="24"/>
    </w:rPr>
  </w:style>
  <w:style w:type="paragraph" w:styleId="44">
    <w:name w:val="Body Text Indent 2"/>
    <w:basedOn w:val="1"/>
    <w:link w:val="122"/>
    <w:autoRedefine/>
    <w:qFormat/>
    <w:uiPriority w:val="99"/>
    <w:pPr>
      <w:adjustRightInd w:val="0"/>
      <w:ind w:firstLine="601"/>
      <w:textAlignment w:val="baseline"/>
    </w:pPr>
    <w:rPr>
      <w:rFonts w:ascii="宋体"/>
      <w:kern w:val="0"/>
      <w:sz w:val="28"/>
      <w:szCs w:val="20"/>
    </w:rPr>
  </w:style>
  <w:style w:type="paragraph" w:styleId="45">
    <w:name w:val="endnote text"/>
    <w:basedOn w:val="1"/>
    <w:link w:val="123"/>
    <w:autoRedefine/>
    <w:qFormat/>
    <w:uiPriority w:val="99"/>
    <w:pPr>
      <w:snapToGrid w:val="0"/>
      <w:spacing w:line="240" w:lineRule="auto"/>
      <w:jc w:val="left"/>
    </w:pPr>
  </w:style>
  <w:style w:type="paragraph" w:styleId="46">
    <w:name w:val="Balloon Text"/>
    <w:basedOn w:val="1"/>
    <w:link w:val="124"/>
    <w:autoRedefine/>
    <w:qFormat/>
    <w:uiPriority w:val="99"/>
    <w:rPr>
      <w:kern w:val="0"/>
      <w:sz w:val="18"/>
      <w:szCs w:val="18"/>
    </w:rPr>
  </w:style>
  <w:style w:type="paragraph" w:styleId="47">
    <w:name w:val="footer"/>
    <w:basedOn w:val="1"/>
    <w:link w:val="125"/>
    <w:autoRedefine/>
    <w:qFormat/>
    <w:uiPriority w:val="99"/>
    <w:pPr>
      <w:tabs>
        <w:tab w:val="center" w:pos="4153"/>
        <w:tab w:val="right" w:pos="8306"/>
      </w:tabs>
      <w:snapToGrid w:val="0"/>
      <w:jc w:val="left"/>
    </w:pPr>
    <w:rPr>
      <w:sz w:val="18"/>
      <w:szCs w:val="18"/>
    </w:rPr>
  </w:style>
  <w:style w:type="paragraph" w:styleId="48">
    <w:name w:val="header"/>
    <w:basedOn w:val="1"/>
    <w:link w:val="127"/>
    <w:autoRedefine/>
    <w:qFormat/>
    <w:uiPriority w:val="99"/>
    <w:pPr>
      <w:pBdr>
        <w:bottom w:val="single" w:color="auto" w:sz="6" w:space="1"/>
      </w:pBdr>
      <w:tabs>
        <w:tab w:val="center" w:pos="4153"/>
        <w:tab w:val="right" w:pos="8306"/>
      </w:tabs>
      <w:snapToGrid w:val="0"/>
      <w:jc w:val="center"/>
    </w:pPr>
    <w:rPr>
      <w:sz w:val="18"/>
      <w:szCs w:val="18"/>
    </w:rPr>
  </w:style>
  <w:style w:type="paragraph" w:styleId="49">
    <w:name w:val="Signature"/>
    <w:basedOn w:val="1"/>
    <w:link w:val="128"/>
    <w:autoRedefine/>
    <w:qFormat/>
    <w:uiPriority w:val="99"/>
    <w:pPr>
      <w:adjustRightInd w:val="0"/>
      <w:spacing w:after="600" w:line="312" w:lineRule="atLeast"/>
      <w:jc w:val="center"/>
      <w:textAlignment w:val="baseline"/>
    </w:pPr>
    <w:rPr>
      <w:rFonts w:eastAsia="仿宋_GB2312"/>
      <w:kern w:val="0"/>
      <w:sz w:val="24"/>
      <w:szCs w:val="20"/>
    </w:rPr>
  </w:style>
  <w:style w:type="paragraph" w:styleId="50">
    <w:name w:val="toc 1"/>
    <w:basedOn w:val="1"/>
    <w:next w:val="1"/>
    <w:autoRedefine/>
    <w:qFormat/>
    <w:uiPriority w:val="99"/>
  </w:style>
  <w:style w:type="paragraph" w:styleId="51">
    <w:name w:val="toc 4"/>
    <w:basedOn w:val="1"/>
    <w:next w:val="1"/>
    <w:autoRedefine/>
    <w:qFormat/>
    <w:uiPriority w:val="99"/>
    <w:pPr>
      <w:ind w:left="1260" w:leftChars="600"/>
    </w:pPr>
  </w:style>
  <w:style w:type="paragraph" w:styleId="52">
    <w:name w:val="index heading"/>
    <w:basedOn w:val="1"/>
    <w:next w:val="53"/>
    <w:autoRedefine/>
    <w:qFormat/>
    <w:uiPriority w:val="99"/>
    <w:pPr>
      <w:widowControl/>
      <w:adjustRightInd w:val="0"/>
      <w:snapToGrid w:val="0"/>
      <w:jc w:val="left"/>
    </w:pPr>
    <w:rPr>
      <w:kern w:val="0"/>
      <w:sz w:val="24"/>
    </w:rPr>
  </w:style>
  <w:style w:type="paragraph" w:styleId="53">
    <w:name w:val="index 1"/>
    <w:basedOn w:val="1"/>
    <w:next w:val="1"/>
    <w:autoRedefine/>
    <w:qFormat/>
    <w:uiPriority w:val="99"/>
    <w:pPr>
      <w:widowControl/>
      <w:adjustRightInd w:val="0"/>
      <w:snapToGrid w:val="0"/>
      <w:ind w:left="240" w:hanging="240"/>
      <w:jc w:val="left"/>
    </w:pPr>
    <w:rPr>
      <w:rFonts w:ascii="Arial" w:hAnsi="Arial" w:cs="Arial"/>
      <w:kern w:val="0"/>
      <w:szCs w:val="21"/>
    </w:rPr>
  </w:style>
  <w:style w:type="paragraph" w:styleId="54">
    <w:name w:val="Subtitle"/>
    <w:basedOn w:val="1"/>
    <w:next w:val="1"/>
    <w:link w:val="129"/>
    <w:autoRedefine/>
    <w:qFormat/>
    <w:uiPriority w:val="99"/>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55">
    <w:name w:val="List Number 5"/>
    <w:basedOn w:val="1"/>
    <w:autoRedefine/>
    <w:qFormat/>
    <w:uiPriority w:val="99"/>
    <w:pPr>
      <w:tabs>
        <w:tab w:val="left" w:pos="902"/>
      </w:tabs>
      <w:spacing w:line="400" w:lineRule="exact"/>
      <w:ind w:left="902" w:hanging="420"/>
    </w:pPr>
    <w:rPr>
      <w:sz w:val="24"/>
      <w:szCs w:val="20"/>
    </w:rPr>
  </w:style>
  <w:style w:type="paragraph" w:styleId="56">
    <w:name w:val="List"/>
    <w:basedOn w:val="1"/>
    <w:autoRedefine/>
    <w:qFormat/>
    <w:uiPriority w:val="99"/>
    <w:pPr>
      <w:numPr>
        <w:ilvl w:val="0"/>
        <w:numId w:val="6"/>
      </w:numPr>
      <w:adjustRightInd w:val="0"/>
      <w:snapToGrid w:val="0"/>
      <w:jc w:val="left"/>
    </w:pPr>
    <w:rPr>
      <w:rFonts w:ascii="宋体" w:hAnsi="宋体"/>
      <w:sz w:val="24"/>
    </w:rPr>
  </w:style>
  <w:style w:type="paragraph" w:styleId="57">
    <w:name w:val="footnote text"/>
    <w:basedOn w:val="1"/>
    <w:autoRedefine/>
    <w:qFormat/>
    <w:uiPriority w:val="0"/>
    <w:pPr>
      <w:snapToGrid w:val="0"/>
      <w:jc w:val="left"/>
    </w:pPr>
    <w:rPr>
      <w:rFonts w:eastAsia="FangSong_GB2312"/>
      <w:sz w:val="18"/>
      <w:szCs w:val="20"/>
    </w:rPr>
  </w:style>
  <w:style w:type="paragraph" w:styleId="58">
    <w:name w:val="List 5"/>
    <w:basedOn w:val="1"/>
    <w:autoRedefine/>
    <w:qFormat/>
    <w:uiPriority w:val="99"/>
    <w:pPr>
      <w:spacing w:line="240" w:lineRule="auto"/>
      <w:ind w:left="100" w:leftChars="800" w:hanging="200" w:hangingChars="200"/>
    </w:pPr>
    <w:rPr>
      <w:szCs w:val="20"/>
    </w:rPr>
  </w:style>
  <w:style w:type="paragraph" w:styleId="59">
    <w:name w:val="Body Text Indent 3"/>
    <w:basedOn w:val="1"/>
    <w:link w:val="130"/>
    <w:autoRedefine/>
    <w:qFormat/>
    <w:uiPriority w:val="99"/>
    <w:pPr>
      <w:ind w:firstLine="420"/>
    </w:pPr>
    <w:rPr>
      <w:kern w:val="0"/>
      <w:sz w:val="24"/>
      <w:szCs w:val="20"/>
    </w:rPr>
  </w:style>
  <w:style w:type="paragraph" w:styleId="60">
    <w:name w:val="index 7"/>
    <w:basedOn w:val="1"/>
    <w:next w:val="1"/>
    <w:autoRedefine/>
    <w:qFormat/>
    <w:uiPriority w:val="99"/>
    <w:pPr>
      <w:widowControl/>
      <w:adjustRightInd w:val="0"/>
      <w:snapToGrid w:val="0"/>
      <w:ind w:left="1680" w:hanging="240"/>
      <w:jc w:val="left"/>
    </w:pPr>
    <w:rPr>
      <w:kern w:val="0"/>
      <w:sz w:val="24"/>
    </w:rPr>
  </w:style>
  <w:style w:type="paragraph" w:styleId="61">
    <w:name w:val="index 9"/>
    <w:basedOn w:val="1"/>
    <w:next w:val="1"/>
    <w:autoRedefine/>
    <w:qFormat/>
    <w:uiPriority w:val="99"/>
    <w:pPr>
      <w:widowControl/>
      <w:adjustRightInd w:val="0"/>
      <w:snapToGrid w:val="0"/>
      <w:ind w:left="2160" w:hanging="240"/>
      <w:jc w:val="left"/>
    </w:pPr>
    <w:rPr>
      <w:kern w:val="0"/>
      <w:sz w:val="24"/>
    </w:rPr>
  </w:style>
  <w:style w:type="paragraph" w:styleId="62">
    <w:name w:val="table of figures"/>
    <w:basedOn w:val="1"/>
    <w:next w:val="1"/>
    <w:autoRedefine/>
    <w:qFormat/>
    <w:uiPriority w:val="99"/>
    <w:pPr>
      <w:widowControl/>
      <w:adjustRightInd w:val="0"/>
      <w:snapToGrid w:val="0"/>
      <w:ind w:left="480" w:hanging="480"/>
      <w:jc w:val="left"/>
    </w:pPr>
    <w:rPr>
      <w:kern w:val="0"/>
      <w:sz w:val="24"/>
    </w:rPr>
  </w:style>
  <w:style w:type="paragraph" w:styleId="63">
    <w:name w:val="toc 2"/>
    <w:basedOn w:val="1"/>
    <w:next w:val="1"/>
    <w:autoRedefine/>
    <w:qFormat/>
    <w:uiPriority w:val="99"/>
    <w:pPr>
      <w:ind w:left="420" w:leftChars="200"/>
    </w:pPr>
  </w:style>
  <w:style w:type="paragraph" w:styleId="64">
    <w:name w:val="toc 9"/>
    <w:basedOn w:val="1"/>
    <w:next w:val="1"/>
    <w:autoRedefine/>
    <w:qFormat/>
    <w:uiPriority w:val="99"/>
    <w:pPr>
      <w:ind w:left="3360" w:leftChars="1600"/>
    </w:pPr>
  </w:style>
  <w:style w:type="paragraph" w:styleId="65">
    <w:name w:val="Body Text 2"/>
    <w:basedOn w:val="1"/>
    <w:link w:val="131"/>
    <w:autoRedefine/>
    <w:qFormat/>
    <w:uiPriority w:val="99"/>
    <w:pPr>
      <w:spacing w:after="120" w:line="480" w:lineRule="auto"/>
    </w:pPr>
  </w:style>
  <w:style w:type="paragraph" w:styleId="66">
    <w:name w:val="List 4"/>
    <w:basedOn w:val="1"/>
    <w:autoRedefine/>
    <w:qFormat/>
    <w:uiPriority w:val="99"/>
    <w:pPr>
      <w:spacing w:line="240" w:lineRule="auto"/>
      <w:ind w:left="100" w:leftChars="600" w:hanging="200" w:hangingChars="200"/>
    </w:pPr>
    <w:rPr>
      <w:szCs w:val="20"/>
    </w:rPr>
  </w:style>
  <w:style w:type="paragraph" w:styleId="67">
    <w:name w:val="List Continue 2"/>
    <w:basedOn w:val="1"/>
    <w:autoRedefine/>
    <w:qFormat/>
    <w:uiPriority w:val="99"/>
    <w:pPr>
      <w:spacing w:after="120" w:line="240" w:lineRule="auto"/>
      <w:ind w:left="840" w:leftChars="400"/>
    </w:pPr>
    <w:rPr>
      <w:szCs w:val="20"/>
    </w:rPr>
  </w:style>
  <w:style w:type="paragraph" w:styleId="68">
    <w:name w:val="Message Header"/>
    <w:basedOn w:val="1"/>
    <w:link w:val="132"/>
    <w:autoRedefine/>
    <w:qFormat/>
    <w:uiPriority w:val="99"/>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Arial" w:hAnsi="Arial"/>
      <w:sz w:val="24"/>
      <w:szCs w:val="20"/>
    </w:rPr>
  </w:style>
  <w:style w:type="paragraph" w:styleId="69">
    <w:name w:val="HTML Preformatted"/>
    <w:basedOn w:val="1"/>
    <w:link w:val="13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rPr>
  </w:style>
  <w:style w:type="paragraph" w:styleId="7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71">
    <w:name w:val="List Continue 3"/>
    <w:basedOn w:val="1"/>
    <w:autoRedefine/>
    <w:qFormat/>
    <w:uiPriority w:val="99"/>
    <w:pPr>
      <w:spacing w:after="120" w:line="240" w:lineRule="auto"/>
      <w:ind w:left="1260" w:leftChars="600"/>
    </w:pPr>
    <w:rPr>
      <w:szCs w:val="20"/>
    </w:rPr>
  </w:style>
  <w:style w:type="paragraph" w:styleId="72">
    <w:name w:val="index 2"/>
    <w:basedOn w:val="1"/>
    <w:next w:val="1"/>
    <w:autoRedefine/>
    <w:qFormat/>
    <w:uiPriority w:val="99"/>
    <w:pPr>
      <w:widowControl/>
      <w:adjustRightInd w:val="0"/>
      <w:snapToGrid w:val="0"/>
      <w:ind w:left="480" w:hanging="240"/>
      <w:jc w:val="left"/>
    </w:pPr>
    <w:rPr>
      <w:kern w:val="0"/>
      <w:sz w:val="24"/>
    </w:rPr>
  </w:style>
  <w:style w:type="paragraph" w:styleId="73">
    <w:name w:val="Title"/>
    <w:basedOn w:val="1"/>
    <w:next w:val="1"/>
    <w:link w:val="134"/>
    <w:autoRedefine/>
    <w:qFormat/>
    <w:uiPriority w:val="99"/>
    <w:pPr>
      <w:widowControl/>
      <w:overflowPunct w:val="0"/>
      <w:autoSpaceDE w:val="0"/>
      <w:autoSpaceDN w:val="0"/>
      <w:adjustRightInd w:val="0"/>
      <w:jc w:val="center"/>
      <w:textAlignment w:val="baseline"/>
    </w:pPr>
    <w:rPr>
      <w:b/>
      <w:kern w:val="0"/>
      <w:sz w:val="24"/>
      <w:szCs w:val="20"/>
    </w:rPr>
  </w:style>
  <w:style w:type="paragraph" w:styleId="74">
    <w:name w:val="annotation subject"/>
    <w:basedOn w:val="22"/>
    <w:next w:val="22"/>
    <w:link w:val="111"/>
    <w:autoRedefine/>
    <w:qFormat/>
    <w:uiPriority w:val="99"/>
    <w:rPr>
      <w:b/>
      <w:bCs/>
    </w:rPr>
  </w:style>
  <w:style w:type="paragraph" w:styleId="75">
    <w:name w:val="Body Text First Indent 2"/>
    <w:basedOn w:val="29"/>
    <w:link w:val="126"/>
    <w:autoRedefine/>
    <w:qFormat/>
    <w:uiPriority w:val="99"/>
    <w:pPr>
      <w:adjustRightInd w:val="0"/>
      <w:snapToGrid w:val="0"/>
      <w:spacing w:after="120" w:line="360" w:lineRule="auto"/>
      <w:ind w:left="420" w:leftChars="200" w:firstLine="420"/>
    </w:pPr>
    <w:rPr>
      <w:rFonts w:ascii="Calibri" w:hAnsi="Calibri" w:eastAsia="仿宋"/>
      <w:sz w:val="21"/>
      <w:szCs w:val="22"/>
    </w:rPr>
  </w:style>
  <w:style w:type="table" w:styleId="77">
    <w:name w:val="Table Grid"/>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Elegant"/>
    <w:basedOn w:val="7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table" w:styleId="80">
    <w:name w:val="Table Grid 8"/>
    <w:basedOn w:val="7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shd w:val="solid" w:color="000080" w:fill="FFFFFF"/>
      </w:tcPr>
    </w:tblStylePr>
    <w:tblStylePr w:type="lastRow">
      <w:rPr>
        <w:rFonts w:cs="Times New Roman"/>
        <w:b/>
        <w:bCs/>
        <w:color w:val="auto"/>
      </w:rPr>
      <w:tblPr/>
    </w:tblStylePr>
    <w:tblStylePr w:type="lastCol">
      <w:rPr>
        <w:rFonts w:cs="Times New Roman"/>
        <w:b/>
        <w:bCs/>
        <w:color w:val="auto"/>
      </w:rPr>
      <w:tblPr/>
    </w:tblStylePr>
  </w:style>
  <w:style w:type="character" w:styleId="82">
    <w:name w:val="Strong"/>
    <w:basedOn w:val="81"/>
    <w:autoRedefine/>
    <w:qFormat/>
    <w:uiPriority w:val="99"/>
    <w:rPr>
      <w:rFonts w:cs="Times New Roman"/>
      <w:b/>
    </w:rPr>
  </w:style>
  <w:style w:type="character" w:styleId="83">
    <w:name w:val="endnote reference"/>
    <w:basedOn w:val="81"/>
    <w:autoRedefine/>
    <w:qFormat/>
    <w:uiPriority w:val="99"/>
    <w:rPr>
      <w:rFonts w:cs="Times New Roman"/>
      <w:vertAlign w:val="superscript"/>
    </w:rPr>
  </w:style>
  <w:style w:type="character" w:styleId="84">
    <w:name w:val="page number"/>
    <w:basedOn w:val="81"/>
    <w:autoRedefine/>
    <w:qFormat/>
    <w:uiPriority w:val="99"/>
    <w:rPr>
      <w:rFonts w:cs="Times New Roman"/>
    </w:rPr>
  </w:style>
  <w:style w:type="character" w:styleId="85">
    <w:name w:val="FollowedHyperlink"/>
    <w:basedOn w:val="81"/>
    <w:autoRedefine/>
    <w:qFormat/>
    <w:uiPriority w:val="99"/>
    <w:rPr>
      <w:rFonts w:cs="Times New Roman"/>
      <w:color w:val="954F72"/>
      <w:u w:val="single"/>
    </w:rPr>
  </w:style>
  <w:style w:type="character" w:styleId="86">
    <w:name w:val="Emphasis"/>
    <w:basedOn w:val="81"/>
    <w:autoRedefine/>
    <w:qFormat/>
    <w:uiPriority w:val="99"/>
    <w:rPr>
      <w:rFonts w:cs="Times New Roman"/>
      <w:color w:val="CC0033"/>
    </w:rPr>
  </w:style>
  <w:style w:type="character" w:styleId="87">
    <w:name w:val="line number"/>
    <w:basedOn w:val="81"/>
    <w:autoRedefine/>
    <w:qFormat/>
    <w:uiPriority w:val="99"/>
    <w:rPr>
      <w:rFonts w:cs="Times New Roman"/>
    </w:rPr>
  </w:style>
  <w:style w:type="character" w:styleId="88">
    <w:name w:val="Hyperlink"/>
    <w:basedOn w:val="81"/>
    <w:autoRedefine/>
    <w:qFormat/>
    <w:uiPriority w:val="99"/>
    <w:rPr>
      <w:rFonts w:cs="Times New Roman"/>
      <w:color w:val="0000FF"/>
      <w:u w:val="single"/>
    </w:rPr>
  </w:style>
  <w:style w:type="character" w:styleId="89">
    <w:name w:val="HTML Code"/>
    <w:basedOn w:val="81"/>
    <w:autoRedefine/>
    <w:qFormat/>
    <w:uiPriority w:val="99"/>
    <w:rPr>
      <w:rFonts w:ascii="黑体" w:hAnsi="Courier New" w:eastAsia="黑体" w:cs="Times New Roman"/>
      <w:sz w:val="20"/>
    </w:rPr>
  </w:style>
  <w:style w:type="character" w:styleId="90">
    <w:name w:val="annotation reference"/>
    <w:basedOn w:val="81"/>
    <w:autoRedefine/>
    <w:qFormat/>
    <w:uiPriority w:val="99"/>
    <w:rPr>
      <w:rFonts w:cs="Times New Roman"/>
      <w:sz w:val="21"/>
    </w:rPr>
  </w:style>
  <w:style w:type="character" w:styleId="91">
    <w:name w:val="footnote reference"/>
    <w:basedOn w:val="81"/>
    <w:autoRedefine/>
    <w:qFormat/>
    <w:uiPriority w:val="0"/>
    <w:rPr>
      <w:vertAlign w:val="superscript"/>
    </w:rPr>
  </w:style>
  <w:style w:type="character" w:styleId="92">
    <w:name w:val="HTML Sample"/>
    <w:basedOn w:val="81"/>
    <w:qFormat/>
    <w:uiPriority w:val="0"/>
    <w:rPr>
      <w:rFonts w:ascii="Courier New" w:hAnsi="Courier New"/>
    </w:rPr>
  </w:style>
  <w:style w:type="paragraph" w:customStyle="1" w:styleId="93">
    <w:name w:val="表格文字"/>
    <w:basedOn w:val="39"/>
    <w:next w:val="26"/>
    <w:autoRedefine/>
    <w:qFormat/>
    <w:uiPriority w:val="99"/>
    <w:pPr>
      <w:adjustRightInd w:val="0"/>
      <w:snapToGrid w:val="0"/>
      <w:jc w:val="left"/>
      <w:textAlignment w:val="top"/>
    </w:pPr>
    <w:rPr>
      <w:rFonts w:eastAsia="仿宋"/>
      <w:sz w:val="18"/>
    </w:rPr>
  </w:style>
  <w:style w:type="paragraph" w:customStyle="1" w:styleId="94">
    <w:name w:val="正文首行缩进1"/>
    <w:basedOn w:val="26"/>
    <w:autoRedefine/>
    <w:qFormat/>
    <w:uiPriority w:val="99"/>
    <w:pPr>
      <w:suppressAutoHyphens/>
      <w:adjustRightInd/>
      <w:spacing w:after="120" w:line="240" w:lineRule="auto"/>
      <w:ind w:firstLine="420"/>
      <w:jc w:val="left"/>
    </w:pPr>
    <w:rPr>
      <w:rFonts w:ascii="Times New Roman"/>
      <w:kern w:val="1"/>
      <w:sz w:val="28"/>
      <w:szCs w:val="24"/>
      <w:lang w:val="en-US" w:eastAsia="ar-SA"/>
    </w:rPr>
  </w:style>
  <w:style w:type="paragraph" w:customStyle="1" w:styleId="95">
    <w:name w:val="Body Text First Indent 21"/>
    <w:basedOn w:val="96"/>
    <w:autoRedefine/>
    <w:qFormat/>
    <w:uiPriority w:val="0"/>
    <w:pPr>
      <w:ind w:firstLine="420"/>
    </w:pPr>
    <w:rPr>
      <w:rFonts w:cs="宋体"/>
    </w:rPr>
  </w:style>
  <w:style w:type="paragraph" w:customStyle="1" w:styleId="96">
    <w:name w:val="Body Text Indent1"/>
    <w:basedOn w:val="1"/>
    <w:next w:val="1"/>
    <w:autoRedefine/>
    <w:qFormat/>
    <w:uiPriority w:val="0"/>
    <w:pPr>
      <w:spacing w:after="120"/>
      <w:ind w:left="420" w:leftChars="200"/>
    </w:pPr>
  </w:style>
  <w:style w:type="paragraph" w:customStyle="1" w:styleId="97">
    <w:name w:val="正文（首行缩进2字符）"/>
    <w:basedOn w:val="1"/>
    <w:link w:val="652"/>
    <w:autoRedefine/>
    <w:qFormat/>
    <w:uiPriority w:val="99"/>
    <w:pPr>
      <w:ind w:firstLine="480" w:firstLineChars="200"/>
    </w:pPr>
    <w:rPr>
      <w:sz w:val="24"/>
      <w:szCs w:val="20"/>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BodyText1I2"/>
    <w:basedOn w:val="100"/>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100">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character" w:customStyle="1" w:styleId="101">
    <w:name w:val="Heading 1 Char"/>
    <w:basedOn w:val="81"/>
    <w:link w:val="2"/>
    <w:autoRedefine/>
    <w:qFormat/>
    <w:locked/>
    <w:uiPriority w:val="99"/>
    <w:rPr>
      <w:b/>
      <w:bCs/>
      <w:kern w:val="44"/>
      <w:sz w:val="44"/>
      <w:szCs w:val="44"/>
    </w:rPr>
  </w:style>
  <w:style w:type="character" w:customStyle="1" w:styleId="102">
    <w:name w:val="Heading 2 Char"/>
    <w:basedOn w:val="81"/>
    <w:link w:val="3"/>
    <w:autoRedefine/>
    <w:qFormat/>
    <w:locked/>
    <w:uiPriority w:val="99"/>
    <w:rPr>
      <w:rFonts w:ascii="宋体" w:hAnsi="宋体" w:eastAsia="宋体"/>
      <w:b/>
      <w:sz w:val="30"/>
      <w:lang w:val="zh-CN"/>
    </w:rPr>
  </w:style>
  <w:style w:type="character" w:customStyle="1" w:styleId="103">
    <w:name w:val="Heading 3 Char"/>
    <w:basedOn w:val="81"/>
    <w:link w:val="4"/>
    <w:autoRedefine/>
    <w:qFormat/>
    <w:locked/>
    <w:uiPriority w:val="99"/>
    <w:rPr>
      <w:b/>
      <w:kern w:val="2"/>
      <w:sz w:val="32"/>
    </w:rPr>
  </w:style>
  <w:style w:type="character" w:customStyle="1" w:styleId="104">
    <w:name w:val="Heading 4 Char"/>
    <w:basedOn w:val="81"/>
    <w:link w:val="5"/>
    <w:autoRedefine/>
    <w:qFormat/>
    <w:locked/>
    <w:uiPriority w:val="99"/>
    <w:rPr>
      <w:rFonts w:ascii="Arial" w:hAnsi="Arial"/>
      <w:bCs/>
      <w:sz w:val="28"/>
      <w:szCs w:val="28"/>
      <w:lang w:val="zh-CN"/>
    </w:rPr>
  </w:style>
  <w:style w:type="character" w:customStyle="1" w:styleId="105">
    <w:name w:val="Heading 5 Char"/>
    <w:basedOn w:val="81"/>
    <w:link w:val="6"/>
    <w:autoRedefine/>
    <w:qFormat/>
    <w:locked/>
    <w:uiPriority w:val="99"/>
    <w:rPr>
      <w:b/>
      <w:bCs/>
      <w:sz w:val="28"/>
      <w:szCs w:val="28"/>
    </w:rPr>
  </w:style>
  <w:style w:type="character" w:customStyle="1" w:styleId="106">
    <w:name w:val="Heading 6 Char"/>
    <w:basedOn w:val="81"/>
    <w:link w:val="7"/>
    <w:autoRedefine/>
    <w:qFormat/>
    <w:locked/>
    <w:uiPriority w:val="99"/>
    <w:rPr>
      <w:rFonts w:ascii="Arial" w:hAnsi="Arial" w:eastAsia="黑体"/>
      <w:b/>
      <w:bCs/>
      <w:sz w:val="24"/>
      <w:szCs w:val="24"/>
    </w:rPr>
  </w:style>
  <w:style w:type="character" w:customStyle="1" w:styleId="107">
    <w:name w:val="Heading 7 Char"/>
    <w:basedOn w:val="81"/>
    <w:link w:val="8"/>
    <w:autoRedefine/>
    <w:qFormat/>
    <w:locked/>
    <w:uiPriority w:val="99"/>
    <w:rPr>
      <w:b/>
      <w:bCs/>
      <w:sz w:val="24"/>
      <w:szCs w:val="24"/>
    </w:rPr>
  </w:style>
  <w:style w:type="character" w:customStyle="1" w:styleId="108">
    <w:name w:val="Heading 8 Char"/>
    <w:basedOn w:val="81"/>
    <w:link w:val="9"/>
    <w:autoRedefine/>
    <w:qFormat/>
    <w:locked/>
    <w:uiPriority w:val="99"/>
    <w:rPr>
      <w:rFonts w:ascii="Arial" w:hAnsi="Arial" w:eastAsia="黑体"/>
      <w:sz w:val="24"/>
      <w:szCs w:val="24"/>
    </w:rPr>
  </w:style>
  <w:style w:type="character" w:customStyle="1" w:styleId="109">
    <w:name w:val="Heading 9 Char"/>
    <w:basedOn w:val="81"/>
    <w:link w:val="10"/>
    <w:autoRedefine/>
    <w:qFormat/>
    <w:locked/>
    <w:uiPriority w:val="99"/>
    <w:rPr>
      <w:rFonts w:ascii="Arial" w:hAnsi="Arial" w:eastAsia="黑体"/>
      <w:szCs w:val="21"/>
    </w:rPr>
  </w:style>
  <w:style w:type="character" w:customStyle="1" w:styleId="110">
    <w:name w:val="Comment Text Char"/>
    <w:basedOn w:val="81"/>
    <w:link w:val="22"/>
    <w:autoRedefine/>
    <w:qFormat/>
    <w:locked/>
    <w:uiPriority w:val="99"/>
    <w:rPr>
      <w:rFonts w:ascii="Times New Roman" w:hAnsi="Times New Roman" w:eastAsia="宋体"/>
      <w:sz w:val="24"/>
    </w:rPr>
  </w:style>
  <w:style w:type="character" w:customStyle="1" w:styleId="111">
    <w:name w:val="Comment Subject Char"/>
    <w:basedOn w:val="112"/>
    <w:link w:val="74"/>
    <w:autoRedefine/>
    <w:qFormat/>
    <w:locked/>
    <w:uiPriority w:val="99"/>
    <w:rPr>
      <w:b/>
      <w:bCs/>
    </w:rPr>
  </w:style>
  <w:style w:type="character" w:customStyle="1" w:styleId="112">
    <w:name w:val="批注文字 Char"/>
    <w:basedOn w:val="81"/>
    <w:autoRedefine/>
    <w:qFormat/>
    <w:uiPriority w:val="99"/>
    <w:rPr>
      <w:rFonts w:ascii="Times New Roman" w:hAnsi="Times New Roman" w:eastAsia="宋体" w:cs="Times New Roman"/>
      <w:sz w:val="24"/>
      <w:szCs w:val="24"/>
    </w:rPr>
  </w:style>
  <w:style w:type="character" w:customStyle="1" w:styleId="113">
    <w:name w:val="Body Text Char"/>
    <w:basedOn w:val="81"/>
    <w:link w:val="26"/>
    <w:autoRedefine/>
    <w:qFormat/>
    <w:locked/>
    <w:uiPriority w:val="99"/>
    <w:rPr>
      <w:rFonts w:ascii="宋体" w:hAnsi="Times New Roman" w:eastAsia="宋体" w:cs="Times New Roman"/>
      <w:sz w:val="21"/>
      <w:szCs w:val="21"/>
      <w:lang w:val="zh-CN"/>
    </w:rPr>
  </w:style>
  <w:style w:type="character" w:customStyle="1" w:styleId="114">
    <w:name w:val="Body Text First Indent Char"/>
    <w:basedOn w:val="113"/>
    <w:link w:val="27"/>
    <w:autoRedefine/>
    <w:qFormat/>
    <w:locked/>
    <w:uiPriority w:val="99"/>
    <w:rPr>
      <w:sz w:val="20"/>
    </w:rPr>
  </w:style>
  <w:style w:type="character" w:customStyle="1" w:styleId="115">
    <w:name w:val="Document Map Char"/>
    <w:basedOn w:val="81"/>
    <w:link w:val="20"/>
    <w:autoRedefine/>
    <w:qFormat/>
    <w:locked/>
    <w:uiPriority w:val="99"/>
    <w:rPr>
      <w:rFonts w:ascii="Times New Roman" w:hAnsi="Times New Roman" w:eastAsia="宋体" w:cs="Times New Roman"/>
      <w:sz w:val="24"/>
      <w:szCs w:val="24"/>
      <w:shd w:val="clear" w:color="auto" w:fill="000080"/>
    </w:rPr>
  </w:style>
  <w:style w:type="character" w:customStyle="1" w:styleId="116">
    <w:name w:val="Salutation Char"/>
    <w:basedOn w:val="81"/>
    <w:link w:val="24"/>
    <w:autoRedefine/>
    <w:qFormat/>
    <w:locked/>
    <w:uiPriority w:val="99"/>
    <w:rPr>
      <w:rFonts w:ascii="仿宋_GB2312" w:hAnsi="Times New Roman" w:eastAsia="仿宋_GB2312"/>
      <w:sz w:val="20"/>
    </w:rPr>
  </w:style>
  <w:style w:type="character" w:customStyle="1" w:styleId="117">
    <w:name w:val="Body Text 3 Char"/>
    <w:basedOn w:val="81"/>
    <w:link w:val="25"/>
    <w:autoRedefine/>
    <w:qFormat/>
    <w:locked/>
    <w:uiPriority w:val="99"/>
    <w:rPr>
      <w:rFonts w:ascii="Times New Roman" w:hAnsi="Times New Roman" w:eastAsia="宋体"/>
      <w:sz w:val="20"/>
    </w:rPr>
  </w:style>
  <w:style w:type="character" w:customStyle="1" w:styleId="118">
    <w:name w:val="Body Text Indent Char"/>
    <w:basedOn w:val="81"/>
    <w:link w:val="29"/>
    <w:autoRedefine/>
    <w:qFormat/>
    <w:locked/>
    <w:uiPriority w:val="99"/>
    <w:rPr>
      <w:rFonts w:ascii="宋体" w:hAnsi="宋体" w:eastAsia="宋体"/>
      <w:sz w:val="24"/>
    </w:rPr>
  </w:style>
  <w:style w:type="character" w:customStyle="1" w:styleId="119">
    <w:name w:val="HTML Address Char"/>
    <w:basedOn w:val="81"/>
    <w:link w:val="35"/>
    <w:autoRedefine/>
    <w:qFormat/>
    <w:locked/>
    <w:uiPriority w:val="99"/>
    <w:rPr>
      <w:rFonts w:ascii="宋体" w:hAnsi="宋体" w:eastAsia="仿宋" w:cs="Times New Roman"/>
      <w:i/>
      <w:iCs/>
      <w:sz w:val="24"/>
      <w:szCs w:val="24"/>
    </w:rPr>
  </w:style>
  <w:style w:type="character" w:customStyle="1" w:styleId="120">
    <w:name w:val="Plain Text Char"/>
    <w:basedOn w:val="81"/>
    <w:link w:val="39"/>
    <w:autoRedefine/>
    <w:qFormat/>
    <w:locked/>
    <w:uiPriority w:val="99"/>
    <w:rPr>
      <w:rFonts w:ascii="宋体" w:hAnsi="Courier New" w:eastAsia="宋体"/>
      <w:sz w:val="20"/>
    </w:rPr>
  </w:style>
  <w:style w:type="character" w:customStyle="1" w:styleId="121">
    <w:name w:val="Date Char"/>
    <w:basedOn w:val="81"/>
    <w:link w:val="40"/>
    <w:autoRedefine/>
    <w:qFormat/>
    <w:locked/>
    <w:uiPriority w:val="99"/>
    <w:rPr>
      <w:rFonts w:ascii="宋体" w:hAnsi="Times New Roman" w:eastAsia="宋体" w:cs="Times New Roman"/>
      <w:sz w:val="21"/>
      <w:szCs w:val="21"/>
      <w:lang w:val="zh-CN"/>
    </w:rPr>
  </w:style>
  <w:style w:type="character" w:customStyle="1" w:styleId="122">
    <w:name w:val="Body Text Indent 2 Char"/>
    <w:basedOn w:val="81"/>
    <w:link w:val="44"/>
    <w:autoRedefine/>
    <w:qFormat/>
    <w:locked/>
    <w:uiPriority w:val="99"/>
    <w:rPr>
      <w:rFonts w:ascii="宋体" w:hAnsi="Times New Roman" w:eastAsia="宋体"/>
      <w:kern w:val="0"/>
      <w:sz w:val="20"/>
    </w:rPr>
  </w:style>
  <w:style w:type="character" w:customStyle="1" w:styleId="123">
    <w:name w:val="Endnote Text Char"/>
    <w:basedOn w:val="81"/>
    <w:link w:val="45"/>
    <w:autoRedefine/>
    <w:qFormat/>
    <w:locked/>
    <w:uiPriority w:val="99"/>
    <w:rPr>
      <w:rFonts w:cs="Times New Roman"/>
      <w:kern w:val="2"/>
      <w:sz w:val="24"/>
      <w:szCs w:val="24"/>
    </w:rPr>
  </w:style>
  <w:style w:type="character" w:customStyle="1" w:styleId="124">
    <w:name w:val="Balloon Text Char"/>
    <w:basedOn w:val="81"/>
    <w:link w:val="46"/>
    <w:autoRedefine/>
    <w:qFormat/>
    <w:locked/>
    <w:uiPriority w:val="99"/>
    <w:rPr>
      <w:rFonts w:ascii="Times New Roman" w:hAnsi="Times New Roman" w:eastAsia="宋体"/>
      <w:sz w:val="18"/>
    </w:rPr>
  </w:style>
  <w:style w:type="character" w:customStyle="1" w:styleId="125">
    <w:name w:val="Footer Char"/>
    <w:basedOn w:val="81"/>
    <w:link w:val="47"/>
    <w:autoRedefine/>
    <w:qFormat/>
    <w:locked/>
    <w:uiPriority w:val="99"/>
    <w:rPr>
      <w:rFonts w:cs="Times New Roman"/>
      <w:sz w:val="18"/>
      <w:szCs w:val="18"/>
    </w:rPr>
  </w:style>
  <w:style w:type="character" w:customStyle="1" w:styleId="126">
    <w:name w:val="Body Text First Indent 2 Char"/>
    <w:basedOn w:val="118"/>
    <w:link w:val="75"/>
    <w:autoRedefine/>
    <w:qFormat/>
    <w:locked/>
    <w:uiPriority w:val="99"/>
    <w:rPr>
      <w:rFonts w:ascii="Calibri" w:hAnsi="Calibri" w:eastAsia="仿宋" w:cs="Times New Roman"/>
      <w:kern w:val="2"/>
      <w:sz w:val="22"/>
      <w:szCs w:val="22"/>
    </w:rPr>
  </w:style>
  <w:style w:type="character" w:customStyle="1" w:styleId="127">
    <w:name w:val="Header Char"/>
    <w:basedOn w:val="81"/>
    <w:link w:val="48"/>
    <w:autoRedefine/>
    <w:qFormat/>
    <w:locked/>
    <w:uiPriority w:val="99"/>
    <w:rPr>
      <w:rFonts w:cs="Times New Roman"/>
      <w:sz w:val="18"/>
      <w:szCs w:val="18"/>
    </w:rPr>
  </w:style>
  <w:style w:type="character" w:customStyle="1" w:styleId="128">
    <w:name w:val="Signature Char"/>
    <w:basedOn w:val="81"/>
    <w:link w:val="49"/>
    <w:autoRedefine/>
    <w:qFormat/>
    <w:locked/>
    <w:uiPriority w:val="99"/>
    <w:rPr>
      <w:rFonts w:ascii="Times New Roman" w:hAnsi="Times New Roman" w:eastAsia="仿宋_GB2312"/>
      <w:kern w:val="0"/>
      <w:sz w:val="20"/>
    </w:rPr>
  </w:style>
  <w:style w:type="character" w:customStyle="1" w:styleId="129">
    <w:name w:val="Subtitle Char"/>
    <w:basedOn w:val="81"/>
    <w:link w:val="54"/>
    <w:autoRedefine/>
    <w:qFormat/>
    <w:locked/>
    <w:uiPriority w:val="99"/>
    <w:rPr>
      <w:rFonts w:ascii="Cambria" w:hAnsi="Cambria" w:eastAsia="宋体"/>
      <w:b/>
      <w:kern w:val="28"/>
      <w:sz w:val="32"/>
    </w:rPr>
  </w:style>
  <w:style w:type="character" w:customStyle="1" w:styleId="130">
    <w:name w:val="Body Text Indent 3 Char"/>
    <w:basedOn w:val="81"/>
    <w:link w:val="59"/>
    <w:autoRedefine/>
    <w:qFormat/>
    <w:locked/>
    <w:uiPriority w:val="99"/>
    <w:rPr>
      <w:rFonts w:ascii="Times New Roman" w:hAnsi="Times New Roman" w:eastAsia="宋体"/>
      <w:sz w:val="20"/>
    </w:rPr>
  </w:style>
  <w:style w:type="character" w:customStyle="1" w:styleId="131">
    <w:name w:val="Body Text 2 Char"/>
    <w:basedOn w:val="81"/>
    <w:link w:val="65"/>
    <w:autoRedefine/>
    <w:qFormat/>
    <w:locked/>
    <w:uiPriority w:val="99"/>
    <w:rPr>
      <w:rFonts w:ascii="Times New Roman" w:hAnsi="Times New Roman" w:eastAsia="宋体" w:cs="Times New Roman"/>
      <w:sz w:val="24"/>
      <w:szCs w:val="24"/>
    </w:rPr>
  </w:style>
  <w:style w:type="character" w:customStyle="1" w:styleId="132">
    <w:name w:val="Message Header Char"/>
    <w:basedOn w:val="81"/>
    <w:link w:val="68"/>
    <w:autoRedefine/>
    <w:qFormat/>
    <w:locked/>
    <w:uiPriority w:val="99"/>
    <w:rPr>
      <w:rFonts w:ascii="Arial" w:hAnsi="Arial" w:cs="Times New Roman"/>
      <w:kern w:val="2"/>
      <w:sz w:val="24"/>
      <w:shd w:val="pct20" w:color="auto" w:fill="auto"/>
    </w:rPr>
  </w:style>
  <w:style w:type="character" w:customStyle="1" w:styleId="133">
    <w:name w:val="HTML Preformatted Char"/>
    <w:basedOn w:val="81"/>
    <w:link w:val="69"/>
    <w:autoRedefine/>
    <w:qFormat/>
    <w:locked/>
    <w:uiPriority w:val="99"/>
    <w:rPr>
      <w:rFonts w:ascii="Arial" w:hAnsi="Arial" w:cs="Arial"/>
      <w:sz w:val="24"/>
      <w:szCs w:val="24"/>
    </w:rPr>
  </w:style>
  <w:style w:type="character" w:customStyle="1" w:styleId="134">
    <w:name w:val="Title Char"/>
    <w:basedOn w:val="81"/>
    <w:link w:val="73"/>
    <w:autoRedefine/>
    <w:qFormat/>
    <w:locked/>
    <w:uiPriority w:val="99"/>
    <w:rPr>
      <w:rFonts w:ascii="Times New Roman" w:hAnsi="Times New Roman" w:eastAsia="宋体" w:cs="Times New Roman"/>
      <w:b/>
      <w:kern w:val="0"/>
      <w:sz w:val="20"/>
      <w:szCs w:val="20"/>
    </w:rPr>
  </w:style>
  <w:style w:type="paragraph" w:customStyle="1" w:styleId="135">
    <w:name w:val="样式 标题 5 + 右侧:  -0.18 字符"/>
    <w:basedOn w:val="1"/>
    <w:autoRedefine/>
    <w:qFormat/>
    <w:uiPriority w:val="99"/>
    <w:pPr>
      <w:numPr>
        <w:ilvl w:val="4"/>
        <w:numId w:val="7"/>
      </w:numPr>
    </w:pPr>
  </w:style>
  <w:style w:type="paragraph" w:customStyle="1" w:styleId="136">
    <w:name w:val="正文文字表格居中"/>
    <w:basedOn w:val="1"/>
    <w:next w:val="65"/>
    <w:autoRedefine/>
    <w:qFormat/>
    <w:uiPriority w:val="99"/>
    <w:pPr>
      <w:snapToGrid w:val="0"/>
    </w:pPr>
    <w:rPr>
      <w:rFonts w:ascii="宋体"/>
      <w:b/>
      <w:sz w:val="24"/>
      <w:szCs w:val="20"/>
    </w:rPr>
  </w:style>
  <w:style w:type="paragraph" w:customStyle="1" w:styleId="137">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8">
    <w:name w:val="正文2"/>
    <w:basedOn w:val="1"/>
    <w:link w:val="418"/>
    <w:autoRedefine/>
    <w:qFormat/>
    <w:uiPriority w:val="99"/>
    <w:pPr>
      <w:spacing w:before="156"/>
      <w:ind w:firstLine="510" w:firstLineChars="200"/>
    </w:pPr>
    <w:rPr>
      <w:kern w:val="0"/>
      <w:sz w:val="24"/>
      <w:szCs w:val="20"/>
    </w:rPr>
  </w:style>
  <w:style w:type="paragraph" w:customStyle="1" w:styleId="139">
    <w:name w:val="_Style 37"/>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部分1"/>
    <w:basedOn w:val="1"/>
    <w:autoRedefine/>
    <w:qFormat/>
    <w:uiPriority w:val="99"/>
    <w:pPr>
      <w:keepNext/>
      <w:pageBreakBefore/>
      <w:tabs>
        <w:tab w:val="left" w:pos="720"/>
      </w:tabs>
      <w:jc w:val="center"/>
      <w:outlineLvl w:val="0"/>
    </w:pPr>
    <w:rPr>
      <w:rFonts w:eastAsia="黑体"/>
      <w:b/>
      <w:kern w:val="44"/>
      <w:sz w:val="36"/>
      <w:szCs w:val="20"/>
    </w:rPr>
  </w:style>
  <w:style w:type="paragraph" w:customStyle="1" w:styleId="141">
    <w:name w:val="正文缩进1"/>
    <w:basedOn w:val="1"/>
    <w:next w:val="29"/>
    <w:autoRedefine/>
    <w:qFormat/>
    <w:uiPriority w:val="99"/>
    <w:pPr>
      <w:autoSpaceDE w:val="0"/>
      <w:autoSpaceDN w:val="0"/>
      <w:adjustRightInd w:val="0"/>
      <w:snapToGrid w:val="0"/>
      <w:spacing w:after="120"/>
      <w:ind w:left="420" w:leftChars="200" w:firstLine="480" w:firstLineChars="200"/>
    </w:pPr>
    <w:rPr>
      <w:sz w:val="24"/>
      <w:szCs w:val="21"/>
    </w:rPr>
  </w:style>
  <w:style w:type="paragraph" w:customStyle="1" w:styleId="142">
    <w:name w:val="Test2"/>
    <w:basedOn w:val="3"/>
    <w:autoRedefine/>
    <w:qFormat/>
    <w:uiPriority w:val="99"/>
    <w:pPr>
      <w:widowControl/>
      <w:adjustRightInd w:val="0"/>
      <w:snapToGrid w:val="0"/>
      <w:spacing w:before="360" w:after="360" w:line="240" w:lineRule="atLeast"/>
      <w:jc w:val="left"/>
    </w:pPr>
    <w:rPr>
      <w:rFonts w:hAnsi="Arial"/>
      <w:sz w:val="28"/>
      <w:szCs w:val="32"/>
      <w:lang w:val="en-US"/>
    </w:rPr>
  </w:style>
  <w:style w:type="paragraph" w:customStyle="1" w:styleId="143">
    <w:name w:val="Body Text 21"/>
    <w:basedOn w:val="1"/>
    <w:autoRedefine/>
    <w:qFormat/>
    <w:uiPriority w:val="99"/>
    <w:pPr>
      <w:widowControl/>
      <w:overflowPunct w:val="0"/>
      <w:autoSpaceDE w:val="0"/>
      <w:autoSpaceDN w:val="0"/>
      <w:adjustRightInd w:val="0"/>
      <w:ind w:left="720" w:hanging="720"/>
      <w:textAlignment w:val="baseline"/>
    </w:pPr>
    <w:rPr>
      <w:kern w:val="0"/>
      <w:sz w:val="24"/>
      <w:szCs w:val="20"/>
    </w:rPr>
  </w:style>
  <w:style w:type="paragraph" w:customStyle="1" w:styleId="14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145">
    <w:name w:val="Char2"/>
    <w:basedOn w:val="1"/>
    <w:autoRedefine/>
    <w:qFormat/>
    <w:uiPriority w:val="99"/>
    <w:rPr>
      <w:rFonts w:ascii="仿宋_GB2312" w:eastAsia="仿宋_GB2312"/>
      <w:b/>
      <w:sz w:val="32"/>
      <w:szCs w:val="32"/>
    </w:rPr>
  </w:style>
  <w:style w:type="paragraph" w:customStyle="1" w:styleId="14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47">
    <w:name w:val="Char1"/>
    <w:basedOn w:val="1"/>
    <w:autoRedefine/>
    <w:qFormat/>
    <w:uiPriority w:val="99"/>
    <w:rPr>
      <w:rFonts w:ascii="仿宋_GB2312" w:eastAsia="仿宋_GB2312"/>
      <w:b/>
      <w:sz w:val="32"/>
      <w:szCs w:val="32"/>
    </w:rPr>
  </w:style>
  <w:style w:type="paragraph" w:customStyle="1" w:styleId="148">
    <w:name w:val="Char"/>
    <w:basedOn w:val="1"/>
    <w:autoRedefine/>
    <w:qFormat/>
    <w:uiPriority w:val="99"/>
    <w:rPr>
      <w:rFonts w:ascii="仿宋_GB2312" w:eastAsia="仿宋_GB2312"/>
      <w:b/>
      <w:sz w:val="32"/>
      <w:szCs w:val="32"/>
    </w:rPr>
  </w:style>
  <w:style w:type="paragraph" w:customStyle="1" w:styleId="149">
    <w:name w:val="Char Char1 Char Char Char"/>
    <w:basedOn w:val="1"/>
    <w:autoRedefine/>
    <w:qFormat/>
    <w:uiPriority w:val="99"/>
    <w:rPr>
      <w:rFonts w:ascii="仿宋_GB2312" w:eastAsia="仿宋_GB2312"/>
      <w:b/>
      <w:sz w:val="32"/>
      <w:szCs w:val="32"/>
    </w:rPr>
  </w:style>
  <w:style w:type="paragraph" w:customStyle="1" w:styleId="150">
    <w:name w:val="Char Char1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1">
    <w:name w:val="Char Char Char Char"/>
    <w:basedOn w:val="1"/>
    <w:autoRedefine/>
    <w:qFormat/>
    <w:uiPriority w:val="99"/>
    <w:rPr>
      <w:rFonts w:ascii="Tahoma" w:hAnsi="Tahoma"/>
      <w:sz w:val="24"/>
      <w:szCs w:val="20"/>
    </w:rPr>
  </w:style>
  <w:style w:type="paragraph" w:customStyle="1" w:styleId="152">
    <w:name w:val="Char Char1"/>
    <w:basedOn w:val="1"/>
    <w:autoRedefine/>
    <w:qFormat/>
    <w:uiPriority w:val="99"/>
    <w:pPr>
      <w:widowControl/>
      <w:spacing w:after="160" w:line="240" w:lineRule="exact"/>
      <w:jc w:val="left"/>
    </w:pPr>
    <w:rPr>
      <w:rFonts w:eastAsia="仿宋_GB2312"/>
      <w:sz w:val="28"/>
    </w:rPr>
  </w:style>
  <w:style w:type="paragraph" w:customStyle="1" w:styleId="153">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154">
    <w:name w:val="Char31"/>
    <w:basedOn w:val="1"/>
    <w:autoRedefine/>
    <w:qFormat/>
    <w:uiPriority w:val="99"/>
    <w:rPr>
      <w:rFonts w:ascii="仿宋_GB2312" w:eastAsia="仿宋_GB2312"/>
      <w:b/>
      <w:sz w:val="32"/>
      <w:szCs w:val="32"/>
    </w:rPr>
  </w:style>
  <w:style w:type="paragraph" w:customStyle="1" w:styleId="155">
    <w:name w:val="Char Char1 Char1"/>
    <w:basedOn w:val="1"/>
    <w:autoRedefine/>
    <w:qFormat/>
    <w:uiPriority w:val="99"/>
    <w:rPr>
      <w:rFonts w:ascii="仿宋_GB2312" w:eastAsia="仿宋_GB2312"/>
      <w:b/>
      <w:sz w:val="32"/>
      <w:szCs w:val="32"/>
    </w:rPr>
  </w:style>
  <w:style w:type="paragraph" w:customStyle="1" w:styleId="156">
    <w:name w:val="Table Text"/>
    <w:basedOn w:val="1"/>
    <w:link w:val="430"/>
    <w:autoRedefine/>
    <w:qFormat/>
    <w:uiPriority w:val="99"/>
    <w:pPr>
      <w:widowControl/>
      <w:spacing w:before="60" w:after="60"/>
      <w:jc w:val="left"/>
    </w:pPr>
    <w:rPr>
      <w:kern w:val="0"/>
      <w:sz w:val="24"/>
    </w:rPr>
  </w:style>
  <w:style w:type="paragraph" w:customStyle="1" w:styleId="157">
    <w:name w:val="Char1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8">
    <w:name w:val="Char1 Char Char Char"/>
    <w:basedOn w:val="1"/>
    <w:autoRedefine/>
    <w:qFormat/>
    <w:uiPriority w:val="99"/>
    <w:pPr>
      <w:widowControl/>
      <w:snapToGrid w:val="0"/>
      <w:spacing w:before="120" w:after="160"/>
      <w:ind w:right="-360"/>
      <w:jc w:val="left"/>
    </w:pPr>
    <w:rPr>
      <w:rFonts w:ascii="Arial" w:hAnsi="Arial"/>
      <w:kern w:val="0"/>
      <w:sz w:val="24"/>
      <w:lang w:eastAsia="en-US"/>
    </w:rPr>
  </w:style>
  <w:style w:type="paragraph" w:customStyle="1" w:styleId="159">
    <w:name w:val="样式 正文文本缩进 2 + 仿宋_GB2312 黑色 行距: 1.5 倍行距"/>
    <w:basedOn w:val="44"/>
    <w:autoRedefine/>
    <w:qFormat/>
    <w:uiPriority w:val="99"/>
    <w:pPr>
      <w:adjustRightInd/>
      <w:ind w:firstLine="560" w:firstLineChars="200"/>
      <w:textAlignment w:val="auto"/>
    </w:pPr>
    <w:rPr>
      <w:rFonts w:hAnsi="宋体" w:cs="宋体"/>
      <w:color w:val="000000"/>
      <w:kern w:val="2"/>
      <w:sz w:val="24"/>
    </w:rPr>
  </w:style>
  <w:style w:type="paragraph" w:customStyle="1" w:styleId="160">
    <w:name w:val="正文（标题三）"/>
    <w:basedOn w:val="1"/>
    <w:autoRedefine/>
    <w:qFormat/>
    <w:uiPriority w:val="99"/>
    <w:pPr>
      <w:ind w:firstLine="200" w:firstLineChars="200"/>
    </w:pPr>
    <w:rPr>
      <w:sz w:val="24"/>
    </w:rPr>
  </w:style>
  <w:style w:type="paragraph" w:customStyle="1" w:styleId="161">
    <w:name w:val="Char2 Char Char Char"/>
    <w:basedOn w:val="1"/>
    <w:autoRedefine/>
    <w:qFormat/>
    <w:uiPriority w:val="99"/>
    <w:rPr>
      <w:rFonts w:ascii="仿宋_GB2312" w:eastAsia="仿宋_GB2312"/>
      <w:b/>
      <w:sz w:val="32"/>
      <w:szCs w:val="32"/>
    </w:rPr>
  </w:style>
  <w:style w:type="paragraph" w:customStyle="1" w:styleId="162">
    <w:name w:val="gf正文1"/>
    <w:basedOn w:val="1"/>
    <w:link w:val="407"/>
    <w:autoRedefine/>
    <w:qFormat/>
    <w:uiPriority w:val="99"/>
    <w:pPr>
      <w:tabs>
        <w:tab w:val="left" w:pos="3240"/>
        <w:tab w:val="left" w:pos="3960"/>
      </w:tabs>
      <w:adjustRightInd w:val="0"/>
      <w:snapToGrid w:val="0"/>
      <w:ind w:firstLine="480" w:firstLineChars="200"/>
    </w:pPr>
    <w:rPr>
      <w:rFonts w:ascii="宋体" w:hAnsi="宋体"/>
      <w:kern w:val="0"/>
      <w:sz w:val="24"/>
    </w:rPr>
  </w:style>
  <w:style w:type="paragraph" w:customStyle="1" w:styleId="163">
    <w:name w:val="Char1 Char Char Char Char Char Char Char Char Char Char Char1 Char Char Char Char Char Char Char Char Char Char Char Char Char Char1 Char Char Char Char"/>
    <w:basedOn w:val="1"/>
    <w:autoRedefine/>
    <w:qFormat/>
    <w:uiPriority w:val="99"/>
    <w:pPr>
      <w:adjustRightInd w:val="0"/>
    </w:pPr>
    <w:rPr>
      <w:kern w:val="0"/>
      <w:sz w:val="24"/>
      <w:szCs w:val="20"/>
    </w:rPr>
  </w:style>
  <w:style w:type="paragraph" w:customStyle="1" w:styleId="164">
    <w:name w:val="默认段落字体 Para Char Char Char1 Char"/>
    <w:basedOn w:val="1"/>
    <w:autoRedefine/>
    <w:qFormat/>
    <w:uiPriority w:val="99"/>
    <w:pPr>
      <w:spacing w:line="240" w:lineRule="atLeast"/>
      <w:ind w:left="420" w:firstLine="420"/>
    </w:pPr>
    <w:rPr>
      <w:sz w:val="24"/>
    </w:rPr>
  </w:style>
  <w:style w:type="paragraph" w:customStyle="1" w:styleId="165">
    <w:name w:val="a1"/>
    <w:basedOn w:val="1"/>
    <w:autoRedefine/>
    <w:qFormat/>
    <w:uiPriority w:val="99"/>
    <w:pPr>
      <w:widowControl/>
      <w:spacing w:line="300" w:lineRule="atLeast"/>
      <w:jc w:val="left"/>
    </w:pPr>
    <w:rPr>
      <w:rFonts w:ascii="宋体" w:hAnsi="宋体"/>
      <w:kern w:val="0"/>
      <w:sz w:val="18"/>
      <w:szCs w:val="20"/>
    </w:rPr>
  </w:style>
  <w:style w:type="paragraph" w:customStyle="1" w:styleId="166">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7">
    <w:name w:val="默认段落字体 Para Char Char Char Char Char Char Char"/>
    <w:basedOn w:val="1"/>
    <w:autoRedefine/>
    <w:qFormat/>
    <w:uiPriority w:val="99"/>
    <w:rPr>
      <w:rFonts w:eastAsia="仿宋_GB2312"/>
      <w:sz w:val="28"/>
      <w:szCs w:val="20"/>
    </w:rPr>
  </w:style>
  <w:style w:type="paragraph" w:customStyle="1" w:styleId="168">
    <w:name w:val="样式1"/>
    <w:basedOn w:val="1"/>
    <w:link w:val="468"/>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9">
    <w:name w:val="Char Char1 Char Char Char Char Char Char"/>
    <w:basedOn w:val="1"/>
    <w:autoRedefine/>
    <w:qFormat/>
    <w:uiPriority w:val="99"/>
    <w:rPr>
      <w:rFonts w:ascii="仿宋_GB2312" w:eastAsia="仿宋_GB2312"/>
      <w:b/>
      <w:sz w:val="32"/>
      <w:szCs w:val="20"/>
    </w:rPr>
  </w:style>
  <w:style w:type="paragraph" w:customStyle="1" w:styleId="170">
    <w:name w:val="Char Char1 Char Char Char1"/>
    <w:basedOn w:val="1"/>
    <w:autoRedefine/>
    <w:qFormat/>
    <w:uiPriority w:val="99"/>
    <w:rPr>
      <w:rFonts w:ascii="仿宋_GB2312" w:eastAsia="仿宋_GB2312"/>
      <w:b/>
      <w:sz w:val="32"/>
      <w:szCs w:val="20"/>
    </w:rPr>
  </w:style>
  <w:style w:type="paragraph" w:customStyle="1" w:styleId="171">
    <w:name w:val="Char Char Char Char Char Char Char Char"/>
    <w:basedOn w:val="1"/>
    <w:autoRedefine/>
    <w:qFormat/>
    <w:uiPriority w:val="99"/>
    <w:pPr>
      <w:tabs>
        <w:tab w:val="left" w:pos="360"/>
      </w:tabs>
    </w:pPr>
    <w:rPr>
      <w:sz w:val="24"/>
      <w:szCs w:val="20"/>
    </w:rPr>
  </w:style>
  <w:style w:type="paragraph" w:customStyle="1" w:styleId="172">
    <w:name w:val="4"/>
    <w:basedOn w:val="1"/>
    <w:next w:val="44"/>
    <w:autoRedefine/>
    <w:qFormat/>
    <w:uiPriority w:val="99"/>
    <w:pPr>
      <w:spacing w:after="120" w:line="480" w:lineRule="auto"/>
      <w:ind w:left="420" w:leftChars="200"/>
    </w:pPr>
    <w:rPr>
      <w:sz w:val="24"/>
      <w:szCs w:val="20"/>
    </w:rPr>
  </w:style>
  <w:style w:type="paragraph" w:customStyle="1" w:styleId="173">
    <w:name w:val="FA正文"/>
    <w:basedOn w:val="1"/>
    <w:link w:val="412"/>
    <w:autoRedefine/>
    <w:qFormat/>
    <w:uiPriority w:val="99"/>
    <w:pPr>
      <w:ind w:firstLine="480" w:firstLineChars="200"/>
    </w:pPr>
    <w:rPr>
      <w:rFonts w:hAnsi="宋体"/>
      <w:kern w:val="0"/>
      <w:sz w:val="24"/>
      <w:szCs w:val="20"/>
    </w:rPr>
  </w:style>
  <w:style w:type="paragraph" w:customStyle="1" w:styleId="174">
    <w:name w:val="0"/>
    <w:basedOn w:val="1"/>
    <w:autoRedefine/>
    <w:qFormat/>
    <w:uiPriority w:val="99"/>
    <w:pPr>
      <w:widowControl/>
    </w:pPr>
    <w:rPr>
      <w:kern w:val="0"/>
      <w:sz w:val="24"/>
      <w:szCs w:val="20"/>
    </w:rPr>
  </w:style>
  <w:style w:type="paragraph" w:customStyle="1" w:styleId="175">
    <w:name w:val="Char Char Char Char Char Char Char Char Char Char"/>
    <w:basedOn w:val="1"/>
    <w:autoRedefine/>
    <w:qFormat/>
    <w:uiPriority w:val="99"/>
    <w:rPr>
      <w:rFonts w:ascii="仿宋_GB2312" w:eastAsia="仿宋_GB2312"/>
      <w:b/>
      <w:sz w:val="32"/>
      <w:szCs w:val="32"/>
    </w:rPr>
  </w:style>
  <w:style w:type="paragraph" w:customStyle="1" w:styleId="176">
    <w:name w:val="样式 标题 3标题 3 Char第二层条h33Bold Headbh章标题1小标题level_3PIM 3..."/>
    <w:basedOn w:val="4"/>
    <w:autoRedefine/>
    <w:qFormat/>
    <w:uiPriority w:val="99"/>
    <w:pPr>
      <w:adjustRightInd w:val="0"/>
      <w:snapToGrid w:val="0"/>
      <w:spacing w:before="0" w:after="0" w:line="360" w:lineRule="auto"/>
    </w:pPr>
    <w:rPr>
      <w:rFonts w:ascii="黑体" w:hAnsi="宋体" w:eastAsia="黑体" w:cs="宋体"/>
      <w:b w:val="0"/>
      <w:bCs w:val="0"/>
      <w:color w:val="000000"/>
      <w:kern w:val="0"/>
      <w:sz w:val="28"/>
      <w:szCs w:val="20"/>
    </w:rPr>
  </w:style>
  <w:style w:type="paragraph" w:customStyle="1" w:styleId="177">
    <w:name w:val="样式 首行缩进:  2 字符"/>
    <w:basedOn w:val="1"/>
    <w:autoRedefine/>
    <w:qFormat/>
    <w:uiPriority w:val="99"/>
    <w:pPr>
      <w:snapToGrid w:val="0"/>
    </w:pPr>
    <w:rPr>
      <w:rFonts w:ascii="仿宋_GB2312" w:hAnsi="宋体" w:eastAsia="仿宋_GB2312" w:cs="宋体"/>
      <w:color w:val="000000"/>
      <w:kern w:val="0"/>
      <w:sz w:val="28"/>
      <w:szCs w:val="21"/>
    </w:rPr>
  </w:style>
  <w:style w:type="paragraph" w:customStyle="1" w:styleId="178">
    <w:name w:val="Char Char Char Char Char Char Char Char Char Char1"/>
    <w:basedOn w:val="1"/>
    <w:autoRedefine/>
    <w:qFormat/>
    <w:uiPriority w:val="99"/>
    <w:rPr>
      <w:rFonts w:ascii="仿宋_GB2312" w:eastAsia="仿宋_GB2312"/>
      <w:b/>
      <w:sz w:val="32"/>
      <w:szCs w:val="32"/>
    </w:rPr>
  </w:style>
  <w:style w:type="paragraph" w:customStyle="1" w:styleId="179">
    <w:name w:val="Char Char Char Char Char Char Char"/>
    <w:basedOn w:val="1"/>
    <w:autoRedefine/>
    <w:qFormat/>
    <w:uiPriority w:val="99"/>
    <w:rPr>
      <w:rFonts w:ascii="仿宋_GB2312" w:eastAsia="仿宋_GB2312"/>
      <w:b/>
      <w:sz w:val="32"/>
      <w:szCs w:val="32"/>
    </w:rPr>
  </w:style>
  <w:style w:type="paragraph" w:customStyle="1" w:styleId="180">
    <w:name w:val="默认段落字体 Para Char"/>
    <w:basedOn w:val="1"/>
    <w:autoRedefine/>
    <w:qFormat/>
    <w:uiPriority w:val="99"/>
    <w:rPr>
      <w:rFonts w:ascii="Tahoma" w:hAnsi="Tahoma"/>
      <w:sz w:val="24"/>
      <w:szCs w:val="20"/>
    </w:rPr>
  </w:style>
  <w:style w:type="paragraph" w:customStyle="1" w:styleId="181">
    <w:name w:val="Char Char"/>
    <w:basedOn w:val="1"/>
    <w:autoRedefine/>
    <w:qFormat/>
    <w:uiPriority w:val="99"/>
    <w:rPr>
      <w:rFonts w:ascii="Tahoma" w:hAnsi="Tahoma"/>
      <w:sz w:val="24"/>
      <w:szCs w:val="20"/>
    </w:rPr>
  </w:style>
  <w:style w:type="paragraph" w:customStyle="1" w:styleId="182">
    <w:name w:val="规范正文"/>
    <w:basedOn w:val="1"/>
    <w:autoRedefine/>
    <w:qFormat/>
    <w:uiPriority w:val="99"/>
    <w:pPr>
      <w:numPr>
        <w:ilvl w:val="0"/>
        <w:numId w:val="8"/>
      </w:numPr>
      <w:adjustRightInd w:val="0"/>
      <w:spacing w:beforeLines="50"/>
      <w:textAlignment w:val="baseline"/>
    </w:pPr>
    <w:rPr>
      <w:szCs w:val="20"/>
    </w:rPr>
  </w:style>
  <w:style w:type="paragraph" w:customStyle="1" w:styleId="183">
    <w:name w:val="样式"/>
    <w:basedOn w:val="1"/>
    <w:autoRedefine/>
    <w:qFormat/>
    <w:uiPriority w:val="99"/>
    <w:pPr>
      <w:autoSpaceDE w:val="0"/>
      <w:autoSpaceDN w:val="0"/>
      <w:snapToGrid w:val="0"/>
      <w:spacing w:before="120" w:after="120"/>
    </w:pPr>
    <w:rPr>
      <w:rFonts w:ascii="宋体"/>
      <w:sz w:val="24"/>
      <w:szCs w:val="20"/>
    </w:rPr>
  </w:style>
  <w:style w:type="paragraph" w:customStyle="1" w:styleId="184">
    <w:name w:val="Char Char Char Char Char Char Char Char Char Char Char Char1 Char"/>
    <w:basedOn w:val="1"/>
    <w:autoRedefine/>
    <w:qFormat/>
    <w:uiPriority w:val="99"/>
    <w:rPr>
      <w:rFonts w:ascii="Tahoma" w:hAnsi="Tahoma" w:cs="仿宋_GB2312"/>
      <w:sz w:val="24"/>
      <w:szCs w:val="20"/>
    </w:rPr>
  </w:style>
  <w:style w:type="paragraph" w:customStyle="1" w:styleId="185">
    <w:name w:val="彩色列表 - 强调文字颜色 11"/>
    <w:basedOn w:val="1"/>
    <w:autoRedefine/>
    <w:qFormat/>
    <w:uiPriority w:val="99"/>
    <w:pPr>
      <w:ind w:firstLine="200" w:firstLineChars="200"/>
    </w:pPr>
    <w:rPr>
      <w:rFonts w:eastAsia="楷体_GB2312" w:cs="Lucida Sans"/>
      <w:sz w:val="24"/>
    </w:rPr>
  </w:style>
  <w:style w:type="paragraph" w:customStyle="1" w:styleId="186">
    <w:name w:val="Char Char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187">
    <w:name w:val="正文段"/>
    <w:basedOn w:val="1"/>
    <w:autoRedefine/>
    <w:qFormat/>
    <w:uiPriority w:val="99"/>
    <w:pPr>
      <w:widowControl/>
      <w:snapToGrid w:val="0"/>
      <w:spacing w:afterLines="50"/>
      <w:ind w:firstLine="200" w:firstLineChars="200"/>
    </w:pPr>
    <w:rPr>
      <w:kern w:val="0"/>
      <w:sz w:val="24"/>
      <w:szCs w:val="20"/>
    </w:rPr>
  </w:style>
  <w:style w:type="paragraph" w:customStyle="1" w:styleId="188">
    <w:name w:val="Char1 Char Char Char1"/>
    <w:basedOn w:val="1"/>
    <w:autoRedefine/>
    <w:qFormat/>
    <w:uiPriority w:val="99"/>
    <w:rPr>
      <w:rFonts w:ascii="Tahoma" w:hAnsi="Tahoma"/>
      <w:sz w:val="24"/>
      <w:szCs w:val="20"/>
    </w:rPr>
  </w:style>
  <w:style w:type="paragraph" w:customStyle="1" w:styleId="189">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190">
    <w:name w:val="前言、引言标题"/>
    <w:next w:val="1"/>
    <w:autoRedefine/>
    <w:qFormat/>
    <w:uiPriority w:val="99"/>
    <w:pPr>
      <w:numPr>
        <w:ilvl w:val="0"/>
        <w:numId w:val="9"/>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1">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2">
    <w:name w:val="章标题"/>
    <w:next w:val="191"/>
    <w:autoRedefine/>
    <w:qFormat/>
    <w:uiPriority w:val="99"/>
    <w:pPr>
      <w:numPr>
        <w:ilvl w:val="1"/>
        <w:numId w:val="9"/>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3">
    <w:name w:val="一级条标题"/>
    <w:basedOn w:val="192"/>
    <w:next w:val="191"/>
    <w:autoRedefine/>
    <w:qFormat/>
    <w:uiPriority w:val="99"/>
    <w:pPr>
      <w:numPr>
        <w:ilvl w:val="2"/>
        <w:numId w:val="0"/>
      </w:numPr>
      <w:outlineLvl w:val="2"/>
    </w:pPr>
  </w:style>
  <w:style w:type="paragraph" w:customStyle="1" w:styleId="194">
    <w:name w:val="二级条标题"/>
    <w:basedOn w:val="193"/>
    <w:next w:val="191"/>
    <w:autoRedefine/>
    <w:qFormat/>
    <w:uiPriority w:val="99"/>
    <w:pPr>
      <w:numPr>
        <w:ilvl w:val="3"/>
      </w:numPr>
      <w:outlineLvl w:val="3"/>
    </w:pPr>
  </w:style>
  <w:style w:type="paragraph" w:customStyle="1" w:styleId="195">
    <w:name w:val="三级条标题"/>
    <w:basedOn w:val="194"/>
    <w:next w:val="191"/>
    <w:autoRedefine/>
    <w:qFormat/>
    <w:uiPriority w:val="99"/>
    <w:pPr>
      <w:numPr>
        <w:ilvl w:val="4"/>
      </w:numPr>
      <w:outlineLvl w:val="4"/>
    </w:pPr>
  </w:style>
  <w:style w:type="paragraph" w:customStyle="1" w:styleId="196">
    <w:name w:val="四级条标题"/>
    <w:basedOn w:val="195"/>
    <w:next w:val="191"/>
    <w:autoRedefine/>
    <w:qFormat/>
    <w:uiPriority w:val="99"/>
    <w:pPr>
      <w:numPr>
        <w:ilvl w:val="5"/>
      </w:numPr>
      <w:outlineLvl w:val="5"/>
    </w:pPr>
  </w:style>
  <w:style w:type="paragraph" w:customStyle="1" w:styleId="197">
    <w:name w:val="五级条标题"/>
    <w:basedOn w:val="196"/>
    <w:next w:val="191"/>
    <w:autoRedefine/>
    <w:qFormat/>
    <w:uiPriority w:val="99"/>
    <w:pPr>
      <w:numPr>
        <w:ilvl w:val="6"/>
      </w:numPr>
      <w:outlineLvl w:val="6"/>
    </w:pPr>
  </w:style>
  <w:style w:type="paragraph" w:customStyle="1" w:styleId="198">
    <w:name w:val="正文表标题"/>
    <w:next w:val="191"/>
    <w:autoRedefine/>
    <w:qFormat/>
    <w:uiPriority w:val="99"/>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9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00">
    <w:name w:val="标准小四"/>
    <w:basedOn w:val="1"/>
    <w:autoRedefine/>
    <w:qFormat/>
    <w:uiPriority w:val="99"/>
    <w:pPr>
      <w:ind w:firstLine="480" w:firstLineChars="200"/>
    </w:pPr>
    <w:rPr>
      <w:rFonts w:ascii="Arial" w:hAnsi="Arial"/>
      <w:sz w:val="24"/>
      <w:szCs w:val="21"/>
    </w:rPr>
  </w:style>
  <w:style w:type="paragraph" w:customStyle="1" w:styleId="201">
    <w:name w:val="样式 样式 正文文本缩进 + 仿宋_GB2312 小四 首行缩进:  0 厘米 行距: 1.5 倍行距 + (中文) 仿宋_GB... Char Char"/>
    <w:basedOn w:val="1"/>
    <w:autoRedefine/>
    <w:qFormat/>
    <w:uiPriority w:val="99"/>
    <w:pPr>
      <w:ind w:firstLine="480" w:firstLineChars="200"/>
    </w:pPr>
    <w:rPr>
      <w:rFonts w:ascii="仿宋_GB2312" w:eastAsia="新宋体"/>
      <w:sz w:val="24"/>
      <w:szCs w:val="20"/>
    </w:rPr>
  </w:style>
  <w:style w:type="paragraph" w:customStyle="1" w:styleId="202">
    <w:name w:val="文档正文"/>
    <w:basedOn w:val="1"/>
    <w:autoRedefine/>
    <w:qFormat/>
    <w:uiPriority w:val="99"/>
    <w:pPr>
      <w:adjustRightInd w:val="0"/>
      <w:spacing w:line="480" w:lineRule="atLeast"/>
      <w:ind w:firstLine="567"/>
      <w:textAlignment w:val="baseline"/>
    </w:pPr>
    <w:rPr>
      <w:kern w:val="0"/>
      <w:sz w:val="24"/>
      <w:szCs w:val="20"/>
    </w:rPr>
  </w:style>
  <w:style w:type="paragraph" w:customStyle="1" w:styleId="203">
    <w:name w:val="Char Char1 Char Char1 Char Char1"/>
    <w:basedOn w:val="1"/>
    <w:autoRedefine/>
    <w:qFormat/>
    <w:uiPriority w:val="99"/>
    <w:pPr>
      <w:tabs>
        <w:tab w:val="left" w:pos="840"/>
      </w:tabs>
      <w:ind w:left="840" w:hanging="420"/>
    </w:pPr>
    <w:rPr>
      <w:rFonts w:ascii="Tahoma" w:hAnsi="Tahoma"/>
      <w:sz w:val="24"/>
    </w:rPr>
  </w:style>
  <w:style w:type="paragraph" w:customStyle="1" w:styleId="204">
    <w:name w:val="±í????Ñ"/>
    <w:basedOn w:val="1"/>
    <w:autoRedefine/>
    <w:qFormat/>
    <w:uiPriority w:val="99"/>
    <w:pPr>
      <w:widowControl/>
      <w:numPr>
        <w:ilvl w:val="0"/>
        <w:numId w:val="11"/>
      </w:numPr>
      <w:overflowPunct w:val="0"/>
      <w:autoSpaceDE w:val="0"/>
      <w:autoSpaceDN w:val="0"/>
      <w:adjustRightInd w:val="0"/>
      <w:ind w:left="0" w:firstLine="0"/>
      <w:jc w:val="left"/>
      <w:textAlignment w:val="baseline"/>
    </w:pPr>
    <w:rPr>
      <w:rFonts w:ascii="Arial Narrow" w:hAnsi="Arial Narrow"/>
      <w:kern w:val="0"/>
      <w:sz w:val="18"/>
      <w:szCs w:val="20"/>
    </w:rPr>
  </w:style>
  <w:style w:type="paragraph" w:customStyle="1" w:styleId="205">
    <w:name w:val="数字标题1"/>
    <w:basedOn w:val="2"/>
    <w:next w:val="1"/>
    <w:autoRedefine/>
    <w:qFormat/>
    <w:uiPriority w:val="99"/>
    <w:pPr>
      <w:numPr>
        <w:ilvl w:val="0"/>
        <w:numId w:val="0"/>
      </w:numPr>
      <w:tabs>
        <w:tab w:val="clear" w:pos="432"/>
      </w:tabs>
      <w:ind w:left="480" w:hanging="480"/>
    </w:pPr>
  </w:style>
  <w:style w:type="paragraph" w:customStyle="1" w:styleId="206">
    <w:name w:val="数字标题2"/>
    <w:basedOn w:val="3"/>
    <w:next w:val="1"/>
    <w:autoRedefine/>
    <w:qFormat/>
    <w:uiPriority w:val="99"/>
    <w:pPr>
      <w:numPr>
        <w:ilvl w:val="1"/>
        <w:numId w:val="12"/>
      </w:numPr>
      <w:spacing w:before="260" w:after="260" w:line="416" w:lineRule="auto"/>
    </w:pPr>
    <w:rPr>
      <w:rFonts w:ascii="Times New Roman"/>
      <w:i/>
      <w:sz w:val="36"/>
      <w:szCs w:val="36"/>
      <w:lang w:val="en-US"/>
    </w:rPr>
  </w:style>
  <w:style w:type="paragraph" w:customStyle="1" w:styleId="207">
    <w:name w:val="数字标题3"/>
    <w:basedOn w:val="4"/>
    <w:next w:val="1"/>
    <w:autoRedefine/>
    <w:qFormat/>
    <w:uiPriority w:val="99"/>
    <w:pPr>
      <w:spacing w:line="240" w:lineRule="auto"/>
    </w:pPr>
    <w:rPr>
      <w:sz w:val="28"/>
      <w:szCs w:val="28"/>
    </w:rPr>
  </w:style>
  <w:style w:type="paragraph" w:customStyle="1" w:styleId="208">
    <w:name w:val="数字标题4"/>
    <w:basedOn w:val="5"/>
    <w:autoRedefine/>
    <w:qFormat/>
    <w:uiPriority w:val="99"/>
    <w:pPr>
      <w:numPr>
        <w:ilvl w:val="3"/>
        <w:numId w:val="0"/>
      </w:numPr>
      <w:tabs>
        <w:tab w:val="left" w:pos="0"/>
      </w:tabs>
      <w:spacing w:before="0" w:after="0" w:line="360" w:lineRule="auto"/>
      <w:ind w:left="1"/>
    </w:pPr>
    <w:rPr>
      <w:rFonts w:eastAsia="仿宋_GB2312" w:cs="Arial"/>
      <w:b/>
      <w:bCs w:val="0"/>
      <w:color w:val="000000"/>
      <w:kern w:val="0"/>
      <w:sz w:val="24"/>
      <w:szCs w:val="24"/>
      <w:lang w:val="en-US"/>
    </w:rPr>
  </w:style>
  <w:style w:type="paragraph" w:customStyle="1" w:styleId="209">
    <w:name w:val="数字标题5"/>
    <w:basedOn w:val="6"/>
    <w:next w:val="1"/>
    <w:autoRedefine/>
    <w:qFormat/>
    <w:uiPriority w:val="99"/>
    <w:pPr>
      <w:numPr>
        <w:ilvl w:val="0"/>
        <w:numId w:val="0"/>
      </w:numPr>
      <w:tabs>
        <w:tab w:val="clear" w:pos="432"/>
        <w:tab w:val="clear" w:pos="1008"/>
      </w:tabs>
      <w:ind w:left="480" w:hanging="480"/>
    </w:pPr>
  </w:style>
  <w:style w:type="paragraph" w:customStyle="1" w:styleId="210">
    <w:name w:val="数字标题6"/>
    <w:basedOn w:val="7"/>
    <w:next w:val="1"/>
    <w:autoRedefine/>
    <w:qFormat/>
    <w:uiPriority w:val="99"/>
    <w:pPr>
      <w:numPr>
        <w:ilvl w:val="0"/>
        <w:numId w:val="12"/>
      </w:numPr>
      <w:tabs>
        <w:tab w:val="clear" w:pos="432"/>
        <w:tab w:val="clear" w:pos="1152"/>
      </w:tabs>
    </w:pPr>
    <w:rPr>
      <w:rFonts w:ascii="Times New Roman" w:hAnsi="Times New Roman" w:eastAsia="宋体"/>
      <w:i/>
    </w:rPr>
  </w:style>
  <w:style w:type="paragraph" w:customStyle="1" w:styleId="211">
    <w:name w:val="默认段落样式"/>
    <w:basedOn w:val="138"/>
    <w:autoRedefine/>
    <w:qFormat/>
    <w:uiPriority w:val="99"/>
    <w:pPr>
      <w:spacing w:before="0"/>
      <w:ind w:firstLine="480"/>
      <w:outlineLvl w:val="2"/>
    </w:pPr>
    <w:rPr>
      <w:rFonts w:ascii="仿宋_GB2312" w:hAnsi="宋体" w:eastAsia="仿宋_GB2312"/>
      <w:color w:val="000000"/>
      <w:szCs w:val="24"/>
    </w:rPr>
  </w:style>
  <w:style w:type="paragraph" w:customStyle="1" w:styleId="212">
    <w:name w:val="样式 标题 3H3 + 两端对齐"/>
    <w:basedOn w:val="4"/>
    <w:autoRedefine/>
    <w:qFormat/>
    <w:uiPriority w:val="99"/>
    <w:pPr>
      <w:spacing w:before="0" w:after="0" w:line="240" w:lineRule="auto"/>
      <w:jc w:val="left"/>
    </w:pPr>
    <w:rPr>
      <w:rFonts w:cs="宋体"/>
      <w:sz w:val="21"/>
      <w:szCs w:val="20"/>
    </w:rPr>
  </w:style>
  <w:style w:type="paragraph" w:customStyle="1" w:styleId="213">
    <w:name w:val="表格"/>
    <w:basedOn w:val="1"/>
    <w:link w:val="429"/>
    <w:autoRedefine/>
    <w:qFormat/>
    <w:uiPriority w:val="99"/>
    <w:pPr>
      <w:snapToGrid w:val="0"/>
      <w:ind w:firstLine="42" w:firstLineChars="21"/>
    </w:pPr>
    <w:rPr>
      <w:rFonts w:ascii="宋体" w:hAnsi="宋体"/>
      <w:kern w:val="0"/>
      <w:sz w:val="20"/>
      <w:szCs w:val="20"/>
    </w:rPr>
  </w:style>
  <w:style w:type="paragraph" w:customStyle="1" w:styleId="214">
    <w:name w:val="列表内容"/>
    <w:basedOn w:val="1"/>
    <w:next w:val="1"/>
    <w:autoRedefine/>
    <w:qFormat/>
    <w:uiPriority w:val="99"/>
    <w:pPr>
      <w:widowControl/>
      <w:tabs>
        <w:tab w:val="left" w:pos="840"/>
      </w:tabs>
      <w:ind w:left="840" w:hanging="420"/>
      <w:jc w:val="left"/>
    </w:pPr>
    <w:rPr>
      <w:kern w:val="0"/>
      <w:sz w:val="18"/>
    </w:rPr>
  </w:style>
  <w:style w:type="paragraph" w:customStyle="1" w:styleId="215">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6">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217">
    <w:name w:val="表文字"/>
    <w:autoRedefine/>
    <w:qFormat/>
    <w:uiPriority w:val="99"/>
    <w:rPr>
      <w:rFonts w:ascii="宋体" w:hAnsi="Times New Roman" w:eastAsia="宋体" w:cs="Times New Roman"/>
      <w:kern w:val="2"/>
      <w:sz w:val="20"/>
      <w:szCs w:val="20"/>
      <w:lang w:val="en-US" w:eastAsia="zh-CN" w:bidi="ar-SA"/>
    </w:rPr>
  </w:style>
  <w:style w:type="paragraph" w:customStyle="1" w:styleId="218">
    <w:name w:val="Char Char Char"/>
    <w:basedOn w:val="1"/>
    <w:autoRedefine/>
    <w:qFormat/>
    <w:uiPriority w:val="99"/>
    <w:rPr>
      <w:rFonts w:ascii="Tahoma" w:hAnsi="Tahoma"/>
      <w:sz w:val="24"/>
      <w:szCs w:val="20"/>
    </w:rPr>
  </w:style>
  <w:style w:type="paragraph" w:customStyle="1" w:styleId="219">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0">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21">
    <w:name w:val="样式 仿宋_GB2312 小三 左侧:  1.06 厘米"/>
    <w:basedOn w:val="1"/>
    <w:autoRedefine/>
    <w:qFormat/>
    <w:uiPriority w:val="99"/>
    <w:pPr>
      <w:ind w:left="601"/>
    </w:pPr>
    <w:rPr>
      <w:rFonts w:ascii="仿宋_GB2312" w:eastAsia="仿宋_GB2312"/>
      <w:sz w:val="24"/>
      <w:szCs w:val="20"/>
    </w:rPr>
  </w:style>
  <w:style w:type="paragraph" w:customStyle="1" w:styleId="222">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223">
    <w:name w:val="方案正文"/>
    <w:basedOn w:val="1"/>
    <w:autoRedefine/>
    <w:qFormat/>
    <w:uiPriority w:val="99"/>
    <w:pPr>
      <w:adjustRightInd w:val="0"/>
      <w:snapToGrid w:val="0"/>
      <w:spacing w:line="324" w:lineRule="auto"/>
      <w:ind w:firstLine="482" w:firstLineChars="200"/>
    </w:pPr>
    <w:rPr>
      <w:rFonts w:ascii="仿宋_GB2312" w:eastAsia="仿宋_GB2312"/>
      <w:b/>
      <w:color w:val="000000"/>
      <w:sz w:val="24"/>
      <w:szCs w:val="20"/>
    </w:rPr>
  </w:style>
  <w:style w:type="paragraph" w:customStyle="1" w:styleId="224">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225">
    <w:name w:val="彩色底纹 - 强调文字颜色 11"/>
    <w:autoRedefine/>
    <w:qFormat/>
    <w:uiPriority w:val="99"/>
    <w:rPr>
      <w:rFonts w:ascii="Times New Roman" w:hAnsi="Times New Roman" w:eastAsia="宋体" w:cs="Times New Roman"/>
      <w:kern w:val="2"/>
      <w:sz w:val="21"/>
      <w:szCs w:val="20"/>
      <w:lang w:val="en-US" w:eastAsia="zh-CN" w:bidi="ar-SA"/>
    </w:rPr>
  </w:style>
  <w:style w:type="paragraph" w:customStyle="1" w:styleId="226">
    <w:name w:val="标准有序列表（L1）"/>
    <w:basedOn w:val="16"/>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27">
    <w:name w:val="首行缩进"/>
    <w:basedOn w:val="1"/>
    <w:autoRedefine/>
    <w:qFormat/>
    <w:uiPriority w:val="99"/>
    <w:pPr>
      <w:ind w:firstLine="480" w:firstLineChars="200"/>
    </w:pPr>
    <w:rPr>
      <w:rFonts w:ascii="宋体"/>
      <w:sz w:val="24"/>
      <w:szCs w:val="20"/>
    </w:rPr>
  </w:style>
  <w:style w:type="paragraph" w:customStyle="1" w:styleId="228">
    <w:name w:val="Char3"/>
    <w:basedOn w:val="1"/>
    <w:autoRedefine/>
    <w:qFormat/>
    <w:uiPriority w:val="99"/>
    <w:rPr>
      <w:rFonts w:ascii="仿宋_GB2312" w:eastAsia="仿宋_GB2312"/>
      <w:b/>
      <w:sz w:val="32"/>
      <w:szCs w:val="32"/>
    </w:rPr>
  </w:style>
  <w:style w:type="paragraph" w:customStyle="1" w:styleId="229">
    <w:name w:val="标准正文格式"/>
    <w:basedOn w:val="1"/>
    <w:link w:val="433"/>
    <w:autoRedefine/>
    <w:qFormat/>
    <w:uiPriority w:val="99"/>
    <w:pPr>
      <w:widowControl/>
      <w:adjustRightInd w:val="0"/>
      <w:spacing w:before="60" w:after="120"/>
      <w:ind w:firstLine="200" w:firstLineChars="200"/>
      <w:textAlignment w:val="baseline"/>
    </w:pPr>
    <w:rPr>
      <w:rFonts w:ascii="宋体" w:eastAsia="仿宋_GB2312"/>
      <w:color w:val="000000"/>
      <w:kern w:val="0"/>
      <w:sz w:val="24"/>
      <w:szCs w:val="20"/>
    </w:rPr>
  </w:style>
  <w:style w:type="paragraph" w:customStyle="1" w:styleId="230">
    <w:name w:val="正文 首行缩进:  2 字符 Char"/>
    <w:basedOn w:val="1"/>
    <w:autoRedefine/>
    <w:qFormat/>
    <w:uiPriority w:val="99"/>
    <w:pPr>
      <w:ind w:firstLine="480"/>
    </w:pPr>
    <w:rPr>
      <w:rFonts w:cs="宋体"/>
      <w:sz w:val="24"/>
      <w:szCs w:val="20"/>
    </w:rPr>
  </w:style>
  <w:style w:type="paragraph" w:customStyle="1" w:styleId="231">
    <w:name w:val="Char3 Char Char"/>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232">
    <w:name w:val="无间距"/>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3">
    <w:name w:val="Char Char Char Char Char Char Char1"/>
    <w:basedOn w:val="1"/>
    <w:autoRedefine/>
    <w:qFormat/>
    <w:uiPriority w:val="99"/>
    <w:pPr>
      <w:tabs>
        <w:tab w:val="left" w:pos="432"/>
      </w:tabs>
      <w:ind w:left="432" w:hanging="432"/>
    </w:pPr>
    <w:rPr>
      <w:rFonts w:ascii="仿宋_GB2312" w:eastAsia="仿宋_GB2312"/>
      <w:kern w:val="0"/>
      <w:sz w:val="24"/>
      <w:lang w:val="zh-CN"/>
    </w:rPr>
  </w:style>
  <w:style w:type="paragraph" w:customStyle="1" w:styleId="234">
    <w:name w:val="单元格左对齐"/>
    <w:basedOn w:val="1"/>
    <w:autoRedefine/>
    <w:qFormat/>
    <w:uiPriority w:val="99"/>
    <w:rPr>
      <w:sz w:val="24"/>
    </w:rPr>
  </w:style>
  <w:style w:type="paragraph" w:customStyle="1" w:styleId="235">
    <w:name w:val="单元格居中"/>
    <w:basedOn w:val="1"/>
    <w:autoRedefine/>
    <w:qFormat/>
    <w:uiPriority w:val="99"/>
    <w:pPr>
      <w:jc w:val="center"/>
    </w:pPr>
    <w:rPr>
      <w:sz w:val="24"/>
    </w:rPr>
  </w:style>
  <w:style w:type="paragraph" w:customStyle="1" w:styleId="236">
    <w:name w:val="正文1"/>
    <w:basedOn w:val="1"/>
    <w:link w:val="435"/>
    <w:autoRedefine/>
    <w:qFormat/>
    <w:uiPriority w:val="99"/>
    <w:pPr>
      <w:widowControl/>
      <w:ind w:left="360" w:firstLine="420"/>
      <w:jc w:val="left"/>
    </w:pPr>
    <w:rPr>
      <w:rFonts w:ascii="宋体" w:hAnsi="宋体"/>
      <w:kern w:val="0"/>
      <w:sz w:val="20"/>
      <w:szCs w:val="20"/>
    </w:rPr>
  </w:style>
  <w:style w:type="paragraph" w:customStyle="1" w:styleId="237">
    <w:name w:val="Char Char Char1"/>
    <w:basedOn w:val="1"/>
    <w:autoRedefine/>
    <w:qFormat/>
    <w:uiPriority w:val="99"/>
    <w:pPr>
      <w:tabs>
        <w:tab w:val="left" w:pos="0"/>
      </w:tabs>
    </w:pPr>
    <w:rPr>
      <w:rFonts w:eastAsia="仿宋_GB2312"/>
      <w:sz w:val="28"/>
    </w:rPr>
  </w:style>
  <w:style w:type="paragraph" w:customStyle="1" w:styleId="238">
    <w:name w:val="样式 左侧:  0.85 厘米 首行缩进:  0.85 厘米"/>
    <w:basedOn w:val="1"/>
    <w:autoRedefine/>
    <w:qFormat/>
    <w:uiPriority w:val="99"/>
    <w:pPr>
      <w:ind w:firstLine="482"/>
    </w:pPr>
    <w:rPr>
      <w:rFonts w:cs="宋体"/>
      <w:sz w:val="24"/>
      <w:szCs w:val="20"/>
    </w:rPr>
  </w:style>
  <w:style w:type="paragraph" w:customStyle="1" w:styleId="239">
    <w:name w:val="小标题"/>
    <w:basedOn w:val="1"/>
    <w:autoRedefine/>
    <w:qFormat/>
    <w:uiPriority w:val="99"/>
    <w:pPr>
      <w:adjustRightInd w:val="0"/>
      <w:spacing w:before="120" w:line="360" w:lineRule="atLeast"/>
      <w:ind w:left="1134"/>
      <w:jc w:val="left"/>
      <w:textAlignment w:val="baseline"/>
    </w:pPr>
    <w:rPr>
      <w:rFonts w:eastAsia="黑体"/>
      <w:kern w:val="0"/>
      <w:szCs w:val="20"/>
    </w:rPr>
  </w:style>
  <w:style w:type="paragraph" w:customStyle="1" w:styleId="240">
    <w:name w:val="正文样式 首行缩进:  0.74 厘米"/>
    <w:basedOn w:val="1"/>
    <w:autoRedefine/>
    <w:qFormat/>
    <w:uiPriority w:val="99"/>
    <w:pPr>
      <w:spacing w:beforeLines="50"/>
      <w:ind w:firstLine="420"/>
    </w:pPr>
    <w:rPr>
      <w:rFonts w:cs="宋体"/>
      <w:sz w:val="24"/>
      <w:szCs w:val="20"/>
    </w:rPr>
  </w:style>
  <w:style w:type="paragraph" w:customStyle="1" w:styleId="241">
    <w:name w:val="标题五"/>
    <w:basedOn w:val="1"/>
    <w:autoRedefine/>
    <w:qFormat/>
    <w:uiPriority w:val="99"/>
    <w:pPr>
      <w:spacing w:beforeLines="50"/>
    </w:pPr>
    <w:rPr>
      <w:b/>
      <w:sz w:val="24"/>
    </w:rPr>
  </w:style>
  <w:style w:type="paragraph" w:customStyle="1" w:styleId="242">
    <w:name w:val="正文（首行缩进）"/>
    <w:basedOn w:val="29"/>
    <w:autoRedefine/>
    <w:qFormat/>
    <w:uiPriority w:val="99"/>
    <w:pPr>
      <w:widowControl/>
      <w:numPr>
        <w:ilvl w:val="0"/>
        <w:numId w:val="13"/>
      </w:numPr>
      <w:overflowPunct w:val="0"/>
      <w:autoSpaceDE w:val="0"/>
      <w:autoSpaceDN w:val="0"/>
      <w:adjustRightInd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243">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4">
    <w:name w:val="此正文"/>
    <w:basedOn w:val="1"/>
    <w:autoRedefine/>
    <w:qFormat/>
    <w:uiPriority w:val="99"/>
    <w:pPr>
      <w:ind w:firstLine="200" w:firstLineChars="200"/>
    </w:pPr>
    <w:rPr>
      <w:sz w:val="24"/>
    </w:rPr>
  </w:style>
  <w:style w:type="paragraph" w:customStyle="1" w:styleId="245">
    <w:name w:val="ÕýÎÄÊ¡ÁÐÐËõ½ø"/>
    <w:basedOn w:val="1"/>
    <w:autoRedefine/>
    <w:qFormat/>
    <w:uiPriority w:val="99"/>
    <w:pPr>
      <w:widowControl/>
      <w:overflowPunct w:val="0"/>
      <w:autoSpaceDE w:val="0"/>
      <w:autoSpaceDN w:val="0"/>
      <w:adjustRightInd w:val="0"/>
      <w:ind w:left="1134"/>
      <w:textAlignment w:val="baseline"/>
    </w:pPr>
    <w:rPr>
      <w:kern w:val="0"/>
      <w:szCs w:val="20"/>
    </w:rPr>
  </w:style>
  <w:style w:type="paragraph" w:customStyle="1" w:styleId="246">
    <w:name w:val="正文－恩普"/>
    <w:basedOn w:val="16"/>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247">
    <w:name w:val="规划正文"/>
    <w:basedOn w:val="1"/>
    <w:autoRedefine/>
    <w:qFormat/>
    <w:uiPriority w:val="99"/>
    <w:pPr>
      <w:spacing w:beforeLines="100"/>
      <w:jc w:val="left"/>
    </w:pPr>
    <w:rPr>
      <w:rFonts w:ascii="Arial" w:hAnsi="Arial" w:eastAsia="仿宋_GB2312"/>
      <w:bCs/>
      <w:sz w:val="28"/>
    </w:rPr>
  </w:style>
  <w:style w:type="paragraph" w:customStyle="1" w:styleId="248">
    <w:name w:val="MM Title"/>
    <w:basedOn w:val="73"/>
    <w:autoRedefine/>
    <w:qFormat/>
    <w:uiPriority w:val="99"/>
    <w:pPr>
      <w:widowControl w:val="0"/>
      <w:adjustRightInd/>
      <w:spacing w:before="240" w:after="60"/>
      <w:textAlignment w:val="auto"/>
      <w:outlineLvl w:val="0"/>
    </w:pPr>
    <w:rPr>
      <w:rFonts w:ascii="Arial" w:hAnsi="Arial" w:cs="Arial"/>
      <w:bCs/>
      <w:kern w:val="2"/>
      <w:sz w:val="32"/>
      <w:szCs w:val="32"/>
    </w:rPr>
  </w:style>
  <w:style w:type="paragraph" w:customStyle="1" w:styleId="249">
    <w:name w:val="MM Topic 1"/>
    <w:basedOn w:val="2"/>
    <w:autoRedefine/>
    <w:qFormat/>
    <w:uiPriority w:val="99"/>
    <w:pPr>
      <w:numPr>
        <w:numId w:val="0"/>
      </w:numPr>
    </w:pPr>
  </w:style>
  <w:style w:type="paragraph" w:customStyle="1" w:styleId="250">
    <w:name w:val="MM Topic 2"/>
    <w:basedOn w:val="3"/>
    <w:autoRedefine/>
    <w:qFormat/>
    <w:uiPriority w:val="99"/>
    <w:pPr>
      <w:numPr>
        <w:ilvl w:val="1"/>
        <w:numId w:val="14"/>
      </w:numPr>
      <w:spacing w:before="260" w:after="260" w:line="416" w:lineRule="auto"/>
      <w:ind w:left="0" w:firstLine="0"/>
    </w:pPr>
    <w:rPr>
      <w:rFonts w:ascii="Arial" w:hAnsi="Arial" w:eastAsia="黑体"/>
      <w:sz w:val="32"/>
      <w:szCs w:val="32"/>
      <w:lang w:val="en-US"/>
    </w:rPr>
  </w:style>
  <w:style w:type="paragraph" w:customStyle="1" w:styleId="251">
    <w:name w:val="MM Topic 3"/>
    <w:basedOn w:val="4"/>
    <w:autoRedefine/>
    <w:qFormat/>
    <w:uiPriority w:val="99"/>
  </w:style>
  <w:style w:type="paragraph" w:customStyle="1" w:styleId="252">
    <w:name w:val="MM Topic 4"/>
    <w:basedOn w:val="5"/>
    <w:autoRedefine/>
    <w:qFormat/>
    <w:uiPriority w:val="99"/>
    <w:pPr>
      <w:numPr>
        <w:numId w:val="0"/>
      </w:numPr>
      <w:tabs>
        <w:tab w:val="clear" w:pos="432"/>
      </w:tabs>
    </w:pPr>
    <w:rPr>
      <w:lang w:val="en-US"/>
    </w:rPr>
  </w:style>
  <w:style w:type="paragraph" w:customStyle="1" w:styleId="253">
    <w:name w:val="MM Topic 5"/>
    <w:basedOn w:val="6"/>
    <w:autoRedefine/>
    <w:qFormat/>
    <w:uiPriority w:val="99"/>
    <w:pPr>
      <w:numPr>
        <w:ilvl w:val="0"/>
        <w:numId w:val="14"/>
      </w:numPr>
      <w:tabs>
        <w:tab w:val="left" w:pos="900"/>
        <w:tab w:val="clear" w:pos="432"/>
      </w:tabs>
      <w:ind w:left="0" w:firstLine="0"/>
    </w:pPr>
  </w:style>
  <w:style w:type="paragraph" w:customStyle="1" w:styleId="254">
    <w:name w:val="MM Empty"/>
    <w:basedOn w:val="1"/>
    <w:autoRedefine/>
    <w:qFormat/>
    <w:uiPriority w:val="99"/>
  </w:style>
  <w:style w:type="paragraph" w:customStyle="1" w:styleId="255">
    <w:name w:val="标准正文"/>
    <w:basedOn w:val="1"/>
    <w:link w:val="466"/>
    <w:autoRedefine/>
    <w:qFormat/>
    <w:uiPriority w:val="99"/>
    <w:pPr>
      <w:spacing w:before="60" w:after="60"/>
      <w:ind w:firstLine="482" w:firstLineChars="200"/>
    </w:pPr>
    <w:rPr>
      <w:rFonts w:ascii="Arial" w:hAnsi="Arial"/>
      <w:b/>
      <w:kern w:val="0"/>
      <w:sz w:val="24"/>
      <w:szCs w:val="20"/>
    </w:rPr>
  </w:style>
  <w:style w:type="paragraph" w:customStyle="1" w:styleId="256">
    <w:name w:val="注释"/>
    <w:basedOn w:val="1"/>
    <w:autoRedefine/>
    <w:qFormat/>
    <w:uiPriority w:val="99"/>
    <w:pPr>
      <w:ind w:firstLine="480"/>
    </w:pPr>
    <w:rPr>
      <w:sz w:val="24"/>
    </w:rPr>
  </w:style>
  <w:style w:type="paragraph" w:customStyle="1" w:styleId="257">
    <w:name w:val="xl30"/>
    <w:basedOn w:val="1"/>
    <w:autoRedefine/>
    <w:qFormat/>
    <w:uiPriority w:val="99"/>
    <w:pPr>
      <w:widowControl/>
      <w:pBdr>
        <w:left w:val="single" w:color="auto" w:sz="4" w:space="0"/>
        <w:right w:val="single" w:color="auto" w:sz="4" w:space="0"/>
      </w:pBdr>
      <w:spacing w:before="100" w:beforeAutospacing="1" w:after="100" w:afterAutospacing="1"/>
      <w:jc w:val="center"/>
    </w:pPr>
    <w:rPr>
      <w:kern w:val="0"/>
      <w:szCs w:val="21"/>
    </w:rPr>
  </w:style>
  <w:style w:type="paragraph" w:customStyle="1" w:styleId="258">
    <w:name w:val="Char2 Char Char Char1"/>
    <w:basedOn w:val="1"/>
    <w:autoRedefine/>
    <w:qFormat/>
    <w:uiPriority w:val="99"/>
    <w:rPr>
      <w:rFonts w:ascii="仿宋_GB2312" w:eastAsia="仿宋_GB2312"/>
      <w:b/>
      <w:sz w:val="32"/>
      <w:szCs w:val="32"/>
    </w:rPr>
  </w:style>
  <w:style w:type="paragraph" w:customStyle="1" w:styleId="259">
    <w:name w:val="列出段落1"/>
    <w:basedOn w:val="1"/>
    <w:link w:val="678"/>
    <w:autoRedefine/>
    <w:qFormat/>
    <w:uiPriority w:val="99"/>
    <w:pPr>
      <w:ind w:firstLine="420" w:firstLineChars="200"/>
    </w:pPr>
  </w:style>
  <w:style w:type="paragraph" w:customStyle="1" w:styleId="260">
    <w:name w:val="pl"/>
    <w:basedOn w:val="1"/>
    <w:autoRedefine/>
    <w:qFormat/>
    <w:uiPriority w:val="99"/>
    <w:pPr>
      <w:widowControl/>
      <w:tabs>
        <w:tab w:val="left" w:pos="1151"/>
        <w:tab w:val="left" w:pos="1985"/>
        <w:tab w:val="left" w:pos="8363"/>
        <w:tab w:val="decimal" w:pos="9639"/>
      </w:tabs>
      <w:jc w:val="left"/>
    </w:pPr>
    <w:rPr>
      <w:rFonts w:ascii="Verdana" w:hAnsi="Verdana"/>
      <w:bCs/>
      <w:color w:val="000000"/>
      <w:kern w:val="0"/>
      <w:sz w:val="22"/>
      <w:szCs w:val="20"/>
    </w:rPr>
  </w:style>
  <w:style w:type="paragraph" w:customStyle="1" w:styleId="261">
    <w:name w:val="列出段落11"/>
    <w:basedOn w:val="1"/>
    <w:autoRedefine/>
    <w:qFormat/>
    <w:uiPriority w:val="99"/>
    <w:pPr>
      <w:ind w:firstLine="420" w:firstLineChars="200"/>
    </w:pPr>
  </w:style>
  <w:style w:type="paragraph" w:customStyle="1" w:styleId="262">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63">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缺省文本"/>
    <w:basedOn w:val="1"/>
    <w:autoRedefine/>
    <w:qFormat/>
    <w:uiPriority w:val="99"/>
    <w:pPr>
      <w:autoSpaceDE w:val="0"/>
      <w:autoSpaceDN w:val="0"/>
      <w:adjustRightInd w:val="0"/>
      <w:jc w:val="left"/>
    </w:pPr>
    <w:rPr>
      <w:kern w:val="0"/>
      <w:sz w:val="24"/>
    </w:rPr>
  </w:style>
  <w:style w:type="paragraph" w:customStyle="1" w:styleId="266">
    <w:name w:val="1 Char"/>
    <w:basedOn w:val="1"/>
    <w:autoRedefine/>
    <w:qFormat/>
    <w:uiPriority w:val="99"/>
    <w:pPr>
      <w:tabs>
        <w:tab w:val="left" w:pos="432"/>
      </w:tabs>
      <w:spacing w:beforeLines="50" w:afterLines="50"/>
      <w:ind w:left="432" w:hanging="432"/>
    </w:pPr>
    <w:rPr>
      <w:sz w:val="24"/>
    </w:rPr>
  </w:style>
  <w:style w:type="paragraph" w:customStyle="1" w:styleId="267">
    <w:name w:val="无间隔1"/>
    <w:link w:val="447"/>
    <w:autoRedefine/>
    <w:qFormat/>
    <w:uiPriority w:val="99"/>
    <w:rPr>
      <w:rFonts w:ascii="Calibri" w:hAnsi="Calibri" w:eastAsia="宋体" w:cs="Times New Roman"/>
      <w:kern w:val="0"/>
      <w:sz w:val="22"/>
      <w:szCs w:val="20"/>
      <w:lang w:val="en-US" w:eastAsia="zh-CN" w:bidi="ar-SA"/>
    </w:rPr>
  </w:style>
  <w:style w:type="paragraph" w:customStyle="1" w:styleId="268">
    <w:name w:val="列出段落[858D7CFB-ED40-4347-BF05-701D383B685F][858D7CFB-ED40-4347-BF05-701D383B685F]"/>
    <w:basedOn w:val="1"/>
    <w:autoRedefine/>
    <w:qFormat/>
    <w:uiPriority w:val="99"/>
    <w:pPr>
      <w:ind w:firstLine="420" w:firstLineChars="200"/>
    </w:pPr>
    <w:rPr>
      <w:szCs w:val="21"/>
    </w:rPr>
  </w:style>
  <w:style w:type="paragraph" w:customStyle="1" w:styleId="2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70">
    <w:name w:val="样式2"/>
    <w:basedOn w:val="138"/>
    <w:link w:val="448"/>
    <w:autoRedefine/>
    <w:qFormat/>
    <w:uiPriority w:val="99"/>
    <w:pPr>
      <w:spacing w:before="0" w:line="460" w:lineRule="exact"/>
      <w:ind w:firstLine="480"/>
    </w:pPr>
    <w:rPr>
      <w:rFonts w:ascii="仿宋_GB2312" w:hAnsi="仿宋" w:eastAsia="仿宋_GB2312"/>
    </w:rPr>
  </w:style>
  <w:style w:type="paragraph" w:customStyle="1" w:styleId="271">
    <w:name w:val="标题2def"/>
    <w:basedOn w:val="73"/>
    <w:autoRedefine/>
    <w:qFormat/>
    <w:uiPriority w:val="99"/>
    <w:pPr>
      <w:snapToGrid w:val="0"/>
      <w:spacing w:before="160" w:after="200"/>
      <w:outlineLvl w:val="0"/>
    </w:pPr>
    <w:rPr>
      <w:rFonts w:hAnsi="宋体" w:eastAsia="仿宋_GB2312"/>
      <w:sz w:val="32"/>
    </w:rPr>
  </w:style>
  <w:style w:type="paragraph" w:customStyle="1" w:styleId="272">
    <w:name w:val="CM29"/>
    <w:basedOn w:val="273"/>
    <w:next w:val="273"/>
    <w:autoRedefine/>
    <w:qFormat/>
    <w:uiPriority w:val="99"/>
    <w:pPr>
      <w:spacing w:after="153"/>
    </w:pPr>
    <w:rPr>
      <w:rFonts w:ascii="黑体" w:eastAsia="黑体"/>
      <w:color w:val="auto"/>
    </w:rPr>
  </w:style>
  <w:style w:type="paragraph" w:customStyle="1" w:styleId="273">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74">
    <w:name w:val="CM11"/>
    <w:basedOn w:val="273"/>
    <w:next w:val="273"/>
    <w:autoRedefine/>
    <w:qFormat/>
    <w:uiPriority w:val="99"/>
    <w:pPr>
      <w:spacing w:line="468" w:lineRule="atLeast"/>
    </w:pPr>
    <w:rPr>
      <w:rFonts w:ascii="黑体" w:eastAsia="黑体"/>
      <w:color w:val="auto"/>
    </w:rPr>
  </w:style>
  <w:style w:type="paragraph" w:customStyle="1" w:styleId="275">
    <w:name w:val="CM26"/>
    <w:basedOn w:val="273"/>
    <w:next w:val="273"/>
    <w:autoRedefine/>
    <w:qFormat/>
    <w:uiPriority w:val="99"/>
    <w:pPr>
      <w:spacing w:after="210"/>
    </w:pPr>
    <w:rPr>
      <w:rFonts w:ascii="黑体" w:eastAsia="黑体"/>
      <w:color w:val="auto"/>
    </w:rPr>
  </w:style>
  <w:style w:type="paragraph" w:customStyle="1" w:styleId="276">
    <w:name w:val="List Paragraph11"/>
    <w:basedOn w:val="1"/>
    <w:link w:val="467"/>
    <w:autoRedefine/>
    <w:qFormat/>
    <w:uiPriority w:val="99"/>
    <w:pPr>
      <w:ind w:firstLine="200" w:firstLineChars="200"/>
    </w:pPr>
    <w:rPr>
      <w:rFonts w:eastAsia="楷体_GB2312"/>
      <w:kern w:val="0"/>
      <w:sz w:val="24"/>
    </w:rPr>
  </w:style>
  <w:style w:type="paragraph" w:customStyle="1" w:styleId="277">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8">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9">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0">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1">
    <w:name w:val="xl66"/>
    <w:basedOn w:val="1"/>
    <w:autoRedefine/>
    <w:qFormat/>
    <w:uiPriority w:val="99"/>
    <w:pPr>
      <w:widowControl/>
      <w:spacing w:before="100" w:beforeAutospacing="1" w:after="100" w:afterAutospacing="1"/>
      <w:jc w:val="center"/>
    </w:pPr>
    <w:rPr>
      <w:rFonts w:ascii="宋体" w:hAnsi="宋体" w:cs="宋体"/>
      <w:kern w:val="0"/>
      <w:sz w:val="20"/>
      <w:szCs w:val="20"/>
    </w:rPr>
  </w:style>
  <w:style w:type="paragraph" w:customStyle="1" w:styleId="28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83">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rPr>
  </w:style>
  <w:style w:type="paragraph" w:customStyle="1" w:styleId="284">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5">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87">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8">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9">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290">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291">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xl77"/>
    <w:basedOn w:val="1"/>
    <w:autoRedefine/>
    <w:qFormat/>
    <w:uiPriority w:val="99"/>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93">
    <w:name w:val="纯文本1"/>
    <w:basedOn w:val="1"/>
    <w:autoRedefine/>
    <w:qFormat/>
    <w:uiPriority w:val="99"/>
    <w:rPr>
      <w:rFonts w:ascii="宋体" w:hAnsi="Courier New"/>
      <w:kern w:val="0"/>
      <w:sz w:val="20"/>
      <w:szCs w:val="20"/>
    </w:rPr>
  </w:style>
  <w:style w:type="paragraph" w:customStyle="1" w:styleId="294">
    <w:name w:val="xl24"/>
    <w:basedOn w:val="1"/>
    <w:autoRedefine/>
    <w:qFormat/>
    <w:uiPriority w:val="99"/>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95">
    <w:name w:val="xl26"/>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96">
    <w:name w:val="xl27"/>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7">
    <w:name w:val="xl28"/>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98">
    <w:name w:val="xl29"/>
    <w:basedOn w:val="1"/>
    <w:autoRedefine/>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 w:val="20"/>
      <w:szCs w:val="20"/>
    </w:rPr>
  </w:style>
  <w:style w:type="paragraph" w:customStyle="1" w:styleId="299">
    <w:name w:val="msono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0">
    <w:name w:val="msormpane"/>
    <w:autoRedefine/>
    <w:qFormat/>
    <w:uiPriority w:val="99"/>
    <w:rPr>
      <w:rFonts w:ascii="Times New Roman" w:hAnsi="Times New Roman" w:eastAsia="宋体" w:cs="Times New Roman"/>
      <w:kern w:val="2"/>
      <w:sz w:val="21"/>
      <w:szCs w:val="20"/>
      <w:lang w:val="en-US" w:eastAsia="zh-CN" w:bidi="ar-SA"/>
    </w:rPr>
  </w:style>
  <w:style w:type="paragraph" w:customStyle="1" w:styleId="301">
    <w:name w:val="msolistparagraph"/>
    <w:basedOn w:val="1"/>
    <w:autoRedefine/>
    <w:qFormat/>
    <w:uiPriority w:val="99"/>
    <w:pPr>
      <w:ind w:firstLine="200" w:firstLineChars="200"/>
    </w:pPr>
    <w:rPr>
      <w:rFonts w:eastAsia="楷体_GB2312" w:cs="Lucida Sans"/>
      <w:sz w:val="24"/>
    </w:rPr>
  </w:style>
  <w:style w:type="paragraph" w:customStyle="1" w:styleId="302">
    <w:name w:val="Char21"/>
    <w:basedOn w:val="1"/>
    <w:autoRedefine/>
    <w:qFormat/>
    <w:uiPriority w:val="99"/>
    <w:rPr>
      <w:rFonts w:ascii="仿宋_GB2312" w:eastAsia="仿宋_GB2312"/>
      <w:b/>
      <w:sz w:val="32"/>
      <w:szCs w:val="32"/>
    </w:rPr>
  </w:style>
  <w:style w:type="paragraph" w:customStyle="1" w:styleId="303">
    <w:name w:val="Char Char11"/>
    <w:basedOn w:val="1"/>
    <w:autoRedefine/>
    <w:qFormat/>
    <w:uiPriority w:val="99"/>
    <w:pPr>
      <w:widowControl/>
      <w:spacing w:after="160" w:line="240" w:lineRule="exact"/>
      <w:jc w:val="left"/>
    </w:pPr>
    <w:rPr>
      <w:rFonts w:eastAsia="仿宋_GB2312"/>
      <w:sz w:val="28"/>
    </w:rPr>
  </w:style>
  <w:style w:type="paragraph" w:customStyle="1" w:styleId="304">
    <w:name w:val="Char1 Char Char Char Char Char Char Char Char Char Char Char1 Char Char Char Char Char Char Char Char Char Char Char Char Char Char1 Char Char Char Char1"/>
    <w:basedOn w:val="1"/>
    <w:autoRedefine/>
    <w:qFormat/>
    <w:uiPriority w:val="99"/>
    <w:pPr>
      <w:adjustRightInd w:val="0"/>
    </w:pPr>
    <w:rPr>
      <w:kern w:val="0"/>
      <w:sz w:val="24"/>
      <w:szCs w:val="20"/>
    </w:rPr>
  </w:style>
  <w:style w:type="paragraph" w:customStyle="1" w:styleId="305">
    <w:name w:val="Char Char1 Char Char Char Char Char Char1"/>
    <w:basedOn w:val="1"/>
    <w:autoRedefine/>
    <w:qFormat/>
    <w:uiPriority w:val="99"/>
    <w:rPr>
      <w:rFonts w:ascii="仿宋_GB2312" w:eastAsia="仿宋_GB2312"/>
      <w:b/>
      <w:sz w:val="32"/>
      <w:szCs w:val="20"/>
    </w:rPr>
  </w:style>
  <w:style w:type="paragraph" w:customStyle="1" w:styleId="306">
    <w:name w:val="Char Char Char Char Char Char Char Char1"/>
    <w:basedOn w:val="1"/>
    <w:autoRedefine/>
    <w:qFormat/>
    <w:uiPriority w:val="99"/>
    <w:pPr>
      <w:tabs>
        <w:tab w:val="left" w:pos="360"/>
      </w:tabs>
    </w:pPr>
    <w:rPr>
      <w:sz w:val="24"/>
      <w:szCs w:val="20"/>
    </w:rPr>
  </w:style>
  <w:style w:type="paragraph" w:customStyle="1" w:styleId="307">
    <w:name w:val="Char Char Char Char Char Char Char Char Char Char Char Char1 Char1"/>
    <w:basedOn w:val="1"/>
    <w:autoRedefine/>
    <w:qFormat/>
    <w:uiPriority w:val="99"/>
    <w:rPr>
      <w:rFonts w:ascii="Tahoma" w:hAnsi="Tahoma" w:cs="仿宋_GB2312"/>
      <w:sz w:val="24"/>
      <w:szCs w:val="20"/>
    </w:rPr>
  </w:style>
  <w:style w:type="paragraph" w:customStyle="1" w:styleId="308">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309">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310">
    <w:name w:val="Char32"/>
    <w:basedOn w:val="1"/>
    <w:autoRedefine/>
    <w:qFormat/>
    <w:uiPriority w:val="99"/>
    <w:rPr>
      <w:rFonts w:ascii="仿宋_GB2312" w:eastAsia="仿宋_GB2312"/>
      <w:b/>
      <w:sz w:val="32"/>
      <w:szCs w:val="32"/>
    </w:rPr>
  </w:style>
  <w:style w:type="paragraph" w:customStyle="1" w:styleId="311">
    <w:name w:val="Char3 Char Char1"/>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312">
    <w:name w:val="font7"/>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13">
    <w:name w:val="xl78"/>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4">
    <w:name w:val="xl79"/>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5">
    <w:name w:val="xl80"/>
    <w:basedOn w:val="1"/>
    <w:autoRedefine/>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 w:val="20"/>
      <w:szCs w:val="20"/>
    </w:rPr>
  </w:style>
  <w:style w:type="paragraph" w:customStyle="1" w:styleId="316">
    <w:name w:val="xl81"/>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17">
    <w:name w:val="xl82"/>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1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1">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2">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3">
    <w:name w:val="xl8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4">
    <w:name w:val="xl8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2"/>
      <w:szCs w:val="22"/>
    </w:rPr>
  </w:style>
  <w:style w:type="paragraph" w:customStyle="1" w:styleId="32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326">
    <w:name w:val="xl9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27">
    <w:name w:val="xl9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29">
    <w:name w:val="xl9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2"/>
      <w:szCs w:val="22"/>
    </w:rPr>
  </w:style>
  <w:style w:type="paragraph" w:customStyle="1" w:styleId="330">
    <w:name w:val="xl9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331">
    <w:name w:val="font8"/>
    <w:basedOn w:val="1"/>
    <w:autoRedefine/>
    <w:qFormat/>
    <w:uiPriority w:val="99"/>
    <w:pPr>
      <w:widowControl/>
      <w:spacing w:before="100" w:beforeAutospacing="1" w:after="100" w:afterAutospacing="1"/>
      <w:jc w:val="left"/>
    </w:pPr>
    <w:rPr>
      <w:rFonts w:ascii="Arial" w:hAnsi="Arial" w:cs="Arial"/>
      <w:kern w:val="0"/>
      <w:sz w:val="18"/>
      <w:szCs w:val="18"/>
    </w:rPr>
  </w:style>
  <w:style w:type="paragraph" w:customStyle="1" w:styleId="332">
    <w:name w:val="font9"/>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333">
    <w:name w:val="font10"/>
    <w:basedOn w:val="1"/>
    <w:autoRedefine/>
    <w:qFormat/>
    <w:uiPriority w:val="99"/>
    <w:pPr>
      <w:widowControl/>
      <w:spacing w:before="100" w:beforeAutospacing="1" w:after="100" w:afterAutospacing="1"/>
      <w:jc w:val="left"/>
    </w:pPr>
    <w:rPr>
      <w:kern w:val="0"/>
      <w:sz w:val="18"/>
      <w:szCs w:val="18"/>
    </w:rPr>
  </w:style>
  <w:style w:type="paragraph" w:customStyle="1" w:styleId="334">
    <w:name w:val="xl3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35">
    <w:name w:val="xl3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36">
    <w:name w:val="xl3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37">
    <w:name w:val="xl34"/>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22"/>
      <w:szCs w:val="22"/>
    </w:rPr>
  </w:style>
  <w:style w:type="paragraph" w:customStyle="1" w:styleId="338">
    <w:name w:val="xl3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kern w:val="0"/>
      <w:sz w:val="20"/>
      <w:szCs w:val="20"/>
    </w:rPr>
  </w:style>
  <w:style w:type="paragraph" w:customStyle="1" w:styleId="339">
    <w:name w:val="xl36"/>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40">
    <w:name w:val="xl37"/>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18"/>
      <w:szCs w:val="18"/>
    </w:rPr>
  </w:style>
  <w:style w:type="paragraph" w:customStyle="1" w:styleId="341">
    <w:name w:val="xl38"/>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342">
    <w:name w:val="xl39"/>
    <w:basedOn w:val="1"/>
    <w:autoRedefine/>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343">
    <w:name w:val="xl40"/>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344">
    <w:name w:val="xl41"/>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微软雅黑" w:hAnsi="微软雅黑" w:eastAsia="微软雅黑" w:cs="宋体"/>
      <w:color w:val="333333"/>
      <w:kern w:val="0"/>
      <w:szCs w:val="21"/>
    </w:rPr>
  </w:style>
  <w:style w:type="paragraph" w:customStyle="1" w:styleId="345">
    <w:name w:val="xl42"/>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346">
    <w:name w:val="xl43"/>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347">
    <w:name w:val="xl44"/>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348">
    <w:name w:val="xl45"/>
    <w:basedOn w:val="1"/>
    <w:autoRedefine/>
    <w:qFormat/>
    <w:uiPriority w:val="99"/>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000000"/>
      <w:kern w:val="0"/>
      <w:sz w:val="24"/>
    </w:rPr>
  </w:style>
  <w:style w:type="paragraph" w:customStyle="1" w:styleId="349">
    <w:name w:val="xl4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rPr>
  </w:style>
  <w:style w:type="paragraph" w:customStyle="1" w:styleId="350">
    <w:name w:val="xl47"/>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1">
    <w:name w:val="xl48"/>
    <w:basedOn w:val="1"/>
    <w:autoRedefine/>
    <w:qFormat/>
    <w:uiPriority w:val="99"/>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24"/>
    </w:rPr>
  </w:style>
  <w:style w:type="paragraph" w:customStyle="1" w:styleId="352">
    <w:name w:val="TOC 标题1"/>
    <w:basedOn w:val="2"/>
    <w:next w:val="1"/>
    <w:autoRedefine/>
    <w:qFormat/>
    <w:uiPriority w:val="9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53">
    <w:name w:val="封面标准名称"/>
    <w:autoRedefine/>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54">
    <w:name w:val="Char Char1 Char Char Char Char Char Char Char Char"/>
    <w:basedOn w:val="1"/>
    <w:autoRedefine/>
    <w:qFormat/>
    <w:uiPriority w:val="99"/>
    <w:pPr>
      <w:spacing w:after="160" w:line="240" w:lineRule="exact"/>
      <w:jc w:val="left"/>
    </w:pPr>
    <w:rPr>
      <w:szCs w:val="20"/>
    </w:rPr>
  </w:style>
  <w:style w:type="paragraph" w:customStyle="1" w:styleId="355">
    <w:name w:val="大标题"/>
    <w:basedOn w:val="1"/>
    <w:autoRedefine/>
    <w:qFormat/>
    <w:uiPriority w:val="99"/>
    <w:pPr>
      <w:autoSpaceDE w:val="0"/>
      <w:autoSpaceDN w:val="0"/>
      <w:adjustRightInd w:val="0"/>
      <w:spacing w:after="560"/>
      <w:jc w:val="center"/>
    </w:pPr>
    <w:rPr>
      <w:rFonts w:ascii="Arial Black" w:hAnsi="Arial Black"/>
      <w:b/>
      <w:kern w:val="0"/>
      <w:sz w:val="56"/>
      <w:szCs w:val="20"/>
    </w:rPr>
  </w:style>
  <w:style w:type="paragraph" w:customStyle="1" w:styleId="356">
    <w:name w:val="招标文件－标准正文"/>
    <w:basedOn w:val="39"/>
    <w:autoRedefine/>
    <w:qFormat/>
    <w:uiPriority w:val="99"/>
    <w:rPr>
      <w:rFonts w:ascii="Times New Roman" w:hAnsi="Times New Roman"/>
      <w:color w:val="000000"/>
      <w:sz w:val="24"/>
    </w:rPr>
  </w:style>
  <w:style w:type="paragraph" w:customStyle="1" w:styleId="357">
    <w:name w:val="正文标号"/>
    <w:basedOn w:val="1"/>
    <w:autoRedefine/>
    <w:qFormat/>
    <w:uiPriority w:val="99"/>
    <w:pPr>
      <w:numPr>
        <w:ilvl w:val="0"/>
        <w:numId w:val="15"/>
      </w:numPr>
      <w:tabs>
        <w:tab w:val="clear" w:pos="1620"/>
      </w:tabs>
      <w:spacing w:after="180" w:line="310" w:lineRule="auto"/>
      <w:ind w:left="0" w:right="210" w:firstLine="0"/>
    </w:pPr>
    <w:rPr>
      <w:szCs w:val="20"/>
    </w:rPr>
  </w:style>
  <w:style w:type="paragraph" w:customStyle="1" w:styleId="358">
    <w:name w:val="标题6"/>
    <w:basedOn w:val="1"/>
    <w:next w:val="2"/>
    <w:autoRedefine/>
    <w:qFormat/>
    <w:uiPriority w:val="99"/>
    <w:pPr>
      <w:widowControl/>
      <w:snapToGrid w:val="0"/>
      <w:spacing w:beforeLines="50" w:afterLines="50" w:line="520" w:lineRule="atLeast"/>
      <w:ind w:firstLine="200" w:firstLineChars="200"/>
    </w:pPr>
    <w:rPr>
      <w:rFonts w:cs="Arial"/>
      <w:b/>
      <w:sz w:val="24"/>
    </w:rPr>
  </w:style>
  <w:style w:type="paragraph" w:customStyle="1" w:styleId="359">
    <w:name w:val="正文 + 宋体"/>
    <w:basedOn w:val="1"/>
    <w:next w:val="1"/>
    <w:autoRedefine/>
    <w:qFormat/>
    <w:uiPriority w:val="99"/>
    <w:pPr>
      <w:spacing w:after="120" w:line="480" w:lineRule="auto"/>
    </w:pPr>
    <w:rPr>
      <w:rFonts w:ascii="宋体" w:hAnsi="宋体"/>
      <w:kern w:val="0"/>
      <w:sz w:val="24"/>
    </w:rPr>
  </w:style>
  <w:style w:type="paragraph" w:customStyle="1" w:styleId="360">
    <w:name w:val="pa-15"/>
    <w:basedOn w:val="1"/>
    <w:autoRedefine/>
    <w:qFormat/>
    <w:uiPriority w:val="99"/>
    <w:pPr>
      <w:widowControl/>
      <w:spacing w:line="240" w:lineRule="atLeast"/>
      <w:jc w:val="center"/>
    </w:pPr>
    <w:rPr>
      <w:rFonts w:ascii="宋体" w:hAnsi="宋体" w:cs="宋体"/>
      <w:kern w:val="0"/>
      <w:sz w:val="24"/>
    </w:rPr>
  </w:style>
  <w:style w:type="paragraph" w:customStyle="1" w:styleId="361">
    <w:name w:val="p0"/>
    <w:basedOn w:val="1"/>
    <w:autoRedefine/>
    <w:qFormat/>
    <w:uiPriority w:val="99"/>
    <w:pPr>
      <w:widowControl/>
    </w:pPr>
    <w:rPr>
      <w:kern w:val="0"/>
      <w:szCs w:val="20"/>
    </w:rPr>
  </w:style>
  <w:style w:type="paragraph" w:customStyle="1" w:styleId="362">
    <w:name w:val="样式 标题 2 + 四号"/>
    <w:basedOn w:val="3"/>
    <w:autoRedefine/>
    <w:qFormat/>
    <w:uiPriority w:val="99"/>
    <w:pPr>
      <w:spacing w:before="120" w:after="120"/>
      <w:ind w:left="0" w:firstLine="0"/>
    </w:pPr>
    <w:rPr>
      <w:rFonts w:hAnsi="Arial"/>
      <w:sz w:val="28"/>
      <w:szCs w:val="32"/>
      <w:lang w:val="en-US"/>
    </w:rPr>
  </w:style>
  <w:style w:type="paragraph" w:customStyle="1" w:styleId="363">
    <w:name w:val="哈哈正文"/>
    <w:basedOn w:val="1"/>
    <w:link w:val="471"/>
    <w:autoRedefine/>
    <w:qFormat/>
    <w:uiPriority w:val="99"/>
    <w:pPr>
      <w:ind w:firstLine="200" w:firstLineChars="200"/>
    </w:pPr>
    <w:rPr>
      <w:rFonts w:ascii="宋体" w:hAnsi="宋体"/>
      <w:kern w:val="0"/>
      <w:sz w:val="24"/>
      <w:szCs w:val="20"/>
    </w:rPr>
  </w:style>
  <w:style w:type="paragraph" w:customStyle="1" w:styleId="364">
    <w:name w:val="Char Char Char Char Char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65">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66">
    <w:name w:val="样式3"/>
    <w:basedOn w:val="1"/>
    <w:link w:val="472"/>
    <w:autoRedefine/>
    <w:qFormat/>
    <w:uiPriority w:val="99"/>
    <w:pPr>
      <w:numPr>
        <w:ilvl w:val="0"/>
        <w:numId w:val="16"/>
      </w:numPr>
      <w:adjustRightInd w:val="0"/>
      <w:snapToGrid w:val="0"/>
    </w:pPr>
    <w:rPr>
      <w:rFonts w:ascii="仿宋_GB2312" w:hAnsi="仿宋" w:eastAsia="仿宋_GB2312"/>
      <w:b/>
      <w:color w:val="000000"/>
      <w:sz w:val="28"/>
      <w:szCs w:val="28"/>
    </w:rPr>
  </w:style>
  <w:style w:type="paragraph" w:customStyle="1" w:styleId="367">
    <w:name w:val="样式 正文文字缩进 + 仿宋_GB2312"/>
    <w:basedOn w:val="29"/>
    <w:autoRedefine/>
    <w:qFormat/>
    <w:uiPriority w:val="99"/>
    <w:pPr>
      <w:widowControl/>
      <w:tabs>
        <w:tab w:val="right" w:pos="8640"/>
      </w:tabs>
      <w:spacing w:before="120" w:line="240" w:lineRule="auto"/>
    </w:pPr>
    <w:rPr>
      <w:rFonts w:ascii="仿宋_GB2312" w:hAnsi="仿宋_GB2312"/>
    </w:rPr>
  </w:style>
  <w:style w:type="paragraph" w:customStyle="1" w:styleId="368">
    <w:name w:val="Char Char Char1 Char"/>
    <w:basedOn w:val="1"/>
    <w:autoRedefine/>
    <w:qFormat/>
    <w:uiPriority w:val="99"/>
    <w:rPr>
      <w:szCs w:val="20"/>
    </w:rPr>
  </w:style>
  <w:style w:type="paragraph" w:customStyle="1" w:styleId="369">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70">
    <w:name w:val="带编号样式"/>
    <w:basedOn w:val="1"/>
    <w:link w:val="477"/>
    <w:autoRedefine/>
    <w:qFormat/>
    <w:uiPriority w:val="99"/>
    <w:pPr>
      <w:numPr>
        <w:ilvl w:val="0"/>
        <w:numId w:val="17"/>
      </w:numPr>
      <w:tabs>
        <w:tab w:val="left" w:pos="840"/>
      </w:tabs>
      <w:adjustRightInd w:val="0"/>
      <w:snapToGrid w:val="0"/>
    </w:pPr>
    <w:rPr>
      <w:rFonts w:ascii="仿宋_GB2312" w:hAnsi="Calibri" w:eastAsia="仿宋_GB2312"/>
      <w:color w:val="000000"/>
      <w:sz w:val="24"/>
      <w:szCs w:val="22"/>
    </w:rPr>
  </w:style>
  <w:style w:type="paragraph" w:customStyle="1" w:styleId="371">
    <w:name w:val="tableheadin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72">
    <w:name w:val="公文正文"/>
    <w:basedOn w:val="1"/>
    <w:link w:val="479"/>
    <w:autoRedefine/>
    <w:qFormat/>
    <w:uiPriority w:val="99"/>
    <w:pPr>
      <w:spacing w:before="156"/>
      <w:ind w:firstLine="360" w:firstLineChars="200"/>
    </w:pPr>
    <w:rPr>
      <w:rFonts w:ascii="仿宋_GB2312" w:eastAsia="仿宋_GB2312"/>
      <w:kern w:val="0"/>
      <w:sz w:val="24"/>
    </w:rPr>
  </w:style>
  <w:style w:type="paragraph" w:customStyle="1" w:styleId="373">
    <w:name w:val="中等深浅网格 2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Char Char1 Char Char Char Char1 Char Char Char Char Char Char"/>
    <w:basedOn w:val="1"/>
    <w:autoRedefine/>
    <w:qFormat/>
    <w:uiPriority w:val="99"/>
    <w:pPr>
      <w:widowControl/>
      <w:ind w:firstLine="200" w:firstLineChars="200"/>
    </w:pPr>
    <w:rPr>
      <w:rFonts w:ascii="Tahoma" w:hAnsi="Tahoma" w:cs="Arial"/>
      <w:sz w:val="24"/>
      <w:szCs w:val="20"/>
    </w:rPr>
  </w:style>
  <w:style w:type="paragraph" w:customStyle="1" w:styleId="375">
    <w:name w:val="Proposals body"/>
    <w:basedOn w:val="1"/>
    <w:next w:val="1"/>
    <w:autoRedefine/>
    <w:qFormat/>
    <w:uiPriority w:val="99"/>
    <w:pPr>
      <w:widowControl/>
      <w:jc w:val="left"/>
    </w:pPr>
    <w:rPr>
      <w:rFonts w:ascii="宋体"/>
      <w:color w:val="000000"/>
      <w:kern w:val="0"/>
      <w:sz w:val="24"/>
      <w:szCs w:val="20"/>
    </w:rPr>
  </w:style>
  <w:style w:type="paragraph" w:customStyle="1" w:styleId="376">
    <w:name w:val="表格（小）"/>
    <w:basedOn w:val="1"/>
    <w:autoRedefine/>
    <w:qFormat/>
    <w:uiPriority w:val="99"/>
    <w:pPr>
      <w:snapToGrid w:val="0"/>
      <w:spacing w:line="300" w:lineRule="auto"/>
    </w:pPr>
    <w:rPr>
      <w:rFonts w:eastAsia="仿宋"/>
      <w:szCs w:val="21"/>
    </w:rPr>
  </w:style>
  <w:style w:type="paragraph" w:customStyle="1" w:styleId="377">
    <w:name w:val="1."/>
    <w:basedOn w:val="1"/>
    <w:autoRedefine/>
    <w:qFormat/>
    <w:uiPriority w:val="99"/>
    <w:pPr>
      <w:ind w:firstLine="480" w:firstLineChars="200"/>
    </w:pPr>
    <w:rPr>
      <w:sz w:val="24"/>
    </w:rPr>
  </w:style>
  <w:style w:type="paragraph" w:customStyle="1" w:styleId="378">
    <w:name w:val="Char Char Char Char Char Char Char Char Char Char Char1 Char"/>
    <w:basedOn w:val="1"/>
    <w:autoRedefine/>
    <w:qFormat/>
    <w:uiPriority w:val="99"/>
    <w:rPr>
      <w:rFonts w:ascii="Tahoma" w:hAnsi="Tahoma"/>
      <w:sz w:val="24"/>
    </w:rPr>
  </w:style>
  <w:style w:type="paragraph" w:customStyle="1" w:styleId="379">
    <w:name w:val="页眉1"/>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80">
    <w:name w:val="正文首行缩进（ACK）"/>
    <w:basedOn w:val="1"/>
    <w:link w:val="483"/>
    <w:autoRedefine/>
    <w:qFormat/>
    <w:uiPriority w:val="99"/>
    <w:pPr>
      <w:widowControl/>
      <w:spacing w:after="50" w:line="300" w:lineRule="auto"/>
      <w:ind w:firstLine="200" w:firstLineChars="200"/>
      <w:jc w:val="left"/>
    </w:pPr>
    <w:rPr>
      <w:rFonts w:ascii="Arial" w:hAnsi="Arial"/>
      <w:kern w:val="0"/>
      <w:sz w:val="20"/>
      <w:szCs w:val="21"/>
    </w:rPr>
  </w:style>
  <w:style w:type="paragraph" w:customStyle="1" w:styleId="381">
    <w:name w:val="正文文本 21"/>
    <w:basedOn w:val="1"/>
    <w:autoRedefine/>
    <w:qFormat/>
    <w:uiPriority w:val="99"/>
    <w:pPr>
      <w:adjustRightInd w:val="0"/>
      <w:spacing w:line="300" w:lineRule="auto"/>
      <w:jc w:val="center"/>
      <w:textAlignment w:val="baseline"/>
    </w:pPr>
    <w:rPr>
      <w:rFonts w:ascii="宋体" w:hAnsi="宋体"/>
      <w:sz w:val="24"/>
      <w:szCs w:val="20"/>
    </w:rPr>
  </w:style>
  <w:style w:type="paragraph" w:customStyle="1" w:styleId="382">
    <w:name w:val="table_lines"/>
    <w:basedOn w:val="1"/>
    <w:autoRedefine/>
    <w:qFormat/>
    <w:uiPriority w:val="99"/>
    <w:pPr>
      <w:widowControl/>
      <w:jc w:val="left"/>
    </w:pPr>
    <w:rPr>
      <w:kern w:val="0"/>
      <w:sz w:val="20"/>
      <w:szCs w:val="20"/>
    </w:rPr>
  </w:style>
  <w:style w:type="paragraph" w:customStyle="1" w:styleId="383">
    <w:name w:val="Normal New"/>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4">
    <w:name w:val="Char3 Char Char Char Char Char Char"/>
    <w:basedOn w:val="1"/>
    <w:autoRedefine/>
    <w:qFormat/>
    <w:uiPriority w:val="99"/>
    <w:rPr>
      <w:rFonts w:ascii="Arial" w:hAnsi="Arial" w:eastAsia="黑体" w:cs="Arial"/>
      <w:kern w:val="0"/>
      <w:szCs w:val="21"/>
    </w:rPr>
  </w:style>
  <w:style w:type="paragraph" w:customStyle="1" w:styleId="385">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86">
    <w:name w:val="PDGInstructions"/>
    <w:basedOn w:val="1"/>
    <w:autoRedefine/>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387">
    <w:name w:val="List Paragraph1"/>
    <w:basedOn w:val="1"/>
    <w:autoRedefine/>
    <w:qFormat/>
    <w:uiPriority w:val="99"/>
    <w:pPr>
      <w:ind w:firstLine="420" w:firstLineChars="200"/>
    </w:pPr>
    <w:rPr>
      <w:szCs w:val="21"/>
    </w:rPr>
  </w:style>
  <w:style w:type="character" w:customStyle="1" w:styleId="388">
    <w:name w:val="标题 1 Char"/>
    <w:basedOn w:val="81"/>
    <w:autoRedefine/>
    <w:qFormat/>
    <w:uiPriority w:val="99"/>
    <w:rPr>
      <w:rFonts w:ascii="Times New Roman" w:hAnsi="Times New Roman" w:eastAsia="宋体" w:cs="Times New Roman"/>
      <w:b/>
      <w:bCs/>
      <w:kern w:val="44"/>
      <w:sz w:val="44"/>
      <w:szCs w:val="44"/>
    </w:rPr>
  </w:style>
  <w:style w:type="character" w:customStyle="1" w:styleId="389">
    <w:name w:val="标题 2 Char"/>
    <w:basedOn w:val="81"/>
    <w:autoRedefine/>
    <w:qFormat/>
    <w:uiPriority w:val="99"/>
    <w:rPr>
      <w:rFonts w:ascii="Calibri Light" w:hAnsi="Calibri Light" w:eastAsia="宋体" w:cs="黑体"/>
      <w:b/>
      <w:bCs/>
      <w:sz w:val="32"/>
      <w:szCs w:val="32"/>
    </w:rPr>
  </w:style>
  <w:style w:type="character" w:customStyle="1" w:styleId="390">
    <w:name w:val="标题 3 Char"/>
    <w:basedOn w:val="81"/>
    <w:autoRedefine/>
    <w:qFormat/>
    <w:uiPriority w:val="99"/>
    <w:rPr>
      <w:rFonts w:ascii="Times New Roman" w:hAnsi="Times New Roman" w:eastAsia="宋体" w:cs="Times New Roman"/>
      <w:b/>
      <w:bCs/>
      <w:sz w:val="32"/>
      <w:szCs w:val="32"/>
    </w:rPr>
  </w:style>
  <w:style w:type="character" w:customStyle="1" w:styleId="391">
    <w:name w:val="标题 4 Char"/>
    <w:basedOn w:val="81"/>
    <w:autoRedefine/>
    <w:qFormat/>
    <w:uiPriority w:val="99"/>
    <w:rPr>
      <w:rFonts w:ascii="Calibri Light" w:hAnsi="Calibri Light" w:eastAsia="宋体" w:cs="黑体"/>
      <w:b/>
      <w:bCs/>
      <w:sz w:val="28"/>
      <w:szCs w:val="28"/>
    </w:rPr>
  </w:style>
  <w:style w:type="character" w:customStyle="1" w:styleId="392">
    <w:name w:val="标题 5 Char"/>
    <w:basedOn w:val="81"/>
    <w:autoRedefine/>
    <w:qFormat/>
    <w:uiPriority w:val="99"/>
    <w:rPr>
      <w:rFonts w:ascii="Times New Roman" w:hAnsi="Times New Roman" w:eastAsia="宋体" w:cs="Times New Roman"/>
      <w:b/>
      <w:bCs/>
      <w:sz w:val="28"/>
      <w:szCs w:val="28"/>
    </w:rPr>
  </w:style>
  <w:style w:type="character" w:customStyle="1" w:styleId="393">
    <w:name w:val="标题 6 Char"/>
    <w:basedOn w:val="81"/>
    <w:autoRedefine/>
    <w:qFormat/>
    <w:uiPriority w:val="99"/>
    <w:rPr>
      <w:rFonts w:ascii="Calibri Light" w:hAnsi="Calibri Light" w:eastAsia="宋体" w:cs="黑体"/>
      <w:b/>
      <w:bCs/>
      <w:sz w:val="24"/>
      <w:szCs w:val="24"/>
    </w:rPr>
  </w:style>
  <w:style w:type="character" w:customStyle="1" w:styleId="394">
    <w:name w:val="标题 7 Char"/>
    <w:basedOn w:val="81"/>
    <w:autoRedefine/>
    <w:qFormat/>
    <w:uiPriority w:val="99"/>
    <w:rPr>
      <w:rFonts w:ascii="Times New Roman" w:hAnsi="Times New Roman" w:eastAsia="宋体" w:cs="Times New Roman"/>
      <w:b/>
      <w:bCs/>
      <w:sz w:val="24"/>
      <w:szCs w:val="24"/>
    </w:rPr>
  </w:style>
  <w:style w:type="character" w:customStyle="1" w:styleId="395">
    <w:name w:val="标题 8 Char"/>
    <w:basedOn w:val="81"/>
    <w:autoRedefine/>
    <w:qFormat/>
    <w:uiPriority w:val="99"/>
    <w:rPr>
      <w:rFonts w:ascii="Calibri Light" w:hAnsi="Calibri Light" w:eastAsia="宋体" w:cs="黑体"/>
      <w:sz w:val="24"/>
      <w:szCs w:val="24"/>
    </w:rPr>
  </w:style>
  <w:style w:type="character" w:customStyle="1" w:styleId="396">
    <w:name w:val="标题 9 Char"/>
    <w:basedOn w:val="81"/>
    <w:autoRedefine/>
    <w:qFormat/>
    <w:uiPriority w:val="99"/>
    <w:rPr>
      <w:rFonts w:ascii="Calibri Light" w:hAnsi="Calibri Light" w:eastAsia="宋体" w:cs="黑体"/>
      <w:sz w:val="21"/>
      <w:szCs w:val="21"/>
    </w:rPr>
  </w:style>
  <w:style w:type="character" w:customStyle="1" w:styleId="397">
    <w:name w:val="纯文本 Char"/>
    <w:basedOn w:val="81"/>
    <w:autoRedefine/>
    <w:qFormat/>
    <w:uiPriority w:val="99"/>
    <w:rPr>
      <w:rFonts w:ascii="宋体" w:hAnsi="Courier New" w:eastAsia="宋体" w:cs="Courier New"/>
      <w:sz w:val="21"/>
      <w:szCs w:val="21"/>
    </w:rPr>
  </w:style>
  <w:style w:type="character" w:customStyle="1" w:styleId="398">
    <w:name w:val="正文文本缩进 2 Char"/>
    <w:basedOn w:val="81"/>
    <w:autoRedefine/>
    <w:qFormat/>
    <w:uiPriority w:val="99"/>
    <w:rPr>
      <w:rFonts w:ascii="Times New Roman" w:hAnsi="Times New Roman" w:eastAsia="宋体" w:cs="Times New Roman"/>
      <w:sz w:val="24"/>
      <w:szCs w:val="24"/>
    </w:rPr>
  </w:style>
  <w:style w:type="character" w:customStyle="1" w:styleId="399">
    <w:name w:val="正文文本缩进 Char"/>
    <w:basedOn w:val="81"/>
    <w:autoRedefine/>
    <w:qFormat/>
    <w:uiPriority w:val="99"/>
    <w:rPr>
      <w:rFonts w:ascii="Times New Roman" w:hAnsi="Times New Roman" w:eastAsia="宋体" w:cs="Times New Roman"/>
      <w:sz w:val="24"/>
      <w:szCs w:val="24"/>
    </w:rPr>
  </w:style>
  <w:style w:type="character" w:customStyle="1" w:styleId="400">
    <w:name w:val="正文文本 3 Char"/>
    <w:basedOn w:val="81"/>
    <w:autoRedefine/>
    <w:qFormat/>
    <w:uiPriority w:val="99"/>
    <w:rPr>
      <w:rFonts w:ascii="Times New Roman" w:hAnsi="Times New Roman" w:eastAsia="宋体" w:cs="Times New Roman"/>
      <w:sz w:val="16"/>
      <w:szCs w:val="16"/>
    </w:rPr>
  </w:style>
  <w:style w:type="character" w:customStyle="1" w:styleId="401">
    <w:name w:val="正文文本缩进 3 Char"/>
    <w:basedOn w:val="81"/>
    <w:autoRedefine/>
    <w:qFormat/>
    <w:uiPriority w:val="99"/>
    <w:rPr>
      <w:rFonts w:ascii="Times New Roman" w:hAnsi="Times New Roman" w:eastAsia="宋体" w:cs="Times New Roman"/>
      <w:sz w:val="16"/>
      <w:szCs w:val="16"/>
    </w:rPr>
  </w:style>
  <w:style w:type="character" w:customStyle="1" w:styleId="402">
    <w:name w:val="批注框文本 Char"/>
    <w:basedOn w:val="81"/>
    <w:autoRedefine/>
    <w:qFormat/>
    <w:uiPriority w:val="99"/>
    <w:rPr>
      <w:rFonts w:ascii="Times New Roman" w:hAnsi="Times New Roman" w:eastAsia="宋体" w:cs="Times New Roman"/>
      <w:sz w:val="18"/>
      <w:szCs w:val="18"/>
    </w:rPr>
  </w:style>
  <w:style w:type="character" w:customStyle="1" w:styleId="403">
    <w:name w:val="Char Char21"/>
    <w:autoRedefine/>
    <w:qFormat/>
    <w:uiPriority w:val="99"/>
    <w:rPr>
      <w:rFonts w:ascii="宋体" w:hAnsi="Courier New" w:eastAsia="宋体"/>
      <w:kern w:val="2"/>
      <w:sz w:val="21"/>
      <w:lang w:val="en-US" w:eastAsia="zh-CN"/>
    </w:rPr>
  </w:style>
  <w:style w:type="character" w:customStyle="1" w:styleId="404">
    <w:name w:val="纯文本 Char Char Char"/>
    <w:autoRedefine/>
    <w:qFormat/>
    <w:uiPriority w:val="99"/>
    <w:rPr>
      <w:rFonts w:ascii="宋体" w:hAnsi="Courier New" w:eastAsia="宋体"/>
      <w:kern w:val="2"/>
      <w:sz w:val="21"/>
      <w:lang w:val="en-US" w:eastAsia="zh-CN"/>
    </w:rPr>
  </w:style>
  <w:style w:type="character" w:customStyle="1" w:styleId="405">
    <w:name w:val="hui"/>
    <w:basedOn w:val="81"/>
    <w:autoRedefine/>
    <w:qFormat/>
    <w:uiPriority w:val="99"/>
    <w:rPr>
      <w:rFonts w:cs="Times New Roman"/>
    </w:rPr>
  </w:style>
  <w:style w:type="character" w:customStyle="1" w:styleId="406">
    <w:name w:val="hui3"/>
    <w:autoRedefine/>
    <w:qFormat/>
    <w:uiPriority w:val="99"/>
    <w:rPr>
      <w:color w:val="333333"/>
    </w:rPr>
  </w:style>
  <w:style w:type="character" w:customStyle="1" w:styleId="407">
    <w:name w:val="gf正文1 Char"/>
    <w:link w:val="162"/>
    <w:autoRedefine/>
    <w:qFormat/>
    <w:locked/>
    <w:uiPriority w:val="99"/>
    <w:rPr>
      <w:rFonts w:ascii="宋体" w:hAnsi="宋体" w:eastAsia="宋体"/>
      <w:sz w:val="24"/>
    </w:rPr>
  </w:style>
  <w:style w:type="character" w:customStyle="1" w:styleId="408">
    <w:name w:val="Normal Indent Char"/>
    <w:link w:val="16"/>
    <w:autoRedefine/>
    <w:qFormat/>
    <w:locked/>
    <w:uiPriority w:val="99"/>
    <w:rPr>
      <w:rFonts w:ascii="宋体" w:hAnsi="Times New Roman" w:eastAsia="宋体"/>
      <w:snapToGrid w:val="0"/>
      <w:color w:val="000000"/>
      <w:kern w:val="28"/>
      <w:sz w:val="20"/>
    </w:rPr>
  </w:style>
  <w:style w:type="character" w:customStyle="1" w:styleId="409">
    <w:name w:val="普通文字 Char Char1"/>
    <w:autoRedefine/>
    <w:qFormat/>
    <w:uiPriority w:val="99"/>
    <w:rPr>
      <w:rFonts w:ascii="宋体" w:hAnsi="Courier New"/>
      <w:kern w:val="2"/>
      <w:sz w:val="21"/>
    </w:rPr>
  </w:style>
  <w:style w:type="character" w:customStyle="1" w:styleId="410">
    <w:name w:val="shadow11"/>
    <w:autoRedefine/>
    <w:qFormat/>
    <w:uiPriority w:val="99"/>
    <w:rPr>
      <w:color w:val="000000"/>
      <w:sz w:val="21"/>
    </w:rPr>
  </w:style>
  <w:style w:type="character" w:customStyle="1" w:styleId="411">
    <w:name w:val="普通文字 Char1"/>
    <w:autoRedefine/>
    <w:qFormat/>
    <w:uiPriority w:val="99"/>
    <w:rPr>
      <w:rFonts w:ascii="宋体" w:hAnsi="Courier New" w:eastAsia="宋体"/>
      <w:kern w:val="2"/>
      <w:sz w:val="21"/>
      <w:lang w:val="en-US" w:eastAsia="zh-CN"/>
    </w:rPr>
  </w:style>
  <w:style w:type="character" w:customStyle="1" w:styleId="412">
    <w:name w:val="FA正文 Char Char"/>
    <w:link w:val="173"/>
    <w:autoRedefine/>
    <w:qFormat/>
    <w:locked/>
    <w:uiPriority w:val="99"/>
    <w:rPr>
      <w:rFonts w:hAnsi="宋体"/>
      <w:sz w:val="24"/>
    </w:rPr>
  </w:style>
  <w:style w:type="character" w:customStyle="1" w:styleId="413">
    <w:name w:val="md"/>
    <w:basedOn w:val="81"/>
    <w:autoRedefine/>
    <w:qFormat/>
    <w:uiPriority w:val="99"/>
    <w:rPr>
      <w:rFonts w:cs="Times New Roman"/>
    </w:rPr>
  </w:style>
  <w:style w:type="character" w:customStyle="1" w:styleId="414">
    <w:name w:val="正文首行缩进 Char"/>
    <w:basedOn w:val="113"/>
    <w:autoRedefine/>
    <w:qFormat/>
    <w:uiPriority w:val="99"/>
  </w:style>
  <w:style w:type="character" w:customStyle="1" w:styleId="415">
    <w:name w:val="unnamed11"/>
    <w:autoRedefine/>
    <w:qFormat/>
    <w:uiPriority w:val="99"/>
    <w:rPr>
      <w:sz w:val="20"/>
    </w:rPr>
  </w:style>
  <w:style w:type="character" w:customStyle="1" w:styleId="416">
    <w:name w:val="dectext1"/>
    <w:autoRedefine/>
    <w:qFormat/>
    <w:uiPriority w:val="99"/>
    <w:rPr>
      <w:rFonts w:ascii="宋体" w:hAnsi="宋体" w:eastAsia="宋体"/>
      <w:color w:val="333333"/>
      <w:sz w:val="21"/>
      <w:u w:val="none"/>
    </w:rPr>
  </w:style>
  <w:style w:type="character" w:customStyle="1" w:styleId="417">
    <w:name w:val="正文非缩进 Char"/>
    <w:autoRedefine/>
    <w:qFormat/>
    <w:uiPriority w:val="99"/>
    <w:rPr>
      <w:rFonts w:ascii="宋体" w:eastAsia="宋体"/>
      <w:snapToGrid w:val="0"/>
      <w:color w:val="000000"/>
      <w:kern w:val="28"/>
      <w:sz w:val="28"/>
      <w:lang w:val="en-US" w:eastAsia="zh-CN"/>
    </w:rPr>
  </w:style>
  <w:style w:type="character" w:customStyle="1" w:styleId="418">
    <w:name w:val="正文2 Char"/>
    <w:link w:val="138"/>
    <w:autoRedefine/>
    <w:qFormat/>
    <w:locked/>
    <w:uiPriority w:val="99"/>
    <w:rPr>
      <w:rFonts w:ascii="Times New Roman" w:hAnsi="Times New Roman" w:eastAsia="宋体"/>
      <w:sz w:val="20"/>
    </w:rPr>
  </w:style>
  <w:style w:type="character" w:customStyle="1" w:styleId="419">
    <w:name w:val="h3 Char"/>
    <w:autoRedefine/>
    <w:qFormat/>
    <w:uiPriority w:val="99"/>
    <w:rPr>
      <w:rFonts w:eastAsia="宋体"/>
      <w:b/>
      <w:kern w:val="2"/>
      <w:sz w:val="32"/>
      <w:lang w:val="en-US" w:eastAsia="zh-CN"/>
    </w:rPr>
  </w:style>
  <w:style w:type="character" w:customStyle="1" w:styleId="420">
    <w:name w:val="签名 Char"/>
    <w:basedOn w:val="81"/>
    <w:autoRedefine/>
    <w:qFormat/>
    <w:uiPriority w:val="99"/>
    <w:rPr>
      <w:rFonts w:ascii="Times New Roman" w:hAnsi="Times New Roman" w:eastAsia="宋体" w:cs="Times New Roman"/>
      <w:sz w:val="24"/>
      <w:szCs w:val="24"/>
    </w:rPr>
  </w:style>
  <w:style w:type="character" w:customStyle="1" w:styleId="421">
    <w:name w:val="称呼 Char"/>
    <w:basedOn w:val="81"/>
    <w:autoRedefine/>
    <w:qFormat/>
    <w:uiPriority w:val="99"/>
    <w:rPr>
      <w:rFonts w:ascii="Times New Roman" w:hAnsi="Times New Roman" w:eastAsia="宋体" w:cs="Times New Roman"/>
      <w:sz w:val="24"/>
      <w:szCs w:val="24"/>
    </w:rPr>
  </w:style>
  <w:style w:type="character" w:customStyle="1" w:styleId="422">
    <w:name w:val="style91"/>
    <w:autoRedefine/>
    <w:qFormat/>
    <w:uiPriority w:val="99"/>
    <w:rPr>
      <w:color w:val="333333"/>
    </w:rPr>
  </w:style>
  <w:style w:type="character" w:customStyle="1" w:styleId="423">
    <w:name w:val="Normal Indent Char Char"/>
    <w:autoRedefine/>
    <w:qFormat/>
    <w:uiPriority w:val="99"/>
    <w:rPr>
      <w:rFonts w:eastAsia="宋体"/>
      <w:kern w:val="2"/>
      <w:sz w:val="21"/>
      <w:lang w:val="en-US" w:eastAsia="zh-CN"/>
    </w:rPr>
  </w:style>
  <w:style w:type="character" w:customStyle="1" w:styleId="424">
    <w:name w:val="large1"/>
    <w:autoRedefine/>
    <w:qFormat/>
    <w:uiPriority w:val="99"/>
    <w:rPr>
      <w:rFonts w:ascii="宋体" w:hAnsi="宋体" w:eastAsia="宋体"/>
      <w:sz w:val="21"/>
    </w:rPr>
  </w:style>
  <w:style w:type="character" w:customStyle="1" w:styleId="425">
    <w:name w:val="Char Char5"/>
    <w:autoRedefine/>
    <w:qFormat/>
    <w:uiPriority w:val="99"/>
    <w:rPr>
      <w:rFonts w:ascii="宋体" w:hAnsi="Courier New" w:eastAsia="宋体"/>
      <w:kern w:val="2"/>
      <w:sz w:val="21"/>
      <w:lang w:val="en-US" w:eastAsia="zh-CN"/>
    </w:rPr>
  </w:style>
  <w:style w:type="character" w:customStyle="1" w:styleId="426">
    <w:name w:val="页眉 Char1"/>
    <w:autoRedefine/>
    <w:qFormat/>
    <w:uiPriority w:val="99"/>
    <w:rPr>
      <w:rFonts w:eastAsia="宋体"/>
      <w:kern w:val="2"/>
      <w:sz w:val="18"/>
      <w:lang w:val="en-US" w:eastAsia="zh-CN"/>
    </w:rPr>
  </w:style>
  <w:style w:type="character" w:customStyle="1" w:styleId="427">
    <w:name w:val="页脚 Char1"/>
    <w:autoRedefine/>
    <w:qFormat/>
    <w:uiPriority w:val="99"/>
    <w:rPr>
      <w:rFonts w:eastAsia="宋体"/>
      <w:kern w:val="2"/>
      <w:sz w:val="18"/>
      <w:lang w:val="en-US" w:eastAsia="zh-CN"/>
    </w:rPr>
  </w:style>
  <w:style w:type="character" w:customStyle="1" w:styleId="428">
    <w:name w:val="普通文字 Char1 Char"/>
    <w:autoRedefine/>
    <w:qFormat/>
    <w:uiPriority w:val="99"/>
    <w:rPr>
      <w:rFonts w:ascii="宋体" w:hAnsi="Courier New" w:eastAsia="宋体"/>
      <w:kern w:val="2"/>
      <w:sz w:val="24"/>
      <w:lang w:val="en-US" w:eastAsia="zh-CN"/>
    </w:rPr>
  </w:style>
  <w:style w:type="character" w:customStyle="1" w:styleId="429">
    <w:name w:val="表格 Char Char"/>
    <w:link w:val="213"/>
    <w:autoRedefine/>
    <w:qFormat/>
    <w:locked/>
    <w:uiPriority w:val="99"/>
    <w:rPr>
      <w:rFonts w:ascii="宋体" w:hAnsi="宋体" w:eastAsia="宋体"/>
    </w:rPr>
  </w:style>
  <w:style w:type="character" w:customStyle="1" w:styleId="430">
    <w:name w:val="Table Text Char1"/>
    <w:link w:val="156"/>
    <w:autoRedefine/>
    <w:qFormat/>
    <w:locked/>
    <w:uiPriority w:val="99"/>
    <w:rPr>
      <w:rFonts w:ascii="Times New Roman" w:hAnsi="Times New Roman" w:eastAsia="宋体"/>
      <w:kern w:val="0"/>
      <w:sz w:val="24"/>
    </w:rPr>
  </w:style>
  <w:style w:type="character" w:customStyle="1" w:styleId="431">
    <w:name w:val="Char Char8"/>
    <w:autoRedefine/>
    <w:qFormat/>
    <w:uiPriority w:val="99"/>
    <w:rPr>
      <w:rFonts w:eastAsia="宋体"/>
      <w:b/>
      <w:sz w:val="24"/>
      <w:lang w:eastAsia="zh-CN"/>
    </w:rPr>
  </w:style>
  <w:style w:type="character" w:customStyle="1" w:styleId="432">
    <w:name w:val="正文缩进 Char"/>
    <w:autoRedefine/>
    <w:qFormat/>
    <w:uiPriority w:val="99"/>
    <w:rPr>
      <w:rFonts w:eastAsia="宋体"/>
      <w:kern w:val="2"/>
      <w:sz w:val="21"/>
      <w:lang w:val="en-US" w:eastAsia="zh-CN"/>
    </w:rPr>
  </w:style>
  <w:style w:type="character" w:customStyle="1" w:styleId="433">
    <w:name w:val="标准正文格式 Char"/>
    <w:link w:val="229"/>
    <w:autoRedefine/>
    <w:qFormat/>
    <w:locked/>
    <w:uiPriority w:val="99"/>
    <w:rPr>
      <w:rFonts w:ascii="宋体" w:hAnsi="Times New Roman" w:eastAsia="仿宋_GB2312"/>
      <w:color w:val="000000"/>
      <w:kern w:val="0"/>
      <w:sz w:val="20"/>
    </w:rPr>
  </w:style>
  <w:style w:type="character" w:customStyle="1" w:styleId="434">
    <w:name w:val="ca-131"/>
    <w:autoRedefine/>
    <w:qFormat/>
    <w:uiPriority w:val="99"/>
    <w:rPr>
      <w:rFonts w:ascii="仿宋_GB2312" w:eastAsia="仿宋_GB2312"/>
      <w:b/>
      <w:color w:val="000000"/>
      <w:spacing w:val="-20"/>
      <w:sz w:val="24"/>
    </w:rPr>
  </w:style>
  <w:style w:type="character" w:customStyle="1" w:styleId="435">
    <w:name w:val="正文1 Char"/>
    <w:link w:val="236"/>
    <w:autoRedefine/>
    <w:qFormat/>
    <w:locked/>
    <w:uiPriority w:val="99"/>
    <w:rPr>
      <w:rFonts w:ascii="宋体" w:hAnsi="宋体" w:eastAsia="宋体"/>
      <w:kern w:val="0"/>
      <w:sz w:val="20"/>
    </w:rPr>
  </w:style>
  <w:style w:type="character" w:customStyle="1" w:styleId="436">
    <w:name w:val="pt141"/>
    <w:autoRedefine/>
    <w:qFormat/>
    <w:uiPriority w:val="99"/>
    <w:rPr>
      <w:color w:val="330066"/>
      <w:sz w:val="22"/>
    </w:rPr>
  </w:style>
  <w:style w:type="character" w:customStyle="1" w:styleId="437">
    <w:name w:val="dandyren_title1"/>
    <w:autoRedefine/>
    <w:qFormat/>
    <w:uiPriority w:val="99"/>
    <w:rPr>
      <w:b/>
      <w:color w:val="FF6633"/>
      <w:sz w:val="18"/>
    </w:rPr>
  </w:style>
  <w:style w:type="character" w:customStyle="1" w:styleId="438">
    <w:name w:val="gray6"/>
    <w:basedOn w:val="81"/>
    <w:autoRedefine/>
    <w:qFormat/>
    <w:uiPriority w:val="99"/>
    <w:rPr>
      <w:rFonts w:cs="Times New Roman"/>
    </w:rPr>
  </w:style>
  <w:style w:type="character" w:customStyle="1" w:styleId="439">
    <w:name w:val="blue1"/>
    <w:basedOn w:val="81"/>
    <w:autoRedefine/>
    <w:qFormat/>
    <w:uiPriority w:val="99"/>
    <w:rPr>
      <w:rFonts w:cs="Times New Roman"/>
    </w:rPr>
  </w:style>
  <w:style w:type="character" w:customStyle="1" w:styleId="440">
    <w:name w:val="font21"/>
    <w:autoRedefine/>
    <w:qFormat/>
    <w:uiPriority w:val="99"/>
    <w:rPr>
      <w:rFonts w:ascii="宋体" w:hAnsi="宋体" w:eastAsia="宋体"/>
      <w:kern w:val="2"/>
      <w:sz w:val="28"/>
      <w:lang w:val="en-US" w:eastAsia="zh-CN"/>
    </w:rPr>
  </w:style>
  <w:style w:type="character" w:customStyle="1" w:styleId="441">
    <w:name w:val="style36"/>
    <w:basedOn w:val="81"/>
    <w:autoRedefine/>
    <w:qFormat/>
    <w:uiPriority w:val="99"/>
    <w:rPr>
      <w:rFonts w:cs="Times New Roman"/>
    </w:rPr>
  </w:style>
  <w:style w:type="character" w:customStyle="1" w:styleId="442">
    <w:name w:val="Ò³Ã¼ Char Char"/>
    <w:autoRedefine/>
    <w:qFormat/>
    <w:uiPriority w:val="99"/>
    <w:rPr>
      <w:rFonts w:eastAsia="宋体"/>
      <w:kern w:val="2"/>
      <w:sz w:val="18"/>
      <w:lang w:val="en-US" w:eastAsia="zh-CN"/>
    </w:rPr>
  </w:style>
  <w:style w:type="character" w:customStyle="1" w:styleId="443">
    <w:name w:val="Footer-Even Char"/>
    <w:autoRedefine/>
    <w:qFormat/>
    <w:uiPriority w:val="99"/>
    <w:rPr>
      <w:rFonts w:eastAsia="宋体"/>
      <w:kern w:val="2"/>
      <w:sz w:val="18"/>
      <w:lang w:val="en-US" w:eastAsia="zh-CN"/>
    </w:rPr>
  </w:style>
  <w:style w:type="character" w:customStyle="1" w:styleId="444">
    <w:name w:val="hei16b1"/>
    <w:autoRedefine/>
    <w:qFormat/>
    <w:uiPriority w:val="99"/>
    <w:rPr>
      <w:rFonts w:ascii="Arial" w:hAnsi="Arial"/>
      <w:b/>
      <w:color w:val="000000"/>
      <w:sz w:val="24"/>
    </w:rPr>
  </w:style>
  <w:style w:type="character" w:customStyle="1" w:styleId="445">
    <w:name w:val="style5"/>
    <w:basedOn w:val="81"/>
    <w:autoRedefine/>
    <w:qFormat/>
    <w:uiPriority w:val="99"/>
    <w:rPr>
      <w:rFonts w:cs="Times New Roman"/>
    </w:rPr>
  </w:style>
  <w:style w:type="character" w:customStyle="1" w:styleId="446">
    <w:name w:val="style6"/>
    <w:basedOn w:val="81"/>
    <w:autoRedefine/>
    <w:qFormat/>
    <w:uiPriority w:val="99"/>
    <w:rPr>
      <w:rFonts w:cs="Times New Roman"/>
    </w:rPr>
  </w:style>
  <w:style w:type="character" w:customStyle="1" w:styleId="447">
    <w:name w:val="无间隔 Char"/>
    <w:link w:val="267"/>
    <w:autoRedefine/>
    <w:qFormat/>
    <w:locked/>
    <w:uiPriority w:val="99"/>
    <w:rPr>
      <w:rFonts w:ascii="Calibri" w:hAnsi="Calibri"/>
      <w:sz w:val="22"/>
    </w:rPr>
  </w:style>
  <w:style w:type="character" w:customStyle="1" w:styleId="448">
    <w:name w:val="样式2 Char"/>
    <w:link w:val="270"/>
    <w:autoRedefine/>
    <w:qFormat/>
    <w:locked/>
    <w:uiPriority w:val="99"/>
    <w:rPr>
      <w:rFonts w:ascii="仿宋_GB2312" w:hAnsi="仿宋" w:eastAsia="仿宋_GB2312"/>
      <w:kern w:val="0"/>
      <w:sz w:val="20"/>
    </w:rPr>
  </w:style>
  <w:style w:type="character" w:customStyle="1" w:styleId="449">
    <w:name w:val="文档结构图 Char2"/>
    <w:autoRedefine/>
    <w:qFormat/>
    <w:uiPriority w:val="99"/>
    <w:rPr>
      <w:rFonts w:eastAsia="宋体"/>
      <w:kern w:val="2"/>
      <w:sz w:val="24"/>
      <w:lang w:val="en-US" w:eastAsia="zh-CN"/>
    </w:rPr>
  </w:style>
  <w:style w:type="character" w:customStyle="1" w:styleId="450">
    <w:name w:val="标题 Char2"/>
    <w:autoRedefine/>
    <w:qFormat/>
    <w:uiPriority w:val="99"/>
    <w:rPr>
      <w:rFonts w:eastAsia="宋体"/>
      <w:b/>
      <w:sz w:val="24"/>
      <w:lang w:eastAsia="zh-CN"/>
    </w:rPr>
  </w:style>
  <w:style w:type="character" w:customStyle="1" w:styleId="451">
    <w:name w:val="正文文本 2 Char2"/>
    <w:autoRedefine/>
    <w:qFormat/>
    <w:uiPriority w:val="99"/>
    <w:rPr>
      <w:rFonts w:eastAsia="宋体"/>
      <w:kern w:val="2"/>
      <w:sz w:val="24"/>
      <w:lang w:val="en-US" w:eastAsia="zh-CN"/>
    </w:rPr>
  </w:style>
  <w:style w:type="character" w:customStyle="1" w:styleId="452">
    <w:name w:val="批注主题 Char2"/>
    <w:autoRedefine/>
    <w:qFormat/>
    <w:uiPriority w:val="99"/>
    <w:rPr>
      <w:rFonts w:eastAsia="宋体"/>
      <w:b/>
      <w:kern w:val="2"/>
      <w:sz w:val="24"/>
      <w:lang w:val="en-US" w:eastAsia="zh-CN"/>
    </w:rPr>
  </w:style>
  <w:style w:type="character" w:customStyle="1" w:styleId="453">
    <w:name w:val="日期 Char2"/>
    <w:autoRedefine/>
    <w:qFormat/>
    <w:uiPriority w:val="99"/>
    <w:rPr>
      <w:rFonts w:ascii="宋体"/>
      <w:kern w:val="2"/>
      <w:sz w:val="21"/>
      <w:lang w:val="zh-CN"/>
    </w:rPr>
  </w:style>
  <w:style w:type="character" w:customStyle="1" w:styleId="454">
    <w:name w:val="文档结构图 Char1"/>
    <w:autoRedefine/>
    <w:qFormat/>
    <w:uiPriority w:val="99"/>
    <w:rPr>
      <w:rFonts w:eastAsia="宋体"/>
      <w:kern w:val="2"/>
      <w:sz w:val="24"/>
      <w:lang w:val="en-US" w:eastAsia="zh-CN"/>
    </w:rPr>
  </w:style>
  <w:style w:type="character" w:customStyle="1" w:styleId="455">
    <w:name w:val="标题 Char1"/>
    <w:autoRedefine/>
    <w:qFormat/>
    <w:uiPriority w:val="99"/>
    <w:rPr>
      <w:rFonts w:eastAsia="宋体"/>
      <w:b/>
      <w:sz w:val="24"/>
      <w:lang w:eastAsia="zh-CN"/>
    </w:rPr>
  </w:style>
  <w:style w:type="character" w:customStyle="1" w:styleId="456">
    <w:name w:val="正文文本 2 Char1"/>
    <w:autoRedefine/>
    <w:qFormat/>
    <w:uiPriority w:val="99"/>
    <w:rPr>
      <w:rFonts w:eastAsia="宋体"/>
      <w:kern w:val="2"/>
      <w:sz w:val="24"/>
      <w:lang w:val="en-US" w:eastAsia="zh-CN"/>
    </w:rPr>
  </w:style>
  <w:style w:type="character" w:customStyle="1" w:styleId="457">
    <w:name w:val="批注主题 Char1"/>
    <w:autoRedefine/>
    <w:qFormat/>
    <w:uiPriority w:val="99"/>
    <w:rPr>
      <w:rFonts w:eastAsia="宋体"/>
      <w:b/>
      <w:kern w:val="2"/>
      <w:sz w:val="24"/>
      <w:lang w:val="en-US" w:eastAsia="zh-CN"/>
    </w:rPr>
  </w:style>
  <w:style w:type="character" w:customStyle="1" w:styleId="458">
    <w:name w:val="日期 Char1"/>
    <w:autoRedefine/>
    <w:qFormat/>
    <w:uiPriority w:val="99"/>
    <w:rPr>
      <w:rFonts w:ascii="宋体"/>
      <w:kern w:val="2"/>
      <w:sz w:val="21"/>
      <w:lang w:val="zh-CN"/>
    </w:rPr>
  </w:style>
  <w:style w:type="character" w:customStyle="1" w:styleId="459">
    <w:name w:val="Char Char2"/>
    <w:autoRedefine/>
    <w:qFormat/>
    <w:uiPriority w:val="99"/>
    <w:rPr>
      <w:rFonts w:ascii="宋体" w:hAnsi="Courier New" w:eastAsia="宋体"/>
      <w:kern w:val="2"/>
      <w:sz w:val="21"/>
      <w:lang w:val="en-US" w:eastAsia="zh-CN"/>
    </w:rPr>
  </w:style>
  <w:style w:type="character" w:customStyle="1" w:styleId="460">
    <w:name w:val="Char Char51"/>
    <w:autoRedefine/>
    <w:qFormat/>
    <w:uiPriority w:val="99"/>
    <w:rPr>
      <w:rFonts w:ascii="宋体" w:hAnsi="Courier New" w:eastAsia="宋体"/>
      <w:kern w:val="2"/>
      <w:sz w:val="21"/>
      <w:lang w:val="en-US" w:eastAsia="zh-CN"/>
    </w:rPr>
  </w:style>
  <w:style w:type="character" w:customStyle="1" w:styleId="461">
    <w:name w:val="Char Char81"/>
    <w:autoRedefine/>
    <w:qFormat/>
    <w:uiPriority w:val="99"/>
    <w:rPr>
      <w:rFonts w:ascii="宋体" w:hAnsi="宋体" w:eastAsia="宋体"/>
      <w:b/>
      <w:sz w:val="24"/>
      <w:lang w:eastAsia="zh-CN"/>
    </w:rPr>
  </w:style>
  <w:style w:type="character" w:customStyle="1" w:styleId="462">
    <w:name w:val="普通文字 Char4"/>
    <w:autoRedefine/>
    <w:qFormat/>
    <w:uiPriority w:val="99"/>
    <w:rPr>
      <w:rFonts w:ascii="宋体" w:hAnsi="Courier New" w:eastAsia="宋体"/>
      <w:kern w:val="2"/>
      <w:sz w:val="21"/>
      <w:lang w:val="en-US" w:eastAsia="zh-CN"/>
    </w:rPr>
  </w:style>
  <w:style w:type="character" w:customStyle="1" w:styleId="463">
    <w:name w:val="font11"/>
    <w:autoRedefine/>
    <w:qFormat/>
    <w:uiPriority w:val="99"/>
    <w:rPr>
      <w:rFonts w:ascii="宋体" w:hAnsi="宋体" w:eastAsia="宋体"/>
      <w:color w:val="000000"/>
      <w:sz w:val="20"/>
    </w:rPr>
  </w:style>
  <w:style w:type="character" w:customStyle="1" w:styleId="464">
    <w:name w:val="marklong"/>
    <w:basedOn w:val="81"/>
    <w:autoRedefine/>
    <w:qFormat/>
    <w:uiPriority w:val="99"/>
    <w:rPr>
      <w:rFonts w:cs="Times New Roman"/>
    </w:rPr>
  </w:style>
  <w:style w:type="character" w:customStyle="1" w:styleId="465">
    <w:name w:val="Ò³Ã¼ Char Char1"/>
    <w:autoRedefine/>
    <w:qFormat/>
    <w:uiPriority w:val="99"/>
    <w:rPr>
      <w:rFonts w:eastAsia="宋体"/>
      <w:kern w:val="2"/>
      <w:sz w:val="18"/>
      <w:lang w:val="en-US" w:eastAsia="zh-CN"/>
    </w:rPr>
  </w:style>
  <w:style w:type="character" w:customStyle="1" w:styleId="466">
    <w:name w:val="标准正文 Char"/>
    <w:link w:val="255"/>
    <w:autoRedefine/>
    <w:qFormat/>
    <w:locked/>
    <w:uiPriority w:val="99"/>
    <w:rPr>
      <w:rFonts w:ascii="Arial" w:hAnsi="Arial" w:eastAsia="宋体"/>
      <w:b/>
      <w:sz w:val="20"/>
    </w:rPr>
  </w:style>
  <w:style w:type="character" w:customStyle="1" w:styleId="467">
    <w:name w:val="列出段落 Char"/>
    <w:link w:val="276"/>
    <w:autoRedefine/>
    <w:qFormat/>
    <w:locked/>
    <w:uiPriority w:val="99"/>
    <w:rPr>
      <w:rFonts w:ascii="Times New Roman" w:hAnsi="Times New Roman" w:eastAsia="楷体_GB2312"/>
      <w:sz w:val="24"/>
    </w:rPr>
  </w:style>
  <w:style w:type="character" w:customStyle="1" w:styleId="468">
    <w:name w:val="样式1 Char"/>
    <w:link w:val="168"/>
    <w:autoRedefine/>
    <w:qFormat/>
    <w:locked/>
    <w:uiPriority w:val="99"/>
    <w:rPr>
      <w:rFonts w:ascii="宋体" w:hAnsi="宋体" w:eastAsia="宋体"/>
      <w:kern w:val="0"/>
      <w:sz w:val="20"/>
    </w:rPr>
  </w:style>
  <w:style w:type="character" w:customStyle="1" w:styleId="469">
    <w:name w:val="正文2 Char Char"/>
    <w:autoRedefine/>
    <w:qFormat/>
    <w:uiPriority w:val="99"/>
    <w:rPr>
      <w:rFonts w:ascii="宋体" w:hAnsi="宋体" w:eastAsia="宋体"/>
      <w:kern w:val="2"/>
      <w:sz w:val="24"/>
      <w:lang w:val="en-US" w:eastAsia="zh-CN"/>
    </w:rPr>
  </w:style>
  <w:style w:type="character" w:customStyle="1" w:styleId="470">
    <w:name w:val="Char Char12"/>
    <w:autoRedefine/>
    <w:qFormat/>
    <w:uiPriority w:val="99"/>
    <w:rPr>
      <w:kern w:val="2"/>
      <w:sz w:val="24"/>
    </w:rPr>
  </w:style>
  <w:style w:type="character" w:customStyle="1" w:styleId="471">
    <w:name w:val="哈哈正文 Char"/>
    <w:link w:val="363"/>
    <w:autoRedefine/>
    <w:qFormat/>
    <w:locked/>
    <w:uiPriority w:val="99"/>
    <w:rPr>
      <w:rFonts w:ascii="宋体" w:hAnsi="宋体" w:eastAsia="宋体"/>
      <w:sz w:val="24"/>
    </w:rPr>
  </w:style>
  <w:style w:type="character" w:customStyle="1" w:styleId="472">
    <w:name w:val="样式3 Char"/>
    <w:link w:val="366"/>
    <w:autoRedefine/>
    <w:qFormat/>
    <w:locked/>
    <w:uiPriority w:val="99"/>
    <w:rPr>
      <w:rFonts w:ascii="仿宋_GB2312" w:hAnsi="仿宋" w:eastAsia="仿宋_GB2312"/>
      <w:b/>
      <w:color w:val="000000"/>
      <w:sz w:val="28"/>
      <w:szCs w:val="28"/>
    </w:rPr>
  </w:style>
  <w:style w:type="character" w:customStyle="1" w:styleId="473">
    <w:name w:val="ca-91"/>
    <w:autoRedefine/>
    <w:qFormat/>
    <w:uiPriority w:val="99"/>
    <w:rPr>
      <w:rFonts w:ascii="宋体" w:hAnsi="宋体" w:eastAsia="宋体"/>
      <w:sz w:val="21"/>
    </w:rPr>
  </w:style>
  <w:style w:type="character" w:customStyle="1" w:styleId="474">
    <w:name w:val="正文非缩进 Char3"/>
    <w:autoRedefine/>
    <w:qFormat/>
    <w:uiPriority w:val="99"/>
    <w:rPr>
      <w:rFonts w:ascii="宋体" w:eastAsia="宋体"/>
      <w:snapToGrid w:val="0"/>
      <w:color w:val="000000"/>
      <w:kern w:val="28"/>
      <w:sz w:val="28"/>
      <w:lang w:val="en-US" w:eastAsia="zh-CN"/>
    </w:rPr>
  </w:style>
  <w:style w:type="character" w:customStyle="1" w:styleId="475">
    <w:name w:val="font01"/>
    <w:basedOn w:val="81"/>
    <w:autoRedefine/>
    <w:qFormat/>
    <w:uiPriority w:val="99"/>
    <w:rPr>
      <w:rFonts w:ascii="Arial" w:hAnsi="Arial"/>
      <w:color w:val="000000"/>
      <w:sz w:val="20"/>
    </w:rPr>
  </w:style>
  <w:style w:type="character" w:customStyle="1" w:styleId="476">
    <w:name w:val="test1"/>
    <w:autoRedefine/>
    <w:qFormat/>
    <w:uiPriority w:val="99"/>
    <w:rPr>
      <w:rFonts w:ascii="宋体" w:hAnsi="宋体" w:eastAsia="宋体"/>
      <w:color w:val="000000"/>
      <w:sz w:val="21"/>
      <w:u w:val="none"/>
    </w:rPr>
  </w:style>
  <w:style w:type="character" w:customStyle="1" w:styleId="477">
    <w:name w:val="带编号样式 Char"/>
    <w:link w:val="370"/>
    <w:autoRedefine/>
    <w:qFormat/>
    <w:locked/>
    <w:uiPriority w:val="99"/>
    <w:rPr>
      <w:rFonts w:ascii="仿宋_GB2312" w:hAnsi="Calibri" w:eastAsia="仿宋_GB2312"/>
      <w:color w:val="000000"/>
      <w:sz w:val="24"/>
    </w:rPr>
  </w:style>
  <w:style w:type="character" w:customStyle="1" w:styleId="478">
    <w:name w:val="正文文本 Char1"/>
    <w:autoRedefine/>
    <w:qFormat/>
    <w:uiPriority w:val="99"/>
    <w:rPr>
      <w:rFonts w:eastAsia="宋体"/>
      <w:kern w:val="2"/>
      <w:sz w:val="21"/>
      <w:lang w:val="en-US" w:eastAsia="zh-CN"/>
    </w:rPr>
  </w:style>
  <w:style w:type="character" w:customStyle="1" w:styleId="479">
    <w:name w:val="公文正文 Char"/>
    <w:link w:val="372"/>
    <w:autoRedefine/>
    <w:qFormat/>
    <w:locked/>
    <w:uiPriority w:val="99"/>
    <w:rPr>
      <w:rFonts w:ascii="仿宋_GB2312" w:eastAsia="仿宋_GB2312"/>
      <w:sz w:val="24"/>
    </w:rPr>
  </w:style>
  <w:style w:type="character" w:customStyle="1" w:styleId="480">
    <w:name w:val="font41"/>
    <w:autoRedefine/>
    <w:qFormat/>
    <w:uiPriority w:val="99"/>
    <w:rPr>
      <w:rFonts w:ascii="Calibri" w:hAnsi="Calibri"/>
      <w:color w:val="000000"/>
      <w:sz w:val="20"/>
    </w:rPr>
  </w:style>
  <w:style w:type="character" w:customStyle="1" w:styleId="481">
    <w:name w:val="h Char Char"/>
    <w:autoRedefine/>
    <w:qFormat/>
    <w:uiPriority w:val="99"/>
    <w:rPr>
      <w:rFonts w:eastAsia="宋体"/>
      <w:kern w:val="2"/>
      <w:sz w:val="18"/>
      <w:lang w:val="en-US" w:eastAsia="zh-CN"/>
    </w:rPr>
  </w:style>
  <w:style w:type="character" w:customStyle="1" w:styleId="482">
    <w:name w:val="列出段落字符"/>
    <w:autoRedefine/>
    <w:qFormat/>
    <w:uiPriority w:val="99"/>
    <w:rPr>
      <w:rFonts w:ascii="Calibri" w:hAnsi="Calibri"/>
      <w:kern w:val="2"/>
      <w:sz w:val="22"/>
    </w:rPr>
  </w:style>
  <w:style w:type="character" w:customStyle="1" w:styleId="483">
    <w:name w:val="正文首行缩进（ACK） Char Char"/>
    <w:link w:val="380"/>
    <w:autoRedefine/>
    <w:qFormat/>
    <w:locked/>
    <w:uiPriority w:val="99"/>
    <w:rPr>
      <w:rFonts w:ascii="Arial" w:hAnsi="Arial" w:eastAsia="宋体"/>
      <w:sz w:val="21"/>
    </w:rPr>
  </w:style>
  <w:style w:type="character" w:customStyle="1" w:styleId="484">
    <w:name w:val="apple-converted-space"/>
    <w:autoRedefine/>
    <w:qFormat/>
    <w:uiPriority w:val="99"/>
  </w:style>
  <w:style w:type="character" w:customStyle="1" w:styleId="485">
    <w:name w:val="副标题 Char1"/>
    <w:basedOn w:val="81"/>
    <w:autoRedefine/>
    <w:qFormat/>
    <w:uiPriority w:val="99"/>
    <w:rPr>
      <w:rFonts w:ascii="Calibri Light" w:hAnsi="Calibri Light" w:eastAsia="宋体" w:cs="黑体"/>
      <w:b/>
      <w:bCs/>
      <w:kern w:val="28"/>
      <w:sz w:val="32"/>
      <w:szCs w:val="32"/>
    </w:rPr>
  </w:style>
  <w:style w:type="table" w:customStyle="1" w:styleId="486">
    <w:name w:val="网格型1"/>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87">
    <w:name w:val="Char Char2 Char"/>
    <w:basedOn w:val="1"/>
    <w:autoRedefine/>
    <w:qFormat/>
    <w:uiPriority w:val="99"/>
    <w:pPr>
      <w:keepNext/>
      <w:keepLines/>
      <w:pageBreakBefore/>
      <w:tabs>
        <w:tab w:val="left" w:pos="845"/>
      </w:tabs>
      <w:spacing w:line="240" w:lineRule="auto"/>
      <w:ind w:left="845" w:hanging="420"/>
    </w:pPr>
    <w:rPr>
      <w:rFonts w:ascii="Tahoma" w:hAnsi="Tahoma"/>
      <w:sz w:val="24"/>
      <w:szCs w:val="20"/>
    </w:rPr>
  </w:style>
  <w:style w:type="character" w:customStyle="1" w:styleId="488">
    <w:name w:val="tpc_content1"/>
    <w:autoRedefine/>
    <w:qFormat/>
    <w:uiPriority w:val="99"/>
    <w:rPr>
      <w:sz w:val="20"/>
    </w:rPr>
  </w:style>
  <w:style w:type="paragraph" w:customStyle="1" w:styleId="489">
    <w:name w:val="智业正文"/>
    <w:basedOn w:val="1"/>
    <w:link w:val="490"/>
    <w:autoRedefine/>
    <w:qFormat/>
    <w:uiPriority w:val="99"/>
    <w:pPr>
      <w:ind w:firstLine="200" w:firstLineChars="200"/>
    </w:pPr>
    <w:rPr>
      <w:rFonts w:ascii="仿宋_GB2312" w:eastAsia="仿宋_GB2312"/>
      <w:sz w:val="28"/>
      <w:szCs w:val="20"/>
      <w:lang w:val="zh-CN"/>
    </w:rPr>
  </w:style>
  <w:style w:type="character" w:customStyle="1" w:styleId="490">
    <w:name w:val="智业正文 Char"/>
    <w:link w:val="489"/>
    <w:autoRedefine/>
    <w:qFormat/>
    <w:locked/>
    <w:uiPriority w:val="99"/>
    <w:rPr>
      <w:rFonts w:ascii="仿宋_GB2312" w:eastAsia="仿宋_GB2312"/>
      <w:kern w:val="2"/>
      <w:sz w:val="28"/>
      <w:lang w:val="zh-CN" w:eastAsia="zh-CN"/>
    </w:rPr>
  </w:style>
  <w:style w:type="paragraph" w:customStyle="1" w:styleId="491">
    <w:name w:val="列出段落2"/>
    <w:basedOn w:val="1"/>
    <w:autoRedefine/>
    <w:qFormat/>
    <w:uiPriority w:val="99"/>
    <w:pPr>
      <w:ind w:firstLine="420" w:firstLineChars="200"/>
    </w:pPr>
    <w:rPr>
      <w:rFonts w:eastAsia="微软雅黑"/>
    </w:rPr>
  </w:style>
  <w:style w:type="paragraph" w:customStyle="1" w:styleId="492">
    <w:name w:val="列出段落3"/>
    <w:basedOn w:val="1"/>
    <w:link w:val="573"/>
    <w:autoRedefine/>
    <w:qFormat/>
    <w:uiPriority w:val="99"/>
    <w:pPr>
      <w:ind w:firstLine="420" w:firstLineChars="200"/>
    </w:pPr>
  </w:style>
  <w:style w:type="paragraph" w:customStyle="1" w:styleId="493">
    <w:name w:val="样式 正文缩进 + 首行缩进:  2 字符"/>
    <w:basedOn w:val="16"/>
    <w:autoRedefine/>
    <w:qFormat/>
    <w:uiPriority w:val="99"/>
    <w:pPr>
      <w:widowControl w:val="0"/>
      <w:spacing w:line="360" w:lineRule="auto"/>
      <w:ind w:firstLine="200" w:firstLineChars="200"/>
    </w:pPr>
    <w:rPr>
      <w:rFonts w:ascii="Times New Roman" w:cs="宋体"/>
      <w:color w:val="auto"/>
      <w:kern w:val="2"/>
      <w:sz w:val="24"/>
    </w:rPr>
  </w:style>
  <w:style w:type="paragraph" w:customStyle="1" w:styleId="494">
    <w:name w:val="RFI Heading 3rd Level"/>
    <w:basedOn w:val="1"/>
    <w:autoRedefine/>
    <w:qFormat/>
    <w:uiPriority w:val="99"/>
    <w:pPr>
      <w:widowControl/>
      <w:numPr>
        <w:ilvl w:val="0"/>
        <w:numId w:val="18"/>
      </w:numPr>
      <w:adjustRightInd w:val="0"/>
      <w:snapToGrid w:val="0"/>
      <w:jc w:val="left"/>
    </w:pPr>
    <w:rPr>
      <w:rFonts w:ascii="Arial (W1)" w:hAnsi="Arial (W1)"/>
      <w:color w:val="000000"/>
      <w:kern w:val="0"/>
      <w:sz w:val="24"/>
      <w:lang w:val="en-GB" w:eastAsia="en-US"/>
    </w:rPr>
  </w:style>
  <w:style w:type="paragraph" w:customStyle="1" w:styleId="495">
    <w:name w:val="RFI Heading 2nd Level"/>
    <w:basedOn w:val="1"/>
    <w:autoRedefine/>
    <w:qFormat/>
    <w:uiPriority w:val="99"/>
    <w:pPr>
      <w:widowControl/>
      <w:numPr>
        <w:ilvl w:val="1"/>
        <w:numId w:val="18"/>
      </w:numPr>
      <w:adjustRightInd w:val="0"/>
      <w:snapToGrid w:val="0"/>
      <w:jc w:val="left"/>
    </w:pPr>
    <w:rPr>
      <w:rFonts w:ascii="Arial (W1)" w:hAnsi="Arial (W1)"/>
      <w:b/>
      <w:bCs/>
      <w:color w:val="0000FF"/>
      <w:kern w:val="0"/>
      <w:sz w:val="28"/>
      <w:lang w:val="en-GB" w:eastAsia="en-US"/>
    </w:rPr>
  </w:style>
  <w:style w:type="paragraph" w:customStyle="1" w:styleId="496">
    <w:name w:val="Char1 Char Char Char Char Char Char"/>
    <w:basedOn w:val="1"/>
    <w:autoRedefine/>
    <w:qFormat/>
    <w:uiPriority w:val="99"/>
    <w:pPr>
      <w:adjustRightInd w:val="0"/>
      <w:snapToGrid w:val="0"/>
    </w:pPr>
    <w:rPr>
      <w:rFonts w:ascii="Tahoma" w:hAnsi="Tahoma"/>
      <w:sz w:val="24"/>
      <w:szCs w:val="20"/>
    </w:rPr>
  </w:style>
  <w:style w:type="character" w:customStyle="1" w:styleId="497">
    <w:name w:val="正文缩进 Char1"/>
    <w:autoRedefine/>
    <w:qFormat/>
    <w:uiPriority w:val="99"/>
    <w:rPr>
      <w:kern w:val="2"/>
      <w:sz w:val="21"/>
    </w:rPr>
  </w:style>
  <w:style w:type="paragraph" w:customStyle="1" w:styleId="498">
    <w:name w:val="样式 宋体 首行缩进:  0.74 厘米 行距: 1.5 倍行距"/>
    <w:basedOn w:val="1"/>
    <w:autoRedefine/>
    <w:qFormat/>
    <w:uiPriority w:val="99"/>
    <w:pPr>
      <w:adjustRightInd w:val="0"/>
      <w:snapToGrid w:val="0"/>
      <w:ind w:firstLine="420"/>
    </w:pPr>
    <w:rPr>
      <w:rFonts w:ascii="宋体" w:hAnsi="宋体" w:cs="宋体"/>
      <w:sz w:val="24"/>
      <w:szCs w:val="20"/>
    </w:rPr>
  </w:style>
  <w:style w:type="paragraph" w:customStyle="1" w:styleId="499">
    <w:name w:val="1.1 Header2"/>
    <w:basedOn w:val="1"/>
    <w:autoRedefine/>
    <w:qFormat/>
    <w:uiPriority w:val="99"/>
    <w:pPr>
      <w:widowControl/>
      <w:adjustRightInd w:val="0"/>
      <w:snapToGrid w:val="0"/>
      <w:jc w:val="left"/>
    </w:pPr>
    <w:rPr>
      <w:rFonts w:ascii="宋体" w:hAnsi="宋体"/>
      <w:color w:val="000000"/>
      <w:kern w:val="0"/>
      <w:sz w:val="24"/>
      <w:szCs w:val="21"/>
    </w:rPr>
  </w:style>
  <w:style w:type="paragraph" w:customStyle="1" w:styleId="500">
    <w:name w:val="1.1.1Head2"/>
    <w:autoRedefine/>
    <w:qFormat/>
    <w:uiPriority w:val="99"/>
    <w:pPr>
      <w:numPr>
        <w:ilvl w:val="2"/>
        <w:numId w:val="19"/>
      </w:numPr>
      <w:spacing w:before="28" w:after="28"/>
      <w:outlineLvl w:val="2"/>
    </w:pPr>
    <w:rPr>
      <w:rFonts w:ascii="Arial" w:hAnsi="Arial" w:eastAsia="宋体" w:cs="Times New Roman"/>
      <w:b/>
      <w:kern w:val="0"/>
      <w:sz w:val="20"/>
      <w:szCs w:val="20"/>
      <w:lang w:val="en-US" w:eastAsia="en-US" w:bidi="ar-SA"/>
    </w:rPr>
  </w:style>
  <w:style w:type="paragraph" w:customStyle="1" w:styleId="501">
    <w:name w:val="1.1.1.1Heading3"/>
    <w:basedOn w:val="4"/>
    <w:autoRedefine/>
    <w:qFormat/>
    <w:uiPriority w:val="99"/>
    <w:pPr>
      <w:keepLines w:val="0"/>
      <w:widowControl/>
      <w:numPr>
        <w:ilvl w:val="2"/>
        <w:numId w:val="20"/>
      </w:numPr>
      <w:tabs>
        <w:tab w:val="clear" w:pos="2160"/>
      </w:tabs>
      <w:adjustRightInd w:val="0"/>
      <w:snapToGrid w:val="0"/>
      <w:spacing w:before="120" w:after="120" w:line="240" w:lineRule="auto"/>
      <w:ind w:left="2292" w:leftChars="236" w:right="-156"/>
      <w:jc w:val="left"/>
    </w:pPr>
    <w:rPr>
      <w:rFonts w:ascii="Arial" w:hAnsi="Arial" w:eastAsia="黑体" w:cs="Arial"/>
      <w:kern w:val="0"/>
      <w:sz w:val="24"/>
      <w:szCs w:val="16"/>
    </w:rPr>
  </w:style>
  <w:style w:type="paragraph" w:customStyle="1" w:styleId="502">
    <w:name w:val="RFI text from 3rd Level"/>
    <w:basedOn w:val="503"/>
    <w:autoRedefine/>
    <w:qFormat/>
    <w:uiPriority w:val="99"/>
    <w:pPr>
      <w:numPr>
        <w:ilvl w:val="0"/>
        <w:numId w:val="0"/>
      </w:numPr>
      <w:tabs>
        <w:tab w:val="left" w:pos="360"/>
        <w:tab w:val="left" w:pos="720"/>
        <w:tab w:val="left" w:pos="1080"/>
        <w:tab w:val="left" w:pos="1620"/>
      </w:tabs>
    </w:pPr>
    <w:rPr>
      <w:b w:val="0"/>
      <w:lang w:eastAsia="zh-CN"/>
    </w:rPr>
  </w:style>
  <w:style w:type="paragraph" w:customStyle="1" w:styleId="503">
    <w:name w:val="RFI text from 2nd Level"/>
    <w:basedOn w:val="494"/>
    <w:autoRedefine/>
    <w:qFormat/>
    <w:uiPriority w:val="99"/>
    <w:pPr>
      <w:numPr>
        <w:ilvl w:val="1"/>
        <w:numId w:val="21"/>
      </w:numPr>
      <w:tabs>
        <w:tab w:val="left" w:pos="1620"/>
        <w:tab w:val="clear" w:pos="1440"/>
      </w:tabs>
      <w:ind w:left="1620" w:hanging="360"/>
    </w:pPr>
    <w:rPr>
      <w:b/>
      <w:bCs/>
      <w:color w:val="auto"/>
    </w:rPr>
  </w:style>
  <w:style w:type="paragraph" w:customStyle="1" w:styleId="504">
    <w:name w:val="RFI Bullet 1st Level"/>
    <w:basedOn w:val="1"/>
    <w:autoRedefine/>
    <w:qFormat/>
    <w:uiPriority w:val="99"/>
    <w:pPr>
      <w:widowControl/>
      <w:adjustRightInd w:val="0"/>
      <w:snapToGrid w:val="0"/>
      <w:spacing w:before="60" w:after="60"/>
      <w:ind w:left="1440" w:hanging="360"/>
    </w:pPr>
    <w:rPr>
      <w:rFonts w:ascii="Arial (W1)" w:hAnsi="Arial (W1)"/>
      <w:kern w:val="0"/>
      <w:sz w:val="24"/>
      <w:lang w:val="en-GB" w:eastAsia="en-US"/>
    </w:rPr>
  </w:style>
  <w:style w:type="paragraph" w:customStyle="1" w:styleId="505">
    <w:name w:val="RFI Heading 1st Level"/>
    <w:basedOn w:val="1"/>
    <w:autoRedefine/>
    <w:qFormat/>
    <w:uiPriority w:val="99"/>
    <w:pPr>
      <w:widowControl/>
      <w:adjustRightInd w:val="0"/>
      <w:snapToGrid w:val="0"/>
      <w:spacing w:before="120" w:after="240"/>
      <w:jc w:val="left"/>
    </w:pPr>
    <w:rPr>
      <w:rFonts w:ascii="Arial (W1)" w:hAnsi="Arial (W1)"/>
      <w:b/>
      <w:bCs/>
      <w:color w:val="0000FF"/>
      <w:kern w:val="0"/>
      <w:sz w:val="32"/>
      <w:lang w:val="en-GB"/>
    </w:rPr>
  </w:style>
  <w:style w:type="paragraph" w:customStyle="1" w:styleId="506">
    <w:name w:val="RFI abc 1st Level"/>
    <w:basedOn w:val="1"/>
    <w:autoRedefine/>
    <w:qFormat/>
    <w:uiPriority w:val="99"/>
    <w:pPr>
      <w:widowControl/>
      <w:numPr>
        <w:ilvl w:val="0"/>
        <w:numId w:val="22"/>
      </w:numPr>
      <w:tabs>
        <w:tab w:val="clear" w:pos="720"/>
      </w:tabs>
      <w:adjustRightInd w:val="0"/>
      <w:snapToGrid w:val="0"/>
      <w:ind w:left="1440"/>
    </w:pPr>
    <w:rPr>
      <w:rFonts w:ascii="Arial (W1)" w:hAnsi="Arial (W1)"/>
      <w:kern w:val="0"/>
      <w:sz w:val="24"/>
      <w:lang w:val="en-GB" w:eastAsia="en-US"/>
    </w:rPr>
  </w:style>
  <w:style w:type="paragraph" w:customStyle="1" w:styleId="507">
    <w:name w:val="Content Bullet"/>
    <w:basedOn w:val="1"/>
    <w:autoRedefine/>
    <w:qFormat/>
    <w:uiPriority w:val="99"/>
    <w:pPr>
      <w:widowControl/>
      <w:tabs>
        <w:tab w:val="left" w:pos="420"/>
        <w:tab w:val="left" w:pos="696"/>
        <w:tab w:val="left" w:pos="3060"/>
        <w:tab w:val="left" w:pos="3600"/>
      </w:tabs>
      <w:adjustRightInd w:val="0"/>
      <w:snapToGrid w:val="0"/>
      <w:spacing w:after="120"/>
      <w:ind w:left="720" w:hanging="720"/>
      <w:jc w:val="left"/>
    </w:pPr>
    <w:rPr>
      <w:rFonts w:ascii="Book Antiqua" w:hAnsi="Book Antiqua"/>
      <w:kern w:val="0"/>
      <w:sz w:val="22"/>
      <w:szCs w:val="20"/>
      <w:lang w:val="en-GB" w:eastAsia="en-US"/>
    </w:rPr>
  </w:style>
  <w:style w:type="paragraph" w:customStyle="1" w:styleId="508">
    <w:name w:val="Head1"/>
    <w:autoRedefine/>
    <w:qFormat/>
    <w:uiPriority w:val="99"/>
    <w:pPr>
      <w:numPr>
        <w:ilvl w:val="1"/>
        <w:numId w:val="23"/>
      </w:numPr>
      <w:pBdr>
        <w:top w:val="single" w:color="auto" w:sz="6" w:space="1"/>
      </w:pBdr>
      <w:spacing w:before="28" w:after="28"/>
      <w:outlineLvl w:val="1"/>
    </w:pPr>
    <w:rPr>
      <w:rFonts w:ascii="Arial" w:hAnsi="Arial" w:eastAsia="宋体" w:cs="Times New Roman"/>
      <w:b/>
      <w:kern w:val="0"/>
      <w:sz w:val="22"/>
      <w:szCs w:val="20"/>
      <w:lang w:val="en-US" w:eastAsia="en-US" w:bidi="ar-SA"/>
    </w:rPr>
  </w:style>
  <w:style w:type="paragraph" w:customStyle="1" w:styleId="509">
    <w:name w:val="Head2"/>
    <w:autoRedefine/>
    <w:qFormat/>
    <w:uiPriority w:val="99"/>
    <w:pPr>
      <w:numPr>
        <w:ilvl w:val="2"/>
        <w:numId w:val="23"/>
      </w:numPr>
      <w:spacing w:before="28" w:after="28"/>
      <w:outlineLvl w:val="2"/>
    </w:pPr>
    <w:rPr>
      <w:rFonts w:ascii="Arial" w:hAnsi="Arial" w:eastAsia="宋体" w:cs="Times New Roman"/>
      <w:b/>
      <w:kern w:val="0"/>
      <w:sz w:val="20"/>
      <w:szCs w:val="20"/>
      <w:lang w:val="en-US" w:eastAsia="en-US" w:bidi="ar-SA"/>
    </w:rPr>
  </w:style>
  <w:style w:type="paragraph" w:customStyle="1" w:styleId="510">
    <w:name w:val="Level 1: a."/>
    <w:autoRedefine/>
    <w:qFormat/>
    <w:uiPriority w:val="99"/>
    <w:pPr>
      <w:numPr>
        <w:ilvl w:val="3"/>
        <w:numId w:val="23"/>
      </w:numPr>
      <w:tabs>
        <w:tab w:val="clear" w:pos="720"/>
      </w:tabs>
      <w:spacing w:before="72" w:after="72"/>
      <w:jc w:val="both"/>
      <w:outlineLvl w:val="3"/>
    </w:pPr>
    <w:rPr>
      <w:rFonts w:ascii="Arial" w:hAnsi="Arial" w:eastAsia="宋体" w:cs="Times New Roman"/>
      <w:kern w:val="0"/>
      <w:sz w:val="20"/>
      <w:szCs w:val="20"/>
      <w:lang w:val="en-US" w:eastAsia="en-US" w:bidi="ar-SA"/>
    </w:rPr>
  </w:style>
  <w:style w:type="paragraph" w:customStyle="1" w:styleId="511">
    <w:name w:val="Level 2: 1."/>
    <w:autoRedefine/>
    <w:qFormat/>
    <w:uiPriority w:val="99"/>
    <w:pPr>
      <w:numPr>
        <w:ilvl w:val="4"/>
        <w:numId w:val="23"/>
      </w:numPr>
      <w:spacing w:before="72" w:after="72"/>
      <w:jc w:val="both"/>
      <w:outlineLvl w:val="4"/>
    </w:pPr>
    <w:rPr>
      <w:rFonts w:ascii="Arial" w:hAnsi="Arial" w:eastAsia="宋体" w:cs="Times New Roman"/>
      <w:kern w:val="0"/>
      <w:sz w:val="20"/>
      <w:szCs w:val="20"/>
      <w:lang w:val="en-US" w:eastAsia="en-US" w:bidi="ar-SA"/>
    </w:rPr>
  </w:style>
  <w:style w:type="paragraph" w:customStyle="1" w:styleId="512">
    <w:name w:val="Level 3: (a)"/>
    <w:basedOn w:val="1"/>
    <w:autoRedefine/>
    <w:qFormat/>
    <w:uiPriority w:val="99"/>
    <w:pPr>
      <w:widowControl/>
      <w:numPr>
        <w:ilvl w:val="5"/>
        <w:numId w:val="23"/>
      </w:numPr>
      <w:tabs>
        <w:tab w:val="left" w:pos="1080"/>
      </w:tabs>
      <w:adjustRightInd w:val="0"/>
      <w:snapToGrid w:val="0"/>
      <w:spacing w:before="72" w:after="72"/>
      <w:outlineLvl w:val="5"/>
    </w:pPr>
    <w:rPr>
      <w:rFonts w:ascii="Arial" w:hAnsi="Arial"/>
      <w:kern w:val="0"/>
      <w:sz w:val="20"/>
      <w:szCs w:val="20"/>
      <w:lang w:eastAsia="en-US"/>
    </w:rPr>
  </w:style>
  <w:style w:type="paragraph" w:customStyle="1" w:styleId="513">
    <w:name w:val="Level 4: (i)"/>
    <w:basedOn w:val="1"/>
    <w:autoRedefine/>
    <w:qFormat/>
    <w:uiPriority w:val="99"/>
    <w:pPr>
      <w:widowControl/>
      <w:numPr>
        <w:ilvl w:val="6"/>
        <w:numId w:val="23"/>
      </w:numPr>
      <w:tabs>
        <w:tab w:val="left" w:pos="1440"/>
      </w:tabs>
      <w:adjustRightInd w:val="0"/>
      <w:snapToGrid w:val="0"/>
      <w:spacing w:before="72" w:after="72"/>
      <w:outlineLvl w:val="6"/>
    </w:pPr>
    <w:rPr>
      <w:rFonts w:ascii="Arial" w:hAnsi="Arial"/>
      <w:kern w:val="0"/>
      <w:sz w:val="20"/>
      <w:szCs w:val="20"/>
      <w:lang w:eastAsia="en-US"/>
    </w:rPr>
  </w:style>
  <w:style w:type="paragraph" w:customStyle="1" w:styleId="514">
    <w:name w:val="Level 5: (1)"/>
    <w:basedOn w:val="1"/>
    <w:autoRedefine/>
    <w:qFormat/>
    <w:uiPriority w:val="99"/>
    <w:pPr>
      <w:widowControl/>
      <w:numPr>
        <w:ilvl w:val="7"/>
        <w:numId w:val="23"/>
      </w:numPr>
      <w:adjustRightInd w:val="0"/>
      <w:snapToGrid w:val="0"/>
      <w:spacing w:before="72" w:after="72"/>
      <w:outlineLvl w:val="7"/>
    </w:pPr>
    <w:rPr>
      <w:rFonts w:ascii="Arial" w:hAnsi="Arial"/>
      <w:kern w:val="0"/>
      <w:sz w:val="20"/>
      <w:szCs w:val="20"/>
      <w:lang w:eastAsia="en-US"/>
    </w:rPr>
  </w:style>
  <w:style w:type="paragraph" w:customStyle="1" w:styleId="515">
    <w:name w:val="Level 6: (i)"/>
    <w:basedOn w:val="1"/>
    <w:autoRedefine/>
    <w:qFormat/>
    <w:uiPriority w:val="99"/>
    <w:pPr>
      <w:widowControl/>
      <w:numPr>
        <w:ilvl w:val="8"/>
        <w:numId w:val="23"/>
      </w:numPr>
      <w:tabs>
        <w:tab w:val="left" w:pos="2160"/>
      </w:tabs>
      <w:adjustRightInd w:val="0"/>
      <w:snapToGrid w:val="0"/>
      <w:spacing w:before="72" w:after="72"/>
      <w:outlineLvl w:val="8"/>
    </w:pPr>
    <w:rPr>
      <w:rFonts w:ascii="Arial" w:hAnsi="Arial"/>
      <w:kern w:val="0"/>
      <w:sz w:val="20"/>
      <w:szCs w:val="20"/>
      <w:lang w:eastAsia="en-US"/>
    </w:rPr>
  </w:style>
  <w:style w:type="paragraph" w:customStyle="1" w:styleId="516">
    <w:name w:val="Reset levels"/>
    <w:basedOn w:val="1"/>
    <w:autoRedefine/>
    <w:qFormat/>
    <w:uiPriority w:val="99"/>
    <w:pPr>
      <w:widowControl/>
      <w:numPr>
        <w:ilvl w:val="0"/>
        <w:numId w:val="23"/>
      </w:numPr>
      <w:adjustRightInd w:val="0"/>
      <w:snapToGrid w:val="0"/>
      <w:jc w:val="left"/>
    </w:pPr>
    <w:rPr>
      <w:rFonts w:ascii="Arial" w:hAnsi="Arial"/>
      <w:b/>
      <w:kern w:val="0"/>
      <w:sz w:val="24"/>
      <w:szCs w:val="20"/>
      <w:lang w:eastAsia="en-US"/>
    </w:rPr>
  </w:style>
  <w:style w:type="paragraph" w:customStyle="1" w:styleId="517">
    <w:name w:val="Tabletext"/>
    <w:basedOn w:val="1"/>
    <w:autoRedefine/>
    <w:qFormat/>
    <w:uiPriority w:val="99"/>
    <w:pPr>
      <w:keepLines/>
      <w:adjustRightInd w:val="0"/>
      <w:snapToGrid w:val="0"/>
      <w:spacing w:after="120" w:line="240" w:lineRule="atLeast"/>
      <w:jc w:val="left"/>
    </w:pPr>
    <w:rPr>
      <w:kern w:val="0"/>
      <w:sz w:val="24"/>
      <w:szCs w:val="20"/>
      <w:lang w:eastAsia="en-US"/>
    </w:rPr>
  </w:style>
  <w:style w:type="paragraph" w:customStyle="1" w:styleId="518">
    <w:name w:val="RFI List 1"/>
    <w:basedOn w:val="494"/>
    <w:autoRedefine/>
    <w:qFormat/>
    <w:uiPriority w:val="99"/>
    <w:pPr>
      <w:numPr>
        <w:numId w:val="0"/>
      </w:numPr>
      <w:tabs>
        <w:tab w:val="left" w:pos="360"/>
        <w:tab w:val="left" w:pos="1800"/>
      </w:tabs>
      <w:spacing w:before="240" w:after="160"/>
      <w:ind w:left="720" w:hanging="720"/>
      <w:outlineLvl w:val="0"/>
    </w:pPr>
    <w:rPr>
      <w:b/>
      <w:color w:val="auto"/>
    </w:rPr>
  </w:style>
  <w:style w:type="paragraph" w:customStyle="1" w:styleId="519">
    <w:name w:val="RFI Heading 4th Level"/>
    <w:basedOn w:val="494"/>
    <w:autoRedefine/>
    <w:qFormat/>
    <w:uiPriority w:val="99"/>
    <w:pPr>
      <w:numPr>
        <w:ilvl w:val="3"/>
        <w:numId w:val="21"/>
      </w:numPr>
      <w:tabs>
        <w:tab w:val="left" w:pos="1620"/>
        <w:tab w:val="clear" w:pos="1440"/>
      </w:tabs>
      <w:spacing w:before="240" w:after="160"/>
      <w:ind w:left="1152" w:hanging="1152"/>
      <w:jc w:val="both"/>
      <w:outlineLvl w:val="2"/>
    </w:pPr>
    <w:rPr>
      <w:bCs/>
      <w:color w:val="auto"/>
    </w:rPr>
  </w:style>
  <w:style w:type="paragraph" w:customStyle="1" w:styleId="520">
    <w:name w:val="RFI List 2"/>
    <w:basedOn w:val="518"/>
    <w:autoRedefine/>
    <w:qFormat/>
    <w:uiPriority w:val="99"/>
    <w:pPr>
      <w:numPr>
        <w:numId w:val="24"/>
      </w:numPr>
      <w:tabs>
        <w:tab w:val="left" w:pos="2304"/>
      </w:tabs>
      <w:ind w:left="720" w:hanging="720"/>
    </w:pPr>
    <w:rPr>
      <w:b w:val="0"/>
      <w:bCs/>
    </w:rPr>
  </w:style>
  <w:style w:type="paragraph" w:customStyle="1" w:styleId="521">
    <w:name w:val="RFI Heading 2nd Level Char"/>
    <w:basedOn w:val="1"/>
    <w:autoRedefine/>
    <w:qFormat/>
    <w:uiPriority w:val="99"/>
    <w:pPr>
      <w:widowControl/>
      <w:tabs>
        <w:tab w:val="left" w:pos="1152"/>
      </w:tabs>
      <w:adjustRightInd w:val="0"/>
      <w:snapToGrid w:val="0"/>
      <w:spacing w:before="240" w:after="240"/>
      <w:ind w:left="1152" w:hanging="1152"/>
      <w:jc w:val="left"/>
      <w:outlineLvl w:val="1"/>
    </w:pPr>
    <w:rPr>
      <w:rFonts w:ascii="Arial (W1)" w:hAnsi="Arial (W1)"/>
      <w:b/>
      <w:bCs/>
      <w:color w:val="3366FF"/>
      <w:kern w:val="0"/>
      <w:sz w:val="24"/>
      <w:lang w:val="en-GB" w:eastAsia="en-US"/>
    </w:rPr>
  </w:style>
  <w:style w:type="paragraph" w:customStyle="1" w:styleId="522">
    <w:name w:val="项目符号2"/>
    <w:basedOn w:val="1"/>
    <w:autoRedefine/>
    <w:qFormat/>
    <w:uiPriority w:val="99"/>
    <w:pPr>
      <w:tabs>
        <w:tab w:val="left" w:pos="2591"/>
      </w:tabs>
      <w:adjustRightInd w:val="0"/>
      <w:snapToGrid w:val="0"/>
      <w:spacing w:line="300" w:lineRule="auto"/>
      <w:ind w:left="2155" w:hanging="284"/>
    </w:pPr>
    <w:rPr>
      <w:rFonts w:ascii="宋体"/>
      <w:sz w:val="24"/>
      <w:szCs w:val="20"/>
    </w:rPr>
  </w:style>
  <w:style w:type="paragraph" w:customStyle="1" w:styleId="523">
    <w:name w:val="Normal 0.51"/>
    <w:basedOn w:val="1"/>
    <w:autoRedefine/>
    <w:qFormat/>
    <w:uiPriority w:val="99"/>
    <w:pPr>
      <w:keepNext/>
      <w:keepLines/>
      <w:widowControl/>
      <w:adjustRightInd w:val="0"/>
      <w:snapToGrid w:val="0"/>
      <w:spacing w:before="180" w:after="120"/>
      <w:ind w:left="720"/>
    </w:pPr>
    <w:rPr>
      <w:kern w:val="0"/>
      <w:sz w:val="24"/>
      <w:szCs w:val="20"/>
      <w:lang w:val="en-GB" w:eastAsia="en-US"/>
    </w:rPr>
  </w:style>
  <w:style w:type="paragraph" w:customStyle="1" w:styleId="524">
    <w:name w:val="Default Text: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5">
    <w:name w:val="Default Text"/>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26">
    <w:name w:val="Normal 1.0"/>
    <w:basedOn w:val="1"/>
    <w:autoRedefine/>
    <w:qFormat/>
    <w:uiPriority w:val="99"/>
    <w:pPr>
      <w:keepLines/>
      <w:widowControl/>
      <w:adjustRightInd w:val="0"/>
      <w:snapToGrid w:val="0"/>
      <w:spacing w:before="180" w:after="120"/>
      <w:ind w:left="1440"/>
    </w:pPr>
    <w:rPr>
      <w:kern w:val="0"/>
      <w:sz w:val="24"/>
      <w:lang w:val="en-GB" w:eastAsia="en-US"/>
    </w:rPr>
  </w:style>
  <w:style w:type="paragraph" w:customStyle="1" w:styleId="527">
    <w:name w:val="Style Left:  0.81&quot; First line:  0&quot; Line spacing:  1.5 lines Char"/>
    <w:basedOn w:val="1"/>
    <w:autoRedefine/>
    <w:qFormat/>
    <w:uiPriority w:val="99"/>
    <w:pPr>
      <w:widowControl/>
      <w:adjustRightInd w:val="0"/>
      <w:snapToGrid w:val="0"/>
      <w:ind w:left="1152"/>
    </w:pPr>
    <w:rPr>
      <w:kern w:val="0"/>
      <w:sz w:val="24"/>
      <w:szCs w:val="20"/>
      <w:lang w:eastAsia="en-US"/>
    </w:rPr>
  </w:style>
  <w:style w:type="paragraph" w:customStyle="1" w:styleId="528">
    <w:name w:val="小条目 Char Char"/>
    <w:basedOn w:val="1"/>
    <w:autoRedefine/>
    <w:qFormat/>
    <w:uiPriority w:val="99"/>
    <w:pPr>
      <w:tabs>
        <w:tab w:val="left" w:pos="360"/>
        <w:tab w:val="left" w:pos="2160"/>
      </w:tabs>
      <w:adjustRightInd w:val="0"/>
      <w:snapToGrid w:val="0"/>
      <w:ind w:left="6" w:firstLine="420"/>
    </w:pPr>
    <w:rPr>
      <w:rFonts w:ascii="宋体" w:hAnsi="Arial" w:cs="Arial"/>
      <w:b/>
      <w:bCs/>
      <w:caps/>
      <w:kern w:val="44"/>
      <w:sz w:val="24"/>
      <w:szCs w:val="44"/>
    </w:rPr>
  </w:style>
  <w:style w:type="paragraph" w:customStyle="1" w:styleId="529">
    <w:name w:val="批注框文本1"/>
    <w:basedOn w:val="1"/>
    <w:autoRedefine/>
    <w:qFormat/>
    <w:uiPriority w:val="99"/>
    <w:pPr>
      <w:widowControl/>
      <w:adjustRightInd w:val="0"/>
      <w:snapToGrid w:val="0"/>
      <w:spacing w:before="120"/>
      <w:jc w:val="left"/>
    </w:pPr>
    <w:rPr>
      <w:rFonts w:ascii="Tahoma" w:hAnsi="Tahoma" w:cs="Tahoma"/>
      <w:kern w:val="0"/>
      <w:sz w:val="16"/>
      <w:szCs w:val="16"/>
      <w:lang w:val="en-GB" w:eastAsia="en-US"/>
    </w:rPr>
  </w:style>
  <w:style w:type="paragraph" w:customStyle="1" w:styleId="530">
    <w:name w:val="Style Body Text Indent 2 + 11 pt Line spacing:  1.5 lines"/>
    <w:basedOn w:val="44"/>
    <w:autoRedefine/>
    <w:qFormat/>
    <w:uiPriority w:val="99"/>
    <w:pPr>
      <w:widowControl/>
      <w:tabs>
        <w:tab w:val="left" w:pos="900"/>
      </w:tabs>
      <w:snapToGrid w:val="0"/>
      <w:ind w:firstLine="0"/>
      <w:textAlignment w:val="auto"/>
    </w:pPr>
    <w:rPr>
      <w:rFonts w:hAnsi="宋体" w:eastAsia="仿宋"/>
      <w:sz w:val="22"/>
      <w:lang w:val="en-GB"/>
    </w:rPr>
  </w:style>
  <w:style w:type="paragraph" w:customStyle="1" w:styleId="531">
    <w:name w:val="Style Heading 3 + Line spacing:  1.5 lines"/>
    <w:basedOn w:val="4"/>
    <w:autoRedefine/>
    <w:qFormat/>
    <w:uiPriority w:val="99"/>
    <w:pPr>
      <w:keepLines w:val="0"/>
      <w:widowControl/>
      <w:numPr>
        <w:ilvl w:val="2"/>
        <w:numId w:val="25"/>
      </w:numPr>
      <w:tabs>
        <w:tab w:val="clear" w:pos="432"/>
      </w:tabs>
      <w:adjustRightInd w:val="0"/>
      <w:snapToGrid w:val="0"/>
      <w:spacing w:before="0" w:after="0" w:line="360" w:lineRule="auto"/>
      <w:ind w:left="236" w:leftChars="236"/>
    </w:pPr>
    <w:rPr>
      <w:rFonts w:ascii="Calibri" w:hAnsi="Calibri" w:eastAsia="黑体"/>
      <w:b w:val="0"/>
      <w:kern w:val="0"/>
      <w:sz w:val="28"/>
      <w:szCs w:val="20"/>
    </w:rPr>
  </w:style>
  <w:style w:type="paragraph" w:customStyle="1" w:styleId="532">
    <w:name w:val="Achievement"/>
    <w:basedOn w:val="26"/>
    <w:autoRedefine/>
    <w:qFormat/>
    <w:uiPriority w:val="99"/>
    <w:pPr>
      <w:widowControl/>
      <w:numPr>
        <w:ilvl w:val="0"/>
        <w:numId w:val="26"/>
      </w:numPr>
      <w:autoSpaceDE/>
      <w:autoSpaceDN/>
      <w:snapToGrid w:val="0"/>
      <w:spacing w:after="60" w:line="220" w:lineRule="atLeast"/>
    </w:pPr>
    <w:rPr>
      <w:rFonts w:ascii="Arial" w:hAnsi="Arial" w:eastAsia="仿宋"/>
      <w:spacing w:val="-5"/>
      <w:kern w:val="0"/>
      <w:sz w:val="20"/>
      <w:szCs w:val="20"/>
      <w:lang w:val="en-US"/>
    </w:rPr>
  </w:style>
  <w:style w:type="paragraph" w:customStyle="1" w:styleId="533">
    <w:name w:val="Style Heading 3 + 11 pt Line spacing:  1.5 lines"/>
    <w:basedOn w:val="4"/>
    <w:autoRedefine/>
    <w:qFormat/>
    <w:uiPriority w:val="99"/>
    <w:pPr>
      <w:keepLines w:val="0"/>
      <w:widowControl/>
      <w:tabs>
        <w:tab w:val="clear" w:pos="432"/>
        <w:tab w:val="clear" w:pos="720"/>
      </w:tabs>
      <w:adjustRightInd w:val="0"/>
      <w:snapToGrid w:val="0"/>
      <w:spacing w:before="0" w:after="0" w:line="360" w:lineRule="auto"/>
      <w:ind w:left="236" w:leftChars="236"/>
    </w:pPr>
    <w:rPr>
      <w:rFonts w:ascii="Calibri" w:hAnsi="Calibri" w:eastAsia="黑体"/>
      <w:kern w:val="0"/>
      <w:sz w:val="28"/>
      <w:szCs w:val="20"/>
    </w:rPr>
  </w:style>
  <w:style w:type="paragraph" w:customStyle="1" w:styleId="534">
    <w:name w:val="Bullet 1"/>
    <w:basedOn w:val="1"/>
    <w:autoRedefine/>
    <w:qFormat/>
    <w:uiPriority w:val="99"/>
    <w:pPr>
      <w:widowControl/>
      <w:adjustRightInd w:val="0"/>
      <w:snapToGrid w:val="0"/>
      <w:jc w:val="left"/>
    </w:pPr>
    <w:rPr>
      <w:rFonts w:ascii="Tahoma" w:hAnsi="Tahoma" w:cs="Tahoma"/>
      <w:kern w:val="0"/>
      <w:sz w:val="24"/>
      <w:lang w:eastAsia="en-US"/>
    </w:rPr>
  </w:style>
  <w:style w:type="paragraph" w:customStyle="1" w:styleId="535">
    <w:name w:val="条目2"/>
    <w:basedOn w:val="39"/>
    <w:autoRedefine/>
    <w:qFormat/>
    <w:uiPriority w:val="99"/>
    <w:pPr>
      <w:numPr>
        <w:ilvl w:val="0"/>
        <w:numId w:val="27"/>
      </w:numPr>
      <w:adjustRightInd w:val="0"/>
      <w:snapToGrid w:val="0"/>
    </w:pPr>
    <w:rPr>
      <w:rFonts w:eastAsia="仿宋" w:cs="Courier New"/>
      <w:color w:val="000000"/>
      <w:sz w:val="24"/>
      <w:szCs w:val="21"/>
    </w:rPr>
  </w:style>
  <w:style w:type="paragraph" w:customStyle="1" w:styleId="536">
    <w:name w:val="水印"/>
    <w:basedOn w:val="1"/>
    <w:autoRedefine/>
    <w:qFormat/>
    <w:uiPriority w:val="99"/>
    <w:pPr>
      <w:adjustRightInd w:val="0"/>
      <w:snapToGrid w:val="0"/>
      <w:spacing w:line="240" w:lineRule="atLeast"/>
      <w:textAlignment w:val="baseline"/>
    </w:pPr>
    <w:rPr>
      <w:kern w:val="0"/>
      <w:szCs w:val="20"/>
    </w:rPr>
  </w:style>
  <w:style w:type="paragraph" w:customStyle="1" w:styleId="537">
    <w:name w:val="项目1"/>
    <w:basedOn w:val="16"/>
    <w:next w:val="16"/>
    <w:autoRedefine/>
    <w:qFormat/>
    <w:uiPriority w:val="99"/>
    <w:pPr>
      <w:widowControl w:val="0"/>
      <w:tabs>
        <w:tab w:val="left" w:pos="360"/>
      </w:tabs>
      <w:spacing w:beforeLines="50" w:afterLines="50" w:line="360" w:lineRule="auto"/>
      <w:ind w:left="-4" w:leftChars="-2" w:firstLine="468" w:firstLineChars="195"/>
      <w:jc w:val="left"/>
    </w:pPr>
    <w:rPr>
      <w:rFonts w:hAnsi="宋体"/>
      <w:bCs/>
      <w:color w:val="auto"/>
      <w:kern w:val="2"/>
      <w:sz w:val="24"/>
      <w:szCs w:val="24"/>
    </w:rPr>
  </w:style>
  <w:style w:type="paragraph" w:customStyle="1" w:styleId="538">
    <w:name w:val="项目"/>
    <w:basedOn w:val="26"/>
    <w:next w:val="26"/>
    <w:autoRedefine/>
    <w:qFormat/>
    <w:uiPriority w:val="99"/>
    <w:pPr>
      <w:numPr>
        <w:ilvl w:val="0"/>
        <w:numId w:val="28"/>
      </w:numPr>
      <w:autoSpaceDE/>
      <w:autoSpaceDN/>
      <w:snapToGrid w:val="0"/>
    </w:pPr>
    <w:rPr>
      <w:rFonts w:ascii="Times New Roman" w:eastAsia="仿宋"/>
      <w:kern w:val="0"/>
      <w:szCs w:val="20"/>
      <w:lang w:val="en-US"/>
    </w:rPr>
  </w:style>
  <w:style w:type="paragraph" w:customStyle="1" w:styleId="539">
    <w:name w:val="www序号1)"/>
    <w:basedOn w:val="1"/>
    <w:link w:val="541"/>
    <w:autoRedefine/>
    <w:qFormat/>
    <w:uiPriority w:val="99"/>
    <w:pPr>
      <w:tabs>
        <w:tab w:val="left" w:pos="2160"/>
      </w:tabs>
      <w:adjustRightInd w:val="0"/>
      <w:snapToGrid w:val="0"/>
      <w:ind w:left="2160" w:hanging="420"/>
    </w:pPr>
    <w:rPr>
      <w:rFonts w:eastAsia="仿宋"/>
      <w:kern w:val="0"/>
      <w:sz w:val="24"/>
    </w:rPr>
  </w:style>
  <w:style w:type="paragraph" w:customStyle="1" w:styleId="540">
    <w:name w:val="www正文"/>
    <w:basedOn w:val="1"/>
    <w:autoRedefine/>
    <w:qFormat/>
    <w:uiPriority w:val="99"/>
    <w:pPr>
      <w:adjustRightInd w:val="0"/>
      <w:snapToGrid w:val="0"/>
      <w:ind w:firstLine="480" w:firstLineChars="200"/>
    </w:pPr>
    <w:rPr>
      <w:sz w:val="24"/>
    </w:rPr>
  </w:style>
  <w:style w:type="character" w:customStyle="1" w:styleId="541">
    <w:name w:val="www序号1) Char"/>
    <w:link w:val="539"/>
    <w:autoRedefine/>
    <w:qFormat/>
    <w:locked/>
    <w:uiPriority w:val="99"/>
    <w:rPr>
      <w:rFonts w:eastAsia="仿宋"/>
      <w:sz w:val="24"/>
    </w:rPr>
  </w:style>
  <w:style w:type="paragraph" w:customStyle="1" w:styleId="542">
    <w:name w:val="样式 小四 首行缩进:  0.74 厘米 行距: 1.5 倍行距"/>
    <w:basedOn w:val="1"/>
    <w:autoRedefine/>
    <w:qFormat/>
    <w:uiPriority w:val="99"/>
    <w:pPr>
      <w:tabs>
        <w:tab w:val="left" w:pos="840"/>
      </w:tabs>
      <w:adjustRightInd w:val="0"/>
      <w:snapToGrid w:val="0"/>
      <w:spacing w:before="100" w:beforeAutospacing="1" w:after="100" w:afterAutospacing="1" w:line="300" w:lineRule="auto"/>
      <w:ind w:firstLine="454"/>
    </w:pPr>
    <w:rPr>
      <w:rFonts w:ascii="Arial" w:hAnsi="Arial"/>
      <w:sz w:val="24"/>
    </w:rPr>
  </w:style>
  <w:style w:type="paragraph" w:customStyle="1" w:styleId="543">
    <w:name w:val="样式 正文文本缩进 + 左侧:  2 字符 首行缩进:  2 字符"/>
    <w:basedOn w:val="29"/>
    <w:autoRedefine/>
    <w:qFormat/>
    <w:uiPriority w:val="99"/>
    <w:pPr>
      <w:tabs>
        <w:tab w:val="left" w:pos="360"/>
        <w:tab w:val="left" w:pos="540"/>
      </w:tabs>
      <w:adjustRightInd w:val="0"/>
      <w:snapToGrid w:val="0"/>
      <w:spacing w:line="520" w:lineRule="exact"/>
      <w:ind w:left="200" w:firstLine="560"/>
    </w:pPr>
    <w:rPr>
      <w:rFonts w:ascii="仿宋_GB2312" w:hAnsi="Times New Roman" w:eastAsia="仿宋_GB2312"/>
      <w:sz w:val="28"/>
      <w:szCs w:val="20"/>
    </w:rPr>
  </w:style>
  <w:style w:type="paragraph" w:customStyle="1" w:styleId="544">
    <w:name w:val="图中文字"/>
    <w:basedOn w:val="1"/>
    <w:autoRedefine/>
    <w:qFormat/>
    <w:uiPriority w:val="99"/>
    <w:pPr>
      <w:adjustRightInd w:val="0"/>
      <w:snapToGrid w:val="0"/>
      <w:spacing w:line="240" w:lineRule="atLeast"/>
      <w:jc w:val="center"/>
    </w:pPr>
    <w:rPr>
      <w:sz w:val="24"/>
      <w:szCs w:val="20"/>
    </w:rPr>
  </w:style>
  <w:style w:type="paragraph" w:customStyle="1" w:styleId="545">
    <w:name w:val="正文格式"/>
    <w:basedOn w:val="1"/>
    <w:autoRedefine/>
    <w:qFormat/>
    <w:uiPriority w:val="99"/>
    <w:pPr>
      <w:widowControl/>
      <w:autoSpaceDE w:val="0"/>
      <w:autoSpaceDN w:val="0"/>
      <w:adjustRightInd w:val="0"/>
      <w:snapToGrid w:val="0"/>
      <w:spacing w:line="360" w:lineRule="atLeast"/>
      <w:textAlignment w:val="baseline"/>
    </w:pPr>
    <w:rPr>
      <w:kern w:val="0"/>
      <w:sz w:val="24"/>
      <w:szCs w:val="20"/>
    </w:rPr>
  </w:style>
  <w:style w:type="paragraph" w:customStyle="1" w:styleId="546">
    <w:name w:val="CSS1级正文 Char"/>
    <w:basedOn w:val="26"/>
    <w:autoRedefine/>
    <w:qFormat/>
    <w:uiPriority w:val="99"/>
    <w:pPr>
      <w:autoSpaceDE/>
      <w:autoSpaceDN/>
      <w:snapToGrid w:val="0"/>
      <w:ind w:firstLine="480"/>
    </w:pPr>
    <w:rPr>
      <w:rFonts w:ascii="Times New Roman" w:eastAsia="仿宋"/>
      <w:kern w:val="0"/>
      <w:szCs w:val="24"/>
      <w:lang w:val="en-US"/>
    </w:rPr>
  </w:style>
  <w:style w:type="character" w:customStyle="1" w:styleId="547">
    <w:name w:val="链接"/>
    <w:autoRedefine/>
    <w:qFormat/>
    <w:uiPriority w:val="99"/>
    <w:rPr>
      <w:color w:val="0000FF"/>
      <w:sz w:val="21"/>
      <w:u w:val="single"/>
    </w:rPr>
  </w:style>
  <w:style w:type="paragraph" w:customStyle="1" w:styleId="548">
    <w:name w:val="目录2"/>
    <w:basedOn w:val="1"/>
    <w:autoRedefine/>
    <w:qFormat/>
    <w:uiPriority w:val="99"/>
    <w:pPr>
      <w:tabs>
        <w:tab w:val="left" w:leader="dot" w:pos="7370"/>
      </w:tabs>
      <w:autoSpaceDE w:val="0"/>
      <w:autoSpaceDN w:val="0"/>
      <w:adjustRightInd w:val="0"/>
      <w:snapToGrid w:val="0"/>
      <w:spacing w:line="317" w:lineRule="atLeast"/>
      <w:ind w:firstLine="209"/>
    </w:pPr>
    <w:rPr>
      <w:color w:val="000000"/>
      <w:kern w:val="0"/>
      <w:szCs w:val="21"/>
    </w:rPr>
  </w:style>
  <w:style w:type="paragraph" w:customStyle="1" w:styleId="549">
    <w:name w:val="目录3"/>
    <w:basedOn w:val="1"/>
    <w:autoRedefine/>
    <w:qFormat/>
    <w:uiPriority w:val="99"/>
    <w:pPr>
      <w:tabs>
        <w:tab w:val="left" w:leader="dot" w:pos="7370"/>
      </w:tabs>
      <w:autoSpaceDE w:val="0"/>
      <w:autoSpaceDN w:val="0"/>
      <w:adjustRightInd w:val="0"/>
      <w:snapToGrid w:val="0"/>
      <w:spacing w:line="317" w:lineRule="atLeast"/>
      <w:ind w:firstLine="419"/>
    </w:pPr>
    <w:rPr>
      <w:color w:val="000000"/>
      <w:kern w:val="0"/>
      <w:szCs w:val="21"/>
    </w:rPr>
  </w:style>
  <w:style w:type="paragraph" w:customStyle="1" w:styleId="550">
    <w:name w:val="目录4"/>
    <w:basedOn w:val="1"/>
    <w:autoRedefine/>
    <w:qFormat/>
    <w:uiPriority w:val="99"/>
    <w:pPr>
      <w:tabs>
        <w:tab w:val="left" w:leader="dot" w:pos="7370"/>
      </w:tabs>
      <w:autoSpaceDE w:val="0"/>
      <w:autoSpaceDN w:val="0"/>
      <w:adjustRightInd w:val="0"/>
      <w:snapToGrid w:val="0"/>
      <w:spacing w:line="317" w:lineRule="atLeast"/>
      <w:ind w:firstLine="629"/>
    </w:pPr>
    <w:rPr>
      <w:color w:val="000000"/>
      <w:kern w:val="0"/>
      <w:szCs w:val="21"/>
    </w:rPr>
  </w:style>
  <w:style w:type="paragraph" w:customStyle="1" w:styleId="551">
    <w:name w:val="目录1"/>
    <w:basedOn w:val="1"/>
    <w:autoRedefine/>
    <w:qFormat/>
    <w:uiPriority w:val="99"/>
    <w:pPr>
      <w:tabs>
        <w:tab w:val="left" w:leader="dot" w:pos="8503"/>
      </w:tabs>
      <w:autoSpaceDE w:val="0"/>
      <w:autoSpaceDN w:val="0"/>
      <w:adjustRightInd w:val="0"/>
      <w:snapToGrid w:val="0"/>
      <w:spacing w:after="136" w:line="289" w:lineRule="atLeast"/>
      <w:jc w:val="left"/>
    </w:pPr>
    <w:rPr>
      <w:rFonts w:ascii="Arial" w:hAnsi="Arial"/>
      <w:color w:val="000000"/>
      <w:kern w:val="0"/>
      <w:sz w:val="28"/>
      <w:szCs w:val="28"/>
    </w:rPr>
  </w:style>
  <w:style w:type="paragraph" w:customStyle="1" w:styleId="552">
    <w:name w:val="目录标题1"/>
    <w:basedOn w:val="1"/>
    <w:autoRedefine/>
    <w:qFormat/>
    <w:uiPriority w:val="99"/>
    <w:pPr>
      <w:autoSpaceDE w:val="0"/>
      <w:autoSpaceDN w:val="0"/>
      <w:adjustRightInd w:val="0"/>
      <w:snapToGrid w:val="0"/>
      <w:spacing w:before="566" w:after="544" w:line="566" w:lineRule="atLeast"/>
      <w:ind w:firstLine="419"/>
      <w:jc w:val="center"/>
    </w:pPr>
    <w:rPr>
      <w:rFonts w:ascii="Arial" w:hAnsi="Arial"/>
      <w:color w:val="000000"/>
      <w:spacing w:val="565"/>
      <w:kern w:val="0"/>
      <w:sz w:val="54"/>
      <w:szCs w:val="54"/>
    </w:rPr>
  </w:style>
  <w:style w:type="paragraph" w:customStyle="1" w:styleId="553">
    <w:name w:val="文章总标题"/>
    <w:basedOn w:val="1"/>
    <w:autoRedefine/>
    <w:qFormat/>
    <w:uiPriority w:val="99"/>
    <w:pPr>
      <w:autoSpaceDE w:val="0"/>
      <w:autoSpaceDN w:val="0"/>
      <w:adjustRightInd w:val="0"/>
      <w:snapToGrid w:val="0"/>
      <w:spacing w:before="566" w:after="544" w:line="566" w:lineRule="atLeast"/>
      <w:jc w:val="center"/>
    </w:pPr>
    <w:rPr>
      <w:rFonts w:ascii="Arial" w:hAnsi="Arial"/>
      <w:color w:val="000000"/>
      <w:kern w:val="0"/>
      <w:sz w:val="54"/>
      <w:szCs w:val="54"/>
    </w:rPr>
  </w:style>
  <w:style w:type="paragraph" w:customStyle="1" w:styleId="554">
    <w:name w:val="文章附标题"/>
    <w:basedOn w:val="1"/>
    <w:autoRedefine/>
    <w:qFormat/>
    <w:uiPriority w:val="99"/>
    <w:pPr>
      <w:autoSpaceDE w:val="0"/>
      <w:autoSpaceDN w:val="0"/>
      <w:adjustRightInd w:val="0"/>
      <w:snapToGrid w:val="0"/>
      <w:spacing w:before="187" w:after="175" w:line="374" w:lineRule="atLeast"/>
      <w:jc w:val="center"/>
    </w:pPr>
    <w:rPr>
      <w:color w:val="000000"/>
      <w:kern w:val="0"/>
      <w:sz w:val="36"/>
      <w:szCs w:val="36"/>
    </w:rPr>
  </w:style>
  <w:style w:type="paragraph" w:customStyle="1" w:styleId="555">
    <w:name w:val="小节标题"/>
    <w:basedOn w:val="1"/>
    <w:autoRedefine/>
    <w:qFormat/>
    <w:uiPriority w:val="99"/>
    <w:pPr>
      <w:autoSpaceDE w:val="0"/>
      <w:autoSpaceDN w:val="0"/>
      <w:adjustRightInd w:val="0"/>
      <w:snapToGrid w:val="0"/>
      <w:spacing w:before="175" w:after="102" w:line="351" w:lineRule="atLeast"/>
    </w:pPr>
    <w:rPr>
      <w:color w:val="000000"/>
      <w:kern w:val="0"/>
      <w:szCs w:val="21"/>
    </w:rPr>
  </w:style>
  <w:style w:type="paragraph" w:customStyle="1" w:styleId="556">
    <w:name w:val="节标题"/>
    <w:basedOn w:val="1"/>
    <w:autoRedefine/>
    <w:qFormat/>
    <w:uiPriority w:val="99"/>
    <w:pPr>
      <w:autoSpaceDE w:val="0"/>
      <w:autoSpaceDN w:val="0"/>
      <w:adjustRightInd w:val="0"/>
      <w:snapToGrid w:val="0"/>
      <w:spacing w:line="289" w:lineRule="atLeast"/>
      <w:jc w:val="center"/>
    </w:pPr>
    <w:rPr>
      <w:color w:val="000000"/>
      <w:kern w:val="0"/>
      <w:sz w:val="28"/>
      <w:szCs w:val="28"/>
    </w:rPr>
  </w:style>
  <w:style w:type="paragraph" w:customStyle="1" w:styleId="557">
    <w:name w:val="批注框文本2"/>
    <w:basedOn w:val="1"/>
    <w:autoRedefine/>
    <w:qFormat/>
    <w:uiPriority w:val="99"/>
    <w:pPr>
      <w:autoSpaceDE w:val="0"/>
      <w:autoSpaceDN w:val="0"/>
      <w:adjustRightInd w:val="0"/>
      <w:snapToGrid w:val="0"/>
      <w:spacing w:line="351" w:lineRule="atLeast"/>
      <w:ind w:firstLine="419"/>
    </w:pPr>
    <w:rPr>
      <w:color w:val="000000"/>
      <w:kern w:val="0"/>
      <w:sz w:val="18"/>
      <w:szCs w:val="18"/>
    </w:rPr>
  </w:style>
  <w:style w:type="paragraph" w:customStyle="1" w:styleId="558">
    <w:name w:val="小项目标题"/>
    <w:basedOn w:val="1"/>
    <w:autoRedefine/>
    <w:qFormat/>
    <w:uiPriority w:val="99"/>
    <w:pPr>
      <w:tabs>
        <w:tab w:val="left" w:pos="1440"/>
      </w:tabs>
      <w:adjustRightInd w:val="0"/>
      <w:snapToGrid w:val="0"/>
      <w:spacing w:before="100" w:beforeAutospacing="1" w:after="100" w:afterAutospacing="1"/>
      <w:ind w:left="480" w:leftChars="200"/>
      <w:jc w:val="left"/>
    </w:pPr>
    <w:rPr>
      <w:sz w:val="24"/>
    </w:rPr>
  </w:style>
  <w:style w:type="paragraph" w:customStyle="1" w:styleId="559">
    <w:name w:val="样式 标题 1章节第一层h1H"/>
    <w:basedOn w:val="2"/>
    <w:autoRedefine/>
    <w:qFormat/>
    <w:uiPriority w:val="99"/>
    <w:pPr>
      <w:keepNext w:val="0"/>
      <w:keepLines w:val="0"/>
      <w:numPr>
        <w:ilvl w:val="0"/>
        <w:numId w:val="0"/>
      </w:numPr>
      <w:tabs>
        <w:tab w:val="clear" w:pos="432"/>
      </w:tabs>
      <w:autoSpaceDE w:val="0"/>
      <w:autoSpaceDN w:val="0"/>
      <w:adjustRightInd w:val="0"/>
      <w:snapToGrid w:val="0"/>
      <w:spacing w:before="0" w:after="0" w:line="240" w:lineRule="auto"/>
      <w:jc w:val="left"/>
      <w:outlineLvl w:val="9"/>
    </w:pPr>
    <w:rPr>
      <w:rFonts w:ascii="Calibri" w:hAnsi="Calibri"/>
      <w:kern w:val="0"/>
      <w:sz w:val="52"/>
      <w:szCs w:val="52"/>
      <w:lang w:val="zh-CN"/>
    </w:rPr>
  </w:style>
  <w:style w:type="paragraph" w:customStyle="1" w:styleId="560">
    <w:name w:val="金宏发行正文 Char"/>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1">
    <w:name w:val="普通正文"/>
    <w:basedOn w:val="1"/>
    <w:autoRedefine/>
    <w:qFormat/>
    <w:uiPriority w:val="99"/>
    <w:pPr>
      <w:tabs>
        <w:tab w:val="left" w:pos="2880"/>
      </w:tabs>
      <w:adjustRightInd w:val="0"/>
      <w:snapToGrid w:val="0"/>
      <w:spacing w:before="120" w:after="120"/>
      <w:ind w:firstLine="480"/>
      <w:jc w:val="left"/>
      <w:textAlignment w:val="baseline"/>
    </w:pPr>
    <w:rPr>
      <w:rFonts w:ascii="Arial" w:hAnsi="Arial"/>
      <w:kern w:val="0"/>
      <w:sz w:val="24"/>
    </w:rPr>
  </w:style>
  <w:style w:type="paragraph" w:customStyle="1" w:styleId="562">
    <w:name w:val="金宏发行正文"/>
    <w:basedOn w:val="1"/>
    <w:autoRedefine/>
    <w:qFormat/>
    <w:uiPriority w:val="99"/>
    <w:pPr>
      <w:adjustRightInd w:val="0"/>
      <w:snapToGrid w:val="0"/>
      <w:spacing w:line="500" w:lineRule="exact"/>
      <w:ind w:firstLine="560" w:firstLineChars="200"/>
    </w:pPr>
    <w:rPr>
      <w:rFonts w:eastAsia="仿宋_GB2312"/>
      <w:sz w:val="28"/>
      <w:szCs w:val="20"/>
    </w:rPr>
  </w:style>
  <w:style w:type="paragraph" w:customStyle="1" w:styleId="563">
    <w:name w:val="标1"/>
    <w:basedOn w:val="1"/>
    <w:autoRedefine/>
    <w:qFormat/>
    <w:uiPriority w:val="99"/>
    <w:pPr>
      <w:widowControl/>
      <w:adjustRightInd w:val="0"/>
      <w:snapToGrid w:val="0"/>
      <w:spacing w:beforeLines="100"/>
      <w:jc w:val="left"/>
      <w:outlineLvl w:val="0"/>
    </w:pPr>
    <w:rPr>
      <w:rFonts w:ascii="Arial Narrow" w:hAnsi="Arial Narrow" w:eastAsia="仿宋_GB2312"/>
      <w:b/>
      <w:spacing w:val="20"/>
      <w:kern w:val="0"/>
      <w:sz w:val="24"/>
    </w:rPr>
  </w:style>
  <w:style w:type="character" w:customStyle="1" w:styleId="564">
    <w:name w:val="javascript"/>
    <w:basedOn w:val="81"/>
    <w:autoRedefine/>
    <w:qFormat/>
    <w:uiPriority w:val="99"/>
    <w:rPr>
      <w:rFonts w:cs="Times New Roman"/>
    </w:rPr>
  </w:style>
  <w:style w:type="paragraph" w:customStyle="1" w:styleId="565">
    <w:name w:val="bt_content"/>
    <w:basedOn w:val="1"/>
    <w:autoRedefine/>
    <w:qFormat/>
    <w:uiPriority w:val="99"/>
    <w:pPr>
      <w:widowControl/>
      <w:adjustRightInd w:val="0"/>
      <w:snapToGrid w:val="0"/>
      <w:spacing w:before="100" w:beforeAutospacing="1" w:after="100" w:afterAutospacing="1"/>
      <w:jc w:val="left"/>
    </w:pPr>
    <w:rPr>
      <w:rFonts w:ascii="宋体" w:hAnsi="宋体" w:cs="宋体"/>
      <w:kern w:val="0"/>
      <w:sz w:val="24"/>
    </w:rPr>
  </w:style>
  <w:style w:type="character" w:customStyle="1" w:styleId="566">
    <w:name w:val="para1"/>
    <w:autoRedefine/>
    <w:qFormat/>
    <w:uiPriority w:val="99"/>
    <w:rPr>
      <w:rFonts w:ascii="Arial" w:hAnsi="Arial"/>
      <w:sz w:val="18"/>
    </w:rPr>
  </w:style>
  <w:style w:type="paragraph" w:customStyle="1" w:styleId="567">
    <w:name w:val="图"/>
    <w:basedOn w:val="1"/>
    <w:autoRedefine/>
    <w:qFormat/>
    <w:uiPriority w:val="99"/>
    <w:pPr>
      <w:keepNext/>
      <w:adjustRightInd w:val="0"/>
      <w:snapToGrid w:val="0"/>
      <w:spacing w:before="60" w:after="60" w:line="300" w:lineRule="auto"/>
      <w:jc w:val="center"/>
      <w:textAlignment w:val="center"/>
    </w:pPr>
    <w:rPr>
      <w:spacing w:val="20"/>
      <w:kern w:val="0"/>
      <w:sz w:val="24"/>
      <w:szCs w:val="20"/>
    </w:rPr>
  </w:style>
  <w:style w:type="paragraph" w:customStyle="1" w:styleId="568">
    <w:name w:val="表格标题"/>
    <w:basedOn w:val="1"/>
    <w:autoRedefine/>
    <w:qFormat/>
    <w:uiPriority w:val="99"/>
    <w:pPr>
      <w:adjustRightInd w:val="0"/>
      <w:snapToGrid w:val="0"/>
      <w:jc w:val="center"/>
    </w:pPr>
    <w:rPr>
      <w:rFonts w:eastAsia="仿宋"/>
      <w:b/>
    </w:rPr>
  </w:style>
  <w:style w:type="paragraph" w:customStyle="1" w:styleId="569">
    <w:name w:val="style18"/>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0">
    <w:name w:val="pic-info"/>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1">
    <w:name w:val="普通(网站)1"/>
    <w:basedOn w:val="1"/>
    <w:autoRedefine/>
    <w:qFormat/>
    <w:uiPriority w:val="99"/>
    <w:pPr>
      <w:widowControl/>
      <w:adjustRightInd w:val="0"/>
      <w:snapToGrid w:val="0"/>
      <w:spacing w:before="100" w:beforeAutospacing="1" w:after="100" w:afterAutospacing="1"/>
      <w:jc w:val="left"/>
    </w:pPr>
    <w:rPr>
      <w:rFonts w:ascii="宋体" w:hAnsi="宋体" w:eastAsia="仿宋" w:cs="宋体"/>
      <w:kern w:val="0"/>
      <w:sz w:val="24"/>
    </w:rPr>
  </w:style>
  <w:style w:type="paragraph" w:customStyle="1" w:styleId="572">
    <w:name w:val="列表1"/>
    <w:basedOn w:val="1"/>
    <w:autoRedefine/>
    <w:qFormat/>
    <w:uiPriority w:val="99"/>
    <w:pPr>
      <w:widowControl/>
      <w:adjustRightInd w:val="0"/>
      <w:snapToGrid w:val="0"/>
      <w:spacing w:beforeLines="50" w:after="200"/>
      <w:ind w:left="480"/>
      <w:jc w:val="left"/>
    </w:pPr>
    <w:rPr>
      <w:rFonts w:ascii="微软雅黑" w:hAnsi="微软雅黑" w:eastAsia="仿宋"/>
      <w:bCs/>
      <w:kern w:val="0"/>
      <w:sz w:val="22"/>
      <w:szCs w:val="21"/>
    </w:rPr>
  </w:style>
  <w:style w:type="character" w:customStyle="1" w:styleId="573">
    <w:name w:val="列出段落 字符1"/>
    <w:link w:val="492"/>
    <w:autoRedefine/>
    <w:qFormat/>
    <w:locked/>
    <w:uiPriority w:val="99"/>
    <w:rPr>
      <w:kern w:val="2"/>
      <w:sz w:val="24"/>
    </w:rPr>
  </w:style>
  <w:style w:type="paragraph" w:customStyle="1" w:styleId="574">
    <w:name w:val="顺序编号1"/>
    <w:basedOn w:val="1"/>
    <w:autoRedefine/>
    <w:qFormat/>
    <w:uiPriority w:val="99"/>
    <w:pPr>
      <w:adjustRightInd w:val="0"/>
      <w:snapToGrid w:val="0"/>
      <w:spacing w:afterLines="50"/>
    </w:pPr>
  </w:style>
  <w:style w:type="paragraph" w:customStyle="1" w:styleId="575">
    <w:name w:val="No Spacing1"/>
    <w:autoRedefine/>
    <w:qFormat/>
    <w:uiPriority w:val="99"/>
    <w:pPr>
      <w:widowControl w:val="0"/>
      <w:spacing w:line="360" w:lineRule="auto"/>
      <w:jc w:val="both"/>
    </w:pPr>
    <w:rPr>
      <w:rFonts w:ascii="Calibri" w:hAnsi="Calibri" w:eastAsia="宋体" w:cs="黑体"/>
      <w:kern w:val="2"/>
      <w:sz w:val="24"/>
      <w:szCs w:val="22"/>
      <w:lang w:val="en-US" w:eastAsia="zh-CN" w:bidi="ar-SA"/>
    </w:rPr>
  </w:style>
  <w:style w:type="paragraph" w:customStyle="1" w:styleId="576">
    <w:name w:val="图例"/>
    <w:basedOn w:val="1"/>
    <w:next w:val="44"/>
    <w:autoRedefine/>
    <w:qFormat/>
    <w:uiPriority w:val="99"/>
    <w:pPr>
      <w:spacing w:line="300" w:lineRule="auto"/>
      <w:ind w:firstLine="200" w:firstLineChars="200"/>
      <w:jc w:val="center"/>
    </w:pPr>
    <w:rPr>
      <w:rFonts w:ascii="宋体" w:hAnsi="Calibri" w:cs="黑体"/>
      <w:sz w:val="18"/>
      <w:szCs w:val="18"/>
    </w:rPr>
  </w:style>
  <w:style w:type="paragraph" w:customStyle="1" w:styleId="577">
    <w:name w:val="表格数据"/>
    <w:autoRedefine/>
    <w:qFormat/>
    <w:uiPriority w:val="99"/>
    <w:rPr>
      <w:rFonts w:ascii="Times New Roman" w:hAnsi="Times New Roman" w:eastAsia="宋体" w:cs="宋体"/>
      <w:kern w:val="0"/>
      <w:sz w:val="20"/>
      <w:szCs w:val="20"/>
      <w:lang w:val="en-US" w:eastAsia="zh-CN" w:bidi="ar-SA"/>
    </w:rPr>
  </w:style>
  <w:style w:type="paragraph" w:customStyle="1" w:styleId="578">
    <w:name w:val="TOC 标题2"/>
    <w:basedOn w:val="2"/>
    <w:next w:val="1"/>
    <w:autoRedefine/>
    <w:qFormat/>
    <w:uiPriority w:val="99"/>
    <w:pPr>
      <w:widowControl/>
      <w:numPr>
        <w:numId w:val="0"/>
      </w:numPr>
      <w:tabs>
        <w:tab w:val="clear" w:pos="432"/>
      </w:tabs>
      <w:spacing w:before="480" w:after="0" w:line="276" w:lineRule="auto"/>
      <w:jc w:val="left"/>
      <w:outlineLvl w:val="9"/>
    </w:pPr>
    <w:rPr>
      <w:rFonts w:ascii="Cambria" w:hAnsi="Cambria" w:cs="宋体"/>
      <w:color w:val="366091"/>
      <w:kern w:val="0"/>
      <w:sz w:val="28"/>
      <w:szCs w:val="28"/>
    </w:rPr>
  </w:style>
  <w:style w:type="character" w:customStyle="1" w:styleId="579">
    <w:name w:val="标题 4 Char1"/>
    <w:autoRedefine/>
    <w:qFormat/>
    <w:uiPriority w:val="99"/>
    <w:rPr>
      <w:rFonts w:ascii="Arial" w:hAnsi="Arial" w:eastAsia="黑体"/>
      <w:b/>
      <w:kern w:val="2"/>
      <w:sz w:val="28"/>
      <w:lang w:val="en-US" w:eastAsia="zh-CN"/>
    </w:rPr>
  </w:style>
  <w:style w:type="character" w:customStyle="1" w:styleId="580">
    <w:name w:val="px1233"/>
    <w:basedOn w:val="81"/>
    <w:autoRedefine/>
    <w:qFormat/>
    <w:uiPriority w:val="99"/>
    <w:rPr>
      <w:rFonts w:cs="Times New Roman"/>
    </w:rPr>
  </w:style>
  <w:style w:type="character" w:customStyle="1" w:styleId="581">
    <w:name w:val="outputtext"/>
    <w:basedOn w:val="81"/>
    <w:autoRedefine/>
    <w:qFormat/>
    <w:uiPriority w:val="99"/>
    <w:rPr>
      <w:rFonts w:cs="Times New Roman"/>
    </w:rPr>
  </w:style>
  <w:style w:type="character" w:customStyle="1" w:styleId="582">
    <w:name w:val="txt"/>
    <w:basedOn w:val="81"/>
    <w:autoRedefine/>
    <w:qFormat/>
    <w:uiPriority w:val="99"/>
    <w:rPr>
      <w:rFonts w:cs="Times New Roman"/>
    </w:rPr>
  </w:style>
  <w:style w:type="paragraph" w:customStyle="1" w:styleId="583">
    <w:name w:val="页脚1"/>
    <w:basedOn w:val="1"/>
    <w:autoRedefine/>
    <w:qFormat/>
    <w:uiPriority w:val="99"/>
    <w:pPr>
      <w:tabs>
        <w:tab w:val="center" w:pos="4153"/>
        <w:tab w:val="right" w:pos="8306"/>
      </w:tabs>
      <w:snapToGrid w:val="0"/>
      <w:spacing w:line="240" w:lineRule="auto"/>
      <w:jc w:val="left"/>
    </w:pPr>
    <w:rPr>
      <w:sz w:val="18"/>
      <w:szCs w:val="18"/>
    </w:rPr>
  </w:style>
  <w:style w:type="paragraph" w:customStyle="1" w:styleId="584">
    <w:name w:val="文档结构图1"/>
    <w:basedOn w:val="1"/>
    <w:autoRedefine/>
    <w:qFormat/>
    <w:uiPriority w:val="99"/>
    <w:pPr>
      <w:spacing w:line="240" w:lineRule="auto"/>
    </w:pPr>
    <w:rPr>
      <w:rFonts w:ascii="宋体"/>
      <w:sz w:val="18"/>
      <w:szCs w:val="18"/>
    </w:rPr>
  </w:style>
  <w:style w:type="character" w:customStyle="1" w:styleId="585">
    <w:name w:val="标题 1 Char Char"/>
    <w:autoRedefine/>
    <w:qFormat/>
    <w:uiPriority w:val="99"/>
    <w:rPr>
      <w:rFonts w:eastAsia="宋体"/>
      <w:b/>
      <w:spacing w:val="-2"/>
      <w:sz w:val="24"/>
      <w:lang w:val="en-US" w:eastAsia="zh-CN"/>
    </w:rPr>
  </w:style>
  <w:style w:type="character" w:customStyle="1" w:styleId="586">
    <w:name w:val="纯文本 Char Char Char Char Char Char Char Char Char Char"/>
    <w:autoRedefine/>
    <w:qFormat/>
    <w:uiPriority w:val="99"/>
    <w:rPr>
      <w:rFonts w:ascii="宋体" w:hAnsi="Courier New" w:eastAsia="宋体"/>
      <w:kern w:val="2"/>
      <w:sz w:val="21"/>
      <w:lang w:val="en-US" w:eastAsia="zh-CN"/>
    </w:rPr>
  </w:style>
  <w:style w:type="paragraph" w:customStyle="1" w:styleId="587">
    <w:name w:val="f1"/>
    <w:basedOn w:val="1"/>
    <w:autoRedefine/>
    <w:qFormat/>
    <w:uiPriority w:val="99"/>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588">
    <w:name w:val="无间隔2"/>
    <w:link w:val="589"/>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89">
    <w:name w:val="无间隔 字符"/>
    <w:link w:val="588"/>
    <w:autoRedefine/>
    <w:qFormat/>
    <w:locked/>
    <w:uiPriority w:val="99"/>
    <w:rPr>
      <w:rFonts w:ascii="Calibri" w:hAnsi="Calibri"/>
      <w:kern w:val="2"/>
      <w:sz w:val="22"/>
    </w:rPr>
  </w:style>
  <w:style w:type="paragraph" w:customStyle="1" w:styleId="590">
    <w:name w:val="默认段落字体 Para Char Char Char Char Char Char Char Char Char1 Char Char Char Char"/>
    <w:basedOn w:val="1"/>
    <w:autoRedefine/>
    <w:qFormat/>
    <w:uiPriority w:val="99"/>
    <w:pPr>
      <w:spacing w:line="240" w:lineRule="auto"/>
    </w:pPr>
    <w:rPr>
      <w:rFonts w:ascii="Tahoma" w:hAnsi="Tahoma"/>
      <w:sz w:val="24"/>
      <w:szCs w:val="20"/>
    </w:rPr>
  </w:style>
  <w:style w:type="paragraph" w:customStyle="1" w:styleId="591">
    <w:name w:val="03"/>
    <w:basedOn w:val="1"/>
    <w:autoRedefine/>
    <w:qFormat/>
    <w:uiPriority w:val="99"/>
    <w:pPr>
      <w:spacing w:line="500" w:lineRule="exact"/>
      <w:ind w:firstLine="567"/>
    </w:pPr>
    <w:rPr>
      <w:spacing w:val="20"/>
      <w:sz w:val="28"/>
      <w:szCs w:val="20"/>
    </w:rPr>
  </w:style>
  <w:style w:type="paragraph" w:customStyle="1" w:styleId="592">
    <w:name w:val="正文首缩"/>
    <w:basedOn w:val="1"/>
    <w:next w:val="5"/>
    <w:autoRedefine/>
    <w:qFormat/>
    <w:uiPriority w:val="99"/>
    <w:pPr>
      <w:adjustRightInd w:val="0"/>
      <w:spacing w:line="324" w:lineRule="auto"/>
      <w:ind w:firstLine="425"/>
      <w:textAlignment w:val="baseline"/>
    </w:pPr>
    <w:rPr>
      <w:kern w:val="0"/>
      <w:sz w:val="28"/>
      <w:szCs w:val="20"/>
    </w:rPr>
  </w:style>
  <w:style w:type="paragraph" w:customStyle="1" w:styleId="593">
    <w:name w:val="样式6"/>
    <w:basedOn w:val="1"/>
    <w:autoRedefine/>
    <w:qFormat/>
    <w:uiPriority w:val="99"/>
    <w:pPr>
      <w:spacing w:before="249" w:after="249" w:line="240" w:lineRule="auto"/>
    </w:pPr>
    <w:rPr>
      <w:rFonts w:ascii="华文中宋" w:eastAsia="华文中宋"/>
      <w:b/>
      <w:sz w:val="32"/>
      <w:szCs w:val="20"/>
    </w:rPr>
  </w:style>
  <w:style w:type="paragraph" w:customStyle="1" w:styleId="594">
    <w:name w:val="s2"/>
    <w:basedOn w:val="1"/>
    <w:autoRedefine/>
    <w:qFormat/>
    <w:uiPriority w:val="99"/>
    <w:pPr>
      <w:widowControl/>
      <w:spacing w:before="100" w:beforeAutospacing="1" w:after="100" w:afterAutospacing="1" w:line="240" w:lineRule="auto"/>
      <w:jc w:val="left"/>
    </w:pPr>
    <w:rPr>
      <w:kern w:val="0"/>
      <w:sz w:val="24"/>
    </w:rPr>
  </w:style>
  <w:style w:type="character" w:customStyle="1" w:styleId="595">
    <w:name w:val="cucd-0 Char1"/>
    <w:link w:val="596"/>
    <w:autoRedefine/>
    <w:qFormat/>
    <w:locked/>
    <w:uiPriority w:val="99"/>
    <w:rPr>
      <w:sz w:val="24"/>
      <w:lang w:val="en-US" w:eastAsia="zh-CN"/>
    </w:rPr>
  </w:style>
  <w:style w:type="paragraph" w:customStyle="1" w:styleId="596">
    <w:name w:val="cucd-0"/>
    <w:link w:val="595"/>
    <w:autoRedefine/>
    <w:qFormat/>
    <w:uiPriority w:val="99"/>
    <w:pPr>
      <w:spacing w:line="360" w:lineRule="auto"/>
      <w:ind w:firstLine="480" w:firstLineChars="200"/>
    </w:pPr>
    <w:rPr>
      <w:rFonts w:ascii="Times New Roman" w:hAnsi="Times New Roman" w:eastAsia="宋体" w:cs="Times New Roman"/>
      <w:kern w:val="0"/>
      <w:sz w:val="24"/>
      <w:szCs w:val="24"/>
      <w:lang w:val="en-US" w:eastAsia="zh-CN" w:bidi="ar-SA"/>
    </w:rPr>
  </w:style>
  <w:style w:type="paragraph" w:customStyle="1" w:styleId="597">
    <w:name w:val="GP正文(首行缩进)"/>
    <w:basedOn w:val="1"/>
    <w:autoRedefine/>
    <w:qFormat/>
    <w:uiPriority w:val="99"/>
    <w:pPr>
      <w:ind w:firstLine="200" w:firstLineChars="200"/>
      <w:jc w:val="left"/>
    </w:pPr>
    <w:rPr>
      <w:kern w:val="0"/>
      <w:sz w:val="24"/>
      <w:szCs w:val="20"/>
    </w:rPr>
  </w:style>
  <w:style w:type="paragraph" w:customStyle="1" w:styleId="598">
    <w:name w:val="标书正文"/>
    <w:basedOn w:val="1"/>
    <w:autoRedefine/>
    <w:qFormat/>
    <w:uiPriority w:val="99"/>
    <w:pPr>
      <w:ind w:firstLine="480" w:firstLineChars="200"/>
    </w:pPr>
    <w:rPr>
      <w:rFonts w:ascii="宋体" w:cs="宋体"/>
      <w:sz w:val="24"/>
    </w:rPr>
  </w:style>
  <w:style w:type="character" w:customStyle="1" w:styleId="599">
    <w:name w:val="标题2 Char Char"/>
    <w:link w:val="600"/>
    <w:autoRedefine/>
    <w:qFormat/>
    <w:locked/>
    <w:uiPriority w:val="99"/>
    <w:rPr>
      <w:rFonts w:ascii="Arial" w:hAnsi="Arial"/>
      <w:b/>
      <w:bCs/>
      <w:spacing w:val="20"/>
      <w:kern w:val="28"/>
      <w:sz w:val="28"/>
      <w:szCs w:val="28"/>
      <w:lang w:eastAsia="en-US"/>
    </w:rPr>
  </w:style>
  <w:style w:type="paragraph" w:customStyle="1" w:styleId="600">
    <w:name w:val="标题2"/>
    <w:basedOn w:val="3"/>
    <w:link w:val="599"/>
    <w:autoRedefine/>
    <w:qFormat/>
    <w:uiPriority w:val="99"/>
    <w:pPr>
      <w:keepLines w:val="0"/>
      <w:widowControl/>
      <w:numPr>
        <w:ilvl w:val="1"/>
        <w:numId w:val="29"/>
      </w:numPr>
      <w:spacing w:before="320" w:after="160" w:line="240" w:lineRule="auto"/>
      <w:jc w:val="left"/>
    </w:pPr>
    <w:rPr>
      <w:rFonts w:ascii="Arial" w:hAnsi="Arial"/>
      <w:spacing w:val="20"/>
      <w:kern w:val="28"/>
      <w:sz w:val="28"/>
      <w:szCs w:val="28"/>
      <w:lang w:val="en-US" w:eastAsia="en-US"/>
    </w:rPr>
  </w:style>
  <w:style w:type="character" w:customStyle="1" w:styleId="601">
    <w:name w:val="页脚 Char Char"/>
    <w:autoRedefine/>
    <w:qFormat/>
    <w:uiPriority w:val="99"/>
    <w:rPr>
      <w:rFonts w:eastAsia="宋体"/>
      <w:sz w:val="18"/>
    </w:rPr>
  </w:style>
  <w:style w:type="character" w:customStyle="1" w:styleId="602">
    <w:name w:val="Char Char Char Char Char"/>
    <w:autoRedefine/>
    <w:qFormat/>
    <w:uiPriority w:val="99"/>
    <w:rPr>
      <w:rFonts w:ascii="Arial" w:hAnsi="Arial" w:eastAsia="黑体"/>
      <w:b/>
      <w:kern w:val="2"/>
      <w:sz w:val="28"/>
      <w:lang w:val="en-US" w:eastAsia="zh-CN"/>
    </w:rPr>
  </w:style>
  <w:style w:type="character" w:customStyle="1" w:styleId="603">
    <w:name w:val="标题 4 Char Char"/>
    <w:autoRedefine/>
    <w:qFormat/>
    <w:uiPriority w:val="99"/>
    <w:rPr>
      <w:rFonts w:ascii="Arial" w:hAnsi="Arial" w:eastAsia="黑体"/>
      <w:b/>
      <w:kern w:val="2"/>
      <w:sz w:val="28"/>
      <w:lang w:val="en-US" w:eastAsia="zh-CN"/>
    </w:rPr>
  </w:style>
  <w:style w:type="character" w:customStyle="1" w:styleId="604">
    <w:name w:val="正文缩进 Char Char"/>
    <w:autoRedefine/>
    <w:qFormat/>
    <w:uiPriority w:val="99"/>
    <w:rPr>
      <w:rFonts w:ascii="Calibri" w:hAnsi="Calibri" w:eastAsia="宋体"/>
      <w:kern w:val="2"/>
      <w:sz w:val="22"/>
      <w:lang w:val="en-US" w:eastAsia="zh-CN"/>
    </w:rPr>
  </w:style>
  <w:style w:type="character" w:customStyle="1" w:styleId="605">
    <w:name w:val="文档结构图 Char Char"/>
    <w:autoRedefine/>
    <w:qFormat/>
    <w:uiPriority w:val="99"/>
    <w:rPr>
      <w:rFonts w:ascii="宋体" w:eastAsia="宋体"/>
      <w:sz w:val="18"/>
    </w:rPr>
  </w:style>
  <w:style w:type="paragraph" w:customStyle="1" w:styleId="606">
    <w:name w:val="style8"/>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607">
    <w:name w:val="bt"/>
    <w:basedOn w:val="81"/>
    <w:autoRedefine/>
    <w:qFormat/>
    <w:uiPriority w:val="99"/>
    <w:rPr>
      <w:rFonts w:cs="Times New Roman"/>
    </w:rPr>
  </w:style>
  <w:style w:type="paragraph" w:customStyle="1" w:styleId="608">
    <w:name w:val="正文 项目"/>
    <w:basedOn w:val="1"/>
    <w:autoRedefine/>
    <w:qFormat/>
    <w:uiPriority w:val="99"/>
    <w:pPr>
      <w:widowControl/>
      <w:numPr>
        <w:ilvl w:val="0"/>
        <w:numId w:val="30"/>
      </w:numPr>
      <w:spacing w:after="120" w:line="440" w:lineRule="exact"/>
      <w:jc w:val="left"/>
    </w:pPr>
    <w:rPr>
      <w:rFonts w:ascii="仿宋_GB2312" w:hAnsi="仿宋_GB2312" w:eastAsia="仿宋_GB2312"/>
      <w:sz w:val="24"/>
      <w:szCs w:val="20"/>
    </w:rPr>
  </w:style>
  <w:style w:type="character" w:customStyle="1" w:styleId="609">
    <w:name w:val="批注文字 Char1"/>
    <w:basedOn w:val="81"/>
    <w:autoRedefine/>
    <w:qFormat/>
    <w:uiPriority w:val="99"/>
    <w:rPr>
      <w:rFonts w:ascii="Times New Roman" w:hAnsi="Times New Roman" w:cs="Times New Roman"/>
      <w:color w:val="auto"/>
      <w:kern w:val="2"/>
      <w:sz w:val="21"/>
    </w:rPr>
  </w:style>
  <w:style w:type="character" w:customStyle="1" w:styleId="610">
    <w:name w:val="Caption Char"/>
    <w:basedOn w:val="81"/>
    <w:link w:val="17"/>
    <w:autoRedefine/>
    <w:qFormat/>
    <w:locked/>
    <w:uiPriority w:val="99"/>
    <w:rPr>
      <w:rFonts w:cs="Times New Roman"/>
      <w:b/>
      <w:kern w:val="2"/>
      <w:sz w:val="28"/>
    </w:rPr>
  </w:style>
  <w:style w:type="character" w:customStyle="1" w:styleId="611">
    <w:name w:val="正文文本缩进 Char1"/>
    <w:basedOn w:val="81"/>
    <w:autoRedefine/>
    <w:qFormat/>
    <w:uiPriority w:val="99"/>
    <w:rPr>
      <w:rFonts w:ascii="方正书宋简体" w:hAnsi="Times New Roman" w:eastAsia="方正书宋简体" w:cs="Times New Roman"/>
      <w:color w:val="auto"/>
      <w:sz w:val="28"/>
      <w:szCs w:val="28"/>
    </w:rPr>
  </w:style>
  <w:style w:type="character" w:customStyle="1" w:styleId="612">
    <w:name w:val="正文首行缩进 Char1"/>
    <w:basedOn w:val="81"/>
    <w:autoRedefine/>
    <w:qFormat/>
    <w:uiPriority w:val="99"/>
    <w:rPr>
      <w:rFonts w:ascii="Times New Roman" w:hAnsi="Times New Roman" w:cs="Times New Roman"/>
      <w:color w:val="auto"/>
      <w:kern w:val="2"/>
      <w:sz w:val="24"/>
      <w:szCs w:val="24"/>
    </w:rPr>
  </w:style>
  <w:style w:type="character" w:customStyle="1" w:styleId="613">
    <w:name w:val="正文首行缩进 2 Char1"/>
    <w:basedOn w:val="611"/>
    <w:autoRedefine/>
    <w:qFormat/>
    <w:uiPriority w:val="99"/>
    <w:rPr>
      <w:rFonts w:ascii="Times New Roman"/>
      <w:kern w:val="2"/>
      <w:sz w:val="21"/>
      <w:szCs w:val="21"/>
    </w:rPr>
  </w:style>
  <w:style w:type="character" w:customStyle="1" w:styleId="614">
    <w:name w:val="正文文本缩进 2 Char1"/>
    <w:basedOn w:val="81"/>
    <w:autoRedefine/>
    <w:qFormat/>
    <w:uiPriority w:val="99"/>
    <w:rPr>
      <w:rFonts w:ascii="楷体_GB2312" w:hAnsi="Times New Roman" w:eastAsia="楷体_GB2312" w:cs="Times New Roman"/>
      <w:color w:val="auto"/>
      <w:sz w:val="32"/>
      <w:szCs w:val="32"/>
    </w:rPr>
  </w:style>
  <w:style w:type="character" w:customStyle="1" w:styleId="615">
    <w:name w:val="正文文本缩进 3 Char1"/>
    <w:basedOn w:val="81"/>
    <w:autoRedefine/>
    <w:qFormat/>
    <w:uiPriority w:val="99"/>
    <w:rPr>
      <w:rFonts w:ascii="Times New Roman" w:hAnsi="Times New Roman" w:cs="Times New Roman"/>
      <w:color w:val="auto"/>
      <w:sz w:val="32"/>
      <w:szCs w:val="32"/>
    </w:rPr>
  </w:style>
  <w:style w:type="character" w:customStyle="1" w:styleId="616">
    <w:name w:val="纯文本 Char1"/>
    <w:basedOn w:val="81"/>
    <w:autoRedefine/>
    <w:qFormat/>
    <w:uiPriority w:val="99"/>
    <w:rPr>
      <w:rFonts w:ascii="宋体" w:hAnsi="Courier New" w:eastAsia="宋体" w:cs="Courier New"/>
      <w:sz w:val="21"/>
      <w:szCs w:val="21"/>
    </w:rPr>
  </w:style>
  <w:style w:type="character" w:customStyle="1" w:styleId="617">
    <w:name w:val="批注框文本 Char1"/>
    <w:basedOn w:val="81"/>
    <w:autoRedefine/>
    <w:qFormat/>
    <w:uiPriority w:val="99"/>
    <w:rPr>
      <w:rFonts w:ascii="Times New Roman" w:hAnsi="Times New Roman" w:cs="Times New Roman"/>
      <w:color w:val="auto"/>
      <w:kern w:val="2"/>
      <w:sz w:val="18"/>
      <w:szCs w:val="18"/>
    </w:rPr>
  </w:style>
  <w:style w:type="paragraph" w:customStyle="1" w:styleId="618">
    <w:name w:val="样式 标题 1 + 四号 居中"/>
    <w:basedOn w:val="2"/>
    <w:autoRedefine/>
    <w:qFormat/>
    <w:uiPriority w:val="99"/>
    <w:pPr>
      <w:numPr>
        <w:ilvl w:val="0"/>
        <w:numId w:val="0"/>
      </w:numPr>
      <w:tabs>
        <w:tab w:val="clear" w:pos="432"/>
      </w:tabs>
      <w:autoSpaceDE w:val="0"/>
      <w:autoSpaceDN w:val="0"/>
      <w:adjustRightInd w:val="0"/>
      <w:spacing w:before="240" w:after="240" w:line="240" w:lineRule="auto"/>
      <w:ind w:firstLine="288"/>
      <w:jc w:val="center"/>
      <w:outlineLvl w:val="9"/>
    </w:pPr>
    <w:rPr>
      <w:kern w:val="0"/>
      <w:sz w:val="28"/>
      <w:szCs w:val="28"/>
    </w:rPr>
  </w:style>
  <w:style w:type="paragraph" w:customStyle="1" w:styleId="619">
    <w:name w:val="样式 样式 样式 样式 标题"/>
    <w:basedOn w:val="1"/>
    <w:autoRedefine/>
    <w:qFormat/>
    <w:uiPriority w:val="99"/>
    <w:pPr>
      <w:keepNext/>
      <w:keepLines/>
      <w:tabs>
        <w:tab w:val="left" w:pos="709"/>
      </w:tabs>
      <w:autoSpaceDE w:val="0"/>
      <w:autoSpaceDN w:val="0"/>
      <w:adjustRightInd w:val="0"/>
      <w:spacing w:before="240" w:line="240" w:lineRule="auto"/>
      <w:ind w:left="709" w:hanging="709"/>
      <w:jc w:val="left"/>
    </w:pPr>
    <w:rPr>
      <w:rFonts w:ascii="宋体"/>
      <w:b/>
      <w:bCs/>
      <w:color w:val="000000"/>
      <w:kern w:val="0"/>
      <w:szCs w:val="21"/>
    </w:rPr>
  </w:style>
  <w:style w:type="paragraph" w:customStyle="1" w:styleId="620">
    <w:name w:val="Char Char Char Char Char Char Char Char Char Char Char Char Char Char"/>
    <w:basedOn w:val="1"/>
    <w:autoRedefine/>
    <w:qFormat/>
    <w:uiPriority w:val="99"/>
    <w:pPr>
      <w:spacing w:line="240" w:lineRule="auto"/>
    </w:pPr>
    <w:rPr>
      <w:rFonts w:ascii="Tahoma" w:hAnsi="Tahoma"/>
      <w:sz w:val="24"/>
    </w:rPr>
  </w:style>
  <w:style w:type="character" w:customStyle="1" w:styleId="621">
    <w:name w:val="表题/图题 Char"/>
    <w:basedOn w:val="81"/>
    <w:link w:val="622"/>
    <w:autoRedefine/>
    <w:qFormat/>
    <w:locked/>
    <w:uiPriority w:val="99"/>
    <w:rPr>
      <w:rFonts w:hAnsi="宋体" w:cs="Times New Roman"/>
      <w:b/>
      <w:sz w:val="24"/>
      <w:szCs w:val="24"/>
    </w:rPr>
  </w:style>
  <w:style w:type="paragraph" w:customStyle="1" w:styleId="622">
    <w:name w:val="表题/图题"/>
    <w:basedOn w:val="1"/>
    <w:next w:val="1"/>
    <w:link w:val="621"/>
    <w:autoRedefine/>
    <w:qFormat/>
    <w:uiPriority w:val="99"/>
    <w:pPr>
      <w:tabs>
        <w:tab w:val="left" w:pos="720"/>
      </w:tabs>
      <w:spacing w:line="240" w:lineRule="auto"/>
      <w:ind w:left="720" w:hanging="720"/>
      <w:jc w:val="center"/>
    </w:pPr>
    <w:rPr>
      <w:rFonts w:hAnsi="宋体"/>
      <w:b/>
      <w:kern w:val="0"/>
      <w:sz w:val="24"/>
    </w:rPr>
  </w:style>
  <w:style w:type="paragraph" w:customStyle="1" w:styleId="623">
    <w:name w:val="Char Char Char Char Char Char Char Char Char"/>
    <w:basedOn w:val="1"/>
    <w:autoRedefine/>
    <w:qFormat/>
    <w:uiPriority w:val="99"/>
    <w:pPr>
      <w:widowControl/>
      <w:spacing w:after="160" w:line="240" w:lineRule="exact"/>
      <w:jc w:val="left"/>
    </w:pPr>
    <w:rPr>
      <w:rFonts w:ascii="Verdana" w:hAnsi="Verdana" w:eastAsia="仿宋_GB2312"/>
      <w:b/>
      <w:i/>
      <w:kern w:val="0"/>
      <w:sz w:val="24"/>
      <w:lang w:eastAsia="en-US"/>
    </w:rPr>
  </w:style>
  <w:style w:type="character" w:customStyle="1" w:styleId="624">
    <w:name w:val="段落正文 Char"/>
    <w:basedOn w:val="81"/>
    <w:link w:val="625"/>
    <w:autoRedefine/>
    <w:qFormat/>
    <w:locked/>
    <w:uiPriority w:val="99"/>
    <w:rPr>
      <w:rFonts w:hAnsi="宋体" w:cs="Times New Roman"/>
      <w:sz w:val="24"/>
      <w:szCs w:val="24"/>
    </w:rPr>
  </w:style>
  <w:style w:type="paragraph" w:customStyle="1" w:styleId="625">
    <w:name w:val="段落正文"/>
    <w:basedOn w:val="1"/>
    <w:link w:val="624"/>
    <w:autoRedefine/>
    <w:qFormat/>
    <w:uiPriority w:val="99"/>
    <w:pPr>
      <w:spacing w:beforeLines="50" w:line="300" w:lineRule="auto"/>
      <w:ind w:firstLine="480" w:firstLineChars="200"/>
      <w:jc w:val="left"/>
    </w:pPr>
    <w:rPr>
      <w:rFonts w:hAnsi="宋体"/>
      <w:kern w:val="0"/>
      <w:sz w:val="24"/>
    </w:rPr>
  </w:style>
  <w:style w:type="paragraph" w:customStyle="1" w:styleId="626">
    <w:name w:val="实施日期"/>
    <w:basedOn w:val="1"/>
    <w:autoRedefine/>
    <w:qFormat/>
    <w:uiPriority w:val="99"/>
    <w:pPr>
      <w:framePr w:w="4000" w:h="473" w:vSpace="180" w:wrap="around" w:vAnchor="margin" w:hAnchor="margin" w:xAlign="right" w:y="13511" w:anchorLock="1"/>
      <w:widowControl/>
      <w:tabs>
        <w:tab w:val="left" w:pos="1125"/>
      </w:tabs>
      <w:spacing w:line="240" w:lineRule="auto"/>
      <w:ind w:left="1125" w:hanging="480"/>
      <w:jc w:val="right"/>
    </w:pPr>
    <w:rPr>
      <w:rFonts w:eastAsia="黑体"/>
      <w:kern w:val="0"/>
      <w:sz w:val="28"/>
      <w:szCs w:val="20"/>
    </w:rPr>
  </w:style>
  <w:style w:type="paragraph" w:customStyle="1" w:styleId="627">
    <w:name w:val="图表脚注"/>
    <w:next w:val="191"/>
    <w:autoRedefine/>
    <w:qFormat/>
    <w:uiPriority w:val="99"/>
    <w:pPr>
      <w:tabs>
        <w:tab w:val="left" w:pos="1125"/>
      </w:tabs>
      <w:ind w:left="1125" w:hanging="480"/>
      <w:jc w:val="both"/>
    </w:pPr>
    <w:rPr>
      <w:rFonts w:ascii="宋体" w:hAnsi="Times New Roman" w:eastAsia="宋体" w:cs="Times New Roman"/>
      <w:kern w:val="0"/>
      <w:sz w:val="18"/>
      <w:szCs w:val="20"/>
      <w:lang w:val="en-US" w:eastAsia="zh-CN" w:bidi="ar-SA"/>
    </w:rPr>
  </w:style>
  <w:style w:type="paragraph" w:customStyle="1" w:styleId="628">
    <w:name w:val="标题1"/>
    <w:basedOn w:val="27"/>
    <w:autoRedefine/>
    <w:qFormat/>
    <w:uiPriority w:val="99"/>
    <w:pPr>
      <w:autoSpaceDE/>
      <w:autoSpaceDN/>
      <w:adjustRightInd/>
      <w:spacing w:line="240" w:lineRule="auto"/>
      <w:ind w:firstLine="0"/>
    </w:pPr>
    <w:rPr>
      <w:rFonts w:ascii="楷体_GB2312" w:eastAsia="楷体_GB2312"/>
      <w:b/>
      <w:sz w:val="28"/>
      <w:szCs w:val="28"/>
      <w:lang w:val="en-US"/>
    </w:rPr>
  </w:style>
  <w:style w:type="paragraph" w:customStyle="1" w:styleId="629">
    <w:name w:val="我的正文"/>
    <w:basedOn w:val="1"/>
    <w:autoRedefine/>
    <w:qFormat/>
    <w:uiPriority w:val="99"/>
    <w:pPr>
      <w:adjustRightInd w:val="0"/>
      <w:snapToGrid w:val="0"/>
      <w:spacing w:line="360" w:lineRule="exact"/>
      <w:ind w:right="210" w:rightChars="100"/>
      <w:jc w:val="left"/>
    </w:pPr>
    <w:rPr>
      <w:b/>
      <w:color w:val="000000"/>
    </w:rPr>
  </w:style>
  <w:style w:type="paragraph" w:customStyle="1" w:styleId="630">
    <w:name w:val="（空）多级符号 Char Char"/>
    <w:basedOn w:val="1"/>
    <w:autoRedefine/>
    <w:qFormat/>
    <w:uiPriority w:val="99"/>
    <w:pPr>
      <w:adjustRightInd w:val="0"/>
      <w:snapToGrid w:val="0"/>
      <w:ind w:firstLine="540" w:firstLineChars="225"/>
    </w:pPr>
    <w:rPr>
      <w:rFonts w:ascii="宋体" w:hAnsi="宋体"/>
      <w:sz w:val="24"/>
    </w:rPr>
  </w:style>
  <w:style w:type="paragraph" w:customStyle="1" w:styleId="631">
    <w:name w:val="1.1 多级符号 Char Char"/>
    <w:basedOn w:val="1"/>
    <w:autoRedefine/>
    <w:qFormat/>
    <w:uiPriority w:val="99"/>
    <w:pPr>
      <w:tabs>
        <w:tab w:val="left" w:pos="1440"/>
      </w:tabs>
      <w:spacing w:beforeLines="50" w:line="480" w:lineRule="auto"/>
      <w:outlineLvl w:val="1"/>
    </w:pPr>
    <w:rPr>
      <w:rFonts w:ascii="宋体" w:hAnsi="宋体"/>
      <w:b/>
      <w:sz w:val="28"/>
      <w:szCs w:val="28"/>
    </w:rPr>
  </w:style>
  <w:style w:type="paragraph" w:customStyle="1" w:styleId="632">
    <w:name w:val="yiv2047259363msonormal"/>
    <w:basedOn w:val="1"/>
    <w:autoRedefine/>
    <w:qFormat/>
    <w:uiPriority w:val="99"/>
    <w:pPr>
      <w:widowControl/>
      <w:spacing w:before="100" w:beforeAutospacing="1" w:after="100" w:afterAutospacing="1" w:line="240" w:lineRule="auto"/>
      <w:jc w:val="left"/>
    </w:pPr>
    <w:rPr>
      <w:rFonts w:ascii="宋体" w:hAnsi="宋体" w:cs="宋体"/>
      <w:kern w:val="0"/>
      <w:sz w:val="24"/>
    </w:rPr>
  </w:style>
  <w:style w:type="paragraph" w:customStyle="1" w:styleId="633">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sz w:val="28"/>
      <w:szCs w:val="20"/>
    </w:rPr>
  </w:style>
  <w:style w:type="character" w:customStyle="1" w:styleId="634">
    <w:name w:val="正文样式 Char"/>
    <w:basedOn w:val="81"/>
    <w:link w:val="635"/>
    <w:autoRedefine/>
    <w:qFormat/>
    <w:locked/>
    <w:uiPriority w:val="99"/>
    <w:rPr>
      <w:rFonts w:hAnsi="宋体" w:cs="Times New Roman"/>
      <w:sz w:val="24"/>
      <w:szCs w:val="24"/>
    </w:rPr>
  </w:style>
  <w:style w:type="paragraph" w:customStyle="1" w:styleId="635">
    <w:name w:val="正文样式"/>
    <w:basedOn w:val="1"/>
    <w:link w:val="634"/>
    <w:autoRedefine/>
    <w:qFormat/>
    <w:uiPriority w:val="99"/>
    <w:pPr>
      <w:ind w:firstLine="480" w:firstLineChars="200"/>
    </w:pPr>
    <w:rPr>
      <w:rFonts w:hAnsi="宋体"/>
      <w:kern w:val="0"/>
      <w:sz w:val="24"/>
    </w:rPr>
  </w:style>
  <w:style w:type="paragraph" w:customStyle="1" w:styleId="636">
    <w:name w:val="??"/>
    <w:autoRedefine/>
    <w:qFormat/>
    <w:uiPriority w:val="99"/>
    <w:pPr>
      <w:widowControl w:val="0"/>
      <w:overflowPunct w:val="0"/>
      <w:autoSpaceDE w:val="0"/>
      <w:autoSpaceDN w:val="0"/>
      <w:adjustRightInd w:val="0"/>
      <w:spacing w:line="360" w:lineRule="atLeast"/>
      <w:jc w:val="both"/>
    </w:pPr>
    <w:rPr>
      <w:rFonts w:ascii="Times New Roman" w:hAnsi="Times New Roman" w:eastAsia="宋体" w:cs="Times New Roman"/>
      <w:kern w:val="2"/>
      <w:sz w:val="21"/>
      <w:szCs w:val="20"/>
      <w:lang w:val="en-US" w:eastAsia="en-US" w:bidi="ar-SA"/>
    </w:rPr>
  </w:style>
  <w:style w:type="paragraph" w:customStyle="1" w:styleId="637">
    <w:name w:val="Default Paragraph Char Char Char Char"/>
    <w:basedOn w:val="1"/>
    <w:next w:val="1"/>
    <w:autoRedefine/>
    <w:qFormat/>
    <w:uiPriority w:val="99"/>
    <w:pPr>
      <w:widowControl/>
      <w:jc w:val="left"/>
    </w:pPr>
    <w:rPr>
      <w:kern w:val="0"/>
      <w:szCs w:val="20"/>
      <w:lang w:eastAsia="en-US"/>
    </w:rPr>
  </w:style>
  <w:style w:type="paragraph" w:customStyle="1" w:styleId="638">
    <w:name w:val="样式 标题 2 + 段前: 1 行 段后: 1 行"/>
    <w:basedOn w:val="1"/>
    <w:next w:val="20"/>
    <w:autoRedefine/>
    <w:qFormat/>
    <w:uiPriority w:val="99"/>
    <w:pPr>
      <w:keepNext/>
      <w:keepLines/>
      <w:tabs>
        <w:tab w:val="left" w:pos="1260"/>
      </w:tabs>
      <w:ind w:left="1260" w:hanging="420"/>
      <w:outlineLvl w:val="1"/>
    </w:pPr>
    <w:rPr>
      <w:rFonts w:ascii="宋体" w:hAnsi="宋体" w:cs="Arial"/>
      <w:color w:val="000000"/>
      <w:spacing w:val="10"/>
      <w:kern w:val="0"/>
      <w:sz w:val="28"/>
      <w:szCs w:val="32"/>
    </w:rPr>
  </w:style>
  <w:style w:type="paragraph" w:customStyle="1" w:styleId="639">
    <w:name w:val="xl54"/>
    <w:basedOn w:val="1"/>
    <w:autoRedefine/>
    <w:qFormat/>
    <w:uiPriority w:val="99"/>
    <w:pPr>
      <w:widowControl/>
      <w:pBdr>
        <w:left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0"/>
    </w:rPr>
  </w:style>
  <w:style w:type="character" w:customStyle="1" w:styleId="640">
    <w:name w:val="样式 楷体_GB2312 悬挂缩进: 1.5 字符 行距: 固定值 24 磅 Char Char Char Char Char"/>
    <w:link w:val="641"/>
    <w:autoRedefine/>
    <w:qFormat/>
    <w:locked/>
    <w:uiPriority w:val="99"/>
    <w:rPr>
      <w:rFonts w:ascii="楷体_GB2312" w:hAnsi="Tahoma" w:eastAsia="楷体_GB2312"/>
      <w:sz w:val="28"/>
    </w:rPr>
  </w:style>
  <w:style w:type="paragraph" w:customStyle="1" w:styleId="641">
    <w:name w:val="样式 楷体_GB2312 悬挂缩进: 1.5 字符 行距: 固定值 24 磅 Char Char"/>
    <w:basedOn w:val="1"/>
    <w:link w:val="640"/>
    <w:autoRedefine/>
    <w:qFormat/>
    <w:uiPriority w:val="99"/>
    <w:pPr>
      <w:ind w:firstLine="599" w:firstLineChars="214"/>
    </w:pPr>
    <w:rPr>
      <w:rFonts w:ascii="楷体_GB2312" w:hAnsi="Tahoma" w:eastAsia="楷体_GB2312"/>
      <w:kern w:val="0"/>
      <w:sz w:val="28"/>
      <w:szCs w:val="28"/>
    </w:rPr>
  </w:style>
  <w:style w:type="paragraph" w:customStyle="1" w:styleId="642">
    <w:name w:val="Paragraph Text"/>
    <w:basedOn w:val="1"/>
    <w:autoRedefine/>
    <w:qFormat/>
    <w:uiPriority w:val="99"/>
    <w:pPr>
      <w:widowControl/>
      <w:spacing w:line="320" w:lineRule="exact"/>
      <w:jc w:val="left"/>
    </w:pPr>
    <w:rPr>
      <w:rFonts w:ascii="Beijing" w:eastAsia="Times New Roman"/>
      <w:kern w:val="0"/>
      <w:sz w:val="18"/>
      <w:szCs w:val="18"/>
    </w:rPr>
  </w:style>
  <w:style w:type="paragraph" w:customStyle="1" w:styleId="643">
    <w:name w:val="正文_1"/>
    <w:autoRedefine/>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644">
    <w:name w:val="artcontent"/>
    <w:basedOn w:val="81"/>
    <w:autoRedefine/>
    <w:qFormat/>
    <w:uiPriority w:val="99"/>
    <w:rPr>
      <w:rFonts w:ascii="Tahoma" w:hAnsi="Tahoma" w:eastAsia="宋体" w:cs="Tahoma"/>
      <w:kern w:val="2"/>
      <w:sz w:val="28"/>
      <w:szCs w:val="28"/>
      <w:lang w:val="en-US" w:eastAsia="zh-CN" w:bidi="ar-SA"/>
    </w:rPr>
  </w:style>
  <w:style w:type="character" w:customStyle="1" w:styleId="645">
    <w:name w:val="title_emph1"/>
    <w:basedOn w:val="81"/>
    <w:autoRedefine/>
    <w:qFormat/>
    <w:uiPriority w:val="99"/>
    <w:rPr>
      <w:rFonts w:ascii="Arial" w:hAnsi="Arial" w:cs="Arial"/>
      <w:b/>
      <w:bCs/>
      <w:sz w:val="20"/>
      <w:szCs w:val="20"/>
    </w:rPr>
  </w:style>
  <w:style w:type="character" w:customStyle="1" w:styleId="646">
    <w:name w:val="style1"/>
    <w:basedOn w:val="81"/>
    <w:autoRedefine/>
    <w:qFormat/>
    <w:uiPriority w:val="99"/>
    <w:rPr>
      <w:rFonts w:cs="Times New Roman"/>
    </w:rPr>
  </w:style>
  <w:style w:type="character" w:customStyle="1" w:styleId="647">
    <w:name w:val="spantable1"/>
    <w:basedOn w:val="81"/>
    <w:autoRedefine/>
    <w:qFormat/>
    <w:uiPriority w:val="99"/>
    <w:rPr>
      <w:rFonts w:ascii="??" w:hAnsi="??" w:cs="Times New Roman"/>
      <w:sz w:val="18"/>
      <w:szCs w:val="18"/>
    </w:rPr>
  </w:style>
  <w:style w:type="character" w:customStyle="1" w:styleId="648">
    <w:name w:val="表格内容"/>
    <w:basedOn w:val="81"/>
    <w:autoRedefine/>
    <w:qFormat/>
    <w:uiPriority w:val="99"/>
    <w:rPr>
      <w:rFonts w:cs="Times New Roman"/>
      <w:sz w:val="24"/>
    </w:rPr>
  </w:style>
  <w:style w:type="character" w:customStyle="1" w:styleId="649">
    <w:name w:val="param-name"/>
    <w:basedOn w:val="81"/>
    <w:autoRedefine/>
    <w:qFormat/>
    <w:uiPriority w:val="99"/>
    <w:rPr>
      <w:rFonts w:cs="Times New Roman"/>
    </w:rPr>
  </w:style>
  <w:style w:type="paragraph" w:customStyle="1" w:styleId="650">
    <w:name w:val="常规正文"/>
    <w:basedOn w:val="1"/>
    <w:autoRedefine/>
    <w:qFormat/>
    <w:uiPriority w:val="99"/>
    <w:pPr>
      <w:ind w:firstLine="200" w:firstLineChars="200"/>
    </w:pPr>
    <w:rPr>
      <w:sz w:val="24"/>
    </w:rPr>
  </w:style>
  <w:style w:type="paragraph" w:customStyle="1" w:styleId="651">
    <w:name w:val="1 Char Char Char Char"/>
    <w:basedOn w:val="1"/>
    <w:autoRedefine/>
    <w:qFormat/>
    <w:uiPriority w:val="99"/>
    <w:pPr>
      <w:spacing w:line="240" w:lineRule="auto"/>
    </w:pPr>
    <w:rPr>
      <w:rFonts w:ascii="宋体" w:hAnsi="宋体"/>
      <w:sz w:val="24"/>
    </w:rPr>
  </w:style>
  <w:style w:type="character" w:customStyle="1" w:styleId="652">
    <w:name w:val="正文（首行缩进2字符） Char"/>
    <w:basedOn w:val="81"/>
    <w:link w:val="97"/>
    <w:autoRedefine/>
    <w:qFormat/>
    <w:locked/>
    <w:uiPriority w:val="99"/>
    <w:rPr>
      <w:rFonts w:cs="Times New Roman"/>
      <w:kern w:val="2"/>
      <w:sz w:val="24"/>
    </w:rPr>
  </w:style>
  <w:style w:type="paragraph" w:customStyle="1" w:styleId="653">
    <w:name w:val="F00"/>
    <w:basedOn w:val="1"/>
    <w:autoRedefine/>
    <w:qFormat/>
    <w:uiPriority w:val="99"/>
    <w:pPr>
      <w:tabs>
        <w:tab w:val="left" w:pos="2235"/>
      </w:tabs>
      <w:spacing w:line="500" w:lineRule="exact"/>
      <w:ind w:firstLine="353" w:firstLineChars="147"/>
    </w:pPr>
    <w:rPr>
      <w:rFonts w:ascii="宋体" w:hAnsi="宋体"/>
      <w:sz w:val="24"/>
    </w:rPr>
  </w:style>
  <w:style w:type="table" w:customStyle="1" w:styleId="654">
    <w:name w:val="浅色列表1"/>
    <w:autoRedefine/>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tcBorders>
      </w:tcPr>
    </w:tblStylePr>
  </w:style>
  <w:style w:type="paragraph" w:customStyle="1" w:styleId="655">
    <w:name w:val="TableTextLeft"/>
    <w:autoRedefine/>
    <w:qFormat/>
    <w:uiPriority w:val="99"/>
    <w:rPr>
      <w:rFonts w:ascii="Century Gothic" w:hAnsi="Century Gothic" w:eastAsia="宋体" w:cs="Times New Roman"/>
      <w:kern w:val="0"/>
      <w:sz w:val="20"/>
      <w:szCs w:val="18"/>
      <w:lang w:val="en-US" w:eastAsia="en-US" w:bidi="ar-SA"/>
    </w:rPr>
  </w:style>
  <w:style w:type="paragraph" w:customStyle="1" w:styleId="656">
    <w:name w:val="正文，首行缩进:"/>
    <w:basedOn w:val="1"/>
    <w:autoRedefine/>
    <w:qFormat/>
    <w:uiPriority w:val="99"/>
    <w:pPr>
      <w:ind w:firstLine="420" w:firstLineChars="175"/>
      <w:jc w:val="left"/>
    </w:pPr>
    <w:rPr>
      <w:rFonts w:ascii="宋体" w:hAnsi="宋体" w:cs="宋体"/>
      <w:sz w:val="24"/>
      <w:szCs w:val="20"/>
    </w:rPr>
  </w:style>
  <w:style w:type="paragraph" w:customStyle="1" w:styleId="657">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658">
    <w:name w:val="正文缩进2"/>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659">
    <w:name w:val="style22"/>
    <w:basedOn w:val="1"/>
    <w:autoRedefine/>
    <w:qFormat/>
    <w:uiPriority w:val="99"/>
    <w:pPr>
      <w:widowControl/>
      <w:spacing w:before="100" w:beforeAutospacing="1" w:after="100" w:afterAutospacing="1" w:line="240" w:lineRule="auto"/>
      <w:jc w:val="left"/>
    </w:pPr>
    <w:rPr>
      <w:rFonts w:ascii="Arial" w:hAnsi="Arial"/>
      <w:kern w:val="0"/>
      <w:sz w:val="24"/>
      <w:szCs w:val="20"/>
    </w:rPr>
  </w:style>
  <w:style w:type="paragraph" w:customStyle="1" w:styleId="660">
    <w:name w:val="正文应用"/>
    <w:basedOn w:val="1"/>
    <w:autoRedefine/>
    <w:qFormat/>
    <w:uiPriority w:val="99"/>
    <w:pPr>
      <w:ind w:firstLine="480" w:firstLineChars="200"/>
      <w:jc w:val="left"/>
    </w:pPr>
    <w:rPr>
      <w:sz w:val="24"/>
      <w:szCs w:val="20"/>
    </w:rPr>
  </w:style>
  <w:style w:type="paragraph" w:customStyle="1" w:styleId="661">
    <w:name w:val="lh-1_5em"/>
    <w:basedOn w:val="1"/>
    <w:autoRedefine/>
    <w:qFormat/>
    <w:uiPriority w:val="99"/>
    <w:pPr>
      <w:widowControl/>
      <w:spacing w:before="100" w:beforeAutospacing="1" w:after="100" w:afterAutospacing="1" w:line="360" w:lineRule="atLeast"/>
      <w:jc w:val="left"/>
    </w:pPr>
    <w:rPr>
      <w:rFonts w:ascii="Arial Unicode MS" w:hAnsi="Arial Unicode MS"/>
      <w:kern w:val="0"/>
      <w:sz w:val="18"/>
      <w:szCs w:val="20"/>
    </w:rPr>
  </w:style>
  <w:style w:type="paragraph" w:customStyle="1" w:styleId="662">
    <w:name w:val="标二"/>
    <w:next w:val="1"/>
    <w:autoRedefine/>
    <w:qFormat/>
    <w:uiPriority w:val="99"/>
    <w:pPr>
      <w:widowControl w:val="0"/>
      <w:outlineLvl w:val="1"/>
    </w:pPr>
    <w:rPr>
      <w:rFonts w:ascii="宋体" w:hAnsi="宋体" w:eastAsia="宋体" w:cs="Times New Roman"/>
      <w:b/>
      <w:color w:val="000000"/>
      <w:kern w:val="2"/>
      <w:sz w:val="24"/>
      <w:szCs w:val="20"/>
      <w:lang w:val="en-US" w:eastAsia="zh-CN" w:bidi="ar-SA"/>
    </w:rPr>
  </w:style>
  <w:style w:type="paragraph" w:customStyle="1" w:styleId="663">
    <w:name w:val="正文文字缩进2字"/>
    <w:basedOn w:val="26"/>
    <w:autoRedefine/>
    <w:qFormat/>
    <w:uiPriority w:val="99"/>
    <w:pPr>
      <w:autoSpaceDE/>
      <w:autoSpaceDN/>
      <w:adjustRightInd/>
      <w:spacing w:after="60" w:line="240" w:lineRule="auto"/>
      <w:ind w:left="420" w:leftChars="200"/>
      <w:jc w:val="center"/>
    </w:pPr>
    <w:rPr>
      <w:rFonts w:ascii="Times New Roman"/>
      <w:szCs w:val="20"/>
      <w:lang w:val="en-US"/>
    </w:rPr>
  </w:style>
  <w:style w:type="paragraph" w:customStyle="1" w:styleId="664">
    <w:name w:val="正文3"/>
    <w:basedOn w:val="1"/>
    <w:autoRedefine/>
    <w:qFormat/>
    <w:uiPriority w:val="99"/>
    <w:pPr>
      <w:widowControl/>
      <w:spacing w:before="100" w:beforeAutospacing="1" w:after="100" w:afterAutospacing="1" w:line="330" w:lineRule="atLeast"/>
      <w:jc w:val="left"/>
    </w:pPr>
    <w:rPr>
      <w:rFonts w:ascii="Arial Unicode MS" w:hAnsi="Arial Unicode MS"/>
      <w:kern w:val="0"/>
      <w:sz w:val="18"/>
      <w:szCs w:val="20"/>
    </w:rPr>
  </w:style>
  <w:style w:type="paragraph" w:customStyle="1" w:styleId="665">
    <w:name w:val="style7"/>
    <w:basedOn w:val="1"/>
    <w:autoRedefine/>
    <w:qFormat/>
    <w:uiPriority w:val="99"/>
    <w:pPr>
      <w:widowControl/>
      <w:spacing w:before="100" w:beforeAutospacing="1" w:after="100" w:afterAutospacing="1" w:line="240" w:lineRule="auto"/>
      <w:jc w:val="left"/>
    </w:pPr>
    <w:rPr>
      <w:rFonts w:ascii="宋体" w:hAnsi="宋体"/>
      <w:kern w:val="0"/>
      <w:sz w:val="18"/>
      <w:szCs w:val="20"/>
    </w:rPr>
  </w:style>
  <w:style w:type="paragraph" w:customStyle="1" w:styleId="666">
    <w:name w:val="样式 段落缩进2 小四 + 段前: 15.6 磅"/>
    <w:basedOn w:val="1"/>
    <w:autoRedefine/>
    <w:qFormat/>
    <w:uiPriority w:val="99"/>
    <w:pPr>
      <w:spacing w:before="312"/>
    </w:pPr>
    <w:rPr>
      <w:rFonts w:ascii="宋体" w:hAnsi="宋体"/>
      <w:sz w:val="24"/>
      <w:szCs w:val="20"/>
    </w:rPr>
  </w:style>
  <w:style w:type="paragraph" w:customStyle="1" w:styleId="667">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668">
    <w:name w:val="表项"/>
    <w:next w:val="669"/>
    <w:autoRedefine/>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669">
    <w:name w:val="表身（左）"/>
    <w:autoRedefine/>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670">
    <w:name w:val="表身（中）"/>
    <w:basedOn w:val="669"/>
    <w:autoRedefine/>
    <w:qFormat/>
    <w:uiPriority w:val="99"/>
    <w:pPr>
      <w:jc w:val="center"/>
    </w:pPr>
  </w:style>
  <w:style w:type="paragraph" w:customStyle="1" w:styleId="671">
    <w:name w:val="框下空行"/>
    <w:basedOn w:val="1"/>
    <w:next w:val="1"/>
    <w:autoRedefine/>
    <w:qFormat/>
    <w:uiPriority w:val="99"/>
    <w:pPr>
      <w:widowControl/>
      <w:adjustRightInd w:val="0"/>
      <w:snapToGrid w:val="0"/>
      <w:spacing w:line="200" w:lineRule="exact"/>
      <w:ind w:left="680"/>
    </w:pPr>
    <w:rPr>
      <w:sz w:val="18"/>
      <w:szCs w:val="20"/>
    </w:rPr>
  </w:style>
  <w:style w:type="paragraph" w:customStyle="1" w:styleId="672">
    <w:name w:val="正文文字左对齐"/>
    <w:basedOn w:val="26"/>
    <w:autoRedefine/>
    <w:qFormat/>
    <w:uiPriority w:val="99"/>
    <w:pPr>
      <w:autoSpaceDE/>
      <w:autoSpaceDN/>
      <w:adjustRightInd/>
    </w:pPr>
    <w:rPr>
      <w:rFonts w:hAnsi="宋体"/>
      <w:bCs/>
      <w:szCs w:val="20"/>
      <w:lang w:val="en-GB"/>
    </w:rPr>
  </w:style>
  <w:style w:type="character" w:customStyle="1" w:styleId="673">
    <w:name w:val="txtcontent11"/>
    <w:basedOn w:val="81"/>
    <w:autoRedefine/>
    <w:qFormat/>
    <w:uiPriority w:val="99"/>
    <w:rPr>
      <w:rFonts w:ascii="??" w:hAnsi="??" w:cs="Times New Roman"/>
      <w:color w:val="000000"/>
      <w:sz w:val="19"/>
      <w:szCs w:val="19"/>
    </w:rPr>
  </w:style>
  <w:style w:type="paragraph" w:customStyle="1" w:styleId="674">
    <w:name w:val="样式 标题 2 + 宋体 小四"/>
    <w:basedOn w:val="3"/>
    <w:autoRedefine/>
    <w:qFormat/>
    <w:uiPriority w:val="99"/>
    <w:pPr>
      <w:widowControl/>
      <w:tabs>
        <w:tab w:val="left" w:pos="567"/>
      </w:tabs>
      <w:autoSpaceDE w:val="0"/>
      <w:autoSpaceDN w:val="0"/>
      <w:adjustRightInd w:val="0"/>
      <w:spacing w:after="120" w:line="480" w:lineRule="auto"/>
      <w:ind w:left="567" w:right="6" w:hanging="567"/>
      <w:jc w:val="both"/>
      <w:textAlignment w:val="bottom"/>
    </w:pPr>
    <w:rPr>
      <w:caps/>
      <w:szCs w:val="24"/>
      <w:lang w:val="en-US"/>
    </w:rPr>
  </w:style>
  <w:style w:type="character" w:customStyle="1" w:styleId="675">
    <w:name w:val="f9"/>
    <w:basedOn w:val="81"/>
    <w:autoRedefine/>
    <w:qFormat/>
    <w:uiPriority w:val="99"/>
    <w:rPr>
      <w:rFonts w:cs="Times New Roman"/>
    </w:rPr>
  </w:style>
  <w:style w:type="character" w:customStyle="1" w:styleId="676">
    <w:name w:val="style11"/>
    <w:basedOn w:val="81"/>
    <w:autoRedefine/>
    <w:qFormat/>
    <w:uiPriority w:val="99"/>
    <w:rPr>
      <w:rFonts w:cs="Times New Roman"/>
      <w:color w:val="3399FF"/>
    </w:rPr>
  </w:style>
  <w:style w:type="character" w:customStyle="1" w:styleId="677">
    <w:name w:val="Char Char26"/>
    <w:autoRedefine/>
    <w:qFormat/>
    <w:uiPriority w:val="99"/>
    <w:rPr>
      <w:rFonts w:ascii="宋体" w:eastAsia="宋体"/>
      <w:snapToGrid w:val="0"/>
      <w:color w:val="000000"/>
      <w:kern w:val="28"/>
      <w:sz w:val="28"/>
      <w:lang w:val="en-US" w:eastAsia="zh-CN"/>
    </w:rPr>
  </w:style>
  <w:style w:type="character" w:customStyle="1" w:styleId="678">
    <w:name w:val="列出段落 字符"/>
    <w:link w:val="259"/>
    <w:autoRedefine/>
    <w:qFormat/>
    <w:locked/>
    <w:uiPriority w:val="99"/>
    <w:rPr>
      <w:kern w:val="2"/>
      <w:sz w:val="24"/>
    </w:rPr>
  </w:style>
  <w:style w:type="paragraph" w:customStyle="1" w:styleId="679">
    <w:name w:val="公开招标文件"/>
    <w:basedOn w:val="1"/>
    <w:autoRedefine/>
    <w:qFormat/>
    <w:uiPriority w:val="99"/>
    <w:pPr>
      <w:spacing w:line="1000" w:lineRule="exact"/>
      <w:jc w:val="center"/>
    </w:pPr>
    <w:rPr>
      <w:rFonts w:ascii="宋体" w:hAnsi="宋体" w:cs="宋体"/>
      <w:b/>
      <w:bCs/>
      <w:sz w:val="92"/>
      <w:szCs w:val="20"/>
    </w:rPr>
  </w:style>
  <w:style w:type="paragraph" w:customStyle="1" w:styleId="680">
    <w:name w:val="封面第一行"/>
    <w:basedOn w:val="1"/>
    <w:autoRedefine/>
    <w:qFormat/>
    <w:uiPriority w:val="99"/>
    <w:pPr>
      <w:jc w:val="center"/>
    </w:pPr>
    <w:rPr>
      <w:rFonts w:ascii="黑体" w:hAnsi="宋体" w:eastAsia="黑体" w:cs="宋体"/>
      <w:sz w:val="56"/>
      <w:szCs w:val="20"/>
    </w:rPr>
  </w:style>
  <w:style w:type="paragraph" w:customStyle="1" w:styleId="681">
    <w:name w:val="列出段落4"/>
    <w:basedOn w:val="1"/>
    <w:autoRedefine/>
    <w:qFormat/>
    <w:uiPriority w:val="99"/>
    <w:pPr>
      <w:spacing w:line="240" w:lineRule="auto"/>
      <w:ind w:firstLine="420" w:firstLineChars="200"/>
    </w:pPr>
  </w:style>
  <w:style w:type="paragraph" w:customStyle="1" w:styleId="682">
    <w:name w:val="封面编号"/>
    <w:basedOn w:val="1"/>
    <w:autoRedefine/>
    <w:qFormat/>
    <w:uiPriority w:val="99"/>
    <w:pPr>
      <w:jc w:val="center"/>
    </w:pPr>
    <w:rPr>
      <w:rFonts w:ascii="黑体" w:hAnsi="宋体" w:eastAsia="黑体" w:cs="宋体"/>
      <w:b/>
      <w:bCs/>
      <w:sz w:val="38"/>
      <w:szCs w:val="20"/>
    </w:rPr>
  </w:style>
  <w:style w:type="paragraph" w:customStyle="1" w:styleId="683">
    <w:name w:val="正文（宋体，小四，1.5倍行距）"/>
    <w:basedOn w:val="1"/>
    <w:autoRedefine/>
    <w:qFormat/>
    <w:uiPriority w:val="99"/>
    <w:pPr>
      <w:ind w:firstLine="480" w:firstLineChars="200"/>
    </w:pPr>
    <w:rPr>
      <w:rFonts w:ascii="宋体" w:hAnsi="宋体"/>
    </w:rPr>
  </w:style>
  <w:style w:type="paragraph" w:customStyle="1" w:styleId="684">
    <w:name w:val="段落文字"/>
    <w:basedOn w:val="1"/>
    <w:autoRedefine/>
    <w:qFormat/>
    <w:uiPriority w:val="99"/>
    <w:pPr>
      <w:spacing w:line="398" w:lineRule="auto"/>
      <w:ind w:firstLine="480" w:firstLineChars="200"/>
    </w:pPr>
    <w:rPr>
      <w:rFonts w:cs="宋体"/>
    </w:rPr>
  </w:style>
  <w:style w:type="paragraph" w:customStyle="1" w:styleId="68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6">
    <w:name w:val="正文文本缩进_0"/>
    <w:basedOn w:val="685"/>
    <w:autoRedefine/>
    <w:qFormat/>
    <w:uiPriority w:val="99"/>
    <w:pPr>
      <w:autoSpaceDE w:val="0"/>
      <w:autoSpaceDN w:val="0"/>
      <w:spacing w:line="360" w:lineRule="auto"/>
      <w:ind w:left="181" w:firstLine="539"/>
    </w:pPr>
    <w:rPr>
      <w:sz w:val="24"/>
      <w:szCs w:val="20"/>
    </w:rPr>
  </w:style>
  <w:style w:type="paragraph" w:customStyle="1" w:styleId="687">
    <w:name w:val="标题4"/>
    <w:basedOn w:val="4"/>
    <w:autoRedefine/>
    <w:qFormat/>
    <w:uiPriority w:val="99"/>
    <w:pPr>
      <w:outlineLvl w:val="3"/>
    </w:pPr>
  </w:style>
  <w:style w:type="paragraph" w:customStyle="1" w:styleId="688">
    <w:name w:val="正文缩进_0"/>
    <w:basedOn w:val="685"/>
    <w:autoRedefine/>
    <w:qFormat/>
    <w:uiPriority w:val="99"/>
    <w:pPr>
      <w:ind w:firstLine="420"/>
    </w:pPr>
  </w:style>
  <w:style w:type="character" w:customStyle="1" w:styleId="689">
    <w:name w:val="16"/>
    <w:autoRedefine/>
    <w:qFormat/>
    <w:uiPriority w:val="99"/>
    <w:rPr>
      <w:rFonts w:ascii="Times New Roman" w:hAnsi="Times New Roman"/>
      <w:sz w:val="21"/>
    </w:rPr>
  </w:style>
  <w:style w:type="paragraph" w:customStyle="1" w:styleId="690">
    <w:name w:val="表内文字"/>
    <w:basedOn w:val="1"/>
    <w:autoRedefine/>
    <w:qFormat/>
    <w:uiPriority w:val="99"/>
    <w:pPr>
      <w:tabs>
        <w:tab w:val="left" w:pos="1418"/>
      </w:tabs>
      <w:jc w:val="center"/>
    </w:pPr>
    <w:rPr>
      <w:rFonts w:ascii="仿宋_GB2312" w:eastAsia="仿宋_GB2312"/>
      <w:spacing w:val="-20"/>
      <w:kern w:val="0"/>
      <w:sz w:val="24"/>
    </w:rPr>
  </w:style>
  <w:style w:type="paragraph" w:customStyle="1" w:styleId="691">
    <w:name w:val="_Style 2"/>
    <w:basedOn w:val="1"/>
    <w:autoRedefine/>
    <w:qFormat/>
    <w:uiPriority w:val="99"/>
    <w:pPr>
      <w:ind w:firstLine="420" w:firstLineChars="200"/>
    </w:pPr>
  </w:style>
  <w:style w:type="paragraph" w:customStyle="1" w:styleId="692">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93">
    <w:name w:val="List Paragraph"/>
    <w:basedOn w:val="1"/>
    <w:autoRedefine/>
    <w:qFormat/>
    <w:uiPriority w:val="34"/>
    <w:pPr>
      <w:ind w:firstLine="420" w:firstLineChars="200"/>
    </w:pPr>
    <w:rPr>
      <w:rFonts w:asciiTheme="minorHAnsi" w:hAnsiTheme="minorHAnsi" w:eastAsiaTheme="minorEastAsia" w:cstheme="minorBidi"/>
      <w:sz w:val="28"/>
      <w:szCs w:val="22"/>
    </w:rPr>
  </w:style>
  <w:style w:type="character" w:customStyle="1" w:styleId="694">
    <w:name w:val="font31"/>
    <w:basedOn w:val="81"/>
    <w:autoRedefine/>
    <w:qFormat/>
    <w:uiPriority w:val="0"/>
    <w:rPr>
      <w:rFonts w:hint="eastAsia" w:ascii="微软雅黑" w:hAnsi="微软雅黑" w:eastAsia="微软雅黑" w:cs="微软雅黑"/>
      <w:color w:val="000000"/>
      <w:sz w:val="16"/>
      <w:szCs w:val="16"/>
      <w:u w:val="none"/>
    </w:rPr>
  </w:style>
  <w:style w:type="paragraph" w:customStyle="1" w:styleId="695">
    <w:name w:val="Table Paragraph"/>
    <w:basedOn w:val="1"/>
    <w:autoRedefine/>
    <w:unhideWhenUsed/>
    <w:qFormat/>
    <w:uiPriority w:val="1"/>
    <w:rPr>
      <w:rFonts w:hint="default"/>
      <w:sz w:val="24"/>
    </w:rPr>
  </w:style>
  <w:style w:type="paragraph" w:customStyle="1" w:styleId="69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99">
    <w:name w:val="正文_14"/>
    <w:autoRedefine/>
    <w:qFormat/>
    <w:uiPriority w:val="99"/>
    <w:rPr>
      <w:rFonts w:ascii="Times New Roman" w:hAnsi="Times New Roman" w:eastAsia="宋体" w:cs="Times New Roman"/>
      <w:sz w:val="21"/>
      <w:szCs w:val="22"/>
      <w:lang w:val="en-US" w:eastAsia="zh-CN" w:bidi="ar-SA"/>
    </w:rPr>
  </w:style>
  <w:style w:type="table" w:customStyle="1" w:styleId="700">
    <w:name w:val="Table Normal"/>
    <w:autoRedefine/>
    <w:semiHidden/>
    <w:unhideWhenUsed/>
    <w:qFormat/>
    <w:uiPriority w:val="0"/>
    <w:tblPr>
      <w:tblCellMar>
        <w:top w:w="0" w:type="dxa"/>
        <w:left w:w="0" w:type="dxa"/>
        <w:bottom w:w="0" w:type="dxa"/>
        <w:right w:w="0" w:type="dxa"/>
      </w:tblCellMar>
    </w:tblPr>
  </w:style>
  <w:style w:type="character" w:customStyle="1" w:styleId="701">
    <w:name w:val="font71"/>
    <w:basedOn w:val="81"/>
    <w:autoRedefine/>
    <w:qFormat/>
    <w:uiPriority w:val="0"/>
    <w:rPr>
      <w:rFonts w:hint="eastAsia" w:ascii="宋体" w:hAnsi="宋体" w:eastAsia="宋体" w:cs="宋体"/>
      <w:color w:val="000000"/>
      <w:sz w:val="21"/>
      <w:szCs w:val="21"/>
      <w:u w:val="none"/>
    </w:rPr>
  </w:style>
  <w:style w:type="character" w:customStyle="1" w:styleId="702">
    <w:name w:val="font91"/>
    <w:basedOn w:val="81"/>
    <w:autoRedefine/>
    <w:qFormat/>
    <w:uiPriority w:val="0"/>
    <w:rPr>
      <w:rFonts w:hint="eastAsia" w:ascii="宋体" w:hAnsi="宋体" w:eastAsia="宋体" w:cs="宋体"/>
      <w:color w:val="000000"/>
      <w:sz w:val="20"/>
      <w:szCs w:val="20"/>
      <w:u w:val="none"/>
    </w:rPr>
  </w:style>
  <w:style w:type="character" w:customStyle="1" w:styleId="703">
    <w:name w:val="font51"/>
    <w:basedOn w:val="81"/>
    <w:autoRedefine/>
    <w:qFormat/>
    <w:uiPriority w:val="0"/>
    <w:rPr>
      <w:rFonts w:hint="default" w:ascii="Wingdings 2" w:hAnsi="Wingdings 2" w:eastAsia="Wingdings 2" w:cs="Wingdings 2"/>
      <w:color w:val="000000"/>
      <w:sz w:val="21"/>
      <w:szCs w:val="21"/>
      <w:u w:val="none"/>
    </w:rPr>
  </w:style>
  <w:style w:type="paragraph" w:customStyle="1" w:styleId="704">
    <w:name w:val="WPS Plain"/>
    <w:autoRedefine/>
    <w:qFormat/>
    <w:uiPriority w:val="0"/>
    <w:rPr>
      <w:rFonts w:ascii="Times New Roman" w:hAnsi="Times New Roman" w:eastAsia="宋体" w:cs="Times New Roman"/>
      <w:lang w:val="en-US" w:eastAsia="zh-CN" w:bidi="ar-SA"/>
    </w:rPr>
  </w:style>
  <w:style w:type="paragraph" w:customStyle="1" w:styleId="705">
    <w:name w:val="正文文本-表格"/>
    <w:basedOn w:val="33"/>
    <w:next w:val="75"/>
    <w:autoRedefine/>
    <w:qFormat/>
    <w:uiPriority w:val="0"/>
    <w:pPr>
      <w:spacing w:line="240" w:lineRule="auto"/>
      <w:ind w:left="0" w:leftChars="0" w:rightChars="0" w:firstLine="0" w:firstLineChars="0"/>
      <w:jc w:val="left"/>
    </w:pPr>
    <w:rPr>
      <w:rFonts w:ascii="Calibri" w:hAnsi="Calibri" w:eastAsia="宋体" w:cs="Calibri"/>
      <w:kern w:val="2"/>
      <w:sz w:val="24"/>
      <w:szCs w:val="21"/>
      <w:lang w:val="en-US" w:eastAsia="zh-CN" w:bidi="ar-SA"/>
    </w:rPr>
  </w:style>
  <w:style w:type="paragraph" w:customStyle="1" w:styleId="706">
    <w:name w:val="正文文本缩进 21"/>
    <w:basedOn w:val="1"/>
    <w:autoRedefine/>
    <w:qFormat/>
    <w:uiPriority w:val="0"/>
    <w:pPr>
      <w:autoSpaceDE w:val="0"/>
      <w:autoSpaceDN w:val="0"/>
      <w:adjustRightInd w:val="0"/>
      <w:ind w:firstLine="540"/>
      <w:textAlignment w:val="baseline"/>
    </w:pPr>
    <w:rPr>
      <w:szCs w:val="20"/>
    </w:rPr>
  </w:style>
  <w:style w:type="character" w:customStyle="1" w:styleId="707">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708">
    <w:name w:val="fontsize16"/>
    <w:basedOn w:val="1"/>
    <w:autoRedefine/>
    <w:qFormat/>
    <w:uiPriority w:val="99"/>
    <w:rPr>
      <w:rFonts w:ascii="Calibri" w:hAnsi="Calibri" w:eastAsia="宋体"/>
      <w:color w:val="auto"/>
      <w:lang w:eastAsia="zh-CN" w:bidi="ar-SA"/>
    </w:rPr>
  </w:style>
  <w:style w:type="paragraph" w:customStyle="1" w:styleId="709">
    <w:name w:val="null3"/>
    <w:autoRedefine/>
    <w:hidden/>
    <w:qFormat/>
    <w:uiPriority w:val="0"/>
    <w:rPr>
      <w:rFonts w:hint="eastAsia" w:asciiTheme="minorHAnsi" w:hAnsiTheme="minorHAnsi" w:eastAsiaTheme="minorEastAsia" w:cstheme="minorBidi"/>
      <w:lang w:val="en-US" w:eastAsia="zh-Hans"/>
    </w:rPr>
  </w:style>
  <w:style w:type="paragraph" w:customStyle="1" w:styleId="71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1">
    <w:name w:val="UserStyle_40"/>
    <w:basedOn w:val="707"/>
    <w:link w:val="1"/>
    <w:qFormat/>
    <w:uiPriority w:val="0"/>
    <w:rPr>
      <w:rFonts w:ascii="仿宋_GB2312" w:hAnsi="长城仿宋" w:eastAsia="仿宋_GB2312" w:cs="仿宋_GB2312"/>
      <w:b/>
      <w:bCs/>
      <w:color w:val="000000"/>
      <w:sz w:val="24"/>
      <w:szCs w:val="24"/>
    </w:rPr>
  </w:style>
  <w:style w:type="character" w:customStyle="1" w:styleId="712">
    <w:name w:val="UserStyle_41"/>
    <w:basedOn w:val="707"/>
    <w:link w:val="1"/>
    <w:qFormat/>
    <w:uiPriority w:val="0"/>
    <w:rPr>
      <w:rFonts w:ascii="仿宋_GB2312" w:hAnsi="长城仿宋" w:eastAsia="仿宋_GB2312" w:cs="仿宋_GB2312"/>
      <w:b/>
      <w:bCs/>
      <w:color w:val="000000"/>
      <w:sz w:val="24"/>
      <w:szCs w:val="24"/>
    </w:rPr>
  </w:style>
  <w:style w:type="paragraph" w:customStyle="1" w:styleId="713">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5">
    <w:name w:val="Normal Indent1"/>
    <w:basedOn w:val="1"/>
    <w:autoRedefine/>
    <w:qFormat/>
    <w:uiPriority w:val="7"/>
    <w:pPr>
      <w:ind w:firstLine="420"/>
    </w:pPr>
    <w:rPr>
      <w:rFonts w:ascii="Times New Roman" w:hAnsi="Times New Roman"/>
      <w:kern w:val="1"/>
    </w:rPr>
  </w:style>
  <w:style w:type="paragraph" w:customStyle="1" w:styleId="716">
    <w:name w:val="正文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62</Pages>
  <Words>12671</Words>
  <Characters>13663</Characters>
  <Lines>0</Lines>
  <Paragraphs>0</Paragraphs>
  <TotalTime>26</TotalTime>
  <ScaleCrop>false</ScaleCrop>
  <LinksUpToDate>false</LinksUpToDate>
  <CharactersWithSpaces>13915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2017-05-11T01:35:00Z</dcterms:created>
  <dc:creator>鲁中伦</dc:creator>
  <cp:lastModifiedBy>Administrator</cp:lastModifiedBy>
  <cp:lastPrinted>2024-10-24T05:02:00Z</cp:lastPrinted>
  <dcterms:modified xsi:type="dcterms:W3CDTF">2025-02-10T04:31:48Z</dcterms:modified>
  <dc:title>杭州市公安局大江东产业集聚区分局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1F6E7A7630B74E9C9644F9CF07A36FD7_13</vt:lpwstr>
  </property>
  <property fmtid="{D5CDD505-2E9C-101B-9397-08002B2CF9AE}" pid="4" name="KSOTemplateDocerSaveRecord">
    <vt:lpwstr>eyJoZGlkIjoiODY3OGM2ODc3NzNkZjgwMmU0Y2VhNGFlOTg4MzMyZDciLCJ1c2VySWQiOiI0OTk3MzMxMDYifQ==</vt:lpwstr>
  </property>
</Properties>
</file>