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9B6BEB">
      <w:pPr>
        <w:pStyle w:val="5"/>
        <w:bidi w:val="0"/>
        <w:ind w:left="2811" w:hanging="2811" w:hangingChars="1000"/>
      </w:pPr>
      <w:bookmarkStart w:id="0" w:name="_Toc174443589"/>
      <w:r>
        <w:rPr>
          <w:rFonts w:hint="eastAsia"/>
        </w:rPr>
        <w:t>《永康市乌牛山垃圾填埋场陈腐垃圾和固化飞灰开挖外运处置方案》</w:t>
      </w:r>
      <w:r>
        <w:t>总体技术方案</w:t>
      </w:r>
      <w:bookmarkEnd w:id="0"/>
    </w:p>
    <w:p w14:paraId="16348B9D">
      <w:pPr>
        <w:pStyle w:val="3"/>
        <w:rPr>
          <w:rFonts w:hint="eastAsia"/>
        </w:rPr>
      </w:pPr>
      <w:bookmarkStart w:id="1" w:name="_Toc174443590"/>
    </w:p>
    <w:p w14:paraId="718A3859">
      <w:pPr>
        <w:pStyle w:val="3"/>
      </w:pPr>
      <w:r>
        <w:rPr>
          <w:rFonts w:hint="eastAsia"/>
        </w:rPr>
        <w:t>6.1整体目标</w:t>
      </w:r>
      <w:bookmarkEnd w:id="1"/>
    </w:p>
    <w:p w14:paraId="5283C720">
      <w:pPr>
        <w:pStyle w:val="4"/>
        <w:ind w:firstLine="480"/>
      </w:pPr>
      <w:r>
        <w:rPr>
          <w:rFonts w:hint="eastAsia"/>
        </w:rPr>
        <w:t>本填埋场整体技术路线计划采用“异位开挖+陆路运输+末端处置”方式，彻底消除现阶段填埋场潜在的环境污染问题，经清运后所形成的原填埋场按照永康市整体规划要求，对已清运填埋场进行修整后可作为城市应急填埋场或其他用途。</w:t>
      </w:r>
    </w:p>
    <w:p w14:paraId="68815A3D">
      <w:pPr>
        <w:pStyle w:val="3"/>
      </w:pPr>
      <w:bookmarkStart w:id="2" w:name="_bookmark32"/>
      <w:bookmarkEnd w:id="2"/>
      <w:bookmarkStart w:id="3" w:name="4.1.2.开挖规模及出路"/>
      <w:bookmarkEnd w:id="3"/>
      <w:bookmarkStart w:id="4" w:name="_Toc174443591"/>
      <w:r>
        <w:rPr>
          <w:rFonts w:hint="eastAsia"/>
        </w:rPr>
        <w:t>6.2</w:t>
      </w:r>
      <w:r>
        <w:t>开挖规模</w:t>
      </w:r>
      <w:bookmarkEnd w:id="4"/>
    </w:p>
    <w:p w14:paraId="50E5C464">
      <w:pPr>
        <w:pStyle w:val="4"/>
        <w:ind w:firstLine="478"/>
      </w:pPr>
      <w:r>
        <w:rPr>
          <w:spacing w:val="-1"/>
        </w:rPr>
        <w:t>乌牛山垃圾填埋场目前生活垃圾存量约</w:t>
      </w:r>
      <w:r>
        <w:rPr>
          <w:rFonts w:eastAsia="Times New Roman" w:cs="Times New Roman"/>
        </w:rPr>
        <w:t>32.</w:t>
      </w:r>
      <w:r>
        <w:rPr>
          <w:rFonts w:hint="eastAsia" w:cs="Times New Roman" w:eastAsiaTheme="minorEastAsia"/>
        </w:rPr>
        <w:t>88</w:t>
      </w:r>
      <w:r>
        <w:t>万吨，固化飞灰</w:t>
      </w:r>
      <w:r>
        <w:rPr>
          <w:rFonts w:hint="eastAsia"/>
          <w:spacing w:val="-24"/>
        </w:rPr>
        <w:t>30866</w:t>
      </w:r>
      <w:r>
        <w:t>吨</w:t>
      </w:r>
      <w:r>
        <w:rPr>
          <w:spacing w:val="-32"/>
        </w:rPr>
        <w:t>，</w:t>
      </w:r>
      <w:r>
        <w:t>填埋量较少</w:t>
      </w:r>
      <w:r>
        <w:rPr>
          <w:spacing w:val="-32"/>
        </w:rPr>
        <w:t>，</w:t>
      </w:r>
      <w:r>
        <w:t>并且存量生活垃圾较新</w:t>
      </w:r>
      <w:r>
        <w:rPr>
          <w:rFonts w:hint="eastAsia"/>
        </w:rPr>
        <w:t>。根据开挖计划，结合永康年降雨天数（2023年降雨</w:t>
      </w:r>
      <w:r>
        <w:t>日数144天</w:t>
      </w:r>
      <w:r>
        <w:rPr>
          <w:rFonts w:hint="eastAsia"/>
        </w:rPr>
        <w:t>，</w:t>
      </w:r>
      <w:r>
        <w:t>年平均</w:t>
      </w:r>
      <w:r>
        <w:rPr>
          <w:rFonts w:hint="eastAsia"/>
        </w:rPr>
        <w:t>降雨日数160.4天）同时为了确保27年底完成，并留有一定余量，建议生活垃圾开挖外运处置量为500~600t/d。螯合飞灰开挖外运处置量不少于50~60t/d。</w:t>
      </w:r>
    </w:p>
    <w:p w14:paraId="797F7603">
      <w:pPr>
        <w:pStyle w:val="3"/>
      </w:pPr>
      <w:bookmarkStart w:id="5" w:name="_Toc174443592"/>
      <w:r>
        <w:rPr>
          <w:rFonts w:hint="eastAsia"/>
        </w:rPr>
        <w:t>6.3治理模式与技术选择</w:t>
      </w:r>
      <w:bookmarkEnd w:id="5"/>
    </w:p>
    <w:p w14:paraId="4EB65EBF">
      <w:pPr>
        <w:pStyle w:val="4"/>
        <w:ind w:firstLine="480"/>
      </w:pPr>
      <w:r>
        <w:rPr>
          <w:rFonts w:hint="eastAsia"/>
        </w:rPr>
        <w:t>治理模式是指：对填埋场进行处置的总体思路，包括原地整治、异地处置、自然恢复、污染阻隔、居民防护和制度控制等</w:t>
      </w:r>
    </w:p>
    <w:p w14:paraId="1DAAEECB">
      <w:pPr>
        <w:pStyle w:val="4"/>
        <w:ind w:firstLine="480"/>
      </w:pPr>
      <w:r>
        <w:rPr>
          <w:rFonts w:hint="eastAsia"/>
        </w:rPr>
        <w:t>根据前期的填埋场库底膜下地下水存在污染情况以及实际情况，此次拟采用异地处置模式。基于此，陈腐垃圾拟采用异地资源化的治理技术，飞灰的治理技术概述与比选如下：</w:t>
      </w:r>
    </w:p>
    <w:p w14:paraId="0F352D66">
      <w:pPr>
        <w:pStyle w:val="4"/>
        <w:ind w:firstLine="480"/>
      </w:pPr>
      <w:r>
        <w:rPr>
          <w:rFonts w:hint="eastAsia"/>
        </w:rPr>
        <w:t>目前飞灰无害化处置方法大致可分为固化/稳定化-安全填埋技术、热处理、分离技术和水泥窑协同处置等。</w:t>
      </w:r>
    </w:p>
    <w:p w14:paraId="3D63D8C4">
      <w:pPr>
        <w:pStyle w:val="4"/>
        <w:ind w:firstLine="480"/>
      </w:pPr>
      <w:r>
        <w:rPr>
          <w:rFonts w:hint="eastAsia"/>
        </w:rPr>
        <w:t>（1）固化/稳定化-安全填埋技术</w:t>
      </w:r>
    </w:p>
    <w:p w14:paraId="3672F750">
      <w:pPr>
        <w:pStyle w:val="4"/>
        <w:ind w:firstLine="480"/>
      </w:pPr>
      <w:r>
        <w:rPr>
          <w:rFonts w:hint="eastAsia"/>
        </w:rPr>
        <w:t>固化/稳定化技术指将飞灰和水泥或药剂按一定比例混合后，通过固化包裹手段，使飞灰中的重金属以氢氧化物或络合物等形式，形成一种具有低重金属浸出毒性且长期稳定性好的产物，使污染物迁移性减小、毒性降低。目前多采用普通硅酸盐水泥作为飞灰固化剂。</w:t>
      </w:r>
    </w:p>
    <w:p w14:paraId="01149F8C">
      <w:pPr>
        <w:pStyle w:val="4"/>
        <w:ind w:firstLine="480"/>
      </w:pPr>
      <w:r>
        <w:rPr>
          <w:rFonts w:hint="eastAsia"/>
        </w:rPr>
        <w:t>现阶段我国生活垃圾焚烧飞灰处理处置螯合固化稳定或水泥固化稳定达到GB 16889-2008《生活垃圾填埋场污染控制标准》要求，再运至生活垃圾填埋场进行填埋。飞灰填埋一般采用袋装固化处理后，按照分层、分单元、分区进行填埋，在堆砌的过程中尽量避免飞灰袋破损导致泄漏。</w:t>
      </w:r>
    </w:p>
    <w:p w14:paraId="405B9C2A">
      <w:pPr>
        <w:pStyle w:val="4"/>
        <w:ind w:firstLine="480"/>
      </w:pPr>
      <w:r>
        <w:rPr>
          <w:rFonts w:hint="eastAsia"/>
        </w:rPr>
        <w:t>（2）热处理技术</w:t>
      </w:r>
    </w:p>
    <w:p w14:paraId="6307FA91">
      <w:pPr>
        <w:pStyle w:val="4"/>
        <w:ind w:firstLine="480"/>
      </w:pPr>
      <w:r>
        <w:rPr>
          <w:rFonts w:hint="eastAsia"/>
        </w:rPr>
        <w:t>热处理技术指在较高温度条件下，通过混合工业固体废物或黏土等其他助剂实现飞灰中有机污染物的降解和重金属的稳定化。按照热处理温度不同，一般可分为烧结技术(700~1100℃)、熔融/玻璃化技术(1000~1400℃)。该方法能制备建材，能降低重金属迁移能力，但同时存在能耗巨大、成本较高的缺点。</w:t>
      </w:r>
    </w:p>
    <w:p w14:paraId="5E63011A">
      <w:pPr>
        <w:pStyle w:val="4"/>
        <w:ind w:firstLine="480"/>
      </w:pPr>
      <w:r>
        <w:rPr>
          <w:rFonts w:hint="eastAsia"/>
        </w:rPr>
        <w:t>（3）分离技术</w:t>
      </w:r>
    </w:p>
    <w:p w14:paraId="5E5CAEC3">
      <w:pPr>
        <w:pStyle w:val="4"/>
        <w:ind w:firstLine="480"/>
      </w:pPr>
      <w:r>
        <w:rPr>
          <w:rFonts w:hint="eastAsia"/>
        </w:rPr>
        <w:t>分离技术主要目的是通过物理、化学或生物手段从废物中提取或分离部分组分，将飞灰中的重金属分离、提取，实现重金属回收，提高组分的循环利用率，包括生物浸提技术、化学浸提技术等。该方法能实现资源循环利用，但同时存在处置效率低，介质用量大，工程化较少，后处理成本高的缺点。</w:t>
      </w:r>
    </w:p>
    <w:p w14:paraId="457A116E">
      <w:pPr>
        <w:pStyle w:val="4"/>
        <w:ind w:firstLine="480"/>
      </w:pPr>
      <w:r>
        <w:rPr>
          <w:rFonts w:hint="eastAsia"/>
        </w:rPr>
        <w:t>（4）研磨-水洗-水泥窑协同处置</w:t>
      </w:r>
    </w:p>
    <w:p w14:paraId="4652A612">
      <w:pPr>
        <w:pStyle w:val="4"/>
        <w:ind w:firstLine="480"/>
      </w:pPr>
      <w:r>
        <w:rPr>
          <w:rFonts w:hint="eastAsia"/>
        </w:rPr>
        <w:t>飞灰中的主要化学成分与水泥熟料非常接近，可作为水泥生产原料。但螯合飞灰进入水泥窑之前需经过破碎研磨后进行水洗工艺，将飞灰中的可溶性氯盐脱除，达到入窑标准后，再利用水泥窑高温碱性条件分解飞灰中有机污染物，同时将重金属固化在熟料晶格内。该方法可以有效分解二噁英，且已实现工程化，技术成熟，但同时需耗费大量水进行水洗，成本较高。</w:t>
      </w:r>
    </w:p>
    <w:p w14:paraId="7EE88EB0">
      <w:pPr>
        <w:pStyle w:val="2"/>
      </w:pPr>
      <w:bookmarkStart w:id="6" w:name="_Toc172727059"/>
      <w:bookmarkStart w:id="7" w:name="_Toc174443593"/>
      <w:r>
        <w:rPr>
          <w:rFonts w:hint="eastAsia"/>
        </w:rPr>
        <w:t>7</w:t>
      </w:r>
      <w:r>
        <w:t>开挖</w:t>
      </w:r>
      <w:r>
        <w:rPr>
          <w:rFonts w:hint="eastAsia"/>
        </w:rPr>
        <w:t>实施</w:t>
      </w:r>
      <w:r>
        <w:t>方案</w:t>
      </w:r>
      <w:bookmarkEnd w:id="6"/>
      <w:bookmarkEnd w:id="7"/>
    </w:p>
    <w:p w14:paraId="5C867ADD">
      <w:pPr>
        <w:pStyle w:val="3"/>
      </w:pPr>
      <w:bookmarkStart w:id="8" w:name="_Toc172727060"/>
      <w:bookmarkStart w:id="9" w:name="_Toc174443594"/>
      <w:r>
        <w:rPr>
          <w:rFonts w:hint="eastAsia"/>
        </w:rPr>
        <w:t>7.1</w:t>
      </w:r>
      <w:r>
        <w:t>总体思路</w:t>
      </w:r>
      <w:bookmarkEnd w:id="8"/>
      <w:bookmarkEnd w:id="9"/>
    </w:p>
    <w:p w14:paraId="27EED387">
      <w:pPr>
        <w:pStyle w:val="4"/>
        <w:ind w:firstLine="480"/>
      </w:pPr>
      <w:r>
        <w:rPr>
          <w:rFonts w:hint="eastAsia"/>
        </w:rPr>
        <w:t>项目开挖过程中，不仅要满足施工进度的需求，还应考虑实施前的准备、实施中的二次污染防治及相关安全问题，开挖总体思路如下：</w:t>
      </w:r>
    </w:p>
    <w:p w14:paraId="7CEC55C6">
      <w:pPr>
        <w:pStyle w:val="4"/>
        <w:ind w:firstLine="480"/>
      </w:pPr>
      <w:r>
        <w:rPr>
          <w:rFonts w:hint="eastAsia"/>
        </w:rPr>
        <w:t>1）填埋堆体开挖与无害化处理</w:t>
      </w:r>
    </w:p>
    <w:p w14:paraId="219B65F2">
      <w:pPr>
        <w:pStyle w:val="4"/>
        <w:ind w:firstLine="480"/>
      </w:pPr>
      <w:r>
        <w:rPr>
          <w:rFonts w:hint="eastAsia"/>
        </w:rPr>
        <w:t>对垃圾堆体采用分区、分层、分段方式进行开挖。分别对已经填埋的陈腐垃圾和固化飞灰进行开挖、装车并转运至终端单位进行无害化处理，从而消除现存填埋堆体中的污染源，消除地下水污染状况。</w:t>
      </w:r>
    </w:p>
    <w:p w14:paraId="7100D738">
      <w:pPr>
        <w:pStyle w:val="4"/>
        <w:ind w:firstLine="480"/>
      </w:pPr>
      <w:r>
        <w:rPr>
          <w:rFonts w:hint="eastAsia"/>
        </w:rPr>
        <w:t>2）通风预处理与恶臭防治</w:t>
      </w:r>
    </w:p>
    <w:p w14:paraId="4ECFB557">
      <w:pPr>
        <w:pStyle w:val="4"/>
        <w:ind w:firstLine="480"/>
      </w:pPr>
      <w:r>
        <w:rPr>
          <w:rFonts w:hint="eastAsia"/>
        </w:rPr>
        <w:t>开挖前，对堆体地表气体进行检测，检测合格则可以开挖作业；</w:t>
      </w:r>
      <w:bookmarkStart w:id="10" w:name="_Hlk173328696"/>
      <w:r>
        <w:rPr>
          <w:rFonts w:hint="eastAsia"/>
        </w:rPr>
        <w:t>如不合格，应暂时停止进行下一步工作，采取主动通风措施，加强空气流通，等到检测指标合格后方可开始开挖作业</w:t>
      </w:r>
      <w:bookmarkEnd w:id="10"/>
      <w:r>
        <w:rPr>
          <w:rFonts w:hint="eastAsia"/>
        </w:rPr>
        <w:t>。</w:t>
      </w:r>
    </w:p>
    <w:p w14:paraId="1B03BCF8">
      <w:pPr>
        <w:pStyle w:val="4"/>
        <w:ind w:firstLine="480"/>
      </w:pPr>
      <w:r>
        <w:t>3</w:t>
      </w:r>
      <w:r>
        <w:rPr>
          <w:rFonts w:hint="eastAsia"/>
        </w:rPr>
        <w:t xml:space="preserve">）周边建构筑物位移监测及稳定性防护 </w:t>
      </w:r>
    </w:p>
    <w:p w14:paraId="44146A97">
      <w:pPr>
        <w:pStyle w:val="4"/>
        <w:ind w:firstLine="480"/>
      </w:pPr>
      <w:bookmarkStart w:id="11" w:name="_Hlk173332258"/>
      <w:r>
        <w:rPr>
          <w:rFonts w:hint="eastAsia"/>
        </w:rPr>
        <w:t>在开挖垃圾堆体时，对垃圾堆体及场地现状填埋场边界保持监测，确保现场安全施工</w:t>
      </w:r>
      <w:bookmarkEnd w:id="11"/>
      <w:r>
        <w:rPr>
          <w:rFonts w:hint="eastAsia"/>
        </w:rPr>
        <w:t>。</w:t>
      </w:r>
    </w:p>
    <w:p w14:paraId="251C8ED9">
      <w:pPr>
        <w:pStyle w:val="4"/>
        <w:ind w:firstLine="480"/>
      </w:pPr>
      <w:r>
        <w:rPr>
          <w:rFonts w:hint="eastAsia"/>
        </w:rPr>
        <w:t>4）堆体降水与雨污分流</w:t>
      </w:r>
    </w:p>
    <w:p w14:paraId="57D2494A">
      <w:pPr>
        <w:pStyle w:val="4"/>
        <w:ind w:firstLine="480"/>
        <w:rPr>
          <w:color w:val="0000FF"/>
        </w:rPr>
      </w:pPr>
      <w:r>
        <w:rPr>
          <w:rFonts w:hint="eastAsia"/>
        </w:rPr>
        <w:t>设计拟采取明渠排水的方式进行堆体降水，充分利用现有渗滤液收集管渠及处理设施，局部开挖区域可根据现场实际情况敷设临时渗滤液收集及转运管渠，抽出的渗滤液送至现有的渗滤液处理设施，进行处理后达标排放。对于无法处理的浓缩液，通过现有回流管道回灌至陈腐垃圾填埋场内，当陈腐垃圾清挖至接近底部、不具备浓缩液回灌条件时，将该部分浓缩液收集并泵送至槽罐车内，选择具备相应资质与能力的单位进行处理。开挖过程中，采取当日揭开、当日覆盖的方式并利用填埋场内现有的高低差进行雨污分流，从而大大降低施工运行过程中的渗滤液处理量。对于开挖区域，在保证覆盖完整的情况下，设置集水井，临时管渠收集雨水并用水泵泵提升至锚固沟，汇入填埋场内现有雨水管渠进行排放。</w:t>
      </w:r>
    </w:p>
    <w:p w14:paraId="66B16CBC">
      <w:pPr>
        <w:pStyle w:val="3"/>
      </w:pPr>
      <w:bookmarkStart w:id="12" w:name="_Toc172727061"/>
      <w:bookmarkStart w:id="13" w:name="_Toc174443595"/>
      <w:r>
        <w:rPr>
          <w:rFonts w:hint="eastAsia"/>
        </w:rPr>
        <w:t>7.2</w:t>
      </w:r>
      <w:r>
        <w:t>开挖</w:t>
      </w:r>
      <w:bookmarkEnd w:id="12"/>
      <w:r>
        <w:rPr>
          <w:rFonts w:hint="eastAsia"/>
        </w:rPr>
        <w:t>项目</w:t>
      </w:r>
      <w:bookmarkEnd w:id="13"/>
    </w:p>
    <w:p w14:paraId="531E8519">
      <w:pPr>
        <w:pStyle w:val="5"/>
      </w:pPr>
      <w:bookmarkStart w:id="14" w:name="_Toc172727062"/>
      <w:bookmarkStart w:id="15" w:name="_Toc174443596"/>
      <w:r>
        <w:rPr>
          <w:rFonts w:hint="eastAsia"/>
        </w:rPr>
        <w:t>7.2.1</w:t>
      </w:r>
      <w:r>
        <w:t>开挖区域</w:t>
      </w:r>
      <w:bookmarkEnd w:id="14"/>
      <w:bookmarkEnd w:id="15"/>
    </w:p>
    <w:p w14:paraId="79710284">
      <w:pPr>
        <w:pStyle w:val="4"/>
        <w:ind w:firstLine="480"/>
      </w:pPr>
      <w:r>
        <w:t>此次开挖的范围为永康市乌牛山垃圾填埋场内陈腐垃圾以及固化飞灰，其中陈腐垃圾填埋面积约为2.7万平方米，固化飞灰填埋面积约为5500平方米，填埋范围示意图如下所示。</w:t>
      </w:r>
    </w:p>
    <w:p w14:paraId="3E67AB72">
      <w:pPr>
        <w:pStyle w:val="9"/>
        <w:keepNext/>
      </w:pPr>
      <w:r>
        <w:rPr>
          <w:rFonts w:hint="eastAsia"/>
        </w:rPr>
        <w:drawing>
          <wp:inline distT="0" distB="0" distL="0" distR="0">
            <wp:extent cx="5274310" cy="3345180"/>
            <wp:effectExtent l="0" t="0" r="2540" b="7620"/>
            <wp:docPr id="47414496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144960" name="图片 5"/>
                    <pic:cNvPicPr>
                      <a:picLocks noChangeAspect="1" noChangeArrowheads="1"/>
                    </pic:cNvPicPr>
                  </pic:nvPicPr>
                  <pic:blipFill>
                    <a:blip r:embed="rId8"/>
                    <a:srcRect/>
                    <a:stretch>
                      <a:fillRect/>
                    </a:stretch>
                  </pic:blipFill>
                  <pic:spPr>
                    <a:xfrm>
                      <a:off x="0" y="0"/>
                      <a:ext cx="5274310" cy="3345180"/>
                    </a:xfrm>
                    <a:prstGeom prst="rect">
                      <a:avLst/>
                    </a:prstGeom>
                    <a:noFill/>
                    <a:ln>
                      <a:noFill/>
                    </a:ln>
                  </pic:spPr>
                </pic:pic>
              </a:graphicData>
            </a:graphic>
          </wp:inline>
        </w:drawing>
      </w:r>
      <w:bookmarkStart w:id="150" w:name="_GoBack"/>
      <w:bookmarkEnd w:id="150"/>
    </w:p>
    <w:p w14:paraId="25EDEDF9">
      <w:pPr>
        <w:pStyle w:val="42"/>
        <w:spacing w:after="156"/>
        <w:rPr>
          <w:rFonts w:cs="Times New Roman"/>
        </w:rPr>
      </w:pPr>
      <w:bookmarkStart w:id="16" w:name="_Hlk173328826"/>
      <w:r>
        <w:rPr>
          <w:rFonts w:hint="eastAsia"/>
        </w:rPr>
        <w:t>图7.1-1</w:t>
      </w:r>
      <w:bookmarkEnd w:id="16"/>
      <w:r>
        <w:rPr>
          <w:rFonts w:hint="eastAsia"/>
        </w:rPr>
        <w:t xml:space="preserve"> </w:t>
      </w:r>
      <w:r>
        <w:rPr>
          <w:rFonts w:cs="Times New Roman"/>
        </w:rPr>
        <w:t>永康市乌牛山垃圾填埋场</w:t>
      </w:r>
      <w:r>
        <w:rPr>
          <w:rFonts w:hint="eastAsia" w:cs="Times New Roman"/>
        </w:rPr>
        <w:t>填埋范围示意图（自南向北拍摄）</w:t>
      </w:r>
    </w:p>
    <w:p w14:paraId="715196CF">
      <w:pPr>
        <w:pStyle w:val="9"/>
        <w:keepNext/>
      </w:pPr>
      <w:r>
        <w:drawing>
          <wp:inline distT="0" distB="0" distL="0" distR="0">
            <wp:extent cx="5274310" cy="3488690"/>
            <wp:effectExtent l="0" t="0" r="2540" b="16510"/>
            <wp:docPr id="80317589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175890" name="图片 7"/>
                    <pic:cNvPicPr>
                      <a:picLocks noChangeAspect="1" noChangeArrowheads="1"/>
                    </pic:cNvPicPr>
                  </pic:nvPicPr>
                  <pic:blipFill>
                    <a:blip r:embed="rId9"/>
                    <a:srcRect/>
                    <a:stretch>
                      <a:fillRect/>
                    </a:stretch>
                  </pic:blipFill>
                  <pic:spPr>
                    <a:xfrm>
                      <a:off x="0" y="0"/>
                      <a:ext cx="5274310" cy="3488690"/>
                    </a:xfrm>
                    <a:prstGeom prst="rect">
                      <a:avLst/>
                    </a:prstGeom>
                    <a:noFill/>
                    <a:ln>
                      <a:noFill/>
                    </a:ln>
                  </pic:spPr>
                </pic:pic>
              </a:graphicData>
            </a:graphic>
          </wp:inline>
        </w:drawing>
      </w:r>
    </w:p>
    <w:p w14:paraId="6B306491">
      <w:pPr>
        <w:pStyle w:val="42"/>
        <w:spacing w:after="156"/>
        <w:rPr>
          <w:rFonts w:cs="Times New Roman"/>
        </w:rPr>
      </w:pPr>
      <w:r>
        <w:rPr>
          <w:rFonts w:hint="eastAsia"/>
        </w:rPr>
        <w:t xml:space="preserve">图7.1-2 </w:t>
      </w:r>
      <w:r>
        <w:rPr>
          <w:rFonts w:hint="eastAsia" w:cs="Times New Roman"/>
        </w:rPr>
        <w:t>永康市乌牛山垃圾填埋场填埋范围示意图（自北向南拍摄）</w:t>
      </w:r>
    </w:p>
    <w:p w14:paraId="51B9E4E9">
      <w:pPr>
        <w:pStyle w:val="5"/>
      </w:pPr>
      <w:bookmarkStart w:id="17" w:name="_Toc174443597"/>
      <w:bookmarkStart w:id="18" w:name="_Toc172727063"/>
      <w:r>
        <w:rPr>
          <w:rFonts w:hint="eastAsia"/>
        </w:rPr>
        <w:t>7.2.2</w:t>
      </w:r>
      <w:r>
        <w:t>开挖次序</w:t>
      </w:r>
      <w:bookmarkEnd w:id="17"/>
      <w:bookmarkEnd w:id="18"/>
    </w:p>
    <w:p w14:paraId="5B3D9F9B">
      <w:pPr>
        <w:pStyle w:val="6"/>
      </w:pPr>
      <w:bookmarkStart w:id="19" w:name="_Hlk173332443"/>
      <w:r>
        <w:rPr>
          <w:rFonts w:hint="eastAsia"/>
        </w:rPr>
        <w:t>7.2.2.1</w:t>
      </w:r>
      <w:r>
        <w:t>陈腐垃圾开挖次序</w:t>
      </w:r>
    </w:p>
    <w:bookmarkEnd w:id="19"/>
    <w:p w14:paraId="594073AB">
      <w:pPr>
        <w:pStyle w:val="4"/>
        <w:ind w:firstLine="480"/>
        <w:rPr>
          <w:color w:val="0000FF"/>
        </w:rPr>
      </w:pPr>
      <w:r>
        <w:t>本项目</w:t>
      </w:r>
      <w:r>
        <w:rPr>
          <w:rFonts w:hint="eastAsia"/>
        </w:rPr>
        <w:t>陈腐垃圾</w:t>
      </w:r>
      <w:r>
        <w:t>开挖量较大，在开挖过程中采取“分区、分层开挖、自上而下”的开挖方式，开挖过程中，边坡开挖线、开挖坡度、高程、长度控制严格，保证开挖工作的安全运行。</w:t>
      </w:r>
      <w:r>
        <w:rPr>
          <w:rFonts w:hint="eastAsia"/>
        </w:rPr>
        <w:t>现状垃圾堆场总体分为3层，每10m为一层。开挖时在现状分层基础上，设置开挖分层，高度不超过4m为一个开挖平面，将本层划分为若干区域，</w:t>
      </w:r>
      <w:r>
        <w:t>垃圾挖取主要利用挖掘机自</w:t>
      </w:r>
      <w:r>
        <w:rPr>
          <w:rFonts w:hint="eastAsia"/>
        </w:rPr>
        <w:t>南</w:t>
      </w:r>
      <w:r>
        <w:t>向</w:t>
      </w:r>
      <w:r>
        <w:rPr>
          <w:rFonts w:hint="eastAsia"/>
        </w:rPr>
        <w:t>北、自东向西</w:t>
      </w:r>
      <w:r>
        <w:t>倒退式</w:t>
      </w:r>
      <w:r>
        <w:rPr>
          <w:rFonts w:hint="eastAsia"/>
        </w:rPr>
        <w:t>，</w:t>
      </w:r>
      <w:r>
        <w:t>反挖填埋场内垃圾，并将垃圾装入装载车内，运至场外。当日的垃圾开挖量须根据垃圾焚烧电厂的</w:t>
      </w:r>
      <w:r>
        <w:rPr>
          <w:rFonts w:hint="eastAsia"/>
        </w:rPr>
        <w:t>接收与</w:t>
      </w:r>
      <w:r>
        <w:t>处置能力、暂存区剩余空间等因素动态调整，目前暂定每日开挖</w:t>
      </w:r>
      <w:r>
        <w:rPr>
          <w:rFonts w:hint="eastAsia"/>
        </w:rPr>
        <w:t>量</w:t>
      </w:r>
      <w:r>
        <w:t>为</w:t>
      </w:r>
      <w:r>
        <w:rPr>
          <w:rFonts w:hint="eastAsia"/>
        </w:rPr>
        <w:t>500~600吨</w:t>
      </w:r>
      <w:r>
        <w:t>。</w:t>
      </w:r>
    </w:p>
    <w:p w14:paraId="07E06E66">
      <w:pPr>
        <w:pStyle w:val="4"/>
        <w:ind w:firstLine="480"/>
      </w:pPr>
      <w:r>
        <w:t>垃圾开挖工序为：设备进场→场地平整→施工放线→设置施工工作面→垃圾开挖→场地平整。在整个开挖过程中做好渗沥液和雨污导排工作，开挖过程做好有毒气体监测。</w:t>
      </w:r>
    </w:p>
    <w:p w14:paraId="5B4A0D41">
      <w:pPr>
        <w:pStyle w:val="4"/>
        <w:ind w:firstLine="480"/>
      </w:pPr>
      <w:r>
        <w:rPr>
          <w:rFonts w:hint="eastAsia"/>
        </w:rPr>
        <w:t>垃圾运输流程为：挖掘机装车</w:t>
      </w:r>
      <w:r>
        <w:t>→</w:t>
      </w:r>
      <w:r>
        <w:rPr>
          <w:rFonts w:hint="eastAsia"/>
        </w:rPr>
        <w:t>车辆运输出场</w:t>
      </w:r>
      <w:r>
        <w:t>→</w:t>
      </w:r>
      <w:r>
        <w:rPr>
          <w:rFonts w:hint="eastAsia"/>
        </w:rPr>
        <w:t>垃圾焚烧电厂。挖垃圾层时，在现场用钢板铺设临时行车道路。挖方现场设专人指挥，挖掘机与运输车依据倒运距离，合理配置运输车量，运输车辆装车时，挖掘机司机要做到稳、准，准确装到位，大团垃圾要先打散，再装车，出场前要防止垃圾扬、撒、垃圾乱挂现象。</w:t>
      </w:r>
    </w:p>
    <w:p w14:paraId="5E3C687D">
      <w:pPr>
        <w:pStyle w:val="4"/>
        <w:ind w:firstLine="480"/>
      </w:pPr>
      <w:r>
        <w:rPr>
          <w:rFonts w:hint="eastAsia"/>
        </w:rPr>
        <w:t>根据开挖路线设计，将陈腐垃圾分为三层，根据资料及现场观测，陈腐垃圾第一层约9万立方米，第二层约13万立方米，第二层约11万立方米。</w:t>
      </w:r>
    </w:p>
    <w:p w14:paraId="49B5AF03">
      <w:pPr>
        <w:pStyle w:val="4"/>
        <w:ind w:firstLine="480"/>
      </w:pPr>
      <w:r>
        <w:rPr>
          <w:rFonts w:hint="eastAsia"/>
        </w:rPr>
        <w:t>根据分层面积结合实际工作面进行分区。其中，开挖三层各设置分区分别为10、18及17个，各分层对应分区如下图：</w:t>
      </w:r>
    </w:p>
    <w:p w14:paraId="1552337F">
      <w:pPr>
        <w:pStyle w:val="9"/>
        <w:keepNext/>
      </w:pPr>
      <w:r>
        <w:rPr>
          <w:rFonts w:hint="eastAsia"/>
        </w:rPr>
        <w:drawing>
          <wp:inline distT="0" distB="0" distL="0" distR="0">
            <wp:extent cx="5274310" cy="3728085"/>
            <wp:effectExtent l="0" t="0" r="2540" b="5715"/>
            <wp:docPr id="11875908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590852" name="图片 9"/>
                    <pic:cNvPicPr>
                      <a:picLocks noChangeAspect="1" noChangeArrowheads="1"/>
                    </pic:cNvPicPr>
                  </pic:nvPicPr>
                  <pic:blipFill>
                    <a:blip r:embed="rId10"/>
                    <a:srcRect/>
                    <a:stretch>
                      <a:fillRect/>
                    </a:stretch>
                  </pic:blipFill>
                  <pic:spPr>
                    <a:xfrm>
                      <a:off x="0" y="0"/>
                      <a:ext cx="5274310" cy="3728085"/>
                    </a:xfrm>
                    <a:prstGeom prst="rect">
                      <a:avLst/>
                    </a:prstGeom>
                    <a:noFill/>
                    <a:ln>
                      <a:noFill/>
                    </a:ln>
                  </pic:spPr>
                </pic:pic>
              </a:graphicData>
            </a:graphic>
          </wp:inline>
        </w:drawing>
      </w:r>
    </w:p>
    <w:p w14:paraId="17F46FBA">
      <w:pPr>
        <w:pStyle w:val="42"/>
        <w:spacing w:after="156"/>
      </w:pPr>
      <w:r>
        <w:rPr>
          <w:rFonts w:hint="eastAsia"/>
        </w:rPr>
        <w:t>图7.1-3 陈腐垃圾第一层开挖分区示意图（该层开挖方量约为9万立方米）</w:t>
      </w:r>
    </w:p>
    <w:p w14:paraId="47664273">
      <w:pPr>
        <w:pStyle w:val="4"/>
        <w:keepNext/>
        <w:ind w:firstLine="0" w:firstLineChars="0"/>
        <w:jc w:val="center"/>
      </w:pPr>
      <w:r>
        <w:rPr>
          <w:rFonts w:hint="eastAsia"/>
        </w:rPr>
        <w:drawing>
          <wp:inline distT="0" distB="0" distL="0" distR="0">
            <wp:extent cx="5274310" cy="3726180"/>
            <wp:effectExtent l="0" t="0" r="2540" b="7620"/>
            <wp:docPr id="88982120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821209" name="图片 11"/>
                    <pic:cNvPicPr>
                      <a:picLocks noChangeAspect="1" noChangeArrowheads="1"/>
                    </pic:cNvPicPr>
                  </pic:nvPicPr>
                  <pic:blipFill>
                    <a:blip r:embed="rId11"/>
                    <a:srcRect/>
                    <a:stretch>
                      <a:fillRect/>
                    </a:stretch>
                  </pic:blipFill>
                  <pic:spPr>
                    <a:xfrm>
                      <a:off x="0" y="0"/>
                      <a:ext cx="5274310" cy="3726180"/>
                    </a:xfrm>
                    <a:prstGeom prst="rect">
                      <a:avLst/>
                    </a:prstGeom>
                    <a:noFill/>
                    <a:ln>
                      <a:noFill/>
                    </a:ln>
                  </pic:spPr>
                </pic:pic>
              </a:graphicData>
            </a:graphic>
          </wp:inline>
        </w:drawing>
      </w:r>
    </w:p>
    <w:p w14:paraId="579013D9">
      <w:pPr>
        <w:pStyle w:val="59"/>
        <w:spacing w:before="156" w:after="156"/>
      </w:pPr>
      <w:r>
        <w:rPr>
          <w:rFonts w:hint="eastAsia"/>
        </w:rPr>
        <w:t>图7.1-4 陈腐垃圾第二层开挖分区示意图（该层开挖方量约为13万立方米）</w:t>
      </w:r>
    </w:p>
    <w:p w14:paraId="6B6A375D">
      <w:pPr>
        <w:pStyle w:val="9"/>
        <w:keepNext/>
      </w:pPr>
      <w:r>
        <w:rPr>
          <w:rFonts w:hint="eastAsia"/>
        </w:rPr>
        <w:drawing>
          <wp:inline distT="0" distB="0" distL="0" distR="0">
            <wp:extent cx="5274310" cy="3726815"/>
            <wp:effectExtent l="0" t="0" r="2540" b="6985"/>
            <wp:docPr id="1804821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82103" name="图片 13"/>
                    <pic:cNvPicPr>
                      <a:picLocks noChangeAspect="1" noChangeArrowheads="1"/>
                    </pic:cNvPicPr>
                  </pic:nvPicPr>
                  <pic:blipFill>
                    <a:blip r:embed="rId12"/>
                    <a:srcRect/>
                    <a:stretch>
                      <a:fillRect/>
                    </a:stretch>
                  </pic:blipFill>
                  <pic:spPr>
                    <a:xfrm>
                      <a:off x="0" y="0"/>
                      <a:ext cx="5274310" cy="3726815"/>
                    </a:xfrm>
                    <a:prstGeom prst="rect">
                      <a:avLst/>
                    </a:prstGeom>
                    <a:noFill/>
                    <a:ln>
                      <a:noFill/>
                    </a:ln>
                  </pic:spPr>
                </pic:pic>
              </a:graphicData>
            </a:graphic>
          </wp:inline>
        </w:drawing>
      </w:r>
    </w:p>
    <w:p w14:paraId="55591D89">
      <w:pPr>
        <w:pStyle w:val="59"/>
        <w:spacing w:before="156" w:after="156"/>
      </w:pPr>
      <w:r>
        <w:rPr>
          <w:rFonts w:hint="eastAsia"/>
        </w:rPr>
        <w:t>图7.1-5  陈腐垃圾第三层开挖分区示意图（该层开挖方量约为11万立方米）</w:t>
      </w:r>
    </w:p>
    <w:p w14:paraId="79718E9A">
      <w:pPr>
        <w:pStyle w:val="4"/>
        <w:ind w:firstLine="480"/>
      </w:pPr>
      <w:r>
        <w:rPr>
          <w:rFonts w:hint="eastAsia"/>
        </w:rPr>
        <w:t>其中第一层开挖后由现有环场道路出场，详见埋场填埋转运车辆进出示意图。考虑到开挖第二、三层运输至环场道路坡度过大，开挖方向调换，转换为现有飞灰区域道路出厂。</w:t>
      </w:r>
    </w:p>
    <w:p w14:paraId="250FF291">
      <w:pPr>
        <w:pStyle w:val="6"/>
      </w:pPr>
      <w:r>
        <w:rPr>
          <w:rFonts w:hint="eastAsia"/>
        </w:rPr>
        <w:t>7.2.2.2固化飞灰</w:t>
      </w:r>
      <w:r>
        <w:t>开挖次序</w:t>
      </w:r>
    </w:p>
    <w:p w14:paraId="1216B44E">
      <w:pPr>
        <w:pStyle w:val="4"/>
        <w:ind w:firstLine="480"/>
      </w:pPr>
      <w:r>
        <w:t>本项目</w:t>
      </w:r>
      <w:r>
        <w:rPr>
          <w:rFonts w:hint="eastAsia"/>
        </w:rPr>
        <w:t>飞灰可与生活垃圾同步开展清挖工作。固化飞灰相对于陈腐垃圾</w:t>
      </w:r>
      <w:r>
        <w:t>开挖量</w:t>
      </w:r>
      <w:r>
        <w:rPr>
          <w:rFonts w:hint="eastAsia"/>
        </w:rPr>
        <w:t>不大</w:t>
      </w:r>
      <w:r>
        <w:t>，在开挖过程中</w:t>
      </w:r>
      <w:r>
        <w:rPr>
          <w:rFonts w:hint="eastAsia"/>
        </w:rPr>
        <w:t>同样</w:t>
      </w:r>
      <w:r>
        <w:t>采取“分区、分层开挖、自上而下”的开挖方式，开挖过程中，边坡开挖线、开挖坡度、高程、长度控制严格，保证开挖工作的安全运行。</w:t>
      </w:r>
      <w:r>
        <w:rPr>
          <w:rFonts w:hint="eastAsia"/>
        </w:rPr>
        <w:t>开挖时划分为若干区域，每层开挖深度控制在4m以内，结合开挖情况进一步优化每层开挖深度。</w:t>
      </w:r>
      <w:r>
        <w:t>挖取主要利用挖掘机自</w:t>
      </w:r>
      <w:r>
        <w:rPr>
          <w:rFonts w:hint="eastAsia"/>
        </w:rPr>
        <w:t>南</w:t>
      </w:r>
      <w:r>
        <w:t>向</w:t>
      </w:r>
      <w:r>
        <w:rPr>
          <w:rFonts w:hint="eastAsia"/>
        </w:rPr>
        <w:t>北、自东向西</w:t>
      </w:r>
      <w:r>
        <w:t>倒退式</w:t>
      </w:r>
      <w:r>
        <w:rPr>
          <w:rFonts w:hint="eastAsia"/>
        </w:rPr>
        <w:t>。考虑到飞灰固危废特性及填埋时已将吨袋破除等综合因素，本次飞灰开挖仍按照固危废相关管理要求，对开挖后的飞灰进行装吨袋。开挖工序为采用挖掘机进行开挖后，在开挖点就近采用机械结合专业装袋设备，人工辅助装吨袋方式进行吨袋装填，装袋后的飞灰采用叉车等方式将其暂存于飞灰库区未使用的道路附近，便于装车外运。所需机械专车专用，不得与生活垃圾开挖机械混用。飞灰开挖采取日清原则，即当日开挖当日转运，开挖区当日开挖前将HDPE膜揭开工作面，开挖结束后重新覆盖，确保开挖过程安全有序。飞灰转运采用危废运输专用车辆，按照危废运输管理要求进行专项运输。</w:t>
      </w:r>
    </w:p>
    <w:p w14:paraId="692B0C66">
      <w:pPr>
        <w:pStyle w:val="36"/>
      </w:pPr>
      <w:r>
        <w:rPr>
          <w:rFonts w:hint="eastAsia"/>
        </w:rPr>
        <w:drawing>
          <wp:inline distT="0" distB="0" distL="0" distR="0">
            <wp:extent cx="5274310" cy="3726815"/>
            <wp:effectExtent l="0" t="0" r="2540" b="6985"/>
            <wp:docPr id="38083120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831202" name="图片 14"/>
                    <pic:cNvPicPr>
                      <a:picLocks noChangeAspect="1" noChangeArrowheads="1"/>
                    </pic:cNvPicPr>
                  </pic:nvPicPr>
                  <pic:blipFill>
                    <a:blip r:embed="rId13"/>
                    <a:srcRect/>
                    <a:stretch>
                      <a:fillRect/>
                    </a:stretch>
                  </pic:blipFill>
                  <pic:spPr>
                    <a:xfrm>
                      <a:off x="0" y="0"/>
                      <a:ext cx="5274310" cy="3726815"/>
                    </a:xfrm>
                    <a:prstGeom prst="rect">
                      <a:avLst/>
                    </a:prstGeom>
                    <a:noFill/>
                    <a:ln>
                      <a:noFill/>
                    </a:ln>
                  </pic:spPr>
                </pic:pic>
              </a:graphicData>
            </a:graphic>
          </wp:inline>
        </w:drawing>
      </w:r>
    </w:p>
    <w:p w14:paraId="5E106332">
      <w:pPr>
        <w:pStyle w:val="42"/>
        <w:spacing w:after="156"/>
      </w:pPr>
      <w:r>
        <w:rPr>
          <w:rFonts w:hint="eastAsia"/>
        </w:rPr>
        <w:t>图7.2-6  飞灰开挖分区示意图</w:t>
      </w:r>
    </w:p>
    <w:p w14:paraId="57506DC1">
      <w:pPr>
        <w:pStyle w:val="5"/>
      </w:pPr>
      <w:bookmarkStart w:id="20" w:name="_Toc172727064"/>
      <w:bookmarkStart w:id="21" w:name="_Toc174443598"/>
      <w:r>
        <w:rPr>
          <w:rFonts w:hint="eastAsia"/>
        </w:rPr>
        <w:t>7.2.3</w:t>
      </w:r>
      <w:r>
        <w:t>开挖</w:t>
      </w:r>
      <w:r>
        <w:rPr>
          <w:rFonts w:hint="eastAsia"/>
        </w:rPr>
        <w:t>实施</w:t>
      </w:r>
      <w:bookmarkEnd w:id="20"/>
      <w:bookmarkEnd w:id="21"/>
    </w:p>
    <w:p w14:paraId="1EED8C20">
      <w:pPr>
        <w:pStyle w:val="4"/>
        <w:ind w:firstLine="478"/>
        <w:rPr>
          <w:b/>
          <w:bCs/>
        </w:rPr>
      </w:pPr>
      <w:r>
        <w:rPr>
          <w:rFonts w:hint="eastAsia"/>
          <w:b/>
          <w:bCs/>
          <w:spacing w:val="-2"/>
        </w:rPr>
        <w:t>1、</w:t>
      </w:r>
      <w:r>
        <w:rPr>
          <w:rFonts w:hint="eastAsia"/>
          <w:b/>
          <w:bCs/>
        </w:rPr>
        <w:t>项目</w:t>
      </w:r>
      <w:r>
        <w:rPr>
          <w:b/>
          <w:bCs/>
        </w:rPr>
        <w:t>特点</w:t>
      </w:r>
    </w:p>
    <w:p w14:paraId="5B9467F2">
      <w:pPr>
        <w:pStyle w:val="4"/>
        <w:ind w:firstLine="480"/>
      </w:pPr>
      <w:r>
        <w:rPr>
          <w:rFonts w:hint="eastAsia"/>
        </w:rPr>
        <w:t>1）填埋场场区起伏存在高度差</w:t>
      </w:r>
    </w:p>
    <w:p w14:paraId="2EE52C99">
      <w:pPr>
        <w:pStyle w:val="4"/>
        <w:ind w:firstLine="480"/>
        <w:rPr>
          <w:color w:val="0000FF"/>
        </w:rPr>
      </w:pPr>
      <w:r>
        <w:rPr>
          <w:rFonts w:hint="eastAsia"/>
        </w:rPr>
        <w:t>填埋场内生活垃圾与固化飞灰填埋区域有一定的地形起伏，自南向北逐渐降低，生活垃圾填埋区位于北侧，固化飞灰填埋区位于南侧。其中，现状陈腐垃圾填埋堆体整体分为三层、且高度自南向北逐级降低，固化飞灰填埋堆体起伏平缓，未见有明显分层堆放。</w:t>
      </w:r>
    </w:p>
    <w:p w14:paraId="4B3BF20E">
      <w:pPr>
        <w:pStyle w:val="4"/>
        <w:ind w:firstLine="480"/>
      </w:pPr>
      <w:r>
        <w:t>2</w:t>
      </w:r>
      <w:r>
        <w:rPr>
          <w:rFonts w:hint="eastAsia"/>
        </w:rPr>
        <w:t>）开挖范围较大</w:t>
      </w:r>
    </w:p>
    <w:p w14:paraId="280E2B3D">
      <w:pPr>
        <w:pStyle w:val="4"/>
        <w:ind w:firstLine="480"/>
      </w:pPr>
      <w:r>
        <w:rPr>
          <w:rFonts w:hint="eastAsia"/>
        </w:rPr>
        <w:t>固化飞灰填埋库区范围用地相对规整且填埋面积相对较小，而陈腐垃圾填埋库区东西最大长度约为150米，南北最大宽度约为200米。如此大型垃圾堆体不能一次性开挖，应根据实际情况进行分期开挖。边坡控制设计应对可能开挖顺序、挖土的进度控制及分区分段施工方案等方面予以充分考虑，贯彻“大库区小开挖”的原则。</w:t>
      </w:r>
    </w:p>
    <w:p w14:paraId="4F48A677">
      <w:pPr>
        <w:pStyle w:val="4"/>
        <w:ind w:firstLine="480"/>
      </w:pPr>
      <w:r>
        <w:rPr>
          <w:rFonts w:hint="eastAsia"/>
        </w:rPr>
        <w:t>3）开挖深度较深：陈腐垃圾填埋场现状分为三层，总厚度约</w:t>
      </w:r>
      <w:r>
        <w:t>30</w:t>
      </w:r>
      <w:r>
        <w:rPr>
          <w:rFonts w:hint="eastAsia"/>
        </w:rPr>
        <w:t>米，因此统筹规划，分层开挖。</w:t>
      </w:r>
    </w:p>
    <w:p w14:paraId="3067C54B">
      <w:pPr>
        <w:pStyle w:val="4"/>
        <w:ind w:firstLine="480"/>
      </w:pPr>
      <w:r>
        <w:rPr>
          <w:rFonts w:hint="eastAsia"/>
        </w:rPr>
        <w:t>4）场地周边环境：周边无高大建筑物，其中北侧为渗滤液调节池与处理站。其余四周均为山体与地表河流。</w:t>
      </w:r>
    </w:p>
    <w:p w14:paraId="72A0B519">
      <w:pPr>
        <w:pStyle w:val="4"/>
        <w:ind w:firstLine="482"/>
        <w:rPr>
          <w:rFonts w:hint="eastAsia" w:ascii="宋体" w:hAnsi="宋体" w:cs="宋体"/>
          <w:b/>
          <w:bCs/>
        </w:rPr>
      </w:pPr>
      <w:r>
        <w:rPr>
          <w:rFonts w:hint="eastAsia" w:ascii="宋体" w:hAnsi="宋体" w:cs="宋体"/>
          <w:b/>
          <w:bCs/>
        </w:rPr>
        <w:t>2、</w:t>
      </w:r>
      <w:r>
        <w:rPr>
          <w:rFonts w:ascii="宋体" w:hAnsi="宋体" w:cs="宋体"/>
          <w:b/>
          <w:bCs/>
          <w:spacing w:val="-1"/>
        </w:rPr>
        <w:t>开挖前准</w:t>
      </w:r>
      <w:r>
        <w:rPr>
          <w:rFonts w:ascii="宋体" w:hAnsi="宋体" w:cs="宋体"/>
          <w:b/>
          <w:bCs/>
        </w:rPr>
        <w:t>备</w:t>
      </w:r>
    </w:p>
    <w:p w14:paraId="50331F98">
      <w:pPr>
        <w:pStyle w:val="4"/>
        <w:ind w:firstLine="480"/>
      </w:pPr>
      <w:r>
        <w:rPr>
          <w:rFonts w:hint="eastAsia"/>
        </w:rPr>
        <w:t>1）现场查勘及制定工作计划</w:t>
      </w:r>
    </w:p>
    <w:p w14:paraId="2162396D">
      <w:pPr>
        <w:pStyle w:val="4"/>
        <w:ind w:firstLine="480"/>
      </w:pPr>
      <w:r>
        <w:rPr>
          <w:rFonts w:hint="eastAsia"/>
        </w:rPr>
        <w:t>为确保后续施工安全、顺利的进行，应收集施工需要的各项资料，包括施工场地地形，地貌、地质水文、河流、气象、运输道路、邻近建筑物、地下基础、管线、电缆坑基、地面上施工范围内的障碍物和堆积物状况，供水、供电、通讯情况，防洪排水系统等等，进行各技术和安全交底，以便为施工规划和准备提供可靠的资料和数据。</w:t>
      </w:r>
    </w:p>
    <w:p w14:paraId="0D776DF8">
      <w:pPr>
        <w:pStyle w:val="4"/>
        <w:ind w:firstLine="480"/>
      </w:pPr>
      <w:r>
        <w:rPr>
          <w:rFonts w:hint="eastAsia" w:ascii="宋体" w:hAnsi="宋体" w:cs="宋体"/>
        </w:rPr>
        <w:t>垃圾堆体开挖前，应根据前期调查得到的垃圾堆体体积、深度、成分特性等制定作业单位及单元开挖计划，施工时宜分层、分单元进行开挖，开挖时应确保堆体稳定情况能够满足施工要求。</w:t>
      </w:r>
    </w:p>
    <w:p w14:paraId="2391F218">
      <w:pPr>
        <w:pStyle w:val="4"/>
        <w:ind w:firstLine="480"/>
      </w:pPr>
      <w:r>
        <w:rPr>
          <w:rFonts w:hint="eastAsia"/>
        </w:rPr>
        <w:t>2）机具、物资、人员准备</w:t>
      </w:r>
    </w:p>
    <w:p w14:paraId="1CEC5692">
      <w:pPr>
        <w:pStyle w:val="4"/>
        <w:ind w:firstLine="480"/>
      </w:pPr>
      <w:r>
        <w:rPr>
          <w:rFonts w:hint="eastAsia"/>
        </w:rPr>
        <w:t>本填埋场清挖量较大，因此，选择经验丰富、综合素质高的管理人员和施工人员。设专人指挥，确保开挖作业及运输车辆进出现场畅通，不互相影响，在现场出口要对车辆进行整理，使出入车辆不对周围环境造成影响，垃圾运输车需盖好篷布运输，严防遗撒，施工现场配备雾炮机，干燥时适量淋水降尘。</w:t>
      </w:r>
    </w:p>
    <w:p w14:paraId="6E47F5DE">
      <w:pPr>
        <w:pStyle w:val="4"/>
        <w:ind w:firstLine="480"/>
      </w:pPr>
      <w:r>
        <w:rPr>
          <w:rFonts w:hint="eastAsia"/>
        </w:rPr>
        <w:t>施工前期安排好施工进度计划及时调整施工机械数量，做好设备调配，对进场挖土、运输车辆及各种辅助设备进行维修检查，试运转，并运至使用地点就位;准备好施工用料及项目用料，根据施工现场合理布局堆放。</w:t>
      </w:r>
    </w:p>
    <w:p w14:paraId="6CD1C057">
      <w:pPr>
        <w:pStyle w:val="4"/>
        <w:ind w:firstLine="480"/>
      </w:pPr>
      <w:r>
        <w:rPr>
          <w:rFonts w:hint="eastAsia"/>
        </w:rPr>
        <w:t>组织并配备开挖施工所需各专业技术人员、管理人员和技术工人；组织安排好作业班次；制定较完善的技术岗位责任制和技术、质量、安全、管理网络；建立技术责任制和质量保证体系；对拟采用的开挖新机具、新工艺、新技术，组织力量进行试验。</w:t>
      </w:r>
    </w:p>
    <w:p w14:paraId="330895CC">
      <w:pPr>
        <w:pStyle w:val="4"/>
        <w:ind w:firstLine="480"/>
      </w:pPr>
      <w:r>
        <w:rPr>
          <w:rFonts w:hint="eastAsia"/>
        </w:rPr>
        <w:t>考虑台风、雨季施工的作业方案，准备相关物资材料，并制定相应的防范措施。对现场施工现场、临时厂房、机械等做好规划安排，并保证车流、人流通畅，不相互干扰。</w:t>
      </w:r>
    </w:p>
    <w:p w14:paraId="1015BD9B">
      <w:pPr>
        <w:pStyle w:val="4"/>
        <w:ind w:firstLine="480"/>
      </w:pPr>
      <w:r>
        <w:rPr>
          <w:rFonts w:hint="eastAsia"/>
        </w:rPr>
        <w:t>3）挖掘机械的通道布置、挖掘顺序、生活垃圾/飞灰驳运以及建材堆放等，均应避免引起对周围环境等的不利影响。垃圾及飞灰应随挖随运。</w:t>
      </w:r>
    </w:p>
    <w:p w14:paraId="77F4DF12">
      <w:pPr>
        <w:pStyle w:val="4"/>
        <w:ind w:firstLine="480"/>
      </w:pPr>
      <w:r>
        <w:rPr>
          <w:rFonts w:hint="eastAsia"/>
        </w:rPr>
        <w:t>4）气体监测：每日开挖前，需要施工人员佩戴防毒面积，将开挖区域掀起，并测量沼气浓度，当地表</w:t>
      </w:r>
      <w:r>
        <w:t>1m</w:t>
      </w:r>
      <w:r>
        <w:rPr>
          <w:rFonts w:hint="eastAsia"/>
        </w:rPr>
        <w:t>范围浓度小于1.25</w:t>
      </w:r>
      <w:r>
        <w:t>%</w:t>
      </w:r>
      <w:r>
        <w:rPr>
          <w:rFonts w:hint="eastAsia"/>
        </w:rPr>
        <w:t>时候方可施工。</w:t>
      </w:r>
    </w:p>
    <w:p w14:paraId="1010538C">
      <w:pPr>
        <w:pStyle w:val="4"/>
        <w:ind w:firstLine="480"/>
        <w:rPr>
          <w:rFonts w:hint="eastAsia" w:ascii="宋体" w:hAnsi="宋体" w:cs="宋体"/>
        </w:rPr>
      </w:pPr>
      <w:r>
        <w:rPr>
          <w:rFonts w:hint="eastAsia"/>
        </w:rPr>
        <w:t>5）机械进场后首先要进行场地平整，清除场地表层的杂物等，然后在待开挖区域周边准备雾炮、HDPE膜等材料，以便后续作业区域HDPE膜的揭开以及陈腐垃圾的开挖。</w:t>
      </w:r>
    </w:p>
    <w:p w14:paraId="763F18DC">
      <w:pPr>
        <w:pStyle w:val="4"/>
        <w:ind w:firstLine="482"/>
        <w:rPr>
          <w:rFonts w:hint="eastAsia" w:ascii="宋体" w:hAnsi="宋体" w:cs="宋体"/>
          <w:b/>
          <w:bCs/>
        </w:rPr>
      </w:pPr>
      <w:r>
        <w:rPr>
          <w:rFonts w:hint="eastAsia" w:ascii="宋体" w:hAnsi="宋体" w:cs="宋体"/>
          <w:b/>
          <w:bCs/>
        </w:rPr>
        <w:t>3、开挖步骤</w:t>
      </w:r>
    </w:p>
    <w:p w14:paraId="0BAC7F98">
      <w:pPr>
        <w:pStyle w:val="4"/>
        <w:ind w:firstLine="480"/>
      </w:pPr>
      <w:r>
        <w:rPr>
          <w:rFonts w:hint="eastAsia"/>
        </w:rPr>
        <w:t>垃圾开挖按分区、分层开挖、自上而下、严禁超挖、边开挖边运输原则，严禁开挖面长时间暴露，采用全场膜覆盖，掀膜依次作业的"拆袋式"开挖方式。开挖工作量按500-600t/d预估，设置工作面500-1000㎡，陈腐垃圾与固化飞灰的每层开挖，每级挖深按不超过4m。开挖完成后，则将膜还原为原始状态。</w:t>
      </w:r>
    </w:p>
    <w:p w14:paraId="71DE2BDE">
      <w:pPr>
        <w:pStyle w:val="4"/>
        <w:ind w:firstLine="480"/>
      </w:pPr>
      <w:r>
        <w:rPr>
          <w:rFonts w:hint="eastAsia"/>
        </w:rPr>
        <w:t>对于陈腐垃圾的第一层，最高点车辆进入，进行装运，工作面按需配置；对于第二层开挖，按最高点进入，原进场通道出料，形成循环装运模式，如遇工作量增加，可设置2个及多个作业面同时施工。对于陈腐垃圾的第三层开挖，潜在渗沥液含量较高时，开挖后适当晾晒，减少渗沥液含量，基于库底高差较低，正常开挖。</w:t>
      </w:r>
    </w:p>
    <w:p w14:paraId="01DAB7F3">
      <w:pPr>
        <w:pStyle w:val="4"/>
        <w:ind w:firstLine="480"/>
      </w:pPr>
      <w:r>
        <w:rPr>
          <w:rFonts w:hint="eastAsia"/>
        </w:rPr>
        <w:t>目前生活垃圾填埋场南侧已存在试开挖区域且存在一定坡度，拟将该区域作为开挖短驳道路并进行修整，预留30度坡道。短驳道路出口与填埋场内现有道路相连接，陈腐垃圾开挖时采用自北向南、倒退式开挖方式。为确保短驳过程车辆运输的安全，垃圾堆体内运输铺设钢板或路基箱作为临时道路，为保证运输安全，路基箱根据现场实际情况进行加固固定，避免车辆运输过程中产生位移。随着垃圾的开挖，标高逐渐降低，钢板道路应根据现场实际情况进行同步调整。考虑到填埋场四周建设有道路，运输车辆拟采取东侧道路进入，装载完成后从西侧道路驶离，形成预装--装车--出场回路的方式，避免外运高峰期车辆堵塞。</w:t>
      </w:r>
    </w:p>
    <w:p w14:paraId="59B63BC8">
      <w:pPr>
        <w:pStyle w:val="4"/>
        <w:ind w:firstLine="480"/>
      </w:pPr>
      <w:r>
        <w:rPr>
          <w:rFonts w:hint="eastAsia"/>
        </w:rPr>
        <w:t>综合考虑现场道路，现有填埋坑进出马道约</w:t>
      </w:r>
      <w:r>
        <w:t>200</w:t>
      </w:r>
      <w:r>
        <w:rPr>
          <w:rFonts w:hint="eastAsia"/>
        </w:rPr>
        <w:t>米道路需修正加固，确保转运安全。陈腐垃圾组成以生活垃圾为主，比重较轻，开挖现场简单晾晒后装车外运。综合考虑道路运输安全，进出场坡度大及毛垃圾比重较低等实际情况，进场车辆车长建议为13.5m五轴以下载重货车，该类车型高速公路限重为40吨以下，装车现场控制总吨重为不超过35吨。</w:t>
      </w:r>
    </w:p>
    <w:p w14:paraId="0425EB37">
      <w:pPr>
        <w:pStyle w:val="4"/>
        <w:ind w:firstLine="480"/>
      </w:pPr>
      <w:r>
        <w:rPr>
          <w:rFonts w:hint="eastAsia"/>
        </w:rPr>
        <w:t>开挖过程中应控制挖掘产生的边坡坡度并釆取适当的固定措施，防止挖掘过程中出现坍塌或滑坡，完成一个开挖单元后，宜优先选取同一高程的单元作为下一作业单元，尽量减少开采过程形成的边坡高程差。开挖后的堆体表面不小于5%的坡度，并避免形成倒坡。</w:t>
      </w:r>
    </w:p>
    <w:p w14:paraId="546384E4">
      <w:pPr>
        <w:pStyle w:val="4"/>
        <w:ind w:firstLine="478"/>
        <w:rPr>
          <w:rFonts w:hint="eastAsia" w:ascii="宋体" w:hAnsi="宋体" w:cs="宋体"/>
          <w:b/>
          <w:bCs/>
        </w:rPr>
      </w:pPr>
      <w:r>
        <w:rPr>
          <w:rFonts w:hint="eastAsia"/>
          <w:b/>
          <w:bCs/>
          <w:spacing w:val="-2"/>
        </w:rPr>
        <w:t>4、</w:t>
      </w:r>
      <w:r>
        <w:rPr>
          <w:rFonts w:ascii="宋体" w:hAnsi="宋体" w:cs="宋体"/>
          <w:b/>
          <w:bCs/>
          <w:spacing w:val="-1"/>
        </w:rPr>
        <w:t>开挖其</w:t>
      </w:r>
      <w:r>
        <w:rPr>
          <w:rFonts w:ascii="宋体" w:hAnsi="宋体" w:cs="宋体"/>
          <w:b/>
          <w:bCs/>
          <w:spacing w:val="2"/>
        </w:rPr>
        <w:t>它</w:t>
      </w:r>
      <w:r>
        <w:rPr>
          <w:rFonts w:ascii="宋体" w:hAnsi="宋体" w:cs="宋体"/>
          <w:b/>
          <w:bCs/>
          <w:spacing w:val="-1"/>
        </w:rPr>
        <w:t>注意事</w:t>
      </w:r>
      <w:r>
        <w:rPr>
          <w:rFonts w:ascii="宋体" w:hAnsi="宋体" w:cs="宋体"/>
          <w:b/>
          <w:bCs/>
        </w:rPr>
        <w:t>项</w:t>
      </w:r>
    </w:p>
    <w:p w14:paraId="6BCA2F50">
      <w:pPr>
        <w:pStyle w:val="4"/>
        <w:ind w:firstLine="480"/>
        <w:rPr>
          <w:rFonts w:cs="Times New Roman"/>
        </w:rPr>
      </w:pPr>
      <w:r>
        <w:rPr>
          <w:rFonts w:cs="Times New Roman"/>
        </w:rPr>
        <w:t>（1）在</w:t>
      </w:r>
      <w:r>
        <w:rPr>
          <w:rFonts w:hint="eastAsia" w:cs="Times New Roman"/>
        </w:rPr>
        <w:t>堆体</w:t>
      </w:r>
      <w:r>
        <w:rPr>
          <w:rFonts w:cs="Times New Roman"/>
        </w:rPr>
        <w:t>开挖施工过程中，应严密观察开挖坡面及围护体各部位有无地下水渗漏现象，如有，则必须立即采取有效措施堵漏。</w:t>
      </w:r>
    </w:p>
    <w:p w14:paraId="483907B8">
      <w:pPr>
        <w:pStyle w:val="4"/>
        <w:ind w:firstLine="480"/>
        <w:rPr>
          <w:rFonts w:cs="Times New Roman"/>
        </w:rPr>
      </w:pPr>
      <w:r>
        <w:rPr>
          <w:rFonts w:cs="Times New Roman"/>
        </w:rPr>
        <w:t>（2）垃圾开挖前许落实处置终端去处，取得收纳单位认可后方可施工。挖机等机械的通道布置以及开挖顺序等，均应避免引起对开挖坡面和周围环境等的不利影响。</w:t>
      </w:r>
    </w:p>
    <w:p w14:paraId="2DE90E0F">
      <w:pPr>
        <w:pStyle w:val="4"/>
        <w:ind w:firstLine="480"/>
        <w:rPr>
          <w:rFonts w:cs="Times New Roman"/>
        </w:rPr>
      </w:pPr>
      <w:r>
        <w:rPr>
          <w:rFonts w:cs="Times New Roman"/>
        </w:rPr>
        <w:t>（3）垃圾开挖的顺序、方法必须遵循“分层开挖，严禁超挖”的原则，开挖过程中，应根据监测信息及时与有关各方协商调整挖土顺序。</w:t>
      </w:r>
    </w:p>
    <w:p w14:paraId="6F98C3B7">
      <w:pPr>
        <w:pStyle w:val="4"/>
        <w:ind w:firstLine="480"/>
        <w:rPr>
          <w:rFonts w:cs="Times New Roman"/>
        </w:rPr>
      </w:pPr>
      <w:r>
        <w:rPr>
          <w:rFonts w:cs="Times New Roman"/>
        </w:rPr>
        <w:t>（4</w:t>
      </w:r>
      <w:r>
        <w:rPr>
          <w:rFonts w:hint="eastAsia" w:cs="Times New Roman"/>
        </w:rPr>
        <w:t>开挖区域周</w:t>
      </w:r>
      <w:r>
        <w:rPr>
          <w:rFonts w:cs="Times New Roman"/>
        </w:rPr>
        <w:t>边严禁大量堆载，确须设置材料堆放场地的，应离</w:t>
      </w:r>
      <w:r>
        <w:rPr>
          <w:rFonts w:hint="eastAsia" w:cs="Times New Roman"/>
        </w:rPr>
        <w:t>边界</w:t>
      </w:r>
      <w:r>
        <w:rPr>
          <w:rFonts w:cs="Times New Roman"/>
        </w:rPr>
        <w:t>20m以上，且超载控制在15KPa以内，并严格控制不均匀堆载。</w:t>
      </w:r>
      <w:r>
        <w:rPr>
          <w:rFonts w:hint="eastAsia" w:cs="Times New Roman"/>
        </w:rPr>
        <w:t>开挖区域</w:t>
      </w:r>
      <w:r>
        <w:rPr>
          <w:rFonts w:cs="Times New Roman"/>
        </w:rPr>
        <w:t>周边10m范围内，地面超载不得大于15KPa。施工时，因场地条件限制堆载超过上述规定时，设计将根据施工的具体情况对</w:t>
      </w:r>
      <w:r>
        <w:rPr>
          <w:rFonts w:hint="eastAsia" w:cs="Times New Roman"/>
        </w:rPr>
        <w:t>开挖区域</w:t>
      </w:r>
      <w:r>
        <w:rPr>
          <w:rFonts w:cs="Times New Roman"/>
        </w:rPr>
        <w:t>采取加强围护措施。施工车辆应在</w:t>
      </w:r>
      <w:r>
        <w:rPr>
          <w:rFonts w:hint="eastAsia" w:cs="Times New Roman"/>
        </w:rPr>
        <w:t>开挖区域</w:t>
      </w:r>
      <w:r>
        <w:rPr>
          <w:rFonts w:cs="Times New Roman"/>
        </w:rPr>
        <w:t>边指定的路线和位置行驶、停放，</w:t>
      </w:r>
      <w:r>
        <w:rPr>
          <w:rFonts w:hint="eastAsia" w:cs="Times New Roman"/>
        </w:rPr>
        <w:t>垃圾/飞灰</w:t>
      </w:r>
      <w:r>
        <w:rPr>
          <w:rFonts w:cs="Times New Roman"/>
        </w:rPr>
        <w:t>应及时外运。</w:t>
      </w:r>
    </w:p>
    <w:p w14:paraId="1D4176C2">
      <w:pPr>
        <w:pStyle w:val="4"/>
        <w:ind w:firstLine="480"/>
        <w:rPr>
          <w:rFonts w:cs="Times New Roman"/>
        </w:rPr>
      </w:pPr>
      <w:r>
        <w:rPr>
          <w:rFonts w:cs="Times New Roman"/>
        </w:rPr>
        <w:t>（5）垃圾</w:t>
      </w:r>
      <w:r>
        <w:rPr>
          <w:rFonts w:hint="eastAsia" w:cs="Times New Roman"/>
        </w:rPr>
        <w:t>/飞灰</w:t>
      </w:r>
      <w:r>
        <w:rPr>
          <w:rFonts w:cs="Times New Roman"/>
        </w:rPr>
        <w:t>开挖与外运过程中，应做好监测点的保护措施。</w:t>
      </w:r>
    </w:p>
    <w:p w14:paraId="30646BF3">
      <w:pPr>
        <w:pStyle w:val="4"/>
        <w:ind w:firstLine="480"/>
        <w:rPr>
          <w:rFonts w:cs="Times New Roman"/>
        </w:rPr>
      </w:pPr>
      <w:r>
        <w:rPr>
          <w:rFonts w:cs="Times New Roman"/>
        </w:rPr>
        <w:t>（6）应注意垃圾土开挖至侧壁或者底部接触时，容易造成现有防渗系统的破损，因此应采取小型机械结合人工清理，避免侧壁或底部的防渗损坏，损坏情况下上报监理单位，采取保护或重新焊接覆膜保护。</w:t>
      </w:r>
    </w:p>
    <w:p w14:paraId="3E3E72BB">
      <w:pPr>
        <w:pStyle w:val="4"/>
        <w:ind w:firstLine="480"/>
        <w:rPr>
          <w:rStyle w:val="32"/>
        </w:rPr>
      </w:pPr>
      <w:bookmarkStart w:id="22" w:name="_Toc172727065"/>
      <w:r>
        <w:rPr>
          <w:rStyle w:val="32"/>
          <w:rFonts w:hint="eastAsia"/>
        </w:rPr>
        <w:t>（7）根据填埋场布置地势以及现在生活垃圾堆体情况，库底渗滤液自流导排至收集井通过液位控制的泵输送至调节池，可以判断库底无渗滤液积水或水位不高。但是在下层及底部开挖时，还是可能有渗沥液影响开挖工作，可在开挖面四周设导水槽，导水槽深度根据现场实际情况设置0.5-3m，将坑内渗沥液汇于设置开挖面边缘的集水井（1m*1m*3m），用水泵将集水井内的垃圾渗滤液抽排至渗沥液处置系统；降水水位标高按开挖坑底以下约1m控制，确保</w:t>
      </w:r>
      <w:r>
        <w:rPr>
          <w:rFonts w:hint="eastAsia" w:cs="Times New Roman"/>
        </w:rPr>
        <w:t>开挖区域</w:t>
      </w:r>
      <w:r>
        <w:rPr>
          <w:rStyle w:val="32"/>
          <w:rFonts w:hint="eastAsia"/>
        </w:rPr>
        <w:t>不受水浸泡。</w:t>
      </w:r>
    </w:p>
    <w:p w14:paraId="098A343E">
      <w:pPr>
        <w:pStyle w:val="4"/>
        <w:ind w:firstLine="480"/>
        <w:rPr>
          <w:rStyle w:val="32"/>
        </w:rPr>
      </w:pPr>
      <w:r>
        <w:rPr>
          <w:rStyle w:val="32"/>
          <w:rFonts w:hint="eastAsia"/>
        </w:rPr>
        <w:t>（8）垃圾/飞灰开挖完成后对库底卵石层进行冲洗，或根据实际需要将冲洗后的卵石外运进一步进行资源化利用等。</w:t>
      </w:r>
    </w:p>
    <w:p w14:paraId="53942EFC">
      <w:pPr>
        <w:pStyle w:val="5"/>
      </w:pPr>
      <w:bookmarkStart w:id="23" w:name="_Hlk173330941"/>
      <w:bookmarkStart w:id="24" w:name="_Toc174443599"/>
      <w:r>
        <w:rPr>
          <w:rFonts w:hint="eastAsia"/>
        </w:rPr>
        <w:t>7.2.4</w:t>
      </w:r>
      <w:bookmarkEnd w:id="23"/>
      <w:r>
        <w:t>覆膜要求</w:t>
      </w:r>
      <w:bookmarkEnd w:id="22"/>
      <w:bookmarkEnd w:id="24"/>
    </w:p>
    <w:p w14:paraId="759779BB">
      <w:pPr>
        <w:pStyle w:val="4"/>
        <w:ind w:firstLine="480"/>
      </w:pPr>
      <w:r>
        <w:rPr>
          <w:rFonts w:hint="eastAsia"/>
        </w:rPr>
        <w:t>除了堆体内部积存渗沥液外，在垃圾开挖过程中雨水存在转化为渗沥液的可能。因此为了</w:t>
      </w:r>
      <w:r>
        <w:rPr>
          <w:rStyle w:val="32"/>
          <w:rFonts w:hint="eastAsia"/>
        </w:rPr>
        <w:t>减少渗沥液产量，垃圾开挖过程中、降雨时进行覆盖。堆体开挖搬运期间应采用低渗透性的覆盖材料进行临时覆盖。开挖期间应根据开挖运输能力合理安排作业区域，尽量减少垃圾的直接暴露面积。</w:t>
      </w:r>
    </w:p>
    <w:p w14:paraId="26C7A04D">
      <w:pPr>
        <w:pStyle w:val="4"/>
        <w:ind w:firstLine="480"/>
      </w:pPr>
      <w:r>
        <w:rPr>
          <w:rFonts w:hint="eastAsia"/>
        </w:rPr>
        <w:t>（1）每天开完结束的日覆盖</w:t>
      </w:r>
    </w:p>
    <w:p w14:paraId="41DB22D4">
      <w:pPr>
        <w:pStyle w:val="4"/>
        <w:ind w:firstLine="480"/>
      </w:pPr>
      <w:r>
        <w:rPr>
          <w:rFonts w:hint="eastAsia"/>
        </w:rPr>
        <w:t>根据《生活垃圾卫生填埋处理技术规范》（GB50869-2013），填埋日作业完成之后,宜采用厚度不小于0.5mm的HDPE膜或线型低密度聚乙烯膜(LLDPE)进行日覆盖作业，覆盖材料宜按一定的坡度进行铺设，雨水汇集后可通过泵抽排至截洪沟等排水设施。考虑日开生活垃圾开挖外运处置量为500~600t/d，螯合飞灰开挖外运处置量为50~60t/d，作业面控制为500~1000m</w:t>
      </w:r>
      <w:r>
        <w:rPr>
          <w:rFonts w:hint="eastAsia"/>
          <w:vertAlign w:val="superscript"/>
        </w:rPr>
        <w:t>2</w:t>
      </w:r>
      <w:r>
        <w:rPr>
          <w:rFonts w:hint="eastAsia"/>
        </w:rPr>
        <w:t>，日开挖总面积暴露面暂按1000m</w:t>
      </w:r>
      <w:r>
        <w:rPr>
          <w:rFonts w:hint="eastAsia"/>
          <w:vertAlign w:val="superscript"/>
        </w:rPr>
        <w:t>2</w:t>
      </w:r>
      <w:r>
        <w:rPr>
          <w:rFonts w:hint="eastAsia"/>
        </w:rPr>
        <w:t>，另外考虑辅助其他临时覆盖，现定日覆盖面积为1500m</w:t>
      </w:r>
      <w:r>
        <w:rPr>
          <w:rFonts w:hint="eastAsia"/>
          <w:vertAlign w:val="superscript"/>
        </w:rPr>
        <w:t>2</w:t>
      </w:r>
      <w:r>
        <w:rPr>
          <w:rFonts w:hint="eastAsia"/>
        </w:rPr>
        <w:t>。</w:t>
      </w:r>
    </w:p>
    <w:p w14:paraId="6F1F542F">
      <w:pPr>
        <w:pStyle w:val="4"/>
        <w:ind w:firstLine="480"/>
      </w:pPr>
      <w:r>
        <w:rPr>
          <w:rFonts w:hint="eastAsia"/>
        </w:rPr>
        <w:t>每天开挖作业结束后，应对作业面用HDPE膜进行日覆盖。HDPE膜覆盖前应先对垃圾堆体进行整平。开挖面采取当日揭开，当日覆盖，避免暴露。HDPE膜的性能指标应符合现行行业标准《垃圾填埋场用高密度聚乙烯土工膜》CJ/T234和《垃圾填埋场用线性低密度聚乙烯士工膜》CJ/T276的要求。</w:t>
      </w:r>
    </w:p>
    <w:p w14:paraId="290696CE">
      <w:pPr>
        <w:pStyle w:val="4"/>
        <w:ind w:firstLine="480"/>
      </w:pPr>
      <w:r>
        <w:t>不属于开挖作业的区域，采用</w:t>
      </w:r>
      <w:r>
        <w:rPr>
          <w:rFonts w:hint="eastAsia"/>
        </w:rPr>
        <w:t>1.0</w:t>
      </w:r>
      <w:r>
        <w:t>mm厚光面HDPE土工膜覆盖，膜幅宽6米以上，膜裁剪长度不超过50</w:t>
      </w:r>
      <w:r>
        <w:rPr>
          <w:rFonts w:hint="eastAsia"/>
        </w:rPr>
        <w:t>m</w:t>
      </w:r>
      <w:r>
        <w:t>。膜与膜搭接的宽度0.10</w:t>
      </w:r>
      <w:r>
        <w:rPr>
          <w:rFonts w:hint="eastAsia"/>
        </w:rPr>
        <w:t>m</w:t>
      </w:r>
      <w:r>
        <w:t>左右。</w:t>
      </w:r>
    </w:p>
    <w:p w14:paraId="663A66DC">
      <w:pPr>
        <w:pStyle w:val="4"/>
        <w:ind w:firstLine="480"/>
      </w:pPr>
      <w:r>
        <w:rPr>
          <w:rFonts w:hint="eastAsia"/>
        </w:rPr>
        <w:t>（2）覆盖膜破损修补</w:t>
      </w:r>
    </w:p>
    <w:p w14:paraId="6468A15B">
      <w:pPr>
        <w:pStyle w:val="4"/>
        <w:ind w:firstLine="480"/>
      </w:pPr>
      <w:r>
        <w:rPr>
          <w:rFonts w:hint="eastAsia"/>
        </w:rPr>
        <w:t>膜破损时</w:t>
      </w:r>
      <w:r>
        <w:rPr>
          <w:rFonts w:hint="eastAsia"/>
          <w:color w:val="0000FF"/>
        </w:rPr>
        <w:t>，</w:t>
      </w:r>
      <w:r>
        <w:rPr>
          <w:rFonts w:hint="eastAsia"/>
        </w:rPr>
        <w:t>立即采取措施修复，以防止污染物泄露和臭气逸散。根据《生活垃圾卫生填埋处理技术规范》GB50869-2013，修复方法如下：</w:t>
      </w:r>
    </w:p>
    <w:p w14:paraId="7394C592">
      <w:pPr>
        <w:pStyle w:val="4"/>
        <w:ind w:firstLine="480"/>
      </w:pPr>
      <w:r>
        <w:rPr>
          <w:rFonts w:hint="eastAsia"/>
        </w:rPr>
        <w:t>1）首先，清除破损区域周围的杂物，确保修复区域干净。</w:t>
      </w:r>
    </w:p>
    <w:p w14:paraId="63492338">
      <w:pPr>
        <w:pStyle w:val="4"/>
        <w:ind w:firstLine="480"/>
      </w:pPr>
      <w:r>
        <w:rPr>
          <w:rFonts w:hint="eastAsia"/>
        </w:rPr>
        <w:t>2）根据破损大小，切割适当尺寸的补丁，补丁材料应与原膜一致，如HDPE膜。</w:t>
      </w:r>
    </w:p>
    <w:p w14:paraId="104D4196">
      <w:pPr>
        <w:pStyle w:val="4"/>
        <w:ind w:firstLine="480"/>
      </w:pPr>
      <w:r>
        <w:rPr>
          <w:rFonts w:hint="eastAsia"/>
        </w:rPr>
        <w:t>3）使用热熔焊机将补丁与原膜焊接，确保焊接强度满足规范要求。</w:t>
      </w:r>
    </w:p>
    <w:p w14:paraId="65E3CA30">
      <w:pPr>
        <w:pStyle w:val="4"/>
        <w:ind w:firstLine="480"/>
      </w:pPr>
      <w:r>
        <w:rPr>
          <w:rFonts w:hint="eastAsia"/>
        </w:rPr>
        <w:t>4）完成修复后，通过目视检查和可能的电火花检测，验证修复效果。</w:t>
      </w:r>
    </w:p>
    <w:p w14:paraId="0002E3B3">
      <w:pPr>
        <w:pStyle w:val="4"/>
        <w:ind w:firstLine="480"/>
      </w:pPr>
      <w:r>
        <w:rPr>
          <w:rFonts w:hint="eastAsia"/>
        </w:rPr>
        <w:t>5）破损膜的替代覆盖：在破损膜修复期间，为防止污染，可以使用临时覆盖材料，如防水布或临时膜，覆盖破损区域，直到正式修复完成。</w:t>
      </w:r>
    </w:p>
    <w:p w14:paraId="2EF99690">
      <w:pPr>
        <w:pStyle w:val="4"/>
        <w:ind w:firstLine="480"/>
      </w:pPr>
      <w:r>
        <w:rPr>
          <w:rFonts w:hint="eastAsia"/>
        </w:rPr>
        <w:t>（3）</w:t>
      </w:r>
      <w:bookmarkStart w:id="25" w:name="_Hlk173330956"/>
      <w:r>
        <w:rPr>
          <w:rFonts w:hint="eastAsia"/>
        </w:rPr>
        <w:t>开挖完成后库底覆膜</w:t>
      </w:r>
      <w:bookmarkEnd w:id="25"/>
    </w:p>
    <w:p w14:paraId="7649C99C">
      <w:pPr>
        <w:pStyle w:val="4"/>
        <w:ind w:firstLine="480"/>
      </w:pPr>
      <w:r>
        <w:rPr>
          <w:rFonts w:hint="eastAsia"/>
        </w:rPr>
        <w:t>陈腐垃圾及飞灰清挖完成后，对库底需进行HDPE膜覆盖确保库区雨水不进入原渗滤液收集系统，库底覆膜要求以及施工保证措施参考如下：</w:t>
      </w:r>
    </w:p>
    <w:p w14:paraId="17DE5D30">
      <w:pPr>
        <w:pStyle w:val="4"/>
        <w:ind w:firstLine="480"/>
      </w:pPr>
      <w:r>
        <w:rPr>
          <w:rFonts w:hint="eastAsia"/>
        </w:rPr>
        <w:t>1）开挖完成后的场地应平整、光滑-密实；无松土、无积水、无明显凹凸不平，无尖锐变形或突起，无石头、砖块、瓦砾、无树根、杂草、淤泥、腐殖土、无陶瓷、玻璃渣、钢筋渣及其他任何尖锐杂物；</w:t>
      </w:r>
    </w:p>
    <w:p w14:paraId="2BB158F3">
      <w:pPr>
        <w:pStyle w:val="4"/>
        <w:ind w:firstLine="480"/>
      </w:pPr>
      <w:r>
        <w:rPr>
          <w:rFonts w:hint="eastAsia"/>
        </w:rPr>
        <w:t>2）库底覆膜质量(包括材料质量和施工质量)验收应进行观感检验和抽样检验。具体方法按《生活垃圾卫生填埋场防渗系统工程技术规范》(CJJ113-2007)。在进行库底覆膜施工前，应对土工合成材料的各项性能指标进行质量测试；在需要进行焊接之前，应进行试验焊接。在库底覆膜的铺设过程中与完成之后，应通过连续性和完整性检测检验施工效果，以确定没有破损、漏洞等。</w:t>
      </w:r>
    </w:p>
    <w:p w14:paraId="0540A8D5">
      <w:pPr>
        <w:pStyle w:val="4"/>
        <w:ind w:firstLine="480"/>
      </w:pPr>
      <w:r>
        <w:rPr>
          <w:rFonts w:hint="eastAsia"/>
        </w:rPr>
        <w:t>3）HDPE膜作为防渗结构层中的起主要防渗作用的材料在铺设过程中应加倍注意搭接宽度和焊缝质量控制，监督膜的焊接和检验，HDPE膜销设过程，要认真填写HDPE膜铺设施工记录表、HDPE膜试样焊接记录表、HDPE膜热熔焊接检测记录表和HDPE膜挤压焊接检测记录表。</w:t>
      </w:r>
    </w:p>
    <w:p w14:paraId="64458F67">
      <w:pPr>
        <w:pStyle w:val="4"/>
        <w:ind w:firstLine="480"/>
      </w:pPr>
      <w:r>
        <w:rPr>
          <w:rFonts w:hint="eastAsia"/>
        </w:rPr>
        <w:t>4）施工过程中应确保膜下地基角腾部位不发生任何加空，特别是在低四处。应尽量在暖和和干燥天气(气温5℃以上40℃以下，风力小于四级并无雨无雪天气)下进行.以防土工膜在低温时过分收缩-在阴天多云铺设比晴天要好-应避免在盛夏阳光强烈直射的情况下，进行铺设-以免形成皱纹，大面积铺设时，最好是在相近温度下进行，以防止日后在接缝处因热胀冷缩不均形成鱼嘴形孔。</w:t>
      </w:r>
    </w:p>
    <w:p w14:paraId="2B4BF0A1">
      <w:pPr>
        <w:pStyle w:val="4"/>
        <w:ind w:firstLine="480"/>
      </w:pPr>
      <w:r>
        <w:rPr>
          <w:rFonts w:hint="eastAsia"/>
        </w:rPr>
        <w:t>5）对铺设好的防渗材料应及时压放土袋，土袋成行放置，彼此紧换.要压在大片边缘有待接缝处。</w:t>
      </w:r>
    </w:p>
    <w:p w14:paraId="1CA149EC">
      <w:pPr>
        <w:pStyle w:val="4"/>
        <w:ind w:firstLine="480"/>
      </w:pPr>
      <w:r>
        <w:rPr>
          <w:rFonts w:hint="eastAsia"/>
        </w:rPr>
        <w:t>6）铺好后的土工膜应及时覆盖，以免紫外线照射而老化，或被风掀起、撕破。雨雪天气时，对暂未铺议防渗膜的已开挖边坡或者库底需要用塑料薄膜等进行临时覆盖，以防雨水冲刷。</w:t>
      </w:r>
    </w:p>
    <w:p w14:paraId="106290A7">
      <w:pPr>
        <w:pStyle w:val="4"/>
        <w:ind w:firstLine="480"/>
      </w:pPr>
      <w:r>
        <w:rPr>
          <w:rFonts w:hint="eastAsia"/>
        </w:rPr>
        <w:t>库底覆膜建议采用进口大品牌高质量的HDPE膜，HDPE土工膜技术要求可参考表7.2-1。</w:t>
      </w:r>
    </w:p>
    <w:p w14:paraId="31616473">
      <w:pPr>
        <w:pStyle w:val="38"/>
        <w:spacing w:before="156"/>
      </w:pPr>
      <w:r>
        <w:rPr>
          <w:rFonts w:hint="eastAsia"/>
        </w:rPr>
        <w:t>表7.2-1  HDPE土工膜技术要求参考表</w:t>
      </w:r>
    </w:p>
    <w:tbl>
      <w:tblPr>
        <w:tblStyle w:val="48"/>
        <w:tblW w:w="9498" w:type="dxa"/>
        <w:jc w:val="center"/>
        <w:tblBorders>
          <w:top w:val="double" w:color="auto" w:sz="4" w:space="0"/>
          <w:left w:val="none" w:color="auto" w:sz="0" w:space="0"/>
          <w:bottom w:val="doub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80"/>
        <w:gridCol w:w="2140"/>
        <w:gridCol w:w="1840"/>
        <w:gridCol w:w="1520"/>
        <w:gridCol w:w="1520"/>
        <w:gridCol w:w="1998"/>
      </w:tblGrid>
      <w:tr w14:paraId="10EEA796">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Merge w:val="restart"/>
            <w:vAlign w:val="center"/>
          </w:tcPr>
          <w:p w14:paraId="64C510E9">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序号</w:t>
            </w:r>
          </w:p>
        </w:tc>
        <w:tc>
          <w:tcPr>
            <w:tcW w:w="3980" w:type="dxa"/>
            <w:gridSpan w:val="2"/>
            <w:vMerge w:val="restart"/>
            <w:vAlign w:val="center"/>
          </w:tcPr>
          <w:p w14:paraId="13420301">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项目名称</w:t>
            </w:r>
          </w:p>
        </w:tc>
        <w:tc>
          <w:tcPr>
            <w:tcW w:w="1520" w:type="dxa"/>
            <w:vMerge w:val="restart"/>
            <w:vAlign w:val="center"/>
          </w:tcPr>
          <w:p w14:paraId="7B5A1E6F">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单位</w:t>
            </w:r>
          </w:p>
        </w:tc>
        <w:tc>
          <w:tcPr>
            <w:tcW w:w="1520" w:type="dxa"/>
            <w:vMerge w:val="restart"/>
            <w:vAlign w:val="center"/>
          </w:tcPr>
          <w:p w14:paraId="09F425A4">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检测标准</w:t>
            </w:r>
          </w:p>
        </w:tc>
        <w:tc>
          <w:tcPr>
            <w:tcW w:w="1998" w:type="dxa"/>
            <w:vAlign w:val="center"/>
          </w:tcPr>
          <w:p w14:paraId="10043F3D">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性能指标</w:t>
            </w:r>
          </w:p>
        </w:tc>
      </w:tr>
      <w:tr w14:paraId="5104E4D5">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Merge w:val="continue"/>
            <w:vAlign w:val="center"/>
          </w:tcPr>
          <w:p w14:paraId="72817BB9">
            <w:pPr>
              <w:widowControl/>
              <w:jc w:val="left"/>
              <w:rPr>
                <w:rFonts w:hint="eastAsia" w:ascii="宋体" w:hAnsi="宋体" w:eastAsia="宋体" w:cs="宋体"/>
                <w:color w:val="000000"/>
                <w:kern w:val="0"/>
                <w:sz w:val="22"/>
              </w:rPr>
            </w:pPr>
          </w:p>
        </w:tc>
        <w:tc>
          <w:tcPr>
            <w:tcW w:w="3980" w:type="dxa"/>
            <w:gridSpan w:val="2"/>
            <w:vMerge w:val="continue"/>
            <w:vAlign w:val="center"/>
          </w:tcPr>
          <w:p w14:paraId="5F963962">
            <w:pPr>
              <w:widowControl/>
              <w:jc w:val="left"/>
              <w:rPr>
                <w:rFonts w:hint="eastAsia" w:ascii="宋体" w:hAnsi="宋体" w:eastAsia="宋体" w:cs="宋体"/>
                <w:color w:val="000000"/>
                <w:kern w:val="0"/>
                <w:sz w:val="22"/>
              </w:rPr>
            </w:pPr>
          </w:p>
        </w:tc>
        <w:tc>
          <w:tcPr>
            <w:tcW w:w="1520" w:type="dxa"/>
            <w:vMerge w:val="continue"/>
            <w:vAlign w:val="center"/>
          </w:tcPr>
          <w:p w14:paraId="534870B5">
            <w:pPr>
              <w:widowControl/>
              <w:jc w:val="left"/>
              <w:rPr>
                <w:rFonts w:hint="eastAsia" w:ascii="宋体" w:hAnsi="宋体" w:eastAsia="宋体" w:cs="宋体"/>
                <w:color w:val="000000"/>
                <w:kern w:val="0"/>
                <w:sz w:val="22"/>
              </w:rPr>
            </w:pPr>
          </w:p>
        </w:tc>
        <w:tc>
          <w:tcPr>
            <w:tcW w:w="1520" w:type="dxa"/>
            <w:vMerge w:val="continue"/>
            <w:vAlign w:val="center"/>
          </w:tcPr>
          <w:p w14:paraId="340EBADC">
            <w:pPr>
              <w:widowControl/>
              <w:jc w:val="left"/>
              <w:rPr>
                <w:rFonts w:hint="eastAsia" w:ascii="宋体" w:hAnsi="宋体" w:eastAsia="宋体" w:cs="宋体"/>
                <w:color w:val="000000"/>
                <w:kern w:val="0"/>
                <w:sz w:val="22"/>
              </w:rPr>
            </w:pPr>
          </w:p>
        </w:tc>
        <w:tc>
          <w:tcPr>
            <w:tcW w:w="1998" w:type="dxa"/>
            <w:vAlign w:val="center"/>
          </w:tcPr>
          <w:p w14:paraId="6B2F6C9C">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1.5mm（双毛面）</w:t>
            </w:r>
          </w:p>
        </w:tc>
      </w:tr>
      <w:tr w14:paraId="1B744198">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7944DB51">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01</w:t>
            </w:r>
          </w:p>
        </w:tc>
        <w:tc>
          <w:tcPr>
            <w:tcW w:w="3980" w:type="dxa"/>
            <w:gridSpan w:val="2"/>
            <w:vAlign w:val="center"/>
          </w:tcPr>
          <w:p w14:paraId="61D831E9">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幅宽</w:t>
            </w:r>
          </w:p>
        </w:tc>
        <w:tc>
          <w:tcPr>
            <w:tcW w:w="1520" w:type="dxa"/>
            <w:vAlign w:val="center"/>
          </w:tcPr>
          <w:p w14:paraId="4BA82FD1">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m</w:t>
            </w:r>
          </w:p>
        </w:tc>
        <w:tc>
          <w:tcPr>
            <w:tcW w:w="1520" w:type="dxa"/>
            <w:vAlign w:val="center"/>
          </w:tcPr>
          <w:p w14:paraId="2EFFC3D8">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w:t>
            </w:r>
          </w:p>
        </w:tc>
        <w:tc>
          <w:tcPr>
            <w:tcW w:w="1998" w:type="dxa"/>
            <w:vAlign w:val="center"/>
          </w:tcPr>
          <w:p w14:paraId="2A36D586">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≥7</w:t>
            </w:r>
          </w:p>
        </w:tc>
      </w:tr>
      <w:tr w14:paraId="32DAE9F9">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4099D895">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02</w:t>
            </w:r>
          </w:p>
        </w:tc>
        <w:tc>
          <w:tcPr>
            <w:tcW w:w="3980" w:type="dxa"/>
            <w:gridSpan w:val="2"/>
            <w:vAlign w:val="center"/>
          </w:tcPr>
          <w:p w14:paraId="4B72E70A">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厚度极限偏差</w:t>
            </w:r>
          </w:p>
        </w:tc>
        <w:tc>
          <w:tcPr>
            <w:tcW w:w="1520" w:type="dxa"/>
            <w:vAlign w:val="center"/>
          </w:tcPr>
          <w:p w14:paraId="425FBFEA">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w:t>
            </w:r>
          </w:p>
        </w:tc>
        <w:tc>
          <w:tcPr>
            <w:tcW w:w="1520" w:type="dxa"/>
            <w:vAlign w:val="center"/>
          </w:tcPr>
          <w:p w14:paraId="75B74E24">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GB/T 6672</w:t>
            </w:r>
          </w:p>
        </w:tc>
        <w:tc>
          <w:tcPr>
            <w:tcW w:w="1998" w:type="dxa"/>
            <w:vAlign w:val="center"/>
          </w:tcPr>
          <w:p w14:paraId="07DD8D2B">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 0.23</w:t>
            </w:r>
          </w:p>
        </w:tc>
      </w:tr>
      <w:tr w14:paraId="01E1AB01">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16D03DDC">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03</w:t>
            </w:r>
          </w:p>
        </w:tc>
        <w:tc>
          <w:tcPr>
            <w:tcW w:w="3980" w:type="dxa"/>
            <w:gridSpan w:val="2"/>
            <w:vAlign w:val="center"/>
          </w:tcPr>
          <w:p w14:paraId="35C2459B">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密度</w:t>
            </w:r>
          </w:p>
        </w:tc>
        <w:tc>
          <w:tcPr>
            <w:tcW w:w="1520" w:type="dxa"/>
            <w:vAlign w:val="center"/>
          </w:tcPr>
          <w:p w14:paraId="012A1274">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g/cm3</w:t>
            </w:r>
          </w:p>
        </w:tc>
        <w:tc>
          <w:tcPr>
            <w:tcW w:w="1520" w:type="dxa"/>
            <w:vAlign w:val="center"/>
          </w:tcPr>
          <w:p w14:paraId="1D7A4B87">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 1033</w:t>
            </w:r>
          </w:p>
        </w:tc>
        <w:tc>
          <w:tcPr>
            <w:tcW w:w="1998" w:type="dxa"/>
            <w:vAlign w:val="center"/>
          </w:tcPr>
          <w:p w14:paraId="4F3CEEBF">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≥0.940</w:t>
            </w:r>
          </w:p>
        </w:tc>
      </w:tr>
      <w:tr w14:paraId="128F656A">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5A27F54B">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04</w:t>
            </w:r>
          </w:p>
        </w:tc>
        <w:tc>
          <w:tcPr>
            <w:tcW w:w="3980" w:type="dxa"/>
            <w:gridSpan w:val="2"/>
            <w:vAlign w:val="center"/>
          </w:tcPr>
          <w:p w14:paraId="6FDF7ABE">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毛糙高度</w:t>
            </w:r>
          </w:p>
        </w:tc>
        <w:tc>
          <w:tcPr>
            <w:tcW w:w="1520" w:type="dxa"/>
            <w:vAlign w:val="center"/>
          </w:tcPr>
          <w:p w14:paraId="7472FD49">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mm</w:t>
            </w:r>
          </w:p>
        </w:tc>
        <w:tc>
          <w:tcPr>
            <w:tcW w:w="1520" w:type="dxa"/>
            <w:vAlign w:val="center"/>
          </w:tcPr>
          <w:p w14:paraId="4B3B06F6">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GB/T 17643</w:t>
            </w:r>
          </w:p>
        </w:tc>
        <w:tc>
          <w:tcPr>
            <w:tcW w:w="1998" w:type="dxa"/>
            <w:vAlign w:val="center"/>
          </w:tcPr>
          <w:p w14:paraId="5DC9A43A">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≥0.25</w:t>
            </w:r>
          </w:p>
        </w:tc>
      </w:tr>
      <w:tr w14:paraId="3963A14D">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78FB120D">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05</w:t>
            </w:r>
          </w:p>
        </w:tc>
        <w:tc>
          <w:tcPr>
            <w:tcW w:w="3980" w:type="dxa"/>
            <w:gridSpan w:val="2"/>
            <w:vAlign w:val="center"/>
          </w:tcPr>
          <w:p w14:paraId="01BBEC79">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拉伸屈服强度（纵、横向）</w:t>
            </w:r>
          </w:p>
        </w:tc>
        <w:tc>
          <w:tcPr>
            <w:tcW w:w="1520" w:type="dxa"/>
            <w:vAlign w:val="center"/>
          </w:tcPr>
          <w:p w14:paraId="16956B58">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N/mm</w:t>
            </w:r>
          </w:p>
        </w:tc>
        <w:tc>
          <w:tcPr>
            <w:tcW w:w="1520" w:type="dxa"/>
            <w:vAlign w:val="center"/>
          </w:tcPr>
          <w:p w14:paraId="4277EEE9">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GB/T 1040.3</w:t>
            </w:r>
          </w:p>
        </w:tc>
        <w:tc>
          <w:tcPr>
            <w:tcW w:w="1998" w:type="dxa"/>
            <w:vAlign w:val="center"/>
          </w:tcPr>
          <w:p w14:paraId="4BE05570">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≥22</w:t>
            </w:r>
          </w:p>
        </w:tc>
      </w:tr>
      <w:tr w14:paraId="2304E56F">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6FA5E5A2">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06</w:t>
            </w:r>
          </w:p>
        </w:tc>
        <w:tc>
          <w:tcPr>
            <w:tcW w:w="3980" w:type="dxa"/>
            <w:gridSpan w:val="2"/>
            <w:vAlign w:val="center"/>
          </w:tcPr>
          <w:p w14:paraId="2805492C">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拉伸断裂强度（纵、横向）</w:t>
            </w:r>
          </w:p>
        </w:tc>
        <w:tc>
          <w:tcPr>
            <w:tcW w:w="1520" w:type="dxa"/>
            <w:vAlign w:val="center"/>
          </w:tcPr>
          <w:p w14:paraId="23AA3200">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N/mm</w:t>
            </w:r>
          </w:p>
        </w:tc>
        <w:tc>
          <w:tcPr>
            <w:tcW w:w="1520" w:type="dxa"/>
            <w:vAlign w:val="center"/>
          </w:tcPr>
          <w:p w14:paraId="2FD34AC1">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GB/T 1040.3</w:t>
            </w:r>
          </w:p>
        </w:tc>
        <w:tc>
          <w:tcPr>
            <w:tcW w:w="1998" w:type="dxa"/>
            <w:vAlign w:val="center"/>
          </w:tcPr>
          <w:p w14:paraId="5435E0EA">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≥16</w:t>
            </w:r>
          </w:p>
        </w:tc>
      </w:tr>
      <w:tr w14:paraId="671D647C">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66F06B1C">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07</w:t>
            </w:r>
          </w:p>
        </w:tc>
        <w:tc>
          <w:tcPr>
            <w:tcW w:w="3980" w:type="dxa"/>
            <w:gridSpan w:val="2"/>
            <w:vAlign w:val="center"/>
          </w:tcPr>
          <w:p w14:paraId="57E91002">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屈服伸长率（纵、横向）</w:t>
            </w:r>
          </w:p>
        </w:tc>
        <w:tc>
          <w:tcPr>
            <w:tcW w:w="1520" w:type="dxa"/>
            <w:vAlign w:val="center"/>
          </w:tcPr>
          <w:p w14:paraId="06BE0B7E">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w:t>
            </w:r>
          </w:p>
        </w:tc>
        <w:tc>
          <w:tcPr>
            <w:tcW w:w="1520" w:type="dxa"/>
            <w:vAlign w:val="center"/>
          </w:tcPr>
          <w:p w14:paraId="10A6BAAA">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GB/T 1040.3</w:t>
            </w:r>
          </w:p>
        </w:tc>
        <w:tc>
          <w:tcPr>
            <w:tcW w:w="1998" w:type="dxa"/>
            <w:vAlign w:val="center"/>
          </w:tcPr>
          <w:p w14:paraId="4DA0DF34">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≥12</w:t>
            </w:r>
          </w:p>
        </w:tc>
      </w:tr>
      <w:tr w14:paraId="0FE46F4C">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47B99926">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08</w:t>
            </w:r>
          </w:p>
        </w:tc>
        <w:tc>
          <w:tcPr>
            <w:tcW w:w="3980" w:type="dxa"/>
            <w:gridSpan w:val="2"/>
            <w:vAlign w:val="center"/>
          </w:tcPr>
          <w:p w14:paraId="05D6B784">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断裂伸长率（纵、横向）</w:t>
            </w:r>
          </w:p>
        </w:tc>
        <w:tc>
          <w:tcPr>
            <w:tcW w:w="1520" w:type="dxa"/>
            <w:vAlign w:val="center"/>
          </w:tcPr>
          <w:p w14:paraId="4DFE61F1">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w:t>
            </w:r>
          </w:p>
        </w:tc>
        <w:tc>
          <w:tcPr>
            <w:tcW w:w="1520" w:type="dxa"/>
            <w:vAlign w:val="center"/>
          </w:tcPr>
          <w:p w14:paraId="54964960">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GB/T 1040.3</w:t>
            </w:r>
          </w:p>
        </w:tc>
        <w:tc>
          <w:tcPr>
            <w:tcW w:w="1998" w:type="dxa"/>
            <w:vAlign w:val="center"/>
          </w:tcPr>
          <w:p w14:paraId="78FB929E">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≥100</w:t>
            </w:r>
          </w:p>
        </w:tc>
      </w:tr>
      <w:tr w14:paraId="7C056995">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58451B3B">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09</w:t>
            </w:r>
          </w:p>
        </w:tc>
        <w:tc>
          <w:tcPr>
            <w:tcW w:w="3980" w:type="dxa"/>
            <w:gridSpan w:val="2"/>
            <w:vAlign w:val="center"/>
          </w:tcPr>
          <w:p w14:paraId="4D295AD7">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直角撕裂负荷（纵、横向）</w:t>
            </w:r>
          </w:p>
        </w:tc>
        <w:tc>
          <w:tcPr>
            <w:tcW w:w="1520" w:type="dxa"/>
            <w:vAlign w:val="center"/>
          </w:tcPr>
          <w:p w14:paraId="22B2DCC2">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N</w:t>
            </w:r>
          </w:p>
        </w:tc>
        <w:tc>
          <w:tcPr>
            <w:tcW w:w="1520" w:type="dxa"/>
            <w:vAlign w:val="center"/>
          </w:tcPr>
          <w:p w14:paraId="15926AFD">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QB/T 1030</w:t>
            </w:r>
          </w:p>
        </w:tc>
        <w:tc>
          <w:tcPr>
            <w:tcW w:w="1998" w:type="dxa"/>
            <w:vAlign w:val="center"/>
          </w:tcPr>
          <w:p w14:paraId="0713D2AC">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 190</w:t>
            </w:r>
          </w:p>
        </w:tc>
      </w:tr>
      <w:tr w14:paraId="225C65B7">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150C6DBC">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10</w:t>
            </w:r>
          </w:p>
        </w:tc>
        <w:tc>
          <w:tcPr>
            <w:tcW w:w="3980" w:type="dxa"/>
            <w:gridSpan w:val="2"/>
            <w:vAlign w:val="center"/>
          </w:tcPr>
          <w:p w14:paraId="755A9CE3">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抗穿刺强度</w:t>
            </w:r>
          </w:p>
        </w:tc>
        <w:tc>
          <w:tcPr>
            <w:tcW w:w="1520" w:type="dxa"/>
            <w:vAlign w:val="center"/>
          </w:tcPr>
          <w:p w14:paraId="5C8498FE">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N</w:t>
            </w:r>
          </w:p>
        </w:tc>
        <w:tc>
          <w:tcPr>
            <w:tcW w:w="1520" w:type="dxa"/>
            <w:vAlign w:val="center"/>
          </w:tcPr>
          <w:p w14:paraId="615341FE">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GB/T 17643</w:t>
            </w:r>
          </w:p>
        </w:tc>
        <w:tc>
          <w:tcPr>
            <w:tcW w:w="1998" w:type="dxa"/>
            <w:vAlign w:val="center"/>
          </w:tcPr>
          <w:p w14:paraId="489FBB36">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≥400</w:t>
            </w:r>
          </w:p>
        </w:tc>
      </w:tr>
      <w:tr w14:paraId="7106BDCD">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431B137D">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11</w:t>
            </w:r>
          </w:p>
        </w:tc>
        <w:tc>
          <w:tcPr>
            <w:tcW w:w="3980" w:type="dxa"/>
            <w:gridSpan w:val="2"/>
            <w:vAlign w:val="center"/>
          </w:tcPr>
          <w:p w14:paraId="47A67889">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拉伸负荷应力开裂（切口恒载拉伸法）</w:t>
            </w:r>
          </w:p>
        </w:tc>
        <w:tc>
          <w:tcPr>
            <w:tcW w:w="1520" w:type="dxa"/>
            <w:vAlign w:val="center"/>
          </w:tcPr>
          <w:p w14:paraId="698AEE8F">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h</w:t>
            </w:r>
          </w:p>
        </w:tc>
        <w:tc>
          <w:tcPr>
            <w:tcW w:w="1520" w:type="dxa"/>
            <w:vAlign w:val="center"/>
          </w:tcPr>
          <w:p w14:paraId="09641CD9">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GB/T 17643</w:t>
            </w:r>
          </w:p>
        </w:tc>
        <w:tc>
          <w:tcPr>
            <w:tcW w:w="1998" w:type="dxa"/>
            <w:vAlign w:val="center"/>
          </w:tcPr>
          <w:p w14:paraId="63DF3C03">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≥300</w:t>
            </w:r>
          </w:p>
        </w:tc>
      </w:tr>
      <w:tr w14:paraId="742AB66A">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4CAA53F0">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12</w:t>
            </w:r>
          </w:p>
        </w:tc>
        <w:tc>
          <w:tcPr>
            <w:tcW w:w="3980" w:type="dxa"/>
            <w:gridSpan w:val="2"/>
            <w:vAlign w:val="center"/>
          </w:tcPr>
          <w:p w14:paraId="0AE4801A">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碳黑含量</w:t>
            </w:r>
          </w:p>
        </w:tc>
        <w:tc>
          <w:tcPr>
            <w:tcW w:w="1520" w:type="dxa"/>
            <w:vAlign w:val="center"/>
          </w:tcPr>
          <w:p w14:paraId="79ED939B">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w:t>
            </w:r>
          </w:p>
        </w:tc>
        <w:tc>
          <w:tcPr>
            <w:tcW w:w="1520" w:type="dxa"/>
            <w:vAlign w:val="center"/>
          </w:tcPr>
          <w:p w14:paraId="2E78B091">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GB/T 13021</w:t>
            </w:r>
          </w:p>
        </w:tc>
        <w:tc>
          <w:tcPr>
            <w:tcW w:w="1998" w:type="dxa"/>
            <w:vAlign w:val="center"/>
          </w:tcPr>
          <w:p w14:paraId="6E5B50D0">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2.0-3.0</w:t>
            </w:r>
          </w:p>
        </w:tc>
      </w:tr>
      <w:tr w14:paraId="78E219C2">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7A35809E">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13</w:t>
            </w:r>
          </w:p>
        </w:tc>
        <w:tc>
          <w:tcPr>
            <w:tcW w:w="3980" w:type="dxa"/>
            <w:gridSpan w:val="2"/>
            <w:vAlign w:val="center"/>
          </w:tcPr>
          <w:p w14:paraId="250A810F">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碳黑分散性</w:t>
            </w:r>
          </w:p>
        </w:tc>
        <w:tc>
          <w:tcPr>
            <w:tcW w:w="5038" w:type="dxa"/>
            <w:gridSpan w:val="3"/>
            <w:vAlign w:val="center"/>
          </w:tcPr>
          <w:p w14:paraId="748A2E14">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10个数据中的3级的不多于1个，4级、5级不允许</w:t>
            </w:r>
          </w:p>
        </w:tc>
      </w:tr>
      <w:tr w14:paraId="597BC023">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Merge w:val="restart"/>
            <w:vAlign w:val="center"/>
          </w:tcPr>
          <w:p w14:paraId="68905DC2">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14</w:t>
            </w:r>
          </w:p>
        </w:tc>
        <w:tc>
          <w:tcPr>
            <w:tcW w:w="2140" w:type="dxa"/>
            <w:vMerge w:val="restart"/>
            <w:vAlign w:val="center"/>
          </w:tcPr>
          <w:p w14:paraId="1AEBE263">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氧化诱导时间（OIT)</w:t>
            </w:r>
          </w:p>
        </w:tc>
        <w:tc>
          <w:tcPr>
            <w:tcW w:w="1840" w:type="dxa"/>
            <w:vAlign w:val="center"/>
          </w:tcPr>
          <w:p w14:paraId="1A7CE872">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常压氧化诱导时间</w:t>
            </w:r>
          </w:p>
        </w:tc>
        <w:tc>
          <w:tcPr>
            <w:tcW w:w="1520" w:type="dxa"/>
            <w:vAlign w:val="center"/>
          </w:tcPr>
          <w:p w14:paraId="1A406104">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min</w:t>
            </w:r>
          </w:p>
        </w:tc>
        <w:tc>
          <w:tcPr>
            <w:tcW w:w="1520" w:type="dxa"/>
            <w:vAlign w:val="center"/>
          </w:tcPr>
          <w:p w14:paraId="6A210DF5">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GB/T 17391</w:t>
            </w:r>
          </w:p>
        </w:tc>
        <w:tc>
          <w:tcPr>
            <w:tcW w:w="1998" w:type="dxa"/>
            <w:vAlign w:val="center"/>
          </w:tcPr>
          <w:p w14:paraId="70FD14F9">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 100</w:t>
            </w:r>
          </w:p>
        </w:tc>
      </w:tr>
      <w:tr w14:paraId="0527A6D6">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Merge w:val="continue"/>
            <w:vAlign w:val="center"/>
          </w:tcPr>
          <w:p w14:paraId="49DECBF8">
            <w:pPr>
              <w:widowControl/>
              <w:jc w:val="left"/>
              <w:rPr>
                <w:rFonts w:hint="eastAsia" w:ascii="宋体" w:hAnsi="宋体" w:eastAsia="宋体" w:cs="宋体"/>
                <w:color w:val="000000"/>
                <w:kern w:val="0"/>
                <w:sz w:val="22"/>
              </w:rPr>
            </w:pPr>
          </w:p>
        </w:tc>
        <w:tc>
          <w:tcPr>
            <w:tcW w:w="2140" w:type="dxa"/>
            <w:vMerge w:val="continue"/>
            <w:vAlign w:val="center"/>
          </w:tcPr>
          <w:p w14:paraId="24E329A0">
            <w:pPr>
              <w:widowControl/>
              <w:jc w:val="left"/>
              <w:rPr>
                <w:rFonts w:hint="eastAsia" w:ascii="宋体" w:hAnsi="宋体" w:eastAsia="宋体" w:cs="宋体"/>
                <w:color w:val="000000"/>
                <w:kern w:val="0"/>
                <w:sz w:val="22"/>
              </w:rPr>
            </w:pPr>
          </w:p>
        </w:tc>
        <w:tc>
          <w:tcPr>
            <w:tcW w:w="1840" w:type="dxa"/>
            <w:vAlign w:val="center"/>
          </w:tcPr>
          <w:p w14:paraId="0606C6CC">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高压氧化诱导时间</w:t>
            </w:r>
          </w:p>
        </w:tc>
        <w:tc>
          <w:tcPr>
            <w:tcW w:w="1520" w:type="dxa"/>
            <w:vAlign w:val="center"/>
          </w:tcPr>
          <w:p w14:paraId="4BC441EF">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min</w:t>
            </w:r>
          </w:p>
        </w:tc>
        <w:tc>
          <w:tcPr>
            <w:tcW w:w="1520" w:type="dxa"/>
            <w:vAlign w:val="center"/>
          </w:tcPr>
          <w:p w14:paraId="52EA5C6A">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GB/T 17391</w:t>
            </w:r>
          </w:p>
        </w:tc>
        <w:tc>
          <w:tcPr>
            <w:tcW w:w="1998" w:type="dxa"/>
            <w:vAlign w:val="center"/>
          </w:tcPr>
          <w:p w14:paraId="0762E7BA">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≥400</w:t>
            </w:r>
          </w:p>
        </w:tc>
      </w:tr>
      <w:tr w14:paraId="357D2140">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6284F6D1">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15</w:t>
            </w:r>
          </w:p>
        </w:tc>
        <w:tc>
          <w:tcPr>
            <w:tcW w:w="3980" w:type="dxa"/>
            <w:gridSpan w:val="2"/>
            <w:vAlign w:val="center"/>
          </w:tcPr>
          <w:p w14:paraId="48C497B1">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85℃热老化（90d后常压OIT保留率）</w:t>
            </w:r>
          </w:p>
        </w:tc>
        <w:tc>
          <w:tcPr>
            <w:tcW w:w="1520" w:type="dxa"/>
            <w:vAlign w:val="center"/>
          </w:tcPr>
          <w:p w14:paraId="474C11D5">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w:t>
            </w:r>
          </w:p>
        </w:tc>
        <w:tc>
          <w:tcPr>
            <w:tcW w:w="1520" w:type="dxa"/>
            <w:vAlign w:val="center"/>
          </w:tcPr>
          <w:p w14:paraId="2580DBA9">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GB/T 7141</w:t>
            </w:r>
          </w:p>
        </w:tc>
        <w:tc>
          <w:tcPr>
            <w:tcW w:w="1998" w:type="dxa"/>
            <w:vAlign w:val="center"/>
          </w:tcPr>
          <w:p w14:paraId="6C85425D">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≥55</w:t>
            </w:r>
          </w:p>
        </w:tc>
      </w:tr>
      <w:tr w14:paraId="06D80445">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16CBA6C0">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16</w:t>
            </w:r>
          </w:p>
        </w:tc>
        <w:tc>
          <w:tcPr>
            <w:tcW w:w="3980" w:type="dxa"/>
            <w:gridSpan w:val="2"/>
            <w:vAlign w:val="center"/>
          </w:tcPr>
          <w:p w14:paraId="2A01ABC8">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抗紫外线（紫外线照射1600h后OIT保留率）</w:t>
            </w:r>
          </w:p>
        </w:tc>
        <w:tc>
          <w:tcPr>
            <w:tcW w:w="1520" w:type="dxa"/>
            <w:vAlign w:val="center"/>
          </w:tcPr>
          <w:p w14:paraId="61DDD166">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w:t>
            </w:r>
          </w:p>
        </w:tc>
        <w:tc>
          <w:tcPr>
            <w:tcW w:w="1520" w:type="dxa"/>
            <w:vAlign w:val="center"/>
          </w:tcPr>
          <w:p w14:paraId="671F612D">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GB/T 16422.3</w:t>
            </w:r>
          </w:p>
        </w:tc>
        <w:tc>
          <w:tcPr>
            <w:tcW w:w="1998" w:type="dxa"/>
            <w:vAlign w:val="center"/>
          </w:tcPr>
          <w:p w14:paraId="7FE56495">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≥50</w:t>
            </w:r>
          </w:p>
        </w:tc>
      </w:tr>
      <w:tr w14:paraId="524FB148">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65F46640">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17</w:t>
            </w:r>
          </w:p>
        </w:tc>
        <w:tc>
          <w:tcPr>
            <w:tcW w:w="3980" w:type="dxa"/>
            <w:gridSpan w:val="2"/>
            <w:vAlign w:val="center"/>
          </w:tcPr>
          <w:p w14:paraId="4F8D7D52">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尺寸稳定性（纵、横向）</w:t>
            </w:r>
          </w:p>
        </w:tc>
        <w:tc>
          <w:tcPr>
            <w:tcW w:w="1520" w:type="dxa"/>
            <w:vAlign w:val="center"/>
          </w:tcPr>
          <w:p w14:paraId="18DB13EE">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w:t>
            </w:r>
          </w:p>
        </w:tc>
        <w:tc>
          <w:tcPr>
            <w:tcW w:w="1520" w:type="dxa"/>
            <w:vAlign w:val="center"/>
          </w:tcPr>
          <w:p w14:paraId="2B69CF0E">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GB/T 12027</w:t>
            </w:r>
          </w:p>
        </w:tc>
        <w:tc>
          <w:tcPr>
            <w:tcW w:w="1998" w:type="dxa"/>
            <w:vAlign w:val="center"/>
          </w:tcPr>
          <w:p w14:paraId="51BB4B37">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±2</w:t>
            </w:r>
          </w:p>
        </w:tc>
      </w:tr>
      <w:tr w14:paraId="1BC9E6CB">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03FDB9EC">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18</w:t>
            </w:r>
          </w:p>
        </w:tc>
        <w:tc>
          <w:tcPr>
            <w:tcW w:w="3980" w:type="dxa"/>
            <w:gridSpan w:val="2"/>
            <w:vAlign w:val="center"/>
          </w:tcPr>
          <w:p w14:paraId="3A38BB6B">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-70℃低温冲击脆化性能</w:t>
            </w:r>
          </w:p>
        </w:tc>
        <w:tc>
          <w:tcPr>
            <w:tcW w:w="1520" w:type="dxa"/>
            <w:vAlign w:val="center"/>
          </w:tcPr>
          <w:p w14:paraId="3CE89E7E">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w:t>
            </w:r>
          </w:p>
        </w:tc>
        <w:tc>
          <w:tcPr>
            <w:tcW w:w="1520" w:type="dxa"/>
            <w:vAlign w:val="center"/>
          </w:tcPr>
          <w:p w14:paraId="0360C9F4">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GB/T 5470</w:t>
            </w:r>
          </w:p>
        </w:tc>
        <w:tc>
          <w:tcPr>
            <w:tcW w:w="1998" w:type="dxa"/>
            <w:vAlign w:val="center"/>
          </w:tcPr>
          <w:p w14:paraId="7984D9E0">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通过</w:t>
            </w:r>
          </w:p>
        </w:tc>
      </w:tr>
      <w:tr w14:paraId="324317A8">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80" w:type="dxa"/>
            <w:vAlign w:val="center"/>
          </w:tcPr>
          <w:p w14:paraId="589E5853">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19</w:t>
            </w:r>
          </w:p>
        </w:tc>
        <w:tc>
          <w:tcPr>
            <w:tcW w:w="3980" w:type="dxa"/>
            <w:gridSpan w:val="2"/>
            <w:vAlign w:val="center"/>
          </w:tcPr>
          <w:p w14:paraId="0DB4F22F">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水蒸气渗透系数</w:t>
            </w:r>
          </w:p>
        </w:tc>
        <w:tc>
          <w:tcPr>
            <w:tcW w:w="1520" w:type="dxa"/>
            <w:vAlign w:val="center"/>
          </w:tcPr>
          <w:p w14:paraId="02F622C1">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w:t>
            </w:r>
          </w:p>
        </w:tc>
        <w:tc>
          <w:tcPr>
            <w:tcW w:w="1520" w:type="dxa"/>
            <w:vAlign w:val="center"/>
          </w:tcPr>
          <w:p w14:paraId="33F110E7">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GB/T 1037</w:t>
            </w:r>
          </w:p>
        </w:tc>
        <w:tc>
          <w:tcPr>
            <w:tcW w:w="1998" w:type="dxa"/>
            <w:vAlign w:val="center"/>
          </w:tcPr>
          <w:p w14:paraId="615706B5">
            <w:pPr>
              <w:widowControl/>
              <w:jc w:val="center"/>
              <w:rPr>
                <w:rFonts w:hint="eastAsia" w:ascii="宋体" w:hAnsi="宋体" w:eastAsia="宋体" w:cs="宋体"/>
                <w:color w:val="000000"/>
                <w:kern w:val="0"/>
                <w:sz w:val="22"/>
              </w:rPr>
            </w:pPr>
            <w:r>
              <w:rPr>
                <w:rFonts w:hint="eastAsia" w:ascii="宋体" w:hAnsi="宋体" w:eastAsia="宋体" w:cs="宋体"/>
                <w:color w:val="000000"/>
                <w:kern w:val="0"/>
                <w:sz w:val="22"/>
              </w:rPr>
              <w:t>≤1.0X10-13</w:t>
            </w:r>
          </w:p>
        </w:tc>
      </w:tr>
    </w:tbl>
    <w:p w14:paraId="410B32B7">
      <w:pPr>
        <w:pStyle w:val="5"/>
        <w:spacing w:before="156" w:beforeLines="50"/>
      </w:pPr>
      <w:bookmarkStart w:id="26" w:name="_Toc174443600"/>
      <w:bookmarkStart w:id="27" w:name="_Toc172727066"/>
      <w:r>
        <w:rPr>
          <w:rFonts w:hint="eastAsia"/>
        </w:rPr>
        <w:t>7.2.5整体验收</w:t>
      </w:r>
      <w:bookmarkEnd w:id="26"/>
      <w:bookmarkEnd w:id="27"/>
    </w:p>
    <w:p w14:paraId="62C9468A">
      <w:pPr>
        <w:pStyle w:val="4"/>
        <w:ind w:firstLine="480"/>
      </w:pPr>
      <w:r>
        <w:rPr>
          <w:rFonts w:hint="eastAsia"/>
        </w:rPr>
        <w:t>库区清挖完成以及库底覆膜完成后，由建设单位组织各参建单位并邀请专家及相关部门开展整体验收，建议建设单位可委托专业单位编制相关验收材料协助开展验收工作。</w:t>
      </w:r>
    </w:p>
    <w:p w14:paraId="4691EC3B">
      <w:pPr>
        <w:pStyle w:val="4"/>
        <w:ind w:firstLine="480"/>
        <w:rPr>
          <w:color w:val="FF0000"/>
        </w:rPr>
      </w:pPr>
      <w:r>
        <w:rPr>
          <w:rFonts w:hint="eastAsia"/>
        </w:rPr>
        <w:t>飞灰与陈腐垃圾开挖完成并验收通过后，填埋场按业主后续规划进行使用，若还将作为填埋场或应急填埋使用，需对现填埋场水平防渗层破损点进行修复等，若作为其他用途按其他相关规定要去落实。</w:t>
      </w:r>
    </w:p>
    <w:p w14:paraId="447A8781">
      <w:pPr>
        <w:pStyle w:val="3"/>
      </w:pPr>
      <w:bookmarkStart w:id="28" w:name="_Toc174443601"/>
      <w:bookmarkStart w:id="29" w:name="_Toc172727067"/>
      <w:r>
        <w:rPr>
          <w:rFonts w:hint="eastAsia"/>
        </w:rPr>
        <w:t>7.3</w:t>
      </w:r>
      <w:r>
        <w:t>雨污分流设置</w:t>
      </w:r>
      <w:bookmarkEnd w:id="28"/>
      <w:bookmarkEnd w:id="29"/>
    </w:p>
    <w:p w14:paraId="3AB8ADF4">
      <w:pPr>
        <w:pStyle w:val="4"/>
        <w:ind w:firstLine="480"/>
      </w:pPr>
      <w:r>
        <w:rPr>
          <w:rFonts w:hint="eastAsia"/>
        </w:rPr>
        <w:t>经前期分析，本填埋场为2019年进行投运，现阶段各运行设施均处于良好的运行状态，其中雨污分流设施，地下水收集与监测系统，已填埋区域渗沥液收集与处理系统均处于正常运行状态。</w:t>
      </w:r>
    </w:p>
    <w:p w14:paraId="0F5C5BC3">
      <w:pPr>
        <w:pStyle w:val="4"/>
        <w:ind w:firstLine="480"/>
      </w:pPr>
      <w:r>
        <w:rPr>
          <w:rFonts w:hint="eastAsia"/>
        </w:rPr>
        <w:t>在开挖过程中潜在的水污染主要分为三类：自然降雨、地下水污染、垃圾堆体渗沥液。针对各种类型废水，采取对应措施，确保转运垃圾保持较低含水率，避免开挖过程中的二次污染及转运过程中的遗撒所导致的环境问题。</w:t>
      </w:r>
    </w:p>
    <w:p w14:paraId="78E0E306">
      <w:pPr>
        <w:pStyle w:val="4"/>
        <w:ind w:firstLine="480"/>
      </w:pPr>
      <w:r>
        <w:rPr>
          <w:rFonts w:hint="eastAsia"/>
        </w:rPr>
        <w:t>雨水导排及覆膜措施总体考虑如下：</w:t>
      </w:r>
    </w:p>
    <w:p w14:paraId="0AE0B21A">
      <w:pPr>
        <w:pStyle w:val="4"/>
        <w:ind w:firstLine="480"/>
      </w:pPr>
      <w:r>
        <w:rPr>
          <w:rFonts w:hint="eastAsia"/>
        </w:rPr>
        <w:t>垃圾挖掘过程中应做好雨污分流，确保各废水处理措施稳定运行。对非作业区域和每日挖掘作业完成后区域釆用HDPE膜进行临时覆盖，并对填埋场内已有截洪沟和导排系统进行疏通。开挖釆用缓坡、必要时采用抽提等措施将堆体范围内的雨水导出。下雨天尽量避免开挖，如需开挖，要在坑底设计集水坑并及时对汇集的雨水进行水泵抽排，防止雨水进入堆体形成渗滤液。</w:t>
      </w:r>
    </w:p>
    <w:p w14:paraId="62A06E25">
      <w:pPr>
        <w:pStyle w:val="4"/>
        <w:ind w:firstLine="480"/>
      </w:pPr>
      <w:r>
        <w:rPr>
          <w:rFonts w:hint="eastAsia"/>
        </w:rPr>
        <w:t>对于短驳道路区域的雨水导排，由于设置30度坡道，雨水可自流至底部陈腐垃圾表面的HDPE膜之上。对于短驳道路两边待开挖的陈腐垃圾堆体，应在堆体与短驳道路接壤处、使用现覆盖的HDPE膜设置围堰样式，以避免陈腐垃圾堆体顶部的雨水流入垃圾内部，同时可铺设碎石、防汛沙袋等，以尽可能避免短驳道路区域的雨水流入垃圾堆体中。对于短驳道路区域的雨污分流，应在每日施工结束后及时铺设HDPE膜等，从而尽量避免雨水通过短驳道路渗透进入陈腐垃圾填埋堆体内。</w:t>
      </w:r>
    </w:p>
    <w:p w14:paraId="2185B0D0">
      <w:pPr>
        <w:pStyle w:val="4"/>
        <w:ind w:firstLine="480"/>
      </w:pPr>
      <w:r>
        <w:rPr>
          <w:rFonts w:hint="eastAsia"/>
        </w:rPr>
        <w:t>自然降雨经集中收集后，进行水质指标检测，在确保水质达标后，利用现有雨污分流系统进行排放。</w:t>
      </w:r>
    </w:p>
    <w:p w14:paraId="193A04B8">
      <w:pPr>
        <w:pStyle w:val="4"/>
        <w:ind w:firstLine="480"/>
      </w:pPr>
      <w:r>
        <w:rPr>
          <w:rFonts w:hint="eastAsia"/>
        </w:rPr>
        <w:t>开挖区降雨防护：当开挖后及时覆盖，需将开挖部分做到中间高，两侧低，使得雨水可以自流至</w:t>
      </w:r>
      <w:r>
        <w:rPr>
          <w:rFonts w:hint="eastAsia" w:cs="Times New Roman"/>
        </w:rPr>
        <w:t>开挖区域</w:t>
      </w:r>
      <w:r>
        <w:rPr>
          <w:rFonts w:hint="eastAsia"/>
        </w:rPr>
        <w:t>周边的临时排水沟，雨水收集后排入坑底集水井，用潜水泵提升至雨水管渠，再通过雨排水系统排放；</w:t>
      </w:r>
    </w:p>
    <w:p w14:paraId="37F6E766">
      <w:pPr>
        <w:pStyle w:val="4"/>
        <w:ind w:firstLine="480"/>
      </w:pPr>
      <w:r>
        <w:rPr>
          <w:rFonts w:hint="eastAsia"/>
        </w:rPr>
        <w:t>未开挖区降雨防护：覆盖，雨水正常排水至锚固沟，再通过雨排水系统排放。</w:t>
      </w:r>
    </w:p>
    <w:p w14:paraId="160475F5">
      <w:pPr>
        <w:pStyle w:val="3"/>
      </w:pPr>
      <w:bookmarkStart w:id="30" w:name="_Toc172727068"/>
      <w:bookmarkStart w:id="31" w:name="_Toc174443602"/>
      <w:r>
        <w:rPr>
          <w:rFonts w:hint="eastAsia"/>
        </w:rPr>
        <w:t>7.4</w:t>
      </w:r>
      <w:r>
        <w:t>渗沥液导排与处理</w:t>
      </w:r>
      <w:bookmarkEnd w:id="30"/>
      <w:bookmarkEnd w:id="31"/>
    </w:p>
    <w:p w14:paraId="057B3E4F">
      <w:pPr>
        <w:pStyle w:val="4"/>
        <w:ind w:firstLine="480"/>
      </w:pPr>
      <w:r>
        <w:rPr>
          <w:rFonts w:hint="eastAsia"/>
        </w:rPr>
        <w:t>填埋场渗滤液主要来自两个方面：一是进入开挖作业区的自然降水渗入垃圾堆体内以及现有垃圾自然降解产生的渗滤液量，二是施工过程浓液的回喷。</w:t>
      </w:r>
    </w:p>
    <w:p w14:paraId="4B62059B">
      <w:pPr>
        <w:pStyle w:val="4"/>
        <w:ind w:firstLine="480"/>
      </w:pPr>
      <w:r>
        <w:rPr>
          <w:rFonts w:hint="eastAsia"/>
        </w:rPr>
        <w:t>本项目渗滤液通过填埋场的现状收集系统排入渗滤液调节池。施工过程浓液拟通过填埋场内现有的管道回流至生活垃圾堆体内部，考虑到施工过程会对现有回流管道进行破坏，可在现有管道可能破坏处中增设开关阀、止回阀等，并在末端连接软管，从而根据现场开挖与浓液产生情况，实时调整回流方式。</w:t>
      </w:r>
    </w:p>
    <w:p w14:paraId="78D620A8">
      <w:pPr>
        <w:pStyle w:val="4"/>
        <w:ind w:firstLine="480"/>
      </w:pPr>
      <w:r>
        <w:rPr>
          <w:rFonts w:hint="eastAsia"/>
        </w:rPr>
        <w:t>渗沥液处理系统目前运行稳定，其工艺流程为：渗沥液调节池--两级AO生化--超滤--反渗透+DTRO。现有渗沥液处理系统可以满足要求，因此本次开挖过程为确保渗沥液系统稳定运行，确保渗沥液处理达标。</w:t>
      </w:r>
    </w:p>
    <w:p w14:paraId="4D4521A0">
      <w:pPr>
        <w:pStyle w:val="4"/>
        <w:ind w:firstLine="480"/>
      </w:pPr>
      <w:r>
        <w:rPr>
          <w:rFonts w:hint="eastAsia"/>
        </w:rPr>
        <w:t>为保证渗沥液处置期间安全，渗沥液同时采取了备选措施，即在填埋垃圾挖运期间如渗沥液系统出现故障，可采用槽罐车短驳至就近具备渗沥液处置能力的处理站进行应急处置。</w:t>
      </w:r>
    </w:p>
    <w:p w14:paraId="735EBD55">
      <w:pPr>
        <w:pStyle w:val="3"/>
      </w:pPr>
      <w:bookmarkStart w:id="32" w:name="_Toc174443603"/>
      <w:bookmarkStart w:id="33" w:name="_Toc172727069"/>
      <w:r>
        <w:rPr>
          <w:rFonts w:hint="eastAsia"/>
        </w:rPr>
        <w:t>7.5</w:t>
      </w:r>
      <w:r>
        <w:t>开挖</w:t>
      </w:r>
      <w:r>
        <w:rPr>
          <w:rFonts w:hint="eastAsia"/>
        </w:rPr>
        <w:t>过程</w:t>
      </w:r>
      <w:r>
        <w:t>臭气控制</w:t>
      </w:r>
      <w:bookmarkEnd w:id="32"/>
      <w:bookmarkEnd w:id="33"/>
    </w:p>
    <w:p w14:paraId="22B7C013">
      <w:pPr>
        <w:pStyle w:val="4"/>
        <w:ind w:firstLine="480"/>
      </w:pPr>
      <w:r>
        <w:t>填埋场陈腐垃圾大部分还未完全降解稳定，因此在开挖过程中会产生大量臭气。填埋气体主要是由于微生物分解垃圾中的有机成分而产生的。填埋气体中主要污染物是CH</w:t>
      </w:r>
      <w:r>
        <w:rPr>
          <w:vertAlign w:val="subscript"/>
        </w:rPr>
        <w:t>4</w:t>
      </w:r>
      <w:r>
        <w:t>和CO</w:t>
      </w:r>
      <w:r>
        <w:rPr>
          <w:vertAlign w:val="subscript"/>
        </w:rPr>
        <w:t>2</w:t>
      </w:r>
      <w:r>
        <w:t>，约占填埋气体的95%～99%，另外还有H</w:t>
      </w:r>
      <w:r>
        <w:rPr>
          <w:vertAlign w:val="subscript"/>
        </w:rPr>
        <w:t>2</w:t>
      </w:r>
      <w:r>
        <w:t>S和NH</w:t>
      </w:r>
      <w:r>
        <w:rPr>
          <w:vertAlign w:val="subscript"/>
        </w:rPr>
        <w:t>3</w:t>
      </w:r>
      <w:r>
        <w:t>等有毒的恶臭物质，约占气体的0.2%～1.4%。</w:t>
      </w:r>
    </w:p>
    <w:p w14:paraId="653F2450">
      <w:pPr>
        <w:pStyle w:val="4"/>
        <w:ind w:firstLine="480"/>
      </w:pPr>
      <w:r>
        <w:t>本</w:t>
      </w:r>
      <w:r>
        <w:rPr>
          <w:rFonts w:hint="eastAsia"/>
        </w:rPr>
        <w:t>项目</w:t>
      </w:r>
      <w:r>
        <w:t>开挖过程中的臭气控制是污染控制的最主要的因素之一。应根据臭气的源头不同，采用不同的臭气控制方式。严格从控制作业面（每次开挖面积控制在500~1000m</w:t>
      </w:r>
      <w:r>
        <w:rPr>
          <w:vertAlign w:val="superscript"/>
        </w:rPr>
        <w:t>2</w:t>
      </w:r>
      <w:r>
        <w:t>，控制和减少臭气产量）、覆盖密闭（覆盖膜与边坡连接密闭、临时道路密封、井与膜密闭连接）、除臭液喷洒等方面进行管理。</w:t>
      </w:r>
      <w:r>
        <w:rPr>
          <w:rFonts w:hint="eastAsia"/>
        </w:rPr>
        <w:t>具体控制措施如下。</w:t>
      </w:r>
    </w:p>
    <w:p w14:paraId="32FB3DD5">
      <w:pPr>
        <w:pStyle w:val="4"/>
        <w:ind w:firstLine="480"/>
      </w:pPr>
      <w:r>
        <w:t>（</w:t>
      </w:r>
      <w:r>
        <w:rPr>
          <w:rFonts w:hint="eastAsia"/>
        </w:rPr>
        <w:t>1</w:t>
      </w:r>
      <w:r>
        <w:t>）气体检测分开挖作业前、开挖作业时的不同时段检测，并及时记录检测数据，经安全管理员确认达到作业标准后方可开挖作业。</w:t>
      </w:r>
    </w:p>
    <w:p w14:paraId="671FAFFA">
      <w:pPr>
        <w:pStyle w:val="4"/>
        <w:ind w:firstLine="480"/>
      </w:pPr>
      <w:r>
        <w:t>（</w:t>
      </w:r>
      <w:r>
        <w:rPr>
          <w:rFonts w:hint="eastAsia"/>
        </w:rPr>
        <w:t>2</w:t>
      </w:r>
      <w:r>
        <w:t>）气体检测内容为：甲烷浓度、氧气浓度、硫化氢浓度、二氧化碳浓度。</w:t>
      </w:r>
    </w:p>
    <w:p w14:paraId="39E99F4B">
      <w:pPr>
        <w:pStyle w:val="4"/>
        <w:ind w:firstLine="480"/>
        <w:rPr>
          <w:b/>
          <w:bCs/>
          <w:color w:val="000000"/>
        </w:rPr>
      </w:pPr>
      <w:r>
        <w:t>（</w:t>
      </w:r>
      <w:r>
        <w:rPr>
          <w:rFonts w:hint="eastAsia"/>
        </w:rPr>
        <w:t>3</w:t>
      </w:r>
      <w:r>
        <w:t>）作业区域气体安全值。</w:t>
      </w:r>
    </w:p>
    <w:p w14:paraId="7489D5F5">
      <w:pPr>
        <w:pStyle w:val="38"/>
        <w:spacing w:before="156"/>
      </w:pPr>
      <w:r>
        <w:rPr>
          <w:rFonts w:hint="eastAsia"/>
        </w:rPr>
        <w:t>表7.5-1  作业区域气体安全标准值</w:t>
      </w:r>
    </w:p>
    <w:tbl>
      <w:tblPr>
        <w:tblStyle w:val="48"/>
        <w:tblW w:w="8068" w:type="dxa"/>
        <w:jc w:val="center"/>
        <w:tblBorders>
          <w:top w:val="double" w:color="auto" w:sz="4" w:space="0"/>
          <w:left w:val="none" w:color="auto" w:sz="0" w:space="0"/>
          <w:bottom w:val="doub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19"/>
        <w:gridCol w:w="2977"/>
        <w:gridCol w:w="1562"/>
        <w:gridCol w:w="2410"/>
      </w:tblGrid>
      <w:tr w14:paraId="2E153CD7">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119" w:type="dxa"/>
            <w:vAlign w:val="center"/>
          </w:tcPr>
          <w:p w14:paraId="241D4793">
            <w:pPr>
              <w:pStyle w:val="61"/>
              <w:rPr>
                <w:b/>
                <w:bCs/>
              </w:rPr>
            </w:pPr>
            <w:r>
              <w:rPr>
                <w:b/>
                <w:bCs/>
              </w:rPr>
              <w:t>气体</w:t>
            </w:r>
          </w:p>
        </w:tc>
        <w:tc>
          <w:tcPr>
            <w:tcW w:w="2977" w:type="dxa"/>
            <w:vAlign w:val="center"/>
          </w:tcPr>
          <w:p w14:paraId="453B8BF5">
            <w:pPr>
              <w:pStyle w:val="61"/>
              <w:rPr>
                <w:b/>
                <w:bCs/>
              </w:rPr>
            </w:pPr>
            <w:r>
              <w:rPr>
                <w:b/>
                <w:bCs/>
              </w:rPr>
              <w:t>安全控制范</w:t>
            </w:r>
          </w:p>
        </w:tc>
        <w:tc>
          <w:tcPr>
            <w:tcW w:w="1562" w:type="dxa"/>
            <w:vAlign w:val="center"/>
          </w:tcPr>
          <w:p w14:paraId="0EF7BFE6">
            <w:pPr>
              <w:pStyle w:val="61"/>
              <w:rPr>
                <w:b/>
                <w:bCs/>
              </w:rPr>
            </w:pPr>
            <w:r>
              <w:rPr>
                <w:b/>
                <w:bCs/>
              </w:rPr>
              <w:t>主要危险属性</w:t>
            </w:r>
          </w:p>
        </w:tc>
        <w:tc>
          <w:tcPr>
            <w:tcW w:w="2410" w:type="dxa"/>
            <w:vAlign w:val="center"/>
          </w:tcPr>
          <w:p w14:paraId="13C215EE">
            <w:pPr>
              <w:pStyle w:val="61"/>
              <w:rPr>
                <w:b/>
                <w:bCs/>
              </w:rPr>
            </w:pPr>
            <w:r>
              <w:rPr>
                <w:b/>
                <w:bCs/>
              </w:rPr>
              <w:t>备注</w:t>
            </w:r>
          </w:p>
        </w:tc>
      </w:tr>
      <w:tr w14:paraId="3AE62BF4">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1119" w:type="dxa"/>
            <w:vAlign w:val="center"/>
          </w:tcPr>
          <w:p w14:paraId="554A5BD6">
            <w:pPr>
              <w:pStyle w:val="61"/>
            </w:pPr>
            <w:r>
              <w:t>氧气</w:t>
            </w:r>
          </w:p>
        </w:tc>
        <w:tc>
          <w:tcPr>
            <w:tcW w:w="2977" w:type="dxa"/>
            <w:vAlign w:val="center"/>
          </w:tcPr>
          <w:p w14:paraId="6F7D5BD8">
            <w:pPr>
              <w:pStyle w:val="61"/>
            </w:pPr>
            <w:r>
              <w:t>15％—23.5％</w:t>
            </w:r>
          </w:p>
        </w:tc>
        <w:tc>
          <w:tcPr>
            <w:tcW w:w="1562" w:type="dxa"/>
            <w:vAlign w:val="center"/>
          </w:tcPr>
          <w:p w14:paraId="2F9CD3D8">
            <w:pPr>
              <w:pStyle w:val="61"/>
            </w:pPr>
            <w:r>
              <w:t>缺氧、窒息</w:t>
            </w:r>
          </w:p>
        </w:tc>
        <w:tc>
          <w:tcPr>
            <w:tcW w:w="2410" w:type="dxa"/>
            <w:vAlign w:val="center"/>
          </w:tcPr>
          <w:p w14:paraId="055EB95A">
            <w:pPr>
              <w:pStyle w:val="61"/>
            </w:pPr>
          </w:p>
        </w:tc>
      </w:tr>
      <w:tr w14:paraId="62BDAF47">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76" w:hRule="atLeast"/>
          <w:jc w:val="center"/>
        </w:trPr>
        <w:tc>
          <w:tcPr>
            <w:tcW w:w="1119" w:type="dxa"/>
            <w:vAlign w:val="center"/>
          </w:tcPr>
          <w:p w14:paraId="582B6202">
            <w:pPr>
              <w:pStyle w:val="61"/>
            </w:pPr>
            <w:r>
              <w:t>二氧化碳</w:t>
            </w:r>
          </w:p>
        </w:tc>
        <w:tc>
          <w:tcPr>
            <w:tcW w:w="2977" w:type="dxa"/>
            <w:vAlign w:val="center"/>
          </w:tcPr>
          <w:p w14:paraId="3A68D86A">
            <w:pPr>
              <w:pStyle w:val="61"/>
              <w:rPr>
                <w:vertAlign w:val="superscript"/>
              </w:rPr>
            </w:pPr>
            <w:r>
              <w:t>加权平均值9000mg/m</w:t>
            </w:r>
            <w:r>
              <w:rPr>
                <w:vertAlign w:val="superscript"/>
              </w:rPr>
              <w:t>3</w:t>
            </w:r>
          </w:p>
          <w:p w14:paraId="4161D822">
            <w:pPr>
              <w:pStyle w:val="61"/>
            </w:pPr>
            <w:r>
              <w:t>短时接触值18000mg/m</w:t>
            </w:r>
            <w:r>
              <w:rPr>
                <w:vertAlign w:val="superscript"/>
              </w:rPr>
              <w:t>3</w:t>
            </w:r>
          </w:p>
        </w:tc>
        <w:tc>
          <w:tcPr>
            <w:tcW w:w="1562" w:type="dxa"/>
            <w:vAlign w:val="center"/>
          </w:tcPr>
          <w:p w14:paraId="5F40E8B7">
            <w:pPr>
              <w:pStyle w:val="61"/>
            </w:pPr>
            <w:r>
              <w:t>窒息</w:t>
            </w:r>
          </w:p>
        </w:tc>
        <w:tc>
          <w:tcPr>
            <w:tcW w:w="2410" w:type="dxa"/>
            <w:vAlign w:val="center"/>
          </w:tcPr>
          <w:p w14:paraId="5673E56D">
            <w:pPr>
              <w:pStyle w:val="61"/>
            </w:pPr>
            <w:r>
              <w:t>体积百分比约0.5％</w:t>
            </w:r>
          </w:p>
          <w:p w14:paraId="50FBB889">
            <w:pPr>
              <w:pStyle w:val="61"/>
            </w:pPr>
            <w:r>
              <w:t>体积百分比约1％</w:t>
            </w:r>
          </w:p>
        </w:tc>
      </w:tr>
      <w:tr w14:paraId="76A9D902">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19" w:type="dxa"/>
            <w:vAlign w:val="center"/>
          </w:tcPr>
          <w:p w14:paraId="60EDC251">
            <w:pPr>
              <w:pStyle w:val="61"/>
            </w:pPr>
            <w:r>
              <w:t>甲烷</w:t>
            </w:r>
          </w:p>
        </w:tc>
        <w:tc>
          <w:tcPr>
            <w:tcW w:w="2977" w:type="dxa"/>
            <w:vAlign w:val="center"/>
          </w:tcPr>
          <w:p w14:paraId="2A6EEAF0">
            <w:pPr>
              <w:pStyle w:val="61"/>
            </w:pPr>
            <w:r>
              <w:t>体积百分比控制在0.5％以下＜50ppm</w:t>
            </w:r>
          </w:p>
        </w:tc>
        <w:tc>
          <w:tcPr>
            <w:tcW w:w="1562" w:type="dxa"/>
            <w:vAlign w:val="center"/>
          </w:tcPr>
          <w:p w14:paraId="5CE5A46A">
            <w:pPr>
              <w:pStyle w:val="61"/>
            </w:pPr>
            <w:r>
              <w:t>燃烧爆炸</w:t>
            </w:r>
          </w:p>
          <w:p w14:paraId="3FE3A4E8">
            <w:pPr>
              <w:pStyle w:val="61"/>
            </w:pPr>
            <w:r>
              <w:t>中毒、窒息</w:t>
            </w:r>
          </w:p>
        </w:tc>
        <w:tc>
          <w:tcPr>
            <w:tcW w:w="2410" w:type="dxa"/>
            <w:vAlign w:val="center"/>
          </w:tcPr>
          <w:p w14:paraId="42892501">
            <w:pPr>
              <w:pStyle w:val="61"/>
            </w:pPr>
            <w:r>
              <w:t>爆炸极限:5.3％~15％</w:t>
            </w:r>
          </w:p>
        </w:tc>
      </w:tr>
      <w:tr w14:paraId="6E076DAE">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119" w:type="dxa"/>
            <w:vAlign w:val="center"/>
          </w:tcPr>
          <w:p w14:paraId="0121FCE7">
            <w:pPr>
              <w:pStyle w:val="61"/>
            </w:pPr>
            <w:r>
              <w:t>硫化氢</w:t>
            </w:r>
          </w:p>
        </w:tc>
        <w:tc>
          <w:tcPr>
            <w:tcW w:w="2977" w:type="dxa"/>
            <w:vAlign w:val="center"/>
          </w:tcPr>
          <w:p w14:paraId="1E5176FB">
            <w:pPr>
              <w:pStyle w:val="61"/>
            </w:pPr>
            <w:r>
              <w:t>体积百分比控制在0.5％以下</w:t>
            </w:r>
          </w:p>
        </w:tc>
        <w:tc>
          <w:tcPr>
            <w:tcW w:w="1562" w:type="dxa"/>
            <w:vAlign w:val="center"/>
          </w:tcPr>
          <w:p w14:paraId="53F7BDD8">
            <w:pPr>
              <w:pStyle w:val="61"/>
            </w:pPr>
            <w:r>
              <w:t>燃烧爆炸</w:t>
            </w:r>
          </w:p>
        </w:tc>
        <w:tc>
          <w:tcPr>
            <w:tcW w:w="2410" w:type="dxa"/>
            <w:vAlign w:val="center"/>
          </w:tcPr>
          <w:p w14:paraId="7777D866">
            <w:pPr>
              <w:pStyle w:val="61"/>
            </w:pPr>
            <w:r>
              <w:t>爆炸极限:4.3％~45.5％</w:t>
            </w:r>
          </w:p>
        </w:tc>
      </w:tr>
    </w:tbl>
    <w:p w14:paraId="50699DCB">
      <w:pPr>
        <w:pStyle w:val="38"/>
        <w:spacing w:before="156"/>
      </w:pPr>
      <w:r>
        <w:rPr>
          <w:rFonts w:hint="eastAsia"/>
        </w:rPr>
        <w:t>表7.5-2  硫化氢气体浓度及对应作业措施</w:t>
      </w:r>
    </w:p>
    <w:tbl>
      <w:tblPr>
        <w:tblStyle w:val="48"/>
        <w:tblW w:w="8213" w:type="dxa"/>
        <w:jc w:val="center"/>
        <w:tblBorders>
          <w:top w:val="double" w:color="auto" w:sz="4" w:space="0"/>
          <w:left w:val="none" w:color="auto" w:sz="0" w:space="0"/>
          <w:bottom w:val="doub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45"/>
        <w:gridCol w:w="1565"/>
        <w:gridCol w:w="2127"/>
        <w:gridCol w:w="2976"/>
      </w:tblGrid>
      <w:tr w14:paraId="2D31219E">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545" w:type="dxa"/>
            <w:vAlign w:val="center"/>
          </w:tcPr>
          <w:p w14:paraId="47DE35AB">
            <w:pPr>
              <w:pStyle w:val="61"/>
              <w:rPr>
                <w:b/>
                <w:bCs/>
              </w:rPr>
            </w:pPr>
            <w:r>
              <w:rPr>
                <w:b/>
                <w:bCs/>
              </w:rPr>
              <w:t>浓度级别</w:t>
            </w:r>
          </w:p>
        </w:tc>
        <w:tc>
          <w:tcPr>
            <w:tcW w:w="1565" w:type="dxa"/>
            <w:vAlign w:val="center"/>
          </w:tcPr>
          <w:p w14:paraId="2BBDC3B8">
            <w:pPr>
              <w:pStyle w:val="61"/>
              <w:rPr>
                <w:b/>
                <w:bCs/>
              </w:rPr>
            </w:pPr>
            <w:r>
              <w:rPr>
                <w:b/>
                <w:bCs/>
              </w:rPr>
              <w:t>是否允许操作</w:t>
            </w:r>
          </w:p>
        </w:tc>
        <w:tc>
          <w:tcPr>
            <w:tcW w:w="2127" w:type="dxa"/>
            <w:vAlign w:val="center"/>
          </w:tcPr>
          <w:p w14:paraId="1BD3941D">
            <w:pPr>
              <w:pStyle w:val="61"/>
              <w:rPr>
                <w:b/>
                <w:bCs/>
              </w:rPr>
            </w:pPr>
            <w:r>
              <w:rPr>
                <w:b/>
                <w:bCs/>
              </w:rPr>
              <w:t>需采取的措施</w:t>
            </w:r>
          </w:p>
        </w:tc>
        <w:tc>
          <w:tcPr>
            <w:tcW w:w="2976" w:type="dxa"/>
            <w:vAlign w:val="center"/>
          </w:tcPr>
          <w:p w14:paraId="2BC9EC8D">
            <w:pPr>
              <w:pStyle w:val="61"/>
              <w:rPr>
                <w:b/>
                <w:bCs/>
              </w:rPr>
            </w:pPr>
            <w:r>
              <w:rPr>
                <w:b/>
                <w:bCs/>
              </w:rPr>
              <w:t>备注</w:t>
            </w:r>
          </w:p>
        </w:tc>
      </w:tr>
      <w:tr w14:paraId="7559610E">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545" w:type="dxa"/>
            <w:vAlign w:val="center"/>
          </w:tcPr>
          <w:p w14:paraId="5FA458D7">
            <w:pPr>
              <w:pStyle w:val="61"/>
            </w:pPr>
            <w:r>
              <w:t>＜10mg/m</w:t>
            </w:r>
            <w:r>
              <w:rPr>
                <w:vertAlign w:val="superscript"/>
              </w:rPr>
              <w:t>3</w:t>
            </w:r>
          </w:p>
        </w:tc>
        <w:tc>
          <w:tcPr>
            <w:tcW w:w="1565" w:type="dxa"/>
            <w:vAlign w:val="center"/>
          </w:tcPr>
          <w:p w14:paraId="4D7983F4">
            <w:pPr>
              <w:pStyle w:val="61"/>
            </w:pPr>
            <w:r>
              <w:t>可作业</w:t>
            </w:r>
          </w:p>
        </w:tc>
        <w:tc>
          <w:tcPr>
            <w:tcW w:w="2127" w:type="dxa"/>
            <w:vAlign w:val="center"/>
          </w:tcPr>
          <w:p w14:paraId="56AC2A3C">
            <w:pPr>
              <w:pStyle w:val="61"/>
            </w:pPr>
            <w:r>
              <w:t>可不采取</w:t>
            </w:r>
          </w:p>
        </w:tc>
        <w:tc>
          <w:tcPr>
            <w:tcW w:w="2976" w:type="dxa"/>
            <w:vAlign w:val="center"/>
          </w:tcPr>
          <w:p w14:paraId="2D0458E5">
            <w:pPr>
              <w:pStyle w:val="61"/>
            </w:pPr>
          </w:p>
        </w:tc>
      </w:tr>
      <w:tr w14:paraId="79BFE1B6">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45" w:type="dxa"/>
            <w:vAlign w:val="center"/>
          </w:tcPr>
          <w:p w14:paraId="30171298">
            <w:pPr>
              <w:pStyle w:val="61"/>
            </w:pPr>
            <w:r>
              <w:t>10~70mg/m</w:t>
            </w:r>
            <w:r>
              <w:rPr>
                <w:vertAlign w:val="superscript"/>
              </w:rPr>
              <w:t>3</w:t>
            </w:r>
          </w:p>
        </w:tc>
        <w:tc>
          <w:tcPr>
            <w:tcW w:w="1565" w:type="dxa"/>
            <w:vAlign w:val="center"/>
          </w:tcPr>
          <w:p w14:paraId="3DA191F2">
            <w:pPr>
              <w:pStyle w:val="61"/>
            </w:pPr>
            <w:r>
              <w:t>可作业</w:t>
            </w:r>
          </w:p>
        </w:tc>
        <w:tc>
          <w:tcPr>
            <w:tcW w:w="2127" w:type="dxa"/>
            <w:vAlign w:val="center"/>
          </w:tcPr>
          <w:p w14:paraId="27583813">
            <w:pPr>
              <w:pStyle w:val="61"/>
            </w:pPr>
            <w:r>
              <w:t>必须佩戴空气呼吸器</w:t>
            </w:r>
          </w:p>
        </w:tc>
        <w:tc>
          <w:tcPr>
            <w:tcW w:w="2976" w:type="dxa"/>
            <w:vAlign w:val="center"/>
          </w:tcPr>
          <w:p w14:paraId="616D816B">
            <w:pPr>
              <w:pStyle w:val="61"/>
            </w:pPr>
            <w:r>
              <w:t>单次作业时间不得超过1小时</w:t>
            </w:r>
          </w:p>
        </w:tc>
      </w:tr>
      <w:tr w14:paraId="153E3BED">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8" w:hRule="atLeast"/>
          <w:jc w:val="center"/>
        </w:trPr>
        <w:tc>
          <w:tcPr>
            <w:tcW w:w="1545" w:type="dxa"/>
            <w:vAlign w:val="center"/>
          </w:tcPr>
          <w:p w14:paraId="11E343BC">
            <w:pPr>
              <w:pStyle w:val="61"/>
            </w:pPr>
            <w:r>
              <w:t>＞70mg/m</w:t>
            </w:r>
            <w:r>
              <w:rPr>
                <w:vertAlign w:val="superscript"/>
              </w:rPr>
              <w:t>3</w:t>
            </w:r>
            <w:r>
              <w:t>（或50ppm）</w:t>
            </w:r>
          </w:p>
        </w:tc>
        <w:tc>
          <w:tcPr>
            <w:tcW w:w="1565" w:type="dxa"/>
            <w:vAlign w:val="center"/>
          </w:tcPr>
          <w:p w14:paraId="35428211">
            <w:pPr>
              <w:pStyle w:val="61"/>
            </w:pPr>
            <w:r>
              <w:t>严禁作业</w:t>
            </w:r>
          </w:p>
        </w:tc>
        <w:tc>
          <w:tcPr>
            <w:tcW w:w="2127" w:type="dxa"/>
            <w:vAlign w:val="center"/>
          </w:tcPr>
          <w:p w14:paraId="20F7ECF7">
            <w:pPr>
              <w:pStyle w:val="61"/>
            </w:pPr>
            <w:r>
              <w:t>必须采取措施，稀释降低气体浓度</w:t>
            </w:r>
          </w:p>
        </w:tc>
        <w:tc>
          <w:tcPr>
            <w:tcW w:w="2976" w:type="dxa"/>
            <w:vAlign w:val="center"/>
          </w:tcPr>
          <w:p w14:paraId="31714133">
            <w:pPr>
              <w:pStyle w:val="61"/>
            </w:pPr>
          </w:p>
        </w:tc>
      </w:tr>
    </w:tbl>
    <w:p w14:paraId="6AEA0A2E">
      <w:pPr>
        <w:pStyle w:val="4"/>
        <w:spacing w:before="156" w:beforeLines="50"/>
        <w:ind w:firstLine="480"/>
      </w:pPr>
      <w:r>
        <w:t>（</w:t>
      </w:r>
      <w:r>
        <w:rPr>
          <w:rFonts w:hint="eastAsia"/>
        </w:rPr>
        <w:t>4</w:t>
      </w:r>
      <w:r>
        <w:t>）每日开挖作业开始时间不早于6:00，确保在能见度较高的情况下开始实施揭膜工作。揭膜开始前必须向项目经理报告。</w:t>
      </w:r>
    </w:p>
    <w:p w14:paraId="3AC8F034">
      <w:pPr>
        <w:pStyle w:val="4"/>
        <w:ind w:firstLine="480"/>
      </w:pPr>
      <w:r>
        <w:t>（</w:t>
      </w:r>
      <w:r>
        <w:rPr>
          <w:rFonts w:hint="eastAsia"/>
        </w:rPr>
        <w:t>5</w:t>
      </w:r>
      <w:r>
        <w:t>）揭膜人员劳保用品戴整齐按规定穿戴安全帽、工作服、口罩、工作鞋等劳保用品。</w:t>
      </w:r>
    </w:p>
    <w:p w14:paraId="5022AC4F">
      <w:pPr>
        <w:pStyle w:val="4"/>
        <w:ind w:firstLine="480"/>
      </w:pPr>
      <w:r>
        <w:t>（</w:t>
      </w:r>
      <w:r>
        <w:rPr>
          <w:rFonts w:hint="eastAsia"/>
        </w:rPr>
        <w:t>6</w:t>
      </w:r>
      <w:r>
        <w:t>）揭膜过程至少要有3名作业人员同时在场。</w:t>
      </w:r>
    </w:p>
    <w:p w14:paraId="15711201">
      <w:pPr>
        <w:pStyle w:val="4"/>
        <w:ind w:firstLine="480"/>
      </w:pPr>
      <w:r>
        <w:t>（</w:t>
      </w:r>
      <w:r>
        <w:rPr>
          <w:rFonts w:hint="eastAsia"/>
        </w:rPr>
        <w:t>7</w:t>
      </w:r>
      <w:r>
        <w:t>）开挖过程中避免形成特别低洼处，防止局部区域出现空气流通不畅的情况。</w:t>
      </w:r>
    </w:p>
    <w:p w14:paraId="62A9E489">
      <w:pPr>
        <w:pStyle w:val="4"/>
        <w:ind w:firstLine="480"/>
      </w:pPr>
      <w:r>
        <w:t>（</w:t>
      </w:r>
      <w:r>
        <w:rPr>
          <w:rFonts w:hint="eastAsia"/>
        </w:rPr>
        <w:t>8</w:t>
      </w:r>
      <w:r>
        <w:t>）揭膜后，经检测发现现场</w:t>
      </w:r>
      <w:r>
        <w:rPr>
          <w:rFonts w:hint="eastAsia"/>
        </w:rPr>
        <w:t>硫化氢、甲烷</w:t>
      </w:r>
      <w:r>
        <w:t>浓度过高时，应暂时停止进行下一步工作。等到检测指标合格后方可开始开挖作业。必要时应采取主动通风措施，加强空气流通。</w:t>
      </w:r>
    </w:p>
    <w:p w14:paraId="5FD153E1">
      <w:pPr>
        <w:pStyle w:val="4"/>
        <w:ind w:firstLine="480"/>
      </w:pPr>
      <w:r>
        <w:t>（</w:t>
      </w:r>
      <w:r>
        <w:rPr>
          <w:rFonts w:hint="eastAsia"/>
        </w:rPr>
        <w:t>9</w:t>
      </w:r>
      <w:r>
        <w:t>）开挖作业期间，继续采用泵吸式气体检测仪定时对作业区域进行监测。每天监测次数不少于3次。</w:t>
      </w:r>
    </w:p>
    <w:p w14:paraId="437D46DB">
      <w:pPr>
        <w:pStyle w:val="3"/>
      </w:pPr>
      <w:bookmarkStart w:id="34" w:name="_Toc172727070"/>
      <w:bookmarkStart w:id="35" w:name="_Toc174443604"/>
      <w:r>
        <w:rPr>
          <w:rFonts w:hint="eastAsia"/>
        </w:rPr>
        <w:t>7.6</w:t>
      </w:r>
      <w:r>
        <w:t>垃圾堆体开挖稳定性分析</w:t>
      </w:r>
      <w:bookmarkEnd w:id="34"/>
      <w:bookmarkEnd w:id="35"/>
    </w:p>
    <w:p w14:paraId="01188D61">
      <w:pPr>
        <w:pStyle w:val="4"/>
        <w:ind w:firstLine="480"/>
      </w:pPr>
      <w:r>
        <w:rPr>
          <w:rFonts w:hint="eastAsia"/>
        </w:rPr>
        <w:t>根据勘察报告，本填埋场主要由生活垃圾及固化飞灰等填筑而成；故从目前勘查区现状来看，整个勘查区不存在严格意义上的危险边坡区域，整个勘查区边坡相对较为稳定。但考虑到后期开挖处置过程中，可能会在开挖施工过程形成边坡；因此也不能忽视潜在的风险，须对开挖边坡的坡比进行严格控制。开挖过程边坡护理要点如下：</w:t>
      </w:r>
    </w:p>
    <w:p w14:paraId="625C7268">
      <w:pPr>
        <w:pStyle w:val="4"/>
        <w:ind w:firstLine="480"/>
      </w:pPr>
      <w:r>
        <w:rPr>
          <w:rFonts w:hint="eastAsia"/>
        </w:rPr>
        <w:t>1）要做到有序分区分层开挖，结合每日挖运量，单个开挖面积控制在1000m</w:t>
      </w:r>
      <w:r>
        <w:rPr>
          <w:rFonts w:hint="eastAsia"/>
          <w:vertAlign w:val="superscript"/>
        </w:rPr>
        <w:t>2</w:t>
      </w:r>
      <w:r>
        <w:rPr>
          <w:rFonts w:hint="eastAsia"/>
        </w:rPr>
        <w:t>以下，每层开挖面控制在4m以下，可根据实际地形调整。开挖应自上而下分层实施，严禁随意开挖坡脚；</w:t>
      </w:r>
    </w:p>
    <w:p w14:paraId="14920917">
      <w:pPr>
        <w:pStyle w:val="4"/>
        <w:ind w:firstLine="480"/>
      </w:pPr>
      <w:r>
        <w:rPr>
          <w:rFonts w:hint="eastAsia"/>
        </w:rPr>
        <w:t>2）开挖过程中要合理放坡，做好支护工作；</w:t>
      </w:r>
    </w:p>
    <w:p w14:paraId="7365F8EF">
      <w:pPr>
        <w:pStyle w:val="4"/>
        <w:ind w:firstLine="480"/>
      </w:pPr>
      <w:r>
        <w:rPr>
          <w:rFonts w:hint="eastAsia"/>
        </w:rPr>
        <w:t>3）开挖前先确定开挖深度，明确生活垃圾成份，确定地下水位；</w:t>
      </w:r>
    </w:p>
    <w:p w14:paraId="361B9D2D">
      <w:pPr>
        <w:pStyle w:val="4"/>
        <w:ind w:firstLine="480"/>
      </w:pPr>
      <w:r>
        <w:rPr>
          <w:rFonts w:hint="eastAsia"/>
        </w:rPr>
        <w:t>4）边坡开挖施工阶段不利工况稳定性不能满足要求时，应采取相应的处理或加固措施，严禁无序大开挖作业；</w:t>
      </w:r>
    </w:p>
    <w:p w14:paraId="08153D4F">
      <w:pPr>
        <w:pStyle w:val="4"/>
        <w:ind w:firstLine="480"/>
      </w:pPr>
      <w:r>
        <w:rPr>
          <w:rFonts w:hint="eastAsia"/>
        </w:rPr>
        <w:t>5）根据情况制定降水、排水措施；施工过程保护好导排气管道，雨污水收集管道，开挖至侧壁及底部时严格控制开挖幅度，避免破坏基底；</w:t>
      </w:r>
    </w:p>
    <w:p w14:paraId="43E12E01">
      <w:pPr>
        <w:pStyle w:val="4"/>
        <w:ind w:firstLine="480"/>
      </w:pPr>
      <w:r>
        <w:rPr>
          <w:rFonts w:hint="eastAsia"/>
        </w:rPr>
        <w:t>6）开挖作业采取机械开挖，作业坑按1:1.5比例放坡，根据坑的深度计算上口位置，以</w:t>
      </w:r>
      <w:r>
        <w:rPr>
          <w:rFonts w:hint="eastAsia" w:cs="Times New Roman"/>
        </w:rPr>
        <w:t>开挖区域</w:t>
      </w:r>
      <w:r>
        <w:rPr>
          <w:rFonts w:hint="eastAsia"/>
        </w:rPr>
        <w:t>为中心向三面挖掘生活垃圾,一面预留30度坡道，供挖掘机行走；</w:t>
      </w:r>
    </w:p>
    <w:p w14:paraId="2595BEFB">
      <w:pPr>
        <w:pStyle w:val="4"/>
        <w:ind w:firstLine="480"/>
      </w:pPr>
      <w:r>
        <w:rPr>
          <w:rFonts w:hint="eastAsia"/>
        </w:rPr>
        <w:t>7）当挖掘到一定深度时，修建12x6m的工作平台，供挖掘机回转大臂、行走用场地。挖掘机在此平台上进一步下挖，并控制每层开挖深度不超过4m；</w:t>
      </w:r>
    </w:p>
    <w:p w14:paraId="50ECC2DD">
      <w:pPr>
        <w:pStyle w:val="4"/>
        <w:ind w:firstLine="480"/>
      </w:pPr>
      <w:r>
        <w:rPr>
          <w:rFonts w:hint="eastAsia"/>
        </w:rPr>
        <w:t>8）</w:t>
      </w:r>
      <w:r>
        <w:rPr>
          <w:rFonts w:hint="eastAsia" w:cs="Times New Roman"/>
        </w:rPr>
        <w:t>开挖区域</w:t>
      </w:r>
      <w:r>
        <w:rPr>
          <w:rFonts w:hint="eastAsia"/>
        </w:rPr>
        <w:t>侧壁防护：侧壁小型机械结合人工清理，避免边坡损坏；边坡损坏情况下上报监理单位，采取保护或重新焊接覆膜保护。</w:t>
      </w:r>
    </w:p>
    <w:p w14:paraId="64377E58">
      <w:pPr>
        <w:pStyle w:val="4"/>
        <w:ind w:firstLine="480"/>
      </w:pPr>
      <w:r>
        <w:rPr>
          <w:rFonts w:hint="eastAsia"/>
        </w:rPr>
        <w:t>9）为确保垃圾堆体开挖过程的稳定性，应及时收集、反馈和分析周围环境要素在施工中的变形信息。结合本工程周围环境特点，在基坑实施的过程中，可设置以下方面的监测内容：</w:t>
      </w:r>
    </w:p>
    <w:p w14:paraId="2F5A856F">
      <w:pPr>
        <w:pStyle w:val="4"/>
        <w:ind w:firstLine="480"/>
      </w:pPr>
      <w:r>
        <w:rPr>
          <w:rFonts w:hint="eastAsia"/>
        </w:rPr>
        <w:t>A、邻近地下管线水平位移与沉降；</w:t>
      </w:r>
    </w:p>
    <w:p w14:paraId="1275B0B8">
      <w:pPr>
        <w:pStyle w:val="4"/>
        <w:ind w:firstLine="480"/>
      </w:pPr>
      <w:r>
        <w:rPr>
          <w:rFonts w:hint="eastAsia"/>
        </w:rPr>
        <w:t>B、周边道路路面沉降；</w:t>
      </w:r>
    </w:p>
    <w:p w14:paraId="1527CD41">
      <w:pPr>
        <w:pStyle w:val="4"/>
        <w:ind w:firstLine="480"/>
      </w:pPr>
      <w:r>
        <w:rPr>
          <w:rFonts w:hint="eastAsia"/>
        </w:rPr>
        <w:t>C、坑外地下水位；</w:t>
      </w:r>
    </w:p>
    <w:p w14:paraId="0C6330C1">
      <w:pPr>
        <w:pStyle w:val="4"/>
        <w:ind w:firstLine="480"/>
      </w:pPr>
      <w:r>
        <w:rPr>
          <w:rFonts w:hint="eastAsia"/>
        </w:rPr>
        <w:t>D、填埋坑周界沉降监测；</w:t>
      </w:r>
    </w:p>
    <w:p w14:paraId="643E7018">
      <w:pPr>
        <w:pStyle w:val="4"/>
        <w:ind w:firstLine="480"/>
      </w:pPr>
    </w:p>
    <w:p w14:paraId="33E2591A">
      <w:pPr>
        <w:pStyle w:val="3"/>
      </w:pPr>
      <w:bookmarkStart w:id="36" w:name="_Toc172727071"/>
      <w:bookmarkStart w:id="37" w:name="_Toc174443605"/>
      <w:r>
        <w:rPr>
          <w:rFonts w:hint="eastAsia"/>
        </w:rPr>
        <w:t>7.7</w:t>
      </w:r>
      <w:r>
        <w:t>固废称量</w:t>
      </w:r>
      <w:bookmarkEnd w:id="36"/>
      <w:bookmarkEnd w:id="37"/>
    </w:p>
    <w:p w14:paraId="330288E9">
      <w:pPr>
        <w:pStyle w:val="4"/>
        <w:ind w:firstLine="480"/>
      </w:pPr>
      <w:r>
        <w:t>垃圾开挖后需</w:t>
      </w:r>
      <w:r>
        <w:rPr>
          <w:rFonts w:hint="eastAsia"/>
        </w:rPr>
        <w:t>过磅计量后出场</w:t>
      </w:r>
      <w:r>
        <w:t>具体步骤如下：</w:t>
      </w:r>
    </w:p>
    <w:p w14:paraId="57D72A00">
      <w:pPr>
        <w:pStyle w:val="4"/>
        <w:ind w:firstLine="480"/>
      </w:pPr>
      <w:r>
        <w:rPr>
          <w:rFonts w:hint="eastAsia"/>
        </w:rPr>
        <w:t>1、填埋垃圾最高层开挖时空车经东侧道路进入陈腐垃圾填埋场库区内，装车并自东向西、沿西侧道路驶离。</w:t>
      </w:r>
    </w:p>
    <w:p w14:paraId="4F6C28B9">
      <w:pPr>
        <w:pStyle w:val="4"/>
        <w:ind w:firstLine="480"/>
      </w:pPr>
      <w:r>
        <w:rPr>
          <w:rFonts w:hint="eastAsia"/>
        </w:rPr>
        <w:t>2、填埋垃圾第二及第三层开挖时可沿环场道路进场至第一层垃圾出车口进入堆体区，经装车后沿飞灰运输马道上坡后出场。</w:t>
      </w:r>
    </w:p>
    <w:p w14:paraId="70DA8164">
      <w:pPr>
        <w:pStyle w:val="4"/>
        <w:ind w:firstLine="480"/>
      </w:pPr>
      <w:r>
        <w:rPr>
          <w:rFonts w:hint="eastAsia"/>
        </w:rPr>
        <w:t>3、飞灰运输沿现有填埋场马道进出场进行装车。</w:t>
      </w:r>
    </w:p>
    <w:p w14:paraId="3FDA6D72">
      <w:pPr>
        <w:pStyle w:val="4"/>
        <w:ind w:firstLine="480"/>
      </w:pPr>
      <w:r>
        <w:rPr>
          <w:rFonts w:hint="eastAsia"/>
        </w:rPr>
        <w:t>4、运输车辆依次进入厂区门口现有设置的洗车台与地磅处，待清洗与称重完毕后，驶离厂区并运输至终端单位进行处置。</w:t>
      </w:r>
    </w:p>
    <w:p w14:paraId="04B778E8">
      <w:pPr>
        <w:pStyle w:val="4"/>
        <w:ind w:firstLine="480"/>
      </w:pPr>
      <w:r>
        <w:rPr>
          <w:rFonts w:hint="eastAsia"/>
        </w:rPr>
        <w:t>5、由于进入填埋场库区目前仅有一条道路，现场可安排2~3名交通调度员，负责车辆的进出指挥。</w:t>
      </w:r>
    </w:p>
    <w:p w14:paraId="07CF7018">
      <w:pPr>
        <w:pStyle w:val="9"/>
        <w:keepNext/>
      </w:pPr>
      <w:r>
        <w:drawing>
          <wp:inline distT="0" distB="0" distL="0" distR="0">
            <wp:extent cx="5274310" cy="3348990"/>
            <wp:effectExtent l="0" t="0" r="0" b="0"/>
            <wp:docPr id="154560424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604240" name="图片 10"/>
                    <pic:cNvPicPr>
                      <a:picLocks noChangeAspect="1" noChangeArrowheads="1"/>
                    </pic:cNvPicPr>
                  </pic:nvPicPr>
                  <pic:blipFill>
                    <a:blip r:embed="rId14"/>
                    <a:srcRect/>
                    <a:stretch>
                      <a:fillRect/>
                    </a:stretch>
                  </pic:blipFill>
                  <pic:spPr>
                    <a:xfrm>
                      <a:off x="0" y="0"/>
                      <a:ext cx="5274310" cy="3348990"/>
                    </a:xfrm>
                    <a:prstGeom prst="rect">
                      <a:avLst/>
                    </a:prstGeom>
                    <a:noFill/>
                    <a:ln>
                      <a:noFill/>
                    </a:ln>
                  </pic:spPr>
                </pic:pic>
              </a:graphicData>
            </a:graphic>
          </wp:inline>
        </w:drawing>
      </w:r>
    </w:p>
    <w:p w14:paraId="7A97BAE5">
      <w:pPr>
        <w:pStyle w:val="42"/>
        <w:spacing w:after="156"/>
        <w:rPr>
          <w:rFonts w:cs="Times New Roman"/>
        </w:rPr>
      </w:pPr>
      <w:r>
        <w:rPr>
          <w:rFonts w:hint="eastAsia"/>
        </w:rPr>
        <w:t xml:space="preserve">图7.7-1 </w:t>
      </w:r>
      <w:r>
        <w:rPr>
          <w:rFonts w:hint="eastAsia" w:cs="Times New Roman"/>
        </w:rPr>
        <w:t>转运车辆进出示意图（自南向北拍摄）示意</w:t>
      </w:r>
    </w:p>
    <w:p w14:paraId="76F65303">
      <w:pPr>
        <w:pStyle w:val="9"/>
        <w:keepNext/>
      </w:pPr>
      <w:r>
        <w:drawing>
          <wp:inline distT="0" distB="0" distL="0" distR="0">
            <wp:extent cx="5274310" cy="3451860"/>
            <wp:effectExtent l="0" t="0" r="0" b="0"/>
            <wp:docPr id="14737661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766139" name="图片 9"/>
                    <pic:cNvPicPr>
                      <a:picLocks noChangeAspect="1" noChangeArrowheads="1"/>
                    </pic:cNvPicPr>
                  </pic:nvPicPr>
                  <pic:blipFill>
                    <a:blip r:embed="rId14"/>
                    <a:srcRect/>
                    <a:stretch>
                      <a:fillRect/>
                    </a:stretch>
                  </pic:blipFill>
                  <pic:spPr>
                    <a:xfrm>
                      <a:off x="0" y="0"/>
                      <a:ext cx="5274310" cy="3451860"/>
                    </a:xfrm>
                    <a:prstGeom prst="rect">
                      <a:avLst/>
                    </a:prstGeom>
                    <a:noFill/>
                    <a:ln>
                      <a:noFill/>
                    </a:ln>
                  </pic:spPr>
                </pic:pic>
              </a:graphicData>
            </a:graphic>
          </wp:inline>
        </w:drawing>
      </w:r>
    </w:p>
    <w:p w14:paraId="2DEBBDF9">
      <w:pPr>
        <w:pStyle w:val="42"/>
        <w:spacing w:after="156"/>
        <w:rPr>
          <w:strike/>
        </w:rPr>
      </w:pPr>
      <w:r>
        <w:rPr>
          <w:rFonts w:hint="eastAsia"/>
        </w:rPr>
        <w:t xml:space="preserve">图7.7-2  </w:t>
      </w:r>
      <w:r>
        <w:rPr>
          <w:rFonts w:hint="eastAsia" w:cs="Times New Roman"/>
        </w:rPr>
        <w:t>转运车辆进出示意图（自北向南拍摄）示意</w:t>
      </w:r>
    </w:p>
    <w:p w14:paraId="2E32EA88">
      <w:pPr>
        <w:pStyle w:val="3"/>
      </w:pPr>
      <w:bookmarkStart w:id="38" w:name="_Toc172727072"/>
      <w:bookmarkStart w:id="39" w:name="_Toc174443606"/>
      <w:r>
        <w:rPr>
          <w:rFonts w:hint="eastAsia"/>
        </w:rPr>
        <w:t>7.8</w:t>
      </w:r>
      <w:r>
        <w:t>施工组织</w:t>
      </w:r>
      <w:bookmarkEnd w:id="38"/>
      <w:bookmarkEnd w:id="39"/>
    </w:p>
    <w:p w14:paraId="450C4F29">
      <w:pPr>
        <w:pStyle w:val="4"/>
        <w:ind w:firstLine="480"/>
      </w:pPr>
      <w:r>
        <w:rPr>
          <w:rFonts w:hint="eastAsia"/>
        </w:rPr>
        <w:t>1）劳动组织安排</w:t>
      </w:r>
    </w:p>
    <w:p w14:paraId="74D62382">
      <w:pPr>
        <w:pStyle w:val="4"/>
        <w:ind w:firstLine="480"/>
      </w:pPr>
      <w:r>
        <w:rPr>
          <w:rFonts w:hint="eastAsia"/>
        </w:rPr>
        <w:t>本项目须设项目负责人1名，专职安全人员≥2名，分别设置垃圾和飞灰开挖班组，相关机械设备和材料均单独使用。所有人需持证上岗，库区内作业人员需配备专用防护用具。</w:t>
      </w:r>
    </w:p>
    <w:p w14:paraId="5DAC983B">
      <w:pPr>
        <w:pStyle w:val="4"/>
        <w:ind w:firstLine="480"/>
      </w:pPr>
      <w:r>
        <w:rPr>
          <w:rFonts w:hint="eastAsia"/>
        </w:rPr>
        <w:t>2）挖方前工作</w:t>
      </w:r>
    </w:p>
    <w:p w14:paraId="3BD5B539">
      <w:pPr>
        <w:pStyle w:val="4"/>
        <w:ind w:firstLine="480"/>
      </w:pPr>
      <w:r>
        <w:rPr>
          <w:rFonts w:hint="eastAsia"/>
        </w:rPr>
        <w:t>挖方前，施工单位应按照勘探、测绘单位提供的勘察测绘桩点进行放线，进行场地范围的测量与核准并留存影象资料。</w:t>
      </w:r>
    </w:p>
    <w:p w14:paraId="30494686">
      <w:pPr>
        <w:pStyle w:val="4"/>
        <w:ind w:firstLine="480"/>
      </w:pPr>
      <w:r>
        <w:rPr>
          <w:rFonts w:hint="eastAsia"/>
        </w:rPr>
        <w:t>施工单位应在挖方前编制专项施工组织方案，确定开挖区域，堆料场地，护坡方案、道路、夜间照明方案等内容。</w:t>
      </w:r>
    </w:p>
    <w:p w14:paraId="4082790D">
      <w:pPr>
        <w:pStyle w:val="4"/>
        <w:ind w:firstLine="480"/>
      </w:pPr>
      <w:r>
        <w:rPr>
          <w:rFonts w:hint="eastAsia"/>
        </w:rPr>
        <w:t>3）动态控制</w:t>
      </w:r>
    </w:p>
    <w:p w14:paraId="41F63B9C">
      <w:pPr>
        <w:pStyle w:val="4"/>
        <w:ind w:firstLine="480"/>
      </w:pPr>
      <w:r>
        <w:rPr>
          <w:rFonts w:hint="eastAsia"/>
        </w:rPr>
        <w:t>严格按照具体专项方案中施工计划执行挖方工作，出现偏差，必须及时采取纠偏措施，进行评审和总结。</w:t>
      </w:r>
    </w:p>
    <w:p w14:paraId="103E070D">
      <w:pPr>
        <w:pStyle w:val="4"/>
        <w:ind w:firstLine="480"/>
      </w:pPr>
      <w:r>
        <w:rPr>
          <w:rFonts w:hint="eastAsia"/>
        </w:rPr>
        <w:t>4）应急抢险措施</w:t>
      </w:r>
    </w:p>
    <w:p w14:paraId="1333BEE0">
      <w:pPr>
        <w:pStyle w:val="4"/>
        <w:ind w:firstLine="480"/>
      </w:pPr>
      <w:r>
        <w:rPr>
          <w:rFonts w:hint="eastAsia"/>
        </w:rPr>
        <w:t>突发事故产生时，除马上通知各有关单位外，现场必须及时采取有效措施来保证整个开挖区和周边环境的安全。</w:t>
      </w:r>
    </w:p>
    <w:p w14:paraId="16BE7018">
      <w:pPr>
        <w:pStyle w:val="4"/>
        <w:ind w:firstLine="480"/>
      </w:pPr>
      <w:r>
        <w:rPr>
          <w:rFonts w:hint="eastAsia"/>
        </w:rPr>
        <w:t>为确保开挖区周边环境的安全和正常使用，确保本项目的顺利进行，设计对可能出现的险情作如下对策：</w:t>
      </w:r>
    </w:p>
    <w:p w14:paraId="719B5C27">
      <w:pPr>
        <w:pStyle w:val="4"/>
        <w:ind w:firstLine="480"/>
      </w:pPr>
      <w:r>
        <w:rPr>
          <w:rFonts w:hint="eastAsia"/>
        </w:rPr>
        <w:t>（1）如果垃圾堆体位移较大，接近或超过警戒值，则应立即停止开挖，调整开挖速度。</w:t>
      </w:r>
    </w:p>
    <w:p w14:paraId="24EB1CDF">
      <w:pPr>
        <w:pStyle w:val="4"/>
        <w:ind w:firstLine="480"/>
      </w:pPr>
      <w:r>
        <w:rPr>
          <w:rFonts w:hint="eastAsia"/>
        </w:rPr>
        <w:t>（2）做好雨季施工的防护措施。</w:t>
      </w:r>
    </w:p>
    <w:p w14:paraId="659F7F2B">
      <w:pPr>
        <w:pStyle w:val="4"/>
        <w:ind w:firstLine="480"/>
      </w:pPr>
      <w:r>
        <w:rPr>
          <w:rFonts w:hint="eastAsia"/>
        </w:rPr>
        <w:t>（3）现场应配备一定数量的柴油发电机组、砂包、型钢、钢筋、钢管、水泥、水泵等抢险物资。具体数量可根据实际情况进行调给。出现其他异常情况，应及时通知有关各方，以便采取有效的应急措施。</w:t>
      </w:r>
    </w:p>
    <w:p w14:paraId="5F760BD3">
      <w:pPr>
        <w:pStyle w:val="4"/>
        <w:ind w:firstLine="480"/>
      </w:pPr>
      <w:r>
        <w:rPr>
          <w:rFonts w:hint="eastAsia"/>
        </w:rPr>
        <w:t>本项目开挖深度较深，开挖面积大，工期长，加上开挖项目不确定因数较多，因此开挖项目施工过程中应进行全面施工监测，尤其是堆体位移、地面沉降、地下水位等监测。</w:t>
      </w:r>
    </w:p>
    <w:p w14:paraId="2B02AF5D">
      <w:pPr>
        <w:pStyle w:val="4"/>
        <w:ind w:firstLine="480"/>
      </w:pPr>
      <w:r>
        <w:rPr>
          <w:rFonts w:hint="eastAsia"/>
        </w:rPr>
        <w:t>5）开挖过程堆体情况安全监测</w:t>
      </w:r>
    </w:p>
    <w:p w14:paraId="7EDADF3B">
      <w:pPr>
        <w:pStyle w:val="4"/>
        <w:ind w:firstLine="480"/>
      </w:pPr>
      <w:r>
        <w:rPr>
          <w:rFonts w:hint="eastAsia"/>
        </w:rPr>
        <w:t>监测的目的为：</w:t>
      </w:r>
    </w:p>
    <w:p w14:paraId="6EF56D36">
      <w:pPr>
        <w:pStyle w:val="4"/>
        <w:ind w:firstLine="480"/>
      </w:pPr>
      <w:r>
        <w:rPr>
          <w:rFonts w:hint="eastAsia"/>
        </w:rPr>
        <w:t>（1）随时掌握周围建筑、地表的变形情况，判断是否需要加固。</w:t>
      </w:r>
    </w:p>
    <w:p w14:paraId="654A485B">
      <w:pPr>
        <w:pStyle w:val="4"/>
        <w:ind w:firstLine="480"/>
      </w:pPr>
      <w:r>
        <w:rPr>
          <w:rFonts w:hint="eastAsia"/>
        </w:rPr>
        <w:t>（2）以监测资料指导设计与施工，随时调整施工方案，真正做到信息化施工。</w:t>
      </w:r>
    </w:p>
    <w:p w14:paraId="2BBDCF7A">
      <w:pPr>
        <w:pStyle w:val="4"/>
        <w:ind w:firstLine="480"/>
      </w:pPr>
      <w:r>
        <w:rPr>
          <w:rFonts w:hint="eastAsia"/>
        </w:rPr>
        <w:t>开挖期间，应根据监测资料及时控制和调整施工进度和施工方法。监测内容如下：</w:t>
      </w:r>
    </w:p>
    <w:p w14:paraId="0290AA5D">
      <w:pPr>
        <w:pStyle w:val="4"/>
        <w:ind w:firstLine="480"/>
      </w:pPr>
      <w:r>
        <w:rPr>
          <w:rFonts w:hint="eastAsia"/>
        </w:rPr>
        <w:t>开挖区域侧壁侧向变形（坑外土体深层测斜）</w:t>
      </w:r>
    </w:p>
    <w:p w14:paraId="40F6E9D2">
      <w:pPr>
        <w:pStyle w:val="4"/>
        <w:ind w:firstLine="480"/>
      </w:pPr>
      <w:r>
        <w:rPr>
          <w:rFonts w:hint="eastAsia"/>
        </w:rPr>
        <w:t>②地下水位变化</w:t>
      </w:r>
    </w:p>
    <w:p w14:paraId="7252F1E8">
      <w:pPr>
        <w:pStyle w:val="4"/>
        <w:ind w:firstLine="480"/>
      </w:pPr>
      <w:r>
        <w:rPr>
          <w:rFonts w:hint="eastAsia"/>
        </w:rPr>
        <w:t>③邻近建筑物的水平位移、沉降及裂缝观测</w:t>
      </w:r>
    </w:p>
    <w:p w14:paraId="2EB2B35E">
      <w:pPr>
        <w:pStyle w:val="4"/>
        <w:ind w:firstLine="480"/>
      </w:pPr>
      <w:r>
        <w:rPr>
          <w:rFonts w:hint="eastAsia"/>
        </w:rPr>
        <w:t>由施工方进行监测方案设计，在开挖期间，须做到一周一测。可视测得的位移及内力变化情况及时加密或减少监测次数。</w:t>
      </w:r>
    </w:p>
    <w:p w14:paraId="5D647AFC">
      <w:pPr>
        <w:pStyle w:val="4"/>
        <w:ind w:firstLine="480"/>
      </w:pPr>
      <w:r>
        <w:rPr>
          <w:rFonts w:hint="eastAsia"/>
        </w:rPr>
        <w:t>监测资料应记录施工情况、挖土情况、天气情况，并及时提供，及时分析。</w:t>
      </w:r>
    </w:p>
    <w:p w14:paraId="547960A9">
      <w:pPr>
        <w:pStyle w:val="4"/>
        <w:ind w:firstLine="480"/>
      </w:pPr>
      <w:r>
        <w:rPr>
          <w:rFonts w:hint="eastAsia"/>
        </w:rPr>
        <w:t>在一般情况下，监测报警值为：水平、垂直位移达到40mm，或连续三天的位移速率超过3mm/d，日位移超过5mm/d；坑外地下水位降达500mm/日；建筑物沉降达到30mm，或连续三天的位移速率超过3mm/d。若测试值达到上述界限须及时报警，以引起各有关方面重视，采取相应的控制位移、沉降的措施，及时处理。</w:t>
      </w:r>
    </w:p>
    <w:p w14:paraId="5E002A02">
      <w:pPr>
        <w:pStyle w:val="3"/>
      </w:pPr>
      <w:bookmarkStart w:id="40" w:name="_Toc174443607"/>
      <w:bookmarkStart w:id="41" w:name="_Toc172727073"/>
      <w:r>
        <w:rPr>
          <w:rFonts w:hint="eastAsia"/>
        </w:rPr>
        <w:t>7.9</w:t>
      </w:r>
      <w:r>
        <w:t>机械设备</w:t>
      </w:r>
      <w:bookmarkEnd w:id="40"/>
      <w:bookmarkEnd w:id="41"/>
    </w:p>
    <w:p w14:paraId="55F01983">
      <w:pPr>
        <w:pStyle w:val="4"/>
        <w:ind w:firstLine="480"/>
      </w:pPr>
      <w:r>
        <w:rPr>
          <w:rFonts w:hint="eastAsia"/>
        </w:rPr>
        <w:t>根据方案设计，其中生活垃圾开挖外运处置量为500~600t/d，螯合飞灰开挖外运处置量为50~60t/d。进一步结合两种末端处置方案分别计算分析：</w:t>
      </w:r>
    </w:p>
    <w:p w14:paraId="1C44161E">
      <w:pPr>
        <w:pStyle w:val="4"/>
        <w:ind w:firstLine="480"/>
      </w:pPr>
      <w:r>
        <w:rPr>
          <w:rFonts w:hint="eastAsia"/>
        </w:rPr>
        <w:t>方案一为分散处置模式，利用两家末端处置单位的富余能力；</w:t>
      </w:r>
    </w:p>
    <w:p w14:paraId="0BAC7A06">
      <w:pPr>
        <w:pStyle w:val="4"/>
        <w:ind w:firstLine="480"/>
      </w:pPr>
      <w:r>
        <w:rPr>
          <w:rFonts w:hint="eastAsia"/>
        </w:rPr>
        <w:t>方案二为集中处置模式，依托第三家单位的高处理能力。以下将详细探讨两种方案下的机械配置与转运要求。</w:t>
      </w:r>
    </w:p>
    <w:p w14:paraId="579B92B3">
      <w:pPr>
        <w:pStyle w:val="4"/>
        <w:ind w:firstLine="482"/>
        <w:rPr>
          <w:b/>
          <w:bCs/>
        </w:rPr>
      </w:pPr>
      <w:r>
        <w:rPr>
          <w:rFonts w:hint="eastAsia"/>
          <w:b/>
          <w:bCs/>
        </w:rPr>
        <w:t>生活垃圾方案一：分散处置模式</w:t>
      </w:r>
    </w:p>
    <w:p w14:paraId="019E0080">
      <w:pPr>
        <w:pStyle w:val="4"/>
        <w:ind w:firstLine="480"/>
      </w:pPr>
      <w:r>
        <w:rPr>
          <w:rFonts w:hint="eastAsia"/>
        </w:rPr>
        <w:t>开挖机械：综合考虑每日开挖量、开挖效率、机械维护及场内转运及装车，配置2-4台挖掘机。</w:t>
      </w:r>
    </w:p>
    <w:p w14:paraId="1D9450B8">
      <w:pPr>
        <w:pStyle w:val="4"/>
        <w:ind w:firstLine="480"/>
      </w:pPr>
      <w:r>
        <w:rPr>
          <w:rFonts w:hint="eastAsia"/>
        </w:rPr>
        <w:t>装载运输车辆：假设每辆运输车单程可载15吨，往返一次耗时2小时，每天工作8小时，可完成4次往返，则需配置的运输车辆数为[(600吨/天)÷15吨/车次]÷4次/天=11辆，根据实际运输路程和用时进行调整。</w:t>
      </w:r>
    </w:p>
    <w:p w14:paraId="7B8E2983">
      <w:pPr>
        <w:pStyle w:val="4"/>
        <w:ind w:firstLine="482"/>
        <w:rPr>
          <w:b/>
          <w:bCs/>
        </w:rPr>
      </w:pPr>
      <w:r>
        <w:rPr>
          <w:rFonts w:hint="eastAsia"/>
          <w:b/>
          <w:bCs/>
        </w:rPr>
        <w:t>生活垃圾方案二：集中处置模式</w:t>
      </w:r>
    </w:p>
    <w:p w14:paraId="19FA9F70">
      <w:pPr>
        <w:pStyle w:val="4"/>
        <w:ind w:firstLine="480"/>
      </w:pPr>
      <w:r>
        <w:rPr>
          <w:rFonts w:hint="eastAsia"/>
        </w:rPr>
        <w:t>开挖机械：</w:t>
      </w:r>
      <w:r>
        <w:rPr>
          <w:shd w:val="clear" w:color="auto" w:fill="FFFFFF"/>
        </w:rPr>
        <w:t>与方案一相同，需配置</w:t>
      </w:r>
      <w:r>
        <w:rPr>
          <w:rFonts w:hint="eastAsia"/>
          <w:shd w:val="clear" w:color="auto" w:fill="FFFFFF"/>
        </w:rPr>
        <w:t>2-4</w:t>
      </w:r>
      <w:r>
        <w:rPr>
          <w:shd w:val="clear" w:color="auto" w:fill="FFFFFF"/>
        </w:rPr>
        <w:t>台挖掘机</w:t>
      </w:r>
      <w:r>
        <w:rPr>
          <w:rFonts w:hint="eastAsia"/>
          <w:shd w:val="clear" w:color="auto" w:fill="FFFFFF"/>
        </w:rPr>
        <w:t>。</w:t>
      </w:r>
    </w:p>
    <w:p w14:paraId="242D094A">
      <w:pPr>
        <w:pStyle w:val="4"/>
        <w:ind w:firstLine="480"/>
      </w:pPr>
      <w:r>
        <w:rPr>
          <w:rFonts w:hint="eastAsia"/>
        </w:rPr>
        <w:t>装载运输车辆：考虑到第三家单位的远距离运输，需配置更多的运输车辆以确保时效。假设每辆运输车单程可载15吨，往返一次耗时4小时，每天工作8小时，可完成2次往返，则需配置的运输车辆数为[(600吨/天)÷15吨/车次]÷2次/天=22辆，根据实际运输路程和用时进行调整。。</w:t>
      </w:r>
    </w:p>
    <w:p w14:paraId="39FFC0A5">
      <w:pPr>
        <w:pStyle w:val="4"/>
        <w:ind w:firstLine="482"/>
        <w:rPr>
          <w:b/>
          <w:bCs/>
        </w:rPr>
      </w:pPr>
      <w:r>
        <w:rPr>
          <w:rFonts w:hint="eastAsia"/>
          <w:b/>
          <w:bCs/>
        </w:rPr>
        <w:t>飞灰开挖与转运方案</w:t>
      </w:r>
    </w:p>
    <w:p w14:paraId="4E0B6083">
      <w:pPr>
        <w:pStyle w:val="4"/>
        <w:ind w:firstLine="480"/>
      </w:pPr>
      <w:r>
        <w:rPr>
          <w:rFonts w:hint="eastAsia"/>
        </w:rPr>
        <w:t>飞灰每日消纳量为50-60吨，开挖采用1-2台挖机进行开挖，人工结合堆袋装填器进行装吨袋并张贴危废标签，采用叉车转运吨袋。</w:t>
      </w:r>
    </w:p>
    <w:p w14:paraId="51FBEDBD">
      <w:pPr>
        <w:pStyle w:val="4"/>
        <w:ind w:firstLine="480"/>
      </w:pPr>
      <w:r>
        <w:rPr>
          <w:rFonts w:hint="eastAsia"/>
        </w:rPr>
        <w:t>运输车辆采用危废专用运输车，根据每日开挖及装填量，配置2-3台转运车进行转运，根据调研，各处置单位均有较大的暂存库和充裕的处置能力，可以根据实际需要加大每天的开挖和转运量。</w:t>
      </w:r>
    </w:p>
    <w:p w14:paraId="0B0D5420">
      <w:pPr>
        <w:pStyle w:val="2"/>
      </w:pPr>
      <w:bookmarkStart w:id="42" w:name="_Toc174443608"/>
      <w:r>
        <w:rPr>
          <w:rFonts w:hint="eastAsia"/>
        </w:rPr>
        <w:t>8</w:t>
      </w:r>
      <w:r>
        <w:t>末端处置方案</w:t>
      </w:r>
      <w:bookmarkEnd w:id="42"/>
    </w:p>
    <w:p w14:paraId="6CDD7C8E">
      <w:pPr>
        <w:pStyle w:val="3"/>
        <w:spacing w:before="156" w:beforeLines="50"/>
      </w:pPr>
      <w:bookmarkStart w:id="43" w:name="_Toc174443611"/>
      <w:bookmarkStart w:id="44" w:name="_TOC_250035"/>
      <w:r>
        <w:rPr>
          <w:rFonts w:hint="eastAsia"/>
        </w:rPr>
        <w:t>8.3运输方案</w:t>
      </w:r>
      <w:bookmarkEnd w:id="43"/>
    </w:p>
    <w:p w14:paraId="61B949EF">
      <w:pPr>
        <w:pStyle w:val="5"/>
      </w:pPr>
      <w:bookmarkStart w:id="45" w:name="_Toc174443612"/>
      <w:r>
        <w:t>8.3.1</w:t>
      </w:r>
      <w:r>
        <w:rPr>
          <w:rFonts w:hint="eastAsia"/>
        </w:rPr>
        <w:t>运输车辆</w:t>
      </w:r>
      <w:bookmarkEnd w:id="45"/>
    </w:p>
    <w:p w14:paraId="68C098BF">
      <w:pPr>
        <w:pStyle w:val="4"/>
        <w:ind w:firstLine="480"/>
      </w:pPr>
      <w:r>
        <w:rPr>
          <w:rFonts w:hint="eastAsia"/>
        </w:rPr>
        <w:t>1、陈腐垃圾运输车辆要求</w:t>
      </w:r>
    </w:p>
    <w:p w14:paraId="2E7484E8">
      <w:pPr>
        <w:pStyle w:val="4"/>
        <w:ind w:firstLine="480"/>
      </w:pPr>
      <w:r>
        <w:rPr>
          <w:rFonts w:hint="eastAsia"/>
        </w:rPr>
        <w:t>（1）车辆应采取密闭措施、不超量装载，防止垃圾扬、撒、垃圾乱刮等现象。</w:t>
      </w:r>
    </w:p>
    <w:p w14:paraId="7F01363B">
      <w:pPr>
        <w:pStyle w:val="4"/>
        <w:ind w:firstLine="480"/>
      </w:pPr>
      <w:r>
        <w:rPr>
          <w:rFonts w:hint="eastAsia"/>
        </w:rPr>
        <w:t>（2）运输车辆司机必须具有车型的驾驶证和有关部门颁发的培训上岗证，并必须遵守交通安全法规及驾驶员守则。</w:t>
      </w:r>
    </w:p>
    <w:p w14:paraId="4D15AFD6">
      <w:pPr>
        <w:pStyle w:val="4"/>
        <w:ind w:firstLine="480"/>
      </w:pPr>
      <w:r>
        <w:rPr>
          <w:rFonts w:hint="eastAsia"/>
        </w:rPr>
        <w:t>（3）运输车辆必须是“三证”(即行驶证、营运证、渣土运输证)，必须设置密闭式加盖装置或篷布，加盖装置必须状态良好，盖板严密。</w:t>
      </w:r>
    </w:p>
    <w:p w14:paraId="3B0DF57C">
      <w:pPr>
        <w:pStyle w:val="4"/>
        <w:ind w:firstLine="480"/>
      </w:pPr>
      <w:r>
        <w:rPr>
          <w:rFonts w:hint="eastAsia"/>
        </w:rPr>
        <w:t>（4）为严格管理各运输车辆，保证所有固废可追踪，在所有运输车上安装GPS卫星定位装置，由运输负责人统一监督管理，做到随时可追踪在运车辆，记录运输路径及时间，落实全过程跟踪管理。</w:t>
      </w:r>
    </w:p>
    <w:p w14:paraId="073BAB2C">
      <w:pPr>
        <w:pStyle w:val="4"/>
        <w:ind w:firstLine="480"/>
      </w:pPr>
      <w:r>
        <w:rPr>
          <w:rFonts w:hint="eastAsia"/>
        </w:rPr>
        <w:t>2、飞灰运输车辆要求</w:t>
      </w:r>
    </w:p>
    <w:p w14:paraId="289334D4">
      <w:pPr>
        <w:pStyle w:val="4"/>
        <w:ind w:firstLine="480"/>
      </w:pPr>
      <w:r>
        <w:rPr>
          <w:rFonts w:hint="eastAsia"/>
        </w:rPr>
        <w:t>（1）具备道路运输经营许可证：运输飞灰的车辆必须拥有有效的《道路运输经营许可证》，并且经营范围应涵盖危险货物运输（危险废物）。</w:t>
      </w:r>
    </w:p>
    <w:p w14:paraId="16C67DAC">
      <w:pPr>
        <w:pStyle w:val="4"/>
        <w:ind w:firstLine="480"/>
      </w:pPr>
      <w:r>
        <w:rPr>
          <w:rFonts w:hint="eastAsia"/>
        </w:rPr>
        <w:t>（2）防漏、防撒落措施：车辆应具备有效的防漏和防撒落措施，确保在运输过程中飞灰不会泄漏或散落。</w:t>
      </w:r>
    </w:p>
    <w:p w14:paraId="64420606">
      <w:pPr>
        <w:pStyle w:val="4"/>
        <w:ind w:firstLine="480"/>
      </w:pPr>
      <w:r>
        <w:rPr>
          <w:rFonts w:hint="eastAsia"/>
        </w:rPr>
        <w:t>（3）应急设备：车辆应配备必要的应急设备，如灭火器、防毒面具、泄露收集工具等，以应对可能发生的意外情况。</w:t>
      </w:r>
    </w:p>
    <w:p w14:paraId="2538CBE3">
      <w:pPr>
        <w:pStyle w:val="4"/>
        <w:ind w:firstLine="480"/>
      </w:pPr>
      <w:r>
        <w:rPr>
          <w:rFonts w:hint="eastAsia"/>
        </w:rPr>
        <w:t>（4）专用车辆标识与定位：运输飞灰的车辆应有明显的危险废物运输标识，以提醒其他道路使用者注意。同时车辆应具备GPS定位功能，以便做到统一监督管理。</w:t>
      </w:r>
    </w:p>
    <w:bookmarkEnd w:id="44"/>
    <w:p w14:paraId="6B36C5CB">
      <w:pPr>
        <w:pStyle w:val="2"/>
      </w:pPr>
      <w:bookmarkStart w:id="46" w:name="_Toc174443615"/>
      <w:r>
        <w:rPr>
          <w:rFonts w:hint="eastAsia" w:cs="Times New Roman" w:eastAsiaTheme="minorEastAsia"/>
          <w:spacing w:val="1"/>
        </w:rPr>
        <w:t>9</w:t>
      </w:r>
      <w:r>
        <w:t>环境保护与环境监测</w:t>
      </w:r>
      <w:bookmarkEnd w:id="46"/>
    </w:p>
    <w:p w14:paraId="05F71A3D">
      <w:pPr>
        <w:pStyle w:val="3"/>
      </w:pPr>
      <w:bookmarkStart w:id="47" w:name="_Toc174443616"/>
      <w:r>
        <w:rPr>
          <w:rFonts w:hint="eastAsia"/>
        </w:rPr>
        <w:t>9.1环境保护</w:t>
      </w:r>
      <w:bookmarkEnd w:id="47"/>
    </w:p>
    <w:p w14:paraId="21333CFD">
      <w:pPr>
        <w:pStyle w:val="4"/>
        <w:ind w:firstLine="480"/>
      </w:pPr>
      <w:r>
        <w:rPr>
          <w:rFonts w:hint="eastAsia"/>
        </w:rPr>
        <w:t>本方案实施的</w:t>
      </w:r>
      <w:r>
        <w:t>根本目的是实现垃圾的无害化，因此</w:t>
      </w:r>
      <w:r>
        <w:rPr>
          <w:rFonts w:hint="eastAsia"/>
        </w:rPr>
        <w:t>本项目</w:t>
      </w:r>
      <w:r>
        <w:t>的建设不应对周围环境产生二次污染或对周围环境污染超过国家有关法律、法令和现行标准允许的范围，并且应与当地的大气防护、水资源保护、环境生态保护及生态平衡要求相一致，确保不引起空气、水、噪声的污染，不危害公共卫生。</w:t>
      </w:r>
    </w:p>
    <w:p w14:paraId="06F64AB4">
      <w:pPr>
        <w:pStyle w:val="5"/>
      </w:pPr>
      <w:bookmarkStart w:id="48" w:name="_Toc174443617"/>
      <w:r>
        <w:rPr>
          <w:rFonts w:hint="eastAsia"/>
        </w:rPr>
        <w:t>9.1.1污染物分析</w:t>
      </w:r>
      <w:bookmarkEnd w:id="48"/>
    </w:p>
    <w:p w14:paraId="1CF02634">
      <w:pPr>
        <w:pStyle w:val="6"/>
      </w:pPr>
      <w:bookmarkStart w:id="49" w:name="_TOC_250031"/>
      <w:r>
        <w:t>9.</w:t>
      </w:r>
      <w:r>
        <w:rPr>
          <w:rFonts w:hint="eastAsia"/>
        </w:rPr>
        <w:t>1</w:t>
      </w:r>
      <w:r>
        <w:t>.</w:t>
      </w:r>
      <w:r>
        <w:rPr>
          <w:rFonts w:hint="eastAsia"/>
        </w:rPr>
        <w:t>1.1</w:t>
      </w:r>
      <w:r>
        <w:t>废水</w:t>
      </w:r>
      <w:bookmarkEnd w:id="49"/>
    </w:p>
    <w:p w14:paraId="679D1997">
      <w:pPr>
        <w:pStyle w:val="4"/>
        <w:ind w:firstLine="480"/>
      </w:pPr>
      <w:r>
        <w:t>本项目废水主要为填埋场渗滤液</w:t>
      </w:r>
      <w:r>
        <w:rPr>
          <w:spacing w:val="-48"/>
        </w:rPr>
        <w:t>、</w:t>
      </w:r>
      <w:r>
        <w:t>受渗滤液污染的地下水</w:t>
      </w:r>
      <w:r>
        <w:rPr>
          <w:spacing w:val="-46"/>
        </w:rPr>
        <w:t>、</w:t>
      </w:r>
      <w:r>
        <w:rPr>
          <w:rFonts w:hint="eastAsia"/>
        </w:rPr>
        <w:t>项目</w:t>
      </w:r>
      <w:r>
        <w:t>施工期间产生废水、车辆冲洗水、工作人员生活污水和渗滤液处理设施产生</w:t>
      </w:r>
      <w:r>
        <w:rPr>
          <w:spacing w:val="-1"/>
        </w:rPr>
        <w:t>浓缩液</w:t>
      </w:r>
      <w:r>
        <w:t>。</w:t>
      </w:r>
    </w:p>
    <w:p w14:paraId="7ACE8051">
      <w:pPr>
        <w:pStyle w:val="4"/>
        <w:ind w:firstLine="480"/>
      </w:pPr>
      <w:r>
        <w:t>（</w:t>
      </w:r>
      <w:r>
        <w:rPr>
          <w:rFonts w:eastAsia="Times New Roman" w:cs="Times New Roman"/>
        </w:rPr>
        <w:t>1</w:t>
      </w:r>
      <w:r>
        <w:t>）填埋场渗滤液产生量与垃圾本身含水量、场地水文地质条件、气候条件</w:t>
      </w:r>
      <w:r>
        <w:rPr>
          <w:spacing w:val="-72"/>
        </w:rPr>
        <w:t>、</w:t>
      </w:r>
      <w:r>
        <w:t>填埋方式等有关</w:t>
      </w:r>
      <w:r>
        <w:rPr>
          <w:spacing w:val="-72"/>
        </w:rPr>
        <w:t>，</w:t>
      </w:r>
      <w:r>
        <w:t>成分十分复杂</w:t>
      </w:r>
      <w:r>
        <w:rPr>
          <w:spacing w:val="-70"/>
        </w:rPr>
        <w:t>，</w:t>
      </w:r>
      <w:r>
        <w:t>通常包含高浓度的可溶有机物及无机离</w:t>
      </w:r>
      <w:r>
        <w:rPr>
          <w:spacing w:val="-1"/>
        </w:rPr>
        <w:t>子</w:t>
      </w:r>
      <w:r>
        <w:t>，主要污染因子为</w:t>
      </w:r>
      <w:r>
        <w:rPr>
          <w:spacing w:val="-62"/>
        </w:rPr>
        <w:t xml:space="preserve"> </w:t>
      </w:r>
      <w:r>
        <w:rPr>
          <w:rFonts w:eastAsia="Times New Roman" w:cs="Times New Roman"/>
          <w:spacing w:val="-1"/>
        </w:rPr>
        <w:t>SS</w:t>
      </w:r>
      <w:r>
        <w:rPr>
          <w:spacing w:val="-1"/>
        </w:rPr>
        <w:t>、</w:t>
      </w:r>
      <w:r>
        <w:rPr>
          <w:rFonts w:eastAsia="Times New Roman" w:cs="Times New Roman"/>
          <w:spacing w:val="-1"/>
        </w:rPr>
        <w:t>COD</w:t>
      </w:r>
      <w:r>
        <w:rPr>
          <w:spacing w:val="-1"/>
        </w:rPr>
        <w:t>、氨氮等。</w:t>
      </w:r>
    </w:p>
    <w:p w14:paraId="16BBFD39">
      <w:pPr>
        <w:pStyle w:val="4"/>
        <w:ind w:firstLine="480"/>
      </w:pPr>
      <w:r>
        <w:t>（</w:t>
      </w:r>
      <w:r>
        <w:rPr>
          <w:rFonts w:eastAsia="Times New Roman" w:cs="Times New Roman"/>
        </w:rPr>
        <w:t>2</w:t>
      </w:r>
      <w:r>
        <w:t>）根据</w:t>
      </w:r>
      <w:r>
        <w:rPr>
          <w:rFonts w:hint="eastAsia"/>
        </w:rPr>
        <w:t>《永康市乌牛山垃圾填埋场地下水水质异常调查和应急处置 隐患治理分析报告</w:t>
      </w:r>
      <w:r>
        <w:t>》，</w:t>
      </w:r>
      <w:r>
        <w:rPr>
          <w:rFonts w:hint="eastAsia"/>
        </w:rPr>
        <w:t>推测库区水平防渗层已经破损</w:t>
      </w:r>
      <w:r>
        <w:rPr>
          <w:spacing w:val="-34"/>
        </w:rPr>
        <w:t>，</w:t>
      </w:r>
      <w:r>
        <w:rPr>
          <w:rFonts w:hint="eastAsia"/>
        </w:rPr>
        <w:t>库区底部地下水受到了一定污染，但污染未明显扩散。</w:t>
      </w:r>
    </w:p>
    <w:p w14:paraId="1EF6BE14">
      <w:pPr>
        <w:pStyle w:val="4"/>
        <w:ind w:firstLine="480"/>
      </w:pPr>
      <w:r>
        <w:t>（</w:t>
      </w:r>
      <w:r>
        <w:rPr>
          <w:rFonts w:eastAsia="Times New Roman" w:cs="Times New Roman"/>
        </w:rPr>
        <w:t>3</w:t>
      </w:r>
      <w:r>
        <w:t>）施工过程产生废水若不进行收集处理</w:t>
      </w:r>
      <w:r>
        <w:rPr>
          <w:spacing w:val="-94"/>
        </w:rPr>
        <w:t>，</w:t>
      </w:r>
      <w:r>
        <w:t>可能导致二次污染或交叉污</w:t>
      </w:r>
      <w:r>
        <w:rPr>
          <w:spacing w:val="-1"/>
        </w:rPr>
        <w:t>染</w:t>
      </w:r>
      <w:r>
        <w:t>。</w:t>
      </w:r>
    </w:p>
    <w:p w14:paraId="6D44131D">
      <w:pPr>
        <w:pStyle w:val="4"/>
        <w:ind w:firstLine="480"/>
      </w:pPr>
      <w:r>
        <w:t>（</w:t>
      </w:r>
      <w:r>
        <w:rPr>
          <w:rFonts w:eastAsia="Times New Roman" w:cs="Times New Roman"/>
        </w:rPr>
        <w:t>4</w:t>
      </w:r>
      <w:r>
        <w:t>）为保证垃圾车辆清洁卫生</w:t>
      </w:r>
      <w:r>
        <w:rPr>
          <w:spacing w:val="-48"/>
        </w:rPr>
        <w:t>，</w:t>
      </w:r>
      <w:r>
        <w:t>需对运输车辆进行冲洗</w:t>
      </w:r>
      <w:r>
        <w:rPr>
          <w:spacing w:val="-46"/>
        </w:rPr>
        <w:t>，</w:t>
      </w:r>
      <w:r>
        <w:t>产生车辆冲洗</w:t>
      </w:r>
      <w:r>
        <w:rPr>
          <w:spacing w:val="-1"/>
        </w:rPr>
        <w:t>水</w:t>
      </w:r>
      <w:r>
        <w:t>。</w:t>
      </w:r>
    </w:p>
    <w:p w14:paraId="15F50B5F">
      <w:pPr>
        <w:pStyle w:val="4"/>
        <w:ind w:firstLine="480"/>
      </w:pPr>
      <w:r>
        <w:t>（</w:t>
      </w:r>
      <w:r>
        <w:rPr>
          <w:rFonts w:eastAsia="Times New Roman" w:cs="Times New Roman"/>
        </w:rPr>
        <w:t>5</w:t>
      </w:r>
      <w:r>
        <w:t>）工作人员生活污水若不进行收集处理，可能导致二次污染。</w:t>
      </w:r>
    </w:p>
    <w:p w14:paraId="394EAD0A">
      <w:pPr>
        <w:pStyle w:val="4"/>
        <w:ind w:firstLine="478"/>
      </w:pPr>
      <w:r>
        <w:rPr>
          <w:spacing w:val="-1"/>
        </w:rPr>
        <w:t>（</w:t>
      </w:r>
      <w:r>
        <w:rPr>
          <w:rFonts w:eastAsia="Times New Roman" w:cs="Times New Roman"/>
          <w:spacing w:val="-1"/>
        </w:rPr>
        <w:t>6</w:t>
      </w:r>
      <w:r>
        <w:rPr>
          <w:spacing w:val="-1"/>
        </w:rPr>
        <w:t>）渗滤液处理设施产生废水主要为纳滤</w:t>
      </w:r>
      <w:r>
        <w:rPr>
          <w:rFonts w:eastAsia="Times New Roman" w:cs="Times New Roman"/>
          <w:spacing w:val="-1"/>
        </w:rPr>
        <w:t>/</w:t>
      </w:r>
      <w:r>
        <w:rPr>
          <w:spacing w:val="-1"/>
        </w:rPr>
        <w:t>反渗透处理后产生的浓缩液。</w:t>
      </w:r>
    </w:p>
    <w:p w14:paraId="6A15172B">
      <w:pPr>
        <w:pStyle w:val="6"/>
      </w:pPr>
      <w:bookmarkStart w:id="50" w:name="_TOC_250030"/>
      <w:r>
        <w:t>9.</w:t>
      </w:r>
      <w:r>
        <w:rPr>
          <w:rFonts w:hint="eastAsia"/>
        </w:rPr>
        <w:t>1</w:t>
      </w:r>
      <w:r>
        <w:t>.</w:t>
      </w:r>
      <w:r>
        <w:rPr>
          <w:rFonts w:hint="eastAsia"/>
        </w:rPr>
        <w:t>1.2</w:t>
      </w:r>
      <w:r>
        <w:t>废气</w:t>
      </w:r>
      <w:bookmarkEnd w:id="50"/>
    </w:p>
    <w:p w14:paraId="4F90B9DE">
      <w:pPr>
        <w:pStyle w:val="4"/>
        <w:ind w:firstLine="480"/>
        <w:rPr>
          <w:rFonts w:hint="eastAsia" w:ascii="宋体" w:hAnsi="宋体" w:cs="宋体"/>
          <w:sz w:val="8"/>
          <w:szCs w:val="8"/>
        </w:rPr>
      </w:pPr>
      <w:r>
        <w:t>本项目废气主要为填埋气</w:t>
      </w:r>
      <w:r>
        <w:rPr>
          <w:spacing w:val="-48"/>
        </w:rPr>
        <w:t>、</w:t>
      </w:r>
      <w:r>
        <w:t>恶臭</w:t>
      </w:r>
      <w:r>
        <w:rPr>
          <w:spacing w:val="-46"/>
        </w:rPr>
        <w:t>、</w:t>
      </w:r>
      <w:r>
        <w:t>施工扬尘及施工机械运行产生的无组织排 放废气。</w:t>
      </w:r>
    </w:p>
    <w:p w14:paraId="0427E2D4">
      <w:pPr>
        <w:pStyle w:val="4"/>
        <w:ind w:firstLine="480"/>
      </w:pPr>
      <w:r>
        <w:rPr>
          <w:rFonts w:hint="eastAsia" w:cs="宋体"/>
        </w:rPr>
        <w:t>（1）</w:t>
      </w:r>
      <w:r>
        <w:t>填埋气是废气的主要来源，垃圾中的有机成分被微生物厌氧消化、降解</w:t>
      </w:r>
      <w:r>
        <w:rPr>
          <w:spacing w:val="-60"/>
        </w:rPr>
        <w:t>，</w:t>
      </w:r>
      <w:r>
        <w:t>会产生大量的垃圾填埋气</w:t>
      </w:r>
      <w:r>
        <w:rPr>
          <w:spacing w:val="-58"/>
        </w:rPr>
        <w:t>。</w:t>
      </w:r>
      <w:r>
        <w:t>填埋气主要为</w:t>
      </w:r>
      <w:r>
        <w:rPr>
          <w:rFonts w:eastAsia="Times New Roman" w:cs="Times New Roman"/>
        </w:rPr>
        <w:t>C</w:t>
      </w:r>
      <w:r>
        <w:rPr>
          <w:rFonts w:eastAsia="Times New Roman" w:cs="Times New Roman"/>
          <w:spacing w:val="-1"/>
        </w:rPr>
        <w:t>H</w:t>
      </w:r>
      <w:r>
        <w:rPr>
          <w:rFonts w:eastAsia="Times New Roman" w:cs="Times New Roman"/>
          <w:spacing w:val="-2"/>
          <w:sz w:val="15"/>
          <w:szCs w:val="15"/>
        </w:rPr>
        <w:t>4</w:t>
      </w:r>
      <w:r>
        <w:rPr>
          <w:spacing w:val="-58"/>
        </w:rPr>
        <w:t>、</w:t>
      </w:r>
      <w:r>
        <w:rPr>
          <w:rFonts w:eastAsia="Times New Roman" w:cs="Times New Roman"/>
        </w:rPr>
        <w:t>C</w:t>
      </w:r>
      <w:r>
        <w:rPr>
          <w:rFonts w:eastAsia="Times New Roman" w:cs="Times New Roman"/>
          <w:spacing w:val="-1"/>
        </w:rPr>
        <w:t>O</w:t>
      </w:r>
      <w:r>
        <w:rPr>
          <w:rFonts w:eastAsia="Times New Roman" w:cs="Times New Roman"/>
          <w:sz w:val="15"/>
          <w:szCs w:val="15"/>
        </w:rPr>
        <w:t>2</w:t>
      </w:r>
      <w:r>
        <w:t>以及其它一些微量成</w:t>
      </w:r>
      <w:r>
        <w:rPr>
          <w:spacing w:val="-1"/>
        </w:rPr>
        <w:t>分</w:t>
      </w:r>
      <w:r>
        <w:t>，如</w:t>
      </w:r>
      <w:r>
        <w:rPr>
          <w:rFonts w:eastAsia="Times New Roman" w:cs="Times New Roman"/>
          <w:spacing w:val="-2"/>
        </w:rPr>
        <w:t>N</w:t>
      </w:r>
      <w:r>
        <w:rPr>
          <w:rFonts w:eastAsia="Times New Roman" w:cs="Times New Roman"/>
          <w:spacing w:val="-2"/>
          <w:sz w:val="15"/>
          <w:szCs w:val="15"/>
        </w:rPr>
        <w:t>2</w:t>
      </w:r>
      <w:r>
        <w:rPr>
          <w:spacing w:val="-2"/>
        </w:rPr>
        <w:t>、</w:t>
      </w:r>
      <w:r>
        <w:rPr>
          <w:rFonts w:eastAsia="Times New Roman" w:cs="Times New Roman"/>
          <w:spacing w:val="-2"/>
        </w:rPr>
        <w:t>H</w:t>
      </w:r>
      <w:r>
        <w:rPr>
          <w:rFonts w:eastAsia="Times New Roman" w:cs="Times New Roman"/>
          <w:spacing w:val="-2"/>
          <w:sz w:val="15"/>
          <w:szCs w:val="15"/>
        </w:rPr>
        <w:t>2</w:t>
      </w:r>
      <w:r>
        <w:rPr>
          <w:rFonts w:eastAsia="Times New Roman" w:cs="Times New Roman"/>
          <w:spacing w:val="-2"/>
        </w:rPr>
        <w:t>S</w:t>
      </w:r>
      <w:r>
        <w:rPr>
          <w:spacing w:val="-2"/>
        </w:rPr>
        <w:t>、</w:t>
      </w:r>
      <w:r>
        <w:rPr>
          <w:rFonts w:eastAsia="Times New Roman" w:cs="Times New Roman"/>
          <w:spacing w:val="-2"/>
        </w:rPr>
        <w:t>H</w:t>
      </w:r>
      <w:r>
        <w:rPr>
          <w:rFonts w:eastAsia="Times New Roman" w:cs="Times New Roman"/>
          <w:spacing w:val="-2"/>
          <w:sz w:val="15"/>
          <w:szCs w:val="15"/>
        </w:rPr>
        <w:t>2</w:t>
      </w:r>
      <w:r>
        <w:rPr>
          <w:spacing w:val="-1"/>
        </w:rPr>
        <w:t>和挥发性有机物等，其中</w:t>
      </w:r>
      <w:r>
        <w:rPr>
          <w:rFonts w:eastAsia="Times New Roman" w:cs="Times New Roman"/>
          <w:spacing w:val="-1"/>
        </w:rPr>
        <w:t>CH</w:t>
      </w:r>
      <w:r>
        <w:rPr>
          <w:rFonts w:eastAsia="Times New Roman" w:cs="Times New Roman"/>
          <w:spacing w:val="-1"/>
          <w:sz w:val="15"/>
          <w:szCs w:val="15"/>
        </w:rPr>
        <w:t>4</w:t>
      </w:r>
      <w:r>
        <w:t>的含量可达</w:t>
      </w:r>
      <w:r>
        <w:rPr>
          <w:rFonts w:eastAsia="Times New Roman" w:cs="Times New Roman"/>
          <w:spacing w:val="-1"/>
        </w:rPr>
        <w:t>40%~60%</w:t>
      </w:r>
      <w:r>
        <w:rPr>
          <w:spacing w:val="-1"/>
        </w:rPr>
        <w:t>。甲烷易燃</w:t>
      </w:r>
      <w:r>
        <w:t>易爆，当其与空气混合比达到</w:t>
      </w:r>
      <w:r>
        <w:rPr>
          <w:rFonts w:eastAsia="Times New Roman" w:cs="Times New Roman"/>
          <w:spacing w:val="-1"/>
        </w:rPr>
        <w:t>5%~15%</w:t>
      </w:r>
      <w:r>
        <w:rPr>
          <w:spacing w:val="-1"/>
        </w:rPr>
        <w:t>时，极易引发爆炸和火灾事故。</w:t>
      </w:r>
    </w:p>
    <w:p w14:paraId="3AC50BC1">
      <w:pPr>
        <w:pStyle w:val="4"/>
        <w:ind w:firstLine="482"/>
      </w:pPr>
      <w:r>
        <w:rPr>
          <w:spacing w:val="1"/>
        </w:rPr>
        <w:t>（</w:t>
      </w:r>
      <w:r>
        <w:rPr>
          <w:rFonts w:eastAsia="Times New Roman" w:cs="Times New Roman"/>
          <w:spacing w:val="1"/>
        </w:rPr>
        <w:t>2</w:t>
      </w:r>
      <w:r>
        <w:rPr>
          <w:spacing w:val="1"/>
        </w:rPr>
        <w:t>）恶臭气体来自开挖过程中的渗滤液及填埋气体，主要为</w:t>
      </w:r>
      <w:r>
        <w:rPr>
          <w:rFonts w:eastAsia="Times New Roman" w:cs="Times New Roman"/>
        </w:rPr>
        <w:t>NH</w:t>
      </w:r>
      <w:r>
        <w:rPr>
          <w:rFonts w:eastAsia="Times New Roman" w:cs="Times New Roman"/>
          <w:sz w:val="15"/>
          <w:szCs w:val="15"/>
        </w:rPr>
        <w:t>3</w:t>
      </w:r>
      <w:r>
        <w:t>、</w:t>
      </w:r>
      <w:r>
        <w:rPr>
          <w:rFonts w:eastAsia="Times New Roman" w:cs="Times New Roman"/>
        </w:rPr>
        <w:t>H</w:t>
      </w:r>
      <w:r>
        <w:rPr>
          <w:rFonts w:eastAsia="Times New Roman" w:cs="Times New Roman"/>
          <w:sz w:val="15"/>
          <w:szCs w:val="15"/>
        </w:rPr>
        <w:t>2</w:t>
      </w:r>
      <w:r>
        <w:rPr>
          <w:rFonts w:eastAsia="Times New Roman" w:cs="Times New Roman"/>
        </w:rPr>
        <w:t>S</w:t>
      </w:r>
      <w:r>
        <w:t>等异味气体，会引起人体不适。</w:t>
      </w:r>
    </w:p>
    <w:p w14:paraId="7284FFDF">
      <w:pPr>
        <w:pStyle w:val="4"/>
        <w:ind w:firstLine="480"/>
      </w:pPr>
      <w:r>
        <w:t>（</w:t>
      </w:r>
      <w:r>
        <w:rPr>
          <w:rFonts w:eastAsia="Times New Roman" w:cs="Times New Roman"/>
        </w:rPr>
        <w:t>3</w:t>
      </w:r>
      <w:r>
        <w:t>）扬尘主要来垃圾开挖和运输等施工活动中。</w:t>
      </w:r>
    </w:p>
    <w:p w14:paraId="23C6B3C0">
      <w:pPr>
        <w:pStyle w:val="4"/>
        <w:ind w:firstLine="482"/>
      </w:pPr>
      <w:r>
        <w:rPr>
          <w:spacing w:val="1"/>
        </w:rPr>
        <w:t>（</w:t>
      </w:r>
      <w:r>
        <w:rPr>
          <w:rFonts w:eastAsia="Times New Roman" w:cs="Times New Roman"/>
          <w:spacing w:val="1"/>
        </w:rPr>
        <w:t>4</w:t>
      </w:r>
      <w:r>
        <w:rPr>
          <w:spacing w:val="1"/>
        </w:rPr>
        <w:t>）另外，推土机、挖掘机等大型机械产生的</w:t>
      </w:r>
      <w:r>
        <w:rPr>
          <w:rFonts w:eastAsia="Times New Roman" w:cs="Times New Roman"/>
        </w:rPr>
        <w:t>NO</w:t>
      </w:r>
      <w:r>
        <w:rPr>
          <w:rFonts w:eastAsia="Times New Roman" w:cs="Times New Roman"/>
          <w:sz w:val="15"/>
          <w:szCs w:val="15"/>
        </w:rPr>
        <w:t>x</w:t>
      </w:r>
      <w:r>
        <w:t>、</w:t>
      </w:r>
      <w:r>
        <w:rPr>
          <w:rFonts w:eastAsia="Times New Roman" w:cs="Times New Roman"/>
        </w:rPr>
        <w:t>CO</w:t>
      </w:r>
      <w:r>
        <w:rPr>
          <w:rFonts w:eastAsia="Times New Roman" w:cs="Times New Roman"/>
          <w:sz w:val="15"/>
          <w:szCs w:val="15"/>
        </w:rPr>
        <w:t>x</w:t>
      </w:r>
      <w:r>
        <w:rPr>
          <w:spacing w:val="1"/>
        </w:rPr>
        <w:t>等燃油烟气，这</w:t>
      </w:r>
      <w:r>
        <w:t>些污染物均为无组织排放，但施工期短，排放量少。</w:t>
      </w:r>
    </w:p>
    <w:p w14:paraId="3A792A4C">
      <w:pPr>
        <w:pStyle w:val="6"/>
      </w:pPr>
      <w:bookmarkStart w:id="51" w:name="_TOC_250029"/>
      <w:r>
        <w:rPr>
          <w:rFonts w:eastAsia="Times New Roman" w:cs="Times New Roman"/>
        </w:rPr>
        <w:t>9.</w:t>
      </w:r>
      <w:r>
        <w:rPr>
          <w:rFonts w:hint="eastAsia" w:cs="Times New Roman" w:eastAsiaTheme="minorEastAsia"/>
        </w:rPr>
        <w:t>1.1.3</w:t>
      </w:r>
      <w:r>
        <w:t>固体废弃物</w:t>
      </w:r>
      <w:bookmarkEnd w:id="51"/>
    </w:p>
    <w:p w14:paraId="392E604D">
      <w:pPr>
        <w:pStyle w:val="4"/>
        <w:ind w:firstLine="480"/>
      </w:pPr>
      <w:r>
        <w:t>施工期的固体废弃物主要是工作人员产生的废弃防护用品及少量的生活垃</w:t>
      </w:r>
      <w:r>
        <w:rPr>
          <w:spacing w:val="52"/>
        </w:rPr>
        <w:t xml:space="preserve"> </w:t>
      </w:r>
      <w:r>
        <w:t>圾。</w:t>
      </w:r>
    </w:p>
    <w:p w14:paraId="21479444">
      <w:pPr>
        <w:pStyle w:val="6"/>
      </w:pPr>
      <w:bookmarkStart w:id="52" w:name="_TOC_250028"/>
      <w:r>
        <w:t>9.</w:t>
      </w:r>
      <w:r>
        <w:rPr>
          <w:rFonts w:hint="eastAsia"/>
        </w:rPr>
        <w:t>1.1.4</w:t>
      </w:r>
      <w:r>
        <w:t>噪声</w:t>
      </w:r>
      <w:bookmarkEnd w:id="52"/>
    </w:p>
    <w:p w14:paraId="62BFF7CA">
      <w:pPr>
        <w:pStyle w:val="4"/>
        <w:ind w:firstLine="480"/>
      </w:pPr>
      <w:r>
        <w:t>本项目噪声源主要为施工机械和运输车辆噪声，这些机械噪声一般为</w:t>
      </w:r>
      <w:r>
        <w:rPr>
          <w:spacing w:val="-58"/>
        </w:rPr>
        <w:t xml:space="preserve"> </w:t>
      </w:r>
      <w:r>
        <w:rPr>
          <w:rFonts w:eastAsia="Times New Roman" w:cs="Times New Roman"/>
        </w:rPr>
        <w:t>80</w:t>
      </w:r>
      <w:r>
        <w:t>～</w:t>
      </w:r>
      <w:r>
        <w:rPr>
          <w:spacing w:val="30"/>
        </w:rPr>
        <w:t xml:space="preserve"> </w:t>
      </w:r>
      <w:r>
        <w:rPr>
          <w:rFonts w:eastAsia="Times New Roman" w:cs="Times New Roman"/>
          <w:spacing w:val="-1"/>
        </w:rPr>
        <w:t>100dB</w:t>
      </w:r>
      <w:r>
        <w:rPr>
          <w:spacing w:val="-1"/>
        </w:rPr>
        <w:t>（</w:t>
      </w:r>
      <w:r>
        <w:rPr>
          <w:rFonts w:eastAsia="Times New Roman" w:cs="Times New Roman"/>
          <w:spacing w:val="-1"/>
        </w:rPr>
        <w:t>A</w:t>
      </w:r>
      <w:r>
        <w:rPr>
          <w:spacing w:val="-1"/>
        </w:rPr>
        <w:t>）。</w:t>
      </w:r>
    </w:p>
    <w:p w14:paraId="1163E2DC">
      <w:pPr>
        <w:pStyle w:val="5"/>
      </w:pPr>
      <w:bookmarkStart w:id="53" w:name="_TOC_250027"/>
      <w:bookmarkStart w:id="54" w:name="_Toc174443618"/>
      <w:r>
        <w:t>9.</w:t>
      </w:r>
      <w:r>
        <w:rPr>
          <w:rFonts w:hint="eastAsia"/>
        </w:rPr>
        <w:t>1</w:t>
      </w:r>
      <w:r>
        <w:t>.</w:t>
      </w:r>
      <w:r>
        <w:rPr>
          <w:rFonts w:hint="eastAsia"/>
        </w:rPr>
        <w:t xml:space="preserve">2 </w:t>
      </w:r>
      <w:r>
        <w:t>污染防治措施</w:t>
      </w:r>
      <w:bookmarkEnd w:id="53"/>
      <w:bookmarkEnd w:id="54"/>
    </w:p>
    <w:p w14:paraId="096E6A06">
      <w:pPr>
        <w:pStyle w:val="4"/>
        <w:ind w:firstLine="480"/>
      </w:pPr>
      <w:r>
        <w:t>针对前文分析的污染物，本方案制定针对性的防治措施，具体如下：</w:t>
      </w:r>
    </w:p>
    <w:p w14:paraId="1E40B277">
      <w:pPr>
        <w:pStyle w:val="6"/>
      </w:pPr>
      <w:bookmarkStart w:id="55" w:name="_TOC_250026"/>
      <w:r>
        <w:t>9.</w:t>
      </w:r>
      <w:r>
        <w:rPr>
          <w:rFonts w:hint="eastAsia"/>
        </w:rPr>
        <w:t>1</w:t>
      </w:r>
      <w:r>
        <w:t>.</w:t>
      </w:r>
      <w:r>
        <w:rPr>
          <w:rFonts w:hint="eastAsia"/>
        </w:rPr>
        <w:t>2.1</w:t>
      </w:r>
      <w:r>
        <w:t>废水防治</w:t>
      </w:r>
      <w:bookmarkEnd w:id="55"/>
    </w:p>
    <w:p w14:paraId="16223445">
      <w:pPr>
        <w:pStyle w:val="4"/>
        <w:ind w:firstLine="480"/>
      </w:pPr>
      <w:r>
        <w:t>本项目废水主要为渗滤液</w:t>
      </w:r>
      <w:r>
        <w:rPr>
          <w:spacing w:val="-48"/>
        </w:rPr>
        <w:t>、</w:t>
      </w:r>
      <w:r>
        <w:rPr>
          <w:rFonts w:hint="eastAsia"/>
        </w:rPr>
        <w:t>项目</w:t>
      </w:r>
      <w:r>
        <w:t>施工期间产生废水及少量生活污水</w:t>
      </w:r>
      <w:r>
        <w:rPr>
          <w:spacing w:val="-46"/>
        </w:rPr>
        <w:t>，</w:t>
      </w:r>
      <w:r>
        <w:t>主要采取以下防治措施。</w:t>
      </w:r>
    </w:p>
    <w:p w14:paraId="387CFA6E">
      <w:pPr>
        <w:pStyle w:val="4"/>
        <w:ind w:firstLine="480"/>
      </w:pPr>
      <w:r>
        <w:t>（</w:t>
      </w:r>
      <w:r>
        <w:rPr>
          <w:rFonts w:eastAsia="Times New Roman" w:cs="Times New Roman"/>
        </w:rPr>
        <w:t>1</w:t>
      </w:r>
      <w:r>
        <w:t>）施工现场产生生活和生产废水分开收集、处理和排放。</w:t>
      </w:r>
    </w:p>
    <w:p w14:paraId="2243C772">
      <w:pPr>
        <w:pStyle w:val="4"/>
        <w:ind w:firstLine="480"/>
      </w:pPr>
      <w:r>
        <w:t>（</w:t>
      </w:r>
      <w:r>
        <w:rPr>
          <w:rFonts w:eastAsia="Times New Roman" w:cs="Times New Roman"/>
        </w:rPr>
        <w:t>2</w:t>
      </w:r>
      <w:r>
        <w:t>）</w:t>
      </w:r>
      <w:r>
        <w:rPr>
          <w:spacing w:val="2"/>
        </w:rPr>
        <w:t>垃圾填</w:t>
      </w:r>
      <w:r>
        <w:rPr>
          <w:spacing w:val="4"/>
        </w:rPr>
        <w:t>埋</w:t>
      </w:r>
      <w:r>
        <w:rPr>
          <w:spacing w:val="2"/>
        </w:rPr>
        <w:t>场开挖施工场</w:t>
      </w:r>
      <w:r>
        <w:rPr>
          <w:spacing w:val="4"/>
        </w:rPr>
        <w:t>地</w:t>
      </w:r>
      <w:r>
        <w:rPr>
          <w:spacing w:val="2"/>
        </w:rPr>
        <w:t>采取雨污分</w:t>
      </w:r>
      <w:r>
        <w:rPr>
          <w:spacing w:val="4"/>
        </w:rPr>
        <w:t>流</w:t>
      </w:r>
      <w:r>
        <w:rPr>
          <w:spacing w:val="2"/>
        </w:rPr>
        <w:t>措施，在垃圾</w:t>
      </w:r>
      <w:r>
        <w:rPr>
          <w:spacing w:val="4"/>
        </w:rPr>
        <w:t>填</w:t>
      </w:r>
      <w:r>
        <w:rPr>
          <w:spacing w:val="2"/>
        </w:rPr>
        <w:t>埋区四周设</w:t>
      </w:r>
      <w:r>
        <w:t>置排水沟。</w:t>
      </w:r>
    </w:p>
    <w:p w14:paraId="349E69DB">
      <w:pPr>
        <w:pStyle w:val="4"/>
        <w:ind w:firstLine="480"/>
      </w:pPr>
      <w:r>
        <w:t>（</w:t>
      </w:r>
      <w:r>
        <w:rPr>
          <w:rFonts w:eastAsia="Times New Roman" w:cs="Times New Roman"/>
        </w:rPr>
        <w:t>3</w:t>
      </w:r>
      <w:r>
        <w:t>）</w:t>
      </w:r>
      <w:r>
        <w:rPr>
          <w:spacing w:val="2"/>
        </w:rPr>
        <w:t>做好垃</w:t>
      </w:r>
      <w:r>
        <w:rPr>
          <w:spacing w:val="4"/>
        </w:rPr>
        <w:t>圾</w:t>
      </w:r>
      <w:r>
        <w:rPr>
          <w:spacing w:val="2"/>
        </w:rPr>
        <w:t>堆体“雨污分</w:t>
      </w:r>
      <w:r>
        <w:rPr>
          <w:spacing w:val="4"/>
        </w:rPr>
        <w:t>流</w:t>
      </w:r>
      <w:r>
        <w:rPr>
          <w:spacing w:val="2"/>
        </w:rPr>
        <w:t>设施”巡查工</w:t>
      </w:r>
      <w:r>
        <w:rPr>
          <w:spacing w:val="4"/>
        </w:rPr>
        <w:t>作</w:t>
      </w:r>
      <w:r>
        <w:rPr>
          <w:spacing w:val="2"/>
        </w:rPr>
        <w:t>，每年雨季到</w:t>
      </w:r>
      <w:r>
        <w:rPr>
          <w:spacing w:val="4"/>
        </w:rPr>
        <w:t>来</w:t>
      </w:r>
      <w:r>
        <w:rPr>
          <w:spacing w:val="2"/>
        </w:rPr>
        <w:t>前，应检</w:t>
      </w:r>
      <w:r>
        <w:t>查场内雨水沟</w:t>
      </w:r>
      <w:r>
        <w:rPr>
          <w:spacing w:val="-24"/>
        </w:rPr>
        <w:t>、</w:t>
      </w:r>
      <w:r>
        <w:t>截洪沟等雨水导排和防洪设施</w:t>
      </w:r>
      <w:r>
        <w:rPr>
          <w:spacing w:val="-24"/>
        </w:rPr>
        <w:t>，</w:t>
      </w:r>
      <w:r>
        <w:t>确保运行正常</w:t>
      </w:r>
      <w:r>
        <w:rPr>
          <w:spacing w:val="-22"/>
        </w:rPr>
        <w:t>，</w:t>
      </w:r>
      <w:r>
        <w:t>发现损坏的应及时维修，防止降雨进入垃圾堆体产生渗滤液或渗滤液外渗。</w:t>
      </w:r>
    </w:p>
    <w:p w14:paraId="472832B6">
      <w:pPr>
        <w:pStyle w:val="4"/>
        <w:ind w:firstLine="480"/>
        <w:rPr>
          <w:rFonts w:hint="eastAsia" w:ascii="宋体" w:hAnsi="宋体" w:cs="宋体"/>
          <w:sz w:val="8"/>
          <w:szCs w:val="8"/>
        </w:rPr>
      </w:pPr>
      <w:r>
        <w:t>（</w:t>
      </w:r>
      <w:r>
        <w:rPr>
          <w:rFonts w:eastAsia="Times New Roman" w:cs="Times New Roman"/>
        </w:rPr>
        <w:t>4</w:t>
      </w:r>
      <w:r>
        <w:t>）大雨和</w:t>
      </w:r>
      <w:r>
        <w:rPr>
          <w:spacing w:val="4"/>
        </w:rPr>
        <w:t>暴</w:t>
      </w:r>
      <w:r>
        <w:t>雨期间，应有</w:t>
      </w:r>
      <w:r>
        <w:rPr>
          <w:spacing w:val="4"/>
        </w:rPr>
        <w:t>专</w:t>
      </w:r>
      <w:r>
        <w:t>人值班和巡</w:t>
      </w:r>
      <w:r>
        <w:rPr>
          <w:spacing w:val="4"/>
        </w:rPr>
        <w:t>查</w:t>
      </w:r>
      <w:r>
        <w:t>排水系统的排</w:t>
      </w:r>
      <w:r>
        <w:rPr>
          <w:spacing w:val="4"/>
        </w:rPr>
        <w:t>水</w:t>
      </w:r>
      <w:r>
        <w:t>情况，发现设施损坏或堵塞应及时组织人员处理。</w:t>
      </w:r>
    </w:p>
    <w:p w14:paraId="19D25A17">
      <w:pPr>
        <w:pStyle w:val="4"/>
        <w:ind w:firstLine="478"/>
      </w:pPr>
      <w:r>
        <w:rPr>
          <w:rFonts w:hint="eastAsia" w:cs="宋体"/>
          <w:spacing w:val="-1"/>
        </w:rPr>
        <w:t>（5）</w:t>
      </w:r>
      <w:r>
        <w:t>当甲烷浓度超过警戒浓度时</w:t>
      </w:r>
      <w:r>
        <w:rPr>
          <w:spacing w:val="-27"/>
        </w:rPr>
        <w:t>，</w:t>
      </w:r>
      <w:r>
        <w:t>作业人员立即停止作业</w:t>
      </w:r>
      <w:r>
        <w:rPr>
          <w:spacing w:val="-27"/>
        </w:rPr>
        <w:t>，</w:t>
      </w:r>
      <w:r>
        <w:t>所有人员撤离危险处理设施达标处理后排放。</w:t>
      </w:r>
    </w:p>
    <w:p w14:paraId="0684DBBA">
      <w:pPr>
        <w:pStyle w:val="4"/>
        <w:ind w:firstLine="480"/>
      </w:pPr>
      <w:r>
        <w:t>（</w:t>
      </w:r>
      <w:r>
        <w:rPr>
          <w:rFonts w:eastAsia="Times New Roman" w:cs="Times New Roman"/>
        </w:rPr>
        <w:t>6</w:t>
      </w:r>
      <w:r>
        <w:t>）渗滤液</w:t>
      </w:r>
      <w:r>
        <w:rPr>
          <w:spacing w:val="4"/>
        </w:rPr>
        <w:t>及</w:t>
      </w:r>
      <w:r>
        <w:t>时处理，正常</w:t>
      </w:r>
      <w:r>
        <w:rPr>
          <w:spacing w:val="4"/>
        </w:rPr>
        <w:t>运</w:t>
      </w:r>
      <w:r>
        <w:t>行时保持调</w:t>
      </w:r>
      <w:r>
        <w:rPr>
          <w:spacing w:val="4"/>
        </w:rPr>
        <w:t>节</w:t>
      </w:r>
      <w:r>
        <w:t>池处于较低水</w:t>
      </w:r>
      <w:r>
        <w:rPr>
          <w:spacing w:val="4"/>
        </w:rPr>
        <w:t>位</w:t>
      </w:r>
      <w:r>
        <w:t>，保证调节池有充足库容</w:t>
      </w:r>
      <w:r>
        <w:rPr>
          <w:spacing w:val="-94"/>
        </w:rPr>
        <w:t>，</w:t>
      </w:r>
      <w:r>
        <w:t>以备暴雨等异常情况导致的渗滤液激增或因故渗滤液处理设</w:t>
      </w:r>
      <w:r>
        <w:rPr>
          <w:spacing w:val="-1"/>
        </w:rPr>
        <w:t>施</w:t>
      </w:r>
      <w:r>
        <w:t>无法正常运行导致渗滤液积存。</w:t>
      </w:r>
    </w:p>
    <w:p w14:paraId="2D0E15CD">
      <w:pPr>
        <w:pStyle w:val="4"/>
        <w:ind w:firstLine="480"/>
      </w:pPr>
      <w:r>
        <w:t>（</w:t>
      </w:r>
      <w:r>
        <w:rPr>
          <w:rFonts w:eastAsia="Times New Roman" w:cs="Times New Roman"/>
        </w:rPr>
        <w:t>7</w:t>
      </w:r>
      <w:r>
        <w:t>）建议当</w:t>
      </w:r>
      <w:r>
        <w:rPr>
          <w:spacing w:val="4"/>
        </w:rPr>
        <w:t>发</w:t>
      </w:r>
      <w:r>
        <w:t>现调节池剩余</w:t>
      </w:r>
      <w:r>
        <w:rPr>
          <w:spacing w:val="4"/>
        </w:rPr>
        <w:t>库</w:t>
      </w:r>
      <w:r>
        <w:t>容不足以应</w:t>
      </w:r>
      <w:r>
        <w:rPr>
          <w:spacing w:val="4"/>
        </w:rPr>
        <w:t>对</w:t>
      </w:r>
      <w:r>
        <w:t>暴雨等天气导</w:t>
      </w:r>
      <w:r>
        <w:rPr>
          <w:spacing w:val="4"/>
        </w:rPr>
        <w:t>致</w:t>
      </w:r>
      <w:r>
        <w:t>的渗滤液量激增情况时</w:t>
      </w:r>
      <w:r>
        <w:rPr>
          <w:spacing w:val="-48"/>
        </w:rPr>
        <w:t>，</w:t>
      </w:r>
      <w:r>
        <w:t>配备渗滤液应急储存及处理设施</w:t>
      </w:r>
      <w:r>
        <w:rPr>
          <w:spacing w:val="-46"/>
        </w:rPr>
        <w:t>，</w:t>
      </w:r>
      <w:r>
        <w:t>用于雨季情况下渗滤液的临时储存及处理。</w:t>
      </w:r>
    </w:p>
    <w:p w14:paraId="7A5E99C4">
      <w:pPr>
        <w:pStyle w:val="4"/>
        <w:ind w:firstLine="480"/>
      </w:pPr>
      <w:r>
        <w:t>（</w:t>
      </w:r>
      <w:r>
        <w:rPr>
          <w:rFonts w:eastAsia="Times New Roman" w:cs="Times New Roman"/>
        </w:rPr>
        <w:t>8</w:t>
      </w:r>
      <w:r>
        <w:t>）</w:t>
      </w:r>
      <w:r>
        <w:rPr>
          <w:spacing w:val="2"/>
        </w:rPr>
        <w:t>应保持</w:t>
      </w:r>
      <w:r>
        <w:rPr>
          <w:spacing w:val="4"/>
        </w:rPr>
        <w:t>渗</w:t>
      </w:r>
      <w:r>
        <w:rPr>
          <w:spacing w:val="2"/>
        </w:rPr>
        <w:t>沥液导排设施</w:t>
      </w:r>
      <w:r>
        <w:rPr>
          <w:spacing w:val="4"/>
        </w:rPr>
        <w:t>的</w:t>
      </w:r>
      <w:r>
        <w:rPr>
          <w:spacing w:val="2"/>
        </w:rPr>
        <w:t>畅通，发现</w:t>
      </w:r>
      <w:r>
        <w:rPr>
          <w:spacing w:val="4"/>
        </w:rPr>
        <w:t>堵</w:t>
      </w:r>
      <w:r>
        <w:rPr>
          <w:spacing w:val="2"/>
        </w:rPr>
        <w:t>塞应及时修复</w:t>
      </w:r>
      <w:r>
        <w:rPr>
          <w:spacing w:val="4"/>
        </w:rPr>
        <w:t>，</w:t>
      </w:r>
      <w:r>
        <w:rPr>
          <w:spacing w:val="2"/>
        </w:rPr>
        <w:t>无法修复时</w:t>
      </w:r>
      <w:r>
        <w:t>应采取替代措施。</w:t>
      </w:r>
    </w:p>
    <w:p w14:paraId="7142C4F9">
      <w:pPr>
        <w:pStyle w:val="4"/>
        <w:ind w:firstLine="480"/>
      </w:pPr>
      <w:r>
        <w:t>（</w:t>
      </w:r>
      <w:r>
        <w:rPr>
          <w:rFonts w:eastAsia="Times New Roman" w:cs="Times New Roman"/>
        </w:rPr>
        <w:t>9</w:t>
      </w:r>
      <w:r>
        <w:t>）</w:t>
      </w:r>
      <w:r>
        <w:rPr>
          <w:spacing w:val="2"/>
        </w:rPr>
        <w:t>渗沥液</w:t>
      </w:r>
      <w:r>
        <w:rPr>
          <w:spacing w:val="4"/>
        </w:rPr>
        <w:t>处</w:t>
      </w:r>
      <w:r>
        <w:rPr>
          <w:spacing w:val="2"/>
        </w:rPr>
        <w:t>理设施的维护</w:t>
      </w:r>
      <w:r>
        <w:rPr>
          <w:spacing w:val="4"/>
        </w:rPr>
        <w:t>管</w:t>
      </w:r>
      <w:r>
        <w:rPr>
          <w:spacing w:val="2"/>
        </w:rPr>
        <w:t>理应符合国</w:t>
      </w:r>
      <w:r>
        <w:rPr>
          <w:spacing w:val="4"/>
        </w:rPr>
        <w:t>家</w:t>
      </w:r>
      <w:r>
        <w:rPr>
          <w:spacing w:val="2"/>
        </w:rPr>
        <w:t>现行标准《生</w:t>
      </w:r>
      <w:r>
        <w:rPr>
          <w:spacing w:val="4"/>
        </w:rPr>
        <w:t>活</w:t>
      </w:r>
      <w:r>
        <w:rPr>
          <w:spacing w:val="2"/>
        </w:rPr>
        <w:t>垃圾渗沥液</w:t>
      </w:r>
      <w:r>
        <w:t>处理技术规范》</w:t>
      </w:r>
      <w:r>
        <w:rPr>
          <w:rFonts w:eastAsia="Times New Roman" w:cs="Times New Roman"/>
        </w:rPr>
        <w:t>CJJ150</w:t>
      </w:r>
      <w:r>
        <w:t>的有关规定。</w:t>
      </w:r>
    </w:p>
    <w:p w14:paraId="69F22B5F">
      <w:pPr>
        <w:pStyle w:val="4"/>
        <w:ind w:firstLine="476"/>
      </w:pPr>
      <w:r>
        <w:rPr>
          <w:spacing w:val="-2"/>
        </w:rPr>
        <w:t>（</w:t>
      </w:r>
      <w:r>
        <w:rPr>
          <w:rFonts w:eastAsia="Times New Roman" w:cs="Times New Roman"/>
          <w:spacing w:val="-2"/>
        </w:rPr>
        <w:t>10</w:t>
      </w:r>
      <w:r>
        <w:rPr>
          <w:spacing w:val="-2"/>
        </w:rPr>
        <w:t>）制定汛期防溢出应急预案，如遇连续暴雨或特大洪水，垃圾渗滤液可</w:t>
      </w:r>
      <w:r>
        <w:t>能溢出</w:t>
      </w:r>
      <w:r>
        <w:rPr>
          <w:spacing w:val="-32"/>
        </w:rPr>
        <w:t>，</w:t>
      </w:r>
      <w:r>
        <w:t>影响地表水水体</w:t>
      </w:r>
      <w:r>
        <w:rPr>
          <w:spacing w:val="-32"/>
        </w:rPr>
        <w:t>，</w:t>
      </w:r>
      <w:r>
        <w:t>相关管理部门要制定包括监测</w:t>
      </w:r>
      <w:r>
        <w:rPr>
          <w:spacing w:val="-32"/>
        </w:rPr>
        <w:t>、</w:t>
      </w:r>
      <w:r>
        <w:t>报警以及将污水直排城市污水管网等措施在内的应急预案，确保汛期地表水水环境安全。</w:t>
      </w:r>
    </w:p>
    <w:p w14:paraId="3E3DD092">
      <w:pPr>
        <w:pStyle w:val="4"/>
        <w:ind w:firstLine="476"/>
      </w:pPr>
      <w:r>
        <w:rPr>
          <w:spacing w:val="-2"/>
        </w:rPr>
        <w:t>（</w:t>
      </w:r>
      <w:r>
        <w:rPr>
          <w:rFonts w:eastAsia="Times New Roman" w:cs="Times New Roman"/>
          <w:spacing w:val="-2"/>
        </w:rPr>
        <w:t>11</w:t>
      </w:r>
      <w:r>
        <w:rPr>
          <w:spacing w:val="-2"/>
        </w:rPr>
        <w:t>）教育现场工作人员明确生产、生活污水无害化处理的重要性，划分明</w:t>
      </w:r>
      <w:r>
        <w:t>确其职责范围。</w:t>
      </w:r>
    </w:p>
    <w:p w14:paraId="0F234855">
      <w:pPr>
        <w:pStyle w:val="4"/>
        <w:ind w:firstLine="476"/>
      </w:pPr>
      <w:r>
        <w:rPr>
          <w:spacing w:val="-2"/>
        </w:rPr>
        <w:t>（</w:t>
      </w:r>
      <w:r>
        <w:rPr>
          <w:rFonts w:eastAsia="Times New Roman" w:cs="Times New Roman"/>
          <w:spacing w:val="-2"/>
        </w:rPr>
        <w:t>12</w:t>
      </w:r>
      <w:r>
        <w:rPr>
          <w:spacing w:val="-2"/>
        </w:rPr>
        <w:t>）冲洗机械设备和工具产生的废水进行收集，集中处理，不随意排入周</w:t>
      </w:r>
      <w:r>
        <w:t>边环境。</w:t>
      </w:r>
    </w:p>
    <w:p w14:paraId="47F98A17">
      <w:pPr>
        <w:pStyle w:val="4"/>
        <w:ind w:firstLine="476"/>
      </w:pPr>
      <w:r>
        <w:rPr>
          <w:spacing w:val="-2"/>
        </w:rPr>
        <w:t>（</w:t>
      </w:r>
      <w:r>
        <w:rPr>
          <w:rFonts w:eastAsia="Times New Roman" w:cs="Times New Roman"/>
          <w:spacing w:val="-2"/>
        </w:rPr>
        <w:t>13</w:t>
      </w:r>
      <w:r>
        <w:rPr>
          <w:spacing w:val="-2"/>
        </w:rPr>
        <w:t>）合理组织施工程序和施工机械，安排好施工进度，避免在雨季进行大</w:t>
      </w:r>
      <w:r>
        <w:t>规模的开挖作业。</w:t>
      </w:r>
    </w:p>
    <w:p w14:paraId="2E1D7A7C">
      <w:pPr>
        <w:pStyle w:val="4"/>
        <w:ind w:firstLine="476"/>
      </w:pPr>
      <w:r>
        <w:rPr>
          <w:spacing w:val="-2"/>
        </w:rPr>
        <w:t>（</w:t>
      </w:r>
      <w:r>
        <w:rPr>
          <w:rFonts w:eastAsia="Times New Roman" w:cs="Times New Roman"/>
          <w:spacing w:val="-2"/>
        </w:rPr>
        <w:t>14</w:t>
      </w:r>
      <w:r>
        <w:rPr>
          <w:spacing w:val="-2"/>
        </w:rPr>
        <w:t>）采用现场快速检测、现场实验室检测结合第三方实验室检测，确保达</w:t>
      </w:r>
      <w:r>
        <w:t>标排放，避免二次污染。</w:t>
      </w:r>
    </w:p>
    <w:p w14:paraId="28829BDA">
      <w:pPr>
        <w:pStyle w:val="4"/>
        <w:ind w:firstLine="476"/>
      </w:pPr>
      <w:r>
        <w:rPr>
          <w:spacing w:val="-2"/>
        </w:rPr>
        <w:t>（</w:t>
      </w:r>
      <w:r>
        <w:rPr>
          <w:rFonts w:eastAsia="Times New Roman" w:cs="Times New Roman"/>
          <w:spacing w:val="-2"/>
        </w:rPr>
        <w:t>15</w:t>
      </w:r>
      <w:r>
        <w:rPr>
          <w:spacing w:val="-2"/>
        </w:rPr>
        <w:t>）组织有关人员定期对场地内污水、废水排放进行检查，发现问题应立</w:t>
      </w:r>
      <w:r>
        <w:t>即采取措施进行整改，并对有关责任人进行处罚。</w:t>
      </w:r>
    </w:p>
    <w:p w14:paraId="0AD88B05">
      <w:pPr>
        <w:pStyle w:val="6"/>
      </w:pPr>
      <w:bookmarkStart w:id="56" w:name="_TOC_250025"/>
      <w:r>
        <w:t>9.</w:t>
      </w:r>
      <w:r>
        <w:rPr>
          <w:rFonts w:hint="eastAsia"/>
        </w:rPr>
        <w:t>1</w:t>
      </w:r>
      <w:r>
        <w:t>.</w:t>
      </w:r>
      <w:r>
        <w:rPr>
          <w:rFonts w:hint="eastAsia"/>
        </w:rPr>
        <w:t>2.2</w:t>
      </w:r>
      <w:r>
        <w:t>废气防治</w:t>
      </w:r>
      <w:bookmarkEnd w:id="56"/>
    </w:p>
    <w:p w14:paraId="01E3BDCF">
      <w:pPr>
        <w:pStyle w:val="4"/>
        <w:ind w:firstLine="480"/>
        <w:rPr>
          <w:b/>
          <w:bCs/>
        </w:rPr>
      </w:pPr>
      <w:r>
        <w:t>（</w:t>
      </w:r>
      <w:r>
        <w:rPr>
          <w:rFonts w:eastAsia="Times New Roman" w:cs="Times New Roman"/>
        </w:rPr>
        <w:t>1</w:t>
      </w:r>
      <w:r>
        <w:t>）填埋气防治</w:t>
      </w:r>
    </w:p>
    <w:p w14:paraId="51942025">
      <w:pPr>
        <w:pStyle w:val="4"/>
        <w:ind w:firstLine="480"/>
      </w:pPr>
      <w:r>
        <w:rPr>
          <w:rFonts w:hint="eastAsia"/>
        </w:rPr>
        <w:t>1</w:t>
      </w:r>
      <w:r>
        <w:t>）施工过程中加强对垃圾堆体内填埋气的控制，必要时采取相应的安全措施（开挖阻气沟、暂停开挖、设置气井抽气装置等）；</w:t>
      </w:r>
    </w:p>
    <w:p w14:paraId="41CBC3EB">
      <w:pPr>
        <w:pStyle w:val="4"/>
        <w:ind w:firstLine="480"/>
      </w:pPr>
      <w:r>
        <w:rPr>
          <w:rFonts w:hint="eastAsia"/>
        </w:rPr>
        <w:t>2</w:t>
      </w:r>
      <w:r>
        <w:t>）当甲烷浓度超过警戒浓度时，作业人员立即停止作业，所有人员撤离危险区域，并报告现场指挥和安全人员，采取相应措施使甲烷浓度降至安全范围。</w:t>
      </w:r>
    </w:p>
    <w:p w14:paraId="511F0E5C">
      <w:pPr>
        <w:pStyle w:val="4"/>
        <w:ind w:firstLine="480"/>
      </w:pPr>
      <w:r>
        <w:t>（2）恶臭防治</w:t>
      </w:r>
    </w:p>
    <w:p w14:paraId="1D0C897B">
      <w:pPr>
        <w:pStyle w:val="4"/>
        <w:ind w:firstLine="480"/>
      </w:pPr>
      <w:r>
        <w:rPr>
          <w:rFonts w:hint="eastAsia" w:cs="Times New Roman" w:eastAsiaTheme="minorEastAsia"/>
        </w:rPr>
        <w:t>1）</w:t>
      </w:r>
      <w:r>
        <w:t>对垃圾填埋区进行开挖前进行通风除臭预处理，将堆体厌氧状态改变为好</w:t>
      </w:r>
      <w:r>
        <w:rPr>
          <w:spacing w:val="66"/>
        </w:rPr>
        <w:t xml:space="preserve"> </w:t>
      </w:r>
      <w:r>
        <w:t>氧状态，减少恶臭气体的产生，并对抽出的恶臭气体进行处理后排放；</w:t>
      </w:r>
    </w:p>
    <w:p w14:paraId="65A7F944">
      <w:pPr>
        <w:pStyle w:val="4"/>
        <w:ind w:firstLine="480"/>
      </w:pPr>
      <w:r>
        <w:rPr>
          <w:rFonts w:hint="eastAsia" w:cs="Times New Roman" w:eastAsiaTheme="minorEastAsia"/>
        </w:rPr>
        <w:t>2）</w:t>
      </w:r>
      <w:r>
        <w:t>对垃圾填埋区进行开挖时，减少开挖暴露面，降低臭气排放；</w:t>
      </w:r>
    </w:p>
    <w:p w14:paraId="511632FC">
      <w:pPr>
        <w:pStyle w:val="4"/>
        <w:ind w:firstLine="480"/>
      </w:pPr>
      <w:r>
        <w:rPr>
          <w:rFonts w:hint="eastAsia" w:cs="Times New Roman" w:eastAsiaTheme="minorEastAsia"/>
        </w:rPr>
        <w:t>3）</w:t>
      </w:r>
      <w:r>
        <w:t>开挖时控制挖机动作幅度，减少对垃圾的翻动，避免恶臭逸散；</w:t>
      </w:r>
    </w:p>
    <w:p w14:paraId="572E15A9">
      <w:pPr>
        <w:pStyle w:val="4"/>
        <w:ind w:firstLine="480"/>
      </w:pPr>
      <w:r>
        <w:rPr>
          <w:rFonts w:hint="eastAsia" w:cs="Times New Roman" w:eastAsiaTheme="minorEastAsia"/>
        </w:rPr>
        <w:t>4）</w:t>
      </w:r>
      <w:r>
        <w:t>垃圾运输时，在车身覆盖帆布，避免恶臭逸散；</w:t>
      </w:r>
    </w:p>
    <w:p w14:paraId="72A6C882">
      <w:pPr>
        <w:pStyle w:val="11"/>
        <w:ind w:left="740"/>
        <w:rPr>
          <w:rFonts w:hint="eastAsia"/>
          <w:lang w:eastAsia="zh-CN"/>
        </w:rPr>
      </w:pPr>
      <w:r>
        <w:rPr>
          <w:rFonts w:ascii="Times New Roman" w:hAnsi="Times New Roman" w:eastAsia="Times New Roman" w:cs="Times New Roman"/>
          <w:spacing w:val="-1"/>
          <w:lang w:eastAsia="zh-CN"/>
        </w:rPr>
        <w:t>5)</w:t>
      </w:r>
      <w:r>
        <w:rPr>
          <w:spacing w:val="-1"/>
          <w:lang w:eastAsia="zh-CN"/>
        </w:rPr>
        <w:t>结合现场实际情况对填埋区开挖作业面喷洒生物除臭剂，抑制恶臭扩散。</w:t>
      </w:r>
    </w:p>
    <w:p w14:paraId="328078A6">
      <w:pPr>
        <w:pStyle w:val="4"/>
        <w:ind w:firstLine="480"/>
      </w:pPr>
      <w:r>
        <w:t>（3）扬尘防治</w:t>
      </w:r>
    </w:p>
    <w:p w14:paraId="541D4FFF">
      <w:pPr>
        <w:pStyle w:val="4"/>
        <w:ind w:firstLine="480"/>
      </w:pPr>
      <w:r>
        <w:rPr>
          <w:rFonts w:hint="eastAsia" w:cs="Times New Roman" w:eastAsiaTheme="minorEastAsia"/>
        </w:rPr>
        <w:t>1）</w:t>
      </w:r>
      <w:r>
        <w:t>垃圾</w:t>
      </w:r>
      <w:r>
        <w:rPr>
          <w:rFonts w:hint="eastAsia"/>
        </w:rPr>
        <w:t>/飞灰</w:t>
      </w:r>
      <w:r>
        <w:t>开挖时，尽量一次性挖一斗，避免铲斗来回刨</w:t>
      </w:r>
      <w:r>
        <w:rPr>
          <w:rFonts w:hint="eastAsia"/>
        </w:rPr>
        <w:t>土</w:t>
      </w:r>
      <w:r>
        <w:t>；</w:t>
      </w:r>
    </w:p>
    <w:p w14:paraId="5E4057DD">
      <w:pPr>
        <w:pStyle w:val="4"/>
        <w:ind w:firstLine="480"/>
      </w:pPr>
      <w:r>
        <w:rPr>
          <w:rFonts w:hint="eastAsia" w:cs="Times New Roman" w:eastAsiaTheme="minorEastAsia"/>
        </w:rPr>
        <w:t>2）</w:t>
      </w:r>
      <w:r>
        <w:t>挖掘区域周边、运输道路及车辆周转区域应勤洒水，保持表层土壤湿润，</w:t>
      </w:r>
      <w:r>
        <w:rPr>
          <w:spacing w:val="66"/>
        </w:rPr>
        <w:t xml:space="preserve"> </w:t>
      </w:r>
      <w:r>
        <w:t>减少扬尘；</w:t>
      </w:r>
    </w:p>
    <w:p w14:paraId="78C4047D">
      <w:pPr>
        <w:pStyle w:val="4"/>
        <w:ind w:firstLine="480"/>
      </w:pPr>
      <w:r>
        <w:rPr>
          <w:rFonts w:hint="eastAsia" w:cs="Times New Roman" w:eastAsiaTheme="minorEastAsia"/>
        </w:rPr>
        <w:t>3）</w:t>
      </w:r>
      <w:r>
        <w:t>车辆按规定路线行驶，在经过干燥地表时，控制车速、减少扬尘；</w:t>
      </w:r>
    </w:p>
    <w:p w14:paraId="373E55AF">
      <w:pPr>
        <w:pStyle w:val="4"/>
        <w:ind w:firstLine="480"/>
      </w:pPr>
      <w:r>
        <w:rPr>
          <w:rFonts w:hint="eastAsia" w:cs="Times New Roman" w:eastAsiaTheme="minorEastAsia"/>
        </w:rPr>
        <w:t>4）</w:t>
      </w:r>
      <w:r>
        <w:t>材料装卸过程中，尽量减缓车速、降低落差；</w:t>
      </w:r>
    </w:p>
    <w:p w14:paraId="62633841">
      <w:pPr>
        <w:pStyle w:val="4"/>
        <w:ind w:firstLine="480"/>
      </w:pPr>
      <w:r>
        <w:rPr>
          <w:rFonts w:hint="eastAsia" w:cs="Times New Roman" w:eastAsiaTheme="minorEastAsia"/>
        </w:rPr>
        <w:t>5）</w:t>
      </w:r>
      <w:r>
        <w:t>及时清扫运输道路上积土，避免运输过程带起扬尘</w:t>
      </w:r>
      <w:r>
        <w:rPr>
          <w:rFonts w:hint="eastAsia"/>
        </w:rPr>
        <w:t>；</w:t>
      </w:r>
    </w:p>
    <w:p w14:paraId="706F14B2">
      <w:pPr>
        <w:pStyle w:val="4"/>
        <w:ind w:firstLine="480"/>
      </w:pPr>
      <w:r>
        <w:rPr>
          <w:rFonts w:hint="eastAsia"/>
        </w:rPr>
        <w:t>6）运输车辆出场时，需检查并清洗车身，冲洗车轮，保持车厢严密性。</w:t>
      </w:r>
    </w:p>
    <w:p w14:paraId="59EC11B5">
      <w:pPr>
        <w:pStyle w:val="4"/>
        <w:ind w:firstLine="480"/>
      </w:pPr>
      <w:r>
        <w:t>（4）无组织排放废气</w:t>
      </w:r>
    </w:p>
    <w:p w14:paraId="36EF33A8">
      <w:pPr>
        <w:pStyle w:val="4"/>
        <w:ind w:firstLine="480"/>
      </w:pPr>
      <w:r>
        <w:t>施工期机械废气属间断性无组织排放</w:t>
      </w:r>
      <w:r>
        <w:rPr>
          <w:spacing w:val="-108"/>
        </w:rPr>
        <w:t>，</w:t>
      </w:r>
      <w:r>
        <w:t>特点是排放量小</w:t>
      </w:r>
      <w:r>
        <w:rPr>
          <w:spacing w:val="-106"/>
        </w:rPr>
        <w:t>，</w:t>
      </w:r>
      <w:r>
        <w:t>加之施工场地开</w:t>
      </w:r>
      <w:r>
        <w:rPr>
          <w:spacing w:val="-1"/>
        </w:rPr>
        <w:t>阔</w:t>
      </w:r>
      <w:r>
        <w:t>，扩散条件良好。施工单位在定期进行施工设备维护，保证其运行在最佳状态下，以提高原料的利用率的前提下可实现达标排放，不会对环境造成影响。</w:t>
      </w:r>
    </w:p>
    <w:p w14:paraId="72BEFDA2">
      <w:pPr>
        <w:pStyle w:val="6"/>
      </w:pPr>
      <w:r>
        <w:t>9.</w:t>
      </w:r>
      <w:r>
        <w:rPr>
          <w:rFonts w:hint="eastAsia"/>
        </w:rPr>
        <w:t>1</w:t>
      </w:r>
      <w:r>
        <w:t>.</w:t>
      </w:r>
      <w:r>
        <w:rPr>
          <w:rFonts w:hint="eastAsia"/>
        </w:rPr>
        <w:t>2.3</w:t>
      </w:r>
      <w:r>
        <w:t>固体废弃物防治</w:t>
      </w:r>
    </w:p>
    <w:p w14:paraId="2FE29349">
      <w:pPr>
        <w:pStyle w:val="4"/>
        <w:ind w:firstLine="480"/>
      </w:pPr>
      <w:r>
        <w:t>（</w:t>
      </w:r>
      <w:r>
        <w:rPr>
          <w:rFonts w:eastAsia="Times New Roman" w:cs="Times New Roman"/>
        </w:rPr>
        <w:t>1</w:t>
      </w:r>
      <w:r>
        <w:t>）现场施工人员产生的废弃防护材料，如手套、口罩等，按照固体废弃</w:t>
      </w:r>
      <w:r>
        <w:rPr>
          <w:spacing w:val="44"/>
        </w:rPr>
        <w:t xml:space="preserve"> </w:t>
      </w:r>
      <w:r>
        <w:t>物集中处理。</w:t>
      </w:r>
    </w:p>
    <w:p w14:paraId="18BC28CC">
      <w:pPr>
        <w:pStyle w:val="4"/>
        <w:ind w:firstLine="480"/>
      </w:pPr>
      <w:r>
        <w:t>（</w:t>
      </w:r>
      <w:r>
        <w:rPr>
          <w:rFonts w:eastAsia="Times New Roman" w:cs="Times New Roman"/>
        </w:rPr>
        <w:t>2</w:t>
      </w:r>
      <w:r>
        <w:t>）施工过程中产生的废物按标准收集、储存与处理。</w:t>
      </w:r>
    </w:p>
    <w:p w14:paraId="2C620940">
      <w:pPr>
        <w:pStyle w:val="4"/>
        <w:ind w:firstLine="480"/>
      </w:pPr>
      <w:r>
        <w:t>（</w:t>
      </w:r>
      <w:r>
        <w:rPr>
          <w:rFonts w:eastAsia="Times New Roman" w:cs="Times New Roman"/>
        </w:rPr>
        <w:t>3</w:t>
      </w:r>
      <w:r>
        <w:t>）不同垃圾分类对待</w:t>
      </w:r>
      <w:r>
        <w:rPr>
          <w:spacing w:val="-32"/>
        </w:rPr>
        <w:t>，</w:t>
      </w:r>
      <w:r>
        <w:t>施工废弃</w:t>
      </w:r>
      <w:r>
        <w:rPr>
          <w:spacing w:val="-32"/>
        </w:rPr>
        <w:t>物</w:t>
      </w:r>
      <w:r>
        <w:t>（如个人防护用品</w:t>
      </w:r>
      <w:r>
        <w:rPr>
          <w:spacing w:val="-32"/>
        </w:rPr>
        <w:t>、</w:t>
      </w:r>
      <w:r>
        <w:rPr>
          <w:rFonts w:hint="eastAsia"/>
        </w:rPr>
        <w:t>项目</w:t>
      </w:r>
      <w:r>
        <w:t>防护用品</w:t>
      </w:r>
      <w:r>
        <w:rPr>
          <w:spacing w:val="-1"/>
        </w:rPr>
        <w:t>等</w:t>
      </w:r>
      <w:r>
        <w:t>） 与生活垃圾应分开收集、保存和处置。</w:t>
      </w:r>
    </w:p>
    <w:p w14:paraId="4A32A888">
      <w:pPr>
        <w:pStyle w:val="4"/>
        <w:ind w:firstLine="480"/>
      </w:pPr>
      <w:r>
        <w:t>（</w:t>
      </w:r>
      <w:r>
        <w:rPr>
          <w:rFonts w:eastAsia="Times New Roman" w:cs="Times New Roman"/>
        </w:rPr>
        <w:t>4</w:t>
      </w:r>
      <w:r>
        <w:t>）施工过程中产生的废弃雨布等材料，应按照固体废物统一集中处理。</w:t>
      </w:r>
    </w:p>
    <w:p w14:paraId="620A9011">
      <w:pPr>
        <w:pStyle w:val="4"/>
        <w:ind w:firstLine="480"/>
      </w:pPr>
      <w:r>
        <w:t>（</w:t>
      </w:r>
      <w:r>
        <w:rPr>
          <w:rFonts w:eastAsia="Times New Roman" w:cs="Times New Roman"/>
        </w:rPr>
        <w:t>5</w:t>
      </w:r>
      <w:r>
        <w:t>）办公区产生的生活垃圾，可作为城市生活垃圾，委托相关部门进行处</w:t>
      </w:r>
      <w:r>
        <w:rPr>
          <w:spacing w:val="44"/>
        </w:rPr>
        <w:t xml:space="preserve"> </w:t>
      </w:r>
      <w:r>
        <w:t>理。</w:t>
      </w:r>
    </w:p>
    <w:p w14:paraId="0415B967">
      <w:pPr>
        <w:pStyle w:val="4"/>
        <w:ind w:firstLine="480"/>
      </w:pPr>
      <w:r>
        <w:t>（</w:t>
      </w:r>
      <w:r>
        <w:rPr>
          <w:rFonts w:eastAsia="Times New Roman" w:cs="Times New Roman"/>
        </w:rPr>
        <w:t>6</w:t>
      </w:r>
      <w:r>
        <w:t>）每日下班前，操作人员将所作业范围内垃圾清运至指定位置。</w:t>
      </w:r>
    </w:p>
    <w:p w14:paraId="46B6B7E7">
      <w:pPr>
        <w:pStyle w:val="4"/>
        <w:ind w:firstLine="480"/>
      </w:pPr>
      <w:r>
        <w:t>（</w:t>
      </w:r>
      <w:r>
        <w:rPr>
          <w:rFonts w:eastAsia="Times New Roman" w:cs="Times New Roman"/>
        </w:rPr>
        <w:t>7</w:t>
      </w:r>
      <w:r>
        <w:t>）住宿区内，设专人负责卫生工作，在做好个人卫生的同时，做好公共</w:t>
      </w:r>
      <w:r>
        <w:rPr>
          <w:spacing w:val="44"/>
        </w:rPr>
        <w:t xml:space="preserve"> </w:t>
      </w:r>
      <w:r>
        <w:t>部位的卫生，及时将生活垃圾送至指定垃圾箱内保存，并定期清理。</w:t>
      </w:r>
    </w:p>
    <w:p w14:paraId="701F9F6E">
      <w:pPr>
        <w:pStyle w:val="6"/>
      </w:pPr>
      <w:bookmarkStart w:id="57" w:name="_TOC_250024"/>
      <w:r>
        <w:t>9.</w:t>
      </w:r>
      <w:r>
        <w:rPr>
          <w:rFonts w:hint="eastAsia"/>
        </w:rPr>
        <w:t>1</w:t>
      </w:r>
      <w:r>
        <w:t>.</w:t>
      </w:r>
      <w:r>
        <w:rPr>
          <w:rFonts w:hint="eastAsia"/>
        </w:rPr>
        <w:t>2.4</w:t>
      </w:r>
      <w:r>
        <w:t>噪声控制</w:t>
      </w:r>
      <w:bookmarkEnd w:id="57"/>
    </w:p>
    <w:p w14:paraId="236AA5C1">
      <w:pPr>
        <w:pStyle w:val="4"/>
        <w:ind w:firstLine="480"/>
      </w:pPr>
      <w:r>
        <w:t>（</w:t>
      </w:r>
      <w:r>
        <w:rPr>
          <w:rFonts w:eastAsia="Times New Roman" w:cs="Times New Roman"/>
        </w:rPr>
        <w:t>1</w:t>
      </w:r>
      <w:r>
        <w:t>）使用低噪声机械设备，从源头上控制噪声的产生。</w:t>
      </w:r>
    </w:p>
    <w:p w14:paraId="05E8D775">
      <w:pPr>
        <w:pStyle w:val="4"/>
        <w:ind w:firstLine="480"/>
      </w:pPr>
      <w:r>
        <w:t>（</w:t>
      </w:r>
      <w:r>
        <w:rPr>
          <w:rFonts w:eastAsia="Times New Roman" w:cs="Times New Roman"/>
        </w:rPr>
        <w:t>2</w:t>
      </w:r>
      <w:r>
        <w:t>）严格控制人为噪声，进入施工现场不得高声喊叫，无故甩打模板、施</w:t>
      </w:r>
      <w:r>
        <w:rPr>
          <w:spacing w:val="44"/>
        </w:rPr>
        <w:t xml:space="preserve"> </w:t>
      </w:r>
      <w:r>
        <w:t>工器材、乱吹哨，限制高音喇叭的使用，最大限度地减少噪声。</w:t>
      </w:r>
    </w:p>
    <w:p w14:paraId="594D8A3F">
      <w:pPr>
        <w:pStyle w:val="4"/>
        <w:ind w:firstLine="480"/>
      </w:pPr>
      <w:r>
        <w:t>（</w:t>
      </w:r>
      <w:r>
        <w:rPr>
          <w:rFonts w:eastAsia="Times New Roman" w:cs="Times New Roman"/>
        </w:rPr>
        <w:t>3</w:t>
      </w:r>
      <w:r>
        <w:t>）运输中车辆产生的噪声应加强管理，注意控制车速及减少鸣笛次数。</w:t>
      </w:r>
    </w:p>
    <w:p w14:paraId="2F191EB9">
      <w:pPr>
        <w:pStyle w:val="4"/>
        <w:ind w:firstLine="480"/>
      </w:pPr>
      <w:r>
        <w:t>（</w:t>
      </w:r>
      <w:r>
        <w:rPr>
          <w:rFonts w:eastAsia="Times New Roman" w:cs="Times New Roman"/>
        </w:rPr>
        <w:t>4</w:t>
      </w:r>
      <w:r>
        <w:t>）填埋场治理期间的噪声来源于机械设备运行，填埋场内的噪声控制宜</w:t>
      </w:r>
      <w:r>
        <w:rPr>
          <w:spacing w:val="44"/>
        </w:rPr>
        <w:t xml:space="preserve"> </w:t>
      </w:r>
      <w:r>
        <w:t>以隔声为主，辅以消声、隔振、吸声等综合措施。</w:t>
      </w:r>
    </w:p>
    <w:p w14:paraId="5F2A887A">
      <w:pPr>
        <w:pStyle w:val="4"/>
        <w:ind w:firstLine="480"/>
      </w:pPr>
      <w:r>
        <w:t>（</w:t>
      </w:r>
      <w:r>
        <w:rPr>
          <w:rFonts w:eastAsia="Times New Roman" w:cs="Times New Roman"/>
        </w:rPr>
        <w:t>5</w:t>
      </w:r>
      <w:r>
        <w:t>）此外，由于填埋场三面环山，周边山区起到天然屏障作用，一定程度</w:t>
      </w:r>
      <w:r>
        <w:rPr>
          <w:spacing w:val="44"/>
        </w:rPr>
        <w:t xml:space="preserve"> </w:t>
      </w:r>
      <w:r>
        <w:t>上减轻了噪声对周边的影响。</w:t>
      </w:r>
      <w:bookmarkStart w:id="58" w:name="_TOC_250023"/>
    </w:p>
    <w:p w14:paraId="4B2C53C0">
      <w:pPr>
        <w:pStyle w:val="5"/>
      </w:pPr>
      <w:bookmarkStart w:id="59" w:name="_Toc174443619"/>
      <w:r>
        <w:t>9.</w:t>
      </w:r>
      <w:r>
        <w:rPr>
          <w:rFonts w:hint="eastAsia"/>
        </w:rPr>
        <w:t>1.3开挖实施</w:t>
      </w:r>
      <w:r>
        <w:t>期间</w:t>
      </w:r>
      <w:r>
        <w:rPr>
          <w:rFonts w:hint="eastAsia"/>
        </w:rPr>
        <w:t>环境日常</w:t>
      </w:r>
      <w:r>
        <w:t>管理</w:t>
      </w:r>
      <w:bookmarkEnd w:id="58"/>
      <w:bookmarkEnd w:id="59"/>
    </w:p>
    <w:p w14:paraId="7F39BC99">
      <w:pPr>
        <w:pStyle w:val="4"/>
        <w:ind w:firstLine="480"/>
      </w:pPr>
      <w:r>
        <w:rPr>
          <w:rFonts w:eastAsia="Times New Roman" w:cs="Times New Roman"/>
        </w:rPr>
        <w:t>1</w:t>
      </w:r>
      <w:r>
        <w:t>）根据《生活垃圾卫生填埋场封场技术规范</w:t>
      </w:r>
      <w:r>
        <w:rPr>
          <w:spacing w:val="-27"/>
        </w:rPr>
        <w:t>》</w:t>
      </w:r>
      <w:r>
        <w:t>（</w:t>
      </w:r>
      <w:r>
        <w:rPr>
          <w:rFonts w:eastAsia="Times New Roman" w:cs="Times New Roman"/>
          <w:spacing w:val="-1"/>
        </w:rPr>
        <w:t>G</w:t>
      </w:r>
      <w:r>
        <w:rPr>
          <w:rFonts w:eastAsia="Times New Roman" w:cs="Times New Roman"/>
        </w:rPr>
        <w:t>B51220</w:t>
      </w:r>
      <w:r>
        <w:rPr>
          <w:rFonts w:eastAsia="Times New Roman" w:cs="Times New Roman"/>
          <w:spacing w:val="-1"/>
        </w:rPr>
        <w:t>-</w:t>
      </w:r>
      <w:r>
        <w:rPr>
          <w:rFonts w:eastAsia="Times New Roman" w:cs="Times New Roman"/>
        </w:rPr>
        <w:t>2017</w:t>
      </w:r>
      <w:r>
        <w:rPr>
          <w:spacing w:val="-12"/>
        </w:rPr>
        <w:t>）</w:t>
      </w:r>
      <w:r>
        <w:rPr>
          <w:spacing w:val="-25"/>
        </w:rPr>
        <w:t>、</w:t>
      </w:r>
      <w:r>
        <w:t>《生活</w:t>
      </w:r>
      <w:r>
        <w:rPr>
          <w:spacing w:val="1"/>
        </w:rPr>
        <w:t>垃圾填埋污染控制标准》（</w:t>
      </w:r>
      <w:r>
        <w:rPr>
          <w:rFonts w:eastAsia="Times New Roman" w:cs="Times New Roman"/>
          <w:spacing w:val="1"/>
        </w:rPr>
        <w:t>GB16889-2008</w:t>
      </w:r>
      <w:r>
        <w:rPr>
          <w:spacing w:val="1"/>
        </w:rPr>
        <w:t>）、《生活垃圾卫生填埋场封场技术</w:t>
      </w:r>
      <w:r>
        <w:t>规范》（</w:t>
      </w:r>
      <w:r>
        <w:rPr>
          <w:rFonts w:eastAsia="Times New Roman" w:cs="Times New Roman"/>
        </w:rPr>
        <w:t>GB51220-2017</w:t>
      </w:r>
      <w:r>
        <w:t>）等国家及行业规范，治理期间，开展填埋场运行管理工作</w:t>
      </w:r>
      <w:r>
        <w:rPr>
          <w:spacing w:val="-24"/>
        </w:rPr>
        <w:t>，</w:t>
      </w:r>
      <w:r>
        <w:t>做好环境及安全监测工作</w:t>
      </w:r>
      <w:r>
        <w:rPr>
          <w:spacing w:val="-24"/>
        </w:rPr>
        <w:t>，</w:t>
      </w:r>
      <w:r>
        <w:t>消除风险隐患</w:t>
      </w:r>
      <w:r>
        <w:rPr>
          <w:spacing w:val="-24"/>
        </w:rPr>
        <w:t>，</w:t>
      </w:r>
      <w:r>
        <w:t>杜绝安全及环境事故</w:t>
      </w:r>
      <w:r>
        <w:rPr>
          <w:spacing w:val="-22"/>
        </w:rPr>
        <w:t>，</w:t>
      </w:r>
      <w:r>
        <w:t>实现填埋场安全管理。</w:t>
      </w:r>
    </w:p>
    <w:p w14:paraId="4A45CB61">
      <w:pPr>
        <w:pStyle w:val="4"/>
        <w:ind w:firstLine="480"/>
      </w:pPr>
      <w:r>
        <w:rPr>
          <w:rFonts w:eastAsia="Times New Roman" w:cs="Times New Roman"/>
        </w:rPr>
        <w:t>2</w:t>
      </w:r>
      <w:r>
        <w:rPr>
          <w:spacing w:val="-116"/>
        </w:rPr>
        <w:t>）</w:t>
      </w:r>
      <w:r>
        <w:t>配备专职安全</w:t>
      </w:r>
      <w:r>
        <w:rPr>
          <w:rFonts w:eastAsia="Times New Roman" w:cs="Times New Roman"/>
        </w:rPr>
        <w:t>&amp;</w:t>
      </w:r>
      <w:r>
        <w:t>环境管理人员</w:t>
      </w:r>
      <w:r>
        <w:rPr>
          <w:spacing w:val="-113"/>
        </w:rPr>
        <w:t>，</w:t>
      </w:r>
      <w:r>
        <w:t>负责填埋场的安全</w:t>
      </w:r>
      <w:r>
        <w:rPr>
          <w:rFonts w:eastAsia="Times New Roman" w:cs="Times New Roman"/>
        </w:rPr>
        <w:t>&amp;</w:t>
      </w:r>
      <w:r>
        <w:t>环境监测和管理工</w:t>
      </w:r>
      <w:r>
        <w:rPr>
          <w:spacing w:val="-1"/>
        </w:rPr>
        <w:t>作</w:t>
      </w:r>
      <w:r>
        <w:t>，加强日常巡检，及时监督和掌握污染情况，以便采取相应的防范措施。</w:t>
      </w:r>
    </w:p>
    <w:p w14:paraId="6EC45810">
      <w:pPr>
        <w:pStyle w:val="4"/>
        <w:ind w:firstLine="482"/>
      </w:pPr>
      <w:r>
        <w:rPr>
          <w:rFonts w:eastAsia="Times New Roman" w:cs="Times New Roman"/>
          <w:spacing w:val="1"/>
        </w:rPr>
        <w:t>3</w:t>
      </w:r>
      <w:r>
        <w:rPr>
          <w:spacing w:val="1"/>
        </w:rPr>
        <w:t>）治理期间，严格执行场区</w:t>
      </w:r>
      <w:r>
        <w:rPr>
          <w:rFonts w:eastAsia="Times New Roman" w:cs="Times New Roman"/>
          <w:spacing w:val="1"/>
        </w:rPr>
        <w:t>“</w:t>
      </w:r>
      <w:r>
        <w:rPr>
          <w:spacing w:val="1"/>
        </w:rPr>
        <w:t>安全及环境监测</w:t>
      </w:r>
      <w:r>
        <w:rPr>
          <w:rFonts w:eastAsia="Times New Roman" w:cs="Times New Roman"/>
          <w:spacing w:val="1"/>
        </w:rPr>
        <w:t>”</w:t>
      </w:r>
      <w:r>
        <w:rPr>
          <w:spacing w:val="1"/>
        </w:rPr>
        <w:t>工作，监测污染扩散风险及</w:t>
      </w:r>
      <w:r>
        <w:t>基础设施运行情况</w:t>
      </w:r>
      <w:r>
        <w:rPr>
          <w:spacing w:val="-32"/>
        </w:rPr>
        <w:t>，</w:t>
      </w:r>
      <w:r>
        <w:t>确保填埋场安全稳定运行</w:t>
      </w:r>
      <w:r>
        <w:rPr>
          <w:spacing w:val="-32"/>
        </w:rPr>
        <w:t>，</w:t>
      </w:r>
      <w:r>
        <w:t>并做好台账记录</w:t>
      </w:r>
      <w:r>
        <w:rPr>
          <w:spacing w:val="-32"/>
        </w:rPr>
        <w:t>，</w:t>
      </w:r>
      <w:r>
        <w:t>及时整理汇总分析监测数据，建立运行技术档案。</w:t>
      </w:r>
    </w:p>
    <w:p w14:paraId="42A11496">
      <w:pPr>
        <w:pStyle w:val="4"/>
        <w:ind w:firstLine="480"/>
      </w:pPr>
      <w:r>
        <w:rPr>
          <w:rFonts w:eastAsia="Times New Roman" w:cs="Times New Roman"/>
        </w:rPr>
        <w:t>4</w:t>
      </w:r>
      <w:r>
        <w:rPr>
          <w:spacing w:val="-24"/>
        </w:rPr>
        <w:t>）</w:t>
      </w:r>
      <w:r>
        <w:rPr>
          <w:spacing w:val="12"/>
        </w:rPr>
        <w:t>做好填埋场环境保护工作</w:t>
      </w:r>
      <w:r>
        <w:rPr>
          <w:spacing w:val="-12"/>
        </w:rPr>
        <w:t>，</w:t>
      </w:r>
      <w:r>
        <w:rPr>
          <w:spacing w:val="12"/>
        </w:rPr>
        <w:t>采取合理措施防治废水</w:t>
      </w:r>
      <w:r>
        <w:rPr>
          <w:spacing w:val="-12"/>
        </w:rPr>
        <w:t>、</w:t>
      </w:r>
      <w:r>
        <w:rPr>
          <w:spacing w:val="12"/>
        </w:rPr>
        <w:t>废气</w:t>
      </w:r>
      <w:r>
        <w:rPr>
          <w:spacing w:val="-10"/>
        </w:rPr>
        <w:t>、</w:t>
      </w:r>
      <w:r>
        <w:rPr>
          <w:spacing w:val="12"/>
        </w:rPr>
        <w:t>固废等</w:t>
      </w:r>
      <w:r>
        <w:t>污</w:t>
      </w:r>
      <w:r>
        <w:rPr>
          <w:spacing w:val="10"/>
        </w:rPr>
        <w:t>染，防止噪声扰民。</w:t>
      </w:r>
    </w:p>
    <w:p w14:paraId="52A493AF">
      <w:pPr>
        <w:pStyle w:val="4"/>
        <w:ind w:firstLine="480"/>
      </w:pPr>
      <w:r>
        <w:rPr>
          <w:rFonts w:eastAsia="Times New Roman" w:cs="Times New Roman"/>
        </w:rPr>
        <w:t>5</w:t>
      </w:r>
      <w:r>
        <w:t>）做好填埋场各类环保及基础设施维护工作，确保各项环保设施的正常运</w:t>
      </w:r>
      <w:r>
        <w:rPr>
          <w:spacing w:val="-3"/>
        </w:rPr>
        <w:t>转，重点包括：垃圾坝渗漏情况巡查、雨污分流设施清堵、调节池水位观测、排</w:t>
      </w:r>
      <w:r>
        <w:t>污管道各级泵房设施维护等。</w:t>
      </w:r>
    </w:p>
    <w:p w14:paraId="7E97345B">
      <w:pPr>
        <w:pStyle w:val="4"/>
        <w:ind w:firstLine="480"/>
      </w:pPr>
      <w:r>
        <w:rPr>
          <w:rFonts w:eastAsia="Times New Roman" w:cs="Times New Roman"/>
        </w:rPr>
        <w:t>6</w:t>
      </w:r>
      <w:r>
        <w:t>）保持场内道路、供电、给排水、照明等基础设施完好，雨季来临前应提前准备</w:t>
      </w:r>
      <w:r>
        <w:rPr>
          <w:spacing w:val="-32"/>
        </w:rPr>
        <w:t>，</w:t>
      </w:r>
      <w:r>
        <w:t>暴雨天气加强现场巡查</w:t>
      </w:r>
      <w:r>
        <w:rPr>
          <w:spacing w:val="-32"/>
        </w:rPr>
        <w:t>，</w:t>
      </w:r>
      <w:r>
        <w:t>重点检查截洪沟雨污分流效果</w:t>
      </w:r>
      <w:r>
        <w:rPr>
          <w:spacing w:val="-32"/>
        </w:rPr>
        <w:t>、</w:t>
      </w:r>
      <w:r>
        <w:t>垃圾堆体稳定性、渗滤液调节池水位、水量等，及时消除各类风险隐患。</w:t>
      </w:r>
    </w:p>
    <w:p w14:paraId="720D3239">
      <w:pPr>
        <w:pStyle w:val="4"/>
        <w:ind w:firstLine="480"/>
      </w:pPr>
      <w:r>
        <w:rPr>
          <w:rFonts w:eastAsia="Times New Roman" w:cs="Times New Roman"/>
        </w:rPr>
        <w:t>7</w:t>
      </w:r>
      <w:r>
        <w:t>）根据填埋场风险隐患，做好环境、安全及社会稳定风险应急预案等，严格执行相关预防措施，预防污染事故、安全事故的发生，维护社会稳定。</w:t>
      </w:r>
    </w:p>
    <w:p w14:paraId="0CAF947F">
      <w:pPr>
        <w:pStyle w:val="4"/>
        <w:ind w:firstLine="508"/>
      </w:pPr>
      <w:r>
        <w:rPr>
          <w:rFonts w:eastAsia="Times New Roman" w:cs="Times New Roman"/>
          <w:spacing w:val="14"/>
        </w:rPr>
        <w:t>8</w:t>
      </w:r>
      <w:r>
        <w:rPr>
          <w:spacing w:val="14"/>
        </w:rPr>
        <w:t>）做好劳动安全与职业卫生教育，配备劳保用品、防护用品等，保障</w:t>
      </w:r>
      <w:r>
        <w:rPr>
          <w:spacing w:val="11"/>
        </w:rPr>
        <w:t>施工及管理人员安全及健康。</w:t>
      </w:r>
    </w:p>
    <w:p w14:paraId="62DD4090">
      <w:pPr>
        <w:pStyle w:val="4"/>
        <w:ind w:firstLine="480"/>
        <w:rPr>
          <w:spacing w:val="11"/>
        </w:rPr>
      </w:pPr>
      <w:r>
        <w:rPr>
          <w:rFonts w:eastAsia="Times New Roman" w:cs="Times New Roman"/>
        </w:rPr>
        <w:t>9</w:t>
      </w:r>
      <w:r>
        <w:t>）相关管理部门按要求做好监督工作，强化环境监管责任，落实治理</w:t>
      </w:r>
      <w:r>
        <w:rPr>
          <w:spacing w:val="11"/>
        </w:rPr>
        <w:t>长效机制，推动环境安全工作全面发展。</w:t>
      </w:r>
    </w:p>
    <w:p w14:paraId="40E2C554">
      <w:pPr>
        <w:pStyle w:val="3"/>
      </w:pPr>
      <w:bookmarkStart w:id="60" w:name="_Toc174443620"/>
      <w:r>
        <w:rPr>
          <w:rFonts w:hint="eastAsia"/>
        </w:rPr>
        <w:t>9.2 环境监测</w:t>
      </w:r>
      <w:bookmarkEnd w:id="60"/>
    </w:p>
    <w:p w14:paraId="753BD8A6">
      <w:pPr>
        <w:pStyle w:val="5"/>
        <w:spacing w:before="156" w:beforeLines="50"/>
        <w:ind w:firstLine="281" w:firstLineChars="100"/>
      </w:pPr>
      <w:bookmarkStart w:id="61" w:name="_Toc174443622"/>
      <w:r>
        <w:rPr>
          <w:rFonts w:hint="eastAsia"/>
        </w:rPr>
        <w:t xml:space="preserve"> 实施过程环境监测</w:t>
      </w:r>
      <w:bookmarkEnd w:id="61"/>
    </w:p>
    <w:p w14:paraId="2BDBBB5E">
      <w:pPr>
        <w:pStyle w:val="4"/>
        <w:ind w:firstLine="480"/>
      </w:pPr>
      <w:r>
        <w:rPr>
          <w:rFonts w:hint="eastAsia"/>
        </w:rPr>
        <w:t>在乌牛山填埋场开挖外运实施过程期间，需委托有资质单位开展施工过程环境监测。包括开挖周边场界无组织废气、</w:t>
      </w:r>
      <w:r>
        <w:t>施工过程动态监测</w:t>
      </w:r>
      <w:r>
        <w:rPr>
          <w:rFonts w:hint="eastAsia"/>
        </w:rPr>
        <w:t>、施工区域外排雨水达标监测等。</w:t>
      </w:r>
    </w:p>
    <w:p w14:paraId="72A8BFA1">
      <w:pPr>
        <w:pStyle w:val="6"/>
      </w:pPr>
      <w:r>
        <w:rPr>
          <w:rFonts w:hint="eastAsia"/>
        </w:rPr>
        <w:t>9.1.</w:t>
      </w:r>
      <w:r>
        <w:t>大气污染监测</w:t>
      </w:r>
    </w:p>
    <w:p w14:paraId="25A89232">
      <w:pPr>
        <w:pStyle w:val="4"/>
        <w:ind w:firstLine="480"/>
      </w:pPr>
      <w:r>
        <w:t>大气污染监测分为无组织排放监测及施工过程动态监测。</w:t>
      </w:r>
    </w:p>
    <w:p w14:paraId="09BC84BB">
      <w:pPr>
        <w:pStyle w:val="4"/>
        <w:ind w:firstLine="480"/>
      </w:pPr>
      <w:r>
        <w:rPr>
          <w:rFonts w:hint="eastAsia"/>
        </w:rPr>
        <w:t>1、</w:t>
      </w:r>
      <w:r>
        <w:t>无组织排放监测</w:t>
      </w:r>
    </w:p>
    <w:p w14:paraId="3BF61437">
      <w:pPr>
        <w:pStyle w:val="4"/>
        <w:ind w:firstLine="480"/>
      </w:pPr>
      <w:r>
        <w:rPr>
          <w:rFonts w:hint="eastAsia"/>
        </w:rPr>
        <w:t>（1）</w:t>
      </w:r>
      <w:r>
        <w:t>监测点位</w:t>
      </w:r>
    </w:p>
    <w:p w14:paraId="56958920">
      <w:pPr>
        <w:pStyle w:val="4"/>
        <w:ind w:firstLine="480"/>
      </w:pPr>
      <w:r>
        <w:rPr>
          <w:rFonts w:hint="eastAsia"/>
        </w:rPr>
        <w:t>根据场地修复范围及全年主导风向，分别在场地的上风向、下风向、场界四周环境敏感区方位分别设置大气采样点。同时，考虑场地周边村庄环境敏感点设置监测点位。</w:t>
      </w:r>
    </w:p>
    <w:p w14:paraId="5820EBAD">
      <w:pPr>
        <w:pStyle w:val="4"/>
        <w:ind w:firstLine="480"/>
      </w:pPr>
      <w:r>
        <w:t>（2）监测频次</w:t>
      </w:r>
    </w:p>
    <w:p w14:paraId="314A8068">
      <w:pPr>
        <w:pStyle w:val="4"/>
        <w:ind w:firstLine="480"/>
      </w:pPr>
      <w:r>
        <w:t>针对上图中所示监测点，每月由施工单位进行一次取样监测。 具体监测频次见下表。</w:t>
      </w:r>
    </w:p>
    <w:p w14:paraId="7AD415A9">
      <w:pPr>
        <w:pStyle w:val="38"/>
        <w:spacing w:before="156"/>
      </w:pPr>
      <w:r>
        <w:t>表</w:t>
      </w:r>
      <w:r>
        <w:rPr>
          <w:rFonts w:hint="eastAsia"/>
        </w:rPr>
        <w:t>9.1</w:t>
      </w:r>
      <w:r>
        <w:t xml:space="preserve"> 监测频次统计</w:t>
      </w:r>
    </w:p>
    <w:tbl>
      <w:tblPr>
        <w:tblStyle w:val="48"/>
        <w:tblW w:w="0" w:type="auto"/>
        <w:jc w:val="center"/>
        <w:tblBorders>
          <w:top w:val="double" w:color="auto" w:sz="4" w:space="0"/>
          <w:left w:val="none" w:color="auto" w:sz="0" w:space="0"/>
          <w:bottom w:val="doub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085"/>
        <w:gridCol w:w="5437"/>
      </w:tblGrid>
      <w:tr w14:paraId="74CA803C">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vAlign w:val="center"/>
          </w:tcPr>
          <w:p w14:paraId="26DCA1D1">
            <w:pPr>
              <w:pStyle w:val="36"/>
            </w:pPr>
            <w:r>
              <w:t>监测时间</w:t>
            </w:r>
          </w:p>
        </w:tc>
        <w:tc>
          <w:tcPr>
            <w:tcW w:w="5437" w:type="dxa"/>
            <w:vAlign w:val="center"/>
          </w:tcPr>
          <w:p w14:paraId="4E3716CD">
            <w:pPr>
              <w:pStyle w:val="36"/>
            </w:pPr>
            <w:r>
              <w:t>监测频次</w:t>
            </w:r>
          </w:p>
        </w:tc>
      </w:tr>
      <w:tr w14:paraId="2AC81DF8">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vAlign w:val="center"/>
          </w:tcPr>
          <w:p w14:paraId="1D04543B">
            <w:pPr>
              <w:pStyle w:val="36"/>
            </w:pPr>
            <w:r>
              <w:t>施工前期</w:t>
            </w:r>
          </w:p>
        </w:tc>
        <w:tc>
          <w:tcPr>
            <w:tcW w:w="5437" w:type="dxa"/>
            <w:vAlign w:val="center"/>
          </w:tcPr>
          <w:p w14:paraId="59863347">
            <w:pPr>
              <w:pStyle w:val="36"/>
            </w:pPr>
            <w:r>
              <w:t>施工前期采样检测背景值，空气采样监测1次</w:t>
            </w:r>
          </w:p>
        </w:tc>
      </w:tr>
      <w:tr w14:paraId="036FBFFF">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vAlign w:val="center"/>
          </w:tcPr>
          <w:p w14:paraId="1FE5047B">
            <w:pPr>
              <w:pStyle w:val="36"/>
            </w:pPr>
            <w:r>
              <w:t>施工阶段</w:t>
            </w:r>
          </w:p>
        </w:tc>
        <w:tc>
          <w:tcPr>
            <w:tcW w:w="5437" w:type="dxa"/>
            <w:vAlign w:val="center"/>
          </w:tcPr>
          <w:p w14:paraId="22A683DA">
            <w:pPr>
              <w:pStyle w:val="36"/>
            </w:pPr>
            <w:r>
              <w:t>每月取样监测1次</w:t>
            </w:r>
          </w:p>
        </w:tc>
      </w:tr>
      <w:tr w14:paraId="1C23436B">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085" w:type="dxa"/>
            <w:vAlign w:val="center"/>
          </w:tcPr>
          <w:p w14:paraId="49DFBA74">
            <w:pPr>
              <w:pStyle w:val="36"/>
            </w:pPr>
            <w:r>
              <w:t>施工完成</w:t>
            </w:r>
          </w:p>
        </w:tc>
        <w:tc>
          <w:tcPr>
            <w:tcW w:w="5437" w:type="dxa"/>
            <w:vAlign w:val="center"/>
          </w:tcPr>
          <w:p w14:paraId="1D336DD2">
            <w:pPr>
              <w:pStyle w:val="36"/>
            </w:pPr>
            <w:r>
              <w:t>空气采样监测1次</w:t>
            </w:r>
          </w:p>
        </w:tc>
      </w:tr>
    </w:tbl>
    <w:p w14:paraId="2EA94549">
      <w:pPr>
        <w:pStyle w:val="4"/>
        <w:spacing w:before="156" w:beforeLines="50"/>
        <w:ind w:firstLine="480"/>
      </w:pPr>
      <w:r>
        <w:rPr>
          <w:rFonts w:hint="eastAsia"/>
        </w:rPr>
        <w:t>（3）</w:t>
      </w:r>
      <w:r>
        <w:t>监测指标 本项目中无组织排放监测的主要控制污染物指标包括：</w:t>
      </w:r>
      <w:r>
        <w:rPr>
          <w:rFonts w:hint="eastAsia"/>
        </w:rPr>
        <w:t>恶臭、甲烷</w:t>
      </w:r>
      <w:r>
        <w:t>、</w:t>
      </w:r>
      <w:r>
        <w:rPr>
          <w:rFonts w:hint="eastAsia"/>
        </w:rPr>
        <w:t>硫化氢、</w:t>
      </w:r>
      <w:r>
        <w:t>颗粒物等。</w:t>
      </w:r>
    </w:p>
    <w:p w14:paraId="35A77CA6">
      <w:pPr>
        <w:pStyle w:val="4"/>
        <w:ind w:firstLine="480"/>
      </w:pPr>
      <w:r>
        <w:t>（</w:t>
      </w:r>
      <w:r>
        <w:rPr>
          <w:rFonts w:hint="eastAsia"/>
        </w:rPr>
        <w:t>4</w:t>
      </w:r>
      <w:r>
        <w:t>）排放标准</w:t>
      </w:r>
    </w:p>
    <w:p w14:paraId="297A13C6">
      <w:pPr>
        <w:pStyle w:val="4"/>
        <w:ind w:firstLine="480"/>
      </w:pPr>
      <w:r>
        <w:t>本项目修复过程中的场界污染物无组织排放的标准执行《大气污染物综合排 放标准》（GB16297-1996）中表2中的无组织排放标准。</w:t>
      </w:r>
    </w:p>
    <w:p w14:paraId="2BAD0CEC">
      <w:pPr>
        <w:pStyle w:val="4"/>
        <w:ind w:firstLine="480"/>
      </w:pPr>
      <w:r>
        <w:rPr>
          <w:rFonts w:hint="eastAsia"/>
        </w:rPr>
        <w:t>2</w:t>
      </w:r>
      <w:r>
        <w:t>、施工过程动态监测</w:t>
      </w:r>
    </w:p>
    <w:p w14:paraId="7ED4E4EE">
      <w:pPr>
        <w:pStyle w:val="4"/>
        <w:ind w:firstLine="480"/>
      </w:pPr>
      <w:r>
        <w:t>现场实施过程中，由于施工过程的不确定性，在清挖、运输等过程中，任何施工过程中的不确定事件（如施工作业面的调整、重污染区域 的清挖、设备设施故障等），均有可能对周边环境造成污染影响，为了能够及时 发现污染隐患，需要一种快速监测手段，对现场进行动态监测，一旦发现异常， 能够及时指导现场施工，通过调整施工方式、加强污染防治措施等手段，及时排 除污染隐患，避免造成污染影响。</w:t>
      </w:r>
      <w:r>
        <w:rPr>
          <w:rFonts w:hint="eastAsia"/>
        </w:rPr>
        <w:t>本填埋场主要以生活垃圾为主</w:t>
      </w:r>
      <w:r>
        <w:t>，</w:t>
      </w:r>
      <w:r>
        <w:rPr>
          <w:rFonts w:hint="eastAsia"/>
        </w:rPr>
        <w:t>由于施工不当等可能会照成甲烷气体超标</w:t>
      </w:r>
      <w:r>
        <w:t>，考虑</w:t>
      </w:r>
      <w:r>
        <w:rPr>
          <w:rFonts w:hint="eastAsia"/>
        </w:rPr>
        <w:t>甲烷气体</w:t>
      </w:r>
      <w:r>
        <w:t>造成的污染</w:t>
      </w:r>
      <w:r>
        <w:rPr>
          <w:rFonts w:hint="eastAsia"/>
        </w:rPr>
        <w:t>和安全风险</w:t>
      </w:r>
      <w:r>
        <w:t>。 便携式</w:t>
      </w:r>
      <w:r>
        <w:rPr>
          <w:rFonts w:hint="eastAsia"/>
        </w:rPr>
        <w:t>甲烷</w:t>
      </w:r>
      <w:r>
        <w:t>气体检测仪能够快速监测环境中</w:t>
      </w:r>
      <w:r>
        <w:rPr>
          <w:rFonts w:hint="eastAsia"/>
        </w:rPr>
        <w:t>甲烷</w:t>
      </w:r>
      <w:r>
        <w:t>浓度，为施工现场环境影响快速反应提供参考依据。因此，本</w:t>
      </w:r>
      <w:r>
        <w:rPr>
          <w:rFonts w:hint="eastAsia"/>
        </w:rPr>
        <w:t>项目</w:t>
      </w:r>
      <w:r>
        <w:t>拟使用便携式</w:t>
      </w:r>
      <w:r>
        <w:rPr>
          <w:rFonts w:hint="eastAsia"/>
        </w:rPr>
        <w:t>甲烷</w:t>
      </w:r>
      <w:r>
        <w:t>气体检测仪对项目施工现场不同区域进行动态监测。</w:t>
      </w:r>
    </w:p>
    <w:p w14:paraId="108DD1D2">
      <w:pPr>
        <w:pStyle w:val="38"/>
        <w:spacing w:before="156"/>
      </w:pPr>
      <w:r>
        <w:t>表</w:t>
      </w:r>
      <w:r>
        <w:rPr>
          <w:rFonts w:hint="eastAsia"/>
        </w:rPr>
        <w:t>9.1</w:t>
      </w:r>
      <w:r>
        <w:rPr>
          <w:rFonts w:hint="eastAsia"/>
          <w:lang w:val="en-US" w:eastAsia="zh-CN"/>
        </w:rPr>
        <w:t>-2</w:t>
      </w:r>
      <w:r>
        <w:t xml:space="preserve"> 施工过程动态监测计划</w:t>
      </w:r>
    </w:p>
    <w:tbl>
      <w:tblPr>
        <w:tblStyle w:val="48"/>
        <w:tblW w:w="0" w:type="auto"/>
        <w:jc w:val="center"/>
        <w:tblBorders>
          <w:top w:val="double" w:color="auto" w:sz="4" w:space="0"/>
          <w:left w:val="none" w:color="auto" w:sz="0" w:space="0"/>
          <w:bottom w:val="doub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4FEDC15E">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vAlign w:val="center"/>
          </w:tcPr>
          <w:p w14:paraId="67D0EA52">
            <w:pPr>
              <w:pStyle w:val="36"/>
            </w:pPr>
            <w:r>
              <w:t>项目</w:t>
            </w:r>
          </w:p>
        </w:tc>
        <w:tc>
          <w:tcPr>
            <w:tcW w:w="4261" w:type="dxa"/>
            <w:vAlign w:val="center"/>
          </w:tcPr>
          <w:p w14:paraId="06905191">
            <w:pPr>
              <w:pStyle w:val="36"/>
            </w:pPr>
            <w:r>
              <w:t>内容</w:t>
            </w:r>
          </w:p>
        </w:tc>
      </w:tr>
      <w:tr w14:paraId="20399F8E">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vAlign w:val="center"/>
          </w:tcPr>
          <w:p w14:paraId="44A72FA5">
            <w:pPr>
              <w:pStyle w:val="36"/>
            </w:pPr>
            <w:r>
              <w:t>点位布设</w:t>
            </w:r>
          </w:p>
        </w:tc>
        <w:tc>
          <w:tcPr>
            <w:tcW w:w="4261" w:type="dxa"/>
            <w:vAlign w:val="center"/>
          </w:tcPr>
          <w:p w14:paraId="752A08F0">
            <w:pPr>
              <w:pStyle w:val="36"/>
            </w:pPr>
            <w:r>
              <w:t>施工作业面、场界</w:t>
            </w:r>
          </w:p>
        </w:tc>
      </w:tr>
      <w:tr w14:paraId="253CDCBD">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vAlign w:val="center"/>
          </w:tcPr>
          <w:p w14:paraId="4DAD75D6">
            <w:pPr>
              <w:pStyle w:val="36"/>
            </w:pPr>
            <w:r>
              <w:t>监测频次</w:t>
            </w:r>
          </w:p>
        </w:tc>
        <w:tc>
          <w:tcPr>
            <w:tcW w:w="4261" w:type="dxa"/>
            <w:vAlign w:val="center"/>
          </w:tcPr>
          <w:p w14:paraId="363887AE">
            <w:pPr>
              <w:pStyle w:val="36"/>
            </w:pPr>
            <w:r>
              <w:rPr>
                <w:rFonts w:hint="eastAsia"/>
              </w:rPr>
              <w:t>实时监测</w:t>
            </w:r>
          </w:p>
        </w:tc>
      </w:tr>
      <w:tr w14:paraId="630E5564">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vAlign w:val="center"/>
          </w:tcPr>
          <w:p w14:paraId="5132ECEA">
            <w:pPr>
              <w:pStyle w:val="36"/>
            </w:pPr>
            <w:r>
              <w:t>监测指标</w:t>
            </w:r>
          </w:p>
        </w:tc>
        <w:tc>
          <w:tcPr>
            <w:tcW w:w="4261" w:type="dxa"/>
            <w:vAlign w:val="center"/>
          </w:tcPr>
          <w:p w14:paraId="63F8C3E0">
            <w:pPr>
              <w:pStyle w:val="36"/>
            </w:pPr>
            <w:r>
              <w:rPr>
                <w:rFonts w:hint="eastAsia"/>
              </w:rPr>
              <w:t>甲烷</w:t>
            </w:r>
          </w:p>
        </w:tc>
      </w:tr>
    </w:tbl>
    <w:p w14:paraId="6EB86787">
      <w:pPr>
        <w:pStyle w:val="6"/>
        <w:spacing w:before="156" w:beforeLines="50"/>
      </w:pPr>
      <w:r>
        <w:rPr>
          <w:rFonts w:hint="eastAsia"/>
        </w:rPr>
        <w:t>9.</w:t>
      </w:r>
      <w:r>
        <w:rPr>
          <w:rFonts w:hint="eastAsia"/>
          <w:lang w:val="en-US" w:eastAsia="zh-CN"/>
        </w:rPr>
        <w:t>2</w:t>
      </w:r>
      <w:r>
        <w:rPr>
          <w:rFonts w:hint="eastAsia"/>
        </w:rPr>
        <w:t xml:space="preserve"> 水</w:t>
      </w:r>
      <w:r>
        <w:t>污染监测</w:t>
      </w:r>
    </w:p>
    <w:p w14:paraId="27C2F7A1">
      <w:pPr>
        <w:pStyle w:val="4"/>
        <w:ind w:firstLine="480"/>
      </w:pPr>
      <w:r>
        <w:rPr>
          <w:rFonts w:hint="eastAsia"/>
        </w:rPr>
        <w:t>本项目产生的生产废水经填埋场渗滤液处理站处理后达标纳管排放，相关监测按自行监测要求执行，针对本项目实施期间外排雨水需进行定期监测，确保开挖作业期间雨污分流措施到位，未对库区其他区域雨水照成污染。</w:t>
      </w:r>
    </w:p>
    <w:p w14:paraId="7B535773">
      <w:pPr>
        <w:pStyle w:val="4"/>
        <w:ind w:firstLine="480"/>
      </w:pPr>
      <w:r>
        <w:t>（1）监测点位</w:t>
      </w:r>
    </w:p>
    <w:p w14:paraId="13935682">
      <w:pPr>
        <w:pStyle w:val="4"/>
        <w:ind w:firstLine="480"/>
      </w:pPr>
      <w:r>
        <w:rPr>
          <w:rFonts w:hint="eastAsia"/>
        </w:rPr>
        <w:t>库底雨水收集集水池。</w:t>
      </w:r>
    </w:p>
    <w:p w14:paraId="261D88C6">
      <w:pPr>
        <w:pStyle w:val="4"/>
        <w:ind w:firstLine="480"/>
      </w:pPr>
      <w:r>
        <w:t>（2）监测频次</w:t>
      </w:r>
    </w:p>
    <w:p w14:paraId="616A4D42">
      <w:pPr>
        <w:pStyle w:val="4"/>
        <w:ind w:firstLine="480"/>
      </w:pPr>
      <w:r>
        <w:rPr>
          <w:rFonts w:hint="eastAsia"/>
        </w:rPr>
        <w:t>每次雨水外排箱涵前或下雨期间。</w:t>
      </w:r>
    </w:p>
    <w:p w14:paraId="402F6ECD">
      <w:pPr>
        <w:pStyle w:val="4"/>
        <w:ind w:firstLine="480"/>
      </w:pPr>
      <w:r>
        <w:t>（3）监测指标 监测指标包括：</w:t>
      </w:r>
      <w:r>
        <w:rPr>
          <w:rFonts w:hint="eastAsia"/>
        </w:rPr>
        <w:t>PH、</w:t>
      </w:r>
      <w:r>
        <w:t>COD、氨氮、总氮等。</w:t>
      </w:r>
    </w:p>
    <w:p w14:paraId="1812B3CB">
      <w:pPr>
        <w:pStyle w:val="6"/>
      </w:pPr>
      <w:r>
        <w:rPr>
          <w:rFonts w:hint="eastAsia"/>
        </w:rPr>
        <w:t>9.3</w:t>
      </w:r>
      <w:r>
        <w:t xml:space="preserve"> 噪声污染监测</w:t>
      </w:r>
    </w:p>
    <w:p w14:paraId="7CAC2328">
      <w:pPr>
        <w:pStyle w:val="4"/>
        <w:ind w:firstLine="480"/>
      </w:pPr>
      <w:r>
        <w:t>本项目施工现场设备设施较多，在施工</w:t>
      </w:r>
      <w:r>
        <w:rPr>
          <w:rFonts w:hint="eastAsia"/>
        </w:rPr>
        <w:t>项目</w:t>
      </w:r>
      <w:r>
        <w:t>中需加强噪声的监控，采取有效 措施防止噪声污染。在</w:t>
      </w:r>
      <w:r>
        <w:rPr>
          <w:rFonts w:hint="eastAsia"/>
        </w:rPr>
        <w:t>项目</w:t>
      </w:r>
      <w:r>
        <w:t>实施过程中，机械作业产生的噪声采取不定时监 测及定期定频率监测相结合方法执行。</w:t>
      </w:r>
    </w:p>
    <w:p w14:paraId="59379D58">
      <w:pPr>
        <w:pStyle w:val="4"/>
        <w:ind w:firstLine="480"/>
      </w:pPr>
      <w:r>
        <w:t>施工过程噪声影响监测计划如下表。</w:t>
      </w:r>
    </w:p>
    <w:p w14:paraId="030E4F0B">
      <w:pPr>
        <w:pStyle w:val="38"/>
        <w:spacing w:before="156"/>
      </w:pPr>
      <w:r>
        <w:t>表</w:t>
      </w:r>
      <w:r>
        <w:rPr>
          <w:rFonts w:hint="eastAsia"/>
        </w:rPr>
        <w:t>9.</w:t>
      </w:r>
      <w:r>
        <w:rPr>
          <w:rFonts w:hint="eastAsia"/>
          <w:lang w:val="en-US" w:eastAsia="zh-CN"/>
        </w:rPr>
        <w:t>3</w:t>
      </w:r>
      <w:r>
        <w:rPr>
          <w:rFonts w:hint="eastAsia"/>
        </w:rPr>
        <w:t xml:space="preserve"> </w:t>
      </w:r>
      <w:r>
        <w:t>噪声影响监测计划</w:t>
      </w:r>
    </w:p>
    <w:tbl>
      <w:tblPr>
        <w:tblStyle w:val="48"/>
        <w:tblW w:w="0" w:type="auto"/>
        <w:jc w:val="center"/>
        <w:tblBorders>
          <w:top w:val="double" w:color="auto" w:sz="4" w:space="0"/>
          <w:left w:val="none" w:color="auto" w:sz="0" w:space="0"/>
          <w:bottom w:val="doub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518"/>
        <w:gridCol w:w="6004"/>
      </w:tblGrid>
      <w:tr w14:paraId="16F19003">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vAlign w:val="center"/>
          </w:tcPr>
          <w:p w14:paraId="692D7EDF">
            <w:pPr>
              <w:pStyle w:val="36"/>
            </w:pPr>
            <w:r>
              <w:rPr>
                <w:rFonts w:hint="eastAsia"/>
              </w:rPr>
              <w:t>项目</w:t>
            </w:r>
          </w:p>
        </w:tc>
        <w:tc>
          <w:tcPr>
            <w:tcW w:w="6004" w:type="dxa"/>
            <w:vAlign w:val="center"/>
          </w:tcPr>
          <w:p w14:paraId="0614C611">
            <w:pPr>
              <w:pStyle w:val="36"/>
            </w:pPr>
            <w:r>
              <w:t>监测计划与内容</w:t>
            </w:r>
          </w:p>
        </w:tc>
      </w:tr>
      <w:tr w14:paraId="39E9BA11">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vAlign w:val="center"/>
          </w:tcPr>
          <w:p w14:paraId="0D5933B9">
            <w:pPr>
              <w:pStyle w:val="36"/>
            </w:pPr>
            <w:r>
              <w:t>布点方法</w:t>
            </w:r>
          </w:p>
        </w:tc>
        <w:tc>
          <w:tcPr>
            <w:tcW w:w="6004" w:type="dxa"/>
            <w:vAlign w:val="center"/>
          </w:tcPr>
          <w:p w14:paraId="1CF97E89">
            <w:pPr>
              <w:pStyle w:val="36"/>
            </w:pPr>
            <w:r>
              <w:rPr>
                <w:rFonts w:hint="eastAsia"/>
              </w:rPr>
              <w:t>厂界四周及设计敏感点</w:t>
            </w:r>
          </w:p>
        </w:tc>
      </w:tr>
      <w:tr w14:paraId="0FA98FE5">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vAlign w:val="center"/>
          </w:tcPr>
          <w:p w14:paraId="3BF129AF">
            <w:pPr>
              <w:pStyle w:val="36"/>
            </w:pPr>
            <w:r>
              <w:t>监测频次</w:t>
            </w:r>
          </w:p>
        </w:tc>
        <w:tc>
          <w:tcPr>
            <w:tcW w:w="6004" w:type="dxa"/>
            <w:vAlign w:val="center"/>
          </w:tcPr>
          <w:p w14:paraId="3E941E64">
            <w:pPr>
              <w:pStyle w:val="36"/>
            </w:pPr>
            <w:r>
              <w:t>每月监测1次</w:t>
            </w:r>
          </w:p>
        </w:tc>
      </w:tr>
      <w:tr w14:paraId="3813E6AE">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vAlign w:val="center"/>
          </w:tcPr>
          <w:p w14:paraId="6EDD906C">
            <w:pPr>
              <w:pStyle w:val="36"/>
            </w:pPr>
            <w:r>
              <w:t>评价标准</w:t>
            </w:r>
          </w:p>
        </w:tc>
        <w:tc>
          <w:tcPr>
            <w:tcW w:w="6004" w:type="dxa"/>
            <w:vAlign w:val="center"/>
          </w:tcPr>
          <w:p w14:paraId="5C011E11">
            <w:pPr>
              <w:pStyle w:val="36"/>
            </w:pPr>
            <w:r>
              <w:t>《建筑施工场界环境噪声排放标准》（GB12523-2011）</w:t>
            </w:r>
          </w:p>
        </w:tc>
      </w:tr>
    </w:tbl>
    <w:p w14:paraId="57E89FE4">
      <w:pPr>
        <w:pStyle w:val="6"/>
        <w:spacing w:before="156" w:beforeLines="50"/>
      </w:pPr>
      <w:r>
        <w:rPr>
          <w:rFonts w:hint="eastAsia"/>
        </w:rPr>
        <w:t>9.4</w:t>
      </w:r>
      <w:r>
        <w:t xml:space="preserve"> 环境应急监测</w:t>
      </w:r>
    </w:p>
    <w:p w14:paraId="0B15EB06">
      <w:pPr>
        <w:pStyle w:val="4"/>
        <w:ind w:firstLine="480"/>
      </w:pPr>
      <w:r>
        <w:t>环境应急监测计划见下表。</w:t>
      </w:r>
    </w:p>
    <w:p w14:paraId="67FBC3C5">
      <w:pPr>
        <w:pStyle w:val="38"/>
        <w:spacing w:before="156"/>
      </w:pPr>
      <w:r>
        <w:t>表</w:t>
      </w:r>
      <w:r>
        <w:rPr>
          <w:rFonts w:hint="eastAsia"/>
        </w:rPr>
        <w:t>9.4</w:t>
      </w:r>
      <w:r>
        <w:t xml:space="preserve"> 环境应急监测计划</w:t>
      </w:r>
    </w:p>
    <w:tbl>
      <w:tblPr>
        <w:tblStyle w:val="48"/>
        <w:tblW w:w="0" w:type="auto"/>
        <w:jc w:val="center"/>
        <w:tblBorders>
          <w:top w:val="double" w:color="auto" w:sz="4" w:space="0"/>
          <w:left w:val="none" w:color="auto" w:sz="0" w:space="0"/>
          <w:bottom w:val="doub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6713"/>
      </w:tblGrid>
      <w:tr w14:paraId="39FBD096">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vAlign w:val="center"/>
          </w:tcPr>
          <w:p w14:paraId="517CBAB8">
            <w:pPr>
              <w:pStyle w:val="36"/>
            </w:pPr>
            <w:r>
              <w:rPr>
                <w:rFonts w:hint="eastAsia"/>
              </w:rPr>
              <w:t>项目</w:t>
            </w:r>
          </w:p>
        </w:tc>
        <w:tc>
          <w:tcPr>
            <w:tcW w:w="6713" w:type="dxa"/>
            <w:vAlign w:val="center"/>
          </w:tcPr>
          <w:p w14:paraId="7C923925">
            <w:pPr>
              <w:pStyle w:val="36"/>
            </w:pPr>
            <w:r>
              <w:t>内容</w:t>
            </w:r>
          </w:p>
        </w:tc>
      </w:tr>
      <w:tr w14:paraId="58EA457D">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vMerge w:val="restart"/>
            <w:vAlign w:val="center"/>
          </w:tcPr>
          <w:p w14:paraId="465A5A0C">
            <w:pPr>
              <w:pStyle w:val="36"/>
            </w:pPr>
            <w:r>
              <w:t>应急监测的必要性</w:t>
            </w:r>
          </w:p>
        </w:tc>
        <w:tc>
          <w:tcPr>
            <w:tcW w:w="6713" w:type="dxa"/>
            <w:vAlign w:val="center"/>
          </w:tcPr>
          <w:p w14:paraId="69E10B16">
            <w:pPr>
              <w:pStyle w:val="36"/>
            </w:pPr>
            <w:r>
              <w:t>环境应急监测，作为例行环境监测的补充，是突发性环境污染事故处置中的首要环节，是对污染事故及时、正确地进行应急处理、减轻事故危害和制定回复措施的根本依据。</w:t>
            </w:r>
          </w:p>
        </w:tc>
      </w:tr>
      <w:tr w14:paraId="7E11138C">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vMerge w:val="continue"/>
            <w:vAlign w:val="center"/>
          </w:tcPr>
          <w:p w14:paraId="5F582385">
            <w:pPr>
              <w:pStyle w:val="36"/>
            </w:pPr>
          </w:p>
        </w:tc>
        <w:tc>
          <w:tcPr>
            <w:tcW w:w="6713" w:type="dxa"/>
            <w:vAlign w:val="center"/>
          </w:tcPr>
          <w:p w14:paraId="45B88514">
            <w:pPr>
              <w:pStyle w:val="36"/>
            </w:pPr>
            <w:r>
              <w:t>通过应急监测，可以起到应急响应作用，从而能够及时有效的突发环境污染施工进行处理，最大程度避免可能造成的环境污染影响。</w:t>
            </w:r>
          </w:p>
        </w:tc>
      </w:tr>
      <w:tr w14:paraId="63ACF518">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vMerge w:val="restart"/>
            <w:vAlign w:val="center"/>
          </w:tcPr>
          <w:p w14:paraId="4C12A56B">
            <w:pPr>
              <w:pStyle w:val="36"/>
            </w:pPr>
            <w:r>
              <w:t>应急监测启动条件</w:t>
            </w:r>
          </w:p>
        </w:tc>
        <w:tc>
          <w:tcPr>
            <w:tcW w:w="6713" w:type="dxa"/>
            <w:vAlign w:val="center"/>
          </w:tcPr>
          <w:p w14:paraId="0130F633">
            <w:pPr>
              <w:pStyle w:val="36"/>
            </w:pPr>
            <w:r>
              <w:t>当无组织排放监测或者固定源排放监测出现超标情况时，说明排放尾气可能对周边环境造成污染，需要启动应急监测；</w:t>
            </w:r>
          </w:p>
        </w:tc>
      </w:tr>
      <w:tr w14:paraId="658A0829">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vMerge w:val="continue"/>
            <w:vAlign w:val="center"/>
          </w:tcPr>
          <w:p w14:paraId="5EAC941A">
            <w:pPr>
              <w:pStyle w:val="36"/>
            </w:pPr>
          </w:p>
        </w:tc>
        <w:tc>
          <w:tcPr>
            <w:tcW w:w="6713" w:type="dxa"/>
            <w:vAlign w:val="center"/>
          </w:tcPr>
          <w:p w14:paraId="09E01B5A">
            <w:pPr>
              <w:pStyle w:val="36"/>
            </w:pPr>
            <w:r>
              <w:t>当设备设施在线监测出现预警指示时，说明设备实施或修复土壤出现异常，可能会对周边环境或作业人员造成污染影响，需要启动应急监测；</w:t>
            </w:r>
          </w:p>
        </w:tc>
      </w:tr>
      <w:tr w14:paraId="71768C44">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vMerge w:val="continue"/>
            <w:vAlign w:val="center"/>
          </w:tcPr>
          <w:p w14:paraId="6B56FFD9">
            <w:pPr>
              <w:pStyle w:val="36"/>
            </w:pPr>
          </w:p>
        </w:tc>
        <w:tc>
          <w:tcPr>
            <w:tcW w:w="6713" w:type="dxa"/>
            <w:vAlign w:val="center"/>
          </w:tcPr>
          <w:p w14:paraId="762B8B66">
            <w:pPr>
              <w:pStyle w:val="36"/>
            </w:pPr>
            <w:r>
              <w:t>当施工过程动态监测中某一点位的监测值出现异常，超过预警值时，说明该点位附近的施工可能存在污染隐患和污染影响，需要启动应急监测；</w:t>
            </w:r>
          </w:p>
        </w:tc>
      </w:tr>
      <w:tr w14:paraId="62A24ED9">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vMerge w:val="continue"/>
            <w:vAlign w:val="center"/>
          </w:tcPr>
          <w:p w14:paraId="3D30B517">
            <w:pPr>
              <w:pStyle w:val="36"/>
            </w:pPr>
          </w:p>
        </w:tc>
        <w:tc>
          <w:tcPr>
            <w:tcW w:w="6713" w:type="dxa"/>
            <w:vAlign w:val="center"/>
          </w:tcPr>
          <w:p w14:paraId="7D84F459">
            <w:pPr>
              <w:pStyle w:val="36"/>
            </w:pPr>
            <w:r>
              <w:t>在对现场施工作业存在不利气象条件（重污染天气、或是风向朝向周边居民小区）情况下；或者是周边居民群众强烈反应有较重异味，提出监测要求时；有可能对周边居民群众造成污染影响，需要启动应急监测；</w:t>
            </w:r>
          </w:p>
        </w:tc>
      </w:tr>
      <w:tr w14:paraId="52140FDD">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vMerge w:val="restart"/>
            <w:vAlign w:val="center"/>
          </w:tcPr>
          <w:p w14:paraId="7C0801F2">
            <w:pPr>
              <w:pStyle w:val="36"/>
            </w:pPr>
            <w:r>
              <w:t>应急监测内容</w:t>
            </w:r>
          </w:p>
        </w:tc>
        <w:tc>
          <w:tcPr>
            <w:tcW w:w="6713" w:type="dxa"/>
            <w:vAlign w:val="center"/>
          </w:tcPr>
          <w:p w14:paraId="2C98E698">
            <w:pPr>
              <w:pStyle w:val="36"/>
            </w:pPr>
            <w:r>
              <w:t>当无组织排放监测或者固定源排放监测出现超标情况，检查设备和尾气处理设施的运行情况、以及修复土壤的状态，采取更换活性炭、关停并检查维修设备、改变工况等措施，使尾气处理达标后再运转设备。这种情况下，需要进行应急监测，在原有监测基础上，加强监测频次，对无组织和固定源每周监测一次。</w:t>
            </w:r>
          </w:p>
        </w:tc>
      </w:tr>
      <w:tr w14:paraId="618887C9">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809" w:type="dxa"/>
            <w:vMerge w:val="continue"/>
            <w:vAlign w:val="center"/>
          </w:tcPr>
          <w:p w14:paraId="304633A7">
            <w:pPr>
              <w:pStyle w:val="36"/>
            </w:pPr>
          </w:p>
        </w:tc>
        <w:tc>
          <w:tcPr>
            <w:tcW w:w="6713" w:type="dxa"/>
            <w:vAlign w:val="center"/>
          </w:tcPr>
          <w:p w14:paraId="143D9955">
            <w:pPr>
              <w:pStyle w:val="36"/>
            </w:pPr>
            <w:r>
              <w:t>当设备设施在线监测出现预警，施工过程动态监测超过预警值，以及出现前述不利气象条件、周边居民群众强烈反应情况下，进行应急监测。检查现场施工作业环节、修复设备、尾气处理设施等是否正常，进行排查和整改，强化污染防治措施，消除污染隐患。同时，对施工过程动态监测，在原来的监测频次基础上，增加不少于1倍的频次。</w:t>
            </w:r>
          </w:p>
        </w:tc>
      </w:tr>
    </w:tbl>
    <w:p w14:paraId="036F053D">
      <w:pPr>
        <w:pStyle w:val="5"/>
        <w:spacing w:before="156" w:beforeLines="50"/>
      </w:pPr>
      <w:bookmarkStart w:id="62" w:name="_Toc174443623"/>
      <w:r>
        <w:rPr>
          <w:rFonts w:hint="eastAsia"/>
        </w:rPr>
        <w:t>9.</w:t>
      </w:r>
      <w:r>
        <w:rPr>
          <w:rFonts w:hint="eastAsia"/>
          <w:lang w:val="en-US" w:eastAsia="zh-CN"/>
        </w:rPr>
        <w:t>5</w:t>
      </w:r>
      <w:r>
        <w:rPr>
          <w:rFonts w:hint="eastAsia"/>
        </w:rPr>
        <w:t>实施完成后环境监测</w:t>
      </w:r>
      <w:bookmarkEnd w:id="62"/>
    </w:p>
    <w:p w14:paraId="204CDDBC">
      <w:pPr>
        <w:pStyle w:val="4"/>
        <w:ind w:firstLine="480"/>
      </w:pPr>
      <w:r>
        <w:rPr>
          <w:rFonts w:hint="eastAsia"/>
        </w:rPr>
        <w:t>乌牛山填埋场开完外运处置实施完成后，并对库区进行了覆膜，正常不会持续产生新的渗滤液，填埋场应该参照</w:t>
      </w:r>
      <w:r>
        <w:t>《生活垃圾填埋污染控制标准》（GB16889-2008）封场及后期维护与管理要求</w:t>
      </w:r>
      <w:r>
        <w:rPr>
          <w:rFonts w:hint="eastAsia"/>
        </w:rPr>
        <w:t>“</w:t>
      </w:r>
      <w:r>
        <w:t>封场后进入后期维护与管理阶段的生活垃圾填埋场应继续处理填埋场产生的渗滤液和填埋气</w:t>
      </w:r>
      <w:r>
        <w:rPr>
          <w:rFonts w:hint="eastAsia"/>
        </w:rPr>
        <w:t>，</w:t>
      </w:r>
      <w:r>
        <w:t>并定期进行监测</w:t>
      </w:r>
      <w:r>
        <w:rPr>
          <w:rFonts w:hint="eastAsia"/>
        </w:rPr>
        <w:t>，</w:t>
      </w:r>
      <w:r>
        <w:t>直到填埋场产生的渗滤液中水污染物质量浓度连续两年低于表</w:t>
      </w:r>
      <w:r>
        <w:rPr>
          <w:rFonts w:hint="eastAsia"/>
        </w:rPr>
        <w:t>2</w:t>
      </w:r>
      <w:r>
        <w:t>表</w:t>
      </w:r>
      <w:r>
        <w:rPr>
          <w:rFonts w:hint="eastAsia"/>
        </w:rPr>
        <w:t>3</w:t>
      </w:r>
      <w:r>
        <w:t>中的限值</w:t>
      </w:r>
      <w:r>
        <w:rPr>
          <w:rFonts w:hint="eastAsia"/>
        </w:rPr>
        <w:t>”。</w:t>
      </w:r>
    </w:p>
    <w:p w14:paraId="2144B4EB">
      <w:pPr>
        <w:pStyle w:val="4"/>
        <w:ind w:firstLine="480"/>
        <w:sectPr>
          <w:headerReference r:id="rId3" w:type="default"/>
          <w:footerReference r:id="rId4" w:type="default"/>
          <w:pgSz w:w="11906" w:h="16838"/>
          <w:pgMar w:top="1440" w:right="1800" w:bottom="1440" w:left="1800" w:header="851" w:footer="992" w:gutter="0"/>
          <w:pgNumType w:fmt="numberInDash"/>
          <w:cols w:space="425" w:num="1"/>
          <w:docGrid w:type="lines" w:linePitch="312" w:charSpace="0"/>
        </w:sectPr>
      </w:pPr>
    </w:p>
    <w:p w14:paraId="5DC4F67C">
      <w:pPr>
        <w:pStyle w:val="2"/>
      </w:pPr>
      <w:bookmarkStart w:id="63" w:name="7.安全、卫生与节能"/>
      <w:bookmarkEnd w:id="63"/>
      <w:bookmarkStart w:id="64" w:name="_bookmark105"/>
      <w:bookmarkEnd w:id="64"/>
      <w:bookmarkStart w:id="65" w:name="_Toc174443624"/>
      <w:bookmarkStart w:id="66" w:name="_TOC_250022"/>
      <w:r>
        <w:rPr>
          <w:rFonts w:hint="eastAsia"/>
        </w:rPr>
        <w:t>10</w:t>
      </w:r>
      <w:r>
        <w:t>安全、卫生与节能</w:t>
      </w:r>
      <w:bookmarkEnd w:id="65"/>
    </w:p>
    <w:p w14:paraId="51CACD57">
      <w:pPr>
        <w:pStyle w:val="3"/>
      </w:pPr>
      <w:bookmarkStart w:id="67" w:name="_Toc174443625"/>
      <w:r>
        <w:rPr>
          <w:rFonts w:hint="eastAsia"/>
        </w:rPr>
        <w:t>10.</w:t>
      </w:r>
      <w:r>
        <w:t>1</w:t>
      </w:r>
      <w:bookmarkStart w:id="68" w:name="7.1.安全与卫生"/>
      <w:bookmarkEnd w:id="68"/>
      <w:bookmarkStart w:id="69" w:name="_bookmark106"/>
      <w:bookmarkEnd w:id="69"/>
      <w:r>
        <w:t>安全与卫生</w:t>
      </w:r>
      <w:bookmarkEnd w:id="67"/>
    </w:p>
    <w:p w14:paraId="6079717E">
      <w:pPr>
        <w:pStyle w:val="4"/>
        <w:ind w:firstLine="480"/>
      </w:pPr>
      <w:r>
        <w:rPr>
          <w:rFonts w:hint="eastAsia"/>
        </w:rPr>
        <w:t>项目</w:t>
      </w:r>
      <w:r>
        <w:t>施工</w:t>
      </w:r>
      <w:r>
        <w:rPr>
          <w:spacing w:val="-3"/>
        </w:rPr>
        <w:t>过</w:t>
      </w:r>
      <w:r>
        <w:t>程中</w:t>
      </w:r>
      <w:r>
        <w:rPr>
          <w:spacing w:val="-34"/>
        </w:rPr>
        <w:t>，</w:t>
      </w:r>
      <w:r>
        <w:t>因</w:t>
      </w:r>
      <w:r>
        <w:rPr>
          <w:spacing w:val="-3"/>
        </w:rPr>
        <w:t>涉</w:t>
      </w:r>
      <w:r>
        <w:t>及到</w:t>
      </w:r>
      <w:r>
        <w:rPr>
          <w:spacing w:val="-3"/>
        </w:rPr>
        <w:t>临</w:t>
      </w:r>
      <w:r>
        <w:t>时覆</w:t>
      </w:r>
      <w:r>
        <w:rPr>
          <w:spacing w:val="-3"/>
        </w:rPr>
        <w:t>盖</w:t>
      </w:r>
      <w:r>
        <w:t>膜打开</w:t>
      </w:r>
      <w:r>
        <w:rPr>
          <w:spacing w:val="-34"/>
        </w:rPr>
        <w:t>、</w:t>
      </w:r>
      <w:r>
        <w:t>垃</w:t>
      </w:r>
      <w:r>
        <w:rPr>
          <w:spacing w:val="-3"/>
        </w:rPr>
        <w:t>圾</w:t>
      </w:r>
      <w:r>
        <w:t>堆体</w:t>
      </w:r>
      <w:r>
        <w:rPr>
          <w:spacing w:val="-3"/>
        </w:rPr>
        <w:t>开</w:t>
      </w:r>
      <w:r>
        <w:t>挖</w:t>
      </w:r>
      <w:r>
        <w:rPr>
          <w:spacing w:val="-32"/>
        </w:rPr>
        <w:t>、</w:t>
      </w:r>
      <w:r>
        <w:t>污水</w:t>
      </w:r>
      <w:r>
        <w:rPr>
          <w:spacing w:val="-3"/>
        </w:rPr>
        <w:t>导</w:t>
      </w:r>
      <w:r>
        <w:t>排</w:t>
      </w:r>
      <w:r>
        <w:rPr>
          <w:spacing w:val="-49"/>
        </w:rPr>
        <w:t>、</w:t>
      </w:r>
      <w:r>
        <w:t>易</w:t>
      </w:r>
      <w:r>
        <w:rPr>
          <w:spacing w:val="-3"/>
        </w:rPr>
        <w:t>爆</w:t>
      </w:r>
      <w:r>
        <w:t>气体</w:t>
      </w:r>
      <w:r>
        <w:rPr>
          <w:spacing w:val="-3"/>
        </w:rPr>
        <w:t>溢</w:t>
      </w:r>
      <w:r>
        <w:t>散等</w:t>
      </w:r>
      <w:r>
        <w:rPr>
          <w:spacing w:val="-3"/>
        </w:rPr>
        <w:t>问</w:t>
      </w:r>
      <w:r>
        <w:t>题</w:t>
      </w:r>
      <w:r>
        <w:rPr>
          <w:spacing w:val="-49"/>
        </w:rPr>
        <w:t>，</w:t>
      </w:r>
      <w:r>
        <w:t>所</w:t>
      </w:r>
      <w:r>
        <w:rPr>
          <w:spacing w:val="-3"/>
        </w:rPr>
        <w:t>以</w:t>
      </w:r>
      <w:r>
        <w:t>应做</w:t>
      </w:r>
      <w:r>
        <w:rPr>
          <w:spacing w:val="-3"/>
        </w:rPr>
        <w:t>好</w:t>
      </w:r>
      <w:r>
        <w:t>全过</w:t>
      </w:r>
      <w:r>
        <w:rPr>
          <w:spacing w:val="-3"/>
        </w:rPr>
        <w:t>程</w:t>
      </w:r>
      <w:r>
        <w:t>的安</w:t>
      </w:r>
      <w:r>
        <w:rPr>
          <w:spacing w:val="-3"/>
        </w:rPr>
        <w:t>全</w:t>
      </w:r>
      <w:r>
        <w:t>和卫</w:t>
      </w:r>
      <w:r>
        <w:rPr>
          <w:spacing w:val="-3"/>
        </w:rPr>
        <w:t>生</w:t>
      </w:r>
      <w:r>
        <w:t>控制</w:t>
      </w:r>
      <w:r>
        <w:rPr>
          <w:spacing w:val="-2"/>
        </w:rPr>
        <w:t>工作。</w:t>
      </w:r>
    </w:p>
    <w:p w14:paraId="29994AC9">
      <w:pPr>
        <w:pStyle w:val="5"/>
        <w:rPr>
          <w:rFonts w:hint="eastAsia" w:ascii="宋体" w:hAnsi="宋体" w:cs="宋体"/>
        </w:rPr>
      </w:pPr>
      <w:bookmarkStart w:id="70" w:name="_Toc174443626"/>
      <w:r>
        <w:t>10.11.1</w:t>
      </w:r>
      <w:bookmarkStart w:id="71" w:name="7.1.1.设计依据"/>
      <w:bookmarkEnd w:id="71"/>
      <w:bookmarkStart w:id="72" w:name="_bookmark107"/>
      <w:bookmarkEnd w:id="72"/>
      <w:r>
        <w:rPr>
          <w:rFonts w:ascii="宋体" w:hAnsi="宋体" w:cs="宋体"/>
        </w:rPr>
        <w:t>设计依据</w:t>
      </w:r>
      <w:bookmarkEnd w:id="70"/>
    </w:p>
    <w:p w14:paraId="315A7746">
      <w:pPr>
        <w:pStyle w:val="4"/>
        <w:ind w:firstLine="480"/>
      </w:pPr>
      <w:r>
        <w:t>为贯彻执行建设项目中职业安全与卫生规定，技术措施和设施应做到与主体</w:t>
      </w:r>
      <w:r>
        <w:rPr>
          <w:rFonts w:hint="eastAsia"/>
        </w:rPr>
        <w:t>项目</w:t>
      </w:r>
      <w:r>
        <w:t>同时设计、同时施工、同</w:t>
      </w:r>
      <w:r>
        <w:rPr>
          <w:spacing w:val="-3"/>
        </w:rPr>
        <w:t>时</w:t>
      </w:r>
      <w:r>
        <w:t>投产</w:t>
      </w:r>
      <w:r>
        <w:rPr>
          <w:spacing w:val="-3"/>
        </w:rPr>
        <w:t>的</w:t>
      </w:r>
      <w:r>
        <w:t>三同</w:t>
      </w:r>
      <w:r>
        <w:rPr>
          <w:spacing w:val="-3"/>
        </w:rPr>
        <w:t>时</w:t>
      </w:r>
      <w:r>
        <w:t>制度</w:t>
      </w:r>
      <w:r>
        <w:rPr>
          <w:spacing w:val="-34"/>
        </w:rPr>
        <w:t>，</w:t>
      </w:r>
      <w:r>
        <w:t>遵照</w:t>
      </w:r>
      <w:r>
        <w:rPr>
          <w:spacing w:val="-2"/>
        </w:rPr>
        <w:t>下列文件编制本</w:t>
      </w:r>
      <w:r>
        <w:rPr>
          <w:rFonts w:hint="eastAsia"/>
          <w:spacing w:val="-2"/>
        </w:rPr>
        <w:t>项目</w:t>
      </w:r>
      <w:r>
        <w:rPr>
          <w:spacing w:val="-2"/>
        </w:rPr>
        <w:t>的安全与职业卫生技术措施。</w:t>
      </w:r>
    </w:p>
    <w:p w14:paraId="3DAF0AF0">
      <w:pPr>
        <w:pStyle w:val="4"/>
        <w:ind w:firstLine="474"/>
      </w:pPr>
      <w:r>
        <w:rPr>
          <w:spacing w:val="-3"/>
        </w:rPr>
        <w:t>（</w:t>
      </w:r>
      <w:r>
        <w:rPr>
          <w:rFonts w:eastAsia="Times New Roman" w:cs="Times New Roman"/>
          <w:spacing w:val="-3"/>
        </w:rPr>
        <w:t>1</w:t>
      </w:r>
      <w:r>
        <w:rPr>
          <w:spacing w:val="-3"/>
        </w:rPr>
        <w:t>）劳动部劳字（</w:t>
      </w:r>
      <w:r>
        <w:rPr>
          <w:rFonts w:eastAsia="Times New Roman" w:cs="Times New Roman"/>
          <w:spacing w:val="-3"/>
        </w:rPr>
        <w:t>1998</w:t>
      </w:r>
      <w:r>
        <w:rPr>
          <w:spacing w:val="-3"/>
        </w:rPr>
        <w:t>）</w:t>
      </w:r>
      <w:r>
        <w:rPr>
          <w:rFonts w:eastAsia="Times New Roman" w:cs="Times New Roman"/>
          <w:spacing w:val="-3"/>
        </w:rPr>
        <w:t>48</w:t>
      </w:r>
      <w:r>
        <w:rPr>
          <w:spacing w:val="-2"/>
        </w:rPr>
        <w:t>号《关于生产性建设工程项目职业安全卫生检察的暂行规定》。</w:t>
      </w:r>
    </w:p>
    <w:p w14:paraId="288AA34F">
      <w:pPr>
        <w:pStyle w:val="4"/>
        <w:ind w:firstLine="476"/>
      </w:pPr>
      <w:r>
        <w:rPr>
          <w:spacing w:val="-2"/>
        </w:rPr>
        <w:t>（</w:t>
      </w:r>
      <w:r>
        <w:rPr>
          <w:rFonts w:eastAsia="Times New Roman" w:cs="Times New Roman"/>
          <w:spacing w:val="-2"/>
        </w:rPr>
        <w:t>2</w:t>
      </w:r>
      <w:r>
        <w:rPr>
          <w:spacing w:val="-2"/>
        </w:rPr>
        <w:t>）《工业企业设计卫生标准》（</w:t>
      </w:r>
      <w:r>
        <w:rPr>
          <w:rFonts w:eastAsia="Times New Roman" w:cs="Times New Roman"/>
          <w:spacing w:val="-2"/>
        </w:rPr>
        <w:t>GBZ1-2002</w:t>
      </w:r>
      <w:r>
        <w:rPr>
          <w:spacing w:val="-2"/>
        </w:rPr>
        <w:t>）。</w:t>
      </w:r>
    </w:p>
    <w:p w14:paraId="36B11712">
      <w:pPr>
        <w:pStyle w:val="4"/>
        <w:ind w:firstLine="476"/>
      </w:pPr>
      <w:r>
        <w:rPr>
          <w:spacing w:val="-2"/>
        </w:rPr>
        <w:t>（</w:t>
      </w:r>
      <w:r>
        <w:rPr>
          <w:rFonts w:eastAsia="Times New Roman" w:cs="Times New Roman"/>
          <w:spacing w:val="-2"/>
        </w:rPr>
        <w:t>3</w:t>
      </w:r>
      <w:r>
        <w:rPr>
          <w:spacing w:val="-2"/>
        </w:rPr>
        <w:t>）《传染病防治法》</w:t>
      </w:r>
      <w:r>
        <w:rPr>
          <w:rFonts w:hint="eastAsia"/>
          <w:spacing w:val="-2"/>
        </w:rPr>
        <w:t>。</w:t>
      </w:r>
    </w:p>
    <w:p w14:paraId="4D349E5E">
      <w:pPr>
        <w:pStyle w:val="5"/>
      </w:pPr>
      <w:bookmarkStart w:id="73" w:name="_Toc174443627"/>
      <w:r>
        <w:rPr>
          <w:rFonts w:eastAsia="Times New Roman" w:cs="Times New Roman"/>
          <w:spacing w:val="-1"/>
        </w:rPr>
        <w:t>10.11.2</w:t>
      </w:r>
      <w:bookmarkStart w:id="74" w:name="_bookmark108"/>
      <w:bookmarkEnd w:id="74"/>
      <w:bookmarkStart w:id="75" w:name="7.1.2.施工过程中职业危害因素的分析"/>
      <w:bookmarkEnd w:id="75"/>
      <w:r>
        <w:t>施工过程中职业危害因素的分析</w:t>
      </w:r>
      <w:bookmarkEnd w:id="73"/>
    </w:p>
    <w:p w14:paraId="3090C20F">
      <w:pPr>
        <w:pStyle w:val="4"/>
        <w:ind w:firstLine="480"/>
      </w:pPr>
      <w:r>
        <w:t>堆体开挖可能面临局部失稳、滑坡等问题；施工过程中需要进行渗沥液导排，作业人员应避免与渗沥液直接接触；</w:t>
      </w:r>
    </w:p>
    <w:p w14:paraId="27E42AC2">
      <w:pPr>
        <w:pStyle w:val="4"/>
        <w:ind w:firstLine="480"/>
      </w:pPr>
      <w:r>
        <w:t>施工堆体开挖过程中，填埋场内有大量填埋气产生，填埋气易燃、易爆，必须做好防护工作；</w:t>
      </w:r>
    </w:p>
    <w:p w14:paraId="37792490">
      <w:pPr>
        <w:pStyle w:val="4"/>
        <w:ind w:firstLine="480"/>
      </w:pPr>
      <w:r>
        <w:t>开挖临时道路坡度较大，需要注意交通安全。</w:t>
      </w:r>
    </w:p>
    <w:p w14:paraId="2A167057">
      <w:pPr>
        <w:pStyle w:val="5"/>
        <w:rPr>
          <w:rFonts w:hint="eastAsia" w:ascii="宋体" w:hAnsi="宋体" w:cs="宋体"/>
        </w:rPr>
      </w:pPr>
      <w:bookmarkStart w:id="76" w:name="_Toc174443628"/>
      <w:r>
        <w:rPr>
          <w:spacing w:val="-1"/>
        </w:rPr>
        <w:t>10.11.3</w:t>
      </w:r>
      <w:bookmarkStart w:id="77" w:name="_bookmark109"/>
      <w:bookmarkEnd w:id="77"/>
      <w:bookmarkStart w:id="78" w:name="7.1.3.安全技术措施"/>
      <w:bookmarkEnd w:id="78"/>
      <w:r>
        <w:rPr>
          <w:rFonts w:ascii="宋体" w:hAnsi="宋体" w:cs="宋体"/>
        </w:rPr>
        <w:t>安全技术措施</w:t>
      </w:r>
      <w:bookmarkEnd w:id="76"/>
    </w:p>
    <w:p w14:paraId="3475132D">
      <w:pPr>
        <w:pStyle w:val="4"/>
        <w:ind w:firstLine="480"/>
      </w:pPr>
      <w:r>
        <w:t>（</w:t>
      </w:r>
      <w:r>
        <w:rPr>
          <w:rFonts w:eastAsia="Times New Roman" w:cs="Times New Roman"/>
        </w:rPr>
        <w:t>1</w:t>
      </w:r>
      <w:r>
        <w:t>）堆体开挖前，应进行临时降水；</w:t>
      </w:r>
    </w:p>
    <w:p w14:paraId="5294D489">
      <w:pPr>
        <w:pStyle w:val="4"/>
        <w:ind w:firstLine="480"/>
      </w:pPr>
      <w:r>
        <w:t>（</w:t>
      </w:r>
      <w:r>
        <w:rPr>
          <w:rFonts w:eastAsia="Times New Roman" w:cs="Times New Roman"/>
        </w:rPr>
        <w:t>2</w:t>
      </w:r>
      <w:r>
        <w:t>）及时有效的导排填埋气体；</w:t>
      </w:r>
    </w:p>
    <w:p w14:paraId="686AA569">
      <w:pPr>
        <w:pStyle w:val="4"/>
        <w:ind w:firstLine="480"/>
      </w:pPr>
      <w:r>
        <w:t>（</w:t>
      </w:r>
      <w:r>
        <w:rPr>
          <w:rFonts w:eastAsia="Times New Roman" w:cs="Times New Roman"/>
        </w:rPr>
        <w:t>3</w:t>
      </w:r>
      <w:r>
        <w:t>）开挖过程中，做好堆体稳定安全监测；</w:t>
      </w:r>
    </w:p>
    <w:p w14:paraId="2D126D83">
      <w:pPr>
        <w:pStyle w:val="4"/>
        <w:ind w:firstLine="480"/>
      </w:pPr>
      <w:r>
        <w:t>（</w:t>
      </w:r>
      <w:r>
        <w:rPr>
          <w:rFonts w:eastAsia="Times New Roman" w:cs="Times New Roman"/>
        </w:rPr>
        <w:t>4</w:t>
      </w:r>
      <w:r>
        <w:t>）填埋库区严禁吸烟或有烟火，并随时监控甲烷气体浓度；</w:t>
      </w:r>
    </w:p>
    <w:p w14:paraId="0661B628">
      <w:pPr>
        <w:pStyle w:val="4"/>
        <w:ind w:firstLine="478"/>
      </w:pPr>
      <w:r>
        <w:rPr>
          <w:spacing w:val="-1"/>
        </w:rPr>
        <w:t>（</w:t>
      </w:r>
      <w:r>
        <w:rPr>
          <w:rFonts w:eastAsia="Times New Roman" w:cs="Times New Roman"/>
        </w:rPr>
        <w:t>5</w:t>
      </w:r>
      <w:r>
        <w:rPr>
          <w:spacing w:val="-49"/>
        </w:rPr>
        <w:t>）</w:t>
      </w:r>
      <w:r>
        <w:rPr>
          <w:spacing w:val="-1"/>
        </w:rPr>
        <w:t>进</w:t>
      </w:r>
      <w:r>
        <w:rPr>
          <w:spacing w:val="-3"/>
        </w:rPr>
        <w:t>行</w:t>
      </w:r>
      <w:r>
        <w:rPr>
          <w:spacing w:val="-1"/>
        </w:rPr>
        <w:t>交通</w:t>
      </w:r>
      <w:r>
        <w:rPr>
          <w:spacing w:val="-3"/>
        </w:rPr>
        <w:t>疏</w:t>
      </w:r>
      <w:r>
        <w:rPr>
          <w:spacing w:val="-1"/>
        </w:rPr>
        <w:t>导和</w:t>
      </w:r>
      <w:r>
        <w:rPr>
          <w:spacing w:val="-3"/>
        </w:rPr>
        <w:t>管</w:t>
      </w:r>
      <w:r>
        <w:rPr>
          <w:spacing w:val="-1"/>
        </w:rPr>
        <w:t>理</w:t>
      </w:r>
      <w:r>
        <w:rPr>
          <w:spacing w:val="-49"/>
        </w:rPr>
        <w:t>，</w:t>
      </w:r>
      <w:r>
        <w:rPr>
          <w:spacing w:val="-1"/>
        </w:rPr>
        <w:t>确</w:t>
      </w:r>
      <w:r>
        <w:rPr>
          <w:spacing w:val="-3"/>
        </w:rPr>
        <w:t>保</w:t>
      </w:r>
      <w:r>
        <w:rPr>
          <w:spacing w:val="-1"/>
        </w:rPr>
        <w:t>施工</w:t>
      </w:r>
      <w:r>
        <w:rPr>
          <w:spacing w:val="-3"/>
        </w:rPr>
        <w:t>和</w:t>
      </w:r>
      <w:r>
        <w:rPr>
          <w:spacing w:val="-1"/>
        </w:rPr>
        <w:t>反压</w:t>
      </w:r>
      <w:r>
        <w:rPr>
          <w:spacing w:val="-3"/>
        </w:rPr>
        <w:t>回</w:t>
      </w:r>
      <w:r>
        <w:rPr>
          <w:spacing w:val="-1"/>
        </w:rPr>
        <w:t>填阶</w:t>
      </w:r>
      <w:r>
        <w:rPr>
          <w:spacing w:val="-3"/>
        </w:rPr>
        <w:t>段</w:t>
      </w:r>
      <w:r>
        <w:rPr>
          <w:spacing w:val="-1"/>
        </w:rPr>
        <w:t>交通</w:t>
      </w:r>
      <w:r>
        <w:rPr>
          <w:spacing w:val="-3"/>
        </w:rPr>
        <w:t>安</w:t>
      </w:r>
      <w:r>
        <w:rPr>
          <w:spacing w:val="-1"/>
        </w:rPr>
        <w:t>全</w:t>
      </w:r>
      <w:r>
        <w:t>；</w:t>
      </w:r>
    </w:p>
    <w:p w14:paraId="2F1D0513">
      <w:pPr>
        <w:pStyle w:val="5"/>
        <w:rPr>
          <w:rFonts w:hint="eastAsia" w:ascii="宋体" w:hAnsi="宋体" w:cs="宋体"/>
        </w:rPr>
      </w:pPr>
      <w:bookmarkStart w:id="79" w:name="_Toc174443629"/>
      <w:r>
        <w:rPr>
          <w:spacing w:val="-1"/>
        </w:rPr>
        <w:t>10.11.4</w:t>
      </w:r>
      <w:bookmarkStart w:id="80" w:name="_bookmark110"/>
      <w:bookmarkEnd w:id="80"/>
      <w:bookmarkStart w:id="81" w:name="7.1.4.卫生防疫措施"/>
      <w:bookmarkEnd w:id="81"/>
      <w:r>
        <w:rPr>
          <w:rFonts w:ascii="宋体" w:hAnsi="宋体" w:cs="宋体"/>
        </w:rPr>
        <w:t>卫生防疫措施</w:t>
      </w:r>
      <w:bookmarkEnd w:id="79"/>
    </w:p>
    <w:p w14:paraId="4AFFDEBD">
      <w:pPr>
        <w:pStyle w:val="4"/>
        <w:ind w:firstLine="480"/>
      </w:pPr>
      <w:r>
        <w:t>施</w:t>
      </w:r>
      <w:r>
        <w:rPr>
          <w:spacing w:val="-3"/>
        </w:rPr>
        <w:t>工</w:t>
      </w:r>
      <w:r>
        <w:t>过程</w:t>
      </w:r>
      <w:r>
        <w:rPr>
          <w:spacing w:val="-3"/>
        </w:rPr>
        <w:t>中</w:t>
      </w:r>
      <w:r>
        <w:t>工人</w:t>
      </w:r>
      <w:r>
        <w:rPr>
          <w:spacing w:val="-3"/>
        </w:rPr>
        <w:t>的</w:t>
      </w:r>
      <w:r>
        <w:t>劳动</w:t>
      </w:r>
      <w:r>
        <w:rPr>
          <w:spacing w:val="-3"/>
        </w:rPr>
        <w:t>条</w:t>
      </w:r>
      <w:r>
        <w:t>件较差</w:t>
      </w:r>
      <w:r>
        <w:rPr>
          <w:spacing w:val="-97"/>
        </w:rPr>
        <w:t>，</w:t>
      </w:r>
      <w:r>
        <w:t>应</w:t>
      </w:r>
      <w:r>
        <w:rPr>
          <w:spacing w:val="-3"/>
        </w:rPr>
        <w:t>尽</w:t>
      </w:r>
      <w:r>
        <w:t>可能</w:t>
      </w:r>
      <w:r>
        <w:rPr>
          <w:spacing w:val="-3"/>
        </w:rPr>
        <w:t>采</w:t>
      </w:r>
      <w:r>
        <w:t>取相</w:t>
      </w:r>
      <w:r>
        <w:rPr>
          <w:spacing w:val="-3"/>
        </w:rPr>
        <w:t>应</w:t>
      </w:r>
      <w:r>
        <w:t>措施</w:t>
      </w:r>
      <w:r>
        <w:rPr>
          <w:spacing w:val="-3"/>
        </w:rPr>
        <w:t>改</w:t>
      </w:r>
      <w:r>
        <w:t>善工人</w:t>
      </w:r>
      <w:r>
        <w:rPr>
          <w:spacing w:val="-3"/>
        </w:rPr>
        <w:t>的</w:t>
      </w:r>
      <w:r>
        <w:t>劳动</w:t>
      </w:r>
      <w:r>
        <w:rPr>
          <w:spacing w:val="-3"/>
        </w:rPr>
        <w:t>环</w:t>
      </w:r>
      <w:r>
        <w:t>境和</w:t>
      </w:r>
      <w:r>
        <w:rPr>
          <w:spacing w:val="-3"/>
        </w:rPr>
        <w:t>劳</w:t>
      </w:r>
      <w:r>
        <w:t>动条</w:t>
      </w:r>
      <w:r>
        <w:rPr>
          <w:spacing w:val="-3"/>
        </w:rPr>
        <w:t>件</w:t>
      </w:r>
      <w:r>
        <w:rPr>
          <w:spacing w:val="-118"/>
        </w:rPr>
        <w:t>，</w:t>
      </w:r>
      <w:r>
        <w:t>保</w:t>
      </w:r>
      <w:r>
        <w:rPr>
          <w:spacing w:val="-3"/>
        </w:rPr>
        <w:t>障</w:t>
      </w:r>
      <w:r>
        <w:t>工人</w:t>
      </w:r>
      <w:r>
        <w:rPr>
          <w:spacing w:val="-3"/>
        </w:rPr>
        <w:t>的</w:t>
      </w:r>
      <w:r>
        <w:t>身体</w:t>
      </w:r>
      <w:r>
        <w:rPr>
          <w:spacing w:val="-3"/>
        </w:rPr>
        <w:t>健</w:t>
      </w:r>
      <w:r>
        <w:t>康</w:t>
      </w:r>
      <w:r>
        <w:rPr>
          <w:spacing w:val="-118"/>
        </w:rPr>
        <w:t>。</w:t>
      </w:r>
      <w:r>
        <w:t>具</w:t>
      </w:r>
      <w:r>
        <w:rPr>
          <w:spacing w:val="-3"/>
        </w:rPr>
        <w:t>体</w:t>
      </w:r>
      <w:r>
        <w:t>采取</w:t>
      </w:r>
      <w:r>
        <w:rPr>
          <w:spacing w:val="-3"/>
        </w:rPr>
        <w:t>以</w:t>
      </w:r>
      <w:r>
        <w:t>下措</w:t>
      </w:r>
      <w:r>
        <w:rPr>
          <w:spacing w:val="-3"/>
        </w:rPr>
        <w:t>施</w:t>
      </w:r>
      <w:r>
        <w:t>：</w:t>
      </w:r>
    </w:p>
    <w:p w14:paraId="1F216CC6">
      <w:pPr>
        <w:pStyle w:val="4"/>
        <w:ind w:firstLine="476"/>
      </w:pPr>
      <w:r>
        <w:rPr>
          <w:spacing w:val="-2"/>
        </w:rPr>
        <w:t>（</w:t>
      </w:r>
      <w:r>
        <w:rPr>
          <w:rFonts w:eastAsia="Times New Roman" w:cs="Times New Roman"/>
          <w:spacing w:val="-2"/>
        </w:rPr>
        <w:t>1</w:t>
      </w:r>
      <w:r>
        <w:rPr>
          <w:spacing w:val="-2"/>
        </w:rPr>
        <w:t>）严格按照设计要求进行开挖、排水、排气等施工；</w:t>
      </w:r>
    </w:p>
    <w:p w14:paraId="3D174345">
      <w:pPr>
        <w:pStyle w:val="4"/>
        <w:ind w:firstLine="476"/>
      </w:pPr>
      <w:r>
        <w:rPr>
          <w:spacing w:val="-2"/>
        </w:rPr>
        <w:t>（</w:t>
      </w:r>
      <w:r>
        <w:rPr>
          <w:rFonts w:eastAsia="Times New Roman" w:cs="Times New Roman"/>
          <w:spacing w:val="-2"/>
        </w:rPr>
        <w:t>2</w:t>
      </w:r>
      <w:r>
        <w:rPr>
          <w:spacing w:val="-2"/>
        </w:rPr>
        <w:t>）加强环境监测和保护，现场配备移动式</w:t>
      </w:r>
      <w:r>
        <w:rPr>
          <w:rFonts w:eastAsia="Times New Roman" w:cs="Times New Roman"/>
        </w:rPr>
        <w:t>CH</w:t>
      </w:r>
      <w:r>
        <w:rPr>
          <w:rFonts w:eastAsia="Times New Roman" w:cs="Times New Roman"/>
          <w:position w:val="-1"/>
          <w:sz w:val="18"/>
          <w:szCs w:val="18"/>
        </w:rPr>
        <w:t>4</w:t>
      </w:r>
      <w:r>
        <w:rPr>
          <w:spacing w:val="-2"/>
        </w:rPr>
        <w:t>监测仪，及早发现隐患，避免事故；</w:t>
      </w:r>
    </w:p>
    <w:p w14:paraId="5AD98820">
      <w:pPr>
        <w:pStyle w:val="4"/>
        <w:ind w:firstLine="476"/>
      </w:pPr>
      <w:r>
        <w:rPr>
          <w:spacing w:val="-2"/>
        </w:rPr>
        <w:t>（</w:t>
      </w:r>
      <w:r>
        <w:rPr>
          <w:rFonts w:eastAsia="Times New Roman" w:cs="Times New Roman"/>
          <w:spacing w:val="-2"/>
        </w:rPr>
        <w:t>3</w:t>
      </w:r>
      <w:r>
        <w:rPr>
          <w:spacing w:val="-2"/>
        </w:rPr>
        <w:t>）厂区内设置专职人员管理导气、除臭设施；</w:t>
      </w:r>
    </w:p>
    <w:p w14:paraId="26CF0602">
      <w:pPr>
        <w:pStyle w:val="4"/>
        <w:ind w:firstLine="476"/>
      </w:pPr>
      <w:r>
        <w:rPr>
          <w:spacing w:val="-2"/>
        </w:rPr>
        <w:t>（</w:t>
      </w:r>
      <w:r>
        <w:rPr>
          <w:rFonts w:eastAsia="Times New Roman" w:cs="Times New Roman"/>
          <w:spacing w:val="-2"/>
        </w:rPr>
        <w:t>4</w:t>
      </w:r>
      <w:r>
        <w:rPr>
          <w:spacing w:val="-2"/>
        </w:rPr>
        <w:t>）对场内工作人员定期进行体格检查和预防；</w:t>
      </w:r>
    </w:p>
    <w:p w14:paraId="7AD6BECA">
      <w:pPr>
        <w:pStyle w:val="4"/>
        <w:ind w:firstLine="476"/>
      </w:pPr>
      <w:r>
        <w:rPr>
          <w:spacing w:val="-2"/>
        </w:rPr>
        <w:t>（</w:t>
      </w:r>
      <w:r>
        <w:rPr>
          <w:rFonts w:eastAsia="Times New Roman" w:cs="Times New Roman"/>
          <w:spacing w:val="-2"/>
        </w:rPr>
        <w:t>5</w:t>
      </w:r>
      <w:r>
        <w:rPr>
          <w:spacing w:val="-2"/>
        </w:rPr>
        <w:t>）对职工进行安全教育和个人卫生教育；</w:t>
      </w:r>
    </w:p>
    <w:p w14:paraId="50D46B31">
      <w:pPr>
        <w:pStyle w:val="4"/>
        <w:ind w:firstLine="480"/>
      </w:pPr>
      <w:r>
        <w:t>（</w:t>
      </w:r>
      <w:r>
        <w:rPr>
          <w:rFonts w:eastAsia="Times New Roman" w:cs="Times New Roman"/>
        </w:rPr>
        <w:t>6</w:t>
      </w:r>
      <w:r>
        <w:t>）检验安全卫生措施实施效果，建立安全档案，以便及时发</w:t>
      </w:r>
      <w:r>
        <w:rPr>
          <w:spacing w:val="-2"/>
        </w:rPr>
        <w:t>现安全卫生的薄弱环节。</w:t>
      </w:r>
    </w:p>
    <w:p w14:paraId="087DDB48">
      <w:pPr>
        <w:pStyle w:val="5"/>
      </w:pPr>
      <w:bookmarkStart w:id="82" w:name="_Toc174443630"/>
      <w:r>
        <w:rPr>
          <w:spacing w:val="-1"/>
        </w:rPr>
        <w:t>10.11.5</w:t>
      </w:r>
      <w:bookmarkStart w:id="83" w:name="_bookmark111"/>
      <w:bookmarkEnd w:id="83"/>
      <w:bookmarkStart w:id="84" w:name="7.1.5.预期效果和评价"/>
      <w:bookmarkEnd w:id="84"/>
      <w:r>
        <w:t>预期效果和评价</w:t>
      </w:r>
      <w:bookmarkEnd w:id="82"/>
    </w:p>
    <w:p w14:paraId="7289612D">
      <w:pPr>
        <w:pStyle w:val="4"/>
        <w:ind w:firstLine="480"/>
      </w:pPr>
      <w:r>
        <w:t>（</w:t>
      </w:r>
      <w:r>
        <w:rPr>
          <w:rFonts w:eastAsia="Times New Roman" w:cs="Times New Roman"/>
        </w:rPr>
        <w:t>1</w:t>
      </w:r>
      <w:r>
        <w:t>）采取严格的环境控制措施，在施工过程中可大大减少臭气</w:t>
      </w:r>
      <w:r>
        <w:rPr>
          <w:spacing w:val="-2"/>
        </w:rPr>
        <w:t>散发量，控制和消除因</w:t>
      </w:r>
      <w:r>
        <w:rPr>
          <w:rFonts w:hint="eastAsia"/>
          <w:spacing w:val="-2"/>
        </w:rPr>
        <w:t>项目</w:t>
      </w:r>
      <w:r>
        <w:rPr>
          <w:spacing w:val="-2"/>
        </w:rPr>
        <w:t>施工而对周边居民造成的影响。</w:t>
      </w:r>
    </w:p>
    <w:p w14:paraId="683AE14C">
      <w:pPr>
        <w:pStyle w:val="4"/>
        <w:ind w:firstLine="476"/>
      </w:pPr>
      <w:r>
        <w:rPr>
          <w:spacing w:val="-2"/>
        </w:rPr>
        <w:t>（</w:t>
      </w:r>
      <w:r>
        <w:rPr>
          <w:rFonts w:eastAsia="Times New Roman" w:cs="Times New Roman"/>
          <w:spacing w:val="-2"/>
        </w:rPr>
        <w:t>2</w:t>
      </w:r>
      <w:r>
        <w:rPr>
          <w:spacing w:val="-2"/>
        </w:rPr>
        <w:t>）通过监测统计数据制定、调整防疫措施。</w:t>
      </w:r>
    </w:p>
    <w:p w14:paraId="50977356">
      <w:pPr>
        <w:pStyle w:val="4"/>
        <w:ind w:firstLine="480"/>
      </w:pPr>
      <w:r>
        <w:t>（</w:t>
      </w:r>
      <w:r>
        <w:rPr>
          <w:rFonts w:eastAsia="Times New Roman" w:cs="Times New Roman"/>
        </w:rPr>
        <w:t>3</w:t>
      </w:r>
      <w:r>
        <w:t>）通过对职工的安全卫生教育，提高职工的自身保护意识，</w:t>
      </w:r>
      <w:r>
        <w:rPr>
          <w:spacing w:val="-2"/>
        </w:rPr>
        <w:t>减少疾病发生的可能性。</w:t>
      </w:r>
    </w:p>
    <w:p w14:paraId="27583E42">
      <w:pPr>
        <w:pStyle w:val="4"/>
        <w:ind w:firstLine="480"/>
      </w:pPr>
      <w:r>
        <w:t>（</w:t>
      </w:r>
      <w:r>
        <w:rPr>
          <w:rFonts w:eastAsia="Times New Roman" w:cs="Times New Roman"/>
        </w:rPr>
        <w:t>4</w:t>
      </w:r>
      <w:r>
        <w:t>）通过定期体检等手段充分保护填埋场职工的健康，打消职</w:t>
      </w:r>
      <w:r>
        <w:rPr>
          <w:spacing w:val="-2"/>
        </w:rPr>
        <w:t>工的顾虑，提高劳动积极性。</w:t>
      </w:r>
    </w:p>
    <w:p w14:paraId="6C85D6D5">
      <w:pPr>
        <w:pStyle w:val="4"/>
        <w:ind w:firstLine="478"/>
      </w:pPr>
      <w:r>
        <w:rPr>
          <w:spacing w:val="-1"/>
        </w:rPr>
        <w:t>总之</w:t>
      </w:r>
      <w:r>
        <w:rPr>
          <w:spacing w:val="-49"/>
        </w:rPr>
        <w:t>，</w:t>
      </w:r>
      <w:r>
        <w:rPr>
          <w:spacing w:val="-1"/>
        </w:rPr>
        <w:t>通</w:t>
      </w:r>
      <w:r>
        <w:rPr>
          <w:spacing w:val="-3"/>
        </w:rPr>
        <w:t>过</w:t>
      </w:r>
      <w:r>
        <w:rPr>
          <w:spacing w:val="-1"/>
        </w:rPr>
        <w:t>上述</w:t>
      </w:r>
      <w:r>
        <w:rPr>
          <w:spacing w:val="-3"/>
        </w:rPr>
        <w:t>安</w:t>
      </w:r>
      <w:r>
        <w:rPr>
          <w:spacing w:val="-1"/>
        </w:rPr>
        <w:t>全卫</w:t>
      </w:r>
      <w:r>
        <w:rPr>
          <w:spacing w:val="-3"/>
        </w:rPr>
        <w:t>生</w:t>
      </w:r>
      <w:r>
        <w:rPr>
          <w:spacing w:val="-1"/>
        </w:rPr>
        <w:t>措施</w:t>
      </w:r>
      <w:r>
        <w:rPr>
          <w:spacing w:val="-3"/>
        </w:rPr>
        <w:t>后</w:t>
      </w:r>
      <w:r>
        <w:rPr>
          <w:spacing w:val="-49"/>
        </w:rPr>
        <w:t>，</w:t>
      </w:r>
      <w:r>
        <w:rPr>
          <w:spacing w:val="-1"/>
        </w:rPr>
        <w:t>可</w:t>
      </w:r>
      <w:r>
        <w:rPr>
          <w:spacing w:val="-3"/>
        </w:rPr>
        <w:t>以</w:t>
      </w:r>
      <w:r>
        <w:rPr>
          <w:spacing w:val="-1"/>
        </w:rPr>
        <w:t>从各</w:t>
      </w:r>
      <w:r>
        <w:rPr>
          <w:spacing w:val="-3"/>
        </w:rPr>
        <w:t>个</w:t>
      </w:r>
      <w:r>
        <w:rPr>
          <w:spacing w:val="-1"/>
        </w:rPr>
        <w:t>角度</w:t>
      </w:r>
      <w:r>
        <w:rPr>
          <w:spacing w:val="-3"/>
        </w:rPr>
        <w:t>保</w:t>
      </w:r>
      <w:r>
        <w:rPr>
          <w:spacing w:val="-1"/>
        </w:rPr>
        <w:t>护职</w:t>
      </w:r>
      <w:r>
        <w:rPr>
          <w:spacing w:val="-3"/>
        </w:rPr>
        <w:t>工</w:t>
      </w:r>
      <w:r>
        <w:rPr>
          <w:spacing w:val="-1"/>
        </w:rPr>
        <w:t>的</w:t>
      </w:r>
      <w:r>
        <w:t>身</w:t>
      </w:r>
      <w:r>
        <w:rPr>
          <w:spacing w:val="-2"/>
        </w:rPr>
        <w:t>心健康，保证填埋场的安全生产，预计效果是显著的。</w:t>
      </w:r>
    </w:p>
    <w:p w14:paraId="1D249DA8">
      <w:pPr>
        <w:pStyle w:val="3"/>
      </w:pPr>
      <w:bookmarkStart w:id="85" w:name="_Toc174443631"/>
      <w:r>
        <w:t>10.12</w:t>
      </w:r>
      <w:bookmarkStart w:id="86" w:name="7.2.节能"/>
      <w:bookmarkEnd w:id="86"/>
      <w:bookmarkStart w:id="87" w:name="_bookmark112"/>
      <w:bookmarkEnd w:id="87"/>
      <w:r>
        <w:rPr>
          <w:rFonts w:ascii="宋体" w:hAnsi="宋体" w:cs="宋体"/>
        </w:rPr>
        <w:t>节能</w:t>
      </w:r>
      <w:bookmarkEnd w:id="85"/>
    </w:p>
    <w:p w14:paraId="28296B67">
      <w:pPr>
        <w:pStyle w:val="5"/>
        <w:rPr>
          <w:rFonts w:hint="eastAsia" w:ascii="宋体" w:hAnsi="宋体" w:cs="宋体"/>
        </w:rPr>
      </w:pPr>
      <w:bookmarkStart w:id="88" w:name="_Toc174443632"/>
      <w:r>
        <w:t>10.12.1</w:t>
      </w:r>
      <w:bookmarkStart w:id="89" w:name="_bookmark113"/>
      <w:bookmarkEnd w:id="89"/>
      <w:bookmarkStart w:id="90" w:name="7.2.1.节能原则"/>
      <w:bookmarkEnd w:id="90"/>
      <w:r>
        <w:rPr>
          <w:rFonts w:ascii="宋体" w:hAnsi="宋体" w:cs="宋体"/>
        </w:rPr>
        <w:t>节能原则</w:t>
      </w:r>
      <w:bookmarkEnd w:id="88"/>
    </w:p>
    <w:p w14:paraId="70D19DCB">
      <w:pPr>
        <w:pStyle w:val="4"/>
        <w:ind w:firstLine="480"/>
      </w:pPr>
      <w:r>
        <w:rPr>
          <w:rFonts w:hint="eastAsia"/>
        </w:rPr>
        <w:t>项目</w:t>
      </w:r>
      <w:r>
        <w:t>采用</w:t>
      </w:r>
      <w:r>
        <w:rPr>
          <w:spacing w:val="-3"/>
        </w:rPr>
        <w:t>的</w:t>
      </w:r>
      <w:r>
        <w:t>工艺</w:t>
      </w:r>
      <w:r>
        <w:rPr>
          <w:spacing w:val="-3"/>
        </w:rPr>
        <w:t>是</w:t>
      </w:r>
      <w:r>
        <w:t>一种</w:t>
      </w:r>
      <w:r>
        <w:rPr>
          <w:spacing w:val="-3"/>
        </w:rPr>
        <w:t>节</w:t>
      </w:r>
      <w:r>
        <w:t>能型</w:t>
      </w:r>
      <w:r>
        <w:rPr>
          <w:spacing w:val="-3"/>
        </w:rPr>
        <w:t>工</w:t>
      </w:r>
      <w:r>
        <w:t>艺</w:t>
      </w:r>
      <w:r>
        <w:rPr>
          <w:spacing w:val="-94"/>
        </w:rPr>
        <w:t>，</w:t>
      </w:r>
      <w:r>
        <w:t>采</w:t>
      </w:r>
      <w:r>
        <w:rPr>
          <w:spacing w:val="-3"/>
        </w:rPr>
        <w:t>用</w:t>
      </w:r>
      <w:r>
        <w:t>如下</w:t>
      </w:r>
      <w:r>
        <w:rPr>
          <w:spacing w:val="-3"/>
        </w:rPr>
        <w:t>手</w:t>
      </w:r>
      <w:r>
        <w:t>段以</w:t>
      </w:r>
      <w:r>
        <w:rPr>
          <w:spacing w:val="-3"/>
        </w:rPr>
        <w:t>实</w:t>
      </w:r>
      <w:r>
        <w:t>现节</w:t>
      </w:r>
      <w:r>
        <w:rPr>
          <w:spacing w:val="-3"/>
        </w:rPr>
        <w:t>能</w:t>
      </w:r>
      <w:r>
        <w:t>降</w:t>
      </w:r>
      <w:r>
        <w:rPr>
          <w:spacing w:val="-2"/>
        </w:rPr>
        <w:t>耗的目的。</w:t>
      </w:r>
    </w:p>
    <w:p w14:paraId="092E4946">
      <w:pPr>
        <w:pStyle w:val="4"/>
        <w:ind w:firstLine="476"/>
      </w:pPr>
      <w:r>
        <w:rPr>
          <w:spacing w:val="-2"/>
        </w:rPr>
        <w:t>（</w:t>
      </w:r>
      <w:r>
        <w:rPr>
          <w:rFonts w:eastAsia="Times New Roman" w:cs="Times New Roman"/>
          <w:spacing w:val="-2"/>
        </w:rPr>
        <w:t>1</w:t>
      </w:r>
      <w:r>
        <w:rPr>
          <w:spacing w:val="-2"/>
        </w:rPr>
        <w:t>）采用高效、先进的运转设备；</w:t>
      </w:r>
    </w:p>
    <w:p w14:paraId="0AB99DD6">
      <w:pPr>
        <w:pStyle w:val="4"/>
        <w:ind w:firstLine="476"/>
      </w:pPr>
      <w:r>
        <w:rPr>
          <w:spacing w:val="-2"/>
        </w:rPr>
        <w:t>（</w:t>
      </w:r>
      <w:r>
        <w:rPr>
          <w:rFonts w:eastAsia="Times New Roman" w:cs="Times New Roman"/>
          <w:spacing w:val="-2"/>
        </w:rPr>
        <w:t>2</w:t>
      </w:r>
      <w:r>
        <w:rPr>
          <w:spacing w:val="-2"/>
        </w:rPr>
        <w:t>）采用高质量的各种设备。</w:t>
      </w:r>
    </w:p>
    <w:p w14:paraId="625B4F97">
      <w:pPr>
        <w:pStyle w:val="5"/>
        <w:rPr>
          <w:rFonts w:hint="eastAsia" w:ascii="宋体" w:hAnsi="宋体" w:cs="宋体"/>
        </w:rPr>
      </w:pPr>
      <w:bookmarkStart w:id="91" w:name="_Toc174443633"/>
      <w:r>
        <w:t>10.12.2</w:t>
      </w:r>
      <w:bookmarkStart w:id="92" w:name="7.2.2.节能目的"/>
      <w:bookmarkEnd w:id="92"/>
      <w:bookmarkStart w:id="93" w:name="_bookmark114"/>
      <w:bookmarkEnd w:id="93"/>
      <w:r>
        <w:rPr>
          <w:rFonts w:ascii="宋体" w:hAnsi="宋体" w:cs="宋体"/>
        </w:rPr>
        <w:t>节能目的</w:t>
      </w:r>
      <w:bookmarkEnd w:id="91"/>
    </w:p>
    <w:p w14:paraId="729A58EB">
      <w:pPr>
        <w:pStyle w:val="4"/>
        <w:ind w:firstLine="490"/>
      </w:pPr>
      <w:r>
        <w:rPr>
          <w:spacing w:val="5"/>
        </w:rPr>
        <w:t>能源是人类赖以生存的条件之一，随着当今社会进入高科技时</w:t>
      </w:r>
      <w:r>
        <w:t>期</w:t>
      </w:r>
      <w:r>
        <w:rPr>
          <w:spacing w:val="-49"/>
        </w:rPr>
        <w:t>，</w:t>
      </w:r>
      <w:r>
        <w:t>使</w:t>
      </w:r>
      <w:r>
        <w:rPr>
          <w:spacing w:val="-3"/>
        </w:rPr>
        <w:t>得</w:t>
      </w:r>
      <w:r>
        <w:t>能源</w:t>
      </w:r>
      <w:r>
        <w:rPr>
          <w:spacing w:val="-3"/>
        </w:rPr>
        <w:t>显</w:t>
      </w:r>
      <w:r>
        <w:t>得尤</w:t>
      </w:r>
      <w:r>
        <w:rPr>
          <w:spacing w:val="-3"/>
        </w:rPr>
        <w:t>为</w:t>
      </w:r>
      <w:r>
        <w:t>重</w:t>
      </w:r>
      <w:r>
        <w:rPr>
          <w:spacing w:val="-3"/>
        </w:rPr>
        <w:t>要</w:t>
      </w:r>
      <w:r>
        <w:rPr>
          <w:spacing w:val="-49"/>
        </w:rPr>
        <w:t>。</w:t>
      </w:r>
      <w:r>
        <w:t>科</w:t>
      </w:r>
      <w:r>
        <w:rPr>
          <w:spacing w:val="-3"/>
        </w:rPr>
        <w:t>学</w:t>
      </w:r>
      <w:r>
        <w:t>技术</w:t>
      </w:r>
      <w:r>
        <w:rPr>
          <w:spacing w:val="-3"/>
        </w:rPr>
        <w:t>水</w:t>
      </w:r>
      <w:r>
        <w:t>平的</w:t>
      </w:r>
      <w:r>
        <w:rPr>
          <w:spacing w:val="-3"/>
        </w:rPr>
        <w:t>提</w:t>
      </w:r>
      <w:r>
        <w:t>高对</w:t>
      </w:r>
      <w:r>
        <w:rPr>
          <w:spacing w:val="-3"/>
        </w:rPr>
        <w:t>能</w:t>
      </w:r>
      <w:r>
        <w:t>源的</w:t>
      </w:r>
      <w:r>
        <w:rPr>
          <w:spacing w:val="-3"/>
        </w:rPr>
        <w:t>需</w:t>
      </w:r>
      <w:r>
        <w:t>求量日益</w:t>
      </w:r>
      <w:r>
        <w:rPr>
          <w:spacing w:val="-3"/>
        </w:rPr>
        <w:t>增</w:t>
      </w:r>
      <w:r>
        <w:t>加</w:t>
      </w:r>
      <w:r>
        <w:rPr>
          <w:spacing w:val="-34"/>
        </w:rPr>
        <w:t>，</w:t>
      </w:r>
      <w:r>
        <w:t>对</w:t>
      </w:r>
      <w:r>
        <w:rPr>
          <w:spacing w:val="-3"/>
        </w:rPr>
        <w:t>于</w:t>
      </w:r>
      <w:r>
        <w:t>如何</w:t>
      </w:r>
      <w:r>
        <w:rPr>
          <w:spacing w:val="-3"/>
        </w:rPr>
        <w:t>高</w:t>
      </w:r>
      <w:r>
        <w:t>效</w:t>
      </w:r>
      <w:r>
        <w:rPr>
          <w:spacing w:val="-32"/>
        </w:rPr>
        <w:t>、</w:t>
      </w:r>
      <w:r>
        <w:t>合</w:t>
      </w:r>
      <w:r>
        <w:rPr>
          <w:spacing w:val="-3"/>
        </w:rPr>
        <w:t>理</w:t>
      </w:r>
      <w:r>
        <w:t>的利</w:t>
      </w:r>
      <w:r>
        <w:rPr>
          <w:spacing w:val="-3"/>
        </w:rPr>
        <w:t>用</w:t>
      </w:r>
      <w:r>
        <w:t>能源</w:t>
      </w:r>
      <w:r>
        <w:rPr>
          <w:spacing w:val="-34"/>
        </w:rPr>
        <w:t>，</w:t>
      </w:r>
      <w:r>
        <w:t>以</w:t>
      </w:r>
      <w:r>
        <w:rPr>
          <w:spacing w:val="-3"/>
        </w:rPr>
        <w:t>最</w:t>
      </w:r>
      <w:r>
        <w:t>大限</w:t>
      </w:r>
      <w:r>
        <w:rPr>
          <w:spacing w:val="-3"/>
        </w:rPr>
        <w:t>度</w:t>
      </w:r>
      <w:r>
        <w:t>地节</w:t>
      </w:r>
      <w:r>
        <w:rPr>
          <w:spacing w:val="-3"/>
        </w:rPr>
        <w:t>能</w:t>
      </w:r>
      <w:r>
        <w:t>是我们必</w:t>
      </w:r>
      <w:r>
        <w:rPr>
          <w:spacing w:val="-3"/>
        </w:rPr>
        <w:t>须</w:t>
      </w:r>
      <w:r>
        <w:t>引起</w:t>
      </w:r>
      <w:r>
        <w:rPr>
          <w:spacing w:val="-3"/>
        </w:rPr>
        <w:t>重</w:t>
      </w:r>
      <w:r>
        <w:t>视的</w:t>
      </w:r>
      <w:r>
        <w:rPr>
          <w:spacing w:val="-3"/>
        </w:rPr>
        <w:t>问</w:t>
      </w:r>
      <w:r>
        <w:t>题</w:t>
      </w:r>
      <w:r>
        <w:rPr>
          <w:spacing w:val="-49"/>
        </w:rPr>
        <w:t>。</w:t>
      </w:r>
      <w:r>
        <w:t>在本</w:t>
      </w:r>
      <w:r>
        <w:rPr>
          <w:rFonts w:hint="eastAsia"/>
          <w:spacing w:val="-3"/>
        </w:rPr>
        <w:t>项目</w:t>
      </w:r>
      <w:r>
        <w:rPr>
          <w:spacing w:val="-3"/>
        </w:rPr>
        <w:t>的</w:t>
      </w:r>
      <w:r>
        <w:t>整</w:t>
      </w:r>
      <w:r>
        <w:rPr>
          <w:spacing w:val="-3"/>
        </w:rPr>
        <w:t>个</w:t>
      </w:r>
      <w:r>
        <w:t>运行</w:t>
      </w:r>
      <w:r>
        <w:rPr>
          <w:spacing w:val="-3"/>
        </w:rPr>
        <w:t>过</w:t>
      </w:r>
      <w:r>
        <w:t>程中</w:t>
      </w:r>
      <w:r>
        <w:rPr>
          <w:spacing w:val="-49"/>
        </w:rPr>
        <w:t>，</w:t>
      </w:r>
      <w:r>
        <w:t>需</w:t>
      </w:r>
      <w:r>
        <w:rPr>
          <w:spacing w:val="-3"/>
        </w:rPr>
        <w:t>要</w:t>
      </w:r>
      <w:r>
        <w:t>使用</w:t>
      </w:r>
      <w:r>
        <w:rPr>
          <w:spacing w:val="-3"/>
        </w:rPr>
        <w:t>较</w:t>
      </w:r>
      <w:r>
        <w:t>多大</w:t>
      </w:r>
      <w:r>
        <w:rPr>
          <w:spacing w:val="5"/>
        </w:rPr>
        <w:t>型</w:t>
      </w:r>
      <w:r>
        <w:rPr>
          <w:rFonts w:hint="eastAsia"/>
          <w:spacing w:val="5"/>
        </w:rPr>
        <w:t>开挖</w:t>
      </w:r>
      <w:r>
        <w:rPr>
          <w:spacing w:val="5"/>
        </w:rPr>
        <w:t>机械及大型用电设备。如果在本项目中采取了有效的节能措</w:t>
      </w:r>
      <w:r>
        <w:t>施</w:t>
      </w:r>
      <w:r>
        <w:rPr>
          <w:spacing w:val="-34"/>
        </w:rPr>
        <w:t>，</w:t>
      </w:r>
      <w:r>
        <w:t>在</w:t>
      </w:r>
      <w:r>
        <w:rPr>
          <w:spacing w:val="-3"/>
        </w:rPr>
        <w:t>每</w:t>
      </w:r>
      <w:r>
        <w:t>个环</w:t>
      </w:r>
      <w:r>
        <w:rPr>
          <w:spacing w:val="-3"/>
        </w:rPr>
        <w:t>节</w:t>
      </w:r>
      <w:r>
        <w:t>采取</w:t>
      </w:r>
      <w:r>
        <w:rPr>
          <w:spacing w:val="-3"/>
        </w:rPr>
        <w:t>高</w:t>
      </w:r>
      <w:r>
        <w:t>效节</w:t>
      </w:r>
      <w:r>
        <w:rPr>
          <w:spacing w:val="-3"/>
        </w:rPr>
        <w:t>能</w:t>
      </w:r>
      <w:r>
        <w:t>的先</w:t>
      </w:r>
      <w:r>
        <w:rPr>
          <w:spacing w:val="-3"/>
        </w:rPr>
        <w:t>进</w:t>
      </w:r>
      <w:r>
        <w:t>技术</w:t>
      </w:r>
      <w:r>
        <w:rPr>
          <w:spacing w:val="-34"/>
        </w:rPr>
        <w:t>，</w:t>
      </w:r>
      <w:r>
        <w:t>可</w:t>
      </w:r>
      <w:r>
        <w:rPr>
          <w:spacing w:val="-3"/>
        </w:rPr>
        <w:t>以</w:t>
      </w:r>
      <w:r>
        <w:t>节能</w:t>
      </w:r>
      <w:r>
        <w:rPr>
          <w:spacing w:val="-3"/>
        </w:rPr>
        <w:t>降</w:t>
      </w:r>
      <w:r>
        <w:t>耗</w:t>
      </w:r>
      <w:r>
        <w:rPr>
          <w:spacing w:val="-32"/>
        </w:rPr>
        <w:t>，</w:t>
      </w:r>
      <w:r>
        <w:t>降</w:t>
      </w:r>
      <w:r>
        <w:rPr>
          <w:spacing w:val="-3"/>
        </w:rPr>
        <w:t>低</w:t>
      </w:r>
      <w:r>
        <w:t>运行</w:t>
      </w:r>
      <w:r>
        <w:rPr>
          <w:spacing w:val="-2"/>
        </w:rPr>
        <w:t>费用，达到节能目的。</w:t>
      </w:r>
    </w:p>
    <w:p w14:paraId="10074CD4">
      <w:pPr>
        <w:pStyle w:val="5"/>
        <w:rPr>
          <w:rFonts w:hint="eastAsia" w:ascii="宋体" w:hAnsi="宋体" w:cs="宋体"/>
        </w:rPr>
      </w:pPr>
      <w:bookmarkStart w:id="94" w:name="_Toc174443634"/>
      <w:r>
        <w:t>10.12.3</w:t>
      </w:r>
      <w:bookmarkStart w:id="95" w:name="7.2.3.节能措施"/>
      <w:bookmarkEnd w:id="95"/>
      <w:bookmarkStart w:id="96" w:name="_bookmark115"/>
      <w:bookmarkEnd w:id="96"/>
      <w:r>
        <w:rPr>
          <w:rFonts w:ascii="宋体" w:hAnsi="宋体" w:cs="宋体"/>
        </w:rPr>
        <w:t>节能措施</w:t>
      </w:r>
      <w:bookmarkEnd w:id="94"/>
    </w:p>
    <w:p w14:paraId="58F5BFFB">
      <w:pPr>
        <w:pStyle w:val="6"/>
      </w:pPr>
      <w:r>
        <w:t>10.1</w:t>
      </w:r>
      <w:r>
        <w:rPr>
          <w:rStyle w:val="54"/>
          <w:b/>
          <w:bCs/>
        </w:rPr>
        <w:t>2.3.1.</w:t>
      </w:r>
      <w:bookmarkStart w:id="97" w:name="7.2.3.1.劳动资源节能"/>
      <w:bookmarkEnd w:id="97"/>
      <w:r>
        <w:rPr>
          <w:rStyle w:val="54"/>
          <w:b/>
          <w:bCs/>
        </w:rPr>
        <w:t>劳动资源节能</w:t>
      </w:r>
    </w:p>
    <w:p w14:paraId="5D45EE69">
      <w:pPr>
        <w:pStyle w:val="4"/>
        <w:ind w:firstLine="480"/>
      </w:pPr>
      <w:r>
        <w:t>（</w:t>
      </w:r>
      <w:r>
        <w:rPr>
          <w:rFonts w:eastAsia="Times New Roman" w:cs="Times New Roman"/>
        </w:rPr>
        <w:t>1</w:t>
      </w:r>
      <w:r>
        <w:t>）生产一线员工均应经过职业培训，实行持证上岗，逐渐提</w:t>
      </w:r>
      <w:r>
        <w:rPr>
          <w:spacing w:val="-1"/>
        </w:rPr>
        <w:t>高</w:t>
      </w:r>
      <w:r>
        <w:rPr>
          <w:spacing w:val="-3"/>
        </w:rPr>
        <w:t>中</w:t>
      </w:r>
      <w:r>
        <w:rPr>
          <w:spacing w:val="-32"/>
        </w:rPr>
        <w:t>、</w:t>
      </w:r>
      <w:r>
        <w:rPr>
          <w:spacing w:val="-1"/>
        </w:rPr>
        <w:t>高</w:t>
      </w:r>
      <w:r>
        <w:rPr>
          <w:spacing w:val="-3"/>
        </w:rPr>
        <w:t>级</w:t>
      </w:r>
      <w:r>
        <w:rPr>
          <w:spacing w:val="-1"/>
        </w:rPr>
        <w:t>员工</w:t>
      </w:r>
      <w:r>
        <w:rPr>
          <w:spacing w:val="-3"/>
        </w:rPr>
        <w:t>的</w:t>
      </w:r>
      <w:r>
        <w:rPr>
          <w:spacing w:val="-1"/>
        </w:rPr>
        <w:t>比</w:t>
      </w:r>
      <w:r>
        <w:rPr>
          <w:spacing w:val="-3"/>
        </w:rPr>
        <w:t>例</w:t>
      </w:r>
      <w:r>
        <w:rPr>
          <w:spacing w:val="-32"/>
        </w:rPr>
        <w:t>，</w:t>
      </w:r>
      <w:r>
        <w:rPr>
          <w:spacing w:val="-1"/>
        </w:rPr>
        <w:t>使</w:t>
      </w:r>
      <w:r>
        <w:rPr>
          <w:spacing w:val="-3"/>
        </w:rPr>
        <w:t>每</w:t>
      </w:r>
      <w:r>
        <w:rPr>
          <w:spacing w:val="-1"/>
        </w:rPr>
        <w:t>个生</w:t>
      </w:r>
      <w:r>
        <w:rPr>
          <w:spacing w:val="-3"/>
        </w:rPr>
        <w:t>产</w:t>
      </w:r>
      <w:r>
        <w:rPr>
          <w:spacing w:val="-1"/>
        </w:rPr>
        <w:t>员工</w:t>
      </w:r>
      <w:r>
        <w:rPr>
          <w:spacing w:val="-3"/>
        </w:rPr>
        <w:t>均</w:t>
      </w:r>
      <w:r>
        <w:rPr>
          <w:spacing w:val="-1"/>
        </w:rPr>
        <w:t>能熟</w:t>
      </w:r>
      <w:r>
        <w:rPr>
          <w:spacing w:val="-3"/>
        </w:rPr>
        <w:t>练</w:t>
      </w:r>
      <w:r>
        <w:rPr>
          <w:spacing w:val="-1"/>
        </w:rPr>
        <w:t>操作</w:t>
      </w:r>
      <w:r>
        <w:rPr>
          <w:spacing w:val="-34"/>
        </w:rPr>
        <w:t>，</w:t>
      </w:r>
      <w:r>
        <w:rPr>
          <w:spacing w:val="-1"/>
        </w:rPr>
        <w:t>制</w:t>
      </w:r>
      <w:r>
        <w:rPr>
          <w:spacing w:val="-3"/>
        </w:rPr>
        <w:t>定</w:t>
      </w:r>
      <w:r>
        <w:rPr>
          <w:spacing w:val="-1"/>
        </w:rPr>
        <w:t>并严</w:t>
      </w:r>
      <w:r>
        <w:t>格执行相应的作业规范。</w:t>
      </w:r>
    </w:p>
    <w:p w14:paraId="2527FB0C">
      <w:pPr>
        <w:pStyle w:val="4"/>
        <w:ind w:firstLine="480"/>
      </w:pPr>
      <w:r>
        <w:t>（</w:t>
      </w:r>
      <w:r>
        <w:rPr>
          <w:rFonts w:eastAsia="Times New Roman" w:cs="Times New Roman"/>
        </w:rPr>
        <w:t>2</w:t>
      </w:r>
      <w:r>
        <w:t>）严格控制员工数量，做到精简、高效，提倡勤俭节约、艰苦奋斗。</w:t>
      </w:r>
    </w:p>
    <w:p w14:paraId="33A42A63">
      <w:pPr>
        <w:pStyle w:val="6"/>
      </w:pPr>
      <w:r>
        <w:t>10.12.3.2</w:t>
      </w:r>
      <w:bookmarkStart w:id="98" w:name="7.2.3.2.物资材料节能"/>
      <w:bookmarkEnd w:id="98"/>
      <w:r>
        <w:t>物资材料节能</w:t>
      </w:r>
    </w:p>
    <w:p w14:paraId="75367BBD">
      <w:pPr>
        <w:pStyle w:val="4"/>
        <w:ind w:firstLine="480"/>
      </w:pPr>
      <w:r>
        <w:t>（</w:t>
      </w:r>
      <w:r>
        <w:rPr>
          <w:rFonts w:eastAsia="Times New Roman" w:cs="Times New Roman"/>
        </w:rPr>
        <w:t>1</w:t>
      </w:r>
      <w:r>
        <w:t>）节油</w:t>
      </w:r>
    </w:p>
    <w:p w14:paraId="16D691DB">
      <w:pPr>
        <w:pStyle w:val="4"/>
        <w:ind w:firstLine="480"/>
      </w:pPr>
      <w:r>
        <w:t>选用单位油耗较低的车辆；</w:t>
      </w:r>
      <w:r>
        <w:rPr>
          <w:spacing w:val="26"/>
        </w:rPr>
        <w:t xml:space="preserve"> </w:t>
      </w:r>
      <w:r>
        <w:t>选用单位油耗较低的填埋作业机械设备。</w:t>
      </w:r>
    </w:p>
    <w:p w14:paraId="236F9E7B">
      <w:pPr>
        <w:pStyle w:val="4"/>
        <w:ind w:firstLine="480"/>
        <w:rPr>
          <w:spacing w:val="24"/>
        </w:rPr>
      </w:pPr>
      <w:r>
        <w:t>（</w:t>
      </w:r>
      <w:r>
        <w:rPr>
          <w:rFonts w:eastAsia="Times New Roman" w:cs="Times New Roman"/>
        </w:rPr>
        <w:t>2</w:t>
      </w:r>
      <w:r>
        <w:t>）节电</w:t>
      </w:r>
    </w:p>
    <w:p w14:paraId="30329530">
      <w:pPr>
        <w:pStyle w:val="4"/>
        <w:ind w:firstLine="480"/>
      </w:pPr>
      <w:r>
        <w:t>合理选用导线截面，减少电能损耗；</w:t>
      </w:r>
    </w:p>
    <w:p w14:paraId="5AC46CEC">
      <w:pPr>
        <w:pStyle w:val="4"/>
        <w:ind w:firstLine="480"/>
      </w:pPr>
      <w:r>
        <w:t>选用效率较高的渗沥液、地下水及地表水提升泵和渗沥液输送</w:t>
      </w:r>
      <w:r>
        <w:rPr>
          <w:spacing w:val="-1"/>
        </w:rPr>
        <w:t>泵。</w:t>
      </w:r>
    </w:p>
    <w:p w14:paraId="5980A609">
      <w:pPr>
        <w:pStyle w:val="4"/>
        <w:ind w:firstLine="480"/>
        <w:rPr>
          <w:spacing w:val="24"/>
        </w:rPr>
      </w:pPr>
      <w:r>
        <w:t>（</w:t>
      </w:r>
      <w:r>
        <w:rPr>
          <w:rFonts w:eastAsia="Times New Roman" w:cs="Times New Roman"/>
        </w:rPr>
        <w:t>3</w:t>
      </w:r>
      <w:r>
        <w:t>）节水</w:t>
      </w:r>
    </w:p>
    <w:p w14:paraId="18CB7ED6">
      <w:pPr>
        <w:pStyle w:val="4"/>
        <w:ind w:firstLine="478"/>
      </w:pPr>
      <w:r>
        <w:rPr>
          <w:spacing w:val="-1"/>
        </w:rPr>
        <w:t>充</w:t>
      </w:r>
      <w:r>
        <w:rPr>
          <w:spacing w:val="-3"/>
        </w:rPr>
        <w:t>分</w:t>
      </w:r>
      <w:r>
        <w:rPr>
          <w:spacing w:val="-1"/>
        </w:rPr>
        <w:t>利用</w:t>
      </w:r>
      <w:r>
        <w:rPr>
          <w:spacing w:val="-3"/>
        </w:rPr>
        <w:t>渗</w:t>
      </w:r>
      <w:r>
        <w:rPr>
          <w:spacing w:val="-1"/>
        </w:rPr>
        <w:t>沥液</w:t>
      </w:r>
      <w:r>
        <w:rPr>
          <w:spacing w:val="-3"/>
        </w:rPr>
        <w:t>处</w:t>
      </w:r>
      <w:r>
        <w:rPr>
          <w:spacing w:val="-1"/>
        </w:rPr>
        <w:t>理后</w:t>
      </w:r>
      <w:r>
        <w:rPr>
          <w:spacing w:val="-3"/>
        </w:rPr>
        <w:t>的</w:t>
      </w:r>
      <w:r>
        <w:rPr>
          <w:spacing w:val="-1"/>
        </w:rPr>
        <w:t>中水</w:t>
      </w:r>
      <w:r>
        <w:rPr>
          <w:spacing w:val="-3"/>
        </w:rPr>
        <w:t>和</w:t>
      </w:r>
      <w:r>
        <w:rPr>
          <w:spacing w:val="-1"/>
        </w:rPr>
        <w:t>库区</w:t>
      </w:r>
      <w:r>
        <w:rPr>
          <w:spacing w:val="-3"/>
        </w:rPr>
        <w:t>地</w:t>
      </w:r>
      <w:r>
        <w:rPr>
          <w:spacing w:val="-1"/>
        </w:rPr>
        <w:t>表水</w:t>
      </w:r>
      <w:r>
        <w:rPr>
          <w:spacing w:val="-3"/>
        </w:rPr>
        <w:t>集</w:t>
      </w:r>
      <w:r>
        <w:rPr>
          <w:spacing w:val="-1"/>
        </w:rPr>
        <w:t>水井</w:t>
      </w:r>
      <w:r>
        <w:rPr>
          <w:spacing w:val="-3"/>
        </w:rPr>
        <w:t>内</w:t>
      </w:r>
      <w:r>
        <w:rPr>
          <w:spacing w:val="-1"/>
        </w:rPr>
        <w:t>的水</w:t>
      </w:r>
      <w:r>
        <w:rPr>
          <w:spacing w:val="-97"/>
        </w:rPr>
        <w:t>，</w:t>
      </w:r>
      <w:r>
        <w:rPr>
          <w:spacing w:val="-1"/>
        </w:rPr>
        <w:t>场</w:t>
      </w:r>
      <w:r>
        <w:t>区地坪及车辆冲洗用水均可采用上述水源。</w:t>
      </w:r>
    </w:p>
    <w:p w14:paraId="62FC13A5">
      <w:pPr>
        <w:pStyle w:val="5"/>
        <w:rPr>
          <w:rFonts w:hint="eastAsia" w:ascii="宋体" w:hAnsi="宋体" w:cs="宋体"/>
          <w:b w:val="0"/>
          <w:bCs w:val="0"/>
        </w:rPr>
      </w:pPr>
      <w:bookmarkStart w:id="99" w:name="_Toc174443635"/>
      <w:r>
        <w:rPr>
          <w:spacing w:val="1"/>
        </w:rPr>
        <w:t>10.1</w:t>
      </w:r>
      <w:r>
        <w:rPr>
          <w:spacing w:val="-2"/>
        </w:rPr>
        <w:t>2</w:t>
      </w:r>
      <w:r>
        <w:rPr>
          <w:spacing w:val="-1"/>
        </w:rPr>
        <w:t>.</w:t>
      </w:r>
      <w:r>
        <w:rPr>
          <w:spacing w:val="1"/>
        </w:rPr>
        <w:t>3</w:t>
      </w:r>
      <w:r>
        <w:rPr>
          <w:spacing w:val="-1"/>
        </w:rPr>
        <w:t>.</w:t>
      </w:r>
      <w:r>
        <w:rPr>
          <w:spacing w:val="-2"/>
        </w:rPr>
        <w:t>3</w:t>
      </w:r>
      <w:r>
        <w:rPr>
          <w:spacing w:val="21"/>
        </w:rPr>
        <w:t>.</w:t>
      </w:r>
      <w:bookmarkStart w:id="100" w:name="7.2.3.3.运行维护节能措施"/>
      <w:bookmarkEnd w:id="100"/>
      <w:r>
        <w:rPr>
          <w:rFonts w:ascii="宋体" w:hAnsi="宋体" w:cs="宋体"/>
          <w:spacing w:val="-1"/>
        </w:rPr>
        <w:t>运行维护</w:t>
      </w:r>
      <w:r>
        <w:rPr>
          <w:rFonts w:ascii="宋体" w:hAnsi="宋体" w:cs="宋体"/>
          <w:spacing w:val="2"/>
        </w:rPr>
        <w:t>节</w:t>
      </w:r>
      <w:r>
        <w:rPr>
          <w:rFonts w:ascii="宋体" w:hAnsi="宋体" w:cs="宋体"/>
          <w:spacing w:val="-1"/>
        </w:rPr>
        <w:t>能措</w:t>
      </w:r>
      <w:r>
        <w:rPr>
          <w:rFonts w:ascii="宋体" w:hAnsi="宋体" w:cs="宋体"/>
        </w:rPr>
        <w:t>施</w:t>
      </w:r>
      <w:bookmarkEnd w:id="99"/>
    </w:p>
    <w:p w14:paraId="23011A48">
      <w:pPr>
        <w:pStyle w:val="4"/>
        <w:ind w:firstLine="480"/>
      </w:pPr>
      <w:r>
        <w:t>（</w:t>
      </w:r>
      <w:r>
        <w:rPr>
          <w:rFonts w:eastAsia="Times New Roman" w:cs="Times New Roman"/>
        </w:rPr>
        <w:t>1</w:t>
      </w:r>
      <w:r>
        <w:t>）合理组织场内交通，减小场区内车辆运输距离，建立节油</w:t>
      </w:r>
      <w:r>
        <w:rPr>
          <w:spacing w:val="-2"/>
        </w:rPr>
        <w:t>的规章制度，降低油耗。</w:t>
      </w:r>
    </w:p>
    <w:p w14:paraId="0D2853BF">
      <w:pPr>
        <w:pStyle w:val="4"/>
        <w:ind w:firstLine="478"/>
      </w:pPr>
      <w:r>
        <w:rPr>
          <w:spacing w:val="-1"/>
        </w:rPr>
        <w:t>（</w:t>
      </w:r>
      <w:r>
        <w:rPr>
          <w:rFonts w:eastAsia="Times New Roman" w:cs="Times New Roman"/>
          <w:spacing w:val="-2"/>
        </w:rPr>
        <w:t>2</w:t>
      </w:r>
      <w:r>
        <w:rPr>
          <w:spacing w:val="-49"/>
        </w:rPr>
        <w:t>）</w:t>
      </w:r>
      <w:r>
        <w:rPr>
          <w:spacing w:val="-1"/>
        </w:rPr>
        <w:t>渗</w:t>
      </w:r>
      <w:r>
        <w:rPr>
          <w:spacing w:val="-3"/>
        </w:rPr>
        <w:t>沥</w:t>
      </w:r>
      <w:r>
        <w:rPr>
          <w:spacing w:val="-1"/>
        </w:rPr>
        <w:t>液出</w:t>
      </w:r>
      <w:r>
        <w:rPr>
          <w:spacing w:val="-3"/>
        </w:rPr>
        <w:t>水</w:t>
      </w:r>
      <w:r>
        <w:rPr>
          <w:spacing w:val="-1"/>
        </w:rPr>
        <w:t>导排</w:t>
      </w:r>
      <w:r>
        <w:rPr>
          <w:spacing w:val="-49"/>
        </w:rPr>
        <w:t>、</w:t>
      </w:r>
      <w:r>
        <w:rPr>
          <w:spacing w:val="-1"/>
        </w:rPr>
        <w:t>渗</w:t>
      </w:r>
      <w:r>
        <w:rPr>
          <w:spacing w:val="-3"/>
        </w:rPr>
        <w:t>滤</w:t>
      </w:r>
      <w:r>
        <w:rPr>
          <w:spacing w:val="-1"/>
        </w:rPr>
        <w:t>液处</w:t>
      </w:r>
      <w:r>
        <w:rPr>
          <w:spacing w:val="-3"/>
        </w:rPr>
        <w:t>理</w:t>
      </w:r>
      <w:r>
        <w:rPr>
          <w:spacing w:val="-1"/>
        </w:rPr>
        <w:t>站雨</w:t>
      </w:r>
      <w:r>
        <w:rPr>
          <w:spacing w:val="-3"/>
        </w:rPr>
        <w:t>水</w:t>
      </w:r>
      <w:r>
        <w:rPr>
          <w:spacing w:val="-1"/>
        </w:rPr>
        <w:t>排放</w:t>
      </w:r>
      <w:r>
        <w:rPr>
          <w:spacing w:val="-3"/>
        </w:rPr>
        <w:t>尽</w:t>
      </w:r>
      <w:r>
        <w:rPr>
          <w:spacing w:val="-1"/>
        </w:rPr>
        <w:t>量利</w:t>
      </w:r>
      <w:r>
        <w:rPr>
          <w:spacing w:val="-3"/>
        </w:rPr>
        <w:t>用</w:t>
      </w:r>
      <w:r>
        <w:rPr>
          <w:spacing w:val="-1"/>
        </w:rPr>
        <w:t>重力</w:t>
      </w:r>
      <w:r>
        <w:rPr>
          <w:spacing w:val="-3"/>
        </w:rPr>
        <w:t>流</w:t>
      </w:r>
      <w:r>
        <w:t>。</w:t>
      </w:r>
    </w:p>
    <w:p w14:paraId="72753947">
      <w:pPr>
        <w:pStyle w:val="4"/>
        <w:ind w:firstLine="480"/>
      </w:pPr>
      <w:r>
        <w:t>（</w:t>
      </w:r>
      <w:r>
        <w:rPr>
          <w:rFonts w:eastAsia="Times New Roman" w:cs="Times New Roman"/>
        </w:rPr>
        <w:t>3</w:t>
      </w:r>
      <w:r>
        <w:t>）采取有效的雨污分流措施，减小渗沥液产量，并最终降低</w:t>
      </w:r>
      <w:r>
        <w:rPr>
          <w:spacing w:val="-2"/>
        </w:rPr>
        <w:t>渗沥液的处理能耗。</w:t>
      </w:r>
    </w:p>
    <w:p w14:paraId="5E96C44D">
      <w:pPr>
        <w:pStyle w:val="4"/>
        <w:ind w:firstLine="478"/>
      </w:pPr>
      <w:r>
        <w:rPr>
          <w:spacing w:val="-1"/>
        </w:rPr>
        <w:t>（</w:t>
      </w:r>
      <w:r>
        <w:rPr>
          <w:rFonts w:eastAsia="Times New Roman" w:cs="Times New Roman"/>
          <w:spacing w:val="-2"/>
        </w:rPr>
        <w:t>4</w:t>
      </w:r>
      <w:r>
        <w:rPr>
          <w:spacing w:val="-25"/>
        </w:rPr>
        <w:t>）</w:t>
      </w:r>
      <w:r>
        <w:rPr>
          <w:spacing w:val="-1"/>
        </w:rPr>
        <w:t>尽</w:t>
      </w:r>
      <w:r>
        <w:rPr>
          <w:spacing w:val="-3"/>
        </w:rPr>
        <w:t>可</w:t>
      </w:r>
      <w:r>
        <w:rPr>
          <w:spacing w:val="-1"/>
        </w:rPr>
        <w:t>能选</w:t>
      </w:r>
      <w:r>
        <w:rPr>
          <w:spacing w:val="-3"/>
        </w:rPr>
        <w:t>用</w:t>
      </w:r>
      <w:r>
        <w:rPr>
          <w:spacing w:val="-1"/>
        </w:rPr>
        <w:t>节能</w:t>
      </w:r>
      <w:r>
        <w:rPr>
          <w:spacing w:val="-25"/>
        </w:rPr>
        <w:t>型</w:t>
      </w:r>
      <w:r>
        <w:rPr>
          <w:spacing w:val="-3"/>
        </w:rPr>
        <w:t>（</w:t>
      </w:r>
      <w:r>
        <w:rPr>
          <w:spacing w:val="-1"/>
        </w:rPr>
        <w:t>国</w:t>
      </w:r>
      <w:r>
        <w:rPr>
          <w:spacing w:val="-3"/>
        </w:rPr>
        <w:t>家</w:t>
      </w:r>
      <w:r>
        <w:rPr>
          <w:spacing w:val="-1"/>
        </w:rPr>
        <w:t>推广</w:t>
      </w:r>
      <w:r>
        <w:rPr>
          <w:spacing w:val="-3"/>
        </w:rPr>
        <w:t>产</w:t>
      </w:r>
      <w:r>
        <w:rPr>
          <w:spacing w:val="-1"/>
        </w:rPr>
        <w:t>品</w:t>
      </w:r>
      <w:r>
        <w:rPr>
          <w:spacing w:val="-25"/>
        </w:rPr>
        <w:t>）、</w:t>
      </w:r>
      <w:r>
        <w:rPr>
          <w:spacing w:val="-1"/>
        </w:rPr>
        <w:t>标</w:t>
      </w:r>
      <w:r>
        <w:rPr>
          <w:spacing w:val="-3"/>
        </w:rPr>
        <w:t>准</w:t>
      </w:r>
      <w:r>
        <w:rPr>
          <w:spacing w:val="-1"/>
        </w:rPr>
        <w:t>型的</w:t>
      </w:r>
      <w:r>
        <w:rPr>
          <w:spacing w:val="-3"/>
        </w:rPr>
        <w:t>专</w:t>
      </w:r>
      <w:r>
        <w:rPr>
          <w:spacing w:val="-1"/>
        </w:rPr>
        <w:t>用设</w:t>
      </w:r>
      <w:r>
        <w:rPr>
          <w:spacing w:val="-3"/>
        </w:rPr>
        <w:t>备</w:t>
      </w:r>
      <w:r>
        <w:t>，</w:t>
      </w:r>
      <w:r>
        <w:rPr>
          <w:spacing w:val="-1"/>
        </w:rPr>
        <w:t>所</w:t>
      </w:r>
      <w:r>
        <w:rPr>
          <w:spacing w:val="-3"/>
        </w:rPr>
        <w:t>有</w:t>
      </w:r>
      <w:r>
        <w:rPr>
          <w:spacing w:val="-1"/>
        </w:rPr>
        <w:t>设备</w:t>
      </w:r>
      <w:r>
        <w:rPr>
          <w:spacing w:val="-3"/>
        </w:rPr>
        <w:t>均</w:t>
      </w:r>
      <w:r>
        <w:rPr>
          <w:spacing w:val="-1"/>
        </w:rPr>
        <w:t>指定</w:t>
      </w:r>
      <w:r>
        <w:rPr>
          <w:spacing w:val="-3"/>
        </w:rPr>
        <w:t>专</w:t>
      </w:r>
      <w:r>
        <w:rPr>
          <w:spacing w:val="-1"/>
        </w:rPr>
        <w:t>人负</w:t>
      </w:r>
      <w:r>
        <w:rPr>
          <w:spacing w:val="-3"/>
        </w:rPr>
        <w:t>责</w:t>
      </w:r>
      <w:r>
        <w:rPr>
          <w:spacing w:val="-1"/>
        </w:rPr>
        <w:t>保养</w:t>
      </w:r>
      <w:r>
        <w:rPr>
          <w:spacing w:val="-49"/>
        </w:rPr>
        <w:t>，</w:t>
      </w:r>
      <w:r>
        <w:rPr>
          <w:spacing w:val="-1"/>
        </w:rPr>
        <w:t>并</w:t>
      </w:r>
      <w:r>
        <w:rPr>
          <w:spacing w:val="-3"/>
        </w:rPr>
        <w:t>定</w:t>
      </w:r>
      <w:r>
        <w:rPr>
          <w:spacing w:val="-1"/>
        </w:rPr>
        <w:t>期进</w:t>
      </w:r>
      <w:r>
        <w:rPr>
          <w:spacing w:val="-3"/>
        </w:rPr>
        <w:t>行</w:t>
      </w:r>
      <w:r>
        <w:rPr>
          <w:spacing w:val="-1"/>
        </w:rPr>
        <w:t>检</w:t>
      </w:r>
      <w:r>
        <w:rPr>
          <w:spacing w:val="-3"/>
        </w:rPr>
        <w:t>修</w:t>
      </w:r>
      <w:r>
        <w:rPr>
          <w:spacing w:val="-49"/>
        </w:rPr>
        <w:t>，</w:t>
      </w:r>
      <w:r>
        <w:rPr>
          <w:spacing w:val="-1"/>
        </w:rPr>
        <w:t>以</w:t>
      </w:r>
      <w:r>
        <w:rPr>
          <w:spacing w:val="-3"/>
        </w:rPr>
        <w:t>保</w:t>
      </w:r>
      <w:r>
        <w:rPr>
          <w:spacing w:val="-1"/>
        </w:rPr>
        <w:t>证设</w:t>
      </w:r>
      <w:r>
        <w:rPr>
          <w:spacing w:val="-3"/>
        </w:rPr>
        <w:t>备</w:t>
      </w:r>
      <w:r>
        <w:rPr>
          <w:spacing w:val="-1"/>
        </w:rPr>
        <w:t>运行</w:t>
      </w:r>
      <w:r>
        <w:t>正</w:t>
      </w:r>
      <w:r>
        <w:rPr>
          <w:spacing w:val="-2"/>
        </w:rPr>
        <w:t>常，保持设备状态良好，杜绝设备空转现象。</w:t>
      </w:r>
    </w:p>
    <w:p w14:paraId="53B04166">
      <w:pPr>
        <w:pStyle w:val="4"/>
        <w:ind w:firstLine="480"/>
      </w:pPr>
      <w:r>
        <w:t>（</w:t>
      </w:r>
      <w:r>
        <w:rPr>
          <w:rFonts w:eastAsia="Times New Roman" w:cs="Times New Roman"/>
        </w:rPr>
        <w:t>5</w:t>
      </w:r>
      <w:r>
        <w:t>）注重运用科技，推广科技成果。积极采用各种有利于节能</w:t>
      </w:r>
      <w:r>
        <w:rPr>
          <w:spacing w:val="-1"/>
        </w:rPr>
        <w:t>的</w:t>
      </w:r>
      <w:r>
        <w:rPr>
          <w:spacing w:val="-3"/>
        </w:rPr>
        <w:t>新</w:t>
      </w:r>
      <w:r>
        <w:rPr>
          <w:spacing w:val="-1"/>
        </w:rPr>
        <w:t>技术</w:t>
      </w:r>
      <w:r>
        <w:rPr>
          <w:spacing w:val="-27"/>
        </w:rPr>
        <w:t>、</w:t>
      </w:r>
      <w:r>
        <w:rPr>
          <w:spacing w:val="-1"/>
        </w:rPr>
        <w:t>新</w:t>
      </w:r>
      <w:r>
        <w:rPr>
          <w:spacing w:val="-3"/>
        </w:rPr>
        <w:t>产</w:t>
      </w:r>
      <w:r>
        <w:rPr>
          <w:spacing w:val="-1"/>
        </w:rPr>
        <w:t>品</w:t>
      </w:r>
      <w:r>
        <w:rPr>
          <w:spacing w:val="-25"/>
        </w:rPr>
        <w:t>、</w:t>
      </w:r>
      <w:r>
        <w:rPr>
          <w:spacing w:val="-1"/>
        </w:rPr>
        <w:t>新</w:t>
      </w:r>
      <w:r>
        <w:rPr>
          <w:spacing w:val="-3"/>
        </w:rPr>
        <w:t>材</w:t>
      </w:r>
      <w:r>
        <w:rPr>
          <w:spacing w:val="-1"/>
        </w:rPr>
        <w:t>料和</w:t>
      </w:r>
      <w:r>
        <w:rPr>
          <w:spacing w:val="-3"/>
        </w:rPr>
        <w:t>新</w:t>
      </w:r>
      <w:r>
        <w:rPr>
          <w:spacing w:val="-1"/>
        </w:rPr>
        <w:t>工艺</w:t>
      </w:r>
      <w:r>
        <w:rPr>
          <w:spacing w:val="-25"/>
        </w:rPr>
        <w:t>，</w:t>
      </w:r>
      <w:r>
        <w:rPr>
          <w:spacing w:val="-1"/>
        </w:rPr>
        <w:t>使</w:t>
      </w:r>
      <w:r>
        <w:rPr>
          <w:spacing w:val="-3"/>
        </w:rPr>
        <w:t>生</w:t>
      </w:r>
      <w:r>
        <w:rPr>
          <w:spacing w:val="-1"/>
        </w:rPr>
        <w:t>产与</w:t>
      </w:r>
      <w:r>
        <w:rPr>
          <w:spacing w:val="-3"/>
        </w:rPr>
        <w:t>科</w:t>
      </w:r>
      <w:r>
        <w:rPr>
          <w:spacing w:val="-1"/>
        </w:rPr>
        <w:t>研密</w:t>
      </w:r>
      <w:r>
        <w:rPr>
          <w:spacing w:val="-3"/>
        </w:rPr>
        <w:t>切</w:t>
      </w:r>
      <w:r>
        <w:rPr>
          <w:spacing w:val="-1"/>
        </w:rPr>
        <w:t>结</w:t>
      </w:r>
      <w:r>
        <w:rPr>
          <w:spacing w:val="-3"/>
        </w:rPr>
        <w:t>合</w:t>
      </w:r>
      <w:r>
        <w:rPr>
          <w:spacing w:val="-25"/>
        </w:rPr>
        <w:t>，</w:t>
      </w:r>
      <w:r>
        <w:rPr>
          <w:spacing w:val="-1"/>
        </w:rPr>
        <w:t>以</w:t>
      </w:r>
      <w:r>
        <w:t>提</w:t>
      </w:r>
      <w:r>
        <w:rPr>
          <w:spacing w:val="-2"/>
        </w:rPr>
        <w:t>高工作效率、降低生产成本。</w:t>
      </w:r>
    </w:p>
    <w:p w14:paraId="41A8695C">
      <w:pPr>
        <w:pStyle w:val="4"/>
        <w:ind w:firstLine="480"/>
      </w:pPr>
      <w:r>
        <w:t>（</w:t>
      </w:r>
      <w:r>
        <w:rPr>
          <w:rFonts w:eastAsia="Times New Roman" w:cs="Times New Roman"/>
        </w:rPr>
        <w:t>6</w:t>
      </w:r>
      <w:r>
        <w:t>）切实做到填埋物分层压实，提高填埋物的密实度，增加可</w:t>
      </w:r>
      <w:r>
        <w:rPr>
          <w:spacing w:val="-2"/>
        </w:rPr>
        <w:t>填埋量，延长飞灰填埋场使用年限。</w:t>
      </w:r>
    </w:p>
    <w:p w14:paraId="6A831F60">
      <w:pPr>
        <w:pStyle w:val="4"/>
        <w:ind w:firstLine="476"/>
        <w:jc w:val="left"/>
        <w:rPr>
          <w:spacing w:val="-2"/>
        </w:rPr>
        <w:sectPr>
          <w:pgSz w:w="11910" w:h="16840"/>
          <w:pgMar w:top="1400" w:right="1560" w:bottom="1260" w:left="1680" w:header="0" w:footer="1074" w:gutter="0"/>
          <w:pgNumType w:fmt="numberInDash"/>
          <w:cols w:space="720" w:num="1"/>
        </w:sectPr>
      </w:pPr>
      <w:r>
        <w:rPr>
          <w:spacing w:val="-2"/>
        </w:rPr>
        <w:t>（</w:t>
      </w:r>
      <w:r>
        <w:rPr>
          <w:rFonts w:eastAsia="Times New Roman" w:cs="Times New Roman"/>
          <w:spacing w:val="-2"/>
        </w:rPr>
        <w:t>9</w:t>
      </w:r>
      <w:r>
        <w:rPr>
          <w:spacing w:val="-2"/>
        </w:rPr>
        <w:t>）各项节能指标均应低于国家规定的有关标准。</w:t>
      </w:r>
    </w:p>
    <w:p w14:paraId="10DB35AB">
      <w:pPr>
        <w:pStyle w:val="2"/>
      </w:pPr>
      <w:bookmarkStart w:id="101" w:name="_Toc174443636"/>
      <w:r>
        <w:rPr>
          <w:rFonts w:hint="eastAsia"/>
          <w:w w:val="95"/>
        </w:rPr>
        <w:t>11</w:t>
      </w:r>
      <w:r>
        <w:rPr>
          <w:spacing w:val="1"/>
        </w:rPr>
        <w:t>消防</w:t>
      </w:r>
      <w:bookmarkEnd w:id="101"/>
    </w:p>
    <w:p w14:paraId="42EAE5EB">
      <w:pPr>
        <w:pStyle w:val="3"/>
      </w:pPr>
      <w:bookmarkStart w:id="102" w:name="_Toc174443637"/>
      <w:r>
        <w:t>11.1</w:t>
      </w:r>
      <w:bookmarkStart w:id="103" w:name="_bookmark117"/>
      <w:bookmarkEnd w:id="103"/>
      <w:bookmarkStart w:id="104" w:name="8.1.设计原则"/>
      <w:bookmarkEnd w:id="104"/>
      <w:r>
        <w:t>设计原则</w:t>
      </w:r>
      <w:bookmarkEnd w:id="102"/>
    </w:p>
    <w:p w14:paraId="31E686CD">
      <w:pPr>
        <w:pStyle w:val="4"/>
        <w:ind w:firstLine="480"/>
      </w:pPr>
      <w:r>
        <w:t>根据各建（构）筑物的特性、库区周边消防条件，按“预防为主、防消结合”的消防设计原则，遵循国家有关方针、政策，结合本</w:t>
      </w:r>
      <w:r>
        <w:rPr>
          <w:rFonts w:hint="eastAsia"/>
        </w:rPr>
        <w:t>项目</w:t>
      </w:r>
      <w:r>
        <w:t>的具体情况，做到保障安全、方便使用、经济合理。</w:t>
      </w:r>
    </w:p>
    <w:p w14:paraId="6A2F6C54">
      <w:pPr>
        <w:pStyle w:val="3"/>
      </w:pPr>
      <w:bookmarkStart w:id="105" w:name="_Toc174443638"/>
      <w:r>
        <w:t>11.2</w:t>
      </w:r>
      <w:bookmarkStart w:id="106" w:name="_bookmark118"/>
      <w:bookmarkEnd w:id="106"/>
      <w:bookmarkStart w:id="107" w:name="8.2.设计范围"/>
      <w:bookmarkEnd w:id="107"/>
      <w:r>
        <w:t>设计范围</w:t>
      </w:r>
      <w:bookmarkEnd w:id="105"/>
    </w:p>
    <w:p w14:paraId="7C37BFB1">
      <w:pPr>
        <w:pStyle w:val="4"/>
        <w:ind w:firstLine="480"/>
      </w:pPr>
      <w:r>
        <w:t>本</w:t>
      </w:r>
      <w:r>
        <w:rPr>
          <w:rFonts w:hint="eastAsia"/>
        </w:rPr>
        <w:t>项目</w:t>
      </w:r>
      <w:r>
        <w:t>消防设计范围为填埋库区。</w:t>
      </w:r>
    </w:p>
    <w:p w14:paraId="569023EF">
      <w:pPr>
        <w:pStyle w:val="3"/>
      </w:pPr>
      <w:bookmarkStart w:id="108" w:name="_Toc174443639"/>
      <w:r>
        <w:t>11.3</w:t>
      </w:r>
      <w:bookmarkStart w:id="109" w:name="8.3.危险等级"/>
      <w:bookmarkEnd w:id="109"/>
      <w:bookmarkStart w:id="110" w:name="_bookmark119"/>
      <w:bookmarkEnd w:id="110"/>
      <w:r>
        <w:t>危险等级</w:t>
      </w:r>
      <w:bookmarkEnd w:id="108"/>
    </w:p>
    <w:p w14:paraId="04C681E2">
      <w:pPr>
        <w:pStyle w:val="4"/>
        <w:ind w:firstLine="480"/>
      </w:pPr>
      <w:r>
        <w:t>填埋场开挖过程中库区释放的填埋气体内含有大量甲烷，因此填埋气属于易燃物质。填埋库区的火灾危险性分类为戊类。</w:t>
      </w:r>
    </w:p>
    <w:p w14:paraId="05A50992">
      <w:pPr>
        <w:pStyle w:val="4"/>
        <w:ind w:firstLine="480"/>
      </w:pPr>
      <w:r>
        <w:t>飞灰填埋场填埋处理的是生活垃圾焚烧固化飞灰。固化飞灰填埋物属于难燃烧物质。</w:t>
      </w:r>
    </w:p>
    <w:p w14:paraId="4DC85232">
      <w:pPr>
        <w:pStyle w:val="3"/>
        <w:rPr>
          <w:rFonts w:hint="eastAsia" w:ascii="宋体" w:hAnsi="宋体" w:cs="宋体"/>
          <w:bCs/>
        </w:rPr>
      </w:pPr>
      <w:bookmarkStart w:id="111" w:name="_Toc174443640"/>
      <w:r>
        <w:t>11.4</w:t>
      </w:r>
      <w:bookmarkStart w:id="112" w:name="8.4.消防措施"/>
      <w:bookmarkEnd w:id="112"/>
      <w:bookmarkStart w:id="113" w:name="_bookmark120"/>
      <w:bookmarkEnd w:id="113"/>
      <w:r>
        <w:rPr>
          <w:rFonts w:ascii="宋体" w:hAnsi="宋体" w:cs="宋体"/>
        </w:rPr>
        <w:t>消防措施</w:t>
      </w:r>
      <w:bookmarkEnd w:id="111"/>
    </w:p>
    <w:p w14:paraId="00FC9B84">
      <w:pPr>
        <w:pStyle w:val="4"/>
        <w:ind w:firstLine="480"/>
      </w:pPr>
      <w:r>
        <w:t>1）全场总图</w:t>
      </w:r>
    </w:p>
    <w:p w14:paraId="2E7ECA8E">
      <w:pPr>
        <w:pStyle w:val="4"/>
        <w:ind w:firstLine="480"/>
      </w:pPr>
      <w:r>
        <w:t>填埋场场内现有道路宽度大于7m及转弯半径大于6m，满足消防的需要。</w:t>
      </w:r>
    </w:p>
    <w:p w14:paraId="319D9F96">
      <w:pPr>
        <w:pStyle w:val="4"/>
        <w:ind w:firstLine="480"/>
      </w:pPr>
      <w:r>
        <w:t>2）消防给水</w:t>
      </w:r>
    </w:p>
    <w:p w14:paraId="615E756D">
      <w:pPr>
        <w:pStyle w:val="4"/>
        <w:ind w:firstLine="480"/>
      </w:pPr>
      <w:r>
        <w:t>消防水源由场区消防水池或填埋场内现有消防栓供给。室外消</w:t>
      </w:r>
    </w:p>
    <w:p w14:paraId="5600A5AA">
      <w:pPr>
        <w:pStyle w:val="4"/>
        <w:ind w:firstLine="480"/>
      </w:pPr>
      <w:r>
        <w:t>防用水采用现状填埋场给水管网供给。</w:t>
      </w:r>
    </w:p>
    <w:p w14:paraId="74A51C0E">
      <w:pPr>
        <w:pStyle w:val="3"/>
      </w:pPr>
      <w:bookmarkStart w:id="114" w:name="_Toc174443641"/>
      <w:r>
        <w:t>11.5机构</w:t>
      </w:r>
      <w:bookmarkEnd w:id="114"/>
    </w:p>
    <w:p w14:paraId="36501B0E">
      <w:pPr>
        <w:pStyle w:val="11"/>
        <w:spacing w:before="169" w:line="356" w:lineRule="auto"/>
        <w:ind w:right="237" w:firstLine="559"/>
        <w:jc w:val="both"/>
        <w:rPr>
          <w:rFonts w:hint="eastAsia"/>
          <w:lang w:eastAsia="zh-CN"/>
        </w:rPr>
      </w:pPr>
      <w:r>
        <w:rPr>
          <w:rStyle w:val="32"/>
          <w:lang w:eastAsia="zh-CN"/>
        </w:rPr>
        <w:t>本</w:t>
      </w:r>
      <w:r>
        <w:rPr>
          <w:rStyle w:val="32"/>
          <w:rFonts w:hint="eastAsia"/>
          <w:lang w:eastAsia="zh-CN"/>
        </w:rPr>
        <w:t>项目</w:t>
      </w:r>
      <w:r>
        <w:rPr>
          <w:rStyle w:val="32"/>
          <w:lang w:eastAsia="zh-CN"/>
        </w:rPr>
        <w:t>消防机构沿用现状厂区消防安全管理组织机构，实行场长一元化领导，多元化管理，“谁主管，谁负责”，“分级管理，分线负责”，形成纵控到底，横控到边的全员控制网络</w:t>
      </w:r>
      <w:r>
        <w:rPr>
          <w:spacing w:val="-2"/>
          <w:lang w:eastAsia="zh-CN"/>
        </w:rPr>
        <w:t>。</w:t>
      </w:r>
    </w:p>
    <w:p w14:paraId="6BD9B289">
      <w:pPr>
        <w:spacing w:line="356" w:lineRule="auto"/>
        <w:rPr>
          <w:rFonts w:hint="eastAsia"/>
        </w:rPr>
        <w:sectPr>
          <w:pgSz w:w="11910" w:h="16840"/>
          <w:pgMar w:top="1400" w:right="1560" w:bottom="1260" w:left="1680" w:header="0" w:footer="1074" w:gutter="0"/>
          <w:pgNumType w:fmt="numberInDash"/>
          <w:cols w:space="720" w:num="1"/>
        </w:sectPr>
      </w:pPr>
    </w:p>
    <w:bookmarkEnd w:id="66"/>
    <w:p w14:paraId="3C7C6D97">
      <w:pPr>
        <w:pStyle w:val="2"/>
      </w:pPr>
      <w:bookmarkStart w:id="115" w:name="_Toc174443642"/>
      <w:r>
        <w:rPr>
          <w:rFonts w:hint="eastAsia" w:cs="Times New Roman" w:eastAsiaTheme="minorEastAsia"/>
        </w:rPr>
        <w:t>12</w:t>
      </w:r>
      <w:r>
        <w:t>风险防范与应急预案</w:t>
      </w:r>
      <w:bookmarkEnd w:id="115"/>
    </w:p>
    <w:p w14:paraId="2BFC0F7B">
      <w:pPr>
        <w:pStyle w:val="3"/>
      </w:pPr>
      <w:bookmarkStart w:id="116" w:name="_TOC_250021"/>
      <w:bookmarkStart w:id="117" w:name="_Toc174443643"/>
      <w:r>
        <w:rPr>
          <w:rFonts w:hint="eastAsia"/>
        </w:rPr>
        <w:t>12.</w:t>
      </w:r>
      <w:r>
        <w:t>1指导思想</w:t>
      </w:r>
      <w:bookmarkEnd w:id="116"/>
      <w:bookmarkEnd w:id="117"/>
    </w:p>
    <w:p w14:paraId="507F5AA3">
      <w:pPr>
        <w:pStyle w:val="4"/>
        <w:ind w:firstLine="454"/>
      </w:pPr>
      <w:r>
        <w:rPr>
          <w:w w:val="95"/>
        </w:rPr>
        <w:t>突发事件控制和处置必须以</w:t>
      </w:r>
      <w:r>
        <w:rPr>
          <w:rFonts w:eastAsia="Times New Roman" w:cs="Times New Roman"/>
          <w:spacing w:val="-1"/>
          <w:w w:val="95"/>
        </w:rPr>
        <w:t>“</w:t>
      </w:r>
      <w:r>
        <w:rPr>
          <w:w w:val="95"/>
        </w:rPr>
        <w:t>源头严控</w:t>
      </w:r>
      <w:r>
        <w:rPr>
          <w:rFonts w:eastAsia="Times New Roman" w:cs="Times New Roman"/>
          <w:spacing w:val="-1"/>
          <w:w w:val="95"/>
        </w:rPr>
        <w:t>+</w:t>
      </w:r>
      <w:r>
        <w:rPr>
          <w:w w:val="95"/>
        </w:rPr>
        <w:t>预防</w:t>
      </w:r>
      <w:r>
        <w:rPr>
          <w:rFonts w:eastAsia="Times New Roman" w:cs="Times New Roman"/>
          <w:w w:val="95"/>
        </w:rPr>
        <w:t>”</w:t>
      </w:r>
      <w:r>
        <w:rPr>
          <w:w w:val="95"/>
        </w:rPr>
        <w:t>重要思想为指导</w:t>
      </w:r>
      <w:r>
        <w:rPr>
          <w:spacing w:val="-67"/>
          <w:w w:val="95"/>
        </w:rPr>
        <w:t>，</w:t>
      </w:r>
      <w:r>
        <w:rPr>
          <w:w w:val="95"/>
        </w:rPr>
        <w:t>贯彻</w:t>
      </w:r>
      <w:r>
        <w:rPr>
          <w:rFonts w:eastAsia="Times New Roman" w:cs="Times New Roman"/>
          <w:w w:val="95"/>
        </w:rPr>
        <w:t>“</w:t>
      </w:r>
      <w:r>
        <w:rPr>
          <w:w w:val="95"/>
        </w:rPr>
        <w:t>预防为</w:t>
      </w:r>
      <w:r>
        <w:rPr>
          <w:spacing w:val="1"/>
        </w:rPr>
        <w:t>主</w:t>
      </w:r>
      <w:r>
        <w:rPr>
          <w:rFonts w:eastAsia="Times New Roman" w:cs="Times New Roman"/>
          <w:spacing w:val="1"/>
        </w:rPr>
        <w:t>”</w:t>
      </w:r>
      <w:r>
        <w:rPr>
          <w:spacing w:val="1"/>
        </w:rPr>
        <w:t>、</w:t>
      </w:r>
      <w:r>
        <w:rPr>
          <w:rFonts w:eastAsia="Times New Roman" w:cs="Times New Roman"/>
          <w:spacing w:val="1"/>
        </w:rPr>
        <w:t>“</w:t>
      </w:r>
      <w:r>
        <w:rPr>
          <w:spacing w:val="1"/>
        </w:rPr>
        <w:t>以人为本</w:t>
      </w:r>
      <w:r>
        <w:rPr>
          <w:rFonts w:eastAsia="Times New Roman" w:cs="Times New Roman"/>
          <w:spacing w:val="1"/>
        </w:rPr>
        <w:t>”</w:t>
      </w:r>
      <w:r>
        <w:rPr>
          <w:spacing w:val="1"/>
        </w:rPr>
        <w:t>的原则，以规范和强化项目环境保护系统应对突发事故应急处</w:t>
      </w:r>
      <w:r>
        <w:t>置工作为目标</w:t>
      </w:r>
      <w:r>
        <w:rPr>
          <w:spacing w:val="-48"/>
        </w:rPr>
        <w:t>，</w:t>
      </w:r>
      <w:r>
        <w:t>以预防突发事件为重点</w:t>
      </w:r>
      <w:r>
        <w:rPr>
          <w:spacing w:val="-46"/>
        </w:rPr>
        <w:t>，</w:t>
      </w:r>
      <w:r>
        <w:t>逐步完善项目部处置突发事件的预警</w:t>
      </w:r>
      <w:r>
        <w:rPr>
          <w:spacing w:val="-24"/>
        </w:rPr>
        <w:t>、</w:t>
      </w:r>
      <w:r>
        <w:t>处置及善后工作机制</w:t>
      </w:r>
      <w:r>
        <w:rPr>
          <w:spacing w:val="-24"/>
        </w:rPr>
        <w:t>，</w:t>
      </w:r>
      <w:r>
        <w:t>建立全厂环境保护系统防范有力</w:t>
      </w:r>
      <w:r>
        <w:rPr>
          <w:spacing w:val="-24"/>
        </w:rPr>
        <w:t>、</w:t>
      </w:r>
      <w:r>
        <w:t>指挥有序</w:t>
      </w:r>
      <w:r>
        <w:rPr>
          <w:spacing w:val="-22"/>
        </w:rPr>
        <w:t>、</w:t>
      </w:r>
      <w:r>
        <w:t>快速高效和统一协调的突发环境事件应急处置体系。</w:t>
      </w:r>
      <w:r>
        <w:rPr>
          <w:rFonts w:hint="eastAsia"/>
        </w:rPr>
        <w:t>项目</w:t>
      </w:r>
      <w:r>
        <w:t>实施前应编制应急预案。</w:t>
      </w:r>
    </w:p>
    <w:p w14:paraId="5ACCA6AD">
      <w:pPr>
        <w:pStyle w:val="3"/>
      </w:pPr>
      <w:bookmarkStart w:id="118" w:name="_Toc174443644"/>
      <w:bookmarkStart w:id="119" w:name="_TOC_250020"/>
      <w:r>
        <w:rPr>
          <w:rFonts w:hint="eastAsia"/>
        </w:rPr>
        <w:t>12.</w:t>
      </w:r>
      <w:r>
        <w:t>2基本原则</w:t>
      </w:r>
      <w:bookmarkEnd w:id="118"/>
      <w:bookmarkEnd w:id="119"/>
    </w:p>
    <w:p w14:paraId="4A324F1B">
      <w:pPr>
        <w:pStyle w:val="4"/>
        <w:ind w:firstLine="480"/>
      </w:pPr>
      <w:r>
        <w:t>（1）贯彻“预防为主”的方针，建立和加强突发环境事件的预警机制，切实做到及时发现、及时报告、快速反应、及时控制；</w:t>
      </w:r>
    </w:p>
    <w:p w14:paraId="34A890AE">
      <w:pPr>
        <w:pStyle w:val="4"/>
        <w:ind w:firstLine="480"/>
      </w:pPr>
      <w:r>
        <w:t>（2）按照“先控制后处理”的原则，迅速查明事件原因，果断提出处置措施，防止污染扩大，尽量减小污染范围；</w:t>
      </w:r>
    </w:p>
    <w:p w14:paraId="6A1654BD">
      <w:pPr>
        <w:pStyle w:val="4"/>
        <w:ind w:firstLine="480"/>
      </w:pPr>
      <w:r>
        <w:t>（3）以事实为依据，重视证据、重视技术手段，防止主观臆断；</w:t>
      </w:r>
    </w:p>
    <w:p w14:paraId="3F0F197C">
      <w:pPr>
        <w:pStyle w:val="4"/>
        <w:ind w:firstLine="480"/>
      </w:pPr>
      <w:r>
        <w:t>（4）制定安全防护措施，确保处置人员的人身安全；明确自身职责，妥善协调参与处置突发事件有关部门或人员的关系；</w:t>
      </w:r>
    </w:p>
    <w:p w14:paraId="5EF6F2F0">
      <w:pPr>
        <w:pStyle w:val="4"/>
        <w:ind w:firstLine="480"/>
      </w:pPr>
      <w:r>
        <w:t>（5）建立快速反应的工作机制。</w:t>
      </w:r>
    </w:p>
    <w:p w14:paraId="28EDFF83">
      <w:pPr>
        <w:pStyle w:val="3"/>
      </w:pPr>
      <w:bookmarkStart w:id="120" w:name="_TOC_250019"/>
      <w:bookmarkStart w:id="121" w:name="_Toc174443645"/>
      <w:r>
        <w:rPr>
          <w:rFonts w:hint="eastAsia"/>
        </w:rPr>
        <w:t>12.</w:t>
      </w:r>
      <w:r>
        <w:t>3风险源分析</w:t>
      </w:r>
      <w:bookmarkEnd w:id="120"/>
      <w:bookmarkEnd w:id="121"/>
    </w:p>
    <w:p w14:paraId="34EC8317">
      <w:pPr>
        <w:pStyle w:val="4"/>
        <w:ind w:firstLine="480"/>
      </w:pPr>
      <w:r>
        <w:t>根据本项目危险源分布情况，常见突发事故包括：</w:t>
      </w:r>
    </w:p>
    <w:p w14:paraId="59709DF0">
      <w:pPr>
        <w:pStyle w:val="4"/>
        <w:ind w:firstLine="480"/>
      </w:pPr>
      <w:r>
        <w:t>（</w:t>
      </w:r>
      <w:r>
        <w:rPr>
          <w:rFonts w:eastAsia="Times New Roman" w:cs="Times New Roman"/>
        </w:rPr>
        <w:t>1</w:t>
      </w:r>
      <w:r>
        <w:t>）</w:t>
      </w:r>
      <w:r>
        <w:rPr>
          <w:spacing w:val="2"/>
        </w:rPr>
        <w:t>垃圾堆</w:t>
      </w:r>
      <w:r>
        <w:rPr>
          <w:spacing w:val="4"/>
        </w:rPr>
        <w:t>体</w:t>
      </w:r>
      <w:r>
        <w:rPr>
          <w:spacing w:val="2"/>
        </w:rPr>
        <w:t>及工作面、施</w:t>
      </w:r>
      <w:r>
        <w:rPr>
          <w:spacing w:val="4"/>
        </w:rPr>
        <w:t>工</w:t>
      </w:r>
      <w:r>
        <w:rPr>
          <w:spacing w:val="2"/>
        </w:rPr>
        <w:t>现场火灾。</w:t>
      </w:r>
      <w:r>
        <w:rPr>
          <w:spacing w:val="4"/>
        </w:rPr>
        <w:t>可</w:t>
      </w:r>
      <w:r>
        <w:rPr>
          <w:spacing w:val="2"/>
        </w:rPr>
        <w:t>能造成人员伤</w:t>
      </w:r>
      <w:r>
        <w:rPr>
          <w:spacing w:val="4"/>
        </w:rPr>
        <w:t>亡</w:t>
      </w:r>
      <w:r>
        <w:rPr>
          <w:spacing w:val="2"/>
        </w:rPr>
        <w:t>及重大财产</w:t>
      </w:r>
      <w:r>
        <w:t>损失。</w:t>
      </w:r>
    </w:p>
    <w:p w14:paraId="33DAE847">
      <w:pPr>
        <w:pStyle w:val="4"/>
        <w:ind w:firstLine="480"/>
      </w:pPr>
      <w:r>
        <w:t>（</w:t>
      </w:r>
      <w:r>
        <w:rPr>
          <w:rFonts w:eastAsia="Times New Roman" w:cs="Times New Roman"/>
        </w:rPr>
        <w:t>2</w:t>
      </w:r>
      <w:r>
        <w:t>）配电柜及配电线路用电事故，可能造成人身触电伤害等事故。</w:t>
      </w:r>
    </w:p>
    <w:p w14:paraId="34EB5428">
      <w:pPr>
        <w:pStyle w:val="4"/>
        <w:ind w:firstLine="480"/>
      </w:pPr>
      <w:r>
        <w:t>（</w:t>
      </w:r>
      <w:r>
        <w:rPr>
          <w:rFonts w:eastAsia="Times New Roman" w:cs="Times New Roman"/>
        </w:rPr>
        <w:t>3</w:t>
      </w:r>
      <w:r>
        <w:t>）</w:t>
      </w:r>
      <w:r>
        <w:rPr>
          <w:spacing w:val="2"/>
        </w:rPr>
        <w:t>垃圾堆</w:t>
      </w:r>
      <w:r>
        <w:rPr>
          <w:spacing w:val="4"/>
        </w:rPr>
        <w:t>体</w:t>
      </w:r>
      <w:r>
        <w:rPr>
          <w:spacing w:val="2"/>
        </w:rPr>
        <w:t>开挖过程中垃</w:t>
      </w:r>
      <w:r>
        <w:rPr>
          <w:spacing w:val="4"/>
        </w:rPr>
        <w:t>圾</w:t>
      </w:r>
      <w:r>
        <w:rPr>
          <w:spacing w:val="2"/>
        </w:rPr>
        <w:t>堆体滑坡或</w:t>
      </w:r>
      <w:r>
        <w:rPr>
          <w:spacing w:val="4"/>
        </w:rPr>
        <w:t>基</w:t>
      </w:r>
      <w:r>
        <w:rPr>
          <w:spacing w:val="2"/>
        </w:rPr>
        <w:t>坑坍塌事故引</w:t>
      </w:r>
      <w:r>
        <w:rPr>
          <w:spacing w:val="4"/>
        </w:rPr>
        <w:t>发</w:t>
      </w:r>
      <w:r>
        <w:rPr>
          <w:spacing w:val="2"/>
        </w:rPr>
        <w:t>人员伤害、</w:t>
      </w:r>
      <w:r>
        <w:t>财产损失等。</w:t>
      </w:r>
    </w:p>
    <w:p w14:paraId="1DBF7EB5">
      <w:pPr>
        <w:pStyle w:val="4"/>
        <w:ind w:firstLine="480"/>
      </w:pPr>
      <w:r>
        <w:t>（</w:t>
      </w:r>
      <w:r>
        <w:rPr>
          <w:rFonts w:eastAsia="Times New Roman" w:cs="Times New Roman"/>
        </w:rPr>
        <w:t>4</w:t>
      </w:r>
      <w:r>
        <w:t>）垃圾堆体开挖过程中有毒有害气体挥发和积聚导致人员中毒事故。</w:t>
      </w:r>
    </w:p>
    <w:p w14:paraId="4C98C4D5">
      <w:pPr>
        <w:pStyle w:val="4"/>
        <w:ind w:firstLine="480"/>
      </w:pPr>
      <w:r>
        <w:t>（</w:t>
      </w:r>
      <w:r>
        <w:rPr>
          <w:rFonts w:eastAsia="Times New Roman" w:cs="Times New Roman"/>
        </w:rPr>
        <w:t>5</w:t>
      </w:r>
      <w:r>
        <w:t>）场区内车辆行驶作业时车辆碰撞等导致的人身伤害事故。</w:t>
      </w:r>
    </w:p>
    <w:p w14:paraId="3F9CFCA6">
      <w:pPr>
        <w:pStyle w:val="4"/>
        <w:ind w:firstLine="480"/>
      </w:pPr>
      <w:r>
        <w:t>（</w:t>
      </w:r>
      <w:r>
        <w:rPr>
          <w:rFonts w:eastAsia="Times New Roman" w:cs="Times New Roman"/>
        </w:rPr>
        <w:t>6</w:t>
      </w:r>
      <w:r>
        <w:t>）</w:t>
      </w:r>
      <w:r>
        <w:rPr>
          <w:spacing w:val="2"/>
        </w:rPr>
        <w:t>施工设</w:t>
      </w:r>
      <w:r>
        <w:rPr>
          <w:spacing w:val="4"/>
        </w:rPr>
        <w:t>备</w:t>
      </w:r>
      <w:r>
        <w:rPr>
          <w:spacing w:val="2"/>
        </w:rPr>
        <w:t>及车辆损坏、</w:t>
      </w:r>
      <w:r>
        <w:rPr>
          <w:spacing w:val="4"/>
        </w:rPr>
        <w:t>维</w:t>
      </w:r>
      <w:r>
        <w:rPr>
          <w:spacing w:val="2"/>
        </w:rPr>
        <w:t>修不及时、</w:t>
      </w:r>
      <w:r>
        <w:rPr>
          <w:spacing w:val="4"/>
        </w:rPr>
        <w:t>重</w:t>
      </w:r>
      <w:r>
        <w:rPr>
          <w:spacing w:val="2"/>
        </w:rPr>
        <w:t>要设备如挖掘</w:t>
      </w:r>
      <w:r>
        <w:rPr>
          <w:spacing w:val="4"/>
        </w:rPr>
        <w:t>机</w:t>
      </w:r>
      <w:r>
        <w:rPr>
          <w:spacing w:val="2"/>
        </w:rPr>
        <w:t>、推土机等</w:t>
      </w:r>
      <w:r>
        <w:t>故障引起人身机械伤害等。</w:t>
      </w:r>
    </w:p>
    <w:p w14:paraId="64D03217">
      <w:pPr>
        <w:pStyle w:val="4"/>
        <w:ind w:firstLine="480"/>
      </w:pPr>
      <w:r>
        <w:t>（7）机械、电气操作不当引发人员伤害、财产损失</w:t>
      </w:r>
      <w:r>
        <w:rPr>
          <w:rFonts w:hint="eastAsia"/>
        </w:rPr>
        <w:t>等。</w:t>
      </w:r>
    </w:p>
    <w:p w14:paraId="7392AD61">
      <w:pPr>
        <w:pStyle w:val="4"/>
        <w:ind w:firstLine="480"/>
      </w:pPr>
      <w:r>
        <w:t>（</w:t>
      </w:r>
      <w:r>
        <w:rPr>
          <w:rFonts w:eastAsia="Times New Roman" w:cs="Times New Roman"/>
        </w:rPr>
        <w:t>8</w:t>
      </w:r>
      <w:r>
        <w:t>）垃圾堆体开挖、运输过程中恶臭气体散逸，导致异味</w:t>
      </w:r>
      <w:r>
        <w:rPr>
          <w:rFonts w:eastAsia="Times New Roman" w:cs="Times New Roman"/>
        </w:rPr>
        <w:t>/</w:t>
      </w:r>
      <w:r>
        <w:t>臭气污染。</w:t>
      </w:r>
    </w:p>
    <w:p w14:paraId="49BBCBA5">
      <w:pPr>
        <w:pStyle w:val="4"/>
        <w:ind w:firstLine="480"/>
      </w:pPr>
      <w:r>
        <w:t>（</w:t>
      </w:r>
      <w:r>
        <w:rPr>
          <w:rFonts w:eastAsia="Times New Roman" w:cs="Times New Roman"/>
        </w:rPr>
        <w:t>9</w:t>
      </w:r>
      <w:r>
        <w:t>）渗滤液收集输送管道破损导致泄露，污染周边地表水及地下水。</w:t>
      </w:r>
    </w:p>
    <w:p w14:paraId="163187FD">
      <w:pPr>
        <w:pStyle w:val="4"/>
        <w:ind w:firstLine="480"/>
      </w:pPr>
      <w:r>
        <w:t>（</w:t>
      </w:r>
      <w:r>
        <w:rPr>
          <w:rFonts w:eastAsia="Times New Roman" w:cs="Times New Roman"/>
        </w:rPr>
        <w:t>10</w:t>
      </w:r>
      <w:r>
        <w:t>）施工过程中雨污分流不彻底或因雨污分流设施损坏导致污水外溢</w:t>
      </w:r>
      <w:r>
        <w:rPr>
          <w:spacing w:val="-39"/>
        </w:rPr>
        <w:t>，</w:t>
      </w:r>
      <w:r>
        <w:t>导致污染事故。</w:t>
      </w:r>
    </w:p>
    <w:p w14:paraId="3C5669B7">
      <w:pPr>
        <w:pStyle w:val="4"/>
        <w:ind w:firstLine="478"/>
      </w:pPr>
      <w:r>
        <w:rPr>
          <w:spacing w:val="-1"/>
        </w:rPr>
        <w:t>（</w:t>
      </w:r>
      <w:r>
        <w:rPr>
          <w:rFonts w:eastAsia="Times New Roman" w:cs="Times New Roman"/>
          <w:spacing w:val="-1"/>
        </w:rPr>
        <w:t>11</w:t>
      </w:r>
      <w:r>
        <w:rPr>
          <w:spacing w:val="-1"/>
        </w:rPr>
        <w:t>）台风、暴雨以及管理不当导致调节池渗滤液外溢，导致污染事故。</w:t>
      </w:r>
    </w:p>
    <w:p w14:paraId="7BDD3ECF">
      <w:pPr>
        <w:pStyle w:val="4"/>
        <w:ind w:firstLine="480"/>
      </w:pPr>
      <w:r>
        <w:t>（</w:t>
      </w:r>
      <w:r>
        <w:rPr>
          <w:rFonts w:eastAsia="Times New Roman" w:cs="Times New Roman"/>
        </w:rPr>
        <w:t>12</w:t>
      </w:r>
      <w:r>
        <w:t>）台风、暴雨等恶劣天气引发的停产、人员伤害、财产损失等。</w:t>
      </w:r>
    </w:p>
    <w:p w14:paraId="58EA30BD">
      <w:pPr>
        <w:pStyle w:val="4"/>
        <w:ind w:firstLine="480"/>
      </w:pPr>
      <w:r>
        <w:t>（</w:t>
      </w:r>
      <w:r>
        <w:rPr>
          <w:rFonts w:eastAsia="Times New Roman" w:cs="Times New Roman"/>
        </w:rPr>
        <w:t>13</w:t>
      </w:r>
      <w:r>
        <w:t>）二次污染防护不当，引起周边居民的聚集、阻拦等群体事件等。</w:t>
      </w:r>
    </w:p>
    <w:p w14:paraId="7FCA3B91">
      <w:pPr>
        <w:pStyle w:val="3"/>
        <w:rPr>
          <w:bCs/>
        </w:rPr>
      </w:pPr>
      <w:bookmarkStart w:id="122" w:name="_Toc174443646"/>
      <w:bookmarkStart w:id="123" w:name="_TOC_250018"/>
      <w:r>
        <w:rPr>
          <w:rFonts w:hint="eastAsia" w:cs="Times New Roman" w:eastAsiaTheme="minorEastAsia"/>
        </w:rPr>
        <w:t>12.</w:t>
      </w:r>
      <w:r>
        <w:rPr>
          <w:rFonts w:eastAsia="Times New Roman" w:cs="Times New Roman"/>
        </w:rPr>
        <w:t>4</w:t>
      </w:r>
      <w:r>
        <w:t>应急组织机构及职责</w:t>
      </w:r>
      <w:bookmarkEnd w:id="122"/>
      <w:bookmarkEnd w:id="123"/>
    </w:p>
    <w:p w14:paraId="02A7DFB0">
      <w:pPr>
        <w:pStyle w:val="5"/>
        <w:rPr>
          <w:spacing w:val="24"/>
          <w:w w:val="99"/>
        </w:rPr>
      </w:pPr>
      <w:bookmarkStart w:id="124" w:name="_Toc174443647"/>
      <w:r>
        <w:rPr>
          <w:rFonts w:hint="eastAsia" w:cs="Times New Roman" w:eastAsiaTheme="minorEastAsia"/>
        </w:rPr>
        <w:t>12.</w:t>
      </w:r>
      <w:r>
        <w:rPr>
          <w:rFonts w:eastAsia="Times New Roman" w:cs="Times New Roman"/>
        </w:rPr>
        <w:t>4.1</w:t>
      </w:r>
      <w:r>
        <w:t>应急组织机构</w:t>
      </w:r>
      <w:bookmarkEnd w:id="124"/>
      <w:r>
        <w:rPr>
          <w:spacing w:val="24"/>
          <w:w w:val="99"/>
        </w:rPr>
        <w:t xml:space="preserve"> </w:t>
      </w:r>
    </w:p>
    <w:p w14:paraId="1A828BE2">
      <w:pPr>
        <w:pStyle w:val="4"/>
        <w:ind w:firstLine="480"/>
      </w:pPr>
      <w:r>
        <w:t>组织成立以填埋场开挖</w:t>
      </w:r>
      <w:r>
        <w:rPr>
          <w:rFonts w:hint="eastAsia"/>
        </w:rPr>
        <w:t>项目</w:t>
      </w:r>
      <w:r>
        <w:t>项目经理为组长、技术和管理人员为组员的场区突发风险事故处置工作小组。一旦填埋场发生风险事件，启动应急组织，负责应急行动的安排、组织、协调和施行。</w:t>
      </w:r>
    </w:p>
    <w:p w14:paraId="4C03D88A">
      <w:pPr>
        <w:pStyle w:val="4"/>
        <w:ind w:firstLine="480"/>
      </w:pPr>
      <w:r>
        <w:t>应急工作小组组织设立突发事件应急处置专家库，专家库由垃圾填埋场设计、施工、运行维护、设备、安全、环卫等方面的专家组成，建立定期联系机制，在工作小组内部指定联络人。在应急响应期间，根据突发事件性质，组成专家组。</w:t>
      </w:r>
    </w:p>
    <w:p w14:paraId="4B5419BB">
      <w:pPr>
        <w:pStyle w:val="4"/>
        <w:ind w:firstLine="480"/>
      </w:pPr>
      <w:r>
        <w:t>应急工作组织机构职责包括：</w:t>
      </w:r>
    </w:p>
    <w:p w14:paraId="4B578C43">
      <w:pPr>
        <w:pStyle w:val="4"/>
        <w:ind w:firstLine="480"/>
      </w:pPr>
      <w:r>
        <w:t>（</w:t>
      </w:r>
      <w:r>
        <w:rPr>
          <w:rFonts w:eastAsia="Times New Roman" w:cs="Times New Roman"/>
        </w:rPr>
        <w:t>1</w:t>
      </w:r>
      <w:r>
        <w:t>）负责组织应急预案的修订、审核、发布、演练和修正。</w:t>
      </w:r>
    </w:p>
    <w:p w14:paraId="659D85BE">
      <w:pPr>
        <w:pStyle w:val="4"/>
        <w:ind w:firstLine="480"/>
      </w:pPr>
      <w:r>
        <w:t>（</w:t>
      </w:r>
      <w:r>
        <w:rPr>
          <w:rFonts w:eastAsia="Times New Roman" w:cs="Times New Roman"/>
        </w:rPr>
        <w:t>2</w:t>
      </w:r>
      <w:r>
        <w:t>）</w:t>
      </w:r>
      <w:r>
        <w:rPr>
          <w:spacing w:val="2"/>
        </w:rPr>
        <w:t>按季度</w:t>
      </w:r>
      <w:r>
        <w:rPr>
          <w:spacing w:val="4"/>
        </w:rPr>
        <w:t>应</w:t>
      </w:r>
      <w:r>
        <w:rPr>
          <w:spacing w:val="2"/>
        </w:rPr>
        <w:t>急预案的规定</w:t>
      </w:r>
      <w:r>
        <w:rPr>
          <w:spacing w:val="4"/>
        </w:rPr>
        <w:t>下</w:t>
      </w:r>
      <w:r>
        <w:rPr>
          <w:spacing w:val="2"/>
        </w:rPr>
        <w:t>达预警和预</w:t>
      </w:r>
      <w:r>
        <w:rPr>
          <w:spacing w:val="4"/>
        </w:rPr>
        <w:t>警</w:t>
      </w:r>
      <w:r>
        <w:rPr>
          <w:spacing w:val="2"/>
        </w:rPr>
        <w:t>解除指令，专</w:t>
      </w:r>
      <w:r>
        <w:rPr>
          <w:spacing w:val="4"/>
        </w:rPr>
        <w:t>项</w:t>
      </w:r>
      <w:r>
        <w:rPr>
          <w:spacing w:val="2"/>
        </w:rPr>
        <w:t>应急预案启</w:t>
      </w:r>
      <w:r>
        <w:t>动和终止指令。</w:t>
      </w:r>
    </w:p>
    <w:p w14:paraId="1439EB5D">
      <w:pPr>
        <w:pStyle w:val="4"/>
        <w:ind w:firstLine="480"/>
      </w:pPr>
      <w:r>
        <w:t>（</w:t>
      </w:r>
      <w:r>
        <w:rPr>
          <w:rFonts w:eastAsia="Times New Roman" w:cs="Times New Roman"/>
        </w:rPr>
        <w:t>3</w:t>
      </w:r>
      <w:r>
        <w:t>）</w:t>
      </w:r>
      <w:r>
        <w:rPr>
          <w:spacing w:val="2"/>
        </w:rPr>
        <w:t>组织、</w:t>
      </w:r>
      <w:r>
        <w:rPr>
          <w:spacing w:val="4"/>
        </w:rPr>
        <w:t>指</w:t>
      </w:r>
      <w:r>
        <w:rPr>
          <w:spacing w:val="2"/>
        </w:rPr>
        <w:t>挥生产应急处</w:t>
      </w:r>
      <w:r>
        <w:rPr>
          <w:spacing w:val="4"/>
        </w:rPr>
        <w:t>置</w:t>
      </w:r>
      <w:r>
        <w:rPr>
          <w:spacing w:val="2"/>
        </w:rPr>
        <w:t>工作，在应</w:t>
      </w:r>
      <w:r>
        <w:rPr>
          <w:spacing w:val="4"/>
        </w:rPr>
        <w:t>急</w:t>
      </w:r>
      <w:r>
        <w:rPr>
          <w:spacing w:val="2"/>
        </w:rPr>
        <w:t>处置过程中，</w:t>
      </w:r>
      <w:r>
        <w:rPr>
          <w:spacing w:val="4"/>
        </w:rPr>
        <w:t>向</w:t>
      </w:r>
      <w:r>
        <w:rPr>
          <w:spacing w:val="2"/>
        </w:rPr>
        <w:t>上级汇报和</w:t>
      </w:r>
      <w:r>
        <w:t>向友邻单位通报情况</w:t>
      </w:r>
      <w:r>
        <w:rPr>
          <w:spacing w:val="-48"/>
        </w:rPr>
        <w:t>，</w:t>
      </w:r>
      <w:r>
        <w:t>必要时向当地直属政府有关部门求援</w:t>
      </w:r>
      <w:r>
        <w:rPr>
          <w:spacing w:val="-46"/>
        </w:rPr>
        <w:t>，</w:t>
      </w:r>
      <w:r>
        <w:t>配合政府部门应急工作及事故调查处理工作。</w:t>
      </w:r>
    </w:p>
    <w:p w14:paraId="21ED8564">
      <w:pPr>
        <w:pStyle w:val="4"/>
        <w:ind w:firstLine="480"/>
      </w:pPr>
      <w:r>
        <w:t>（</w:t>
      </w:r>
      <w:r>
        <w:rPr>
          <w:rFonts w:eastAsia="Times New Roman" w:cs="Times New Roman"/>
        </w:rPr>
        <w:t>4</w:t>
      </w:r>
      <w:r>
        <w:t>）负责项目执行期间发生维稳事件的协调、指挥和解决工作。</w:t>
      </w:r>
    </w:p>
    <w:p w14:paraId="01ED6D7D">
      <w:pPr>
        <w:pStyle w:val="4"/>
        <w:ind w:firstLine="480"/>
      </w:pPr>
      <w:r>
        <w:t>（</w:t>
      </w:r>
      <w:r>
        <w:rPr>
          <w:rFonts w:eastAsia="Times New Roman" w:cs="Times New Roman"/>
        </w:rPr>
        <w:t>5</w:t>
      </w:r>
      <w:r>
        <w:t>）负责项目执行期间发生的施工安全事故的应急处理。</w:t>
      </w:r>
    </w:p>
    <w:p w14:paraId="042EC08B">
      <w:pPr>
        <w:pStyle w:val="4"/>
        <w:ind w:firstLine="480"/>
      </w:pPr>
      <w:r>
        <w:t>（</w:t>
      </w:r>
      <w:r>
        <w:rPr>
          <w:rFonts w:eastAsia="Times New Roman" w:cs="Times New Roman"/>
        </w:rPr>
        <w:t>6</w:t>
      </w:r>
      <w:r>
        <w:t>）负责项目执行期间发生的环境事故的应急处理。</w:t>
      </w:r>
    </w:p>
    <w:p w14:paraId="40567B11">
      <w:pPr>
        <w:pStyle w:val="4"/>
        <w:ind w:firstLine="480"/>
      </w:pPr>
      <w:r>
        <w:t>（</w:t>
      </w:r>
      <w:r>
        <w:rPr>
          <w:rFonts w:eastAsia="Times New Roman" w:cs="Times New Roman"/>
        </w:rPr>
        <w:t>7</w:t>
      </w:r>
      <w:r>
        <w:t>）负责项目执行期间台风等恶劣天气的应急对策。</w:t>
      </w:r>
    </w:p>
    <w:p w14:paraId="43B4AED4">
      <w:pPr>
        <w:pStyle w:val="5"/>
      </w:pPr>
      <w:bookmarkStart w:id="125" w:name="_TOC_250017"/>
      <w:bookmarkStart w:id="126" w:name="_Toc174443648"/>
      <w:r>
        <w:rPr>
          <w:rFonts w:hint="eastAsia" w:cs="Times New Roman" w:eastAsiaTheme="minorEastAsia"/>
        </w:rPr>
        <w:t>12.</w:t>
      </w:r>
      <w:r>
        <w:rPr>
          <w:rFonts w:eastAsia="Times New Roman" w:cs="Times New Roman"/>
        </w:rPr>
        <w:t>4.2</w:t>
      </w:r>
      <w:r>
        <w:t>应急组成员职责</w:t>
      </w:r>
      <w:bookmarkEnd w:id="125"/>
      <w:bookmarkEnd w:id="126"/>
    </w:p>
    <w:p w14:paraId="3363DEB5">
      <w:pPr>
        <w:pStyle w:val="4"/>
        <w:ind w:firstLine="480"/>
        <w:rPr>
          <w:spacing w:val="24"/>
          <w:w w:val="99"/>
        </w:rPr>
      </w:pPr>
      <w:r>
        <w:t>（</w:t>
      </w:r>
      <w:r>
        <w:rPr>
          <w:rFonts w:eastAsia="Times New Roman" w:cs="Times New Roman"/>
        </w:rPr>
        <w:t>1</w:t>
      </w:r>
      <w:r>
        <w:t>）组长工作职责</w:t>
      </w:r>
    </w:p>
    <w:p w14:paraId="016B4D07">
      <w:pPr>
        <w:pStyle w:val="4"/>
        <w:ind w:firstLine="480"/>
        <w:rPr>
          <w:rFonts w:cs="宋体"/>
          <w:sz w:val="25"/>
          <w:szCs w:val="25"/>
        </w:rPr>
      </w:pPr>
      <w:r>
        <w:rPr>
          <w:rStyle w:val="32"/>
        </w:rPr>
        <w:t>应急工作小组组长由项目经理担任，为项目现场应急工作第一负责人，负责项目所有应急工作组的组织、管理等工作</w:t>
      </w:r>
      <w:r>
        <w:t>。</w:t>
      </w:r>
    </w:p>
    <w:p w14:paraId="43ABF7ED">
      <w:pPr>
        <w:pStyle w:val="11"/>
        <w:spacing w:before="154" w:line="338" w:lineRule="auto"/>
        <w:ind w:right="117" w:firstLine="480"/>
        <w:rPr>
          <w:rFonts w:hint="eastAsia"/>
          <w:lang w:eastAsia="zh-CN"/>
        </w:rPr>
      </w:pPr>
      <w:r>
        <w:rPr>
          <w:rFonts w:ascii="Times New Roman" w:hAnsi="Times New Roman" w:eastAsia="Times New Roman" w:cs="Times New Roman"/>
          <w:lang w:eastAsia="zh-CN"/>
        </w:rPr>
        <w:t>1</w:t>
      </w:r>
      <w:r>
        <w:rPr>
          <w:lang w:eastAsia="zh-CN"/>
        </w:rPr>
        <w:t>）对</w:t>
      </w:r>
      <w:r>
        <w:rPr>
          <w:rFonts w:hint="eastAsia"/>
          <w:lang w:eastAsia="zh-CN"/>
        </w:rPr>
        <w:t>项目</w:t>
      </w:r>
      <w:r>
        <w:rPr>
          <w:lang w:eastAsia="zh-CN"/>
        </w:rPr>
        <w:t>涉及的人员管理、现场工人工资管理、环境及维稳管理、施工安全管理以及与当地居民间的和谐相处管理工作全面负责。</w:t>
      </w:r>
    </w:p>
    <w:p w14:paraId="6726F94B">
      <w:pPr>
        <w:pStyle w:val="11"/>
        <w:spacing w:before="55" w:line="338" w:lineRule="auto"/>
        <w:ind w:right="117" w:firstLine="480"/>
        <w:rPr>
          <w:rFonts w:hint="eastAsia"/>
          <w:lang w:eastAsia="zh-CN"/>
        </w:rPr>
      </w:pPr>
      <w:r>
        <w:rPr>
          <w:rFonts w:ascii="Times New Roman" w:hAnsi="Times New Roman" w:eastAsia="Times New Roman" w:cs="Times New Roman"/>
          <w:lang w:eastAsia="zh-CN"/>
        </w:rPr>
        <w:t>2</w:t>
      </w:r>
      <w:r>
        <w:rPr>
          <w:lang w:eastAsia="zh-CN"/>
        </w:rPr>
        <w:t>）负责签署、批准</w:t>
      </w:r>
      <w:r>
        <w:rPr>
          <w:rFonts w:hint="eastAsia"/>
          <w:lang w:eastAsia="zh-CN"/>
        </w:rPr>
        <w:t>项目</w:t>
      </w:r>
      <w:r>
        <w:rPr>
          <w:lang w:eastAsia="zh-CN"/>
        </w:rPr>
        <w:t>涉及的人员调动、物资调动、制度制定，以及与维稳应急工作相关的事宜。</w:t>
      </w:r>
    </w:p>
    <w:p w14:paraId="4088F624">
      <w:pPr>
        <w:pStyle w:val="11"/>
        <w:spacing w:before="55"/>
        <w:ind w:left="600"/>
        <w:rPr>
          <w:rFonts w:hint="eastAsia"/>
          <w:lang w:eastAsia="zh-CN"/>
        </w:rPr>
      </w:pPr>
      <w:r>
        <w:rPr>
          <w:rFonts w:ascii="Times New Roman" w:hAnsi="Times New Roman" w:eastAsia="Times New Roman" w:cs="Times New Roman"/>
          <w:lang w:eastAsia="zh-CN"/>
        </w:rPr>
        <w:t>3</w:t>
      </w:r>
      <w:r>
        <w:rPr>
          <w:lang w:eastAsia="zh-CN"/>
        </w:rPr>
        <w:t>）负责组织制定现场应急组织机构，并批准</w:t>
      </w:r>
      <w:r>
        <w:rPr>
          <w:rFonts w:hint="eastAsia"/>
          <w:lang w:eastAsia="zh-CN"/>
        </w:rPr>
        <w:t>项目</w:t>
      </w:r>
      <w:r>
        <w:rPr>
          <w:lang w:eastAsia="zh-CN"/>
        </w:rPr>
        <w:t>专项预案。</w:t>
      </w:r>
    </w:p>
    <w:p w14:paraId="38684615">
      <w:pPr>
        <w:pStyle w:val="11"/>
        <w:ind w:left="600"/>
        <w:rPr>
          <w:rFonts w:hint="eastAsia"/>
          <w:lang w:eastAsia="zh-CN"/>
        </w:rPr>
      </w:pPr>
      <w:r>
        <w:rPr>
          <w:rFonts w:ascii="Times New Roman" w:hAnsi="Times New Roman" w:eastAsia="Times New Roman" w:cs="Times New Roman"/>
          <w:lang w:eastAsia="zh-CN"/>
        </w:rPr>
        <w:t>4</w:t>
      </w:r>
      <w:r>
        <w:rPr>
          <w:lang w:eastAsia="zh-CN"/>
        </w:rPr>
        <w:t>）负责落实</w:t>
      </w:r>
      <w:r>
        <w:rPr>
          <w:rFonts w:hint="eastAsia"/>
          <w:lang w:eastAsia="zh-CN"/>
        </w:rPr>
        <w:t>项目</w:t>
      </w:r>
      <w:r>
        <w:rPr>
          <w:lang w:eastAsia="zh-CN"/>
        </w:rPr>
        <w:t>专项应急资金，确保应急物资配置到位。</w:t>
      </w:r>
    </w:p>
    <w:p w14:paraId="0ABBF11C">
      <w:pPr>
        <w:pStyle w:val="11"/>
        <w:spacing w:line="338" w:lineRule="auto"/>
        <w:ind w:right="117" w:firstLine="480"/>
        <w:rPr>
          <w:rFonts w:hint="eastAsia"/>
          <w:lang w:eastAsia="zh-CN"/>
        </w:rPr>
      </w:pPr>
      <w:r>
        <w:rPr>
          <w:rFonts w:ascii="Times New Roman" w:hAnsi="Times New Roman" w:eastAsia="Times New Roman" w:cs="Times New Roman"/>
          <w:lang w:eastAsia="zh-CN"/>
        </w:rPr>
        <w:t>5</w:t>
      </w:r>
      <w:r>
        <w:rPr>
          <w:spacing w:val="-32"/>
          <w:lang w:eastAsia="zh-CN"/>
        </w:rPr>
        <w:t>）</w:t>
      </w:r>
      <w:r>
        <w:rPr>
          <w:lang w:eastAsia="zh-CN"/>
        </w:rPr>
        <w:t>出现应急事件时</w:t>
      </w:r>
      <w:r>
        <w:rPr>
          <w:spacing w:val="-32"/>
          <w:lang w:eastAsia="zh-CN"/>
        </w:rPr>
        <w:t>，</w:t>
      </w:r>
      <w:r>
        <w:rPr>
          <w:lang w:eastAsia="zh-CN"/>
        </w:rPr>
        <w:t>负责发布本预案的启动指令</w:t>
      </w:r>
      <w:r>
        <w:rPr>
          <w:spacing w:val="-32"/>
          <w:lang w:eastAsia="zh-CN"/>
        </w:rPr>
        <w:t>，</w:t>
      </w:r>
      <w:r>
        <w:rPr>
          <w:lang w:eastAsia="zh-CN"/>
        </w:rPr>
        <w:t>负责组织对事件的分</w:t>
      </w:r>
      <w:r>
        <w:rPr>
          <w:spacing w:val="-1"/>
          <w:lang w:eastAsia="zh-CN"/>
        </w:rPr>
        <w:t>析</w:t>
      </w:r>
      <w:r>
        <w:rPr>
          <w:lang w:eastAsia="zh-CN"/>
        </w:rPr>
        <w:t>、调查、处理等工作。</w:t>
      </w:r>
    </w:p>
    <w:p w14:paraId="75DA0730">
      <w:pPr>
        <w:pStyle w:val="4"/>
        <w:ind w:firstLine="480"/>
      </w:pPr>
      <w:r>
        <w:rPr>
          <w:rFonts w:eastAsia="Times New Roman" w:cs="Times New Roman"/>
        </w:rPr>
        <w:t>6</w:t>
      </w:r>
      <w:r>
        <w:t>）进行现场安全事故和紧急情况的评估，组织现场的应急抢险救援，及时向上级和有关地方管理部门、组织、机构联络和报告事故情况。</w:t>
      </w:r>
    </w:p>
    <w:p w14:paraId="2C797BF8">
      <w:pPr>
        <w:pStyle w:val="4"/>
        <w:ind w:firstLine="480"/>
      </w:pPr>
      <w:r>
        <w:rPr>
          <w:rFonts w:eastAsia="Times New Roman" w:cs="Times New Roman"/>
        </w:rPr>
        <w:t>7</w:t>
      </w:r>
      <w:r>
        <w:t>）应急事件处理完成和现场恢复后，负责发布本预案的关闭指令。</w:t>
      </w:r>
    </w:p>
    <w:p w14:paraId="3DBC9587">
      <w:pPr>
        <w:pStyle w:val="4"/>
        <w:ind w:firstLine="480"/>
        <w:rPr>
          <w:spacing w:val="26"/>
          <w:w w:val="99"/>
        </w:rPr>
      </w:pPr>
      <w:r>
        <w:t>（</w:t>
      </w:r>
      <w:r>
        <w:rPr>
          <w:rFonts w:eastAsia="Times New Roman" w:cs="Times New Roman"/>
        </w:rPr>
        <w:t>2</w:t>
      </w:r>
      <w:r>
        <w:t>）组员工作职责</w:t>
      </w:r>
    </w:p>
    <w:p w14:paraId="32F87DDB">
      <w:pPr>
        <w:pStyle w:val="4"/>
        <w:ind w:firstLine="480"/>
        <w:rPr>
          <w:rFonts w:hint="eastAsia" w:ascii="宋体" w:hAnsi="宋体" w:cs="宋体"/>
          <w:szCs w:val="24"/>
        </w:rPr>
      </w:pPr>
      <w:r>
        <w:rPr>
          <w:rFonts w:ascii="宋体" w:hAnsi="宋体" w:cs="宋体"/>
          <w:szCs w:val="24"/>
        </w:rPr>
        <w:t>应急工作小组成员由技术人员</w:t>
      </w:r>
      <w:r>
        <w:rPr>
          <w:rFonts w:ascii="宋体" w:hAnsi="宋体" w:cs="宋体"/>
          <w:spacing w:val="-32"/>
          <w:szCs w:val="24"/>
        </w:rPr>
        <w:t>、</w:t>
      </w:r>
      <w:r>
        <w:rPr>
          <w:rFonts w:ascii="宋体" w:hAnsi="宋体" w:cs="宋体"/>
          <w:szCs w:val="24"/>
        </w:rPr>
        <w:t>管理人员组成</w:t>
      </w:r>
      <w:r>
        <w:rPr>
          <w:rFonts w:ascii="宋体" w:hAnsi="宋体" w:cs="宋体"/>
          <w:spacing w:val="-32"/>
          <w:szCs w:val="24"/>
        </w:rPr>
        <w:t>，</w:t>
      </w:r>
      <w:r>
        <w:rPr>
          <w:rFonts w:ascii="宋体" w:hAnsi="宋体" w:cs="宋体"/>
          <w:szCs w:val="24"/>
        </w:rPr>
        <w:t>包括</w:t>
      </w:r>
      <w:r>
        <w:rPr>
          <w:rFonts w:hint="eastAsia" w:ascii="宋体" w:hAnsi="宋体" w:cs="宋体"/>
          <w:szCs w:val="24"/>
        </w:rPr>
        <w:t>项目</w:t>
      </w:r>
      <w:r>
        <w:rPr>
          <w:rFonts w:ascii="宋体" w:hAnsi="宋体" w:cs="宋体"/>
          <w:szCs w:val="24"/>
        </w:rPr>
        <w:t>负责人</w:t>
      </w:r>
      <w:r>
        <w:rPr>
          <w:rFonts w:ascii="宋体" w:hAnsi="宋体" w:cs="宋体"/>
          <w:spacing w:val="-32"/>
          <w:szCs w:val="24"/>
        </w:rPr>
        <w:t>、</w:t>
      </w:r>
      <w:r>
        <w:rPr>
          <w:rFonts w:ascii="宋体" w:hAnsi="宋体" w:cs="宋体"/>
          <w:szCs w:val="24"/>
        </w:rPr>
        <w:t>技术负责</w:t>
      </w:r>
    </w:p>
    <w:p w14:paraId="2993DE5A">
      <w:pPr>
        <w:pStyle w:val="4"/>
        <w:ind w:firstLine="480"/>
      </w:pPr>
      <w:r>
        <w:t>人</w:t>
      </w:r>
      <w:r>
        <w:rPr>
          <w:spacing w:val="-32"/>
        </w:rPr>
        <w:t>、</w:t>
      </w:r>
      <w:r>
        <w:t>施工员</w:t>
      </w:r>
      <w:r>
        <w:rPr>
          <w:spacing w:val="-32"/>
        </w:rPr>
        <w:t>、</w:t>
      </w:r>
      <w:r>
        <w:t>安全员和环境管理员组成</w:t>
      </w:r>
      <w:r>
        <w:rPr>
          <w:spacing w:val="-32"/>
        </w:rPr>
        <w:t>，</w:t>
      </w:r>
      <w:r>
        <w:t>担任各施工负责范围内的应急事件的处理工作。</w:t>
      </w:r>
    </w:p>
    <w:p w14:paraId="406E4542">
      <w:pPr>
        <w:pStyle w:val="4"/>
        <w:ind w:firstLine="480"/>
      </w:pPr>
      <w:r>
        <w:rPr>
          <w:rFonts w:eastAsia="Times New Roman" w:cs="Times New Roman"/>
        </w:rPr>
        <w:t>1</w:t>
      </w:r>
      <w:r>
        <w:t>）负责项目应急工作组的日常组织、管理等工作，并及时向小组组长进行反映；</w:t>
      </w:r>
    </w:p>
    <w:p w14:paraId="7443B342">
      <w:pPr>
        <w:pStyle w:val="4"/>
        <w:ind w:firstLine="480"/>
      </w:pPr>
      <w:r>
        <w:rPr>
          <w:rFonts w:eastAsia="Times New Roman" w:cs="Times New Roman"/>
        </w:rPr>
        <w:t>2</w:t>
      </w:r>
      <w:r>
        <w:t>）出现应急事件时，负责及时向小组组长汇报，负责组织员工撤离和现场救援工作；</w:t>
      </w:r>
    </w:p>
    <w:p w14:paraId="76C13B04">
      <w:pPr>
        <w:pStyle w:val="4"/>
        <w:ind w:firstLine="480"/>
      </w:pPr>
      <w:r>
        <w:t>3）应急工作小组成员必须清楚本部门、本队的作业区域、人员数量、紧急集合位置、疏散路线，确保发生应急事件时，能够全部撤离或者进行防御；</w:t>
      </w:r>
    </w:p>
    <w:p w14:paraId="4801E2AA">
      <w:pPr>
        <w:pStyle w:val="4"/>
        <w:ind w:firstLine="480"/>
      </w:pPr>
      <w:r>
        <w:t>4）配合对维稳、安全、环境事故等应急事件的调查工作；</w:t>
      </w:r>
    </w:p>
    <w:p w14:paraId="183CE89F">
      <w:pPr>
        <w:pStyle w:val="4"/>
        <w:ind w:firstLine="480"/>
      </w:pPr>
      <w:r>
        <w:t>5）负责组织对潜在的影响稳定、团结、和谐、安全等隐患的查处和整改工作；</w:t>
      </w:r>
    </w:p>
    <w:p w14:paraId="141DED94">
      <w:pPr>
        <w:pStyle w:val="4"/>
        <w:ind w:firstLine="480"/>
      </w:pPr>
      <w:r>
        <w:t>6）配合组长组织、参与事件的调查和处理工作；</w:t>
      </w:r>
    </w:p>
    <w:p w14:paraId="21CF1026">
      <w:pPr>
        <w:pStyle w:val="4"/>
        <w:ind w:firstLine="480"/>
      </w:pPr>
      <w:r>
        <w:t>7）组织员工对应急预案的学习，并在班前活动记录中对施工存在的隐患进行</w:t>
      </w:r>
      <w:r>
        <w:rPr>
          <w:rFonts w:hint="eastAsia"/>
        </w:rPr>
        <w:t>交底</w:t>
      </w:r>
      <w:r>
        <w:t>；</w:t>
      </w:r>
    </w:p>
    <w:p w14:paraId="2426B848">
      <w:pPr>
        <w:pStyle w:val="4"/>
        <w:ind w:firstLine="480"/>
      </w:pPr>
      <w:r>
        <w:t>8）发生应急事件时，组织各自小组成员撤离，并采取有效措施控制事态发展；</w:t>
      </w:r>
    </w:p>
    <w:p w14:paraId="5E5F6472">
      <w:pPr>
        <w:pStyle w:val="4"/>
        <w:ind w:firstLine="480"/>
      </w:pPr>
      <w:r>
        <w:t>9）配合组织对受伤员工的救援；</w:t>
      </w:r>
    </w:p>
    <w:p w14:paraId="3D01BFAD">
      <w:pPr>
        <w:pStyle w:val="4"/>
        <w:ind w:firstLine="480"/>
      </w:pPr>
      <w:r>
        <w:t>10）配合对维稳、安全、环境事故等应急事件的调查工作。</w:t>
      </w:r>
    </w:p>
    <w:p w14:paraId="3541C966">
      <w:pPr>
        <w:pStyle w:val="3"/>
        <w:rPr>
          <w:bCs/>
        </w:rPr>
      </w:pPr>
      <w:bookmarkStart w:id="127" w:name="_Toc174443649"/>
      <w:bookmarkStart w:id="128" w:name="_TOC_250016"/>
      <w:r>
        <w:rPr>
          <w:rFonts w:hint="eastAsia" w:cs="Times New Roman" w:eastAsiaTheme="minorEastAsia"/>
        </w:rPr>
        <w:t>12.</w:t>
      </w:r>
      <w:r>
        <w:rPr>
          <w:rFonts w:eastAsia="Times New Roman" w:cs="Times New Roman"/>
        </w:rPr>
        <w:t>5</w:t>
      </w:r>
      <w:r>
        <w:t>应急处理方案</w:t>
      </w:r>
      <w:bookmarkEnd w:id="127"/>
      <w:bookmarkEnd w:id="128"/>
    </w:p>
    <w:p w14:paraId="3BD44FD5">
      <w:pPr>
        <w:pStyle w:val="5"/>
      </w:pPr>
      <w:bookmarkStart w:id="129" w:name="_Toc174443650"/>
      <w:r>
        <w:rPr>
          <w:rFonts w:hint="eastAsia" w:cs="Times New Roman" w:eastAsiaTheme="minorEastAsia"/>
          <w:sz w:val="30"/>
          <w:szCs w:val="30"/>
        </w:rPr>
        <w:t>12.</w:t>
      </w:r>
      <w:r>
        <w:rPr>
          <w:rFonts w:eastAsia="Times New Roman" w:cs="Times New Roman"/>
          <w:sz w:val="30"/>
          <w:szCs w:val="30"/>
        </w:rPr>
        <w:t>5.1</w:t>
      </w:r>
      <w:r>
        <w:t>应急状态分级</w:t>
      </w:r>
      <w:bookmarkEnd w:id="129"/>
    </w:p>
    <w:p w14:paraId="6A20EA0C">
      <w:pPr>
        <w:pStyle w:val="4"/>
        <w:ind w:firstLine="480"/>
      </w:pPr>
      <w:r>
        <w:t>一般按填埋场事故严重程度，将应急状态分为</w:t>
      </w:r>
      <w:r>
        <w:rPr>
          <w:rFonts w:eastAsia="Times New Roman" w:cs="Times New Roman"/>
        </w:rPr>
        <w:t>3</w:t>
      </w:r>
      <w:r>
        <w:t>个级别，分别是应急待命、一般事故应急、特大事故应急。</w:t>
      </w:r>
    </w:p>
    <w:p w14:paraId="4D3603D3">
      <w:pPr>
        <w:pStyle w:val="5"/>
        <w:rPr>
          <w:b w:val="0"/>
          <w:bCs w:val="0"/>
        </w:rPr>
      </w:pPr>
      <w:bookmarkStart w:id="130" w:name="_TOC_250015"/>
      <w:bookmarkStart w:id="131" w:name="_Toc174443651"/>
      <w:r>
        <w:rPr>
          <w:rFonts w:hint="eastAsia" w:cs="Times New Roman" w:eastAsiaTheme="minorEastAsia"/>
        </w:rPr>
        <w:t>12.</w:t>
      </w:r>
      <w:r>
        <w:rPr>
          <w:rFonts w:eastAsia="Times New Roman" w:cs="Times New Roman"/>
        </w:rPr>
        <w:t>5.2</w:t>
      </w:r>
      <w:r>
        <w:t>应急救援保障</w:t>
      </w:r>
      <w:bookmarkEnd w:id="130"/>
      <w:bookmarkEnd w:id="131"/>
    </w:p>
    <w:p w14:paraId="06BD1259">
      <w:pPr>
        <w:pStyle w:val="4"/>
        <w:ind w:firstLine="480"/>
        <w:rPr>
          <w:spacing w:val="24"/>
          <w:w w:val="99"/>
        </w:rPr>
      </w:pPr>
      <w:r>
        <w:t>（</w:t>
      </w:r>
      <w:r>
        <w:rPr>
          <w:rFonts w:eastAsia="Times New Roman" w:cs="Times New Roman"/>
        </w:rPr>
        <w:t>1</w:t>
      </w:r>
      <w:r>
        <w:t>）物资设施保障</w:t>
      </w:r>
    </w:p>
    <w:p w14:paraId="34E748C9">
      <w:pPr>
        <w:pStyle w:val="4"/>
        <w:ind w:firstLine="480"/>
      </w:pPr>
      <w:r>
        <w:t>填埋场应建设消防泵站</w:t>
      </w:r>
      <w:r>
        <w:rPr>
          <w:spacing w:val="-32"/>
        </w:rPr>
        <w:t>、</w:t>
      </w:r>
      <w:r>
        <w:t>应急贮水池</w:t>
      </w:r>
      <w:r>
        <w:rPr>
          <w:spacing w:val="-32"/>
        </w:rPr>
        <w:t>、</w:t>
      </w:r>
      <w:r>
        <w:t>监测井等应急保障设施</w:t>
      </w:r>
      <w:r>
        <w:rPr>
          <w:spacing w:val="-32"/>
        </w:rPr>
        <w:t>，</w:t>
      </w:r>
      <w:r>
        <w:t>场区内配备灭火器</w:t>
      </w:r>
      <w:r>
        <w:rPr>
          <w:spacing w:val="-24"/>
        </w:rPr>
        <w:t>、</w:t>
      </w:r>
      <w:r>
        <w:t>清淤工具</w:t>
      </w:r>
      <w:r>
        <w:rPr>
          <w:spacing w:val="-24"/>
        </w:rPr>
        <w:t>、</w:t>
      </w:r>
      <w:r>
        <w:t>管道清洗器具</w:t>
      </w:r>
      <w:r>
        <w:rPr>
          <w:spacing w:val="-24"/>
        </w:rPr>
        <w:t>、</w:t>
      </w:r>
      <w:r>
        <w:t>工程抢险车辆等应急设备与器材</w:t>
      </w:r>
      <w:r>
        <w:rPr>
          <w:spacing w:val="-22"/>
        </w:rPr>
        <w:t>。</w:t>
      </w:r>
      <w:r>
        <w:t>并加强对物资储备的监督管理，及时予以补充和更新。</w:t>
      </w:r>
    </w:p>
    <w:p w14:paraId="025EEAFB">
      <w:pPr>
        <w:pStyle w:val="4"/>
        <w:ind w:firstLine="480"/>
        <w:rPr>
          <w:b/>
          <w:bCs/>
        </w:rPr>
      </w:pPr>
      <w:r>
        <w:t>（</w:t>
      </w:r>
      <w:r>
        <w:rPr>
          <w:rFonts w:eastAsia="Times New Roman" w:cs="Times New Roman"/>
        </w:rPr>
        <w:t>2</w:t>
      </w:r>
      <w:r>
        <w:t>）通信与信息保障</w:t>
      </w:r>
    </w:p>
    <w:p w14:paraId="3A235648">
      <w:pPr>
        <w:pStyle w:val="4"/>
        <w:ind w:firstLine="480"/>
      </w:pPr>
      <w:r>
        <w:t>应急救援机构各成员在应急期间要确保</w:t>
      </w:r>
      <w:r>
        <w:rPr>
          <w:rFonts w:eastAsia="Times New Roman" w:cs="Times New Roman"/>
        </w:rPr>
        <w:t>24h</w:t>
      </w:r>
      <w:r>
        <w:t>通信畅通</w:t>
      </w:r>
      <w:r>
        <w:rPr>
          <w:spacing w:val="-34"/>
        </w:rPr>
        <w:t>。</w:t>
      </w:r>
      <w:r>
        <w:t>保证内部扩音喇</w:t>
      </w:r>
      <w:r>
        <w:rPr>
          <w:spacing w:val="-1"/>
        </w:rPr>
        <w:t>叭</w:t>
      </w:r>
      <w:r>
        <w:t>、对讲机等应急通讯设施的正常运行</w:t>
      </w:r>
      <w:r>
        <w:rPr>
          <w:spacing w:val="-48"/>
        </w:rPr>
        <w:t>，</w:t>
      </w:r>
      <w:r>
        <w:t>并定期进行日常维护</w:t>
      </w:r>
      <w:r>
        <w:rPr>
          <w:spacing w:val="-46"/>
        </w:rPr>
        <w:t>，</w:t>
      </w:r>
      <w:r>
        <w:t>确保预案启动时应急行动指挥通信的畅通。</w:t>
      </w:r>
    </w:p>
    <w:p w14:paraId="05264016">
      <w:pPr>
        <w:pStyle w:val="4"/>
        <w:ind w:firstLine="482"/>
        <w:rPr>
          <w:rFonts w:hint="eastAsia" w:ascii="宋体" w:hAnsi="宋体" w:cs="宋体"/>
          <w:b/>
          <w:bCs/>
          <w:spacing w:val="24"/>
          <w:w w:val="99"/>
          <w:szCs w:val="24"/>
        </w:rPr>
      </w:pPr>
      <w:r>
        <w:rPr>
          <w:rFonts w:ascii="宋体" w:hAnsi="宋体" w:cs="宋体"/>
          <w:b/>
          <w:bCs/>
          <w:szCs w:val="24"/>
        </w:rPr>
        <w:t>（</w:t>
      </w:r>
      <w:r>
        <w:rPr>
          <w:rFonts w:eastAsia="Times New Roman" w:cs="Times New Roman"/>
          <w:b/>
          <w:bCs/>
          <w:szCs w:val="24"/>
        </w:rPr>
        <w:t>3</w:t>
      </w:r>
      <w:r>
        <w:rPr>
          <w:rFonts w:ascii="宋体" w:hAnsi="宋体" w:cs="宋体"/>
          <w:b/>
          <w:bCs/>
          <w:szCs w:val="24"/>
        </w:rPr>
        <w:t>）人力资源保障</w:t>
      </w:r>
    </w:p>
    <w:p w14:paraId="1FA46E98">
      <w:pPr>
        <w:pStyle w:val="4"/>
        <w:ind w:firstLine="480"/>
        <w:rPr>
          <w:rFonts w:hint="eastAsia" w:ascii="宋体" w:hAnsi="宋体" w:cs="宋体"/>
          <w:szCs w:val="24"/>
        </w:rPr>
      </w:pPr>
      <w:r>
        <w:rPr>
          <w:rFonts w:ascii="宋体" w:hAnsi="宋体" w:cs="宋体"/>
          <w:szCs w:val="24"/>
        </w:rPr>
        <w:t>按照本预案的要求</w:t>
      </w:r>
      <w:r>
        <w:rPr>
          <w:rFonts w:ascii="宋体" w:hAnsi="宋体" w:cs="宋体"/>
          <w:spacing w:val="-48"/>
          <w:szCs w:val="24"/>
        </w:rPr>
        <w:t>，</w:t>
      </w:r>
      <w:r>
        <w:rPr>
          <w:rFonts w:ascii="宋体" w:hAnsi="宋体" w:cs="宋体"/>
          <w:szCs w:val="24"/>
        </w:rPr>
        <w:t>加强突发环境污染事件应急队伍建设</w:t>
      </w:r>
      <w:r>
        <w:rPr>
          <w:rFonts w:ascii="宋体" w:hAnsi="宋体" w:cs="宋体"/>
          <w:spacing w:val="-46"/>
          <w:szCs w:val="24"/>
        </w:rPr>
        <w:t>，</w:t>
      </w:r>
      <w:r>
        <w:rPr>
          <w:rFonts w:ascii="宋体" w:hAnsi="宋体" w:cs="宋体"/>
          <w:szCs w:val="24"/>
        </w:rPr>
        <w:t>加强应急救援队</w:t>
      </w:r>
      <w:r>
        <w:t>伍的业务培训和应急演练</w:t>
      </w:r>
      <w:r>
        <w:rPr>
          <w:spacing w:val="-48"/>
        </w:rPr>
        <w:t>。</w:t>
      </w:r>
      <w:r>
        <w:t>重点培训建立一支常备不懈</w:t>
      </w:r>
      <w:r>
        <w:rPr>
          <w:spacing w:val="-46"/>
        </w:rPr>
        <w:t>、</w:t>
      </w:r>
      <w:r>
        <w:t>熟悉环境应急知识充分掌握各类突发环境事件处置措施的应急队伍</w:t>
      </w:r>
      <w:r>
        <w:rPr>
          <w:spacing w:val="-48"/>
        </w:rPr>
        <w:t>，</w:t>
      </w:r>
      <w:r>
        <w:t>保证在突发环境事件发生后</w:t>
      </w:r>
      <w:r>
        <w:rPr>
          <w:spacing w:val="-46"/>
        </w:rPr>
        <w:t>，</w:t>
      </w:r>
      <w:r>
        <w:t>能迅速参与并完成抢救</w:t>
      </w:r>
      <w:r>
        <w:rPr>
          <w:spacing w:val="-24"/>
        </w:rPr>
        <w:t>、</w:t>
      </w:r>
      <w:r>
        <w:t>排险</w:t>
      </w:r>
      <w:r>
        <w:rPr>
          <w:spacing w:val="-24"/>
        </w:rPr>
        <w:t>、</w:t>
      </w:r>
      <w:r>
        <w:t>消毒</w:t>
      </w:r>
      <w:r>
        <w:rPr>
          <w:spacing w:val="-24"/>
        </w:rPr>
        <w:t>、</w:t>
      </w:r>
      <w:r>
        <w:t>监测等现场处置工作</w:t>
      </w:r>
      <w:r>
        <w:rPr>
          <w:spacing w:val="-22"/>
        </w:rPr>
        <w:t>。</w:t>
      </w:r>
      <w:r>
        <w:t>内部各小组要建立联动协调机制</w:t>
      </w:r>
      <w:r>
        <w:rPr>
          <w:spacing w:val="-32"/>
        </w:rPr>
        <w:t>，</w:t>
      </w:r>
      <w:r>
        <w:t>提高准备水平</w:t>
      </w:r>
      <w:r>
        <w:rPr>
          <w:spacing w:val="-32"/>
        </w:rPr>
        <w:t>，</w:t>
      </w:r>
      <w:r>
        <w:t>提高其应对突发环境污染事件的素质和能力</w:t>
      </w:r>
      <w:r>
        <w:rPr>
          <w:spacing w:val="-32"/>
        </w:rPr>
        <w:t>。</w:t>
      </w:r>
      <w:r>
        <w:t>在项目组应急救援能力有限的情况下</w:t>
      </w:r>
      <w:r>
        <w:rPr>
          <w:spacing w:val="-48"/>
        </w:rPr>
        <w:t>，</w:t>
      </w:r>
      <w:r>
        <w:t>动员填埋场所在地社会团体</w:t>
      </w:r>
      <w:r>
        <w:rPr>
          <w:spacing w:val="-46"/>
        </w:rPr>
        <w:t>、</w:t>
      </w:r>
      <w:r>
        <w:t>企事业单位以及志愿者等各种社会力量参与应急救援工作。</w:t>
      </w:r>
    </w:p>
    <w:p w14:paraId="64BC8756">
      <w:pPr>
        <w:pStyle w:val="5"/>
        <w:rPr>
          <w:b w:val="0"/>
          <w:bCs w:val="0"/>
        </w:rPr>
      </w:pPr>
      <w:bookmarkStart w:id="132" w:name="_TOC_250014"/>
      <w:bookmarkStart w:id="133" w:name="_Toc174443652"/>
      <w:r>
        <w:rPr>
          <w:rFonts w:hint="eastAsia" w:cs="Times New Roman" w:eastAsiaTheme="minorEastAsia"/>
        </w:rPr>
        <w:t>12.</w:t>
      </w:r>
      <w:r>
        <w:rPr>
          <w:rFonts w:eastAsia="Times New Roman" w:cs="Times New Roman"/>
        </w:rPr>
        <w:t>5.3</w:t>
      </w:r>
      <w:r>
        <w:t>应急响应措施</w:t>
      </w:r>
      <w:bookmarkEnd w:id="132"/>
      <w:bookmarkEnd w:id="133"/>
    </w:p>
    <w:p w14:paraId="6B27B783">
      <w:pPr>
        <w:pStyle w:val="4"/>
        <w:ind w:firstLine="480"/>
        <w:rPr>
          <w:b/>
          <w:bCs/>
        </w:rPr>
      </w:pPr>
      <w:r>
        <w:t>（</w:t>
      </w:r>
      <w:r>
        <w:rPr>
          <w:rFonts w:eastAsia="Times New Roman" w:cs="Times New Roman"/>
        </w:rPr>
        <w:t>1</w:t>
      </w:r>
      <w:r>
        <w:t>）应急待命</w:t>
      </w:r>
    </w:p>
    <w:p w14:paraId="0B9BFAF0">
      <w:pPr>
        <w:pStyle w:val="4"/>
        <w:ind w:firstLine="480"/>
      </w:pPr>
      <w:r>
        <w:t>对出现暴雨山洪等恶劣天气</w:t>
      </w:r>
      <w:r>
        <w:rPr>
          <w:spacing w:val="-48"/>
        </w:rPr>
        <w:t>、</w:t>
      </w:r>
      <w:r>
        <w:t>填埋气体浓度大幅度增高</w:t>
      </w:r>
      <w:r>
        <w:rPr>
          <w:spacing w:val="-46"/>
        </w:rPr>
        <w:t>、</w:t>
      </w:r>
      <w:r>
        <w:t>渗滤液产量显著增加</w:t>
      </w:r>
      <w:r>
        <w:rPr>
          <w:spacing w:val="-108"/>
        </w:rPr>
        <w:t>、</w:t>
      </w:r>
      <w:r>
        <w:t>渗滤液处理系统处理效率明显降低</w:t>
      </w:r>
      <w:r>
        <w:rPr>
          <w:spacing w:val="-106"/>
        </w:rPr>
        <w:t>、</w:t>
      </w:r>
      <w:r>
        <w:t>空气以及地下水等监测数据异常情况</w:t>
      </w:r>
      <w:r>
        <w:rPr>
          <w:spacing w:val="-1"/>
        </w:rPr>
        <w:t>时</w:t>
      </w:r>
      <w:r>
        <w:t>，填埋场垃圾处理会受到影响后</w:t>
      </w:r>
      <w:r>
        <w:rPr>
          <w:spacing w:val="-48"/>
        </w:rPr>
        <w:t>，</w:t>
      </w:r>
      <w:r>
        <w:t>迅速启动应急待命</w:t>
      </w:r>
      <w:r>
        <w:rPr>
          <w:spacing w:val="-46"/>
        </w:rPr>
        <w:t>，</w:t>
      </w:r>
      <w:r>
        <w:t>针对可能出现的风险事故进行相对应的防范应对措施</w:t>
      </w:r>
      <w:r>
        <w:rPr>
          <w:spacing w:val="-48"/>
        </w:rPr>
        <w:t>，</w:t>
      </w:r>
      <w:r>
        <w:t>实时监控场区内相关收集处理设施的运行状况</w:t>
      </w:r>
      <w:r>
        <w:rPr>
          <w:spacing w:val="-46"/>
        </w:rPr>
        <w:t>，</w:t>
      </w:r>
      <w:r>
        <w:t>随时对场区外地下水监测井监测资料进行分析评估，加强场区应急准备。</w:t>
      </w:r>
    </w:p>
    <w:p w14:paraId="09ED6E4E">
      <w:pPr>
        <w:pStyle w:val="4"/>
        <w:ind w:firstLine="480"/>
        <w:rPr>
          <w:spacing w:val="24"/>
          <w:w w:val="99"/>
        </w:rPr>
      </w:pPr>
      <w:r>
        <w:t>（</w:t>
      </w:r>
      <w:r>
        <w:rPr>
          <w:rFonts w:eastAsia="Times New Roman" w:cs="Times New Roman"/>
        </w:rPr>
        <w:t>2</w:t>
      </w:r>
      <w:r>
        <w:t>）一般事故应急</w:t>
      </w:r>
    </w:p>
    <w:p w14:paraId="7CF19A95">
      <w:pPr>
        <w:pStyle w:val="4"/>
        <w:ind w:firstLine="480"/>
      </w:pPr>
      <w:r>
        <w:t>对场区出现局部范围的火灾</w:t>
      </w:r>
      <w:r>
        <w:rPr>
          <w:spacing w:val="-32"/>
        </w:rPr>
        <w:t>、</w:t>
      </w:r>
      <w:r>
        <w:t>堆体局部沉降或滑动</w:t>
      </w:r>
      <w:r>
        <w:rPr>
          <w:spacing w:val="-32"/>
        </w:rPr>
        <w:t>、</w:t>
      </w:r>
      <w:r>
        <w:t>坝体出现局部坍塌</w:t>
      </w:r>
      <w:r>
        <w:rPr>
          <w:spacing w:val="-32"/>
        </w:rPr>
        <w:t>、</w:t>
      </w:r>
      <w:r>
        <w:t>渗滤液收集处理系统出现部分故障</w:t>
      </w:r>
      <w:r>
        <w:rPr>
          <w:spacing w:val="-48"/>
        </w:rPr>
        <w:t>、</w:t>
      </w:r>
      <w:r>
        <w:t>防洪设施出现部分淤塞等一般事故时</w:t>
      </w:r>
      <w:r>
        <w:rPr>
          <w:spacing w:val="-46"/>
        </w:rPr>
        <w:t>，</w:t>
      </w:r>
      <w:r>
        <w:t>填埋场垃圾处理能力下降后</w:t>
      </w:r>
      <w:r>
        <w:rPr>
          <w:spacing w:val="-48"/>
        </w:rPr>
        <w:t>，</w:t>
      </w:r>
      <w:r>
        <w:t>启动一般事故应急</w:t>
      </w:r>
      <w:r>
        <w:rPr>
          <w:spacing w:val="-46"/>
        </w:rPr>
        <w:t>，</w:t>
      </w:r>
      <w:r>
        <w:t>场区事故处置小组要指挥技术人员及时对出现的事故制定出有效快捷的处置措施</w:t>
      </w:r>
      <w:r>
        <w:rPr>
          <w:spacing w:val="-48"/>
        </w:rPr>
        <w:t>，</w:t>
      </w:r>
      <w:r>
        <w:t>包括火灾区迅速控制火势</w:t>
      </w:r>
      <w:r>
        <w:rPr>
          <w:spacing w:val="-46"/>
        </w:rPr>
        <w:t>、</w:t>
      </w:r>
      <w:r>
        <w:t>坝坝体加固</w:t>
      </w:r>
      <w:r>
        <w:rPr>
          <w:spacing w:val="-48"/>
        </w:rPr>
        <w:t>、</w:t>
      </w:r>
      <w:r>
        <w:t>使用清洗设备清洗防洪设施以及淤塞的管道</w:t>
      </w:r>
      <w:r>
        <w:rPr>
          <w:spacing w:val="-46"/>
        </w:rPr>
        <w:t>、</w:t>
      </w:r>
      <w:r>
        <w:t>抢修渗滤液处理站故障设备以及随时注意监测井测资料</w:t>
      </w:r>
      <w:r>
        <w:rPr>
          <w:spacing w:val="-94"/>
        </w:rPr>
        <w:t>，</w:t>
      </w:r>
      <w:r>
        <w:t>在最短的时间内采取行动缓解事故后果和保护场区人员，并根据情况做好场外采取防护行动的准备，上报相关政府部门。</w:t>
      </w:r>
    </w:p>
    <w:p w14:paraId="06798796">
      <w:pPr>
        <w:pStyle w:val="4"/>
        <w:ind w:firstLine="480"/>
      </w:pPr>
      <w:r>
        <w:t>（</w:t>
      </w:r>
      <w:r>
        <w:rPr>
          <w:rFonts w:eastAsia="Times New Roman" w:cs="Times New Roman"/>
        </w:rPr>
        <w:t>3</w:t>
      </w:r>
      <w:r>
        <w:t>）特大事故应急</w:t>
      </w:r>
    </w:p>
    <w:p w14:paraId="62267917">
      <w:pPr>
        <w:pStyle w:val="4"/>
        <w:ind w:firstLine="480"/>
      </w:pPr>
      <w:r>
        <w:t>对场区出现大范围火灾、防渗层较大面积断裂、渗滤液收集处理系统失效、填埋场库区大范围沉降</w:t>
      </w:r>
      <w:r>
        <w:rPr>
          <w:spacing w:val="-94"/>
        </w:rPr>
        <w:t>、</w:t>
      </w:r>
      <w:r>
        <w:t>暴雨山洪等自然灾害导致防洪设施崩溃以及坝体垮塌等重大事故时</w:t>
      </w:r>
      <w:r>
        <w:rPr>
          <w:spacing w:val="-94"/>
        </w:rPr>
        <w:t>，</w:t>
      </w:r>
      <w:r>
        <w:t>填埋库区已完全丧失或大部分区域丧失继续进行填埋处理的能力后，启动特大事故应急</w:t>
      </w:r>
      <w:r>
        <w:rPr>
          <w:spacing w:val="-48"/>
        </w:rPr>
        <w:t>。</w:t>
      </w:r>
      <w:r>
        <w:t>场区风险事故处置小组应及时上报当地政府</w:t>
      </w:r>
      <w:r>
        <w:rPr>
          <w:spacing w:val="-46"/>
        </w:rPr>
        <w:t>，</w:t>
      </w:r>
      <w:r>
        <w:t>由政府领导相关部门全力以赴组织救援</w:t>
      </w:r>
      <w:r>
        <w:rPr>
          <w:spacing w:val="-48"/>
        </w:rPr>
        <w:t>。</w:t>
      </w:r>
      <w:r>
        <w:t>并及时联系专家</w:t>
      </w:r>
      <w:r>
        <w:rPr>
          <w:spacing w:val="-46"/>
        </w:rPr>
        <w:t>，</w:t>
      </w:r>
      <w:r>
        <w:t>在事故分析专家组的指导下采取及时有效的处理处置措施</w:t>
      </w:r>
      <w:r>
        <w:rPr>
          <w:spacing w:val="-48"/>
        </w:rPr>
        <w:t>，</w:t>
      </w:r>
      <w:r>
        <w:t>同时对垃圾填埋场下游方向的土壤</w:t>
      </w:r>
      <w:r>
        <w:rPr>
          <w:spacing w:val="-46"/>
        </w:rPr>
        <w:t>、</w:t>
      </w:r>
      <w:r>
        <w:t>地表水以及地下水进行实时监测</w:t>
      </w:r>
      <w:r>
        <w:rPr>
          <w:spacing w:val="-32"/>
        </w:rPr>
        <w:t>，</w:t>
      </w:r>
      <w:r>
        <w:t>安全转移并救助场区周边居民</w:t>
      </w:r>
      <w:r>
        <w:rPr>
          <w:spacing w:val="-32"/>
        </w:rPr>
        <w:t>，</w:t>
      </w:r>
      <w:r>
        <w:t>最大限度地缓解事故后果</w:t>
      </w:r>
      <w:r>
        <w:rPr>
          <w:spacing w:val="-32"/>
        </w:rPr>
        <w:t>，</w:t>
      </w:r>
      <w:r>
        <w:t>保护场区人员和受影响的公众。</w:t>
      </w:r>
    </w:p>
    <w:p w14:paraId="622BADAB">
      <w:pPr>
        <w:pStyle w:val="5"/>
        <w:rPr>
          <w:spacing w:val="23"/>
          <w:w w:val="99"/>
        </w:rPr>
      </w:pPr>
      <w:bookmarkStart w:id="134" w:name="_Toc174443653"/>
      <w:r>
        <w:rPr>
          <w:rFonts w:hint="eastAsia" w:cs="Times New Roman" w:eastAsiaTheme="minorEastAsia"/>
          <w:szCs w:val="28"/>
        </w:rPr>
        <w:t>12.</w:t>
      </w:r>
      <w:r>
        <w:rPr>
          <w:rFonts w:eastAsia="Times New Roman" w:cs="Times New Roman"/>
          <w:szCs w:val="28"/>
        </w:rPr>
        <w:t>5.4</w:t>
      </w:r>
      <w:r>
        <w:t>应急终止和恢复正常秩序</w:t>
      </w:r>
      <w:bookmarkEnd w:id="134"/>
    </w:p>
    <w:p w14:paraId="63808A85">
      <w:pPr>
        <w:pStyle w:val="4"/>
        <w:ind w:firstLine="480"/>
      </w:pPr>
      <w:r>
        <w:t>在确定垃圾填埋场事故确实得到控制</w:t>
      </w:r>
      <w:r>
        <w:rPr>
          <w:spacing w:val="-48"/>
        </w:rPr>
        <w:t>，</w:t>
      </w:r>
      <w:r>
        <w:t>排出场外的污染物得到有效处理</w:t>
      </w:r>
      <w:r>
        <w:rPr>
          <w:spacing w:val="-46"/>
        </w:rPr>
        <w:t>，</w:t>
      </w:r>
      <w:r>
        <w:t>场</w:t>
      </w:r>
    </w:p>
    <w:p w14:paraId="2BDF2A0D">
      <w:pPr>
        <w:pStyle w:val="4"/>
        <w:ind w:firstLine="480"/>
      </w:pPr>
      <w:r>
        <w:t>区和周边环境得到妥善保护</w:t>
      </w:r>
      <w:r>
        <w:rPr>
          <w:spacing w:val="-94"/>
        </w:rPr>
        <w:t>，</w:t>
      </w:r>
      <w:r>
        <w:t>为事故中排出的污染物可能引起的长期不良后果已经采取并继续采取一切必要的防护措施后</w:t>
      </w:r>
      <w:r>
        <w:rPr>
          <w:spacing w:val="-94"/>
        </w:rPr>
        <w:t>，</w:t>
      </w:r>
      <w:r>
        <w:t>风险事故处置工作组决定发布应急状态的终止</w:t>
      </w:r>
      <w:r>
        <w:rPr>
          <w:spacing w:val="-48"/>
        </w:rPr>
        <w:t>，</w:t>
      </w:r>
      <w:r>
        <w:t>并向政府相关部门报告</w:t>
      </w:r>
      <w:r>
        <w:rPr>
          <w:spacing w:val="-46"/>
        </w:rPr>
        <w:t>。</w:t>
      </w:r>
      <w:r>
        <w:t>发生事故的垃圾填埋场在采取积极有效的措施并清除场内污染后，恢复正常运行。</w:t>
      </w:r>
    </w:p>
    <w:p w14:paraId="4FDC3B83">
      <w:pPr>
        <w:pStyle w:val="4"/>
        <w:ind w:firstLine="480"/>
      </w:pPr>
      <w:r>
        <w:t>同时在邻近区域解除事故警戒后</w:t>
      </w:r>
      <w:r>
        <w:rPr>
          <w:spacing w:val="-94"/>
        </w:rPr>
        <w:t>，</w:t>
      </w:r>
      <w:r>
        <w:t>应对恢复场外周边环境和公众正常生活条件采取有效措施，定期查看各监测设备和监测井的监测数据。</w:t>
      </w:r>
    </w:p>
    <w:p w14:paraId="472699D3">
      <w:pPr>
        <w:pStyle w:val="3"/>
        <w:rPr>
          <w:bCs/>
        </w:rPr>
      </w:pPr>
      <w:bookmarkStart w:id="135" w:name="_TOC_250013"/>
      <w:bookmarkStart w:id="136" w:name="_Toc174443654"/>
      <w:r>
        <w:rPr>
          <w:rFonts w:hint="eastAsia" w:cs="Times New Roman" w:eastAsiaTheme="minorEastAsia"/>
        </w:rPr>
        <w:t>12.</w:t>
      </w:r>
      <w:r>
        <w:rPr>
          <w:rFonts w:eastAsia="Times New Roman" w:cs="Times New Roman"/>
        </w:rPr>
        <w:t>6</w:t>
      </w:r>
      <w:r>
        <w:t>环境风险应急预案</w:t>
      </w:r>
      <w:bookmarkEnd w:id="135"/>
      <w:bookmarkEnd w:id="136"/>
    </w:p>
    <w:p w14:paraId="422AF234">
      <w:pPr>
        <w:pStyle w:val="4"/>
        <w:ind w:firstLine="480"/>
      </w:pPr>
      <w:r>
        <w:t>应根据乌牛山填埋场施工内容和特点，编制专项环境应急预案。分析环境风险隐患，提出预防不措施；针对可能发生的环境事故，制定应急处理措施，将风险损害降到最低。</w:t>
      </w:r>
      <w:bookmarkStart w:id="137" w:name="_TOC_250012"/>
    </w:p>
    <w:p w14:paraId="6105D47A">
      <w:pPr>
        <w:pStyle w:val="5"/>
      </w:pPr>
      <w:bookmarkStart w:id="138" w:name="_Toc174443655"/>
      <w:r>
        <w:rPr>
          <w:rFonts w:hint="eastAsia" w:cs="Times New Roman" w:eastAsiaTheme="minorEastAsia"/>
        </w:rPr>
        <w:t>12.</w:t>
      </w:r>
      <w:r>
        <w:rPr>
          <w:rFonts w:eastAsia="Times New Roman" w:cs="Times New Roman"/>
        </w:rPr>
        <w:t>6.1</w:t>
      </w:r>
      <w:r>
        <w:t>二次污染事故应急处置</w:t>
      </w:r>
      <w:bookmarkEnd w:id="137"/>
      <w:bookmarkEnd w:id="138"/>
    </w:p>
    <w:p w14:paraId="1770EFD8">
      <w:pPr>
        <w:pStyle w:val="4"/>
        <w:ind w:firstLine="480"/>
      </w:pPr>
      <w:r>
        <w:t>（1）预防措施</w:t>
      </w:r>
    </w:p>
    <w:p w14:paraId="07E0C71C">
      <w:pPr>
        <w:pStyle w:val="4"/>
        <w:ind w:firstLine="480"/>
      </w:pPr>
      <w:r>
        <w:rPr>
          <w:rFonts w:hint="eastAsia"/>
        </w:rPr>
        <w:t>1</w:t>
      </w:r>
      <w:r>
        <w:t>）本项目实施过程可能发生二次污染事故，对空气、地表水和地下水环境及居民身体健康造成危害，因而需采取积极有效措施预防二次污染发生。</w:t>
      </w:r>
    </w:p>
    <w:p w14:paraId="5BEEFE43">
      <w:pPr>
        <w:pStyle w:val="4"/>
        <w:ind w:firstLine="480"/>
      </w:pPr>
      <w:r>
        <w:rPr>
          <w:rFonts w:hint="eastAsia"/>
        </w:rPr>
        <w:t>2）</w:t>
      </w:r>
      <w:r>
        <w:t>加强污染监测，建立起监测制度，由专人定期定时对场地内的环境敏感点进行现场快速检测和采样送检。</w:t>
      </w:r>
    </w:p>
    <w:p w14:paraId="1461245C">
      <w:pPr>
        <w:pStyle w:val="4"/>
        <w:ind w:firstLine="480"/>
      </w:pPr>
      <w:r>
        <w:rPr>
          <w:rFonts w:hint="eastAsia"/>
        </w:rPr>
        <w:t>3）</w:t>
      </w:r>
      <w:r>
        <w:t>加强检查场地内排水沟、集水池以及排水管道的运行情况保证雨污分流，避免污水泄露对周边地表水和地下水环境造成二次污染。</w:t>
      </w:r>
    </w:p>
    <w:p w14:paraId="58B250FA">
      <w:pPr>
        <w:pStyle w:val="4"/>
        <w:ind w:firstLine="480"/>
      </w:pPr>
      <w:r>
        <w:rPr>
          <w:rFonts w:hint="eastAsia"/>
        </w:rPr>
        <w:t>4）</w:t>
      </w:r>
      <w:r>
        <w:t>及时检查场地内防渗设施的破损情况，对有防渗设施的区域做好明显标记，避免机械操作时对场地内防渗设施的损坏。</w:t>
      </w:r>
    </w:p>
    <w:p w14:paraId="63DA2437">
      <w:pPr>
        <w:pStyle w:val="4"/>
        <w:ind w:firstLine="480"/>
      </w:pPr>
      <w:r>
        <w:rPr>
          <w:rFonts w:hint="eastAsia"/>
        </w:rPr>
        <w:t>5）</w:t>
      </w:r>
      <w:r>
        <w:t>场地内的人员机械在完成工作离开操作区时，需将附着的污染物全部清理干净。</w:t>
      </w:r>
    </w:p>
    <w:p w14:paraId="162E6A69">
      <w:pPr>
        <w:pStyle w:val="4"/>
        <w:ind w:firstLine="480"/>
      </w:pPr>
      <w:r>
        <w:rPr>
          <w:rFonts w:hint="eastAsia"/>
        </w:rPr>
        <w:t>6）</w:t>
      </w:r>
      <w:r>
        <w:t>施工中多方位多渠道进行异/臭味防治，防止臭味污染。开挖前垃圾堆体进行通风除臭预处理，配备充足的覆盖材料、除臭药剂、高压喷雾风炮等，必要时增设移动除臭雾炮，出现臭气逸散情况及时应对。</w:t>
      </w:r>
    </w:p>
    <w:p w14:paraId="7EA08CC3">
      <w:pPr>
        <w:pStyle w:val="4"/>
        <w:ind w:firstLine="480"/>
      </w:pPr>
      <w:r>
        <w:rPr>
          <w:rFonts w:hint="eastAsia"/>
        </w:rPr>
        <w:t>7）</w:t>
      </w:r>
      <w:r>
        <w:t>加强日常管理，减少噪声排放，避免夜间施工。使用低噪声机械设备，从源头上控制噪声的产生。</w:t>
      </w:r>
    </w:p>
    <w:p w14:paraId="7C3FF941">
      <w:pPr>
        <w:pStyle w:val="4"/>
        <w:ind w:firstLine="480"/>
      </w:pPr>
      <w:r>
        <w:t>（2）应急处理措施项目施工过程中若发生二次污染事故，可采取以下应急措施：</w:t>
      </w:r>
    </w:p>
    <w:p w14:paraId="23D618E1">
      <w:pPr>
        <w:pStyle w:val="4"/>
        <w:ind w:firstLine="480"/>
      </w:pPr>
      <w:r>
        <w:rPr>
          <w:rFonts w:hint="eastAsia"/>
        </w:rPr>
        <w:t>1）</w:t>
      </w:r>
      <w:r>
        <w:t>若发生臭气逸散情况，及时停止作业，对臭气源头进行紧急覆盖，并喷洒</w:t>
      </w:r>
    </w:p>
    <w:p w14:paraId="639C8275">
      <w:pPr>
        <w:pStyle w:val="4"/>
        <w:ind w:firstLine="480"/>
      </w:pPr>
      <w:r>
        <w:t>除臭剂，抑制恶臭扩散。</w:t>
      </w:r>
    </w:p>
    <w:p w14:paraId="21168CD6">
      <w:pPr>
        <w:pStyle w:val="4"/>
        <w:ind w:firstLine="480"/>
      </w:pPr>
      <w:r>
        <w:rPr>
          <w:rFonts w:hint="eastAsia"/>
        </w:rPr>
        <w:t>2）</w:t>
      </w:r>
      <w:r>
        <w:t>若调节池或集水池发生泄漏，立即对泄漏区域进行修补，修补方式采用在管道接口处立模管道下方挖空做10cm厚砼包裹，并对泄露的污水进行收集暂存。</w:t>
      </w:r>
    </w:p>
    <w:p w14:paraId="539B9CF7">
      <w:pPr>
        <w:pStyle w:val="4"/>
        <w:ind w:firstLine="480"/>
        <w:rPr>
          <w:rFonts w:hint="eastAsia" w:ascii="宋体" w:hAnsi="宋体" w:cs="宋体"/>
          <w:sz w:val="12"/>
          <w:szCs w:val="12"/>
        </w:rPr>
      </w:pPr>
      <w:r>
        <w:rPr>
          <w:rFonts w:hint="eastAsia"/>
        </w:rPr>
        <w:t>3）</w:t>
      </w:r>
      <w:r>
        <w:t>若垃圾洒落在堆体区域以外，需立即用工具对洒落物进行清理。</w:t>
      </w:r>
    </w:p>
    <w:p w14:paraId="3D3C6091">
      <w:pPr>
        <w:pStyle w:val="5"/>
      </w:pPr>
      <w:bookmarkStart w:id="139" w:name="_Toc174443656"/>
      <w:r>
        <w:rPr>
          <w:rFonts w:eastAsia="Times New Roman" w:cs="Times New Roman"/>
        </w:rPr>
        <w:t>12.6.2</w:t>
      </w:r>
      <w:r>
        <w:t>渗滤液收集及处理应急措</w:t>
      </w:r>
      <w:bookmarkEnd w:id="139"/>
    </w:p>
    <w:p w14:paraId="4473E673">
      <w:pPr>
        <w:pStyle w:val="4"/>
        <w:ind w:firstLine="480"/>
      </w:pPr>
      <w:r>
        <w:rPr>
          <w:rFonts w:hint="eastAsia"/>
        </w:rPr>
        <w:t>乌牛山填埋场</w:t>
      </w:r>
      <w:r>
        <w:t>的</w:t>
      </w:r>
      <w:r>
        <w:rPr>
          <w:rFonts w:cs="Times New Roman"/>
        </w:rPr>
        <w:t>生活垃圾渗滤液</w:t>
      </w:r>
      <w:r>
        <w:t>调节池有效容积</w:t>
      </w:r>
      <w:r>
        <w:rPr>
          <w:rFonts w:cs="Times New Roman"/>
        </w:rPr>
        <w:t>245</w:t>
      </w:r>
      <w:r>
        <w:rPr>
          <w:rFonts w:hint="eastAsia" w:cs="Times New Roman"/>
        </w:rPr>
        <w:t>00</w:t>
      </w:r>
      <w:r>
        <w:rPr>
          <w:rFonts w:eastAsia="Times New Roman" w:cs="Times New Roman"/>
          <w:spacing w:val="-2"/>
        </w:rPr>
        <w:t>m</w:t>
      </w:r>
      <w:r>
        <w:rPr>
          <w:rFonts w:eastAsia="Times New Roman" w:cs="Times New Roman"/>
          <w:position w:val="8"/>
          <w:sz w:val="15"/>
          <w:szCs w:val="15"/>
        </w:rPr>
        <w:t>3</w:t>
      </w:r>
      <w:r>
        <w:rPr>
          <w:spacing w:val="-60"/>
        </w:rPr>
        <w:t>，</w:t>
      </w:r>
      <w:r>
        <w:rPr>
          <w:rFonts w:cs="Times New Roman"/>
        </w:rPr>
        <w:t>飞灰填埋库区的渗滤液</w:t>
      </w:r>
      <w:r>
        <w:rPr>
          <w:rFonts w:hint="eastAsia" w:cs="Times New Roman"/>
        </w:rPr>
        <w:t>调节池</w:t>
      </w:r>
      <w:r>
        <w:rPr>
          <w:rFonts w:cs="Times New Roman"/>
        </w:rPr>
        <w:t>3500m</w:t>
      </w:r>
      <w:r>
        <w:rPr>
          <w:rFonts w:cs="Times New Roman"/>
          <w:vertAlign w:val="superscript"/>
        </w:rPr>
        <w:t>3</w:t>
      </w:r>
      <w:r>
        <w:rPr>
          <w:rFonts w:hint="eastAsia" w:cs="Times New Roman"/>
        </w:rPr>
        <w:t>，共计约</w:t>
      </w:r>
      <w:r>
        <w:rPr>
          <w:rFonts w:cs="Times New Roman"/>
        </w:rPr>
        <w:t>为28</w:t>
      </w:r>
      <w:r>
        <w:rPr>
          <w:rFonts w:hint="eastAsia" w:cs="Times New Roman"/>
        </w:rPr>
        <w:t>000</w:t>
      </w:r>
      <w:r>
        <w:rPr>
          <w:rFonts w:cs="Times New Roman"/>
        </w:rPr>
        <w:t>m</w:t>
      </w:r>
      <w:r>
        <w:rPr>
          <w:rFonts w:cs="Times New Roman"/>
          <w:vertAlign w:val="superscript"/>
        </w:rPr>
        <w:t>3</w:t>
      </w:r>
      <w:r>
        <w:rPr>
          <w:rFonts w:hint="eastAsia" w:cs="Times New Roman"/>
        </w:rPr>
        <w:t>调节池容积，</w:t>
      </w:r>
      <w:r>
        <w:t>目前水位较低</w:t>
      </w:r>
      <w:r>
        <w:rPr>
          <w:spacing w:val="-58"/>
        </w:rPr>
        <w:t>，</w:t>
      </w:r>
      <w:r>
        <w:t>剩余库容充足。渗滤液处理设施运行正常，能够满足日常处理需求。</w:t>
      </w:r>
    </w:p>
    <w:p w14:paraId="3699C374">
      <w:pPr>
        <w:pStyle w:val="4"/>
        <w:ind w:firstLine="480"/>
        <w:rPr>
          <w:spacing w:val="30"/>
          <w:w w:val="99"/>
        </w:rPr>
      </w:pPr>
      <w:r>
        <w:t>（</w:t>
      </w:r>
      <w:r>
        <w:rPr>
          <w:rFonts w:eastAsia="Times New Roman" w:cs="Times New Roman"/>
        </w:rPr>
        <w:t>1</w:t>
      </w:r>
      <w:r>
        <w:t>）渗滤液处理系统事故应急方案</w:t>
      </w:r>
    </w:p>
    <w:p w14:paraId="23B73B4F">
      <w:pPr>
        <w:pStyle w:val="4"/>
        <w:ind w:firstLine="480"/>
      </w:pPr>
      <w:r>
        <w:t>发现出水水质超标时</w:t>
      </w:r>
      <w:r>
        <w:rPr>
          <w:spacing w:val="-72"/>
        </w:rPr>
        <w:t>；</w:t>
      </w:r>
      <w:r>
        <w:t>渗滤液水量超过设计标准时</w:t>
      </w:r>
      <w:r>
        <w:rPr>
          <w:spacing w:val="-72"/>
        </w:rPr>
        <w:t>；</w:t>
      </w:r>
      <w:r>
        <w:t>大面积</w:t>
      </w:r>
      <w:r>
        <w:rPr>
          <w:spacing w:val="-70"/>
        </w:rPr>
        <w:t>、</w:t>
      </w:r>
      <w:r>
        <w:t>长时间停电</w:t>
      </w:r>
      <w:r>
        <w:rPr>
          <w:spacing w:val="-1"/>
        </w:rPr>
        <w:t>时</w:t>
      </w:r>
      <w:r>
        <w:t>；</w:t>
      </w:r>
    </w:p>
    <w:p w14:paraId="03C0FAC2">
      <w:pPr>
        <w:pStyle w:val="4"/>
        <w:ind w:firstLine="480"/>
      </w:pPr>
      <w:r>
        <w:t>主要设备检修期间。</w:t>
      </w:r>
    </w:p>
    <w:p w14:paraId="64AB131D">
      <w:pPr>
        <w:pStyle w:val="4"/>
        <w:ind w:firstLine="480"/>
      </w:pPr>
      <w:r>
        <w:rPr>
          <w:rFonts w:eastAsia="Times New Roman" w:cs="Times New Roman"/>
        </w:rPr>
        <w:t>1</w:t>
      </w:r>
      <w:r>
        <w:t>）进水超出设计标准</w:t>
      </w:r>
    </w:p>
    <w:p w14:paraId="4C7D81AF">
      <w:pPr>
        <w:pStyle w:val="4"/>
        <w:ind w:firstLine="480"/>
      </w:pPr>
      <w:r>
        <w:rPr>
          <w:rFonts w:ascii="Wingdings" w:hAnsi="Wingdings" w:eastAsia="Wingdings" w:cs="Wingdings"/>
        </w:rPr>
        <w:t></w:t>
      </w:r>
      <w:r>
        <w:rPr>
          <w:rFonts w:eastAsia="Times New Roman" w:cs="Times New Roman"/>
        </w:rPr>
        <w:tab/>
      </w:r>
      <w:r>
        <w:t>完善数据分析及传递制度</w:t>
      </w:r>
      <w:r>
        <w:rPr>
          <w:spacing w:val="-77"/>
        </w:rPr>
        <w:t>，</w:t>
      </w:r>
      <w:r>
        <w:t>并根据长期的数据分析结果</w:t>
      </w:r>
      <w:r>
        <w:rPr>
          <w:spacing w:val="-77"/>
        </w:rPr>
        <w:t>，</w:t>
      </w:r>
      <w:r>
        <w:t>建立预测制</w:t>
      </w:r>
      <w:r>
        <w:rPr>
          <w:spacing w:val="-1"/>
        </w:rPr>
        <w:t>度</w:t>
      </w:r>
      <w:r>
        <w:t>；</w:t>
      </w:r>
    </w:p>
    <w:p w14:paraId="35D532B4">
      <w:pPr>
        <w:pStyle w:val="4"/>
        <w:ind w:firstLine="480"/>
      </w:pPr>
      <w:r>
        <w:rPr>
          <w:rFonts w:ascii="Wingdings" w:hAnsi="Wingdings" w:eastAsia="Wingdings" w:cs="Wingdings"/>
        </w:rPr>
        <w:t></w:t>
      </w:r>
      <w:r>
        <w:rPr>
          <w:rFonts w:eastAsia="Times New Roman" w:cs="Times New Roman"/>
        </w:rPr>
        <w:tab/>
      </w:r>
      <w:r>
        <w:t>立即向主管部门汇报，调整生产计划，保证出水标准；</w:t>
      </w:r>
    </w:p>
    <w:p w14:paraId="4F8868E2">
      <w:pPr>
        <w:pStyle w:val="4"/>
        <w:ind w:firstLine="480"/>
      </w:pPr>
      <w:r>
        <w:rPr>
          <w:rFonts w:ascii="Wingdings" w:hAnsi="Wingdings" w:eastAsia="Wingdings" w:cs="Wingdings"/>
        </w:rPr>
        <w:t></w:t>
      </w:r>
      <w:r>
        <w:rPr>
          <w:rFonts w:eastAsia="Times New Roman" w:cs="Times New Roman"/>
        </w:rPr>
        <w:tab/>
      </w:r>
      <w:r>
        <w:rPr>
          <w:spacing w:val="-2"/>
        </w:rPr>
        <w:t>立即对进水水质，工艺运行参数，出水水质数据进行分析，根据数据分</w:t>
      </w:r>
      <w:r>
        <w:t>析结果对相关工艺流程进行及时调整，保证渗滤液得到及时处理。</w:t>
      </w:r>
    </w:p>
    <w:p w14:paraId="0D066A70">
      <w:pPr>
        <w:pStyle w:val="4"/>
        <w:ind w:firstLine="480"/>
      </w:pPr>
      <w:r>
        <w:rPr>
          <w:rFonts w:eastAsia="Times New Roman" w:cs="Times New Roman"/>
        </w:rPr>
        <w:t>2</w:t>
      </w:r>
      <w:r>
        <w:t>）主要设备故障</w:t>
      </w:r>
    </w:p>
    <w:p w14:paraId="52BE4E00">
      <w:pPr>
        <w:pStyle w:val="4"/>
        <w:ind w:firstLine="480"/>
      </w:pPr>
      <w:r>
        <w:rPr>
          <w:rFonts w:ascii="Wingdings" w:hAnsi="Wingdings" w:eastAsia="Wingdings" w:cs="Wingdings"/>
        </w:rPr>
        <w:t></w:t>
      </w:r>
      <w:r>
        <w:rPr>
          <w:rFonts w:eastAsia="Times New Roman" w:cs="Times New Roman"/>
        </w:rPr>
        <w:tab/>
      </w:r>
      <w:r>
        <w:t>启动备用设备；</w:t>
      </w:r>
    </w:p>
    <w:p w14:paraId="56191955">
      <w:pPr>
        <w:pStyle w:val="4"/>
        <w:ind w:firstLine="480"/>
      </w:pPr>
      <w:r>
        <w:rPr>
          <w:rFonts w:ascii="Wingdings" w:hAnsi="Wingdings" w:eastAsia="Wingdings" w:cs="Wingdings"/>
        </w:rPr>
        <w:t></w:t>
      </w:r>
      <w:r>
        <w:rPr>
          <w:rFonts w:eastAsia="Times New Roman" w:cs="Times New Roman"/>
        </w:rPr>
        <w:tab/>
      </w:r>
      <w:r>
        <w:t>召集检修人员加快设备的检修速度，尽快恢复设备的正常使用；</w:t>
      </w:r>
    </w:p>
    <w:p w14:paraId="72750AF9">
      <w:pPr>
        <w:pStyle w:val="4"/>
        <w:ind w:firstLine="480"/>
      </w:pPr>
      <w:r>
        <w:rPr>
          <w:rFonts w:ascii="Wingdings" w:hAnsi="Wingdings" w:eastAsia="Wingdings" w:cs="Wingdings"/>
        </w:rPr>
        <w:t></w:t>
      </w:r>
      <w:r>
        <w:rPr>
          <w:rFonts w:eastAsia="Times New Roman" w:cs="Times New Roman"/>
        </w:rPr>
        <w:tab/>
      </w:r>
      <w:r>
        <w:t>系统采用模块化设备，增换简易，立即召集供货商就地提供货源。</w:t>
      </w:r>
    </w:p>
    <w:p w14:paraId="0B7EB38B">
      <w:pPr>
        <w:pStyle w:val="4"/>
        <w:ind w:firstLine="480"/>
      </w:pPr>
      <w:r>
        <w:rPr>
          <w:rFonts w:eastAsia="Times New Roman" w:cs="Times New Roman"/>
        </w:rPr>
        <w:t>3</w:t>
      </w:r>
      <w:r>
        <w:t>）其它突发事件</w:t>
      </w:r>
    </w:p>
    <w:p w14:paraId="03C71C7A">
      <w:pPr>
        <w:pStyle w:val="4"/>
        <w:ind w:firstLine="480"/>
      </w:pPr>
      <w:r>
        <w:rPr>
          <w:rFonts w:ascii="Wingdings" w:hAnsi="Wingdings" w:eastAsia="Wingdings" w:cs="Wingdings"/>
        </w:rPr>
        <w:t></w:t>
      </w:r>
      <w:r>
        <w:rPr>
          <w:rFonts w:eastAsia="Times New Roman" w:cs="Times New Roman"/>
        </w:rPr>
        <w:tab/>
      </w:r>
      <w:r>
        <w:t>突发暴雨</w:t>
      </w:r>
    </w:p>
    <w:p w14:paraId="3AE5E3D2">
      <w:pPr>
        <w:pStyle w:val="4"/>
        <w:ind w:firstLine="480"/>
      </w:pPr>
      <w:r>
        <w:rPr>
          <w:rFonts w:ascii="Cambria Math" w:hAnsi="Cambria Math" w:cs="Cambria Math"/>
        </w:rPr>
        <w:t>①</w:t>
      </w:r>
      <w:r>
        <w:t>根据天气预报</w:t>
      </w:r>
      <w:r>
        <w:rPr>
          <w:spacing w:val="-32"/>
        </w:rPr>
        <w:t>，</w:t>
      </w:r>
      <w:r>
        <w:t>预先对各设备进行检查</w:t>
      </w:r>
      <w:r>
        <w:rPr>
          <w:spacing w:val="-32"/>
        </w:rPr>
        <w:t>，</w:t>
      </w:r>
      <w:r>
        <w:t>确保完好</w:t>
      </w:r>
      <w:r>
        <w:rPr>
          <w:spacing w:val="-34"/>
        </w:rPr>
        <w:t>，</w:t>
      </w:r>
      <w:r>
        <w:t>组织力量对厂区雨水管线进行疏通，确保畅通；</w:t>
      </w:r>
    </w:p>
    <w:p w14:paraId="10FBA374">
      <w:pPr>
        <w:pStyle w:val="4"/>
        <w:ind w:firstLine="480"/>
      </w:pPr>
      <w:r>
        <w:rPr>
          <w:rFonts w:ascii="Cambria Math" w:hAnsi="Cambria Math" w:cs="Cambria Math"/>
        </w:rPr>
        <w:t>②</w:t>
      </w:r>
      <w:r>
        <w:t>各岗位将门窗关紧，防止雨水流入，影响设备运行；</w:t>
      </w:r>
    </w:p>
    <w:p w14:paraId="6BA0A487">
      <w:pPr>
        <w:pStyle w:val="4"/>
        <w:ind w:firstLine="480"/>
      </w:pPr>
      <w:r>
        <w:rPr>
          <w:rFonts w:ascii="Cambria Math" w:hAnsi="Cambria Math" w:cs="Cambria Math"/>
        </w:rPr>
        <w:t>③</w:t>
      </w:r>
      <w:r>
        <w:t>随时观察调节池的水位并向领导汇报；</w:t>
      </w:r>
    </w:p>
    <w:p w14:paraId="65C320DA">
      <w:pPr>
        <w:pStyle w:val="4"/>
        <w:ind w:firstLine="480"/>
      </w:pPr>
      <w:r>
        <w:rPr>
          <w:rFonts w:ascii="Cambria Math" w:hAnsi="Cambria Math" w:cs="Cambria Math"/>
        </w:rPr>
        <w:t>④</w:t>
      </w:r>
      <w:r>
        <w:t>外出巡视，必须两人一组，注意防滑。</w:t>
      </w:r>
    </w:p>
    <w:p w14:paraId="6FE8C98F">
      <w:pPr>
        <w:pStyle w:val="4"/>
        <w:ind w:firstLine="480"/>
      </w:pPr>
      <w:r>
        <w:rPr>
          <w:rFonts w:ascii="Wingdings" w:hAnsi="Wingdings" w:eastAsia="Wingdings" w:cs="Wingdings"/>
        </w:rPr>
        <w:t></w:t>
      </w:r>
      <w:r>
        <w:rPr>
          <w:rFonts w:eastAsia="Times New Roman" w:cs="Times New Roman"/>
        </w:rPr>
        <w:tab/>
      </w:r>
      <w:r>
        <w:t>突然停电</w:t>
      </w:r>
    </w:p>
    <w:p w14:paraId="2D910396">
      <w:pPr>
        <w:pStyle w:val="4"/>
        <w:ind w:firstLine="480"/>
      </w:pPr>
      <w:r>
        <w:rPr>
          <w:rFonts w:ascii="Cambria Math" w:hAnsi="Cambria Math" w:cs="Cambria Math"/>
        </w:rPr>
        <w:t>①</w:t>
      </w:r>
      <w:r>
        <w:t>将现场设备退出运行状态；</w:t>
      </w:r>
    </w:p>
    <w:p w14:paraId="744D9059">
      <w:pPr>
        <w:pStyle w:val="4"/>
        <w:ind w:firstLine="480"/>
      </w:pPr>
      <w:r>
        <w:rPr>
          <w:rFonts w:ascii="Cambria Math" w:hAnsi="Cambria Math" w:cs="Cambria Math"/>
        </w:rPr>
        <w:t>②</w:t>
      </w:r>
      <w:r>
        <w:t>如果长时间停电超过</w:t>
      </w:r>
      <w:r>
        <w:rPr>
          <w:rFonts w:eastAsia="Times New Roman" w:cs="Times New Roman"/>
        </w:rPr>
        <w:t>6</w:t>
      </w:r>
      <w:r>
        <w:t>小时，则通知上级主管部门及时送电；</w:t>
      </w:r>
    </w:p>
    <w:p w14:paraId="5DEA5A5C">
      <w:pPr>
        <w:pStyle w:val="4"/>
        <w:ind w:firstLine="480"/>
      </w:pPr>
      <w:r>
        <w:rPr>
          <w:rFonts w:ascii="Cambria Math" w:hAnsi="Cambria Math" w:cs="Cambria Math"/>
        </w:rPr>
        <w:t>③</w:t>
      </w:r>
      <w:r>
        <w:t>来电后，按操作规程及时开启设备，恢复运行。</w:t>
      </w:r>
    </w:p>
    <w:p w14:paraId="314DD06B">
      <w:pPr>
        <w:pStyle w:val="4"/>
        <w:ind w:firstLine="480"/>
        <w:rPr>
          <w:b/>
          <w:bCs/>
        </w:rPr>
      </w:pPr>
      <w:r>
        <w:t>（</w:t>
      </w:r>
      <w:r>
        <w:rPr>
          <w:rFonts w:eastAsia="Times New Roman" w:cs="Times New Roman"/>
        </w:rPr>
        <w:t>2</w:t>
      </w:r>
      <w:r>
        <w:t>）渗滤液事故应急预防措施</w:t>
      </w:r>
    </w:p>
    <w:p w14:paraId="5F260E38">
      <w:pPr>
        <w:pStyle w:val="4"/>
        <w:ind w:firstLine="480"/>
        <w:rPr>
          <w:rFonts w:hint="eastAsia" w:ascii="宋体" w:hAnsi="宋体" w:cs="宋体"/>
          <w:sz w:val="25"/>
          <w:szCs w:val="25"/>
        </w:rPr>
      </w:pPr>
      <w:r>
        <w:rPr>
          <w:rFonts w:eastAsia="Times New Roman" w:cs="Times New Roman"/>
        </w:rPr>
        <w:t>1</w:t>
      </w:r>
      <w:r>
        <w:t>）在运行期间加强对渗滤液调节池水质的监测，并建立渗滤液监测报警系统，一旦发生事故，立即启动预案。</w:t>
      </w:r>
    </w:p>
    <w:p w14:paraId="6A5CC26E">
      <w:pPr>
        <w:pStyle w:val="4"/>
        <w:ind w:firstLine="480"/>
      </w:pPr>
      <w:r>
        <w:rPr>
          <w:rFonts w:eastAsia="Times New Roman" w:cs="Times New Roman"/>
        </w:rPr>
        <w:t>2</w:t>
      </w:r>
      <w:r>
        <w:t>）事故预防措施</w:t>
      </w:r>
    </w:p>
    <w:p w14:paraId="2152F140">
      <w:pPr>
        <w:pStyle w:val="4"/>
        <w:ind w:firstLine="480"/>
      </w:pPr>
      <w:r>
        <w:rPr>
          <w:rFonts w:ascii="Cambria Math" w:hAnsi="Cambria Math" w:cs="Cambria Math"/>
        </w:rPr>
        <w:t>①</w:t>
      </w:r>
      <w:r>
        <w:t>操作人员应严格按照操作规程进行操作</w:t>
      </w:r>
      <w:r>
        <w:rPr>
          <w:spacing w:val="-94"/>
        </w:rPr>
        <w:t>，</w:t>
      </w:r>
      <w:r>
        <w:t>防止因检查不周或失误造成事故；</w:t>
      </w:r>
    </w:p>
    <w:p w14:paraId="236BB159">
      <w:pPr>
        <w:pStyle w:val="4"/>
        <w:ind w:firstLine="480"/>
      </w:pPr>
      <w:r>
        <w:rPr>
          <w:rFonts w:ascii="Cambria Math" w:hAnsi="Cambria Math" w:cs="Cambria Math"/>
        </w:rPr>
        <w:t>②</w:t>
      </w:r>
      <w:r>
        <w:t>及时合理的调节运行工况，严禁超负荷运行；</w:t>
      </w:r>
    </w:p>
    <w:p w14:paraId="7A856BA7">
      <w:pPr>
        <w:pStyle w:val="4"/>
        <w:ind w:firstLine="480"/>
      </w:pPr>
      <w:r>
        <w:rPr>
          <w:rFonts w:ascii="Cambria Math" w:hAnsi="Cambria Math" w:cs="Cambria Math"/>
        </w:rPr>
        <w:t>③</w:t>
      </w:r>
      <w:r>
        <w:t>加强设备管理</w:t>
      </w:r>
      <w:r>
        <w:rPr>
          <w:spacing w:val="-24"/>
        </w:rPr>
        <w:t>，</w:t>
      </w:r>
      <w:r>
        <w:t>认真做好设备</w:t>
      </w:r>
      <w:r>
        <w:rPr>
          <w:spacing w:val="-24"/>
        </w:rPr>
        <w:t>、</w:t>
      </w:r>
      <w:r>
        <w:t>管道</w:t>
      </w:r>
      <w:r>
        <w:rPr>
          <w:spacing w:val="-24"/>
        </w:rPr>
        <w:t>、</w:t>
      </w:r>
      <w:r>
        <w:t>阀门的检查工作</w:t>
      </w:r>
      <w:r>
        <w:rPr>
          <w:spacing w:val="-22"/>
        </w:rPr>
        <w:t>，</w:t>
      </w:r>
      <w:r>
        <w:t>对存在安全隐患的设备、管道、阀门及时进行修理或更换。</w:t>
      </w:r>
    </w:p>
    <w:p w14:paraId="19EC7A2D">
      <w:pPr>
        <w:pStyle w:val="4"/>
        <w:ind w:firstLine="480"/>
      </w:pPr>
      <w:r>
        <w:rPr>
          <w:rFonts w:eastAsia="Times New Roman" w:cs="Times New Roman"/>
        </w:rPr>
        <w:t>3</w:t>
      </w:r>
      <w:r>
        <w:t>）事故应急措施及注意事项</w:t>
      </w:r>
    </w:p>
    <w:p w14:paraId="0E6F094B">
      <w:pPr>
        <w:pStyle w:val="4"/>
        <w:ind w:firstLine="480"/>
      </w:pPr>
      <w:r>
        <w:rPr>
          <w:rFonts w:ascii="Cambria Math" w:hAnsi="Cambria Math" w:cs="Cambria Math"/>
        </w:rPr>
        <w:t>①</w:t>
      </w:r>
      <w:r>
        <w:t>发现后当班人员立即向领导小组组长汇报</w:t>
      </w:r>
      <w:r>
        <w:rPr>
          <w:spacing w:val="-94"/>
        </w:rPr>
        <w:t>，</w:t>
      </w:r>
      <w:r>
        <w:t>并在事故处理过程中随时保持与领导小组的联系；</w:t>
      </w:r>
    </w:p>
    <w:p w14:paraId="7571F83B">
      <w:pPr>
        <w:pStyle w:val="4"/>
        <w:ind w:firstLine="480"/>
      </w:pPr>
      <w:r>
        <w:rPr>
          <w:rFonts w:ascii="Cambria Math" w:hAnsi="Cambria Math" w:cs="Cambria Math"/>
        </w:rPr>
        <w:t>②</w:t>
      </w:r>
      <w:r>
        <w:t>领导小组接到报告后</w:t>
      </w:r>
      <w:r>
        <w:rPr>
          <w:spacing w:val="-48"/>
        </w:rPr>
        <w:t>，</w:t>
      </w:r>
      <w:r>
        <w:t>应及时向业主和相关管理部门汇报</w:t>
      </w:r>
      <w:r>
        <w:rPr>
          <w:spacing w:val="-46"/>
        </w:rPr>
        <w:t>，</w:t>
      </w:r>
      <w:r>
        <w:t>并在事故处理过程中随时保持与业主和当地环保部门的联系；</w:t>
      </w:r>
    </w:p>
    <w:p w14:paraId="4CF1FE55">
      <w:pPr>
        <w:pStyle w:val="4"/>
        <w:ind w:firstLine="480"/>
      </w:pPr>
      <w:r>
        <w:rPr>
          <w:rFonts w:ascii="Cambria Math" w:hAnsi="Cambria Math" w:cs="Cambria Math"/>
        </w:rPr>
        <w:t>③</w:t>
      </w:r>
      <w:r>
        <w:t>当班人员排查造成事故的原因。</w:t>
      </w:r>
    </w:p>
    <w:p w14:paraId="39DB7C12">
      <w:pPr>
        <w:pStyle w:val="4"/>
        <w:ind w:firstLine="480"/>
        <w:rPr>
          <w:b/>
          <w:bCs/>
        </w:rPr>
      </w:pPr>
      <w:r>
        <w:t>（</w:t>
      </w:r>
      <w:r>
        <w:rPr>
          <w:rFonts w:eastAsia="Times New Roman" w:cs="Times New Roman"/>
        </w:rPr>
        <w:t>3</w:t>
      </w:r>
      <w:r>
        <w:t>）雨季水量增大应急处理方案</w:t>
      </w:r>
    </w:p>
    <w:p w14:paraId="1CCE66C0">
      <w:pPr>
        <w:pStyle w:val="4"/>
        <w:ind w:firstLine="480"/>
      </w:pPr>
      <w:r>
        <w:rPr>
          <w:rFonts w:hint="eastAsia"/>
        </w:rPr>
        <w:t>1</w:t>
      </w:r>
      <w:r>
        <w:t>）</w:t>
      </w:r>
      <w:r>
        <w:rPr>
          <w:spacing w:val="-1"/>
        </w:rPr>
        <w:t>加强初雨水收集系统的检查和维护，确保雨水与渗滤液分流，防止暴雨期</w:t>
      </w:r>
      <w:r>
        <w:t>间渗滤液污水产生量过大且污染周边环境</w:t>
      </w:r>
      <w:r>
        <w:rPr>
          <w:spacing w:val="-48"/>
        </w:rPr>
        <w:t>。</w:t>
      </w:r>
      <w:r>
        <w:t>若出现渗滤液流入雨水管网</w:t>
      </w:r>
      <w:r>
        <w:rPr>
          <w:spacing w:val="-46"/>
        </w:rPr>
        <w:t>，</w:t>
      </w:r>
      <w:r>
        <w:t>现场人员应及时上报，确认渗滤液疏堵方案，并进行施工作业。</w:t>
      </w:r>
    </w:p>
    <w:p w14:paraId="0709578F">
      <w:pPr>
        <w:pStyle w:val="4"/>
        <w:ind w:firstLine="480"/>
      </w:pPr>
      <w:r>
        <w:rPr>
          <w:rFonts w:hint="eastAsia"/>
        </w:rPr>
        <w:t>2</w:t>
      </w:r>
      <w:r>
        <w:t>）加强污水收集</w:t>
      </w:r>
      <w:r>
        <w:rPr>
          <w:spacing w:val="-60"/>
        </w:rPr>
        <w:t>、</w:t>
      </w:r>
      <w:r>
        <w:t>处理系统的检修和维护</w:t>
      </w:r>
      <w:r>
        <w:rPr>
          <w:spacing w:val="-58"/>
        </w:rPr>
        <w:t>，</w:t>
      </w:r>
      <w:r>
        <w:t>确保渗滤液收集系统的正常工</w:t>
      </w:r>
      <w:r>
        <w:rPr>
          <w:spacing w:val="-1"/>
        </w:rPr>
        <w:t>作</w:t>
      </w:r>
      <w:r>
        <w:t>，尽最大程度降低污水处理系统的事故发生概率。</w:t>
      </w:r>
    </w:p>
    <w:p w14:paraId="5B00B8A1">
      <w:pPr>
        <w:pStyle w:val="4"/>
        <w:ind w:firstLine="480"/>
      </w:pPr>
      <w:r>
        <w:rPr>
          <w:rFonts w:hint="eastAsia"/>
        </w:rPr>
        <w:t>3）</w:t>
      </w:r>
      <w:r>
        <w:rPr>
          <w:spacing w:val="-1"/>
        </w:rPr>
        <w:t>渗滤液调节池平时应处于较低水位状态，留出足够库容，保证其在超负荷</w:t>
      </w:r>
      <w:r>
        <w:t>时期发挥应有的作用</w:t>
      </w:r>
      <w:r>
        <w:rPr>
          <w:spacing w:val="-48"/>
        </w:rPr>
        <w:t>，</w:t>
      </w:r>
      <w:r>
        <w:t>防止渗滤液激增超过调节池库容</w:t>
      </w:r>
      <w:r>
        <w:rPr>
          <w:spacing w:val="-46"/>
        </w:rPr>
        <w:t>。</w:t>
      </w:r>
      <w:r>
        <w:t>在暴雨期间极易导致渗滤液污水产生量过大且污染周边环境</w:t>
      </w:r>
      <w:r>
        <w:rPr>
          <w:spacing w:val="-48"/>
        </w:rPr>
        <w:t>。</w:t>
      </w:r>
      <w:r>
        <w:t>若暴雨等原因导致渗滤液产生量激增</w:t>
      </w:r>
      <w:r>
        <w:rPr>
          <w:spacing w:val="-46"/>
        </w:rPr>
        <w:t>，</w:t>
      </w:r>
      <w:r>
        <w:t>调节池容量不足</w:t>
      </w:r>
      <w:r>
        <w:rPr>
          <w:spacing w:val="-48"/>
        </w:rPr>
        <w:t>，</w:t>
      </w:r>
      <w:r>
        <w:t>应及时增加渗滤液暂存能力</w:t>
      </w:r>
      <w:r>
        <w:rPr>
          <w:spacing w:val="-46"/>
        </w:rPr>
        <w:t>，</w:t>
      </w:r>
      <w:r>
        <w:t>必要时修建事故应急池或临时应急储罐</w:t>
      </w:r>
      <w:r>
        <w:rPr>
          <w:spacing w:val="-48"/>
        </w:rPr>
        <w:t>、</w:t>
      </w:r>
      <w:r>
        <w:t>储池并加强维护管理</w:t>
      </w:r>
      <w:r>
        <w:rPr>
          <w:spacing w:val="-46"/>
        </w:rPr>
        <w:t>，</w:t>
      </w:r>
      <w:r>
        <w:t>确保出现突发事故时事故应急池或临时应急储罐可有力保障渗滤液等废污水的暂存。</w:t>
      </w:r>
    </w:p>
    <w:p w14:paraId="795DF046">
      <w:pPr>
        <w:pStyle w:val="4"/>
        <w:ind w:firstLine="480"/>
      </w:pPr>
      <w:r>
        <w:rPr>
          <w:rFonts w:hint="eastAsia"/>
        </w:rPr>
        <w:t>4</w:t>
      </w:r>
      <w:r>
        <w:t>）考虑到开挖过程遇到暴雨等天气会导致渗滤液激增，为避免渗滤液外溢造成环境污染事故，可在填埋场周边空地上设置若干个支架式帆布塑料应急蓄水池，池容不小于1000m</w:t>
      </w:r>
      <w:r>
        <w:rPr>
          <w:vertAlign w:val="superscript"/>
        </w:rPr>
        <w:t>3</w:t>
      </w:r>
      <w:r>
        <w:t>，具体规格尺寸根据蓄水需求、安放场地条件等因素确定，池顶设置有膜盖，防止异味扩散蚊虫滋生。应急蓄水池安装前应对地面进行平整压实，满足布设要求。该应急蓄水池为可拆卸式，根据开挖等施工需要，该应急水池可转移布置，便于现场施工。</w:t>
      </w:r>
    </w:p>
    <w:p w14:paraId="76C67B69">
      <w:pPr>
        <w:pStyle w:val="4"/>
        <w:ind w:firstLine="480"/>
      </w:pPr>
      <w:r>
        <w:rPr>
          <w:rFonts w:hint="eastAsia"/>
        </w:rPr>
        <w:t>5）</w:t>
      </w:r>
      <w:r>
        <w:t>安装管道压力监测、流量测量和报警连锁装置，如管道发生破裂就能及时发现，立即停运渗滤液泵，减少泄漏。</w:t>
      </w:r>
    </w:p>
    <w:p w14:paraId="35ED96F0">
      <w:pPr>
        <w:pStyle w:val="3"/>
        <w:rPr>
          <w:bCs/>
        </w:rPr>
      </w:pPr>
      <w:bookmarkStart w:id="140" w:name="_TOC_250010"/>
      <w:bookmarkStart w:id="141" w:name="_Toc174443657"/>
      <w:r>
        <w:rPr>
          <w:rFonts w:eastAsia="Times New Roman" w:cs="Times New Roman"/>
        </w:rPr>
        <w:t>12.7</w:t>
      </w:r>
      <w:r>
        <w:t>安全风险应急预案</w:t>
      </w:r>
      <w:bookmarkEnd w:id="140"/>
      <w:bookmarkEnd w:id="141"/>
    </w:p>
    <w:p w14:paraId="73016A0D">
      <w:pPr>
        <w:pStyle w:val="4"/>
        <w:ind w:firstLine="480"/>
      </w:pPr>
      <w:r>
        <w:rPr>
          <w:rFonts w:hint="eastAsia"/>
        </w:rPr>
        <w:t>乌牛山填埋场开完外运处置</w:t>
      </w:r>
      <w:r>
        <w:t>工作涉及施工内容包括施工降水</w:t>
      </w:r>
      <w:r>
        <w:rPr>
          <w:spacing w:val="-48"/>
        </w:rPr>
        <w:t>、</w:t>
      </w:r>
      <w:r>
        <w:t>通风除臭预处理</w:t>
      </w:r>
      <w:r>
        <w:rPr>
          <w:spacing w:val="-46"/>
        </w:rPr>
        <w:t>、</w:t>
      </w:r>
      <w:r>
        <w:t>垃圾开挖、渗滤液收集处理、垃圾运输等工作。</w:t>
      </w:r>
    </w:p>
    <w:p w14:paraId="752B74EE">
      <w:pPr>
        <w:pStyle w:val="4"/>
        <w:ind w:firstLine="480"/>
      </w:pPr>
      <w:r>
        <w:t>项目的危险性分析</w:t>
      </w:r>
      <w:r>
        <w:rPr>
          <w:spacing w:val="-56"/>
        </w:rPr>
        <w:t>，</w:t>
      </w:r>
      <w:r>
        <w:t>主要包括项目地址</w:t>
      </w:r>
      <w:r>
        <w:rPr>
          <w:spacing w:val="-53"/>
        </w:rPr>
        <w:t>、</w:t>
      </w:r>
      <w:r>
        <w:t>施工人数</w:t>
      </w:r>
      <w:r>
        <w:rPr>
          <w:spacing w:val="-53"/>
        </w:rPr>
        <w:t>、</w:t>
      </w:r>
      <w:r>
        <w:t>隶属关系</w:t>
      </w:r>
      <w:r>
        <w:rPr>
          <w:spacing w:val="-53"/>
        </w:rPr>
        <w:t>、</w:t>
      </w:r>
      <w:r>
        <w:t>主要原材</w:t>
      </w:r>
      <w:r>
        <w:rPr>
          <w:spacing w:val="-1"/>
        </w:rPr>
        <w:t>料</w:t>
      </w:r>
      <w:r>
        <w:t>、项目工作内容等方面</w:t>
      </w:r>
      <w:r>
        <w:rPr>
          <w:spacing w:val="-24"/>
        </w:rPr>
        <w:t>，</w:t>
      </w:r>
      <w:r>
        <w:t>以及周边重大危险源</w:t>
      </w:r>
      <w:r>
        <w:rPr>
          <w:spacing w:val="-24"/>
        </w:rPr>
        <w:t>、</w:t>
      </w:r>
      <w:r>
        <w:t>重要设施</w:t>
      </w:r>
      <w:r>
        <w:rPr>
          <w:spacing w:val="-24"/>
        </w:rPr>
        <w:t>、</w:t>
      </w:r>
      <w:r>
        <w:t>目标</w:t>
      </w:r>
      <w:r>
        <w:rPr>
          <w:spacing w:val="-22"/>
        </w:rPr>
        <w:t>、</w:t>
      </w:r>
      <w:r>
        <w:t>场所和周边布局</w:t>
      </w:r>
      <w:r>
        <w:rPr>
          <w:spacing w:val="-3"/>
        </w:rPr>
        <w:t>情况。针对本项目，所在位置临近村镇；施工现场人员、车辆、设备；填埋场治</w:t>
      </w:r>
      <w:r>
        <w:t>理施工及管理</w:t>
      </w:r>
      <w:r>
        <w:rPr>
          <w:spacing w:val="-48"/>
        </w:rPr>
        <w:t>。</w:t>
      </w:r>
      <w:r>
        <w:t>项目实施过程中存在诸多可能引起事故的风险源</w:t>
      </w:r>
      <w:r>
        <w:rPr>
          <w:spacing w:val="-46"/>
        </w:rPr>
        <w:t>，</w:t>
      </w:r>
      <w:r>
        <w:t>主要包括以下</w:t>
      </w:r>
      <w:r>
        <w:rPr>
          <w:spacing w:val="-3"/>
        </w:rPr>
        <w:t>几个方面：垃圾堆体坍塌风险、触电风险、机械伤害风险、火灾与爆炸风险、人</w:t>
      </w:r>
      <w:r>
        <w:t>员中毒风险。应建立安全风险应急专项预案及组织机构，进行填埋场安全管理，消除安全隐患，应对可能的安全事故。</w:t>
      </w:r>
    </w:p>
    <w:p w14:paraId="2277359F">
      <w:pPr>
        <w:pStyle w:val="4"/>
        <w:ind w:firstLine="480"/>
      </w:pPr>
      <w:r>
        <w:t>为了更好地适应法律和经济活动的要求</w:t>
      </w:r>
      <w:r>
        <w:rPr>
          <w:spacing w:val="-94"/>
        </w:rPr>
        <w:t>，</w:t>
      </w:r>
      <w:r>
        <w:t>给施工人员和施工场区周围居民提供更安全的环境</w:t>
      </w:r>
      <w:r>
        <w:rPr>
          <w:spacing w:val="-48"/>
        </w:rPr>
        <w:t>；</w:t>
      </w:r>
      <w:r>
        <w:t>保证各种应急资源处于良好的备战状态</w:t>
      </w:r>
      <w:r>
        <w:rPr>
          <w:spacing w:val="-46"/>
        </w:rPr>
        <w:t>；</w:t>
      </w:r>
      <w:r>
        <w:t>指导施工应急行动按计划有序地进行</w:t>
      </w:r>
      <w:r>
        <w:rPr>
          <w:spacing w:val="-94"/>
        </w:rPr>
        <w:t>；</w:t>
      </w:r>
      <w:r>
        <w:t>防止因应急行动组织不力或现场救援工作的无序和混乱而延误事故的应急救援</w:t>
      </w:r>
      <w:r>
        <w:rPr>
          <w:spacing w:val="-48"/>
        </w:rPr>
        <w:t>；</w:t>
      </w:r>
      <w:r>
        <w:t>有效地避免或降低人员伤亡和财产损失</w:t>
      </w:r>
      <w:r>
        <w:rPr>
          <w:spacing w:val="-46"/>
        </w:rPr>
        <w:t>；</w:t>
      </w:r>
      <w:r>
        <w:t>帮助实现应急行动的</w:t>
      </w:r>
      <w:r>
        <w:rPr>
          <w:spacing w:val="1"/>
        </w:rPr>
        <w:t>快速、有序、高效；充分体现应急救援的</w:t>
      </w:r>
      <w:r>
        <w:rPr>
          <w:rFonts w:eastAsia="Times New Roman" w:cs="Times New Roman"/>
          <w:spacing w:val="1"/>
        </w:rPr>
        <w:t>“</w:t>
      </w:r>
      <w:r>
        <w:rPr>
          <w:spacing w:val="1"/>
        </w:rPr>
        <w:t>应急精神</w:t>
      </w:r>
      <w:r>
        <w:rPr>
          <w:rFonts w:eastAsia="Times New Roman" w:cs="Times New Roman"/>
          <w:spacing w:val="1"/>
        </w:rPr>
        <w:t>”</w:t>
      </w:r>
      <w:r>
        <w:rPr>
          <w:spacing w:val="1"/>
        </w:rPr>
        <w:t>。坚持</w:t>
      </w:r>
      <w:r>
        <w:rPr>
          <w:rFonts w:eastAsia="Times New Roman" w:cs="Times New Roman"/>
          <w:spacing w:val="1"/>
        </w:rPr>
        <w:t>“</w:t>
      </w:r>
      <w:r>
        <w:rPr>
          <w:spacing w:val="1"/>
        </w:rPr>
        <w:t>安全第一、预防为</w:t>
      </w:r>
      <w:r>
        <w:rPr>
          <w:spacing w:val="-1"/>
        </w:rPr>
        <w:t>主</w:t>
      </w:r>
      <w:r>
        <w:rPr>
          <w:rFonts w:eastAsia="Times New Roman" w:cs="Times New Roman"/>
          <w:spacing w:val="-1"/>
        </w:rPr>
        <w:t>”</w:t>
      </w:r>
      <w:r>
        <w:rPr>
          <w:spacing w:val="-1"/>
        </w:rPr>
        <w:t>、</w:t>
      </w:r>
      <w:r>
        <w:rPr>
          <w:rFonts w:eastAsia="Times New Roman" w:cs="Times New Roman"/>
          <w:spacing w:val="-1"/>
        </w:rPr>
        <w:t>“</w:t>
      </w:r>
      <w:r>
        <w:rPr>
          <w:spacing w:val="-1"/>
        </w:rPr>
        <w:t>保护人员安全优先、保护环境优先</w:t>
      </w:r>
      <w:r>
        <w:rPr>
          <w:rFonts w:eastAsia="Times New Roman" w:cs="Times New Roman"/>
          <w:spacing w:val="-1"/>
        </w:rPr>
        <w:t>”</w:t>
      </w:r>
      <w:r>
        <w:rPr>
          <w:spacing w:val="-1"/>
        </w:rPr>
        <w:t>的方针，贯彻</w:t>
      </w:r>
      <w:r>
        <w:rPr>
          <w:rFonts w:eastAsia="Times New Roman" w:cs="Times New Roman"/>
          <w:spacing w:val="-1"/>
        </w:rPr>
        <w:t>“</w:t>
      </w:r>
      <w:r>
        <w:rPr>
          <w:spacing w:val="-1"/>
        </w:rPr>
        <w:t>常备不懈、统一指挥、高效协调、持续改进</w:t>
      </w:r>
      <w:r>
        <w:rPr>
          <w:rFonts w:eastAsia="Times New Roman" w:cs="Times New Roman"/>
          <w:spacing w:val="-1"/>
        </w:rPr>
        <w:t>”</w:t>
      </w:r>
      <w:r>
        <w:rPr>
          <w:spacing w:val="-1"/>
        </w:rPr>
        <w:t>的原则。</w:t>
      </w:r>
    </w:p>
    <w:p w14:paraId="72812FE6">
      <w:pPr>
        <w:pStyle w:val="4"/>
        <w:ind w:firstLine="480"/>
      </w:pPr>
      <w:r>
        <w:t>施工事故发生后</w:t>
      </w:r>
      <w:r>
        <w:rPr>
          <w:spacing w:val="-108"/>
        </w:rPr>
        <w:t>，</w:t>
      </w:r>
      <w:r>
        <w:t>最早发现者应立即通知附近同事</w:t>
      </w:r>
      <w:r>
        <w:rPr>
          <w:spacing w:val="-106"/>
        </w:rPr>
        <w:t>，</w:t>
      </w:r>
      <w:r>
        <w:t>并立即向上级领导报</w:t>
      </w:r>
      <w:r>
        <w:rPr>
          <w:spacing w:val="-1"/>
        </w:rPr>
        <w:t>警</w:t>
      </w:r>
      <w:r>
        <w:t>，同时采取一切办法切断事故源</w:t>
      </w:r>
      <w:r>
        <w:rPr>
          <w:spacing w:val="-48"/>
        </w:rPr>
        <w:t>。</w:t>
      </w:r>
      <w:r>
        <w:t>如果是火灾事故</w:t>
      </w:r>
      <w:r>
        <w:rPr>
          <w:spacing w:val="-46"/>
        </w:rPr>
        <w:t>，</w:t>
      </w:r>
      <w:r>
        <w:t>必须同时打</w:t>
      </w:r>
      <w:r>
        <w:rPr>
          <w:rFonts w:eastAsia="Times New Roman" w:cs="Times New Roman"/>
        </w:rPr>
        <w:t>119</w:t>
      </w:r>
      <w:r>
        <w:t>向公安消防部门报警，急救拨打</w:t>
      </w:r>
      <w:r>
        <w:rPr>
          <w:rFonts w:eastAsia="Times New Roman" w:cs="Times New Roman"/>
        </w:rPr>
        <w:t>120</w:t>
      </w:r>
      <w:r>
        <w:t>。</w:t>
      </w:r>
    </w:p>
    <w:p w14:paraId="6F247B4A">
      <w:pPr>
        <w:pStyle w:val="4"/>
        <w:ind w:firstLine="480"/>
      </w:pPr>
      <w:r>
        <w:t>组长接到报警后</w:t>
      </w:r>
      <w:r>
        <w:rPr>
          <w:spacing w:val="-27"/>
        </w:rPr>
        <w:t>，</w:t>
      </w:r>
      <w:r>
        <w:t>通知组员</w:t>
      </w:r>
      <w:r>
        <w:rPr>
          <w:spacing w:val="-29"/>
        </w:rPr>
        <w:t>，</w:t>
      </w:r>
      <w:r>
        <w:t>立即启动应急救援系统</w:t>
      </w:r>
      <w:r>
        <w:rPr>
          <w:spacing w:val="-27"/>
        </w:rPr>
        <w:t>，</w:t>
      </w:r>
      <w:r>
        <w:t>根据事故类别保证</w:t>
      </w:r>
      <w:r>
        <w:rPr>
          <w:rFonts w:eastAsia="Times New Roman" w:cs="Times New Roman"/>
          <w:spacing w:val="1"/>
        </w:rPr>
        <w:t>“</w:t>
      </w:r>
      <w:r>
        <w:rPr>
          <w:rFonts w:eastAsia="Times New Roman" w:cs="Times New Roman"/>
        </w:rPr>
        <w:t>1</w:t>
      </w:r>
      <w:r>
        <w:t>小时内</w:t>
      </w:r>
      <w:r>
        <w:rPr>
          <w:rFonts w:eastAsia="Times New Roman" w:cs="Times New Roman"/>
        </w:rPr>
        <w:t>”</w:t>
      </w:r>
      <w:r>
        <w:t>向事故发生地政府主管部门报告。报告内容应包括：事故发生时间、类别、地点和相关设施；联系人姓名和电话等。</w:t>
      </w:r>
    </w:p>
    <w:p w14:paraId="1D66E99B">
      <w:pPr>
        <w:pStyle w:val="4"/>
        <w:ind w:firstLine="480"/>
      </w:pPr>
      <w:r>
        <w:t>救援领导小组成员赶到事故现场后</w:t>
      </w:r>
      <w:r>
        <w:rPr>
          <w:spacing w:val="-48"/>
        </w:rPr>
        <w:t>，</w:t>
      </w:r>
      <w:r>
        <w:t>根据事故状态及危害程度</w:t>
      </w:r>
      <w:r>
        <w:rPr>
          <w:spacing w:val="-46"/>
        </w:rPr>
        <w:t>，</w:t>
      </w:r>
      <w:r>
        <w:t>作出相应的应急决定</w:t>
      </w:r>
      <w:r>
        <w:rPr>
          <w:spacing w:val="-32"/>
        </w:rPr>
        <w:t>，</w:t>
      </w:r>
      <w:r>
        <w:t>并立即指挥救援人员开展救援</w:t>
      </w:r>
      <w:r>
        <w:rPr>
          <w:spacing w:val="-32"/>
        </w:rPr>
        <w:t>，</w:t>
      </w:r>
      <w:r>
        <w:t>如事故扩大时</w:t>
      </w:r>
      <w:r>
        <w:rPr>
          <w:spacing w:val="-32"/>
        </w:rPr>
        <w:t>，</w:t>
      </w:r>
      <w:r>
        <w:t>应及时向上级部门请</w:t>
      </w:r>
      <w:r>
        <w:rPr>
          <w:rFonts w:hint="eastAsia"/>
        </w:rPr>
        <w:t>求救援。</w:t>
      </w:r>
    </w:p>
    <w:p w14:paraId="3D755CC3">
      <w:pPr>
        <w:spacing w:before="10"/>
        <w:rPr>
          <w:rFonts w:hint="eastAsia" w:ascii="宋体" w:hAnsi="宋体" w:eastAsia="宋体" w:cs="宋体"/>
          <w:sz w:val="8"/>
          <w:szCs w:val="8"/>
        </w:rPr>
      </w:pPr>
    </w:p>
    <w:p w14:paraId="0610C66A">
      <w:pPr>
        <w:pStyle w:val="4"/>
        <w:ind w:firstLine="480"/>
      </w:pPr>
      <w:r>
        <w:t>应急救援抢险队到达事故现场时</w:t>
      </w:r>
      <w:r>
        <w:rPr>
          <w:spacing w:val="-48"/>
        </w:rPr>
        <w:t>，</w:t>
      </w:r>
      <w:r>
        <w:t>首先查明有无人员伤亡</w:t>
      </w:r>
      <w:r>
        <w:rPr>
          <w:spacing w:val="-46"/>
        </w:rPr>
        <w:t>，</w:t>
      </w:r>
      <w:r>
        <w:t>以最快速度使伤者脱离现场，并马上送医院抢救。救援领导小组根据事故发展事态</w:t>
      </w:r>
      <w:r>
        <w:rPr>
          <w:spacing w:val="-94"/>
        </w:rPr>
        <w:t>，</w:t>
      </w:r>
      <w:r>
        <w:t>汇同相关技术人员和安全员共同及时制定相应的抢险方案</w:t>
      </w:r>
      <w:r>
        <w:rPr>
          <w:spacing w:val="-48"/>
        </w:rPr>
        <w:t>，</w:t>
      </w:r>
      <w:r>
        <w:t>需要求助治安</w:t>
      </w:r>
      <w:r>
        <w:rPr>
          <w:spacing w:val="-46"/>
        </w:rPr>
        <w:t>、</w:t>
      </w:r>
      <w:r>
        <w:t>环保等部门支持的需及时与相关单位取得联系并发出求援要求。</w:t>
      </w:r>
    </w:p>
    <w:p w14:paraId="62CAD487">
      <w:pPr>
        <w:pStyle w:val="4"/>
        <w:ind w:firstLine="480"/>
      </w:pPr>
      <w:r>
        <w:t>在事故得到控制后</w:t>
      </w:r>
      <w:r>
        <w:rPr>
          <w:spacing w:val="-48"/>
        </w:rPr>
        <w:t>，</w:t>
      </w:r>
      <w:r>
        <w:t>立即成立事故调查组</w:t>
      </w:r>
      <w:r>
        <w:rPr>
          <w:spacing w:val="-46"/>
        </w:rPr>
        <w:t>，</w:t>
      </w:r>
      <w:r>
        <w:t>调查事故原因和落实防范措施及抢修方案，尽快消除事故影响。</w:t>
      </w:r>
    </w:p>
    <w:p w14:paraId="642AABCC">
      <w:pPr>
        <w:pStyle w:val="3"/>
        <w:rPr>
          <w:bCs/>
        </w:rPr>
      </w:pPr>
      <w:bookmarkStart w:id="142" w:name="_TOC_250009"/>
      <w:bookmarkStart w:id="143" w:name="_Toc174443658"/>
      <w:r>
        <w:rPr>
          <w:rFonts w:eastAsia="Times New Roman" w:cs="Times New Roman"/>
        </w:rPr>
        <w:t>12.8</w:t>
      </w:r>
      <w:r>
        <w:t>社会稳定风险应急预案</w:t>
      </w:r>
      <w:bookmarkEnd w:id="142"/>
      <w:bookmarkEnd w:id="143"/>
    </w:p>
    <w:p w14:paraId="28D03FD2">
      <w:pPr>
        <w:pStyle w:val="5"/>
        <w:rPr>
          <w:b w:val="0"/>
          <w:bCs w:val="0"/>
        </w:rPr>
      </w:pPr>
      <w:bookmarkStart w:id="144" w:name="_Toc174443659"/>
      <w:bookmarkStart w:id="145" w:name="_TOC_250008"/>
      <w:r>
        <w:t>12.8.1风险识别</w:t>
      </w:r>
      <w:bookmarkEnd w:id="144"/>
      <w:bookmarkEnd w:id="145"/>
    </w:p>
    <w:p w14:paraId="3350A3A7">
      <w:pPr>
        <w:pStyle w:val="4"/>
        <w:ind w:firstLine="480"/>
      </w:pPr>
      <w:r>
        <w:t>社会稳定风险</w:t>
      </w:r>
      <w:r>
        <w:rPr>
          <w:spacing w:val="-48"/>
        </w:rPr>
        <w:t>，</w:t>
      </w:r>
      <w:r>
        <w:t>广义上是指一种导致社会冲突</w:t>
      </w:r>
      <w:r>
        <w:rPr>
          <w:spacing w:val="-46"/>
        </w:rPr>
        <w:t>，</w:t>
      </w:r>
      <w:r>
        <w:t>危及社会稳定和社会秩序的可能性</w:t>
      </w:r>
      <w:r>
        <w:rPr>
          <w:spacing w:val="-24"/>
        </w:rPr>
        <w:t>，</w:t>
      </w:r>
      <w:r>
        <w:t>是一类基础性</w:t>
      </w:r>
      <w:r>
        <w:rPr>
          <w:spacing w:val="-24"/>
        </w:rPr>
        <w:t>、</w:t>
      </w:r>
      <w:r>
        <w:t>深层次</w:t>
      </w:r>
      <w:r>
        <w:rPr>
          <w:spacing w:val="-24"/>
        </w:rPr>
        <w:t>、</w:t>
      </w:r>
      <w:r>
        <w:t>结构性的潜在危害因素</w:t>
      </w:r>
      <w:r>
        <w:rPr>
          <w:spacing w:val="-22"/>
        </w:rPr>
        <w:t>，</w:t>
      </w:r>
      <w:r>
        <w:t>对社会的安全运行和健康发展会构成严重的威胁</w:t>
      </w:r>
      <w:r>
        <w:rPr>
          <w:spacing w:val="-48"/>
        </w:rPr>
        <w:t>。</w:t>
      </w:r>
      <w:r>
        <w:t>一旦这种可能性变成现实性</w:t>
      </w:r>
      <w:r>
        <w:rPr>
          <w:spacing w:val="-46"/>
        </w:rPr>
        <w:t>，</w:t>
      </w:r>
      <w:r>
        <w:t>社会风险就会转变成公共危机。</w:t>
      </w:r>
    </w:p>
    <w:p w14:paraId="002702D2">
      <w:pPr>
        <w:pStyle w:val="4"/>
        <w:ind w:firstLine="480"/>
      </w:pPr>
      <w:r>
        <w:t>根据对环保项目实施过程中易发生的社会风险的经验判断</w:t>
      </w:r>
      <w:r>
        <w:rPr>
          <w:spacing w:val="-94"/>
        </w:rPr>
        <w:t>，</w:t>
      </w:r>
      <w:r>
        <w:t>并结合本项目的具体情形</w:t>
      </w:r>
      <w:r>
        <w:rPr>
          <w:spacing w:val="-48"/>
        </w:rPr>
        <w:t>，</w:t>
      </w:r>
      <w:r>
        <w:t>垃圾填埋场生态修复项目可能会诱发的异议</w:t>
      </w:r>
      <w:r>
        <w:rPr>
          <w:spacing w:val="-46"/>
        </w:rPr>
        <w:t>、</w:t>
      </w:r>
      <w:r>
        <w:t>损失或不适等诸多社会风险及其评价主要如下：</w:t>
      </w:r>
    </w:p>
    <w:p w14:paraId="13FE0B02">
      <w:pPr>
        <w:pStyle w:val="4"/>
        <w:ind w:firstLine="480"/>
      </w:pPr>
      <w:r>
        <w:t>（</w:t>
      </w:r>
      <w:r>
        <w:rPr>
          <w:rFonts w:eastAsia="Times New Roman" w:cs="Times New Roman"/>
        </w:rPr>
        <w:t>1</w:t>
      </w:r>
      <w:r>
        <w:t>）项目合法性、合理性遭质疑的风险。</w:t>
      </w:r>
    </w:p>
    <w:p w14:paraId="03809AC0">
      <w:pPr>
        <w:pStyle w:val="4"/>
        <w:ind w:firstLine="480"/>
      </w:pPr>
      <w:r>
        <w:t>（</w:t>
      </w:r>
      <w:r>
        <w:rPr>
          <w:rFonts w:eastAsia="Times New Roman" w:cs="Times New Roman"/>
        </w:rPr>
        <w:t>2</w:t>
      </w:r>
      <w:r>
        <w:t>）项目可能造成环境破坏的风险。风险内容</w:t>
      </w:r>
      <w:r>
        <w:rPr>
          <w:spacing w:val="-32"/>
        </w:rPr>
        <w:t>：</w:t>
      </w:r>
      <w:r>
        <w:t>在建设期内项目的施工会对地表水</w:t>
      </w:r>
      <w:r>
        <w:rPr>
          <w:spacing w:val="-32"/>
        </w:rPr>
        <w:t>、</w:t>
      </w:r>
      <w:r>
        <w:t>空气</w:t>
      </w:r>
      <w:r>
        <w:rPr>
          <w:spacing w:val="-32"/>
        </w:rPr>
        <w:t>、</w:t>
      </w:r>
      <w:r>
        <w:t>噪声环境等方面产生</w:t>
      </w:r>
    </w:p>
    <w:p w14:paraId="4E2746E4">
      <w:pPr>
        <w:pStyle w:val="4"/>
        <w:ind w:firstLine="480"/>
      </w:pPr>
      <w:r>
        <w:t>一定程度的不利影响。本填埋场周边敏感点较多</w:t>
      </w:r>
      <w:r>
        <w:rPr>
          <w:spacing w:val="-48"/>
        </w:rPr>
        <w:t>，</w:t>
      </w:r>
      <w:r>
        <w:t>若施工过程中未做好二次污染防范措施</w:t>
      </w:r>
      <w:r>
        <w:rPr>
          <w:spacing w:val="-46"/>
        </w:rPr>
        <w:t>，</w:t>
      </w:r>
      <w:r>
        <w:t>易引发</w:t>
      </w:r>
    </w:p>
    <w:p w14:paraId="3A886015">
      <w:pPr>
        <w:pStyle w:val="4"/>
        <w:ind w:firstLine="480"/>
      </w:pPr>
      <w:r>
        <w:t>社会矛盾。本项目可能引发社会矛盾的主要风险如下：</w:t>
      </w:r>
    </w:p>
    <w:p w14:paraId="7B77451F">
      <w:pPr>
        <w:pStyle w:val="4"/>
        <w:ind w:firstLine="480"/>
      </w:pPr>
      <w:r>
        <w:rPr>
          <w:rFonts w:hint="eastAsia"/>
        </w:rPr>
        <w:t>1)</w:t>
      </w:r>
      <w:r>
        <w:t>开挖过程中产生的恶臭或有机污染物排入环境，扩散至邻近区域，对居民身体造成不利影响，处置不当，可能引起群体事件。</w:t>
      </w:r>
    </w:p>
    <w:p w14:paraId="6C35D13A">
      <w:pPr>
        <w:pStyle w:val="4"/>
        <w:ind w:firstLine="480"/>
      </w:pPr>
      <w:r>
        <w:rPr>
          <w:rFonts w:eastAsia="Times New Roman" w:cs="Times New Roman"/>
        </w:rPr>
        <w:t>2)</w:t>
      </w:r>
      <w:r>
        <w:t>施工过程中产生渗滤液等废水，处置管理不当容易造成环境污染事故，环境污染事故处置不当会对社会造成不利影响，容易引发群体性事件。</w:t>
      </w:r>
    </w:p>
    <w:p w14:paraId="022F8C8C">
      <w:pPr>
        <w:pStyle w:val="4"/>
        <w:ind w:firstLine="480"/>
      </w:pPr>
      <w:r>
        <w:rPr>
          <w:rFonts w:eastAsia="Times New Roman" w:cs="Times New Roman"/>
        </w:rPr>
        <w:t>3)</w:t>
      </w:r>
      <w:r>
        <w:t>垃圾外运过程中，处置管理不当容易造成环境污染事故，环境污染事故处置不当会对社会造成不利影响，容易引发群体性事件。</w:t>
      </w:r>
    </w:p>
    <w:p w14:paraId="0822D2D1">
      <w:pPr>
        <w:pStyle w:val="4"/>
        <w:ind w:firstLine="480"/>
      </w:pPr>
      <w:r>
        <w:t>（</w:t>
      </w:r>
      <w:r>
        <w:rPr>
          <w:rFonts w:eastAsia="Times New Roman" w:cs="Times New Roman"/>
        </w:rPr>
        <w:t>3</w:t>
      </w:r>
      <w:r>
        <w:t>）项目可能引发社会矛盾的风险。</w:t>
      </w:r>
    </w:p>
    <w:p w14:paraId="72C5E58F">
      <w:pPr>
        <w:pStyle w:val="4"/>
        <w:ind w:firstLine="180"/>
        <w:rPr>
          <w:rFonts w:hint="eastAsia" w:ascii="宋体" w:hAnsi="宋体" w:cs="宋体"/>
          <w:sz w:val="9"/>
          <w:szCs w:val="9"/>
        </w:rPr>
      </w:pPr>
    </w:p>
    <w:p w14:paraId="17432281">
      <w:pPr>
        <w:pStyle w:val="4"/>
        <w:ind w:firstLine="480"/>
      </w:pPr>
      <w:r>
        <w:t>风险内容</w:t>
      </w:r>
      <w:r>
        <w:rPr>
          <w:spacing w:val="-48"/>
        </w:rPr>
        <w:t>：</w:t>
      </w:r>
      <w:r>
        <w:t>生态修复治理施工过程中可能会对当地居民带来干扰</w:t>
      </w:r>
      <w:r>
        <w:rPr>
          <w:spacing w:val="-46"/>
        </w:rPr>
        <w:t>，</w:t>
      </w:r>
      <w:r>
        <w:t>填埋场臭味等影响其正常的生活</w:t>
      </w:r>
      <w:r>
        <w:rPr>
          <w:spacing w:val="-48"/>
        </w:rPr>
        <w:t>，</w:t>
      </w:r>
      <w:r>
        <w:t>因此有可能引发居民的不满情绪</w:t>
      </w:r>
      <w:r>
        <w:rPr>
          <w:spacing w:val="-46"/>
        </w:rPr>
        <w:t>。</w:t>
      </w:r>
      <w:r>
        <w:t>本填埋场周边敏感点较多</w:t>
      </w:r>
      <w:r>
        <w:rPr>
          <w:spacing w:val="-24"/>
        </w:rPr>
        <w:t>，</w:t>
      </w:r>
      <w:r>
        <w:t>若施工过程中未做好二次污染防范措施</w:t>
      </w:r>
      <w:r>
        <w:rPr>
          <w:spacing w:val="-24"/>
        </w:rPr>
        <w:t>，</w:t>
      </w:r>
      <w:r>
        <w:t>易引发社会矛盾</w:t>
      </w:r>
      <w:r>
        <w:rPr>
          <w:spacing w:val="-24"/>
        </w:rPr>
        <w:t>。</w:t>
      </w:r>
      <w:r>
        <w:t>另外</w:t>
      </w:r>
      <w:r>
        <w:rPr>
          <w:spacing w:val="-22"/>
        </w:rPr>
        <w:t>，</w:t>
      </w:r>
      <w:r>
        <w:t>不排除有民间组织强行推销施工材料</w:t>
      </w:r>
      <w:r>
        <w:rPr>
          <w:spacing w:val="-24"/>
        </w:rPr>
        <w:t>，</w:t>
      </w:r>
      <w:r>
        <w:t>滋事生非</w:t>
      </w:r>
      <w:r>
        <w:rPr>
          <w:spacing w:val="-24"/>
        </w:rPr>
        <w:t>，</w:t>
      </w:r>
      <w:r>
        <w:t>干扰项目进展</w:t>
      </w:r>
      <w:r>
        <w:rPr>
          <w:spacing w:val="-24"/>
        </w:rPr>
        <w:t>，</w:t>
      </w:r>
      <w:r>
        <w:t>并从中牟利</w:t>
      </w:r>
      <w:r>
        <w:rPr>
          <w:spacing w:val="-22"/>
        </w:rPr>
        <w:t>。</w:t>
      </w:r>
      <w:r>
        <w:t>上述问题若处置不当</w:t>
      </w:r>
      <w:r>
        <w:rPr>
          <w:spacing w:val="-48"/>
        </w:rPr>
        <w:t>，</w:t>
      </w:r>
      <w:r>
        <w:t>有可能引发附近居民或利益相关人员不满情绪</w:t>
      </w:r>
      <w:r>
        <w:rPr>
          <w:spacing w:val="-46"/>
        </w:rPr>
        <w:t>，</w:t>
      </w:r>
      <w:r>
        <w:t>可能引起群体事件。</w:t>
      </w:r>
    </w:p>
    <w:p w14:paraId="0229CDC9">
      <w:pPr>
        <w:pStyle w:val="5"/>
        <w:rPr>
          <w:b w:val="0"/>
          <w:bCs w:val="0"/>
        </w:rPr>
      </w:pPr>
      <w:bookmarkStart w:id="146" w:name="_Toc174443660"/>
      <w:bookmarkStart w:id="147" w:name="_TOC_250007"/>
      <w:r>
        <w:t>12.8.2风险防范</w:t>
      </w:r>
      <w:bookmarkEnd w:id="146"/>
      <w:bookmarkEnd w:id="147"/>
    </w:p>
    <w:p w14:paraId="76B48805">
      <w:pPr>
        <w:pStyle w:val="4"/>
        <w:ind w:firstLine="480"/>
      </w:pPr>
      <w:r>
        <w:t>本项目社会稳定风险虽然较小，但其风险防范对策不可忽视，也不可或缺。根据对项目可能诱发的风险及其评价，建议采取以下风险防范措施。</w:t>
      </w:r>
    </w:p>
    <w:p w14:paraId="6FB0AA51">
      <w:pPr>
        <w:pStyle w:val="4"/>
        <w:ind w:firstLine="482"/>
      </w:pPr>
      <w:r>
        <w:rPr>
          <w:rFonts w:ascii="宋体" w:hAnsi="宋体" w:cs="宋体"/>
          <w:b/>
          <w:bCs/>
        </w:rPr>
        <w:t>（</w:t>
      </w:r>
      <w:r>
        <w:rPr>
          <w:rFonts w:eastAsia="Times New Roman" w:cs="Times New Roman"/>
          <w:b/>
          <w:bCs/>
        </w:rPr>
        <w:t>1</w:t>
      </w:r>
      <w:r>
        <w:rPr>
          <w:rFonts w:ascii="宋体" w:hAnsi="宋体" w:cs="宋体"/>
          <w:b/>
          <w:bCs/>
        </w:rPr>
        <w:t>）减少扰民现象</w:t>
      </w:r>
      <w:r>
        <w:t>，文明施工，减少扰民，填埋场施工和日常管理过程中所产生的垃圾</w:t>
      </w:r>
      <w:r>
        <w:rPr>
          <w:spacing w:val="-72"/>
        </w:rPr>
        <w:t>、</w:t>
      </w:r>
      <w:r>
        <w:t>废水</w:t>
      </w:r>
      <w:r>
        <w:rPr>
          <w:spacing w:val="-72"/>
        </w:rPr>
        <w:t>、</w:t>
      </w:r>
      <w:r>
        <w:t>废气等有可能污染周围环境的</w:t>
      </w:r>
      <w:r>
        <w:rPr>
          <w:spacing w:val="-70"/>
        </w:rPr>
        <w:t>，</w:t>
      </w:r>
      <w:r>
        <w:t>应采取相应措施及时处</w:t>
      </w:r>
      <w:r>
        <w:rPr>
          <w:spacing w:val="-1"/>
        </w:rPr>
        <w:t>理</w:t>
      </w:r>
      <w:r>
        <w:t>，不可随意倾倒</w:t>
      </w:r>
      <w:r>
        <w:rPr>
          <w:spacing w:val="-24"/>
        </w:rPr>
        <w:t>、</w:t>
      </w:r>
      <w:r>
        <w:t>排放</w:t>
      </w:r>
      <w:r>
        <w:rPr>
          <w:spacing w:val="-24"/>
        </w:rPr>
        <w:t>；</w:t>
      </w:r>
      <w:r>
        <w:t>渗滤液运输等车辆进出场时</w:t>
      </w:r>
      <w:r>
        <w:rPr>
          <w:spacing w:val="-24"/>
        </w:rPr>
        <w:t>，</w:t>
      </w:r>
      <w:r>
        <w:t>要避开交通高峰时段</w:t>
      </w:r>
      <w:r>
        <w:rPr>
          <w:spacing w:val="-22"/>
        </w:rPr>
        <w:t>，</w:t>
      </w:r>
      <w:r>
        <w:t>不要造成现场周围交通不畅或发生事故等。</w:t>
      </w:r>
    </w:p>
    <w:p w14:paraId="5D3A539E">
      <w:pPr>
        <w:pStyle w:val="4"/>
        <w:ind w:firstLine="456"/>
      </w:pPr>
      <w:r>
        <w:rPr>
          <w:rFonts w:ascii="宋体" w:hAnsi="宋体" w:cs="宋体"/>
          <w:b/>
          <w:bCs/>
          <w:w w:val="95"/>
        </w:rPr>
        <w:t>（</w:t>
      </w:r>
      <w:r>
        <w:rPr>
          <w:rFonts w:eastAsia="Times New Roman" w:cs="Times New Roman"/>
          <w:b/>
          <w:bCs/>
          <w:w w:val="95"/>
        </w:rPr>
        <w:t>2</w:t>
      </w:r>
      <w:r>
        <w:rPr>
          <w:rFonts w:ascii="宋体" w:hAnsi="宋体" w:cs="宋体"/>
          <w:b/>
          <w:bCs/>
          <w:spacing w:val="1"/>
          <w:w w:val="95"/>
        </w:rPr>
        <w:t>）加</w:t>
      </w:r>
      <w:r>
        <w:rPr>
          <w:rFonts w:ascii="宋体" w:hAnsi="宋体" w:cs="宋体"/>
          <w:b/>
          <w:bCs/>
          <w:spacing w:val="3"/>
          <w:w w:val="95"/>
        </w:rPr>
        <w:t>强</w:t>
      </w:r>
      <w:r>
        <w:rPr>
          <w:rFonts w:ascii="宋体" w:hAnsi="宋体" w:cs="宋体"/>
          <w:b/>
          <w:bCs/>
          <w:spacing w:val="1"/>
          <w:w w:val="95"/>
        </w:rPr>
        <w:t>环</w:t>
      </w:r>
      <w:r>
        <w:rPr>
          <w:rFonts w:ascii="宋体" w:hAnsi="宋体" w:cs="宋体"/>
          <w:b/>
          <w:bCs/>
          <w:spacing w:val="3"/>
          <w:w w:val="95"/>
        </w:rPr>
        <w:t>境</w:t>
      </w:r>
      <w:r>
        <w:rPr>
          <w:rFonts w:ascii="宋体" w:hAnsi="宋体" w:cs="宋体"/>
          <w:b/>
          <w:bCs/>
          <w:spacing w:val="1"/>
          <w:w w:val="95"/>
        </w:rPr>
        <w:t>管</w:t>
      </w:r>
      <w:r>
        <w:rPr>
          <w:rFonts w:ascii="宋体" w:hAnsi="宋体" w:cs="宋体"/>
          <w:b/>
          <w:bCs/>
          <w:spacing w:val="3"/>
          <w:w w:val="95"/>
        </w:rPr>
        <w:t>理</w:t>
      </w:r>
      <w:r>
        <w:rPr>
          <w:rFonts w:ascii="宋体" w:hAnsi="宋体" w:cs="宋体"/>
          <w:b/>
          <w:bCs/>
          <w:w w:val="95"/>
        </w:rPr>
        <w:t>，</w:t>
      </w:r>
      <w:r>
        <w:rPr>
          <w:spacing w:val="1"/>
          <w:w w:val="95"/>
        </w:rPr>
        <w:t>加强填埋场臭气、渗滤液泄露、</w:t>
      </w:r>
      <w:r>
        <w:rPr>
          <w:spacing w:val="3"/>
          <w:w w:val="95"/>
        </w:rPr>
        <w:t>扬</w:t>
      </w:r>
      <w:r>
        <w:rPr>
          <w:spacing w:val="1"/>
          <w:w w:val="95"/>
        </w:rPr>
        <w:t>尘、噪声等对周</w:t>
      </w:r>
      <w:r>
        <w:rPr>
          <w:w w:val="95"/>
        </w:rPr>
        <w:t>边</w:t>
      </w:r>
      <w:r>
        <w:t>居民及环境影响较大的环境隐患管理</w:t>
      </w:r>
      <w:r>
        <w:rPr>
          <w:spacing w:val="-48"/>
        </w:rPr>
        <w:t>，</w:t>
      </w:r>
      <w:r>
        <w:t>做好填埋场日常巡检人员</w:t>
      </w:r>
      <w:r>
        <w:rPr>
          <w:spacing w:val="-46"/>
        </w:rPr>
        <w:t>，</w:t>
      </w:r>
      <w:r>
        <w:t>从源头上控制环境污染，注意控制车速及减少鸣笛次数，避免夜间施工。</w:t>
      </w:r>
    </w:p>
    <w:p w14:paraId="3BAE78A1">
      <w:pPr>
        <w:pStyle w:val="4"/>
        <w:ind w:firstLine="482"/>
      </w:pPr>
      <w:r>
        <w:rPr>
          <w:rFonts w:ascii="宋体" w:hAnsi="宋体" w:cs="宋体"/>
          <w:b/>
          <w:bCs/>
        </w:rPr>
        <w:t>（</w:t>
      </w:r>
      <w:r>
        <w:rPr>
          <w:rFonts w:eastAsia="Times New Roman" w:cs="Times New Roman"/>
          <w:b/>
          <w:bCs/>
        </w:rPr>
        <w:t>3</w:t>
      </w:r>
      <w:r>
        <w:rPr>
          <w:rFonts w:ascii="宋体" w:hAnsi="宋体" w:cs="宋体"/>
          <w:b/>
          <w:bCs/>
          <w:spacing w:val="2"/>
        </w:rPr>
        <w:t>）做</w:t>
      </w:r>
      <w:r>
        <w:rPr>
          <w:rFonts w:ascii="宋体" w:hAnsi="宋体" w:cs="宋体"/>
          <w:b/>
          <w:bCs/>
          <w:spacing w:val="4"/>
        </w:rPr>
        <w:t>好</w:t>
      </w:r>
      <w:r>
        <w:rPr>
          <w:rFonts w:ascii="宋体" w:hAnsi="宋体" w:cs="宋体"/>
          <w:b/>
          <w:bCs/>
          <w:spacing w:val="2"/>
        </w:rPr>
        <w:t>舆</w:t>
      </w:r>
      <w:r>
        <w:rPr>
          <w:rFonts w:ascii="宋体" w:hAnsi="宋体" w:cs="宋体"/>
          <w:b/>
          <w:bCs/>
          <w:spacing w:val="4"/>
        </w:rPr>
        <w:t>情</w:t>
      </w:r>
      <w:r>
        <w:rPr>
          <w:rFonts w:ascii="宋体" w:hAnsi="宋体" w:cs="宋体"/>
          <w:b/>
          <w:bCs/>
          <w:spacing w:val="2"/>
        </w:rPr>
        <w:t>控</w:t>
      </w:r>
      <w:r>
        <w:rPr>
          <w:rFonts w:ascii="宋体" w:hAnsi="宋体" w:cs="宋体"/>
          <w:b/>
          <w:bCs/>
          <w:spacing w:val="4"/>
        </w:rPr>
        <w:t>制</w:t>
      </w:r>
      <w:r>
        <w:rPr>
          <w:rFonts w:ascii="宋体" w:hAnsi="宋体" w:cs="宋体"/>
          <w:b/>
          <w:bCs/>
        </w:rPr>
        <w:t>，</w:t>
      </w:r>
      <w:r>
        <w:rPr>
          <w:spacing w:val="2"/>
        </w:rPr>
        <w:t>通过居民拜访、信息发布、社区</w:t>
      </w:r>
      <w:r>
        <w:rPr>
          <w:spacing w:val="4"/>
        </w:rPr>
        <w:t>活</w:t>
      </w:r>
      <w:r>
        <w:rPr>
          <w:spacing w:val="2"/>
        </w:rPr>
        <w:t>动、邀请参观、</w:t>
      </w:r>
      <w:r>
        <w:t>座谈会等方式加强与周边群众和城市居民的互动交流</w:t>
      </w:r>
      <w:r>
        <w:rPr>
          <w:spacing w:val="-48"/>
        </w:rPr>
        <w:t>，</w:t>
      </w:r>
      <w:r>
        <w:t>必要信息及时公开</w:t>
      </w:r>
      <w:r>
        <w:rPr>
          <w:spacing w:val="-46"/>
        </w:rPr>
        <w:t>，</w:t>
      </w:r>
      <w:r>
        <w:t>使民众更加了解填埋场运行维护的工作性质</w:t>
      </w:r>
      <w:r>
        <w:rPr>
          <w:spacing w:val="-72"/>
        </w:rPr>
        <w:t>，</w:t>
      </w:r>
      <w:r>
        <w:t>争取其理解</w:t>
      </w:r>
      <w:r>
        <w:rPr>
          <w:spacing w:val="-72"/>
        </w:rPr>
        <w:t>，</w:t>
      </w:r>
      <w:r>
        <w:t>消除其疑虑</w:t>
      </w:r>
      <w:r>
        <w:rPr>
          <w:spacing w:val="-70"/>
        </w:rPr>
        <w:t>，</w:t>
      </w:r>
      <w:r>
        <w:t>消除不利舆</w:t>
      </w:r>
      <w:r>
        <w:rPr>
          <w:spacing w:val="-1"/>
        </w:rPr>
        <w:t>情</w:t>
      </w:r>
      <w:r>
        <w:t>。</w:t>
      </w:r>
    </w:p>
    <w:p w14:paraId="66D475B5">
      <w:pPr>
        <w:pStyle w:val="4"/>
        <w:ind w:firstLine="458"/>
        <w:rPr>
          <w:rFonts w:hint="eastAsia" w:ascii="宋体" w:hAnsi="宋体" w:cs="宋体"/>
          <w:szCs w:val="24"/>
        </w:rPr>
      </w:pPr>
      <w:r>
        <w:rPr>
          <w:rFonts w:ascii="宋体" w:hAnsi="宋体" w:cs="宋体"/>
          <w:b/>
          <w:bCs/>
          <w:spacing w:val="1"/>
          <w:w w:val="95"/>
          <w:szCs w:val="24"/>
        </w:rPr>
        <w:t>（</w:t>
      </w:r>
      <w:r>
        <w:rPr>
          <w:rFonts w:eastAsia="Times New Roman" w:cs="Times New Roman"/>
          <w:b/>
          <w:bCs/>
          <w:spacing w:val="1"/>
          <w:w w:val="95"/>
          <w:szCs w:val="24"/>
        </w:rPr>
        <w:t>4</w:t>
      </w:r>
      <w:r>
        <w:rPr>
          <w:rFonts w:ascii="宋体" w:hAnsi="宋体" w:cs="宋体"/>
          <w:b/>
          <w:bCs/>
          <w:spacing w:val="1"/>
          <w:w w:val="95"/>
          <w:szCs w:val="24"/>
        </w:rPr>
        <w:t>）保障项目全过程治安安全</w:t>
      </w:r>
      <w:r>
        <w:rPr>
          <w:rFonts w:ascii="宋体" w:hAnsi="宋体" w:cs="宋体"/>
          <w:spacing w:val="1"/>
          <w:w w:val="95"/>
          <w:szCs w:val="24"/>
        </w:rPr>
        <w:t>，制定以预防为主的治安防范措施。在项目</w:t>
      </w:r>
      <w:r>
        <w:rPr>
          <w:rFonts w:ascii="宋体" w:hAnsi="宋体" w:cs="宋体"/>
          <w:szCs w:val="24"/>
        </w:rPr>
        <w:t>全过程加强综合治理工作，保持区域日常治安环境的良好。</w:t>
      </w:r>
    </w:p>
    <w:p w14:paraId="605A2742">
      <w:pPr>
        <w:pStyle w:val="4"/>
        <w:ind w:firstLine="458"/>
        <w:rPr>
          <w:rFonts w:hint="eastAsia" w:ascii="宋体" w:hAnsi="宋体" w:cs="宋体"/>
          <w:szCs w:val="24"/>
        </w:rPr>
      </w:pPr>
      <w:r>
        <w:rPr>
          <w:rFonts w:ascii="宋体" w:hAnsi="宋体" w:cs="宋体"/>
          <w:b/>
          <w:bCs/>
          <w:spacing w:val="1"/>
          <w:w w:val="95"/>
          <w:szCs w:val="24"/>
        </w:rPr>
        <w:t>（</w:t>
      </w:r>
      <w:r>
        <w:rPr>
          <w:rFonts w:eastAsia="Times New Roman" w:cs="Times New Roman"/>
          <w:b/>
          <w:bCs/>
          <w:spacing w:val="1"/>
          <w:w w:val="95"/>
          <w:szCs w:val="24"/>
        </w:rPr>
        <w:t>5</w:t>
      </w:r>
      <w:r>
        <w:rPr>
          <w:rFonts w:ascii="宋体" w:hAnsi="宋体" w:cs="宋体"/>
          <w:b/>
          <w:bCs/>
          <w:spacing w:val="1"/>
          <w:w w:val="95"/>
          <w:szCs w:val="24"/>
        </w:rPr>
        <w:t>）周密考虑、精心组织、统筹协调、科学设计，</w:t>
      </w:r>
      <w:r>
        <w:rPr>
          <w:rFonts w:ascii="宋体" w:hAnsi="宋体" w:cs="宋体"/>
          <w:spacing w:val="1"/>
          <w:w w:val="95"/>
          <w:szCs w:val="24"/>
        </w:rPr>
        <w:t>进行科学设计、高质量</w:t>
      </w:r>
      <w:r>
        <w:rPr>
          <w:rFonts w:ascii="宋体" w:hAnsi="宋体" w:cs="宋体"/>
          <w:szCs w:val="24"/>
        </w:rPr>
        <w:t>施工</w:t>
      </w:r>
      <w:r>
        <w:rPr>
          <w:rFonts w:ascii="宋体" w:hAnsi="宋体" w:cs="宋体"/>
          <w:spacing w:val="-48"/>
          <w:szCs w:val="24"/>
        </w:rPr>
        <w:t>，</w:t>
      </w:r>
      <w:r>
        <w:rPr>
          <w:rFonts w:ascii="宋体" w:hAnsi="宋体" w:cs="宋体"/>
          <w:szCs w:val="24"/>
        </w:rPr>
        <w:t>并在实施期间做好与相关部门协调工作</w:t>
      </w:r>
      <w:r>
        <w:rPr>
          <w:rFonts w:ascii="宋体" w:hAnsi="宋体" w:cs="宋体"/>
          <w:spacing w:val="-46"/>
          <w:szCs w:val="24"/>
        </w:rPr>
        <w:t>，</w:t>
      </w:r>
      <w:r>
        <w:rPr>
          <w:rFonts w:ascii="宋体" w:hAnsi="宋体" w:cs="宋体"/>
          <w:szCs w:val="24"/>
        </w:rPr>
        <w:t>避免本项目于影响其他项目的规划建设。</w:t>
      </w:r>
    </w:p>
    <w:p w14:paraId="18B4D603">
      <w:pPr>
        <w:pStyle w:val="4"/>
        <w:ind w:firstLine="486"/>
        <w:rPr>
          <w:rFonts w:hint="eastAsia" w:ascii="宋体" w:hAnsi="宋体" w:cs="宋体"/>
          <w:szCs w:val="24"/>
        </w:rPr>
      </w:pPr>
      <w:r>
        <w:rPr>
          <w:rFonts w:ascii="宋体" w:hAnsi="宋体" w:cs="宋体"/>
          <w:b/>
          <w:bCs/>
          <w:spacing w:val="2"/>
          <w:szCs w:val="24"/>
        </w:rPr>
        <w:t>（</w:t>
      </w:r>
      <w:r>
        <w:rPr>
          <w:rFonts w:eastAsia="Times New Roman" w:cs="Times New Roman"/>
          <w:b/>
          <w:bCs/>
          <w:spacing w:val="2"/>
          <w:szCs w:val="24"/>
        </w:rPr>
        <w:t>6</w:t>
      </w:r>
      <w:r>
        <w:rPr>
          <w:rFonts w:ascii="宋体" w:hAnsi="宋体" w:cs="宋体"/>
          <w:b/>
          <w:bCs/>
          <w:spacing w:val="2"/>
          <w:szCs w:val="24"/>
        </w:rPr>
        <w:t>）信息公开，沟通顺畅，及时化解矛盾，</w:t>
      </w:r>
      <w:r>
        <w:rPr>
          <w:rFonts w:ascii="宋体" w:hAnsi="宋体" w:cs="宋体"/>
          <w:spacing w:val="2"/>
          <w:szCs w:val="24"/>
        </w:rPr>
        <w:t>在项目实施及后续垃圾填埋场</w:t>
      </w:r>
      <w:r>
        <w:rPr>
          <w:rFonts w:ascii="宋体" w:hAnsi="宋体" w:cs="宋体"/>
          <w:szCs w:val="24"/>
        </w:rPr>
        <w:t>日常管理过程中要做到信息公开透明，消除周围居民疑虑。出现问题及时沟通，将矛盾消除初始阶段。</w:t>
      </w:r>
    </w:p>
    <w:p w14:paraId="0DB08967">
      <w:pPr>
        <w:pStyle w:val="5"/>
        <w:rPr>
          <w:b w:val="0"/>
          <w:bCs w:val="0"/>
        </w:rPr>
      </w:pPr>
      <w:bookmarkStart w:id="148" w:name="_TOC_250006"/>
      <w:bookmarkStart w:id="149" w:name="_Toc174443661"/>
      <w:r>
        <w:rPr>
          <w:rFonts w:eastAsia="Times New Roman" w:cs="Times New Roman"/>
        </w:rPr>
        <w:t>12.8.3</w:t>
      </w:r>
      <w:r>
        <w:t>舆情风险应急预案</w:t>
      </w:r>
      <w:bookmarkEnd w:id="148"/>
      <w:bookmarkEnd w:id="149"/>
    </w:p>
    <w:p w14:paraId="1CF855B4">
      <w:pPr>
        <w:pStyle w:val="4"/>
        <w:ind w:firstLine="480"/>
      </w:pPr>
      <w:r>
        <w:t>舆情风险应急预案措施如下所述。</w:t>
      </w:r>
    </w:p>
    <w:p w14:paraId="1ADDBD71">
      <w:pPr>
        <w:pStyle w:val="4"/>
        <w:ind w:firstLine="480"/>
      </w:pPr>
      <w:r>
        <w:t>（</w:t>
      </w:r>
      <w:r>
        <w:rPr>
          <w:rFonts w:eastAsia="Times New Roman" w:cs="Times New Roman"/>
        </w:rPr>
        <w:t>1</w:t>
      </w:r>
      <w:r>
        <w:t>）填埋场</w:t>
      </w:r>
      <w:r>
        <w:rPr>
          <w:spacing w:val="4"/>
        </w:rPr>
        <w:t>日</w:t>
      </w:r>
      <w:r>
        <w:t>常管理及治理</w:t>
      </w:r>
      <w:r>
        <w:rPr>
          <w:spacing w:val="4"/>
        </w:rPr>
        <w:t>过</w:t>
      </w:r>
      <w:r>
        <w:t>程中宜进行</w:t>
      </w:r>
      <w:r>
        <w:rPr>
          <w:spacing w:val="4"/>
        </w:rPr>
        <w:t>信</w:t>
      </w:r>
      <w:r>
        <w:t>息公开，详细</w:t>
      </w:r>
      <w:r>
        <w:rPr>
          <w:spacing w:val="4"/>
        </w:rPr>
        <w:t>介</w:t>
      </w:r>
      <w:r>
        <w:t>绍本项目的情</w:t>
      </w:r>
    </w:p>
    <w:p w14:paraId="02537933">
      <w:pPr>
        <w:pStyle w:val="4"/>
        <w:ind w:firstLine="480"/>
      </w:pPr>
      <w:r>
        <w:t>况，主动为公众答疑解惑，避免引起不必要的猜疑。可采用知识讲座、座谈会、调查表等形式进行公众宣传，如有必要可接受媒体采访。</w:t>
      </w:r>
    </w:p>
    <w:p w14:paraId="2094F39C">
      <w:pPr>
        <w:pStyle w:val="4"/>
        <w:ind w:firstLine="480"/>
      </w:pPr>
      <w:r>
        <w:t>（</w:t>
      </w:r>
      <w:r>
        <w:rPr>
          <w:rFonts w:eastAsia="Times New Roman" w:cs="Times New Roman"/>
        </w:rPr>
        <w:t>2</w:t>
      </w:r>
      <w:r>
        <w:t>）宜定期</w:t>
      </w:r>
      <w:r>
        <w:rPr>
          <w:spacing w:val="4"/>
        </w:rPr>
        <w:t>走</w:t>
      </w:r>
      <w:r>
        <w:t>访场地周边居</w:t>
      </w:r>
      <w:r>
        <w:rPr>
          <w:spacing w:val="4"/>
        </w:rPr>
        <w:t>民</w:t>
      </w:r>
      <w:r>
        <w:t>区，拜访小</w:t>
      </w:r>
      <w:r>
        <w:rPr>
          <w:spacing w:val="4"/>
        </w:rPr>
        <w:t>区</w:t>
      </w:r>
      <w:r>
        <w:t>居民，向其解</w:t>
      </w:r>
      <w:r>
        <w:rPr>
          <w:spacing w:val="4"/>
        </w:rPr>
        <w:t>释</w:t>
      </w:r>
      <w:r>
        <w:t>填埋场日常管理及治理工作特点</w:t>
      </w:r>
      <w:r>
        <w:rPr>
          <w:spacing w:val="-24"/>
        </w:rPr>
        <w:t>，</w:t>
      </w:r>
      <w:r>
        <w:t>听取其意见</w:t>
      </w:r>
      <w:r>
        <w:rPr>
          <w:spacing w:val="-24"/>
        </w:rPr>
        <w:t>，</w:t>
      </w:r>
      <w:r>
        <w:t>做到彼此信息沟通顺畅</w:t>
      </w:r>
      <w:r>
        <w:rPr>
          <w:spacing w:val="-24"/>
        </w:rPr>
        <w:t>，</w:t>
      </w:r>
      <w:r>
        <w:t>相互理解</w:t>
      </w:r>
      <w:r>
        <w:rPr>
          <w:spacing w:val="-22"/>
        </w:rPr>
        <w:t>，</w:t>
      </w:r>
      <w:r>
        <w:t>以此改善施工措施及日常管理工作。</w:t>
      </w:r>
    </w:p>
    <w:p w14:paraId="5F95157B">
      <w:pPr>
        <w:pStyle w:val="4"/>
        <w:ind w:firstLine="480"/>
      </w:pPr>
      <w:r>
        <w:t>（</w:t>
      </w:r>
      <w:r>
        <w:rPr>
          <w:rFonts w:eastAsia="Times New Roman" w:cs="Times New Roman"/>
        </w:rPr>
        <w:t>3</w:t>
      </w:r>
      <w:r>
        <w:t>）宜鼓励</w:t>
      </w:r>
      <w:r>
        <w:rPr>
          <w:spacing w:val="4"/>
        </w:rPr>
        <w:t>公</w:t>
      </w:r>
      <w:r>
        <w:t>众参与填埋场</w:t>
      </w:r>
      <w:r>
        <w:rPr>
          <w:spacing w:val="4"/>
        </w:rPr>
        <w:t>管</w:t>
      </w:r>
      <w:r>
        <w:t>理及治理工</w:t>
      </w:r>
      <w:r>
        <w:rPr>
          <w:spacing w:val="4"/>
        </w:rPr>
        <w:t>作</w:t>
      </w:r>
      <w:r>
        <w:t>。公众参与的</w:t>
      </w:r>
      <w:r>
        <w:rPr>
          <w:spacing w:val="4"/>
        </w:rPr>
        <w:t>目</w:t>
      </w:r>
      <w:r>
        <w:t>的在于通过公众宣传和沟通</w:t>
      </w:r>
      <w:r>
        <w:rPr>
          <w:spacing w:val="-32"/>
        </w:rPr>
        <w:t>，</w:t>
      </w:r>
      <w:r>
        <w:t>使周边居民对填埋场治理及管理有充分的</w:t>
      </w:r>
      <w:r>
        <w:rPr>
          <w:spacing w:val="-32"/>
        </w:rPr>
        <w:t>、</w:t>
      </w:r>
      <w:r>
        <w:t>全面的认识</w:t>
      </w:r>
      <w:r>
        <w:rPr>
          <w:spacing w:val="-32"/>
        </w:rPr>
        <w:t>，</w:t>
      </w:r>
      <w:r>
        <w:t>消除恐慌与误解，以便取得到他们的支持与配合。</w:t>
      </w:r>
    </w:p>
    <w:p w14:paraId="6166920E">
      <w:pPr>
        <w:pStyle w:val="4"/>
        <w:ind w:firstLine="504"/>
      </w:pPr>
      <w:r>
        <w:rPr>
          <w:spacing w:val="12"/>
        </w:rPr>
        <w:t>（</w:t>
      </w:r>
      <w:r>
        <w:rPr>
          <w:rFonts w:eastAsia="Times New Roman" w:cs="Times New Roman"/>
          <w:spacing w:val="7"/>
        </w:rPr>
        <w:t>4</w:t>
      </w:r>
      <w:r>
        <w:rPr>
          <w:spacing w:val="12"/>
        </w:rPr>
        <w:t>）积极应对居民投诉</w:t>
      </w:r>
      <w:r>
        <w:rPr>
          <w:spacing w:val="-80"/>
        </w:rPr>
        <w:t>，</w:t>
      </w:r>
      <w:r>
        <w:rPr>
          <w:spacing w:val="12"/>
        </w:rPr>
        <w:t>对投诉中反应的问题进行梳理</w:t>
      </w:r>
      <w:r>
        <w:rPr>
          <w:spacing w:val="-82"/>
        </w:rPr>
        <w:t>，</w:t>
      </w:r>
      <w:r>
        <w:rPr>
          <w:spacing w:val="12"/>
        </w:rPr>
        <w:t>核查是否属实</w:t>
      </w:r>
      <w:r>
        <w:t>，</w:t>
      </w:r>
      <w:r>
        <w:rPr>
          <w:spacing w:val="11"/>
        </w:rPr>
        <w:t>分析问题产生根源。对于因为误解引起的投诉，委派专人与投诉居民进行沟通，解答疑惑，对投诉中普遍反应的问题，可组织座谈会，面对面与居民代表沟通；对于施工措施或管理不到位，引起投诉的问题，需积极改进施工措</w:t>
      </w:r>
      <w:r>
        <w:rPr>
          <w:spacing w:val="9"/>
        </w:rPr>
        <w:t>施及管理。</w:t>
      </w:r>
    </w:p>
    <w:p w14:paraId="56321522">
      <w:pPr>
        <w:pStyle w:val="4"/>
        <w:ind w:firstLine="480"/>
        <w:rPr>
          <w:rFonts w:hint="eastAsia" w:eastAsia="宋体"/>
          <w:lang w:val="en-US" w:eastAsia="zh-CN"/>
        </w:rPr>
        <w:sectPr>
          <w:headerReference r:id="rId5" w:type="default"/>
          <w:pgSz w:w="11906" w:h="16838"/>
          <w:pgMar w:top="1440" w:right="1800" w:bottom="1440" w:left="1800" w:header="851" w:footer="992" w:gutter="0"/>
          <w:pgNumType w:fmt="numberInDash"/>
          <w:cols w:space="425" w:num="1"/>
          <w:docGrid w:type="lines" w:linePitch="312" w:charSpace="0"/>
        </w:sectPr>
      </w:pPr>
      <w:r>
        <w:t>（</w:t>
      </w:r>
      <w:r>
        <w:rPr>
          <w:rFonts w:eastAsia="Times New Roman" w:cs="Times New Roman"/>
        </w:rPr>
        <w:t>5</w:t>
      </w:r>
      <w:r>
        <w:t>）发生人</w:t>
      </w:r>
      <w:r>
        <w:rPr>
          <w:spacing w:val="4"/>
        </w:rPr>
        <w:t>员</w:t>
      </w:r>
      <w:r>
        <w:t>集体上访、请</w:t>
      </w:r>
      <w:r>
        <w:rPr>
          <w:spacing w:val="4"/>
        </w:rPr>
        <w:t>愿</w:t>
      </w:r>
      <w:r>
        <w:t>、静坐、堵</w:t>
      </w:r>
      <w:r>
        <w:rPr>
          <w:spacing w:val="4"/>
        </w:rPr>
        <w:t>车</w:t>
      </w:r>
      <w:r>
        <w:t>、堵门、围攻</w:t>
      </w:r>
      <w:r>
        <w:rPr>
          <w:spacing w:val="4"/>
        </w:rPr>
        <w:t>、</w:t>
      </w:r>
      <w:r>
        <w:t>拉出横幅、张贴大小字报</w:t>
      </w:r>
      <w:r>
        <w:rPr>
          <w:spacing w:val="-24"/>
        </w:rPr>
        <w:t>、</w:t>
      </w:r>
      <w:r>
        <w:t>呼喊口等影响社会公共安全行为</w:t>
      </w:r>
      <w:r>
        <w:rPr>
          <w:spacing w:val="-24"/>
        </w:rPr>
        <w:t>，</w:t>
      </w:r>
      <w:r>
        <w:t>及时发现</w:t>
      </w:r>
      <w:r>
        <w:rPr>
          <w:spacing w:val="-24"/>
        </w:rPr>
        <w:t>，</w:t>
      </w:r>
      <w:r>
        <w:t>及时上报</w:t>
      </w:r>
      <w:r>
        <w:rPr>
          <w:spacing w:val="-22"/>
        </w:rPr>
        <w:t>，</w:t>
      </w:r>
      <w:r>
        <w:t>迅速了解引发事件的起因和有关情况</w:t>
      </w:r>
      <w:r>
        <w:rPr>
          <w:spacing w:val="-48"/>
        </w:rPr>
        <w:t>，</w:t>
      </w:r>
      <w:r>
        <w:t>迅速制订工作方案和措施</w:t>
      </w:r>
      <w:r>
        <w:rPr>
          <w:spacing w:val="-46"/>
        </w:rPr>
        <w:t>。</w:t>
      </w:r>
      <w:r>
        <w:t>对严重影响正常工作秩序或危及公共安全的事件</w:t>
      </w:r>
      <w:r>
        <w:rPr>
          <w:spacing w:val="-48"/>
        </w:rPr>
        <w:t>，</w:t>
      </w:r>
      <w:r>
        <w:t>迅速请求当地公安部门帮助维护工作</w:t>
      </w:r>
      <w:r>
        <w:rPr>
          <w:spacing w:val="-46"/>
        </w:rPr>
        <w:t>。</w:t>
      </w:r>
      <w:r>
        <w:t>发现群体事件苗头</w:t>
      </w:r>
      <w:r>
        <w:rPr>
          <w:spacing w:val="-32"/>
        </w:rPr>
        <w:t>，</w:t>
      </w:r>
      <w:r>
        <w:t>及时向上级汇报</w:t>
      </w:r>
      <w:r>
        <w:rPr>
          <w:spacing w:val="-32"/>
        </w:rPr>
        <w:t>，</w:t>
      </w:r>
      <w:r>
        <w:t>做好摸底了解</w:t>
      </w:r>
      <w:r>
        <w:rPr>
          <w:spacing w:val="-32"/>
        </w:rPr>
        <w:t>，</w:t>
      </w:r>
      <w:r>
        <w:t>并通过各种渠道尽力做好重点人员的思想工作和其他人员的疏导劝解工作，尽可能使问题化解，减少摩擦</w:t>
      </w:r>
      <w:r>
        <w:rPr>
          <w:rFonts w:hint="eastAsia"/>
          <w:lang w:eastAsia="zh-CN"/>
        </w:rPr>
        <w:t>。</w:t>
      </w:r>
    </w:p>
    <w:p w14:paraId="190DF796">
      <w:pPr>
        <w:pStyle w:val="36"/>
        <w:jc w:val="both"/>
        <w:rPr>
          <w:rFonts w:hint="default" w:eastAsia="宋体"/>
          <w:lang w:val="en-US" w:eastAsia="zh-CN"/>
        </w:rPr>
      </w:pPr>
    </w:p>
    <w:sectPr>
      <w:footerReference r:id="rId6" w:type="default"/>
      <w:pgSz w:w="11910" w:h="16840"/>
      <w:pgMar w:top="1440" w:right="1800" w:bottom="1440" w:left="1800" w:header="0" w:footer="1074" w:gutter="0"/>
      <w:pgNumType w:fmt="numberInDash"/>
      <w:cols w:space="720" w:num="1"/>
      <w:docGrid w:linePitch="28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仿宋">
    <w:panose1 w:val="02010609060101010101"/>
    <w:charset w:val="86"/>
    <w:family w:val="modern"/>
    <w:pitch w:val="default"/>
    <w:sig w:usb0="800002BF" w:usb1="38CF7CFA" w:usb2="00000016" w:usb3="00000000" w:csb0="00040001" w:csb1="00000000"/>
  </w:font>
  <w:font w:name="等线 Light">
    <w:altName w:val="宋体"/>
    <w:panose1 w:val="02010600030101010101"/>
    <w:charset w:val="86"/>
    <w:family w:val="auto"/>
    <w:pitch w:val="default"/>
    <w:sig w:usb0="00000000" w:usb1="00000000" w:usb2="00000016" w:usb3="00000000" w:csb0="0004000F" w:csb1="00000000"/>
  </w:font>
  <w:font w:name="Cambria Math">
    <w:panose1 w:val="02040503050406030204"/>
    <w:charset w:val="00"/>
    <w:family w:val="roman"/>
    <w:pitch w:val="default"/>
    <w:sig w:usb0="E00002FF" w:usb1="420024FF" w:usb2="00000000" w:usb3="00000000" w:csb0="2000019F" w:csb1="00000000"/>
  </w:font>
  <w:font w:name="等线">
    <w:altName w:val="Arial Unicode MS"/>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 w:name="等线 Light">
    <w:altName w:val="RomanS"/>
    <w:panose1 w:val="00000000000000000000"/>
    <w:charset w:val="00"/>
    <w:family w:val="auto"/>
    <w:pitch w:val="default"/>
    <w:sig w:usb0="00000000" w:usb1="00000000" w:usb2="00000000" w:usb3="00000000" w:csb0="00000000" w:csb1="00000000"/>
  </w:font>
  <w:font w:name="RomanS">
    <w:panose1 w:val="02000400000000000000"/>
    <w:charset w:val="00"/>
    <w:family w:val="auto"/>
    <w:pitch w:val="default"/>
    <w:sig w:usb0="0000020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24702242"/>
      <w:docPartObj>
        <w:docPartGallery w:val="autotext"/>
      </w:docPartObj>
    </w:sdtPr>
    <w:sdtContent>
      <w:p w14:paraId="2CE3E589">
        <w:pPr>
          <w:pStyle w:val="15"/>
          <w:jc w:val="center"/>
          <w:rPr>
            <w:rFonts w:hint="eastAsia"/>
          </w:rPr>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lang w:val="zh-CN"/>
          </w:rPr>
          <w:t>2</w:t>
        </w:r>
        <w:r>
          <w:rPr>
            <w:rFonts w:ascii="Times New Roman" w:hAnsi="Times New Roman" w:cs="Times New Roman"/>
          </w:rPr>
          <w:fldChar w:fldCharType="end"/>
        </w:r>
      </w:p>
    </w:sdtContent>
  </w:sdt>
  <w:p w14:paraId="20B7E805">
    <w:pPr>
      <w:spacing w:line="14" w:lineRule="auto"/>
      <w:rPr>
        <w:rFonts w:hint="eastAsia"/>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8672655"/>
      <w:docPartObj>
        <w:docPartGallery w:val="autotext"/>
      </w:docPartObj>
    </w:sdtPr>
    <w:sdtEndPr>
      <w:rPr>
        <w:rFonts w:ascii="Times New Roman" w:hAnsi="Times New Roman" w:cs="Times New Roman"/>
      </w:rPr>
    </w:sdtEndPr>
    <w:sdtContent>
      <w:p w14:paraId="453492DC">
        <w:pPr>
          <w:pStyle w:val="15"/>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lang w:val="zh-CN"/>
          </w:rPr>
          <w:t>2</w:t>
        </w:r>
        <w:r>
          <w:rPr>
            <w:rFonts w:ascii="Times New Roman" w:hAnsi="Times New Roman" w:cs="Times New Roman"/>
          </w:rPr>
          <w:fldChar w:fldCharType="end"/>
        </w:r>
      </w:p>
    </w:sdtContent>
  </w:sdt>
  <w:p w14:paraId="13272330">
    <w:pPr>
      <w:spacing w:line="14" w:lineRule="auto"/>
      <w:rPr>
        <w:rFonts w:hint="eastAsia"/>
        <w:sz w:val="20"/>
        <w:szCs w:val="2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7E7A01">
    <w:pPr>
      <w:pStyle w:val="16"/>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50F4BE">
    <w:pPr>
      <w:spacing w:line="14" w:lineRule="auto"/>
      <w:rPr>
        <w:rFonts w:hint="eastAsia"/>
        <w:sz w:val="20"/>
        <w:szCs w:val="2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3"/>
  <w:bordersDoNotSurroundHeader w:val="1"/>
  <w:bordersDoNotSurroundFooter w:val="1"/>
  <w:documentProtection w:enforcement="0"/>
  <w:defaultTabStop w:val="420"/>
  <w:drawingGridHorizontalSpacing w:val="105"/>
  <w:drawingGridVerticalSpacing w:val="156"/>
  <w:displayHorizontalDrawingGridEvery w:val="2"/>
  <w:displayVerticalDrawingGridEvery w:val="2"/>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Y1NDBhMWQ4YzIyNjNiOGIyZDUzZDg5ODFhNDFkZTYifQ=="/>
  </w:docVars>
  <w:rsids>
    <w:rsidRoot w:val="00FF52C2"/>
    <w:rsid w:val="000027BE"/>
    <w:rsid w:val="00003CDD"/>
    <w:rsid w:val="00012713"/>
    <w:rsid w:val="00015EB5"/>
    <w:rsid w:val="00024B69"/>
    <w:rsid w:val="00026D8B"/>
    <w:rsid w:val="00027F85"/>
    <w:rsid w:val="0003318A"/>
    <w:rsid w:val="0003603F"/>
    <w:rsid w:val="000364EF"/>
    <w:rsid w:val="00042281"/>
    <w:rsid w:val="0004406B"/>
    <w:rsid w:val="00053C86"/>
    <w:rsid w:val="00061F0E"/>
    <w:rsid w:val="00066562"/>
    <w:rsid w:val="000667FA"/>
    <w:rsid w:val="00066AB7"/>
    <w:rsid w:val="0006721F"/>
    <w:rsid w:val="000766A9"/>
    <w:rsid w:val="00080A7F"/>
    <w:rsid w:val="00083728"/>
    <w:rsid w:val="00084A5A"/>
    <w:rsid w:val="00087457"/>
    <w:rsid w:val="000A1EB8"/>
    <w:rsid w:val="000A5E5F"/>
    <w:rsid w:val="000A6F13"/>
    <w:rsid w:val="000B0E7B"/>
    <w:rsid w:val="000B21D8"/>
    <w:rsid w:val="000C035D"/>
    <w:rsid w:val="000C5842"/>
    <w:rsid w:val="000C7372"/>
    <w:rsid w:val="000C73F8"/>
    <w:rsid w:val="000D0197"/>
    <w:rsid w:val="000D4EB8"/>
    <w:rsid w:val="000E0DD3"/>
    <w:rsid w:val="000F54DA"/>
    <w:rsid w:val="00106134"/>
    <w:rsid w:val="001063D9"/>
    <w:rsid w:val="0011464A"/>
    <w:rsid w:val="00122B9A"/>
    <w:rsid w:val="00123612"/>
    <w:rsid w:val="00124BA8"/>
    <w:rsid w:val="00132283"/>
    <w:rsid w:val="00133E78"/>
    <w:rsid w:val="001355DB"/>
    <w:rsid w:val="001474EC"/>
    <w:rsid w:val="00152027"/>
    <w:rsid w:val="00156380"/>
    <w:rsid w:val="00160B7F"/>
    <w:rsid w:val="0017042A"/>
    <w:rsid w:val="00171EA1"/>
    <w:rsid w:val="001829F5"/>
    <w:rsid w:val="00183027"/>
    <w:rsid w:val="001838CA"/>
    <w:rsid w:val="00185F9E"/>
    <w:rsid w:val="001908B2"/>
    <w:rsid w:val="00193E2A"/>
    <w:rsid w:val="001A4662"/>
    <w:rsid w:val="001A7211"/>
    <w:rsid w:val="001B4CBC"/>
    <w:rsid w:val="001B5A09"/>
    <w:rsid w:val="001B6CEA"/>
    <w:rsid w:val="001C25F8"/>
    <w:rsid w:val="001E167C"/>
    <w:rsid w:val="001E5AE4"/>
    <w:rsid w:val="001E6414"/>
    <w:rsid w:val="001F0682"/>
    <w:rsid w:val="001F2F62"/>
    <w:rsid w:val="001F60FC"/>
    <w:rsid w:val="00205180"/>
    <w:rsid w:val="00210799"/>
    <w:rsid w:val="00211717"/>
    <w:rsid w:val="00212454"/>
    <w:rsid w:val="00212D7D"/>
    <w:rsid w:val="00212EF7"/>
    <w:rsid w:val="00213A18"/>
    <w:rsid w:val="00225B03"/>
    <w:rsid w:val="0022686F"/>
    <w:rsid w:val="00231F9D"/>
    <w:rsid w:val="00232276"/>
    <w:rsid w:val="00240238"/>
    <w:rsid w:val="00261A39"/>
    <w:rsid w:val="00264C92"/>
    <w:rsid w:val="00266463"/>
    <w:rsid w:val="00274FEF"/>
    <w:rsid w:val="0027599B"/>
    <w:rsid w:val="0028031A"/>
    <w:rsid w:val="0028045E"/>
    <w:rsid w:val="00282027"/>
    <w:rsid w:val="002A0EFC"/>
    <w:rsid w:val="002A3884"/>
    <w:rsid w:val="002A6230"/>
    <w:rsid w:val="002B0246"/>
    <w:rsid w:val="002B2A55"/>
    <w:rsid w:val="002B3079"/>
    <w:rsid w:val="002B4DA6"/>
    <w:rsid w:val="002B611E"/>
    <w:rsid w:val="002B615C"/>
    <w:rsid w:val="002B6F6E"/>
    <w:rsid w:val="002B7ECB"/>
    <w:rsid w:val="002C271C"/>
    <w:rsid w:val="002C4342"/>
    <w:rsid w:val="002C5696"/>
    <w:rsid w:val="002C6D5B"/>
    <w:rsid w:val="002C70C8"/>
    <w:rsid w:val="002D2FB6"/>
    <w:rsid w:val="002D4A32"/>
    <w:rsid w:val="002D558B"/>
    <w:rsid w:val="002D7BF9"/>
    <w:rsid w:val="002E2C51"/>
    <w:rsid w:val="002E3C2A"/>
    <w:rsid w:val="002F353F"/>
    <w:rsid w:val="002F6598"/>
    <w:rsid w:val="00301FE9"/>
    <w:rsid w:val="00304812"/>
    <w:rsid w:val="00327AAF"/>
    <w:rsid w:val="00327D91"/>
    <w:rsid w:val="00330147"/>
    <w:rsid w:val="00332DBD"/>
    <w:rsid w:val="00334A1A"/>
    <w:rsid w:val="0033686C"/>
    <w:rsid w:val="00343BB7"/>
    <w:rsid w:val="00343FBB"/>
    <w:rsid w:val="00352B47"/>
    <w:rsid w:val="00352C3F"/>
    <w:rsid w:val="00354755"/>
    <w:rsid w:val="0036497A"/>
    <w:rsid w:val="003651B9"/>
    <w:rsid w:val="00367928"/>
    <w:rsid w:val="00375A0B"/>
    <w:rsid w:val="0038628E"/>
    <w:rsid w:val="00387001"/>
    <w:rsid w:val="00395967"/>
    <w:rsid w:val="003A0B74"/>
    <w:rsid w:val="003A2606"/>
    <w:rsid w:val="003A45D6"/>
    <w:rsid w:val="003A4616"/>
    <w:rsid w:val="003A6B20"/>
    <w:rsid w:val="003A7F88"/>
    <w:rsid w:val="003B5116"/>
    <w:rsid w:val="003C0E93"/>
    <w:rsid w:val="003C4649"/>
    <w:rsid w:val="003C582E"/>
    <w:rsid w:val="003C7407"/>
    <w:rsid w:val="003D5A1D"/>
    <w:rsid w:val="003E3135"/>
    <w:rsid w:val="003E5EA8"/>
    <w:rsid w:val="003F5710"/>
    <w:rsid w:val="003F652D"/>
    <w:rsid w:val="0041153A"/>
    <w:rsid w:val="00413F3B"/>
    <w:rsid w:val="00414D73"/>
    <w:rsid w:val="00420E5E"/>
    <w:rsid w:val="00421625"/>
    <w:rsid w:val="004228C8"/>
    <w:rsid w:val="00423B02"/>
    <w:rsid w:val="00424A16"/>
    <w:rsid w:val="004301DE"/>
    <w:rsid w:val="004366F3"/>
    <w:rsid w:val="00444E43"/>
    <w:rsid w:val="00462965"/>
    <w:rsid w:val="004660D1"/>
    <w:rsid w:val="00470201"/>
    <w:rsid w:val="00470BCA"/>
    <w:rsid w:val="004757A2"/>
    <w:rsid w:val="00483371"/>
    <w:rsid w:val="004858C3"/>
    <w:rsid w:val="00491C3E"/>
    <w:rsid w:val="004927CC"/>
    <w:rsid w:val="00494152"/>
    <w:rsid w:val="0049698B"/>
    <w:rsid w:val="004977AA"/>
    <w:rsid w:val="004A0E5A"/>
    <w:rsid w:val="004A3C9D"/>
    <w:rsid w:val="004A491F"/>
    <w:rsid w:val="004A4D71"/>
    <w:rsid w:val="004B3BA4"/>
    <w:rsid w:val="004B7284"/>
    <w:rsid w:val="004C4E23"/>
    <w:rsid w:val="004C5BA0"/>
    <w:rsid w:val="004C63BB"/>
    <w:rsid w:val="004C7ED9"/>
    <w:rsid w:val="004D2327"/>
    <w:rsid w:val="004D79D5"/>
    <w:rsid w:val="004E17D7"/>
    <w:rsid w:val="004E391F"/>
    <w:rsid w:val="004E441B"/>
    <w:rsid w:val="004F2859"/>
    <w:rsid w:val="0050102D"/>
    <w:rsid w:val="005052FD"/>
    <w:rsid w:val="00506CCF"/>
    <w:rsid w:val="00507C3B"/>
    <w:rsid w:val="005117F7"/>
    <w:rsid w:val="005169FB"/>
    <w:rsid w:val="00517C0D"/>
    <w:rsid w:val="00520B1E"/>
    <w:rsid w:val="005212C1"/>
    <w:rsid w:val="00524E1E"/>
    <w:rsid w:val="00524FE5"/>
    <w:rsid w:val="005251F2"/>
    <w:rsid w:val="00525C83"/>
    <w:rsid w:val="005307CF"/>
    <w:rsid w:val="005321DC"/>
    <w:rsid w:val="0053679C"/>
    <w:rsid w:val="00543540"/>
    <w:rsid w:val="0055717F"/>
    <w:rsid w:val="00561813"/>
    <w:rsid w:val="005662EC"/>
    <w:rsid w:val="00566D75"/>
    <w:rsid w:val="00577A25"/>
    <w:rsid w:val="005812EA"/>
    <w:rsid w:val="00582CA9"/>
    <w:rsid w:val="005852A0"/>
    <w:rsid w:val="00591145"/>
    <w:rsid w:val="005939F1"/>
    <w:rsid w:val="005A66E1"/>
    <w:rsid w:val="005B1547"/>
    <w:rsid w:val="005B1FB8"/>
    <w:rsid w:val="005B2281"/>
    <w:rsid w:val="005B2C26"/>
    <w:rsid w:val="005B52F4"/>
    <w:rsid w:val="005B550E"/>
    <w:rsid w:val="005B5C19"/>
    <w:rsid w:val="005C0E97"/>
    <w:rsid w:val="005C1EDD"/>
    <w:rsid w:val="005C4181"/>
    <w:rsid w:val="005C5C0F"/>
    <w:rsid w:val="005C7B49"/>
    <w:rsid w:val="005E0AA4"/>
    <w:rsid w:val="005E53C5"/>
    <w:rsid w:val="005E5E62"/>
    <w:rsid w:val="005F0DBB"/>
    <w:rsid w:val="005F2CFA"/>
    <w:rsid w:val="005F40D5"/>
    <w:rsid w:val="00604589"/>
    <w:rsid w:val="00604BD5"/>
    <w:rsid w:val="00610E8D"/>
    <w:rsid w:val="00611793"/>
    <w:rsid w:val="00620702"/>
    <w:rsid w:val="00622A9C"/>
    <w:rsid w:val="00622CA3"/>
    <w:rsid w:val="00623201"/>
    <w:rsid w:val="006239B8"/>
    <w:rsid w:val="00624B35"/>
    <w:rsid w:val="00633190"/>
    <w:rsid w:val="00635ADB"/>
    <w:rsid w:val="00641F09"/>
    <w:rsid w:val="006535AC"/>
    <w:rsid w:val="00656ED4"/>
    <w:rsid w:val="00667CCE"/>
    <w:rsid w:val="006721CC"/>
    <w:rsid w:val="00672D14"/>
    <w:rsid w:val="006809E2"/>
    <w:rsid w:val="00681B2F"/>
    <w:rsid w:val="00681D63"/>
    <w:rsid w:val="00682C23"/>
    <w:rsid w:val="006846C8"/>
    <w:rsid w:val="0068589B"/>
    <w:rsid w:val="00686319"/>
    <w:rsid w:val="0069144B"/>
    <w:rsid w:val="00692A5A"/>
    <w:rsid w:val="006B608B"/>
    <w:rsid w:val="006C3159"/>
    <w:rsid w:val="006D02B2"/>
    <w:rsid w:val="006D0F2A"/>
    <w:rsid w:val="006D1231"/>
    <w:rsid w:val="006D4D61"/>
    <w:rsid w:val="00702B3A"/>
    <w:rsid w:val="00704C81"/>
    <w:rsid w:val="00705772"/>
    <w:rsid w:val="0070710C"/>
    <w:rsid w:val="00712AD4"/>
    <w:rsid w:val="00715A85"/>
    <w:rsid w:val="00716174"/>
    <w:rsid w:val="00721676"/>
    <w:rsid w:val="007230F1"/>
    <w:rsid w:val="007237AF"/>
    <w:rsid w:val="0073068A"/>
    <w:rsid w:val="00734BE9"/>
    <w:rsid w:val="00734FCA"/>
    <w:rsid w:val="00744765"/>
    <w:rsid w:val="00751D2B"/>
    <w:rsid w:val="007520B9"/>
    <w:rsid w:val="00757182"/>
    <w:rsid w:val="00763FCA"/>
    <w:rsid w:val="007658DC"/>
    <w:rsid w:val="00765F81"/>
    <w:rsid w:val="007665F1"/>
    <w:rsid w:val="007805B6"/>
    <w:rsid w:val="00784D9A"/>
    <w:rsid w:val="0078556C"/>
    <w:rsid w:val="00790B06"/>
    <w:rsid w:val="00790B23"/>
    <w:rsid w:val="007A15DB"/>
    <w:rsid w:val="007A318C"/>
    <w:rsid w:val="007B5C94"/>
    <w:rsid w:val="007B76FB"/>
    <w:rsid w:val="007D28B7"/>
    <w:rsid w:val="007D2CE9"/>
    <w:rsid w:val="007D73FE"/>
    <w:rsid w:val="007D7713"/>
    <w:rsid w:val="007E4421"/>
    <w:rsid w:val="007F14AF"/>
    <w:rsid w:val="007F545C"/>
    <w:rsid w:val="007F5910"/>
    <w:rsid w:val="00804573"/>
    <w:rsid w:val="00807D72"/>
    <w:rsid w:val="0081467E"/>
    <w:rsid w:val="00820812"/>
    <w:rsid w:val="00831E09"/>
    <w:rsid w:val="00831E27"/>
    <w:rsid w:val="00837E0F"/>
    <w:rsid w:val="00840776"/>
    <w:rsid w:val="0084391F"/>
    <w:rsid w:val="0084618B"/>
    <w:rsid w:val="00853DFF"/>
    <w:rsid w:val="00870D67"/>
    <w:rsid w:val="00871EB8"/>
    <w:rsid w:val="00880268"/>
    <w:rsid w:val="00884011"/>
    <w:rsid w:val="00887434"/>
    <w:rsid w:val="00896DED"/>
    <w:rsid w:val="008A17B2"/>
    <w:rsid w:val="008A5B8E"/>
    <w:rsid w:val="008B0B36"/>
    <w:rsid w:val="008B3475"/>
    <w:rsid w:val="008C243B"/>
    <w:rsid w:val="008C2A52"/>
    <w:rsid w:val="008C2D3D"/>
    <w:rsid w:val="008C75B8"/>
    <w:rsid w:val="008D2CEE"/>
    <w:rsid w:val="008D3B63"/>
    <w:rsid w:val="008D616A"/>
    <w:rsid w:val="008D68E9"/>
    <w:rsid w:val="008E203D"/>
    <w:rsid w:val="008E253F"/>
    <w:rsid w:val="008E64D6"/>
    <w:rsid w:val="008F4441"/>
    <w:rsid w:val="008F7EC7"/>
    <w:rsid w:val="00900A3E"/>
    <w:rsid w:val="009017B2"/>
    <w:rsid w:val="00907BC6"/>
    <w:rsid w:val="00917004"/>
    <w:rsid w:val="00921A70"/>
    <w:rsid w:val="00924B71"/>
    <w:rsid w:val="0092512C"/>
    <w:rsid w:val="00930FCC"/>
    <w:rsid w:val="0093119C"/>
    <w:rsid w:val="0093352E"/>
    <w:rsid w:val="00934949"/>
    <w:rsid w:val="00935B92"/>
    <w:rsid w:val="00944CC4"/>
    <w:rsid w:val="009461A0"/>
    <w:rsid w:val="00946E3A"/>
    <w:rsid w:val="009641FD"/>
    <w:rsid w:val="0096467A"/>
    <w:rsid w:val="00972D72"/>
    <w:rsid w:val="00973762"/>
    <w:rsid w:val="009774CE"/>
    <w:rsid w:val="009879F7"/>
    <w:rsid w:val="0099226C"/>
    <w:rsid w:val="00992E25"/>
    <w:rsid w:val="00994695"/>
    <w:rsid w:val="0099794B"/>
    <w:rsid w:val="009A3F58"/>
    <w:rsid w:val="009A7543"/>
    <w:rsid w:val="009A75F1"/>
    <w:rsid w:val="009A77F9"/>
    <w:rsid w:val="009B309E"/>
    <w:rsid w:val="009B4DC0"/>
    <w:rsid w:val="009B5546"/>
    <w:rsid w:val="009B6CD6"/>
    <w:rsid w:val="009C2566"/>
    <w:rsid w:val="009C5F31"/>
    <w:rsid w:val="009C77FC"/>
    <w:rsid w:val="009D2E51"/>
    <w:rsid w:val="009D7CD1"/>
    <w:rsid w:val="009E2215"/>
    <w:rsid w:val="009E528C"/>
    <w:rsid w:val="009F331C"/>
    <w:rsid w:val="009F50CF"/>
    <w:rsid w:val="009F6C80"/>
    <w:rsid w:val="00A03107"/>
    <w:rsid w:val="00A042D4"/>
    <w:rsid w:val="00A07BA7"/>
    <w:rsid w:val="00A1013A"/>
    <w:rsid w:val="00A13B93"/>
    <w:rsid w:val="00A13F25"/>
    <w:rsid w:val="00A2062D"/>
    <w:rsid w:val="00A2344B"/>
    <w:rsid w:val="00A345DB"/>
    <w:rsid w:val="00A41D0D"/>
    <w:rsid w:val="00A41E15"/>
    <w:rsid w:val="00A443CC"/>
    <w:rsid w:val="00A45587"/>
    <w:rsid w:val="00A45C56"/>
    <w:rsid w:val="00A46737"/>
    <w:rsid w:val="00A527A9"/>
    <w:rsid w:val="00A541E7"/>
    <w:rsid w:val="00A63A43"/>
    <w:rsid w:val="00A64338"/>
    <w:rsid w:val="00A67CAF"/>
    <w:rsid w:val="00A725CD"/>
    <w:rsid w:val="00A76E38"/>
    <w:rsid w:val="00A774BD"/>
    <w:rsid w:val="00A80E0A"/>
    <w:rsid w:val="00A83F3B"/>
    <w:rsid w:val="00A87E70"/>
    <w:rsid w:val="00A943C7"/>
    <w:rsid w:val="00AA091F"/>
    <w:rsid w:val="00AA238C"/>
    <w:rsid w:val="00AA24BD"/>
    <w:rsid w:val="00AB3B0C"/>
    <w:rsid w:val="00AB48D8"/>
    <w:rsid w:val="00AB5FAB"/>
    <w:rsid w:val="00AC3F6B"/>
    <w:rsid w:val="00AD218D"/>
    <w:rsid w:val="00AE1F5A"/>
    <w:rsid w:val="00AF179C"/>
    <w:rsid w:val="00AF35E0"/>
    <w:rsid w:val="00AF3C2B"/>
    <w:rsid w:val="00B00555"/>
    <w:rsid w:val="00B05F08"/>
    <w:rsid w:val="00B10FB5"/>
    <w:rsid w:val="00B2025D"/>
    <w:rsid w:val="00B21BBC"/>
    <w:rsid w:val="00B22691"/>
    <w:rsid w:val="00B22B75"/>
    <w:rsid w:val="00B36AB4"/>
    <w:rsid w:val="00B36CDE"/>
    <w:rsid w:val="00B42FBE"/>
    <w:rsid w:val="00B51272"/>
    <w:rsid w:val="00B55469"/>
    <w:rsid w:val="00B55DFF"/>
    <w:rsid w:val="00B55FD5"/>
    <w:rsid w:val="00B57CBA"/>
    <w:rsid w:val="00B724DB"/>
    <w:rsid w:val="00B80584"/>
    <w:rsid w:val="00B80AB1"/>
    <w:rsid w:val="00B83B93"/>
    <w:rsid w:val="00B86A6E"/>
    <w:rsid w:val="00B96F40"/>
    <w:rsid w:val="00BA10CD"/>
    <w:rsid w:val="00BA11CA"/>
    <w:rsid w:val="00BA1BEF"/>
    <w:rsid w:val="00BA543C"/>
    <w:rsid w:val="00BB1E66"/>
    <w:rsid w:val="00BB1EB0"/>
    <w:rsid w:val="00BB58EC"/>
    <w:rsid w:val="00BB5BAA"/>
    <w:rsid w:val="00BB651A"/>
    <w:rsid w:val="00BB71B1"/>
    <w:rsid w:val="00BC2B35"/>
    <w:rsid w:val="00BC590B"/>
    <w:rsid w:val="00BD45D6"/>
    <w:rsid w:val="00BD5652"/>
    <w:rsid w:val="00BF496B"/>
    <w:rsid w:val="00BF5ED0"/>
    <w:rsid w:val="00C058BB"/>
    <w:rsid w:val="00C11DC3"/>
    <w:rsid w:val="00C21442"/>
    <w:rsid w:val="00C21647"/>
    <w:rsid w:val="00C21943"/>
    <w:rsid w:val="00C2232B"/>
    <w:rsid w:val="00C231FF"/>
    <w:rsid w:val="00C3535F"/>
    <w:rsid w:val="00C40FF2"/>
    <w:rsid w:val="00C41BED"/>
    <w:rsid w:val="00C56325"/>
    <w:rsid w:val="00C5659C"/>
    <w:rsid w:val="00C574FB"/>
    <w:rsid w:val="00C6470A"/>
    <w:rsid w:val="00C7285A"/>
    <w:rsid w:val="00C73FDE"/>
    <w:rsid w:val="00C75AD4"/>
    <w:rsid w:val="00C766F4"/>
    <w:rsid w:val="00C872DD"/>
    <w:rsid w:val="00C87C12"/>
    <w:rsid w:val="00C920DE"/>
    <w:rsid w:val="00C978FA"/>
    <w:rsid w:val="00CA0D24"/>
    <w:rsid w:val="00CA0D5E"/>
    <w:rsid w:val="00CA4FDC"/>
    <w:rsid w:val="00CB0771"/>
    <w:rsid w:val="00CB10B8"/>
    <w:rsid w:val="00CB2291"/>
    <w:rsid w:val="00CB424A"/>
    <w:rsid w:val="00CC4361"/>
    <w:rsid w:val="00CD230E"/>
    <w:rsid w:val="00CD25F6"/>
    <w:rsid w:val="00CD561F"/>
    <w:rsid w:val="00CE4BE7"/>
    <w:rsid w:val="00CE5687"/>
    <w:rsid w:val="00CE5FB5"/>
    <w:rsid w:val="00CE663E"/>
    <w:rsid w:val="00CF4A22"/>
    <w:rsid w:val="00CF6FB3"/>
    <w:rsid w:val="00D028A7"/>
    <w:rsid w:val="00D029AC"/>
    <w:rsid w:val="00D03885"/>
    <w:rsid w:val="00D038FC"/>
    <w:rsid w:val="00D242B5"/>
    <w:rsid w:val="00D3001B"/>
    <w:rsid w:val="00D30CE7"/>
    <w:rsid w:val="00D3517F"/>
    <w:rsid w:val="00D4307B"/>
    <w:rsid w:val="00D44193"/>
    <w:rsid w:val="00D46DF0"/>
    <w:rsid w:val="00D47BAB"/>
    <w:rsid w:val="00D573DD"/>
    <w:rsid w:val="00D60F0F"/>
    <w:rsid w:val="00D72CA5"/>
    <w:rsid w:val="00D80A6E"/>
    <w:rsid w:val="00D84535"/>
    <w:rsid w:val="00D84FB7"/>
    <w:rsid w:val="00D87BB2"/>
    <w:rsid w:val="00D91F5F"/>
    <w:rsid w:val="00D92255"/>
    <w:rsid w:val="00D92A44"/>
    <w:rsid w:val="00DA2251"/>
    <w:rsid w:val="00DB356D"/>
    <w:rsid w:val="00DC2D00"/>
    <w:rsid w:val="00DC3270"/>
    <w:rsid w:val="00DE01AB"/>
    <w:rsid w:val="00DE48AF"/>
    <w:rsid w:val="00DE4A13"/>
    <w:rsid w:val="00DF24DE"/>
    <w:rsid w:val="00DF2A05"/>
    <w:rsid w:val="00DF375C"/>
    <w:rsid w:val="00DF3F0F"/>
    <w:rsid w:val="00E043BC"/>
    <w:rsid w:val="00E05747"/>
    <w:rsid w:val="00E1379C"/>
    <w:rsid w:val="00E143C8"/>
    <w:rsid w:val="00E205D1"/>
    <w:rsid w:val="00E2095C"/>
    <w:rsid w:val="00E2790B"/>
    <w:rsid w:val="00E27AA3"/>
    <w:rsid w:val="00E367AE"/>
    <w:rsid w:val="00E407D9"/>
    <w:rsid w:val="00E476BD"/>
    <w:rsid w:val="00E52930"/>
    <w:rsid w:val="00E5593A"/>
    <w:rsid w:val="00E56FA7"/>
    <w:rsid w:val="00E62DF7"/>
    <w:rsid w:val="00E71057"/>
    <w:rsid w:val="00E73616"/>
    <w:rsid w:val="00E7531C"/>
    <w:rsid w:val="00E82119"/>
    <w:rsid w:val="00E8368A"/>
    <w:rsid w:val="00E86A66"/>
    <w:rsid w:val="00E87B44"/>
    <w:rsid w:val="00E9304D"/>
    <w:rsid w:val="00E94D5D"/>
    <w:rsid w:val="00EB0895"/>
    <w:rsid w:val="00EB0D13"/>
    <w:rsid w:val="00EB32EF"/>
    <w:rsid w:val="00EB4B54"/>
    <w:rsid w:val="00EB6C13"/>
    <w:rsid w:val="00EB7C04"/>
    <w:rsid w:val="00EC32B4"/>
    <w:rsid w:val="00EC5839"/>
    <w:rsid w:val="00EC6631"/>
    <w:rsid w:val="00EC68E3"/>
    <w:rsid w:val="00ED1B90"/>
    <w:rsid w:val="00ED27DC"/>
    <w:rsid w:val="00ED454D"/>
    <w:rsid w:val="00EE015A"/>
    <w:rsid w:val="00EE03A6"/>
    <w:rsid w:val="00EE04F9"/>
    <w:rsid w:val="00EE25FB"/>
    <w:rsid w:val="00EE27EB"/>
    <w:rsid w:val="00EE2F03"/>
    <w:rsid w:val="00EE3DB5"/>
    <w:rsid w:val="00EE56AB"/>
    <w:rsid w:val="00EE6299"/>
    <w:rsid w:val="00F067B3"/>
    <w:rsid w:val="00F115B2"/>
    <w:rsid w:val="00F167C3"/>
    <w:rsid w:val="00F17AC0"/>
    <w:rsid w:val="00F22296"/>
    <w:rsid w:val="00F2265E"/>
    <w:rsid w:val="00F231DF"/>
    <w:rsid w:val="00F232A8"/>
    <w:rsid w:val="00F2357E"/>
    <w:rsid w:val="00F24D53"/>
    <w:rsid w:val="00F25DE8"/>
    <w:rsid w:val="00F26DE9"/>
    <w:rsid w:val="00F26F71"/>
    <w:rsid w:val="00F337C9"/>
    <w:rsid w:val="00F42D0B"/>
    <w:rsid w:val="00F44E8A"/>
    <w:rsid w:val="00F47102"/>
    <w:rsid w:val="00F47BAD"/>
    <w:rsid w:val="00F53D3E"/>
    <w:rsid w:val="00F56E20"/>
    <w:rsid w:val="00F65C4B"/>
    <w:rsid w:val="00F70CBF"/>
    <w:rsid w:val="00F71915"/>
    <w:rsid w:val="00F729C0"/>
    <w:rsid w:val="00F764F4"/>
    <w:rsid w:val="00F7660E"/>
    <w:rsid w:val="00F76F83"/>
    <w:rsid w:val="00F774B3"/>
    <w:rsid w:val="00F80002"/>
    <w:rsid w:val="00F85421"/>
    <w:rsid w:val="00F8723B"/>
    <w:rsid w:val="00F9555A"/>
    <w:rsid w:val="00F96F45"/>
    <w:rsid w:val="00FA166E"/>
    <w:rsid w:val="00FA210D"/>
    <w:rsid w:val="00FB22D2"/>
    <w:rsid w:val="00FB589F"/>
    <w:rsid w:val="00FC529B"/>
    <w:rsid w:val="00FC7124"/>
    <w:rsid w:val="00FD047D"/>
    <w:rsid w:val="00FD582F"/>
    <w:rsid w:val="00FE0CE0"/>
    <w:rsid w:val="00FE27A8"/>
    <w:rsid w:val="00FE2976"/>
    <w:rsid w:val="00FE5BD4"/>
    <w:rsid w:val="00FF0043"/>
    <w:rsid w:val="00FF009D"/>
    <w:rsid w:val="00FF3201"/>
    <w:rsid w:val="00FF52C2"/>
    <w:rsid w:val="00FF57CD"/>
    <w:rsid w:val="00FF65F0"/>
    <w:rsid w:val="00FF789A"/>
    <w:rsid w:val="06CB54F9"/>
    <w:rsid w:val="08740612"/>
    <w:rsid w:val="08A104B3"/>
    <w:rsid w:val="0B1A1C1D"/>
    <w:rsid w:val="0E7F6DED"/>
    <w:rsid w:val="141C5330"/>
    <w:rsid w:val="1B225ADB"/>
    <w:rsid w:val="1C211B6E"/>
    <w:rsid w:val="1D3F440C"/>
    <w:rsid w:val="22B840A9"/>
    <w:rsid w:val="242C07B1"/>
    <w:rsid w:val="28926F53"/>
    <w:rsid w:val="29BE3DF9"/>
    <w:rsid w:val="2B1C3E2C"/>
    <w:rsid w:val="2F515691"/>
    <w:rsid w:val="351A4DCA"/>
    <w:rsid w:val="36476C88"/>
    <w:rsid w:val="3BA31881"/>
    <w:rsid w:val="3C444A00"/>
    <w:rsid w:val="420216B7"/>
    <w:rsid w:val="428C15C5"/>
    <w:rsid w:val="43DE4C88"/>
    <w:rsid w:val="515B276B"/>
    <w:rsid w:val="519830F2"/>
    <w:rsid w:val="543625B3"/>
    <w:rsid w:val="575543AF"/>
    <w:rsid w:val="58EB6569"/>
    <w:rsid w:val="59F87F12"/>
    <w:rsid w:val="5D8911D4"/>
    <w:rsid w:val="62F95C53"/>
    <w:rsid w:val="63916F82"/>
    <w:rsid w:val="6ABF24C5"/>
    <w:rsid w:val="6BD87D27"/>
    <w:rsid w:val="6E272CF0"/>
    <w:rsid w:val="6FB70075"/>
    <w:rsid w:val="71E5284D"/>
    <w:rsid w:val="753574CF"/>
    <w:rsid w:val="76250048"/>
    <w:rsid w:val="78251321"/>
    <w:rsid w:val="78E15C77"/>
    <w:rsid w:val="7DAB494E"/>
    <w:rsid w:val="7F2917F1"/>
    <w:rsid w:val="D6F7338B"/>
    <w:rsid w:val="D7FFDF92"/>
    <w:rsid w:val="DFFD0357"/>
    <w:rsid w:val="EBF7B0D6"/>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5"/>
    <w:qFormat/>
    <w:uiPriority w:val="9"/>
    <w:pPr>
      <w:keepNext/>
      <w:keepLines/>
      <w:spacing w:line="360" w:lineRule="auto"/>
      <w:outlineLvl w:val="0"/>
    </w:pPr>
    <w:rPr>
      <w:rFonts w:ascii="Times New Roman" w:hAnsi="Times New Roman" w:eastAsia="宋体"/>
      <w:b/>
      <w:bCs/>
      <w:kern w:val="44"/>
      <w:sz w:val="32"/>
      <w:szCs w:val="44"/>
    </w:rPr>
  </w:style>
  <w:style w:type="paragraph" w:styleId="3">
    <w:name w:val="heading 2"/>
    <w:basedOn w:val="4"/>
    <w:next w:val="1"/>
    <w:link w:val="33"/>
    <w:unhideWhenUsed/>
    <w:qFormat/>
    <w:uiPriority w:val="9"/>
    <w:pPr>
      <w:ind w:firstLine="0" w:firstLineChars="0"/>
      <w:outlineLvl w:val="1"/>
    </w:pPr>
    <w:rPr>
      <w:b/>
      <w:sz w:val="30"/>
    </w:rPr>
  </w:style>
  <w:style w:type="paragraph" w:styleId="5">
    <w:name w:val="heading 3"/>
    <w:basedOn w:val="1"/>
    <w:next w:val="1"/>
    <w:link w:val="44"/>
    <w:unhideWhenUsed/>
    <w:qFormat/>
    <w:uiPriority w:val="9"/>
    <w:pPr>
      <w:keepNext/>
      <w:keepLines/>
      <w:spacing w:line="360" w:lineRule="auto"/>
      <w:outlineLvl w:val="2"/>
    </w:pPr>
    <w:rPr>
      <w:rFonts w:ascii="Times New Roman" w:hAnsi="Times New Roman" w:eastAsia="宋体"/>
      <w:b/>
      <w:bCs/>
      <w:sz w:val="28"/>
      <w:szCs w:val="32"/>
    </w:rPr>
  </w:style>
  <w:style w:type="paragraph" w:styleId="6">
    <w:name w:val="heading 4"/>
    <w:basedOn w:val="1"/>
    <w:next w:val="1"/>
    <w:link w:val="54"/>
    <w:unhideWhenUsed/>
    <w:qFormat/>
    <w:uiPriority w:val="9"/>
    <w:pPr>
      <w:keepNext/>
      <w:keepLines/>
      <w:spacing w:line="360" w:lineRule="auto"/>
      <w:outlineLvl w:val="3"/>
    </w:pPr>
    <w:rPr>
      <w:rFonts w:ascii="Times New Roman" w:hAnsi="Times New Roman" w:eastAsia="宋体" w:cstheme="majorBidi"/>
      <w:b/>
      <w:bCs/>
      <w:sz w:val="24"/>
      <w:szCs w:val="28"/>
    </w:rPr>
  </w:style>
  <w:style w:type="paragraph" w:styleId="7">
    <w:name w:val="heading 5"/>
    <w:basedOn w:val="1"/>
    <w:next w:val="1"/>
    <w:link w:val="57"/>
    <w:unhideWhenUsed/>
    <w:qFormat/>
    <w:uiPriority w:val="9"/>
    <w:pPr>
      <w:keepNext/>
      <w:keepLines/>
      <w:spacing w:before="280" w:after="290" w:line="376" w:lineRule="auto"/>
      <w:outlineLvl w:val="4"/>
    </w:pPr>
    <w:rPr>
      <w:b/>
      <w:bCs/>
      <w:sz w:val="28"/>
      <w:szCs w:val="28"/>
    </w:rPr>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customStyle="1" w:styleId="4">
    <w:name w:val="正文还hy"/>
    <w:basedOn w:val="1"/>
    <w:link w:val="32"/>
    <w:qFormat/>
    <w:uiPriority w:val="0"/>
    <w:pPr>
      <w:snapToGrid w:val="0"/>
      <w:spacing w:line="360" w:lineRule="auto"/>
      <w:ind w:firstLine="200" w:firstLineChars="200"/>
    </w:pPr>
    <w:rPr>
      <w:rFonts w:ascii="Times New Roman" w:hAnsi="Times New Roman" w:eastAsia="宋体"/>
      <w:sz w:val="24"/>
      <w:szCs w:val="28"/>
    </w:rPr>
  </w:style>
  <w:style w:type="paragraph" w:styleId="8">
    <w:name w:val="toc 7"/>
    <w:basedOn w:val="1"/>
    <w:next w:val="1"/>
    <w:unhideWhenUsed/>
    <w:qFormat/>
    <w:uiPriority w:val="39"/>
    <w:pPr>
      <w:ind w:left="2520" w:leftChars="1200"/>
    </w:pPr>
  </w:style>
  <w:style w:type="paragraph" w:styleId="9">
    <w:name w:val="caption"/>
    <w:basedOn w:val="1"/>
    <w:next w:val="1"/>
    <w:unhideWhenUsed/>
    <w:qFormat/>
    <w:uiPriority w:val="0"/>
    <w:pPr>
      <w:jc w:val="center"/>
    </w:pPr>
    <w:rPr>
      <w:rFonts w:ascii="Times New Roman" w:hAnsi="Times New Roman" w:eastAsia="宋体"/>
      <w:b/>
      <w:szCs w:val="24"/>
    </w:rPr>
  </w:style>
  <w:style w:type="paragraph" w:styleId="10">
    <w:name w:val="annotation text"/>
    <w:basedOn w:val="1"/>
    <w:link w:val="49"/>
    <w:semiHidden/>
    <w:unhideWhenUsed/>
    <w:qFormat/>
    <w:uiPriority w:val="99"/>
    <w:pPr>
      <w:jc w:val="left"/>
    </w:pPr>
  </w:style>
  <w:style w:type="paragraph" w:styleId="11">
    <w:name w:val="Body Text"/>
    <w:basedOn w:val="1"/>
    <w:link w:val="51"/>
    <w:qFormat/>
    <w:uiPriority w:val="1"/>
    <w:pPr>
      <w:spacing w:before="135"/>
      <w:ind w:left="120"/>
      <w:jc w:val="left"/>
    </w:pPr>
    <w:rPr>
      <w:rFonts w:ascii="宋体" w:hAnsi="宋体" w:eastAsia="宋体"/>
      <w:kern w:val="0"/>
      <w:sz w:val="24"/>
      <w:szCs w:val="24"/>
      <w:lang w:eastAsia="en-US"/>
    </w:rPr>
  </w:style>
  <w:style w:type="paragraph" w:styleId="12">
    <w:name w:val="toc 5"/>
    <w:basedOn w:val="1"/>
    <w:next w:val="1"/>
    <w:unhideWhenUsed/>
    <w:qFormat/>
    <w:uiPriority w:val="39"/>
    <w:pPr>
      <w:ind w:left="1680" w:leftChars="800"/>
    </w:pPr>
  </w:style>
  <w:style w:type="paragraph" w:styleId="13">
    <w:name w:val="toc 3"/>
    <w:basedOn w:val="1"/>
    <w:next w:val="1"/>
    <w:unhideWhenUsed/>
    <w:qFormat/>
    <w:uiPriority w:val="39"/>
    <w:pPr>
      <w:ind w:left="840" w:leftChars="400"/>
    </w:pPr>
  </w:style>
  <w:style w:type="paragraph" w:styleId="14">
    <w:name w:val="toc 8"/>
    <w:basedOn w:val="1"/>
    <w:next w:val="1"/>
    <w:unhideWhenUsed/>
    <w:qFormat/>
    <w:uiPriority w:val="39"/>
    <w:pPr>
      <w:ind w:left="2940" w:leftChars="1400"/>
    </w:pPr>
  </w:style>
  <w:style w:type="paragraph" w:styleId="15">
    <w:name w:val="footer"/>
    <w:basedOn w:val="1"/>
    <w:link w:val="30"/>
    <w:unhideWhenUsed/>
    <w:qFormat/>
    <w:uiPriority w:val="99"/>
    <w:pPr>
      <w:tabs>
        <w:tab w:val="center" w:pos="4153"/>
        <w:tab w:val="right" w:pos="8306"/>
      </w:tabs>
      <w:snapToGrid w:val="0"/>
      <w:jc w:val="left"/>
    </w:pPr>
    <w:rPr>
      <w:sz w:val="18"/>
      <w:szCs w:val="18"/>
    </w:rPr>
  </w:style>
  <w:style w:type="paragraph" w:styleId="16">
    <w:name w:val="header"/>
    <w:basedOn w:val="1"/>
    <w:link w:val="29"/>
    <w:unhideWhenUsed/>
    <w:qFormat/>
    <w:uiPriority w:val="99"/>
    <w:pPr>
      <w:tabs>
        <w:tab w:val="center" w:pos="4153"/>
        <w:tab w:val="right" w:pos="8306"/>
      </w:tabs>
      <w:snapToGrid w:val="0"/>
      <w:jc w:val="center"/>
    </w:pPr>
    <w:rPr>
      <w:sz w:val="18"/>
      <w:szCs w:val="18"/>
    </w:rPr>
  </w:style>
  <w:style w:type="paragraph" w:styleId="17">
    <w:name w:val="toc 1"/>
    <w:basedOn w:val="1"/>
    <w:next w:val="1"/>
    <w:unhideWhenUsed/>
    <w:qFormat/>
    <w:uiPriority w:val="39"/>
  </w:style>
  <w:style w:type="paragraph" w:styleId="18">
    <w:name w:val="toc 4"/>
    <w:basedOn w:val="1"/>
    <w:next w:val="1"/>
    <w:unhideWhenUsed/>
    <w:qFormat/>
    <w:uiPriority w:val="39"/>
    <w:pPr>
      <w:ind w:left="1260" w:leftChars="600"/>
    </w:pPr>
  </w:style>
  <w:style w:type="paragraph" w:styleId="19">
    <w:name w:val="toc 6"/>
    <w:basedOn w:val="1"/>
    <w:next w:val="1"/>
    <w:unhideWhenUsed/>
    <w:qFormat/>
    <w:uiPriority w:val="39"/>
    <w:pPr>
      <w:ind w:left="2100" w:leftChars="1000"/>
    </w:pPr>
  </w:style>
  <w:style w:type="paragraph" w:styleId="20">
    <w:name w:val="toc 2"/>
    <w:basedOn w:val="1"/>
    <w:next w:val="1"/>
    <w:unhideWhenUsed/>
    <w:qFormat/>
    <w:uiPriority w:val="39"/>
    <w:pPr>
      <w:ind w:left="420" w:leftChars="200"/>
    </w:pPr>
  </w:style>
  <w:style w:type="paragraph" w:styleId="21">
    <w:name w:val="toc 9"/>
    <w:basedOn w:val="1"/>
    <w:next w:val="1"/>
    <w:unhideWhenUsed/>
    <w:qFormat/>
    <w:uiPriority w:val="39"/>
    <w:pPr>
      <w:ind w:left="3360" w:leftChars="1600"/>
    </w:pPr>
  </w:style>
  <w:style w:type="paragraph" w:styleId="22">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24">
    <w:name w:val="Table Grid"/>
    <w:basedOn w:val="2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22"/>
    <w:rPr>
      <w:b/>
      <w:bCs/>
    </w:rPr>
  </w:style>
  <w:style w:type="character" w:styleId="27">
    <w:name w:val="Hyperlink"/>
    <w:basedOn w:val="25"/>
    <w:unhideWhenUsed/>
    <w:qFormat/>
    <w:uiPriority w:val="99"/>
    <w:rPr>
      <w:color w:val="467886" w:themeColor="hyperlink"/>
      <w:u w:val="single"/>
      <w14:textFill>
        <w14:solidFill>
          <w14:schemeClr w14:val="hlink"/>
        </w14:solidFill>
      </w14:textFill>
    </w:rPr>
  </w:style>
  <w:style w:type="character" w:styleId="28">
    <w:name w:val="annotation reference"/>
    <w:basedOn w:val="25"/>
    <w:semiHidden/>
    <w:unhideWhenUsed/>
    <w:qFormat/>
    <w:uiPriority w:val="99"/>
    <w:rPr>
      <w:sz w:val="21"/>
      <w:szCs w:val="21"/>
    </w:rPr>
  </w:style>
  <w:style w:type="character" w:customStyle="1" w:styleId="29">
    <w:name w:val="页眉 字符"/>
    <w:basedOn w:val="25"/>
    <w:link w:val="16"/>
    <w:qFormat/>
    <w:uiPriority w:val="99"/>
    <w:rPr>
      <w:sz w:val="18"/>
      <w:szCs w:val="18"/>
    </w:rPr>
  </w:style>
  <w:style w:type="character" w:customStyle="1" w:styleId="30">
    <w:name w:val="页脚 字符"/>
    <w:basedOn w:val="25"/>
    <w:link w:val="15"/>
    <w:qFormat/>
    <w:uiPriority w:val="99"/>
    <w:rPr>
      <w:sz w:val="18"/>
      <w:szCs w:val="18"/>
    </w:rPr>
  </w:style>
  <w:style w:type="paragraph" w:customStyle="1" w:styleId="31">
    <w:name w:val="修订1"/>
    <w:hidden/>
    <w:unhideWhenUsed/>
    <w:qFormat/>
    <w:uiPriority w:val="99"/>
    <w:rPr>
      <w:rFonts w:asciiTheme="minorHAnsi" w:hAnsiTheme="minorHAnsi" w:eastAsiaTheme="minorEastAsia" w:cstheme="minorBidi"/>
      <w:kern w:val="2"/>
      <w:sz w:val="21"/>
      <w:szCs w:val="22"/>
      <w:lang w:val="en-US" w:eastAsia="zh-CN" w:bidi="ar-SA"/>
      <w14:ligatures w14:val="standardContextual"/>
    </w:rPr>
  </w:style>
  <w:style w:type="character" w:customStyle="1" w:styleId="32">
    <w:name w:val="正文还hy 字符"/>
    <w:basedOn w:val="25"/>
    <w:link w:val="4"/>
    <w:qFormat/>
    <w:uiPriority w:val="0"/>
    <w:rPr>
      <w:rFonts w:cstheme="minorBidi"/>
      <w:kern w:val="2"/>
      <w:sz w:val="24"/>
      <w:szCs w:val="28"/>
    </w:rPr>
  </w:style>
  <w:style w:type="character" w:customStyle="1" w:styleId="33">
    <w:name w:val="标题 2 字符"/>
    <w:basedOn w:val="25"/>
    <w:link w:val="3"/>
    <w:qFormat/>
    <w:uiPriority w:val="9"/>
    <w:rPr>
      <w:rFonts w:cstheme="minorBidi"/>
      <w:b/>
      <w:kern w:val="2"/>
      <w:sz w:val="30"/>
      <w:szCs w:val="28"/>
    </w:rPr>
  </w:style>
  <w:style w:type="character" w:customStyle="1" w:styleId="34">
    <w:name w:val="Body text|1_"/>
    <w:basedOn w:val="25"/>
    <w:link w:val="35"/>
    <w:qFormat/>
    <w:uiPriority w:val="0"/>
    <w:rPr>
      <w:rFonts w:ascii="宋体" w:hAnsi="宋体" w:eastAsia="Times New Roman" w:cs="宋体"/>
      <w:color w:val="000000"/>
      <w:sz w:val="24"/>
      <w:szCs w:val="24"/>
      <w:lang w:val="zh-TW" w:eastAsia="zh-TW" w:bidi="zh-TW"/>
    </w:rPr>
  </w:style>
  <w:style w:type="paragraph" w:customStyle="1" w:styleId="35">
    <w:name w:val="Body text|1"/>
    <w:basedOn w:val="1"/>
    <w:link w:val="34"/>
    <w:qFormat/>
    <w:uiPriority w:val="0"/>
    <w:pPr>
      <w:spacing w:after="200" w:line="425" w:lineRule="auto"/>
      <w:ind w:firstLine="400"/>
      <w:jc w:val="left"/>
    </w:pPr>
    <w:rPr>
      <w:rFonts w:ascii="宋体" w:hAnsi="宋体" w:eastAsia="Times New Roman" w:cs="宋体"/>
      <w:color w:val="000000"/>
      <w:kern w:val="0"/>
      <w:sz w:val="24"/>
      <w:szCs w:val="24"/>
      <w:lang w:val="zh-TW" w:eastAsia="zh-TW" w:bidi="zh-TW"/>
    </w:rPr>
  </w:style>
  <w:style w:type="paragraph" w:customStyle="1" w:styleId="36">
    <w:name w:val="表内"/>
    <w:basedOn w:val="4"/>
    <w:link w:val="37"/>
    <w:qFormat/>
    <w:uiPriority w:val="0"/>
    <w:pPr>
      <w:spacing w:line="240" w:lineRule="auto"/>
      <w:ind w:firstLine="0" w:firstLineChars="0"/>
      <w:jc w:val="center"/>
    </w:pPr>
    <w:rPr>
      <w:sz w:val="21"/>
    </w:rPr>
  </w:style>
  <w:style w:type="character" w:customStyle="1" w:styleId="37">
    <w:name w:val="表内 字符"/>
    <w:basedOn w:val="32"/>
    <w:link w:val="36"/>
    <w:qFormat/>
    <w:uiPriority w:val="0"/>
    <w:rPr>
      <w:rFonts w:eastAsia="仿宋" w:cstheme="minorBidi"/>
      <w:kern w:val="2"/>
      <w:sz w:val="21"/>
      <w:szCs w:val="28"/>
    </w:rPr>
  </w:style>
  <w:style w:type="paragraph" w:customStyle="1" w:styleId="38">
    <w:name w:val="表上"/>
    <w:basedOn w:val="4"/>
    <w:link w:val="39"/>
    <w:qFormat/>
    <w:uiPriority w:val="0"/>
    <w:pPr>
      <w:spacing w:before="50" w:beforeLines="50" w:line="240" w:lineRule="auto"/>
      <w:ind w:firstLine="0" w:firstLineChars="0"/>
      <w:jc w:val="center"/>
    </w:pPr>
    <w:rPr>
      <w:b/>
      <w:sz w:val="21"/>
    </w:rPr>
  </w:style>
  <w:style w:type="character" w:customStyle="1" w:styleId="39">
    <w:name w:val="表上 字符"/>
    <w:basedOn w:val="32"/>
    <w:link w:val="38"/>
    <w:qFormat/>
    <w:uiPriority w:val="0"/>
    <w:rPr>
      <w:rFonts w:eastAsia="仿宋" w:cstheme="minorBidi"/>
      <w:b/>
      <w:kern w:val="2"/>
      <w:sz w:val="21"/>
      <w:szCs w:val="28"/>
    </w:rPr>
  </w:style>
  <w:style w:type="paragraph" w:styleId="40">
    <w:name w:val="List Paragraph"/>
    <w:basedOn w:val="1"/>
    <w:unhideWhenUsed/>
    <w:qFormat/>
    <w:uiPriority w:val="99"/>
    <w:pPr>
      <w:ind w:firstLine="420" w:firstLineChars="200"/>
    </w:pPr>
  </w:style>
  <w:style w:type="paragraph" w:customStyle="1" w:styleId="41">
    <w:name w:val="表格标题（杨辉）"/>
    <w:qFormat/>
    <w:uiPriority w:val="0"/>
    <w:pPr>
      <w:widowControl w:val="0"/>
      <w:jc w:val="center"/>
    </w:pPr>
    <w:rPr>
      <w:rFonts w:ascii="Times New Roman" w:hAnsi="Times New Roman" w:eastAsia="宋体" w:cstheme="minorBidi"/>
      <w:b/>
      <w:kern w:val="2"/>
      <w:sz w:val="22"/>
      <w:szCs w:val="24"/>
      <w:lang w:val="en-US" w:eastAsia="zh-CN" w:bidi="ar-SA"/>
    </w:rPr>
  </w:style>
  <w:style w:type="paragraph" w:customStyle="1" w:styleId="42">
    <w:name w:val="图下"/>
    <w:basedOn w:val="38"/>
    <w:link w:val="43"/>
    <w:qFormat/>
    <w:uiPriority w:val="0"/>
    <w:pPr>
      <w:spacing w:before="0" w:beforeLines="0" w:after="50" w:afterLines="50"/>
    </w:pPr>
  </w:style>
  <w:style w:type="character" w:customStyle="1" w:styleId="43">
    <w:name w:val="图下 字符"/>
    <w:basedOn w:val="39"/>
    <w:link w:val="42"/>
    <w:qFormat/>
    <w:uiPriority w:val="0"/>
    <w:rPr>
      <w:rFonts w:eastAsia="仿宋" w:cstheme="minorBidi"/>
      <w:kern w:val="2"/>
      <w:sz w:val="21"/>
      <w:szCs w:val="28"/>
    </w:rPr>
  </w:style>
  <w:style w:type="character" w:customStyle="1" w:styleId="44">
    <w:name w:val="标题 3 字符"/>
    <w:basedOn w:val="25"/>
    <w:link w:val="5"/>
    <w:qFormat/>
    <w:uiPriority w:val="9"/>
    <w:rPr>
      <w:rFonts w:cstheme="minorBidi"/>
      <w:b/>
      <w:bCs/>
      <w:kern w:val="2"/>
      <w:sz w:val="28"/>
      <w:szCs w:val="32"/>
    </w:rPr>
  </w:style>
  <w:style w:type="character" w:customStyle="1" w:styleId="45">
    <w:name w:val="标题 1 字符"/>
    <w:basedOn w:val="25"/>
    <w:link w:val="2"/>
    <w:qFormat/>
    <w:uiPriority w:val="9"/>
    <w:rPr>
      <w:rFonts w:cstheme="minorBidi"/>
      <w:b/>
      <w:bCs/>
      <w:kern w:val="44"/>
      <w:sz w:val="32"/>
      <w:szCs w:val="44"/>
    </w:rPr>
  </w:style>
  <w:style w:type="paragraph" w:customStyle="1" w:styleId="46">
    <w:name w:val="TOC 标题1"/>
    <w:basedOn w:val="2"/>
    <w:next w:val="1"/>
    <w:unhideWhenUsed/>
    <w:qFormat/>
    <w:uiPriority w:val="39"/>
    <w:pPr>
      <w:widowControl/>
      <w:spacing w:before="240" w:line="259" w:lineRule="auto"/>
      <w:jc w:val="left"/>
      <w:outlineLvl w:val="9"/>
    </w:pPr>
    <w:rPr>
      <w:rFonts w:asciiTheme="majorHAnsi" w:hAnsiTheme="majorHAnsi" w:eastAsiaTheme="majorEastAsia" w:cstheme="majorBidi"/>
      <w:b w:val="0"/>
      <w:bCs w:val="0"/>
      <w:color w:val="104862" w:themeColor="accent1" w:themeShade="BF"/>
      <w:kern w:val="0"/>
      <w:szCs w:val="32"/>
    </w:rPr>
  </w:style>
  <w:style w:type="paragraph" w:customStyle="1" w:styleId="47">
    <w:name w:val="修订2"/>
    <w:hidden/>
    <w:unhideWhenUsed/>
    <w:qFormat/>
    <w:uiPriority w:val="99"/>
    <w:rPr>
      <w:rFonts w:asciiTheme="minorHAnsi" w:hAnsiTheme="minorHAnsi" w:eastAsiaTheme="minorEastAsia" w:cstheme="minorBidi"/>
      <w:kern w:val="2"/>
      <w:sz w:val="21"/>
      <w:szCs w:val="22"/>
      <w:lang w:val="en-US" w:eastAsia="zh-CN" w:bidi="ar-SA"/>
    </w:rPr>
  </w:style>
  <w:style w:type="table" w:customStyle="1" w:styleId="48">
    <w:name w:val="hy"/>
    <w:basedOn w:val="23"/>
    <w:qFormat/>
    <w:uiPriority w:val="99"/>
    <w:tblPr>
      <w:jc w:val="center"/>
      <w:tblBorders>
        <w:top w:val="double" w:color="auto" w:sz="4" w:space="0"/>
        <w:bottom w:val="double" w:color="auto" w:sz="4" w:space="0"/>
        <w:insideH w:val="single" w:color="auto" w:sz="4" w:space="0"/>
        <w:insideV w:val="single" w:color="auto" w:sz="4" w:space="0"/>
      </w:tblBorders>
    </w:tblPr>
    <w:trPr>
      <w:jc w:val="center"/>
    </w:trPr>
    <w:tcPr>
      <w:vAlign w:val="center"/>
    </w:tcPr>
  </w:style>
  <w:style w:type="character" w:customStyle="1" w:styleId="49">
    <w:name w:val="批注文字 字符"/>
    <w:basedOn w:val="25"/>
    <w:link w:val="10"/>
    <w:semiHidden/>
    <w:qFormat/>
    <w:uiPriority w:val="99"/>
    <w:rPr>
      <w:rFonts w:asciiTheme="minorHAnsi" w:hAnsiTheme="minorHAnsi" w:eastAsiaTheme="minorEastAsia" w:cstheme="minorBidi"/>
      <w:kern w:val="2"/>
      <w:sz w:val="21"/>
      <w:szCs w:val="22"/>
    </w:rPr>
  </w:style>
  <w:style w:type="paragraph" w:customStyle="1" w:styleId="50">
    <w:name w:val="修订3"/>
    <w:hidden/>
    <w:unhideWhenUsed/>
    <w:qFormat/>
    <w:uiPriority w:val="99"/>
    <w:rPr>
      <w:rFonts w:asciiTheme="minorHAnsi" w:hAnsiTheme="minorHAnsi" w:eastAsiaTheme="minorEastAsia" w:cstheme="minorBidi"/>
      <w:kern w:val="2"/>
      <w:sz w:val="21"/>
      <w:szCs w:val="22"/>
      <w:lang w:val="en-US" w:eastAsia="zh-CN" w:bidi="ar-SA"/>
    </w:rPr>
  </w:style>
  <w:style w:type="character" w:customStyle="1" w:styleId="51">
    <w:name w:val="正文文本 字符"/>
    <w:basedOn w:val="25"/>
    <w:link w:val="11"/>
    <w:qFormat/>
    <w:uiPriority w:val="1"/>
    <w:rPr>
      <w:rFonts w:ascii="宋体" w:hAnsi="宋体" w:cstheme="minorBidi"/>
      <w:sz w:val="24"/>
      <w:szCs w:val="24"/>
      <w:lang w:eastAsia="en-US"/>
    </w:rPr>
  </w:style>
  <w:style w:type="table" w:customStyle="1" w:styleId="52">
    <w:name w:val="Table Normal"/>
    <w:semiHidden/>
    <w:unhideWhenUsed/>
    <w:qFormat/>
    <w:uiPriority w:val="2"/>
    <w:pPr>
      <w:widowControl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paragraph" w:customStyle="1" w:styleId="53">
    <w:name w:val="Table Paragraph"/>
    <w:basedOn w:val="1"/>
    <w:qFormat/>
    <w:uiPriority w:val="1"/>
    <w:pPr>
      <w:jc w:val="left"/>
    </w:pPr>
    <w:rPr>
      <w:kern w:val="0"/>
      <w:sz w:val="22"/>
      <w:lang w:eastAsia="en-US"/>
    </w:rPr>
  </w:style>
  <w:style w:type="character" w:customStyle="1" w:styleId="54">
    <w:name w:val="标题 4 字符"/>
    <w:basedOn w:val="25"/>
    <w:link w:val="6"/>
    <w:qFormat/>
    <w:uiPriority w:val="9"/>
    <w:rPr>
      <w:rFonts w:cstheme="majorBidi"/>
      <w:b/>
      <w:bCs/>
      <w:kern w:val="2"/>
      <w:sz w:val="24"/>
      <w:szCs w:val="28"/>
    </w:rPr>
  </w:style>
  <w:style w:type="paragraph" w:customStyle="1" w:styleId="55">
    <w:name w:val="表格文字"/>
    <w:basedOn w:val="1"/>
    <w:link w:val="56"/>
    <w:qFormat/>
    <w:uiPriority w:val="0"/>
    <w:pPr>
      <w:autoSpaceDE w:val="0"/>
      <w:autoSpaceDN w:val="0"/>
      <w:jc w:val="center"/>
    </w:pPr>
    <w:rPr>
      <w:rFonts w:ascii="Times New Roman" w:hAnsi="Times New Roman" w:eastAsia="宋体" w:cs="Times New Roman"/>
      <w:bCs/>
      <w:kern w:val="0"/>
      <w:szCs w:val="32"/>
      <w:lang w:eastAsia="en-US"/>
    </w:rPr>
  </w:style>
  <w:style w:type="character" w:customStyle="1" w:styleId="56">
    <w:name w:val="表格文字 Char"/>
    <w:link w:val="55"/>
    <w:qFormat/>
    <w:uiPriority w:val="0"/>
    <w:rPr>
      <w:bCs/>
      <w:sz w:val="21"/>
      <w:szCs w:val="32"/>
      <w:lang w:eastAsia="en-US"/>
    </w:rPr>
  </w:style>
  <w:style w:type="character" w:customStyle="1" w:styleId="57">
    <w:name w:val="标题 5 字符"/>
    <w:basedOn w:val="25"/>
    <w:link w:val="7"/>
    <w:qFormat/>
    <w:uiPriority w:val="9"/>
    <w:rPr>
      <w:rFonts w:asciiTheme="minorHAnsi" w:hAnsiTheme="minorHAnsi" w:eastAsiaTheme="minorEastAsia" w:cstheme="minorBidi"/>
      <w:b/>
      <w:bCs/>
      <w:kern w:val="2"/>
      <w:sz w:val="28"/>
      <w:szCs w:val="28"/>
    </w:rPr>
  </w:style>
  <w:style w:type="character" w:customStyle="1" w:styleId="58">
    <w:name w:val="未处理的提及1"/>
    <w:basedOn w:val="25"/>
    <w:semiHidden/>
    <w:unhideWhenUsed/>
    <w:qFormat/>
    <w:uiPriority w:val="99"/>
    <w:rPr>
      <w:color w:val="605E5C"/>
      <w:shd w:val="clear" w:color="auto" w:fill="E1DFDD"/>
    </w:rPr>
  </w:style>
  <w:style w:type="paragraph" w:customStyle="1" w:styleId="59">
    <w:name w:val="图"/>
    <w:basedOn w:val="1"/>
    <w:link w:val="60"/>
    <w:qFormat/>
    <w:uiPriority w:val="0"/>
    <w:pPr>
      <w:snapToGrid w:val="0"/>
      <w:spacing w:before="50" w:beforeLines="50" w:after="50" w:afterLines="50"/>
      <w:jc w:val="center"/>
    </w:pPr>
    <w:rPr>
      <w:rFonts w:ascii="Times New Roman" w:hAnsi="Times New Roman" w:eastAsia="宋体"/>
      <w:b/>
      <w:szCs w:val="28"/>
    </w:rPr>
  </w:style>
  <w:style w:type="character" w:customStyle="1" w:styleId="60">
    <w:name w:val="图 字符"/>
    <w:basedOn w:val="25"/>
    <w:link w:val="59"/>
    <w:qFormat/>
    <w:uiPriority w:val="0"/>
    <w:rPr>
      <w:rFonts w:cstheme="minorBidi"/>
      <w:b/>
      <w:kern w:val="2"/>
      <w:sz w:val="21"/>
      <w:szCs w:val="28"/>
    </w:rPr>
  </w:style>
  <w:style w:type="paragraph" w:customStyle="1" w:styleId="61">
    <w:name w:val="表格文"/>
    <w:basedOn w:val="1"/>
    <w:link w:val="62"/>
    <w:qFormat/>
    <w:uiPriority w:val="0"/>
    <w:pPr>
      <w:jc w:val="center"/>
    </w:pPr>
    <w:rPr>
      <w:rFonts w:ascii="Times New Roman" w:hAnsi="Times New Roman" w:eastAsia="宋体" w:cs="Times New Roman"/>
      <w:szCs w:val="24"/>
    </w:rPr>
  </w:style>
  <w:style w:type="character" w:customStyle="1" w:styleId="62">
    <w:name w:val="表格文 字符"/>
    <w:basedOn w:val="25"/>
    <w:link w:val="61"/>
    <w:qFormat/>
    <w:uiPriority w:val="0"/>
    <w:rPr>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NULL"/><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3DDDE3-0076-487F-A2BD-FB74AB85E4BD}">
  <ds:schemaRefs/>
</ds:datastoreItem>
</file>

<file path=docProps/app.xml><?xml version="1.0" encoding="utf-8"?>
<Properties xmlns="http://schemas.openxmlformats.org/officeDocument/2006/extended-properties" xmlns:vt="http://schemas.openxmlformats.org/officeDocument/2006/docPropsVTypes">
  <Template>Normal</Template>
  <Pages>48</Pages>
  <Words>29292</Words>
  <Characters>30577</Characters>
  <Lines>493</Lines>
  <Paragraphs>139</Paragraphs>
  <TotalTime>11</TotalTime>
  <ScaleCrop>false</ScaleCrop>
  <LinksUpToDate>false</LinksUpToDate>
  <CharactersWithSpaces>30663</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2024-08-04T03:10:00Z</dcterms:created>
  <dc:creator>洋 韩</dc:creator>
  <cp:lastModifiedBy>代理单位</cp:lastModifiedBy>
  <cp:lastPrinted>2024-07-30T02:19:00Z</cp:lastPrinted>
  <dcterms:modified xsi:type="dcterms:W3CDTF">2024-10-31T08:09:00Z</dcterms:modified>
  <cp:revision>59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420135CD030445F1AE265809A143537A</vt:lpwstr>
  </property>
</Properties>
</file>