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宋体"/>
          <w:color w:val="auto"/>
          <w:highlight w:val="none"/>
        </w:rPr>
      </w:pPr>
      <w:bookmarkStart w:id="0" w:name="_top"/>
      <w:bookmarkEnd w:id="0"/>
    </w:p>
    <w:p>
      <w:pPr>
        <w:tabs>
          <w:tab w:val="left" w:pos="5220"/>
        </w:tabs>
        <w:jc w:val="center"/>
        <w:rPr>
          <w:rFonts w:hint="eastAsia" w:ascii="宋体" w:hAnsi="宋体" w:eastAsia="宋体" w:cs="宋体"/>
          <w:b/>
          <w:color w:val="auto"/>
          <w:spacing w:val="-4"/>
          <w:sz w:val="48"/>
          <w:szCs w:val="48"/>
          <w:highlight w:val="none"/>
          <w:lang w:eastAsia="zh-CN"/>
        </w:rPr>
      </w:pPr>
      <w:r>
        <w:rPr>
          <w:rFonts w:hint="eastAsia" w:ascii="宋体" w:hAnsi="宋体" w:cs="宋体"/>
          <w:b/>
          <w:color w:val="auto"/>
          <w:spacing w:val="-4"/>
          <w:sz w:val="48"/>
          <w:szCs w:val="48"/>
          <w:highlight w:val="none"/>
          <w:lang w:eastAsia="zh-CN"/>
        </w:rPr>
        <w:t>吴兴区2024年农业水价综合改革和农田灌溉水有效利用系数测算分析工作项目</w:t>
      </w:r>
    </w:p>
    <w:p>
      <w:pPr>
        <w:tabs>
          <w:tab w:val="left" w:pos="5220"/>
        </w:tabs>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（财政审批编号：[2024]2040号</w:t>
      </w:r>
      <w:r>
        <w:rPr>
          <w:rFonts w:hint="eastAsia" w:ascii="宋体" w:hAnsi="宋体" w:cs="宋体"/>
          <w:b/>
          <w:bCs/>
          <w:color w:val="auto"/>
          <w:sz w:val="28"/>
          <w:szCs w:val="28"/>
          <w:highlight w:val="none"/>
          <w:lang w:eastAsia="zh-CN"/>
        </w:rPr>
        <w:t>、临[2024]2038号</w:t>
      </w:r>
      <w:r>
        <w:rPr>
          <w:rFonts w:hint="eastAsia" w:ascii="宋体" w:hAnsi="宋体" w:cs="宋体"/>
          <w:b/>
          <w:bCs/>
          <w:color w:val="auto"/>
          <w:sz w:val="28"/>
          <w:szCs w:val="28"/>
          <w:highlight w:val="none"/>
        </w:rPr>
        <w:t>）</w:t>
      </w:r>
    </w:p>
    <w:p>
      <w:pPr>
        <w:spacing w:line="400" w:lineRule="exact"/>
        <w:rPr>
          <w:rFonts w:ascii="宋体" w:hAnsi="宋体" w:cs="宋体"/>
          <w:b/>
          <w:bCs/>
          <w:color w:val="auto"/>
          <w:sz w:val="48"/>
          <w:highlight w:val="none"/>
        </w:rPr>
      </w:pPr>
    </w:p>
    <w:p>
      <w:pPr>
        <w:snapToGrid w:val="0"/>
        <w:spacing w:before="156" w:beforeLines="50" w:line="400" w:lineRule="exact"/>
        <w:jc w:val="center"/>
        <w:rPr>
          <w:rFonts w:ascii="宋体" w:hAnsi="宋体" w:cs="宋体"/>
          <w:color w:val="auto"/>
          <w:sz w:val="30"/>
          <w:szCs w:val="72"/>
          <w:highlight w:val="none"/>
        </w:rPr>
      </w:pPr>
    </w:p>
    <w:p>
      <w:pPr>
        <w:spacing w:before="156" w:beforeLines="50"/>
        <w:jc w:val="center"/>
        <w:rPr>
          <w:rFonts w:ascii="宋体" w:hAnsi="宋体" w:cs="宋体"/>
          <w:b/>
          <w:bCs/>
          <w:color w:val="auto"/>
          <w:sz w:val="52"/>
          <w:szCs w:val="52"/>
          <w:highlight w:val="none"/>
        </w:rPr>
      </w:pPr>
      <w:r>
        <w:rPr>
          <w:rFonts w:hint="eastAsia" w:ascii="宋体" w:hAnsi="宋体" w:cs="宋体"/>
          <w:b/>
          <w:bCs/>
          <w:color w:val="auto"/>
          <w:sz w:val="72"/>
          <w:szCs w:val="72"/>
          <w:highlight w:val="none"/>
        </w:rPr>
        <w:t>竞争性磋商文件</w:t>
      </w:r>
    </w:p>
    <w:p>
      <w:pPr>
        <w:widowControl/>
        <w:spacing w:line="600" w:lineRule="exact"/>
        <w:ind w:right="-2"/>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 （线上电子招投标）</w:t>
      </w:r>
    </w:p>
    <w:p>
      <w:pPr>
        <w:snapToGrid w:val="0"/>
        <w:spacing w:before="156" w:beforeLines="50" w:line="400" w:lineRule="exact"/>
        <w:rPr>
          <w:rFonts w:ascii="宋体" w:hAnsi="宋体" w:cs="宋体"/>
          <w:color w:val="auto"/>
          <w:sz w:val="30"/>
          <w:szCs w:val="72"/>
          <w:highlight w:val="none"/>
        </w:rPr>
      </w:pPr>
    </w:p>
    <w:p>
      <w:pPr>
        <w:snapToGrid w:val="0"/>
        <w:spacing w:before="156" w:beforeLines="50" w:line="400" w:lineRule="exact"/>
        <w:rPr>
          <w:rFonts w:ascii="宋体" w:hAnsi="宋体" w:cs="宋体"/>
          <w:color w:val="auto"/>
          <w:sz w:val="30"/>
          <w:szCs w:val="72"/>
          <w:highlight w:val="none"/>
        </w:rPr>
      </w:pPr>
    </w:p>
    <w:p>
      <w:pPr>
        <w:snapToGrid w:val="0"/>
        <w:spacing w:before="156" w:beforeLines="50" w:line="400" w:lineRule="exact"/>
        <w:rPr>
          <w:rFonts w:ascii="宋体" w:hAnsi="宋体" w:cs="宋体"/>
          <w:color w:val="auto"/>
          <w:sz w:val="30"/>
          <w:szCs w:val="72"/>
          <w:highlight w:val="none"/>
        </w:rPr>
      </w:pPr>
    </w:p>
    <w:p>
      <w:pPr>
        <w:snapToGrid w:val="0"/>
        <w:spacing w:before="156" w:beforeLines="50" w:line="400" w:lineRule="exact"/>
        <w:rPr>
          <w:rFonts w:ascii="宋体" w:hAnsi="宋体" w:cs="宋体"/>
          <w:color w:val="auto"/>
          <w:sz w:val="30"/>
          <w:szCs w:val="72"/>
          <w:highlight w:val="none"/>
        </w:rPr>
      </w:pPr>
    </w:p>
    <w:p>
      <w:pPr>
        <w:pStyle w:val="24"/>
        <w:rPr>
          <w:rFonts w:ascii="宋体" w:hAnsi="宋体" w:cs="宋体"/>
          <w:color w:val="auto"/>
          <w:sz w:val="30"/>
          <w:szCs w:val="72"/>
          <w:highlight w:val="none"/>
        </w:rPr>
      </w:pPr>
    </w:p>
    <w:p>
      <w:pPr>
        <w:pStyle w:val="24"/>
        <w:rPr>
          <w:rFonts w:ascii="宋体" w:hAnsi="宋体" w:cs="宋体"/>
          <w:color w:val="auto"/>
          <w:sz w:val="30"/>
          <w:szCs w:val="72"/>
          <w:highlight w:val="none"/>
        </w:rPr>
      </w:pPr>
    </w:p>
    <w:p>
      <w:pPr>
        <w:pStyle w:val="24"/>
        <w:rPr>
          <w:rFonts w:ascii="宋体" w:hAnsi="宋体" w:cs="宋体"/>
          <w:color w:val="auto"/>
          <w:sz w:val="30"/>
          <w:szCs w:val="72"/>
          <w:highlight w:val="none"/>
        </w:rPr>
      </w:pPr>
    </w:p>
    <w:p>
      <w:pPr>
        <w:pStyle w:val="24"/>
        <w:rPr>
          <w:rFonts w:ascii="宋体" w:hAnsi="宋体" w:cs="宋体"/>
          <w:color w:val="auto"/>
          <w:sz w:val="30"/>
          <w:szCs w:val="72"/>
          <w:highlight w:val="none"/>
        </w:rPr>
      </w:pPr>
    </w:p>
    <w:p>
      <w:pPr>
        <w:pStyle w:val="15"/>
        <w:snapToGrid w:val="0"/>
        <w:spacing w:before="120" w:after="120" w:line="400" w:lineRule="exact"/>
        <w:rPr>
          <w:rFonts w:cs="宋体"/>
          <w:b/>
          <w:color w:val="auto"/>
          <w:spacing w:val="-4"/>
          <w:sz w:val="28"/>
          <w:szCs w:val="28"/>
          <w:highlight w:val="none"/>
          <w:u w:val="single"/>
        </w:rPr>
      </w:pPr>
      <w:r>
        <w:rPr>
          <w:rFonts w:hint="eastAsia" w:cs="宋体"/>
          <w:b/>
          <w:bCs/>
          <w:color w:val="auto"/>
          <w:sz w:val="28"/>
          <w:szCs w:val="28"/>
          <w:highlight w:val="none"/>
        </w:rPr>
        <w:t>项目编号：</w:t>
      </w:r>
      <w:r>
        <w:rPr>
          <w:rFonts w:hint="eastAsia" w:cs="宋体"/>
          <w:b/>
          <w:color w:val="auto"/>
          <w:spacing w:val="-4"/>
          <w:sz w:val="28"/>
          <w:szCs w:val="28"/>
          <w:highlight w:val="none"/>
          <w:u w:val="single"/>
        </w:rPr>
        <w:t>ZJCY(湖采)-</w:t>
      </w:r>
      <w:r>
        <w:rPr>
          <w:rFonts w:hint="eastAsia" w:cs="宋体"/>
          <w:b/>
          <w:color w:val="auto"/>
          <w:spacing w:val="-4"/>
          <w:sz w:val="28"/>
          <w:szCs w:val="28"/>
          <w:highlight w:val="none"/>
          <w:u w:val="single"/>
          <w:lang w:eastAsia="zh-CN"/>
        </w:rPr>
        <w:t>2024017</w:t>
      </w:r>
      <w:r>
        <w:rPr>
          <w:rFonts w:hint="eastAsia" w:cs="宋体"/>
          <w:b/>
          <w:color w:val="auto"/>
          <w:spacing w:val="-4"/>
          <w:sz w:val="28"/>
          <w:szCs w:val="28"/>
          <w:highlight w:val="none"/>
          <w:u w:val="single"/>
        </w:rPr>
        <w:t xml:space="preserve">                                           </w:t>
      </w:r>
    </w:p>
    <w:p>
      <w:pPr>
        <w:pStyle w:val="15"/>
        <w:snapToGrid w:val="0"/>
        <w:spacing w:before="120" w:after="120" w:line="400" w:lineRule="exact"/>
        <w:ind w:left="1383" w:hanging="1383" w:hangingChars="492"/>
        <w:rPr>
          <w:rFonts w:cs="宋体"/>
          <w:b/>
          <w:color w:val="auto"/>
          <w:spacing w:val="-4"/>
          <w:sz w:val="28"/>
          <w:szCs w:val="28"/>
          <w:highlight w:val="none"/>
          <w:u w:val="single"/>
        </w:rPr>
      </w:pPr>
      <w:r>
        <w:rPr>
          <w:rFonts w:hint="eastAsia" w:cs="宋体"/>
          <w:b/>
          <w:color w:val="auto"/>
          <w:sz w:val="28"/>
          <w:szCs w:val="28"/>
          <w:highlight w:val="none"/>
        </w:rPr>
        <w:t>项目名称：</w:t>
      </w:r>
      <w:r>
        <w:rPr>
          <w:rFonts w:hint="eastAsia" w:cs="宋体"/>
          <w:b/>
          <w:color w:val="auto"/>
          <w:spacing w:val="-4"/>
          <w:sz w:val="28"/>
          <w:szCs w:val="28"/>
          <w:highlight w:val="none"/>
          <w:u w:val="single"/>
          <w:lang w:eastAsia="zh-CN"/>
        </w:rPr>
        <w:t>吴兴区2024年农业水价综合改革和农田灌溉水有效利用系数测算分析工作项目</w:t>
      </w:r>
    </w:p>
    <w:p>
      <w:pPr>
        <w:snapToGrid w:val="0"/>
        <w:spacing w:before="156" w:beforeLines="50" w:line="400" w:lineRule="exact"/>
        <w:jc w:val="left"/>
        <w:rPr>
          <w:rFonts w:ascii="宋体" w:hAnsi="宋体" w:cs="宋体"/>
          <w:b/>
          <w:color w:val="auto"/>
          <w:spacing w:val="-4"/>
          <w:sz w:val="28"/>
          <w:szCs w:val="28"/>
          <w:highlight w:val="none"/>
          <w:u w:val="single"/>
        </w:rPr>
      </w:pPr>
      <w:r>
        <w:rPr>
          <w:rFonts w:hint="eastAsia" w:ascii="宋体" w:hAnsi="宋体" w:cs="宋体"/>
          <w:b/>
          <w:bCs/>
          <w:color w:val="auto"/>
          <w:w w:val="95"/>
          <w:sz w:val="28"/>
          <w:szCs w:val="28"/>
          <w:highlight w:val="none"/>
        </w:rPr>
        <w:t>采购单位：</w:t>
      </w:r>
      <w:r>
        <w:rPr>
          <w:rFonts w:hint="eastAsia" w:ascii="宋体" w:hAnsi="宋体" w:cs="宋体"/>
          <w:b/>
          <w:color w:val="auto"/>
          <w:spacing w:val="-4"/>
          <w:sz w:val="28"/>
          <w:szCs w:val="28"/>
          <w:highlight w:val="none"/>
          <w:u w:val="single"/>
          <w:lang w:eastAsia="zh-CN"/>
        </w:rPr>
        <w:t>湖州市吴兴区水利局</w:t>
      </w:r>
      <w:r>
        <w:rPr>
          <w:rFonts w:hint="eastAsia" w:ascii="宋体" w:hAnsi="宋体" w:cs="宋体"/>
          <w:b/>
          <w:color w:val="auto"/>
          <w:spacing w:val="-4"/>
          <w:sz w:val="28"/>
          <w:szCs w:val="28"/>
          <w:highlight w:val="none"/>
          <w:u w:val="single"/>
        </w:rPr>
        <w:t xml:space="preserve">            </w:t>
      </w:r>
      <w:r>
        <w:rPr>
          <w:rFonts w:hint="eastAsia" w:ascii="宋体" w:hAnsi="宋体" w:cs="宋体"/>
          <w:b/>
          <w:color w:val="auto"/>
          <w:spacing w:val="-4"/>
          <w:sz w:val="28"/>
          <w:szCs w:val="28"/>
          <w:highlight w:val="none"/>
          <w:u w:val="single"/>
          <w:lang w:val="en-US" w:eastAsia="zh-CN"/>
        </w:rPr>
        <w:t xml:space="preserve">                </w:t>
      </w:r>
      <w:r>
        <w:rPr>
          <w:rFonts w:hint="eastAsia" w:ascii="宋体" w:hAnsi="宋体" w:cs="宋体"/>
          <w:b/>
          <w:color w:val="auto"/>
          <w:spacing w:val="-4"/>
          <w:sz w:val="28"/>
          <w:szCs w:val="28"/>
          <w:highlight w:val="none"/>
          <w:u w:val="single"/>
        </w:rPr>
        <w:t xml:space="preserve">      （盖章） </w:t>
      </w:r>
    </w:p>
    <w:p>
      <w:pPr>
        <w:pStyle w:val="15"/>
        <w:snapToGrid w:val="0"/>
        <w:spacing w:before="120" w:after="120" w:line="400" w:lineRule="exact"/>
        <w:rPr>
          <w:rFonts w:cs="宋体"/>
          <w:b/>
          <w:bCs/>
          <w:color w:val="auto"/>
          <w:w w:val="95"/>
          <w:sz w:val="28"/>
          <w:szCs w:val="28"/>
          <w:highlight w:val="none"/>
          <w:u w:val="single"/>
        </w:rPr>
      </w:pPr>
      <w:r>
        <w:rPr>
          <w:rFonts w:hint="eastAsia" w:cs="宋体"/>
          <w:b/>
          <w:bCs/>
          <w:color w:val="auto"/>
          <w:w w:val="95"/>
          <w:sz w:val="28"/>
          <w:szCs w:val="28"/>
          <w:highlight w:val="none"/>
        </w:rPr>
        <w:t>代理机构：</w:t>
      </w:r>
      <w:r>
        <w:rPr>
          <w:rFonts w:hint="eastAsia" w:cs="宋体"/>
          <w:b/>
          <w:color w:val="auto"/>
          <w:sz w:val="28"/>
          <w:szCs w:val="28"/>
          <w:highlight w:val="none"/>
          <w:u w:val="single"/>
        </w:rPr>
        <w:t xml:space="preserve">浙江诚远工程咨询有限公司                          </w:t>
      </w:r>
      <w:r>
        <w:rPr>
          <w:rFonts w:hint="eastAsia" w:cs="宋体"/>
          <w:b/>
          <w:color w:val="auto"/>
          <w:spacing w:val="-4"/>
          <w:sz w:val="28"/>
          <w:szCs w:val="28"/>
          <w:highlight w:val="none"/>
          <w:u w:val="single"/>
        </w:rPr>
        <w:t>（盖章）</w:t>
      </w:r>
      <w:r>
        <w:rPr>
          <w:rFonts w:hint="eastAsia" w:cs="宋体"/>
          <w:b/>
          <w:color w:val="auto"/>
          <w:sz w:val="28"/>
          <w:szCs w:val="28"/>
          <w:highlight w:val="none"/>
          <w:u w:val="single"/>
        </w:rPr>
        <w:t xml:space="preserve"> </w:t>
      </w:r>
    </w:p>
    <w:p>
      <w:pPr>
        <w:snapToGrid w:val="0"/>
        <w:spacing w:before="156" w:beforeLines="50" w:line="400" w:lineRule="exact"/>
        <w:ind w:left="439" w:leftChars="183" w:firstLine="4599" w:firstLineChars="1607"/>
        <w:rPr>
          <w:rFonts w:ascii="宋体" w:hAnsi="宋体" w:cs="宋体"/>
          <w:b/>
          <w:bCs/>
          <w:color w:val="auto"/>
          <w:w w:val="95"/>
          <w:sz w:val="30"/>
          <w:szCs w:val="30"/>
          <w:highlight w:val="none"/>
        </w:rPr>
      </w:pPr>
    </w:p>
    <w:p>
      <w:pPr>
        <w:snapToGrid w:val="0"/>
        <w:spacing w:before="156" w:beforeLines="50" w:line="400" w:lineRule="exact"/>
        <w:rPr>
          <w:rFonts w:ascii="宋体" w:hAnsi="宋体" w:cs="宋体"/>
          <w:b/>
          <w:bCs/>
          <w:color w:val="auto"/>
          <w:w w:val="95"/>
          <w:sz w:val="30"/>
          <w:szCs w:val="30"/>
          <w:highlight w:val="none"/>
        </w:rPr>
      </w:pPr>
    </w:p>
    <w:p>
      <w:pPr>
        <w:adjustRightInd w:val="0"/>
        <w:snapToGrid w:val="0"/>
        <w:spacing w:line="400" w:lineRule="exact"/>
        <w:jc w:val="center"/>
        <w:rPr>
          <w:rFonts w:ascii="宋体" w:hAnsi="宋体" w:cs="宋体"/>
          <w:color w:val="auto"/>
          <w:highlight w:val="none"/>
        </w:rPr>
      </w:pPr>
      <w:r>
        <w:rPr>
          <w:rFonts w:hint="eastAsia" w:ascii="宋体" w:hAnsi="宋体" w:cs="宋体"/>
          <w:b/>
          <w:color w:val="auto"/>
          <w:sz w:val="32"/>
          <w:highlight w:val="none"/>
        </w:rPr>
        <w:t>日   期：</w:t>
      </w:r>
      <w:r>
        <w:rPr>
          <w:rFonts w:hint="eastAsia" w:ascii="宋体" w:hAnsi="宋体" w:cs="宋体"/>
          <w:b/>
          <w:color w:val="auto"/>
          <w:sz w:val="32"/>
          <w:highlight w:val="none"/>
          <w:lang w:val="en-US" w:eastAsia="zh-CN"/>
        </w:rPr>
        <w:t>2024</w:t>
      </w:r>
      <w:r>
        <w:rPr>
          <w:rFonts w:hint="eastAsia" w:ascii="宋体" w:hAnsi="宋体" w:cs="宋体"/>
          <w:b/>
          <w:color w:val="auto"/>
          <w:sz w:val="32"/>
          <w:highlight w:val="none"/>
        </w:rPr>
        <w:t>年</w:t>
      </w:r>
      <w:r>
        <w:rPr>
          <w:rFonts w:hint="eastAsia" w:ascii="宋体" w:hAnsi="宋体" w:cs="宋体"/>
          <w:b/>
          <w:color w:val="auto"/>
          <w:sz w:val="32"/>
          <w:highlight w:val="none"/>
          <w:lang w:val="en-US" w:eastAsia="zh-CN"/>
        </w:rPr>
        <w:t>4</w:t>
      </w:r>
      <w:r>
        <w:rPr>
          <w:rFonts w:hint="eastAsia" w:ascii="宋体" w:hAnsi="宋体" w:cs="宋体"/>
          <w:b/>
          <w:color w:val="auto"/>
          <w:sz w:val="32"/>
          <w:highlight w:val="none"/>
        </w:rPr>
        <w:t>月</w:t>
      </w:r>
    </w:p>
    <w:p>
      <w:pPr>
        <w:spacing w:line="360" w:lineRule="exact"/>
        <w:rPr>
          <w:rFonts w:ascii="宋体" w:hAnsi="宋体" w:cs="宋体"/>
          <w:color w:val="auto"/>
          <w:highlight w:val="none"/>
        </w:rPr>
      </w:pPr>
      <w:r>
        <w:rPr>
          <w:rFonts w:hint="eastAsia" w:ascii="宋体" w:hAnsi="宋体" w:cs="宋体"/>
          <w:color w:val="auto"/>
          <w:highlight w:val="none"/>
        </w:rPr>
        <w:br w:type="page"/>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pStyle w:val="26"/>
        <w:tabs>
          <w:tab w:val="right" w:leader="dot" w:pos="9638"/>
          <w:tab w:val="clear" w:pos="8494"/>
        </w:tabs>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"_Toc23814"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_Toc23814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"_Toc64" </w:instrText>
      </w:r>
      <w:r>
        <w:rPr>
          <w:color w:val="auto"/>
          <w:highlight w:val="none"/>
        </w:rPr>
        <w:fldChar w:fldCharType="separate"/>
      </w:r>
      <w:r>
        <w:rPr>
          <w:rFonts w:hint="eastAsia" w:ascii="宋体" w:hAnsi="宋体" w:cs="宋体"/>
          <w:color w:val="auto"/>
          <w:highlight w:val="none"/>
        </w:rPr>
        <w:t>第二章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_Toc64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"_Toc18868" </w:instrText>
      </w:r>
      <w:r>
        <w:rPr>
          <w:color w:val="auto"/>
          <w:highlight w:val="none"/>
        </w:rPr>
        <w:fldChar w:fldCharType="separate"/>
      </w:r>
      <w:r>
        <w:rPr>
          <w:rFonts w:hint="eastAsia" w:ascii="宋体" w:hAnsi="宋体" w:cs="宋体"/>
          <w:color w:val="auto"/>
          <w:highlight w:val="none"/>
        </w:rPr>
        <w:t>第三章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_Toc18868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"_Toc30882" </w:instrText>
      </w:r>
      <w:r>
        <w:rPr>
          <w:color w:val="auto"/>
          <w:highlight w:val="none"/>
        </w:rPr>
        <w:fldChar w:fldCharType="separate"/>
      </w:r>
      <w:r>
        <w:rPr>
          <w:rFonts w:hint="eastAsia" w:ascii="宋体" w:hAnsi="宋体" w:cs="宋体"/>
          <w:color w:val="auto"/>
          <w:highlight w:val="none"/>
        </w:rPr>
        <w:t>第四章  磋商原则和程序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_Toc30882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"_Toc7141" </w:instrText>
      </w:r>
      <w:r>
        <w:rPr>
          <w:color w:val="auto"/>
          <w:highlight w:val="none"/>
        </w:rPr>
        <w:fldChar w:fldCharType="separate"/>
      </w:r>
      <w:r>
        <w:rPr>
          <w:rFonts w:hint="eastAsia" w:ascii="宋体" w:hAnsi="宋体" w:cs="宋体"/>
          <w:color w:val="auto"/>
          <w:highlight w:val="none"/>
        </w:rPr>
        <w:t>一、拆封响应文件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_Toc7141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"_Toc27687" </w:instrText>
      </w:r>
      <w:r>
        <w:rPr>
          <w:color w:val="auto"/>
          <w:highlight w:val="none"/>
        </w:rPr>
        <w:fldChar w:fldCharType="separate"/>
      </w:r>
      <w:r>
        <w:rPr>
          <w:rFonts w:hint="eastAsia" w:ascii="宋体" w:hAnsi="宋体" w:cs="宋体"/>
          <w:color w:val="auto"/>
          <w:highlight w:val="none"/>
        </w:rPr>
        <w:t>二、磋商小组</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_Toc27687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"_Toc11955" </w:instrText>
      </w:r>
      <w:r>
        <w:rPr>
          <w:color w:val="auto"/>
          <w:highlight w:val="none"/>
        </w:rPr>
        <w:fldChar w:fldCharType="separate"/>
      </w:r>
      <w:r>
        <w:rPr>
          <w:rFonts w:hint="eastAsia" w:ascii="宋体" w:hAnsi="宋体" w:cs="宋体"/>
          <w:color w:val="auto"/>
          <w:highlight w:val="none"/>
        </w:rPr>
        <w:t>三、竞争性磋商原则与方法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_Toc11955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"_Toc26822" </w:instrText>
      </w:r>
      <w:r>
        <w:rPr>
          <w:color w:val="auto"/>
          <w:highlight w:val="none"/>
        </w:rPr>
        <w:fldChar w:fldCharType="separate"/>
      </w:r>
      <w:r>
        <w:rPr>
          <w:rFonts w:hint="eastAsia" w:ascii="宋体" w:hAnsi="宋体" w:cs="宋体"/>
          <w:color w:val="auto"/>
          <w:highlight w:val="none"/>
        </w:rPr>
        <w:t>四、磋商程序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_Toc26822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"_Toc8792" </w:instrText>
      </w:r>
      <w:r>
        <w:rPr>
          <w:color w:val="auto"/>
          <w:highlight w:val="none"/>
        </w:rPr>
        <w:fldChar w:fldCharType="separate"/>
      </w:r>
      <w:r>
        <w:rPr>
          <w:rFonts w:hint="eastAsia" w:ascii="宋体" w:hAnsi="宋体" w:cs="宋体"/>
          <w:color w:val="auto"/>
          <w:highlight w:val="none"/>
        </w:rPr>
        <w:t>五、磋商文件的澄清</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_Toc8792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"_Toc14189" </w:instrText>
      </w:r>
      <w:r>
        <w:rPr>
          <w:color w:val="auto"/>
          <w:highlight w:val="none"/>
        </w:rPr>
        <w:fldChar w:fldCharType="separate"/>
      </w:r>
      <w:r>
        <w:rPr>
          <w:rFonts w:hint="eastAsia" w:ascii="宋体" w:hAnsi="宋体" w:cs="宋体"/>
          <w:color w:val="auto"/>
          <w:highlight w:val="none"/>
        </w:rPr>
        <w:t>六、确定供应商办法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_Toc14189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"_Toc11589" </w:instrText>
      </w:r>
      <w:r>
        <w:rPr>
          <w:color w:val="auto"/>
          <w:highlight w:val="none"/>
        </w:rPr>
        <w:fldChar w:fldCharType="separate"/>
      </w:r>
      <w:r>
        <w:rPr>
          <w:rFonts w:hint="eastAsia" w:ascii="宋体" w:hAnsi="宋体" w:cs="宋体"/>
          <w:color w:val="auto"/>
          <w:highlight w:val="none"/>
        </w:rPr>
        <w:t>八、资格审查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_Toc11589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"_Toc29356" </w:instrText>
      </w:r>
      <w:r>
        <w:rPr>
          <w:color w:val="auto"/>
          <w:highlight w:val="none"/>
        </w:rPr>
        <w:fldChar w:fldCharType="separate"/>
      </w:r>
      <w:r>
        <w:rPr>
          <w:rFonts w:hint="eastAsia" w:ascii="宋体" w:hAnsi="宋体" w:cs="宋体"/>
          <w:color w:val="auto"/>
          <w:highlight w:val="none"/>
        </w:rPr>
        <w:t>九、 成交通知、授予合同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_Toc29356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"_Toc21568" </w:instrText>
      </w:r>
      <w:r>
        <w:rPr>
          <w:color w:val="auto"/>
          <w:highlight w:val="none"/>
        </w:rPr>
        <w:fldChar w:fldCharType="separate"/>
      </w:r>
      <w:r>
        <w:rPr>
          <w:rFonts w:hint="eastAsia" w:ascii="宋体" w:hAnsi="宋体" w:cs="宋体"/>
          <w:color w:val="auto"/>
          <w:highlight w:val="none"/>
        </w:rPr>
        <w:t>第五章、合同主要条款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_Toc21568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"_Toc20893" </w:instrText>
      </w:r>
      <w:r>
        <w:rPr>
          <w:color w:val="auto"/>
          <w:highlight w:val="none"/>
        </w:rPr>
        <w:fldChar w:fldCharType="separate"/>
      </w:r>
      <w:r>
        <w:rPr>
          <w:rFonts w:hint="eastAsia" w:ascii="宋体" w:hAnsi="宋体" w:cs="宋体"/>
          <w:color w:val="auto"/>
          <w:highlight w:val="none"/>
        </w:rPr>
        <w:t>第六章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_Toc20893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"_Toc3302" </w:instrText>
      </w:r>
      <w:r>
        <w:rPr>
          <w:color w:val="auto"/>
          <w:highlight w:val="none"/>
        </w:rPr>
        <w:fldChar w:fldCharType="separate"/>
      </w:r>
      <w:r>
        <w:rPr>
          <w:rFonts w:hint="eastAsia" w:ascii="宋体" w:hAnsi="宋体" w:cs="宋体"/>
          <w:color w:val="auto"/>
          <w:highlight w:val="none"/>
        </w:rPr>
        <w:t>第七章、自评表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_Toc3302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p>
    <w:p>
      <w:pPr>
        <w:pStyle w:val="22"/>
        <w:spacing w:line="260" w:lineRule="exact"/>
        <w:rPr>
          <w:rFonts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"1-3" \h \z \u </w:instrText>
      </w:r>
      <w:r>
        <w:rPr>
          <w:rFonts w:hint="eastAsia" w:cs="宋体"/>
          <w:color w:val="auto"/>
          <w:sz w:val="21"/>
          <w:szCs w:val="21"/>
          <w:highlight w:val="none"/>
        </w:rPr>
        <w:fldChar w:fldCharType="separate"/>
      </w:r>
    </w:p>
    <w:p>
      <w:pPr>
        <w:pStyle w:val="22"/>
        <w:spacing w:line="260" w:lineRule="exact"/>
        <w:ind w:firstLine="105"/>
        <w:rPr>
          <w:rFonts w:cs="宋体"/>
          <w:color w:val="auto"/>
          <w:sz w:val="21"/>
          <w:szCs w:val="21"/>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fldChar w:fldCharType="end"/>
      </w: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pStyle w:val="4"/>
        <w:spacing w:line="360" w:lineRule="exact"/>
        <w:jc w:val="center"/>
        <w:rPr>
          <w:rFonts w:ascii="宋体" w:hAnsi="宋体" w:cs="宋体"/>
          <w:color w:val="auto"/>
          <w:szCs w:val="32"/>
          <w:highlight w:val="none"/>
        </w:rPr>
        <w:sectPr>
          <w:headerReference r:id="rId6" w:type="first"/>
          <w:headerReference r:id="rId5" w:type="default"/>
          <w:pgSz w:w="11906" w:h="16838"/>
          <w:pgMar w:top="1134" w:right="1134" w:bottom="1134" w:left="1134" w:header="567" w:footer="567" w:gutter="0"/>
          <w:pgNumType w:start="1"/>
          <w:cols w:space="720" w:num="1"/>
          <w:docGrid w:type="lines" w:linePitch="312" w:charSpace="0"/>
        </w:sectPr>
      </w:pPr>
    </w:p>
    <w:p>
      <w:pPr>
        <w:pStyle w:val="4"/>
        <w:jc w:val="center"/>
        <w:rPr>
          <w:rFonts w:ascii="宋体" w:hAnsi="宋体" w:cs="宋体"/>
          <w:color w:val="auto"/>
          <w:szCs w:val="32"/>
          <w:highlight w:val="none"/>
        </w:rPr>
      </w:pPr>
      <w:bookmarkStart w:id="1" w:name="_Toc23814"/>
      <w:bookmarkEnd w:id="1"/>
      <w:r>
        <w:rPr>
          <w:rFonts w:hint="eastAsia"/>
          <w:color w:val="auto"/>
          <w:highlight w:val="none"/>
        </w:rPr>
        <w:t>第一章 竞争性磋商公告</w:t>
      </w:r>
      <w:bookmarkStart w:id="112" w:name="_GoBack"/>
      <w:bookmarkEnd w:id="112"/>
    </w:p>
    <w:p>
      <w:pPr>
        <w:widowControl/>
        <w:spacing w:after="75"/>
        <w:ind w:firstLine="480" w:firstLineChars="200"/>
        <w:jc w:val="left"/>
        <w:rPr>
          <w:rFonts w:ascii="宋体" w:hAnsi="宋体" w:cs="宋体"/>
          <w:b/>
          <w:color w:val="auto"/>
          <w:kern w:val="0"/>
          <w:highlight w:val="none"/>
          <w:u w:val="single"/>
        </w:rPr>
      </w:pPr>
      <w:r>
        <w:rPr>
          <w:rFonts w:hint="eastAsia" w:ascii="宋体" w:hAnsi="宋体" w:cs="宋体"/>
          <w:color w:val="auto"/>
          <w:kern w:val="0"/>
          <w:highlight w:val="none"/>
        </w:rPr>
        <w:t>根据《中华人民共和国政府采购法》、《政府采购竞争性磋商采购方式暂行办法》等规定，经</w:t>
      </w:r>
      <w:r>
        <w:rPr>
          <w:rFonts w:hint="eastAsia" w:ascii="宋体" w:hAnsi="宋体" w:cs="宋体"/>
          <w:color w:val="auto"/>
          <w:kern w:val="0"/>
          <w:highlight w:val="none"/>
          <w:lang w:val="en-US" w:eastAsia="zh-CN"/>
        </w:rPr>
        <w:t>吴兴区</w:t>
      </w:r>
      <w:r>
        <w:rPr>
          <w:rFonts w:hint="eastAsia" w:ascii="宋体" w:hAnsi="宋体" w:cs="宋体"/>
          <w:color w:val="auto"/>
          <w:kern w:val="0"/>
          <w:highlight w:val="none"/>
        </w:rPr>
        <w:t>财政局政府采购监管科批准的编号</w:t>
      </w:r>
      <w:r>
        <w:rPr>
          <w:rFonts w:hint="eastAsia" w:ascii="宋体" w:hAnsi="宋体" w:cs="宋体"/>
          <w:color w:val="auto"/>
          <w:kern w:val="0"/>
          <w:highlight w:val="none"/>
          <w:u w:val="single"/>
          <w:lang w:val="en-US" w:eastAsia="zh-CN"/>
        </w:rPr>
        <w:t>[2024]2040号、临[2024]2038号</w:t>
      </w:r>
      <w:r>
        <w:rPr>
          <w:rFonts w:hint="eastAsia" w:ascii="宋体" w:hAnsi="宋体" w:cs="宋体"/>
          <w:color w:val="auto"/>
          <w:kern w:val="0"/>
          <w:highlight w:val="none"/>
        </w:rPr>
        <w:t>确认书，现就</w:t>
      </w:r>
      <w:r>
        <w:rPr>
          <w:rFonts w:hint="eastAsia" w:ascii="宋体" w:hAnsi="宋体" w:cs="宋体"/>
          <w:color w:val="auto"/>
          <w:kern w:val="0"/>
          <w:highlight w:val="none"/>
          <w:u w:val="single"/>
          <w:lang w:eastAsia="zh-CN"/>
        </w:rPr>
        <w:t>吴兴区2024年农业水价综合改革和农田灌溉水有效利用系数测算分析工作项目</w:t>
      </w:r>
      <w:r>
        <w:rPr>
          <w:rFonts w:hint="eastAsia" w:ascii="宋体" w:hAnsi="宋体" w:cs="宋体"/>
          <w:color w:val="auto"/>
          <w:kern w:val="0"/>
          <w:highlight w:val="none"/>
        </w:rPr>
        <w:t>进行竞争性磋商采购，欢迎符合要求的供应商前来竞标：</w:t>
      </w:r>
    </w:p>
    <w:p>
      <w:pPr>
        <w:widowControl/>
        <w:spacing w:after="75"/>
        <w:jc w:val="left"/>
        <w:rPr>
          <w:rFonts w:hint="eastAsia" w:ascii="宋体" w:hAnsi="宋体" w:eastAsia="宋体" w:cs="宋体"/>
          <w:color w:val="auto"/>
          <w:kern w:val="0"/>
          <w:highlight w:val="none"/>
          <w:lang w:eastAsia="zh-CN"/>
        </w:rPr>
      </w:pPr>
      <w:r>
        <w:rPr>
          <w:rFonts w:hint="eastAsia" w:ascii="宋体" w:hAnsi="宋体" w:cs="宋体"/>
          <w:b/>
          <w:bCs/>
          <w:color w:val="auto"/>
          <w:kern w:val="0"/>
          <w:highlight w:val="none"/>
        </w:rPr>
        <w:t>一．项目编号</w:t>
      </w:r>
      <w:r>
        <w:rPr>
          <w:rFonts w:hint="eastAsia" w:ascii="宋体" w:hAnsi="宋体" w:cs="宋体"/>
          <w:color w:val="auto"/>
          <w:kern w:val="0"/>
          <w:highlight w:val="none"/>
        </w:rPr>
        <w:t>:</w:t>
      </w:r>
      <w:r>
        <w:rPr>
          <w:rFonts w:hint="eastAsia" w:ascii="宋体" w:hAnsi="宋体" w:cs="宋体"/>
          <w:color w:val="auto"/>
          <w:highlight w:val="none"/>
        </w:rPr>
        <w:t xml:space="preserve"> ZJCY(湖采)-</w:t>
      </w:r>
      <w:r>
        <w:rPr>
          <w:rFonts w:hint="eastAsia" w:ascii="宋体" w:hAnsi="宋体" w:cs="宋体"/>
          <w:color w:val="auto"/>
          <w:highlight w:val="none"/>
          <w:lang w:eastAsia="zh-CN"/>
        </w:rPr>
        <w:t>2024017</w:t>
      </w:r>
    </w:p>
    <w:p>
      <w:pPr>
        <w:widowControl/>
        <w:spacing w:after="75"/>
        <w:jc w:val="left"/>
        <w:rPr>
          <w:rFonts w:ascii="宋体" w:hAnsi="宋体" w:cs="宋体"/>
          <w:color w:val="auto"/>
          <w:kern w:val="0"/>
          <w:highlight w:val="none"/>
        </w:rPr>
      </w:pPr>
      <w:r>
        <w:rPr>
          <w:rFonts w:hint="eastAsia" w:ascii="宋体" w:hAnsi="宋体" w:cs="宋体"/>
          <w:b/>
          <w:bCs/>
          <w:color w:val="auto"/>
          <w:kern w:val="0"/>
          <w:highlight w:val="none"/>
        </w:rPr>
        <w:t>二．组织类型：</w:t>
      </w:r>
      <w:r>
        <w:rPr>
          <w:rFonts w:hint="eastAsia" w:ascii="宋体" w:hAnsi="宋体" w:cs="宋体"/>
          <w:color w:val="auto"/>
          <w:kern w:val="0"/>
          <w:highlight w:val="none"/>
        </w:rPr>
        <w:t>分散采购委托代理</w:t>
      </w:r>
    </w:p>
    <w:p>
      <w:pPr>
        <w:widowControl/>
        <w:spacing w:before="75" w:line="360" w:lineRule="auto"/>
        <w:jc w:val="left"/>
        <w:rPr>
          <w:rFonts w:ascii="宋体" w:hAnsi="宋体" w:cs="宋体"/>
          <w:color w:val="auto"/>
          <w:kern w:val="0"/>
          <w:highlight w:val="none"/>
        </w:rPr>
      </w:pPr>
      <w:r>
        <w:rPr>
          <w:rFonts w:hint="eastAsia" w:ascii="宋体" w:hAnsi="宋体" w:cs="宋体"/>
          <w:b/>
          <w:bCs/>
          <w:color w:val="auto"/>
          <w:kern w:val="0"/>
          <w:highlight w:val="none"/>
        </w:rPr>
        <w:t>三．项目概况</w:t>
      </w:r>
      <w:r>
        <w:rPr>
          <w:rFonts w:hint="eastAsia" w:ascii="宋体" w:hAnsi="宋体" w:cs="宋体"/>
          <w:color w:val="auto"/>
          <w:kern w:val="0"/>
          <w:highlight w:val="none"/>
        </w:rPr>
        <w:t>：</w:t>
      </w:r>
    </w:p>
    <w:tbl>
      <w:tblPr>
        <w:tblStyle w:val="32"/>
        <w:tblW w:w="49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4"/>
        <w:gridCol w:w="3373"/>
        <w:gridCol w:w="900"/>
        <w:gridCol w:w="976"/>
        <w:gridCol w:w="1760"/>
        <w:gridCol w:w="2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序号</w:t>
            </w:r>
          </w:p>
        </w:tc>
        <w:tc>
          <w:tcPr>
            <w:tcW w:w="17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采购内容</w:t>
            </w:r>
          </w:p>
        </w:tc>
        <w:tc>
          <w:tcPr>
            <w:tcW w:w="45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单位</w:t>
            </w:r>
          </w:p>
        </w:tc>
        <w:tc>
          <w:tcPr>
            <w:tcW w:w="49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数量</w:t>
            </w:r>
          </w:p>
        </w:tc>
        <w:tc>
          <w:tcPr>
            <w:tcW w:w="8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预算金额</w:t>
            </w: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（人民币）</w:t>
            </w:r>
          </w:p>
        </w:tc>
        <w:tc>
          <w:tcPr>
            <w:tcW w:w="11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1</w:t>
            </w:r>
          </w:p>
        </w:tc>
        <w:tc>
          <w:tcPr>
            <w:tcW w:w="17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color w:val="auto"/>
                <w:highlight w:val="none"/>
              </w:rPr>
              <w:t>吴兴区2024年农业水价综合改革和农田灌溉水有效利用系数测算分析工作</w:t>
            </w:r>
          </w:p>
        </w:tc>
        <w:tc>
          <w:tcPr>
            <w:tcW w:w="45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项</w:t>
            </w:r>
          </w:p>
        </w:tc>
        <w:tc>
          <w:tcPr>
            <w:tcW w:w="49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1</w:t>
            </w:r>
          </w:p>
        </w:tc>
        <w:tc>
          <w:tcPr>
            <w:tcW w:w="8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70</w:t>
            </w:r>
            <w:r>
              <w:rPr>
                <w:rFonts w:hint="eastAsia" w:ascii="宋体" w:hAnsi="宋体" w:cs="宋体"/>
                <w:bCs/>
                <w:color w:val="auto"/>
                <w:highlight w:val="none"/>
              </w:rPr>
              <w:t>万元</w:t>
            </w:r>
          </w:p>
        </w:tc>
        <w:tc>
          <w:tcPr>
            <w:tcW w:w="11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color w:val="auto"/>
                <w:highlight w:val="none"/>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注</w:t>
            </w:r>
          </w:p>
        </w:tc>
        <w:tc>
          <w:tcPr>
            <w:tcW w:w="4707"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highlight w:val="none"/>
              </w:rPr>
            </w:pPr>
            <w:r>
              <w:rPr>
                <w:rFonts w:hint="eastAsia" w:ascii="宋体" w:hAnsi="宋体" w:cs="宋体"/>
                <w:bCs/>
                <w:color w:val="auto"/>
                <w:highlight w:val="none"/>
              </w:rPr>
              <w:t>投标报价时不得超过预算金额，否则作无效标处理。</w:t>
            </w:r>
          </w:p>
        </w:tc>
      </w:tr>
    </w:tbl>
    <w:p>
      <w:pPr>
        <w:widowControl/>
        <w:spacing w:before="75" w:after="75" w:line="360" w:lineRule="auto"/>
        <w:jc w:val="left"/>
        <w:rPr>
          <w:rFonts w:ascii="宋体" w:hAnsi="宋体" w:cs="宋体"/>
          <w:color w:val="auto"/>
          <w:kern w:val="0"/>
          <w:highlight w:val="none"/>
        </w:rPr>
      </w:pPr>
      <w:r>
        <w:rPr>
          <w:rFonts w:hint="eastAsia" w:ascii="宋体" w:hAnsi="宋体" w:cs="宋体"/>
          <w:b/>
          <w:bCs/>
          <w:color w:val="auto"/>
          <w:kern w:val="0"/>
          <w:highlight w:val="none"/>
        </w:rPr>
        <w:t>四．磋商供应商资格要求</w:t>
      </w:r>
      <w:r>
        <w:rPr>
          <w:rFonts w:hint="eastAsia" w:ascii="宋体" w:hAnsi="宋体" w:cs="宋体"/>
          <w:color w:val="auto"/>
          <w:kern w:val="0"/>
          <w:highlight w:val="none"/>
        </w:rPr>
        <w:t>：</w:t>
      </w:r>
    </w:p>
    <w:p>
      <w:pPr>
        <w:widowControl/>
        <w:spacing w:before="75" w:after="75"/>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pPr>
        <w:widowControl/>
        <w:spacing w:before="75" w:after="75"/>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2、本项目不接受联合体，拒绝转包和分包。</w:t>
      </w:r>
    </w:p>
    <w:p>
      <w:pPr>
        <w:widowControl/>
        <w:spacing w:before="75" w:after="75" w:line="360" w:lineRule="auto"/>
        <w:jc w:val="left"/>
        <w:rPr>
          <w:rFonts w:ascii="宋体" w:hAnsi="宋体" w:cs="宋体"/>
          <w:b/>
          <w:bCs/>
          <w:color w:val="auto"/>
          <w:kern w:val="0"/>
          <w:highlight w:val="none"/>
        </w:rPr>
      </w:pPr>
      <w:r>
        <w:rPr>
          <w:rFonts w:hint="eastAsia" w:ascii="宋体" w:hAnsi="宋体" w:cs="宋体"/>
          <w:b/>
          <w:bCs/>
          <w:color w:val="auto"/>
          <w:kern w:val="0"/>
          <w:highlight w:val="none"/>
        </w:rPr>
        <w:t>五．报名及获取磋商文件时间：</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1、报名及获取磋商文件时间：</w:t>
      </w:r>
      <w:r>
        <w:rPr>
          <w:rFonts w:hint="eastAsia" w:ascii="宋体" w:hAnsi="宋体" w:cs="宋体"/>
          <w:b/>
          <w:bCs/>
          <w:color w:val="auto"/>
          <w:kern w:val="0"/>
          <w:highlight w:val="none"/>
          <w:u w:val="single"/>
        </w:rPr>
        <w:t>至</w:t>
      </w:r>
      <w:r>
        <w:rPr>
          <w:rFonts w:hint="eastAsia" w:ascii="宋体" w:hAnsi="宋体" w:cs="宋体"/>
          <w:b/>
          <w:bCs/>
          <w:color w:val="auto"/>
          <w:kern w:val="0"/>
          <w:highlight w:val="none"/>
          <w:u w:val="single"/>
          <w:lang w:val="en-US" w:eastAsia="zh-CN"/>
        </w:rPr>
        <w:t xml:space="preserve"> 2024 </w:t>
      </w:r>
      <w:r>
        <w:rPr>
          <w:rFonts w:hint="eastAsia" w:ascii="宋体" w:hAnsi="宋体" w:cs="宋体"/>
          <w:b/>
          <w:bCs/>
          <w:color w:val="auto"/>
          <w:kern w:val="0"/>
          <w:highlight w:val="none"/>
          <w:u w:val="single"/>
        </w:rPr>
        <w:t xml:space="preserve">年 </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rPr>
        <w:t xml:space="preserve"> 月 </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rPr>
        <w:t xml:space="preserve"> 日</w:t>
      </w:r>
      <w:r>
        <w:rPr>
          <w:rFonts w:hint="eastAsia" w:ascii="宋体" w:hAnsi="宋体" w:cs="宋体"/>
          <w:b/>
          <w:bCs/>
          <w:color w:val="auto"/>
          <w:kern w:val="0"/>
          <w:highlight w:val="none"/>
          <w:u w:val="single"/>
          <w:lang w:val="en-US" w:eastAsia="zh-CN"/>
        </w:rPr>
        <w:t>14</w:t>
      </w:r>
      <w:r>
        <w:rPr>
          <w:rFonts w:hint="eastAsia" w:ascii="宋体" w:hAnsi="宋体" w:cs="宋体"/>
          <w:b/>
          <w:bCs/>
          <w:color w:val="auto"/>
          <w:kern w:val="0"/>
          <w:highlight w:val="none"/>
          <w:u w:val="single"/>
        </w:rPr>
        <w:t>:</w:t>
      </w:r>
      <w:r>
        <w:rPr>
          <w:rFonts w:hint="eastAsia" w:ascii="宋体" w:hAnsi="宋体" w:cs="宋体"/>
          <w:b/>
          <w:bCs/>
          <w:color w:val="auto"/>
          <w:kern w:val="0"/>
          <w:highlight w:val="none"/>
          <w:u w:val="single"/>
          <w:lang w:val="en-US" w:eastAsia="zh-CN"/>
        </w:rPr>
        <w:t>0</w:t>
      </w:r>
      <w:r>
        <w:rPr>
          <w:rFonts w:hint="eastAsia" w:ascii="宋体" w:hAnsi="宋体" w:cs="宋体"/>
          <w:b/>
          <w:bCs/>
          <w:color w:val="auto"/>
          <w:kern w:val="0"/>
          <w:highlight w:val="none"/>
          <w:u w:val="single"/>
        </w:rPr>
        <w:t>0</w:t>
      </w:r>
      <w:r>
        <w:rPr>
          <w:rFonts w:hint="eastAsia" w:ascii="宋体" w:hAnsi="宋体" w:cs="宋体"/>
          <w:color w:val="auto"/>
          <w:kern w:val="0"/>
          <w:highlight w:val="none"/>
        </w:rPr>
        <w:t>(潜在供应商报名及获取磋商文件前应当在政采云电子交易平台上注册账号并登录，截止时间后不再接受潜在供应商报名及获取磋商文件)。</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pPr>
        <w:widowControl/>
        <w:spacing w:before="75" w:after="75" w:line="240" w:lineRule="atLeast"/>
        <w:ind w:firstLine="480" w:firstLineChars="200"/>
        <w:jc w:val="both"/>
        <w:rPr>
          <w:rFonts w:ascii="宋体" w:hAnsi="宋体" w:cs="宋体"/>
          <w:color w:val="auto"/>
          <w:kern w:val="0"/>
          <w:highlight w:val="none"/>
        </w:rPr>
      </w:pPr>
      <w:r>
        <w:rPr>
          <w:rFonts w:hint="eastAsia" w:ascii="宋体" w:hAnsi="宋体" w:cs="宋体"/>
          <w:color w:val="auto"/>
          <w:kern w:val="0"/>
          <w:highlight w:val="none"/>
        </w:rPr>
        <w:t>3、免费注册网址：浙江政府采购网（供应商注册页面）：https://middle.zcygov.cn/settle-front/#/registry“政采云”，咨询电话：400-881-7190。已经注册成功的供应商无需重复注册。</w:t>
      </w:r>
    </w:p>
    <w:p>
      <w:pPr>
        <w:widowControl/>
        <w:spacing w:before="75" w:after="75" w:line="240" w:lineRule="atLeast"/>
        <w:jc w:val="left"/>
        <w:rPr>
          <w:rFonts w:ascii="宋体" w:hAnsi="宋体" w:cs="宋体"/>
          <w:b/>
          <w:bCs/>
          <w:color w:val="auto"/>
          <w:kern w:val="0"/>
          <w:highlight w:val="none"/>
        </w:rPr>
      </w:pPr>
      <w:r>
        <w:rPr>
          <w:rFonts w:hint="eastAsia" w:ascii="宋体" w:hAnsi="宋体" w:cs="宋体"/>
          <w:b/>
          <w:bCs/>
          <w:color w:val="auto"/>
          <w:kern w:val="0"/>
          <w:highlight w:val="none"/>
        </w:rPr>
        <w:t>六、响应文件的递交及相关事宜：</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1、响应文件递交的截止时间（投标截止时间，下同）</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2024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 xml:space="preserve"> 月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 xml:space="preserve"> 日</w:t>
      </w:r>
      <w:r>
        <w:rPr>
          <w:rFonts w:hint="eastAsia" w:ascii="宋体" w:hAnsi="宋体" w:cs="宋体"/>
          <w:color w:val="auto"/>
          <w:kern w:val="0"/>
          <w:highlight w:val="none"/>
          <w:lang w:val="en-US" w:eastAsia="zh-CN"/>
        </w:rPr>
        <w:t>14</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00</w:t>
      </w:r>
      <w:r>
        <w:rPr>
          <w:rFonts w:hint="eastAsia" w:ascii="宋体" w:hAnsi="宋体" w:cs="宋体"/>
          <w:color w:val="auto"/>
          <w:kern w:val="0"/>
          <w:highlight w:val="none"/>
        </w:rPr>
        <w:t>。</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2、响应文件的递交方式</w:t>
      </w:r>
      <w:r>
        <w:rPr>
          <w:rFonts w:hint="eastAsia" w:ascii="宋体" w:hAnsi="宋体" w:cs="宋体"/>
          <w:color w:val="auto"/>
          <w:kern w:val="0"/>
          <w:highlight w:val="none"/>
        </w:rPr>
        <w:t>：</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2.1电子响应文件：</w:t>
      </w:r>
      <w:r>
        <w:rPr>
          <w:rFonts w:hint="eastAsia" w:ascii="宋体" w:hAnsi="宋体" w:cs="宋体"/>
          <w:color w:val="auto"/>
          <w:kern w:val="0"/>
          <w:highlight w:val="none"/>
        </w:rPr>
        <w:t>按政采云平台项目采购-电子交易操作指南及本磋商文件要求制作、加密并递交。</w:t>
      </w:r>
      <w:r>
        <w:rPr>
          <w:rFonts w:hint="eastAsia" w:ascii="宋体" w:hAnsi="宋体" w:cs="宋体"/>
          <w:b/>
          <w:bCs/>
          <w:color w:val="auto"/>
          <w:kern w:val="0"/>
          <w:highlight w:val="none"/>
          <w:u w:val="single"/>
        </w:rPr>
        <w:t>供应商应于</w:t>
      </w:r>
      <w:r>
        <w:rPr>
          <w:rFonts w:hint="eastAsia" w:ascii="宋体" w:hAnsi="宋体" w:cs="宋体"/>
          <w:b/>
          <w:bCs/>
          <w:color w:val="auto"/>
          <w:kern w:val="0"/>
          <w:highlight w:val="none"/>
          <w:u w:val="single"/>
          <w:lang w:val="en-US" w:eastAsia="zh-CN"/>
        </w:rPr>
        <w:t>2024</w:t>
      </w:r>
      <w:r>
        <w:rPr>
          <w:rFonts w:hint="eastAsia" w:ascii="宋体" w:hAnsi="宋体" w:cs="宋体"/>
          <w:b/>
          <w:bCs/>
          <w:color w:val="auto"/>
          <w:kern w:val="0"/>
          <w:highlight w:val="none"/>
          <w:u w:val="single"/>
        </w:rPr>
        <w:t>年</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rPr>
        <w:t xml:space="preserve"> 月 </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rPr>
        <w:t xml:space="preserve"> 日</w:t>
      </w:r>
      <w:r>
        <w:rPr>
          <w:rFonts w:hint="eastAsia" w:ascii="宋体" w:hAnsi="宋体" w:cs="宋体"/>
          <w:b/>
          <w:bCs/>
          <w:color w:val="auto"/>
          <w:kern w:val="0"/>
          <w:highlight w:val="none"/>
          <w:u w:val="single"/>
          <w:lang w:val="en-US" w:eastAsia="zh-CN"/>
        </w:rPr>
        <w:t>14</w:t>
      </w:r>
      <w:r>
        <w:rPr>
          <w:rFonts w:hint="eastAsia" w:ascii="宋体" w:hAnsi="宋体" w:cs="宋体"/>
          <w:b/>
          <w:bCs/>
          <w:color w:val="auto"/>
          <w:kern w:val="0"/>
          <w:highlight w:val="none"/>
          <w:u w:val="single"/>
        </w:rPr>
        <w:t>:</w:t>
      </w:r>
      <w:r>
        <w:rPr>
          <w:rFonts w:hint="eastAsia" w:ascii="宋体" w:hAnsi="宋体" w:cs="宋体"/>
          <w:b/>
          <w:bCs/>
          <w:color w:val="auto"/>
          <w:kern w:val="0"/>
          <w:highlight w:val="none"/>
          <w:u w:val="single"/>
          <w:lang w:val="en-US" w:eastAsia="zh-CN"/>
        </w:rPr>
        <w:t>0</w:t>
      </w:r>
      <w:r>
        <w:rPr>
          <w:rFonts w:hint="eastAsia" w:ascii="宋体" w:hAnsi="宋体" w:cs="宋体"/>
          <w:b/>
          <w:bCs/>
          <w:color w:val="auto"/>
          <w:kern w:val="0"/>
          <w:highlight w:val="none"/>
          <w:u w:val="single"/>
        </w:rPr>
        <w:t>0分</w:t>
      </w:r>
      <w:r>
        <w:rPr>
          <w:rFonts w:hint="eastAsia" w:ascii="宋体" w:hAnsi="宋体" w:cs="宋体"/>
          <w:color w:val="auto"/>
          <w:kern w:val="0"/>
          <w:highlight w:val="none"/>
        </w:rPr>
        <w:t>（北京时间）前将制作、加密的电子版响应文件上传到政采云系统中（未准时上传的视为放弃磋商资格，作无效标处理）；</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2.2数据电子备份响应文件</w:t>
      </w:r>
      <w:r>
        <w:rPr>
          <w:rFonts w:hint="eastAsia" w:ascii="宋体" w:hAnsi="宋体" w:cs="宋体"/>
          <w:color w:val="auto"/>
          <w:kern w:val="0"/>
          <w:highlight w:val="none"/>
        </w:rPr>
        <w:t>：以U盘形式提供的数据电子备份响应文件格式及内容须与政采云平台项目采购-电子交易操作指南中制作、加密并递交的电子响应文件格式及内容一致。递交方式：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宋体" w:hAnsi="宋体" w:cs="宋体"/>
          <w:b/>
          <w:bCs/>
          <w:color w:val="auto"/>
          <w:kern w:val="0"/>
          <w:highlight w:val="none"/>
        </w:rPr>
        <w:t>邮寄地址为：浙江诚远工程咨询有限公司（浙江省湖州市谈家扇花园小区1幢2楼），联系人：沈雍，联系电话：0572-2052851，电子邮箱：</w:t>
      </w:r>
      <w:r>
        <w:rPr>
          <w:rFonts w:hint="eastAsia"/>
          <w:color w:val="auto"/>
          <w:highlight w:val="none"/>
        </w:rPr>
        <w:fldChar w:fldCharType="begin"/>
      </w:r>
      <w:r>
        <w:rPr>
          <w:color w:val="auto"/>
          <w:highlight w:val="none"/>
        </w:rPr>
        <w:instrText xml:space="preserve"> HYPERLINK "mailto:huayaohz@163.com" \h </w:instrText>
      </w:r>
      <w:r>
        <w:rPr>
          <w:rFonts w:hint="eastAsia"/>
          <w:color w:val="auto"/>
          <w:highlight w:val="none"/>
        </w:rPr>
        <w:fldChar w:fldCharType="separate"/>
      </w:r>
      <w:r>
        <w:rPr>
          <w:rFonts w:hint="eastAsia" w:ascii="宋体" w:hAnsi="宋体" w:cs="宋体"/>
          <w:b/>
          <w:bCs/>
          <w:color w:val="auto"/>
          <w:kern w:val="0"/>
          <w:highlight w:val="none"/>
          <w:u w:val="single"/>
        </w:rPr>
        <w:t>741697632@qq.com</w:t>
      </w:r>
      <w:r>
        <w:rPr>
          <w:rFonts w:hint="eastAsia" w:ascii="宋体" w:hAnsi="宋体" w:cs="宋体"/>
          <w:b/>
          <w:bCs/>
          <w:color w:val="auto"/>
          <w:kern w:val="0"/>
          <w:highlight w:val="none"/>
          <w:u w:val="single"/>
        </w:rPr>
        <w:fldChar w:fldCharType="end"/>
      </w:r>
      <w:r>
        <w:rPr>
          <w:rFonts w:hint="eastAsia" w:ascii="宋体" w:hAnsi="宋体" w:cs="宋体"/>
          <w:b/>
          <w:bCs/>
          <w:color w:val="auto"/>
          <w:kern w:val="0"/>
          <w:highlight w:val="none"/>
        </w:rPr>
        <w:t>。供应商应于开标前一个工作日下午16:00 时前准时送达，拒绝到付。</w:t>
      </w:r>
      <w:r>
        <w:rPr>
          <w:rFonts w:hint="eastAsia" w:ascii="宋体" w:hAnsi="宋体" w:cs="宋体"/>
          <w:color w:val="auto"/>
          <w:kern w:val="0"/>
          <w:highlight w:val="none"/>
        </w:rPr>
        <w:t>（以收件人实际签收时间为准，收件人签收后将予以回执，回执单采用图片形式发送给投标人确认，该回执单仅作为投标人邮寄的包裹送达时间的依据），</w:t>
      </w:r>
      <w:r>
        <w:rPr>
          <w:rFonts w:hint="eastAsia" w:ascii="宋体" w:hAnsi="宋体" w:cs="宋体"/>
          <w:b/>
          <w:bCs/>
          <w:color w:val="auto"/>
          <w:kern w:val="0"/>
          <w:highlight w:val="none"/>
        </w:rPr>
        <w:t>逾期送达的将拒绝接收。</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3、CA锁解密时间为开标当日磋商截止时间后，各供应商须提供符合要求的CA加密后的电子响应文件、有效的CA锁供开标现场解密，磋商截止时间止未完成上传的电子响应文件或未按磋商文件要求密封、包装的数据电子备份响应文件（U盘）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4、供应商须在线获取CA数字证书（完成CA数字证书办理预计一周左右，建议各供应商自行把握时间，办理流程详见政采云网上操作流程，并登陆“浙江政府采购网”（http://zfcg.czt.zj.gov.cn/），进入“下载专区”下载“电子交易客户端”，制作响应文件。</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5、供应商须将制作、加密后的电子版响应文件于磋商截止时间前上传到政采云系统中，超过磋商截止时间上传的，均按无效标处理。</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6、供应商通过政采云平台电子投标工具制作响应文件，电子投标工具请供应商自行前往浙江省政府采购网下载并安装，（下载网址：https://zfcg.czt.zj.gov.cn），供应商电子交易操作指南详见浙江政府采购网。</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7、按照“不见面、少接触”的原则，本项目采取“不见面”形式进行开评标活动,法定代表人或其授权代表无须到场，在线响应即可（通过指定的电子邮箱、传真等）。</w:t>
      </w:r>
    </w:p>
    <w:p>
      <w:pPr>
        <w:ind w:firstLine="482" w:firstLineChars="200"/>
        <w:rPr>
          <w:rFonts w:ascii="宋体" w:hAnsi="宋体" w:cs="宋体"/>
          <w:color w:val="auto"/>
          <w:kern w:val="0"/>
          <w:highlight w:val="none"/>
        </w:rPr>
      </w:pPr>
      <w:r>
        <w:rPr>
          <w:rFonts w:hint="eastAsia" w:ascii="宋体" w:hAnsi="宋体" w:cs="宋体"/>
          <w:b/>
          <w:bCs/>
          <w:color w:val="auto"/>
          <w:kern w:val="0"/>
          <w:highlight w:val="none"/>
        </w:rPr>
        <w:t>七、响应文件提交地点</w:t>
      </w:r>
      <w:r>
        <w:rPr>
          <w:rFonts w:hint="eastAsia" w:ascii="宋体" w:hAnsi="宋体" w:cs="宋体"/>
          <w:color w:val="auto"/>
          <w:kern w:val="0"/>
          <w:highlight w:val="none"/>
        </w:rPr>
        <w:t>：</w:t>
      </w:r>
      <w:r>
        <w:rPr>
          <w:rFonts w:hint="eastAsia" w:ascii="宋体" w:hAnsi="宋体" w:cs="宋体"/>
          <w:color w:val="auto"/>
          <w:highlight w:val="none"/>
          <w:lang w:eastAsia="zh-CN"/>
        </w:rPr>
        <w:t>湖州市吴兴区公共资源交易中心</w:t>
      </w:r>
      <w:r>
        <w:rPr>
          <w:rFonts w:hint="eastAsia" w:ascii="宋体" w:hAnsi="宋体" w:cs="宋体"/>
          <w:color w:val="auto"/>
          <w:highlight w:val="none"/>
        </w:rPr>
        <w:t>（</w:t>
      </w:r>
      <w:r>
        <w:rPr>
          <w:rFonts w:hint="eastAsia" w:ascii="宋体" w:hAnsi="宋体" w:cs="宋体"/>
          <w:color w:val="auto"/>
          <w:highlight w:val="none"/>
          <w:lang w:eastAsia="zh-CN"/>
        </w:rPr>
        <w:t>湖州市吴兴区区府路1188号总部自由港E幢4楼</w:t>
      </w:r>
      <w:r>
        <w:rPr>
          <w:rFonts w:hint="eastAsia" w:ascii="宋体" w:hAnsi="宋体" w:cs="宋体"/>
          <w:color w:val="auto"/>
          <w:highlight w:val="none"/>
        </w:rPr>
        <w:t>）开标室</w:t>
      </w:r>
      <w:r>
        <w:rPr>
          <w:rFonts w:hint="eastAsia" w:ascii="宋体" w:hAnsi="宋体" w:cs="宋体"/>
          <w:color w:val="auto"/>
          <w:kern w:val="0"/>
          <w:highlight w:val="none"/>
        </w:rPr>
        <w:t>届时详见休息区电子显示屏。</w:t>
      </w:r>
    </w:p>
    <w:p>
      <w:pPr>
        <w:widowControl/>
        <w:spacing w:before="75" w:after="75" w:line="240" w:lineRule="atLeast"/>
        <w:jc w:val="left"/>
        <w:rPr>
          <w:rFonts w:hint="default" w:ascii="宋体" w:hAnsi="宋体" w:cs="宋体"/>
          <w:color w:val="auto"/>
          <w:kern w:val="0"/>
          <w:highlight w:val="none"/>
          <w:lang w:val="en-US"/>
        </w:rPr>
      </w:pPr>
      <w:r>
        <w:rPr>
          <w:rFonts w:hint="eastAsia" w:ascii="宋体" w:hAnsi="宋体" w:cs="宋体"/>
          <w:b/>
          <w:bCs/>
          <w:color w:val="auto"/>
          <w:kern w:val="0"/>
          <w:highlight w:val="none"/>
        </w:rPr>
        <w:t>八、磋商时间：</w:t>
      </w:r>
      <w:r>
        <w:rPr>
          <w:rFonts w:hint="eastAsia" w:ascii="宋体" w:hAnsi="宋体" w:cs="宋体"/>
          <w:b/>
          <w:bCs/>
          <w:color w:val="auto"/>
          <w:kern w:val="0"/>
          <w:highlight w:val="none"/>
          <w:u w:val="single"/>
        </w:rPr>
        <w:t>202</w:t>
      </w:r>
      <w:r>
        <w:rPr>
          <w:rFonts w:hint="eastAsia" w:ascii="宋体" w:hAnsi="宋体" w:cs="宋体"/>
          <w:b/>
          <w:bCs/>
          <w:color w:val="auto"/>
          <w:kern w:val="0"/>
          <w:highlight w:val="none"/>
          <w:u w:val="single"/>
          <w:lang w:val="en-US" w:eastAsia="zh-CN"/>
        </w:rPr>
        <w:t>4</w:t>
      </w:r>
      <w:r>
        <w:rPr>
          <w:rFonts w:hint="eastAsia" w:ascii="宋体" w:hAnsi="宋体" w:cs="宋体"/>
          <w:b/>
          <w:bCs/>
          <w:color w:val="auto"/>
          <w:kern w:val="0"/>
          <w:highlight w:val="none"/>
          <w:u w:val="single"/>
        </w:rPr>
        <w:t xml:space="preserve">年 </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rPr>
        <w:t xml:space="preserve"> 月</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rPr>
        <w:t xml:space="preserve"> 日</w:t>
      </w:r>
      <w:r>
        <w:rPr>
          <w:rFonts w:hint="eastAsia" w:ascii="宋体" w:hAnsi="宋体" w:cs="宋体"/>
          <w:b/>
          <w:bCs/>
          <w:color w:val="auto"/>
          <w:kern w:val="0"/>
          <w:highlight w:val="none"/>
          <w:u w:val="single"/>
          <w:lang w:val="en-US" w:eastAsia="zh-CN"/>
        </w:rPr>
        <w:t xml:space="preserve"> 14</w:t>
      </w:r>
      <w:r>
        <w:rPr>
          <w:rFonts w:hint="eastAsia" w:ascii="宋体" w:hAnsi="宋体" w:cs="宋体"/>
          <w:b/>
          <w:bCs/>
          <w:color w:val="auto"/>
          <w:kern w:val="0"/>
          <w:highlight w:val="none"/>
          <w:u w:val="single"/>
        </w:rPr>
        <w:t>:</w:t>
      </w:r>
      <w:r>
        <w:rPr>
          <w:rFonts w:hint="eastAsia" w:ascii="宋体" w:hAnsi="宋体" w:cs="宋体"/>
          <w:b/>
          <w:bCs/>
          <w:color w:val="auto"/>
          <w:kern w:val="0"/>
          <w:highlight w:val="none"/>
          <w:u w:val="single"/>
          <w:lang w:val="en-US" w:eastAsia="zh-CN"/>
        </w:rPr>
        <w:t>00</w:t>
      </w:r>
    </w:p>
    <w:p>
      <w:pPr>
        <w:widowControl/>
        <w:spacing w:before="75" w:after="75" w:line="240" w:lineRule="atLeast"/>
        <w:jc w:val="left"/>
        <w:rPr>
          <w:rFonts w:ascii="宋体" w:hAnsi="宋体" w:cs="宋体"/>
          <w:color w:val="auto"/>
          <w:kern w:val="0"/>
          <w:highlight w:val="none"/>
        </w:rPr>
      </w:pPr>
      <w:r>
        <w:rPr>
          <w:rFonts w:hint="eastAsia" w:ascii="宋体" w:hAnsi="宋体" w:cs="宋体"/>
          <w:b/>
          <w:bCs/>
          <w:color w:val="auto"/>
          <w:kern w:val="0"/>
          <w:highlight w:val="none"/>
        </w:rPr>
        <w:t>九、磋商地点：</w:t>
      </w:r>
      <w:r>
        <w:rPr>
          <w:rFonts w:hint="eastAsia" w:ascii="宋体" w:hAnsi="宋体" w:cs="宋体"/>
          <w:color w:val="auto"/>
          <w:highlight w:val="none"/>
          <w:lang w:eastAsia="zh-CN"/>
        </w:rPr>
        <w:t>湖州市吴兴区公共资源交易中心</w:t>
      </w:r>
      <w:r>
        <w:rPr>
          <w:rFonts w:hint="eastAsia" w:ascii="宋体" w:hAnsi="宋体" w:cs="宋体"/>
          <w:color w:val="auto"/>
          <w:highlight w:val="none"/>
        </w:rPr>
        <w:t>（</w:t>
      </w:r>
      <w:r>
        <w:rPr>
          <w:rFonts w:hint="eastAsia" w:ascii="宋体" w:hAnsi="宋体" w:cs="宋体"/>
          <w:color w:val="auto"/>
          <w:highlight w:val="none"/>
          <w:lang w:eastAsia="zh-CN"/>
        </w:rPr>
        <w:t>湖州市吴兴区区府路1188号总部自由港E幢4楼</w:t>
      </w:r>
      <w:r>
        <w:rPr>
          <w:rFonts w:hint="eastAsia" w:ascii="宋体" w:hAnsi="宋体" w:cs="宋体"/>
          <w:color w:val="auto"/>
          <w:highlight w:val="none"/>
        </w:rPr>
        <w:t>）开标室</w:t>
      </w:r>
      <w:r>
        <w:rPr>
          <w:rFonts w:hint="eastAsia" w:ascii="宋体" w:hAnsi="宋体" w:cs="宋体"/>
          <w:color w:val="auto"/>
          <w:kern w:val="0"/>
          <w:highlight w:val="none"/>
        </w:rPr>
        <w:t>届时详见休息区电子显示屏）。未按时上传电子响应文件的</w:t>
      </w:r>
      <w:r>
        <w:rPr>
          <w:rFonts w:hint="eastAsia" w:ascii="宋体" w:hAnsi="宋体" w:cs="宋体"/>
          <w:color w:val="auto"/>
          <w:highlight w:val="none"/>
        </w:rPr>
        <w:t>将拒绝接收，作无效标处理。</w:t>
      </w:r>
    </w:p>
    <w:p>
      <w:pPr>
        <w:snapToGrid w:val="0"/>
        <w:spacing w:line="500" w:lineRule="exact"/>
        <w:rPr>
          <w:rFonts w:ascii="宋体" w:hAnsi="宋体" w:cs="宋体"/>
          <w:color w:val="auto"/>
          <w:kern w:val="0"/>
          <w:highlight w:val="none"/>
        </w:rPr>
      </w:pPr>
      <w:r>
        <w:rPr>
          <w:rFonts w:hint="eastAsia" w:ascii="宋体" w:hAnsi="宋体" w:cs="宋体"/>
          <w:b/>
          <w:bCs/>
          <w:color w:val="auto"/>
          <w:kern w:val="0"/>
          <w:highlight w:val="none"/>
        </w:rPr>
        <w:t>十、公告期限：</w:t>
      </w:r>
      <w:r>
        <w:rPr>
          <w:rFonts w:hint="eastAsia" w:ascii="宋体" w:hAnsi="宋体" w:cs="宋体"/>
          <w:bCs/>
          <w:color w:val="auto"/>
          <w:kern w:val="0"/>
          <w:highlight w:val="none"/>
        </w:rPr>
        <w:t>至投标截止时间</w:t>
      </w:r>
    </w:p>
    <w:p>
      <w:pPr>
        <w:widowControl/>
        <w:spacing w:before="75" w:after="75" w:line="240" w:lineRule="atLeast"/>
        <w:jc w:val="left"/>
        <w:rPr>
          <w:rFonts w:ascii="宋体" w:hAnsi="宋体" w:cs="宋体"/>
          <w:b/>
          <w:bCs/>
          <w:color w:val="auto"/>
          <w:kern w:val="0"/>
          <w:highlight w:val="none"/>
        </w:rPr>
      </w:pPr>
      <w:r>
        <w:rPr>
          <w:rFonts w:hint="eastAsia" w:ascii="宋体" w:hAnsi="宋体" w:cs="宋体"/>
          <w:b/>
          <w:bCs/>
          <w:color w:val="auto"/>
          <w:kern w:val="0"/>
          <w:highlight w:val="none"/>
        </w:rPr>
        <w:t>十一、其他事项：</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w:t>
      </w:r>
      <w:r>
        <w:rPr>
          <w:rFonts w:hint="eastAsia" w:ascii="宋体" w:hAnsi="宋体" w:cs="宋体"/>
          <w:b/>
          <w:bCs/>
          <w:color w:val="auto"/>
          <w:kern w:val="0"/>
          <w:highlight w:val="none"/>
        </w:rPr>
        <w:t>技术支持热线咨询，联系方式：400-881-7190</w:t>
      </w:r>
      <w:r>
        <w:rPr>
          <w:rFonts w:hint="eastAsia" w:ascii="宋体" w:hAnsi="宋体" w:cs="宋体"/>
          <w:color w:val="auto"/>
          <w:kern w:val="0"/>
          <w:highlight w:val="none"/>
        </w:rPr>
        <w:t>。其中数据电子备份响应文件（U盘）在磋商截止时间前于开标现场以密封、包装的形式提供。</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75" w:after="75" w:line="240" w:lineRule="atLeast"/>
        <w:ind w:firstLine="480" w:firstLineChars="200"/>
        <w:jc w:val="left"/>
        <w:rPr>
          <w:rFonts w:ascii="宋体" w:hAnsi="宋体" w:cs="宋体"/>
          <w:b/>
          <w:bCs/>
          <w:color w:val="auto"/>
          <w:kern w:val="0"/>
          <w:highlight w:val="none"/>
        </w:rPr>
      </w:pPr>
      <w:r>
        <w:rPr>
          <w:rFonts w:hint="eastAsia" w:ascii="宋体" w:hAnsi="宋体" w:cs="宋体"/>
          <w:color w:val="auto"/>
          <w:kern w:val="0"/>
          <w:highlight w:val="none"/>
        </w:rPr>
        <w:t>3、</w:t>
      </w:r>
      <w:r>
        <w:rPr>
          <w:rFonts w:hint="eastAsia" w:ascii="宋体" w:hAnsi="宋体" w:cs="宋体"/>
          <w:b/>
          <w:bCs/>
          <w:color w:val="auto"/>
          <w:kern w:val="0"/>
          <w:highlight w:val="none"/>
        </w:rPr>
        <w:t>供应商对磋商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4、答疑内容是磋商文件的组成部分，并将在网上发布补充（答疑、澄清）文件，潜在供应商应自行关注网站公告，采购人不再一一通知，供应商因自身贻误行为导致投标失效的，责任自负。</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440" w:lineRule="exac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6、为有效破解当前中小微企业面临的“融资难、融资贵”困局，充分发挥好政府采购扶持小微企业发展的政策功能，本项目中标供应商可凭中标通知书等材料至“绿贷通平台”网页（</w:t>
      </w:r>
      <w:r>
        <w:rPr>
          <w:rFonts w:hint="eastAsia" w:ascii="宋体" w:hAnsi="宋体" w:cs="宋体"/>
          <w:color w:val="auto"/>
          <w:kern w:val="0"/>
          <w:highlight w:val="none"/>
        </w:rPr>
        <w:drawing>
          <wp:inline distT="0" distB="0" distL="0" distR="0">
            <wp:extent cx="191135" cy="138430"/>
            <wp:effectExtent l="1905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cs="宋体"/>
          <w:color w:val="auto"/>
          <w:kern w:val="0"/>
          <w:highlight w:val="none"/>
        </w:rPr>
        <w:t>https://lvdt.huzldt.com）或“政采贷”平台网页（</w:t>
      </w:r>
      <w:r>
        <w:rPr>
          <w:rFonts w:hint="eastAsia" w:ascii="宋体" w:hAnsi="宋体" w:cs="宋体"/>
          <w:color w:val="auto"/>
          <w:kern w:val="0"/>
          <w:highlight w:val="none"/>
        </w:rPr>
        <w:drawing>
          <wp:inline distT="0" distB="0" distL="0" distR="0">
            <wp:extent cx="191135" cy="138430"/>
            <wp:effectExtent l="1905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cs="宋体"/>
          <w:color w:val="auto"/>
          <w:kern w:val="0"/>
          <w:highlight w:val="none"/>
        </w:rPr>
        <w:t>www.zcygov.cn）申请相关融资产品。具体操作方式可在“绿贷通”或“政采贷”平台网站查询，也可向“绿贷通”或“政采贷”平台电话咨询（“绿贷通”联系电话：0572-2392590、“政采贷”联系电话：0572-2151055、18698580797）。</w:t>
      </w:r>
    </w:p>
    <w:p>
      <w:pPr>
        <w:widowControl/>
        <w:spacing w:line="360" w:lineRule="auto"/>
        <w:ind w:firstLine="482" w:firstLineChars="200"/>
        <w:jc w:val="left"/>
        <w:rPr>
          <w:rFonts w:ascii="宋体" w:hAnsi="宋体" w:cs="宋体"/>
          <w:b/>
          <w:bCs/>
          <w:color w:val="auto"/>
          <w:kern w:val="0"/>
          <w:highlight w:val="none"/>
        </w:rPr>
      </w:pPr>
      <w:r>
        <w:rPr>
          <w:rFonts w:hint="eastAsia" w:ascii="宋体" w:hAnsi="宋体" w:cs="宋体"/>
          <w:b/>
          <w:bCs/>
          <w:color w:val="auto"/>
          <w:kern w:val="0"/>
          <w:highlight w:val="none"/>
        </w:rPr>
        <w:t>7、本项目是否专门面向中小企业采购：是</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8、本次磋商有关信息刊登在：</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8.1浙江政府采购网：http://zfcg.czt.zj.gov.cn/</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8.2</w:t>
      </w:r>
      <w:r>
        <w:rPr>
          <w:rFonts w:hint="eastAsia" w:ascii="宋体" w:hAnsi="宋体" w:cs="宋体"/>
          <w:color w:val="auto"/>
          <w:highlight w:val="none"/>
          <w:lang w:eastAsia="zh-CN"/>
        </w:rPr>
        <w:t>湖州市吴兴区公共资源交易中心</w:t>
      </w:r>
      <w:r>
        <w:rPr>
          <w:rFonts w:hint="eastAsia" w:ascii="宋体" w:hAnsi="宋体" w:cs="宋体"/>
          <w:color w:val="auto"/>
          <w:highlight w:val="none"/>
        </w:rPr>
        <w:t xml:space="preserve">  （</w:t>
      </w:r>
      <w:r>
        <w:rPr>
          <w:rFonts w:hint="eastAsia" w:ascii="宋体" w:hAnsi="宋体" w:cs="宋体"/>
          <w:color w:val="auto"/>
          <w:kern w:val="0"/>
          <w:highlight w:val="none"/>
        </w:rPr>
        <w:t>http://ggzyjy.huzhou.gov.cn/</w:t>
      </w:r>
      <w:r>
        <w:rPr>
          <w:rFonts w:hint="eastAsia" w:ascii="宋体" w:hAnsi="宋体" w:cs="宋体"/>
          <w:color w:val="auto"/>
          <w:highlight w:val="none"/>
        </w:rPr>
        <w:t>）；</w:t>
      </w:r>
    </w:p>
    <w:p>
      <w:pPr>
        <w:widowControl/>
        <w:spacing w:before="75" w:after="75" w:line="240" w:lineRule="atLeast"/>
        <w:jc w:val="left"/>
        <w:rPr>
          <w:rFonts w:ascii="宋体" w:hAnsi="宋体" w:cs="宋体"/>
          <w:b/>
          <w:bCs/>
          <w:color w:val="auto"/>
          <w:kern w:val="0"/>
          <w:highlight w:val="none"/>
        </w:rPr>
      </w:pPr>
      <w:r>
        <w:rPr>
          <w:rFonts w:hint="eastAsia" w:ascii="宋体" w:hAnsi="宋体" w:cs="宋体"/>
          <w:b/>
          <w:bCs/>
          <w:color w:val="auto"/>
          <w:kern w:val="0"/>
          <w:highlight w:val="none"/>
        </w:rPr>
        <w:t>十二、告知事项：</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bCs/>
          <w:color w:val="auto"/>
          <w:kern w:val="0"/>
          <w:highlight w:val="none"/>
        </w:rPr>
        <w:t>本项目磋商代理费按照计价格（2002）1980号文件标准，</w:t>
      </w:r>
      <w:r>
        <w:rPr>
          <w:rFonts w:hint="eastAsia" w:ascii="宋体" w:hAnsi="宋体" w:cs="宋体"/>
          <w:color w:val="auto"/>
          <w:kern w:val="0"/>
          <w:highlight w:val="none"/>
        </w:rPr>
        <w:t>领取中标通知书前支付给采购代理机构，该费用请供应商自行考虑计入竞标报价中。</w:t>
      </w:r>
    </w:p>
    <w:p>
      <w:pPr>
        <w:widowControl/>
        <w:spacing w:before="75" w:after="75" w:line="360" w:lineRule="auto"/>
        <w:jc w:val="left"/>
        <w:rPr>
          <w:rFonts w:ascii="宋体" w:hAnsi="宋体" w:cs="宋体"/>
          <w:color w:val="auto"/>
          <w:kern w:val="0"/>
          <w:highlight w:val="none"/>
        </w:rPr>
      </w:pPr>
      <w:r>
        <w:rPr>
          <w:rFonts w:hint="eastAsia" w:ascii="宋体" w:hAnsi="宋体" w:cs="宋体"/>
          <w:b/>
          <w:bCs/>
          <w:color w:val="auto"/>
          <w:kern w:val="0"/>
          <w:highlight w:val="none"/>
        </w:rPr>
        <w:t>十三. 联系方式</w:t>
      </w:r>
    </w:p>
    <w:p>
      <w:pPr>
        <w:widowControl/>
        <w:spacing w:before="75" w:after="75"/>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1.代理机构名称：浙江诚远工程咨询有限公司</w:t>
      </w:r>
    </w:p>
    <w:p>
      <w:pPr>
        <w:widowControl/>
        <w:spacing w:before="75" w:after="75"/>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联系人：沈雍      联系电话：0572-2052851</w:t>
      </w:r>
    </w:p>
    <w:p>
      <w:pPr>
        <w:widowControl/>
        <w:spacing w:before="75" w:after="75"/>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地址：浙江省湖州市谈家扇花园小区1幢2楼</w:t>
      </w:r>
    </w:p>
    <w:p>
      <w:pPr>
        <w:autoSpaceDE w:val="0"/>
        <w:autoSpaceDN w:val="0"/>
        <w:adjustRightInd w:val="0"/>
        <w:spacing w:line="400" w:lineRule="exac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2、采购人名称：</w:t>
      </w:r>
      <w:r>
        <w:rPr>
          <w:rFonts w:hint="eastAsia" w:ascii="宋体" w:hAnsi="宋体" w:cs="宋体"/>
          <w:color w:val="auto"/>
          <w:kern w:val="0"/>
          <w:highlight w:val="none"/>
          <w:lang w:eastAsia="zh-CN"/>
        </w:rPr>
        <w:t>湖州市吴兴区水利局</w:t>
      </w:r>
      <w:r>
        <w:rPr>
          <w:rFonts w:hint="eastAsia" w:ascii="宋体" w:hAnsi="宋体" w:cs="宋体"/>
          <w:color w:val="auto"/>
          <w:kern w:val="0"/>
          <w:highlight w:val="none"/>
        </w:rPr>
        <w:t xml:space="preserve"> </w:t>
      </w:r>
    </w:p>
    <w:p>
      <w:pPr>
        <w:widowControl/>
        <w:spacing w:line="360" w:lineRule="auto"/>
        <w:ind w:firstLine="720" w:firstLineChars="3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zh-CN"/>
        </w:rPr>
        <w:t>联系人：</w:t>
      </w:r>
      <w:r>
        <w:rPr>
          <w:rFonts w:hint="eastAsia" w:ascii="宋体" w:hAnsi="宋体" w:cs="宋体"/>
          <w:color w:val="auto"/>
          <w:kern w:val="0"/>
          <w:highlight w:val="none"/>
          <w:lang w:val="en-US" w:eastAsia="zh-CN"/>
        </w:rPr>
        <w:t xml:space="preserve">朱易凡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 xml:space="preserve">     联系电话：18257273520</w:t>
      </w:r>
    </w:p>
    <w:p>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3. 政府采购行政监管及投诉受理部门：</w:t>
      </w:r>
    </w:p>
    <w:p>
      <w:pPr>
        <w:widowControl/>
        <w:spacing w:line="360" w:lineRule="auto"/>
        <w:ind w:firstLine="480" w:firstLineChars="2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 名 称：</w:t>
      </w:r>
      <w:r>
        <w:rPr>
          <w:rFonts w:hint="eastAsia" w:ascii="宋体" w:hAnsi="宋体" w:cs="宋体"/>
          <w:color w:val="auto"/>
          <w:kern w:val="0"/>
          <w:highlight w:val="none"/>
          <w:lang w:eastAsia="zh-CN"/>
        </w:rPr>
        <w:t>湖州市吴兴区财政局</w:t>
      </w:r>
    </w:p>
    <w:p>
      <w:pPr>
        <w:widowControl/>
        <w:spacing w:line="360" w:lineRule="auto"/>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地  址：</w:t>
      </w:r>
      <w:r>
        <w:rPr>
          <w:rFonts w:hint="eastAsia" w:ascii="宋体" w:hAnsi="宋体" w:cs="宋体"/>
          <w:color w:val="auto"/>
          <w:highlight w:val="none"/>
          <w:lang w:eastAsia="zh-CN"/>
        </w:rPr>
        <w:t>湖州市吴兴区</w:t>
      </w:r>
      <w:r>
        <w:rPr>
          <w:rFonts w:hint="eastAsia" w:ascii="宋体" w:hAnsi="宋体" w:cs="宋体"/>
          <w:color w:val="auto"/>
          <w:highlight w:val="none"/>
          <w:lang w:val="en-US" w:eastAsia="zh-CN"/>
        </w:rPr>
        <w:t>吴兴大道1号</w:t>
      </w:r>
      <w:r>
        <w:rPr>
          <w:rFonts w:hint="eastAsia" w:ascii="宋体" w:hAnsi="宋体" w:cs="宋体"/>
          <w:color w:val="auto"/>
          <w:kern w:val="0"/>
          <w:highlight w:val="none"/>
        </w:rPr>
        <w:t>             </w:t>
      </w:r>
    </w:p>
    <w:p>
      <w:pPr>
        <w:widowControl/>
        <w:spacing w:line="360" w:lineRule="auto"/>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联系人：</w:t>
      </w:r>
      <w:r>
        <w:rPr>
          <w:rFonts w:hint="eastAsia" w:ascii="宋体" w:hAnsi="宋体" w:cs="宋体"/>
          <w:color w:val="auto"/>
          <w:kern w:val="0"/>
          <w:highlight w:val="none"/>
          <w:lang w:eastAsia="zh-CN"/>
        </w:rPr>
        <w:t>沈主任</w:t>
      </w:r>
      <w:r>
        <w:rPr>
          <w:rFonts w:hint="eastAsia" w:ascii="宋体" w:hAnsi="宋体" w:cs="宋体"/>
          <w:color w:val="auto"/>
          <w:kern w:val="0"/>
          <w:highlight w:val="none"/>
        </w:rPr>
        <w:t xml:space="preserve">    </w:t>
      </w:r>
    </w:p>
    <w:p>
      <w:pPr>
        <w:widowControl/>
        <w:spacing w:line="360" w:lineRule="auto"/>
        <w:ind w:firstLine="720" w:firstLineChars="3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联系电话：</w:t>
      </w:r>
      <w:r>
        <w:rPr>
          <w:rFonts w:hint="eastAsia" w:ascii="宋体" w:hAnsi="宋体" w:cs="宋体"/>
          <w:color w:val="auto"/>
          <w:kern w:val="0"/>
          <w:highlight w:val="none"/>
          <w:lang w:eastAsia="zh-CN"/>
        </w:rPr>
        <w:t>0572-2289702</w:t>
      </w:r>
    </w:p>
    <w:p>
      <w:pPr>
        <w:widowControl/>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4.质疑函接收人：陈女士         电话：0572-2052970</w:t>
      </w:r>
    </w:p>
    <w:p>
      <w:pPr>
        <w:spacing w:line="360" w:lineRule="auto"/>
        <w:ind w:right="560" w:firstLine="480" w:firstLineChars="200"/>
        <w:rPr>
          <w:rFonts w:ascii="宋体" w:hAnsi="宋体" w:cs="宋体"/>
          <w:color w:val="auto"/>
          <w:kern w:val="0"/>
          <w:highlight w:val="none"/>
        </w:rPr>
      </w:pPr>
      <w:r>
        <w:rPr>
          <w:rFonts w:hint="eastAsia" w:ascii="宋体" w:hAnsi="宋体" w:cs="宋体"/>
          <w:color w:val="auto"/>
          <w:kern w:val="0"/>
          <w:highlight w:val="none"/>
        </w:rPr>
        <w:t>5.政采云平台技术支持热线咨询：联系方式：95763</w:t>
      </w:r>
    </w:p>
    <w:p>
      <w:pPr>
        <w:ind w:right="560"/>
        <w:rPr>
          <w:rFonts w:ascii="宋体" w:hAnsi="宋体" w:cs="宋体"/>
          <w:color w:val="auto"/>
          <w:kern w:val="0"/>
          <w:highlight w:val="none"/>
        </w:rPr>
      </w:pPr>
    </w:p>
    <w:p>
      <w:pPr>
        <w:ind w:right="1040"/>
        <w:jc w:val="right"/>
        <w:rPr>
          <w:rFonts w:ascii="宋体" w:hAnsi="宋体" w:cs="宋体"/>
          <w:color w:val="auto"/>
          <w:kern w:val="0"/>
          <w:highlight w:val="none"/>
        </w:rPr>
      </w:pPr>
    </w:p>
    <w:p>
      <w:pPr>
        <w:ind w:right="560"/>
        <w:jc w:val="right"/>
        <w:rPr>
          <w:rFonts w:ascii="宋体" w:hAnsi="宋体" w:cs="宋体"/>
          <w:color w:val="auto"/>
          <w:kern w:val="0"/>
          <w:highlight w:val="none"/>
        </w:rPr>
      </w:pPr>
    </w:p>
    <w:p>
      <w:pPr>
        <w:ind w:right="560"/>
        <w:jc w:val="right"/>
        <w:rPr>
          <w:rFonts w:ascii="宋体" w:hAnsi="宋体" w:cs="宋体"/>
          <w:color w:val="auto"/>
          <w:kern w:val="0"/>
          <w:highlight w:val="none"/>
        </w:rPr>
      </w:pPr>
      <w:r>
        <w:rPr>
          <w:rFonts w:hint="eastAsia" w:ascii="宋体" w:hAnsi="宋体" w:cs="宋体"/>
          <w:color w:val="auto"/>
          <w:kern w:val="0"/>
          <w:highlight w:val="none"/>
          <w:lang w:eastAsia="zh-CN"/>
        </w:rPr>
        <w:t>湖州市吴兴区水利局</w:t>
      </w:r>
      <w:r>
        <w:rPr>
          <w:rFonts w:hint="eastAsia" w:ascii="宋体" w:hAnsi="宋体" w:cs="宋体"/>
          <w:color w:val="auto"/>
          <w:kern w:val="0"/>
          <w:highlight w:val="none"/>
        </w:rPr>
        <w:t xml:space="preserve"> </w:t>
      </w:r>
    </w:p>
    <w:p>
      <w:pPr>
        <w:ind w:right="560"/>
        <w:jc w:val="right"/>
        <w:rPr>
          <w:rFonts w:ascii="宋体" w:hAnsi="宋体" w:cs="宋体"/>
          <w:color w:val="auto"/>
          <w:kern w:val="0"/>
          <w:highlight w:val="none"/>
        </w:rPr>
      </w:pPr>
      <w:r>
        <w:rPr>
          <w:rFonts w:hint="eastAsia" w:ascii="宋体" w:hAnsi="宋体" w:cs="宋体"/>
          <w:color w:val="auto"/>
          <w:kern w:val="0"/>
          <w:highlight w:val="none"/>
        </w:rPr>
        <w:t>浙江诚远工程咨询有限公司</w:t>
      </w:r>
    </w:p>
    <w:p>
      <w:pPr>
        <w:pStyle w:val="55"/>
        <w:spacing w:line="240" w:lineRule="auto"/>
        <w:ind w:right="560"/>
        <w:jc w:val="right"/>
        <w:rPr>
          <w:rFonts w:hAnsi="宋体" w:cs="宋体"/>
          <w:b w:val="0"/>
          <w:color w:val="auto"/>
          <w:sz w:val="24"/>
          <w:szCs w:val="24"/>
          <w:highlight w:val="none"/>
        </w:rPr>
      </w:pPr>
      <w:r>
        <w:rPr>
          <w:rFonts w:hint="eastAsia" w:hAnsi="宋体" w:cs="宋体"/>
          <w:b w:val="0"/>
          <w:color w:val="auto"/>
          <w:sz w:val="24"/>
          <w:szCs w:val="24"/>
          <w:highlight w:val="none"/>
        </w:rPr>
        <w:t xml:space="preserve">       </w:t>
      </w:r>
      <w:r>
        <w:rPr>
          <w:rFonts w:hint="eastAsia" w:hAnsi="宋体" w:cs="宋体"/>
          <w:b w:val="0"/>
          <w:color w:val="auto"/>
          <w:sz w:val="24"/>
          <w:szCs w:val="24"/>
          <w:highlight w:val="none"/>
          <w:lang w:val="en-US" w:eastAsia="zh-CN"/>
        </w:rPr>
        <w:t>2024</w:t>
      </w:r>
      <w:r>
        <w:rPr>
          <w:rFonts w:hint="eastAsia" w:hAnsi="宋体" w:cs="宋体"/>
          <w:b w:val="0"/>
          <w:color w:val="auto"/>
          <w:sz w:val="24"/>
          <w:szCs w:val="24"/>
          <w:highlight w:val="none"/>
        </w:rPr>
        <w:t>年</w:t>
      </w:r>
      <w:r>
        <w:rPr>
          <w:rFonts w:hint="eastAsia" w:hAnsi="宋体" w:cs="宋体"/>
          <w:b w:val="0"/>
          <w:color w:val="auto"/>
          <w:sz w:val="24"/>
          <w:szCs w:val="24"/>
          <w:highlight w:val="none"/>
          <w:lang w:val="en-US" w:eastAsia="zh-CN"/>
        </w:rPr>
        <w:t xml:space="preserve">    </w:t>
      </w:r>
      <w:r>
        <w:rPr>
          <w:rFonts w:hint="eastAsia" w:hAnsi="宋体" w:cs="宋体"/>
          <w:b w:val="0"/>
          <w:color w:val="auto"/>
          <w:sz w:val="24"/>
          <w:szCs w:val="24"/>
          <w:highlight w:val="none"/>
        </w:rPr>
        <w:t xml:space="preserve">月 </w:t>
      </w:r>
      <w:r>
        <w:rPr>
          <w:rFonts w:hint="eastAsia" w:hAnsi="宋体" w:cs="宋体"/>
          <w:b w:val="0"/>
          <w:color w:val="auto"/>
          <w:sz w:val="24"/>
          <w:szCs w:val="24"/>
          <w:highlight w:val="none"/>
          <w:lang w:val="en-US" w:eastAsia="zh-CN"/>
        </w:rPr>
        <w:t xml:space="preserve">   </w:t>
      </w:r>
      <w:r>
        <w:rPr>
          <w:rFonts w:hint="eastAsia" w:hAnsi="宋体" w:cs="宋体"/>
          <w:b w:val="0"/>
          <w:color w:val="auto"/>
          <w:sz w:val="24"/>
          <w:szCs w:val="24"/>
          <w:highlight w:val="none"/>
        </w:rPr>
        <w:t>日</w:t>
      </w:r>
    </w:p>
    <w:p>
      <w:pPr>
        <w:pStyle w:val="4"/>
        <w:spacing w:before="0" w:after="0" w:line="500" w:lineRule="exact"/>
        <w:jc w:val="center"/>
        <w:rPr>
          <w:rFonts w:ascii="宋体" w:hAnsi="宋体" w:cs="宋体"/>
          <w:color w:val="auto"/>
          <w:szCs w:val="32"/>
          <w:highlight w:val="none"/>
        </w:rPr>
      </w:pPr>
      <w:bookmarkStart w:id="2" w:name="_Toc64"/>
      <w:bookmarkEnd w:id="2"/>
      <w:r>
        <w:rPr>
          <w:rFonts w:hint="eastAsia" w:ascii="宋体" w:hAnsi="宋体" w:cs="宋体"/>
          <w:color w:val="auto"/>
          <w:szCs w:val="32"/>
          <w:highlight w:val="none"/>
        </w:rPr>
        <w:br w:type="page"/>
      </w:r>
      <w:r>
        <w:rPr>
          <w:rFonts w:hint="eastAsia" w:ascii="宋体" w:hAnsi="宋体" w:cs="宋体"/>
          <w:color w:val="auto"/>
          <w:szCs w:val="32"/>
          <w:highlight w:val="none"/>
        </w:rPr>
        <w:t>第二章  供应商须知</w:t>
      </w:r>
    </w:p>
    <w:p>
      <w:pPr>
        <w:spacing w:line="500" w:lineRule="exact"/>
        <w:jc w:val="center"/>
        <w:rPr>
          <w:rFonts w:ascii="宋体" w:hAnsi="宋体" w:cs="宋体"/>
          <w:color w:val="auto"/>
          <w:sz w:val="30"/>
          <w:szCs w:val="30"/>
          <w:highlight w:val="none"/>
        </w:rPr>
      </w:pPr>
      <w:bookmarkStart w:id="3" w:name="_Toc30213"/>
      <w:bookmarkEnd w:id="3"/>
      <w:bookmarkStart w:id="4" w:name="_Toc32234"/>
      <w:bookmarkEnd w:id="4"/>
      <w:r>
        <w:rPr>
          <w:rFonts w:hint="eastAsia" w:ascii="宋体" w:hAnsi="宋体" w:cs="宋体"/>
          <w:color w:val="auto"/>
          <w:sz w:val="30"/>
          <w:szCs w:val="30"/>
          <w:highlight w:val="none"/>
        </w:rPr>
        <w:t>前 附 表</w:t>
      </w:r>
    </w:p>
    <w:tbl>
      <w:tblPr>
        <w:tblStyle w:val="32"/>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787"/>
        <w:gridCol w:w="6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序号</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项  目</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项目名称</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pacing w:val="-4"/>
                <w:highlight w:val="none"/>
              </w:rPr>
            </w:pPr>
            <w:r>
              <w:rPr>
                <w:rFonts w:hint="eastAsia" w:ascii="宋体" w:hAnsi="宋体" w:cs="宋体"/>
                <w:color w:val="auto"/>
                <w:kern w:val="0"/>
                <w:highlight w:val="none"/>
                <w:lang w:eastAsia="zh-CN"/>
              </w:rPr>
              <w:t>吴兴区2024年农业水价综合改革和农田灌溉水有效利用系数测算分析工作项目</w:t>
            </w:r>
            <w:r>
              <w:rPr>
                <w:rFonts w:hint="eastAsia" w:ascii="宋体" w:hAnsi="宋体" w:cs="宋体"/>
                <w:color w:val="auto"/>
                <w:kern w:val="0"/>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2</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编号</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highlight w:val="none"/>
                <w:lang w:eastAsia="zh-CN"/>
              </w:rPr>
            </w:pPr>
            <w:r>
              <w:rPr>
                <w:rFonts w:hint="eastAsia" w:ascii="宋体" w:hAnsi="宋体" w:cs="宋体"/>
                <w:bCs/>
                <w:color w:val="auto"/>
                <w:spacing w:val="-4"/>
                <w:highlight w:val="none"/>
              </w:rPr>
              <w:t>磋商文件编号:</w:t>
            </w:r>
            <w:r>
              <w:rPr>
                <w:rFonts w:hint="eastAsia" w:ascii="宋体" w:hAnsi="宋体" w:cs="宋体"/>
                <w:color w:val="auto"/>
                <w:highlight w:val="none"/>
              </w:rPr>
              <w:t xml:space="preserve"> ZJCY(湖采)-</w:t>
            </w:r>
            <w:r>
              <w:rPr>
                <w:rFonts w:hint="eastAsia" w:ascii="宋体" w:hAnsi="宋体" w:cs="宋体"/>
                <w:color w:val="auto"/>
                <w:highlight w:val="none"/>
                <w:lang w:eastAsia="zh-CN"/>
              </w:rPr>
              <w:t>2024017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3</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磋商代理费</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kern w:val="0"/>
                <w:highlight w:val="none"/>
              </w:rPr>
              <w:t>磋商代理费由</w:t>
            </w:r>
            <w:r>
              <w:rPr>
                <w:rFonts w:hint="eastAsia" w:ascii="宋体" w:hAnsi="宋体" w:cs="宋体"/>
                <w:b/>
                <w:bCs/>
                <w:color w:val="auto"/>
                <w:kern w:val="0"/>
                <w:highlight w:val="none"/>
                <w:u w:val="single"/>
              </w:rPr>
              <w:t>中标人</w:t>
            </w:r>
            <w:r>
              <w:rPr>
                <w:rFonts w:hint="eastAsia" w:ascii="宋体" w:hAnsi="宋体" w:cs="宋体"/>
                <w:color w:val="auto"/>
                <w:kern w:val="0"/>
                <w:highlight w:val="none"/>
              </w:rPr>
              <w:t>支付，磋商代理费</w:t>
            </w:r>
            <w:r>
              <w:rPr>
                <w:rFonts w:hint="eastAsia" w:ascii="宋体" w:hAnsi="宋体" w:cs="宋体"/>
                <w:bCs/>
                <w:color w:val="auto"/>
                <w:kern w:val="0"/>
                <w:highlight w:val="none"/>
              </w:rPr>
              <w:t>按照计价格（2002）1980号文件标准</w:t>
            </w:r>
            <w:r>
              <w:rPr>
                <w:rFonts w:hint="eastAsia" w:ascii="宋体" w:hAnsi="宋体" w:cs="宋体"/>
                <w:color w:val="auto"/>
                <w:kern w:val="0"/>
                <w:highlight w:val="none"/>
              </w:rPr>
              <w:t>，领取中标通知书前支付给采购代理机构，该费用请供应商自行考虑计入竞标报价中。本项目代理费按</w:t>
            </w:r>
            <w:r>
              <w:rPr>
                <w:rFonts w:hint="eastAsia" w:ascii="宋体" w:hAnsi="宋体" w:cs="宋体"/>
                <w:color w:val="auto"/>
                <w:kern w:val="0"/>
                <w:highlight w:val="none"/>
                <w:lang w:val="en-US" w:eastAsia="zh-CN"/>
              </w:rPr>
              <w:t>6425</w:t>
            </w:r>
            <w:r>
              <w:rPr>
                <w:rFonts w:hint="eastAsia" w:ascii="宋体" w:hAnsi="宋体" w:cs="宋体"/>
                <w:color w:val="auto"/>
                <w:kern w:val="0"/>
                <w:highlight w:val="none"/>
              </w:rPr>
              <w:t>元计取。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4</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代理费交纳方式</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highlight w:val="none"/>
              </w:rPr>
            </w:pPr>
            <w:r>
              <w:rPr>
                <w:rFonts w:hint="eastAsia" w:ascii="宋体" w:hAnsi="宋体" w:cs="宋体"/>
                <w:color w:val="auto"/>
                <w:kern w:val="0"/>
                <w:highlight w:val="none"/>
              </w:rPr>
              <w:t>可以是汇款或转账形式；</w:t>
            </w:r>
          </w:p>
          <w:p>
            <w:pPr>
              <w:spacing w:line="320" w:lineRule="exact"/>
              <w:rPr>
                <w:rFonts w:ascii="宋体" w:hAnsi="宋体" w:cs="宋体"/>
                <w:color w:val="auto"/>
                <w:kern w:val="0"/>
                <w:highlight w:val="none"/>
              </w:rPr>
            </w:pPr>
            <w:r>
              <w:rPr>
                <w:rFonts w:hint="eastAsia" w:ascii="宋体" w:hAnsi="宋体" w:cs="宋体"/>
                <w:color w:val="auto"/>
                <w:kern w:val="0"/>
                <w:highlight w:val="none"/>
              </w:rPr>
              <w:t>单位名称：浙江诚远工程咨询有限公司湖州分公司</w:t>
            </w:r>
          </w:p>
          <w:p>
            <w:pPr>
              <w:spacing w:line="320" w:lineRule="exact"/>
              <w:rPr>
                <w:rFonts w:ascii="宋体" w:hAnsi="宋体" w:cs="宋体"/>
                <w:color w:val="auto"/>
                <w:kern w:val="0"/>
                <w:highlight w:val="none"/>
              </w:rPr>
            </w:pPr>
            <w:r>
              <w:rPr>
                <w:rFonts w:hint="eastAsia" w:ascii="宋体" w:hAnsi="宋体" w:cs="宋体"/>
                <w:color w:val="auto"/>
                <w:kern w:val="0"/>
                <w:highlight w:val="none"/>
              </w:rPr>
              <w:t>开户银行：中国农业银行股份有限公司湖州埭溪支行</w:t>
            </w:r>
          </w:p>
          <w:p>
            <w:pPr>
              <w:spacing w:line="320" w:lineRule="exact"/>
              <w:rPr>
                <w:rFonts w:ascii="宋体" w:hAnsi="宋体" w:cs="宋体"/>
                <w:color w:val="auto"/>
                <w:kern w:val="0"/>
                <w:highlight w:val="none"/>
              </w:rPr>
            </w:pPr>
            <w:r>
              <w:rPr>
                <w:rFonts w:hint="eastAsia" w:ascii="宋体" w:hAnsi="宋体" w:cs="宋体"/>
                <w:color w:val="auto"/>
                <w:kern w:val="0"/>
                <w:highlight w:val="none"/>
              </w:rPr>
              <w:t>银行账号：19120301040016765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5</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项目实施地点</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6</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完成期限</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采购规定的时间前完成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7</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磋商答疑时间</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highlight w:val="none"/>
              </w:rPr>
            </w:pPr>
            <w:r>
              <w:rPr>
                <w:rFonts w:hint="eastAsia" w:ascii="宋体" w:hAnsi="宋体" w:cs="宋体"/>
                <w:color w:val="auto"/>
                <w:highlight w:val="none"/>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8</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磋商响应文件组成</w:t>
            </w:r>
          </w:p>
        </w:tc>
        <w:tc>
          <w:tcPr>
            <w:tcW w:w="6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Cs/>
                <w:color w:val="auto"/>
                <w:highlight w:val="none"/>
              </w:rPr>
            </w:pPr>
            <w:r>
              <w:rPr>
                <w:rFonts w:hint="eastAsia" w:ascii="宋体" w:hAnsi="宋体" w:cs="宋体"/>
                <w:bCs/>
                <w:color w:val="auto"/>
                <w:highlight w:val="none"/>
              </w:rPr>
              <w:t>响应文件组成：</w:t>
            </w:r>
          </w:p>
          <w:p>
            <w:pPr>
              <w:autoSpaceDE w:val="0"/>
              <w:autoSpaceDN w:val="0"/>
              <w:adjustRightInd w:val="0"/>
              <w:snapToGrid w:val="0"/>
              <w:spacing w:line="400" w:lineRule="exact"/>
              <w:rPr>
                <w:rFonts w:ascii="宋体" w:hAnsi="宋体" w:cs="宋体"/>
                <w:bCs/>
                <w:color w:val="auto"/>
                <w:highlight w:val="none"/>
              </w:rPr>
            </w:pPr>
            <w:r>
              <w:rPr>
                <w:rFonts w:hint="eastAsia" w:ascii="宋体" w:hAnsi="宋体" w:cs="宋体"/>
                <w:bCs/>
                <w:color w:val="auto"/>
                <w:highlight w:val="none"/>
              </w:rPr>
              <w:t>1、电子响应文件（包括“电子加密响应文件”和“备份响应文件”，在响应文件编制完成后同时生成）</w:t>
            </w:r>
          </w:p>
          <w:p>
            <w:pPr>
              <w:autoSpaceDE w:val="0"/>
              <w:autoSpaceDN w:val="0"/>
              <w:adjustRightInd w:val="0"/>
              <w:snapToGrid w:val="0"/>
              <w:spacing w:line="400" w:lineRule="exact"/>
              <w:rPr>
                <w:rFonts w:ascii="宋体" w:hAnsi="宋体" w:cs="宋体"/>
                <w:bCs/>
                <w:color w:val="auto"/>
                <w:highlight w:val="none"/>
              </w:rPr>
            </w:pPr>
            <w:r>
              <w:rPr>
                <w:rFonts w:hint="eastAsia" w:ascii="宋体" w:hAnsi="宋体" w:cs="宋体"/>
                <w:bCs/>
                <w:color w:val="auto"/>
                <w:highlight w:val="none"/>
              </w:rPr>
              <w:t>2、“电子加密响应文件”是指通过“政采云电子交易客户端”完成响应文件编制后生成并加密的数据电文形式的响应文件。</w:t>
            </w:r>
          </w:p>
          <w:p>
            <w:pPr>
              <w:autoSpaceDE w:val="0"/>
              <w:autoSpaceDN w:val="0"/>
              <w:adjustRightInd w:val="0"/>
              <w:snapToGrid w:val="0"/>
              <w:spacing w:line="400" w:lineRule="exact"/>
              <w:rPr>
                <w:rFonts w:ascii="宋体" w:hAnsi="宋体" w:cs="宋体"/>
                <w:bCs/>
                <w:color w:val="auto"/>
                <w:highlight w:val="none"/>
              </w:rPr>
            </w:pPr>
            <w:r>
              <w:rPr>
                <w:rFonts w:hint="eastAsia" w:ascii="宋体" w:hAnsi="宋体" w:cs="宋体"/>
                <w:bCs/>
                <w:color w:val="auto"/>
                <w:highlight w:val="none"/>
              </w:rPr>
              <w:t>3、“备份响应文件”是指与“电子加密响应文件”同时生成的数据电文形式的电子文件（备份标书），其他方式编制的备份响应文件视为无效备份响应文件。仅在出现解密异常情况下使用。</w:t>
            </w:r>
          </w:p>
          <w:p>
            <w:pPr>
              <w:autoSpaceDE w:val="0"/>
              <w:autoSpaceDN w:val="0"/>
              <w:adjustRightInd w:val="0"/>
              <w:snapToGrid w:val="0"/>
              <w:spacing w:line="400" w:lineRule="exact"/>
              <w:rPr>
                <w:rFonts w:ascii="宋体" w:hAnsi="宋体" w:cs="宋体"/>
                <w:color w:val="auto"/>
                <w:kern w:val="0"/>
                <w:highlight w:val="none"/>
              </w:rPr>
            </w:pPr>
            <w:r>
              <w:rPr>
                <w:rFonts w:hint="eastAsia" w:ascii="宋体" w:hAnsi="宋体" w:cs="宋体"/>
                <w:bCs/>
                <w:color w:val="auto"/>
                <w:highlight w:val="none"/>
              </w:rPr>
              <w:t>4、中标后，中标单位需在领取中标通知书时，向招标代理机构提交与竞标时电子响应文件一致的纸质版本一式三份（按照磋商文件要求签字盖章）。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9</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 xml:space="preserve">  响应文件份数  </w:t>
            </w:r>
            <w:r>
              <w:rPr>
                <w:rFonts w:hint="eastAsia" w:ascii="宋体" w:hAnsi="宋体" w:cs="宋体"/>
                <w:bCs/>
                <w:color w:val="auto"/>
                <w:highlight w:val="none"/>
              </w:rPr>
              <w:tab/>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highlight w:val="none"/>
              </w:rPr>
            </w:pPr>
            <w:r>
              <w:rPr>
                <w:rFonts w:hint="eastAsia" w:ascii="宋体" w:hAnsi="宋体" w:cs="宋体"/>
                <w:bCs/>
                <w:color w:val="auto"/>
                <w:highlight w:val="none"/>
              </w:rPr>
              <w:t>响应文件份数：</w:t>
            </w:r>
          </w:p>
          <w:p>
            <w:pPr>
              <w:rPr>
                <w:rFonts w:ascii="宋体" w:hAnsi="宋体" w:cs="宋体"/>
                <w:bCs/>
                <w:color w:val="auto"/>
                <w:highlight w:val="none"/>
              </w:rPr>
            </w:pPr>
            <w:r>
              <w:rPr>
                <w:rFonts w:hint="eastAsia" w:ascii="宋体" w:hAnsi="宋体" w:cs="宋体"/>
                <w:bCs/>
                <w:color w:val="auto"/>
                <w:highlight w:val="none"/>
              </w:rPr>
              <w:t>1、“电子加密响应文件”：在线上传递交一份。</w:t>
            </w:r>
          </w:p>
          <w:p>
            <w:pPr>
              <w:rPr>
                <w:rFonts w:ascii="宋体" w:hAnsi="宋体" w:cs="宋体"/>
                <w:bCs/>
                <w:color w:val="auto"/>
                <w:highlight w:val="none"/>
              </w:rPr>
            </w:pPr>
            <w:r>
              <w:rPr>
                <w:rFonts w:hint="eastAsia" w:ascii="宋体" w:hAnsi="宋体" w:cs="宋体"/>
                <w:bCs/>
                <w:color w:val="auto"/>
                <w:highlight w:val="none"/>
              </w:rPr>
              <w:t>2、“备份响应文件”：密封包装后（邮寄形式）磋商截止时间前递交、一份数据电子备份响应文件（U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rPr>
                <w:rFonts w:ascii="宋体" w:hAnsi="宋体" w:cs="宋体"/>
                <w:bCs/>
                <w:color w:val="auto"/>
                <w:highlight w:val="none"/>
              </w:rPr>
            </w:pPr>
            <w:r>
              <w:rPr>
                <w:rFonts w:hint="eastAsia" w:ascii="宋体" w:hAnsi="宋体" w:cs="宋体"/>
                <w:bCs/>
                <w:color w:val="auto"/>
                <w:highlight w:val="none"/>
              </w:rPr>
              <w:t>（1）</w:t>
            </w:r>
            <w:r>
              <w:rPr>
                <w:rFonts w:hint="eastAsia" w:ascii="宋体" w:hAnsi="宋体" w:cs="宋体"/>
                <w:b/>
                <w:color w:val="auto"/>
                <w:highlight w:val="none"/>
              </w:rPr>
              <w:t>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cs="宋体"/>
                <w:b/>
                <w:color w:val="auto"/>
                <w:kern w:val="0"/>
                <w:highlight w:val="none"/>
              </w:rPr>
              <w:t>通过邮寄的方式送达（原则上邮寄公司统一采用顺丰）</w:t>
            </w:r>
            <w:r>
              <w:rPr>
                <w:rFonts w:hint="eastAsia" w:ascii="宋体" w:hAnsi="宋体" w:cs="宋体"/>
                <w:b/>
                <w:color w:val="auto"/>
                <w:highlight w:val="none"/>
              </w:rPr>
              <w:t>邮寄地址为：</w:t>
            </w:r>
            <w:r>
              <w:rPr>
                <w:rFonts w:hint="eastAsia" w:ascii="宋体" w:hAnsi="宋体" w:cs="宋体"/>
                <w:b/>
                <w:color w:val="auto"/>
                <w:kern w:val="0"/>
                <w:highlight w:val="none"/>
              </w:rPr>
              <w:t>浙江诚远工程咨询有限公司（浙江省湖州市谈家扇花园小区1幢2楼），</w:t>
            </w:r>
            <w:r>
              <w:rPr>
                <w:rFonts w:hint="eastAsia" w:ascii="宋体" w:hAnsi="宋体" w:cs="宋体"/>
                <w:b/>
                <w:color w:val="auto"/>
                <w:highlight w:val="none"/>
              </w:rPr>
              <w:t>邮寄截止时间</w:t>
            </w:r>
            <w:r>
              <w:rPr>
                <w:rFonts w:hint="eastAsia" w:ascii="宋体" w:hAnsi="宋体" w:cs="宋体"/>
                <w:b/>
                <w:color w:val="auto"/>
                <w:kern w:val="0"/>
                <w:highlight w:val="none"/>
              </w:rPr>
              <w:t>详见磋商公告，</w:t>
            </w:r>
            <w:r>
              <w:rPr>
                <w:rFonts w:hint="eastAsia" w:ascii="宋体" w:hAnsi="宋体" w:cs="宋体"/>
                <w:bCs/>
                <w:color w:val="auto"/>
                <w:highlight w:val="none"/>
              </w:rPr>
              <w:t>拒绝到付。（以收件人实际签收时间为准，收件人签收后将予以回执，回执单采用图片形式发送给供应商确认，该回执单仅作为供应商邮寄的包裹送达时间的依据），逾期送达的将拒绝接收。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10</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电子加密响应文件的解密和异常情况处理</w:t>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highlight w:val="none"/>
              </w:rPr>
            </w:pPr>
            <w:r>
              <w:rPr>
                <w:rFonts w:hint="eastAsia" w:ascii="宋体" w:hAnsi="宋体" w:cs="宋体"/>
                <w:bCs/>
                <w:color w:val="auto"/>
                <w:highlight w:val="none"/>
              </w:rPr>
              <w:t>（1）开标后，采购组织机构将向各供应商发出“电子加密响应文件”的解密通知，各供应商代表应当在接到解密通知后 30 分钟内自行完成“电子加密响应文件”的在线解密。</w:t>
            </w:r>
          </w:p>
          <w:p>
            <w:pPr>
              <w:rPr>
                <w:rFonts w:ascii="宋体" w:hAnsi="宋体" w:cs="宋体"/>
                <w:bCs/>
                <w:color w:val="auto"/>
                <w:highlight w:val="none"/>
              </w:rPr>
            </w:pPr>
            <w:r>
              <w:rPr>
                <w:rFonts w:hint="eastAsia" w:ascii="宋体" w:hAnsi="宋体" w:cs="宋体"/>
                <w:bCs/>
                <w:color w:val="auto"/>
                <w:highlight w:val="none"/>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rPr>
                <w:rFonts w:ascii="宋体" w:hAnsi="宋体" w:cs="宋体"/>
                <w:b/>
                <w:bCs/>
                <w:color w:val="auto"/>
                <w:kern w:val="0"/>
                <w:highlight w:val="none"/>
              </w:rPr>
            </w:pPr>
            <w:r>
              <w:rPr>
                <w:rFonts w:hint="eastAsia" w:ascii="宋体" w:hAnsi="宋体" w:cs="宋体"/>
                <w:bCs/>
                <w:color w:val="auto"/>
                <w:highlight w:val="none"/>
              </w:rPr>
              <w:t>（3）磋商截止时间前，竞标供应商仅递交了“备份响应文件”而未将电子加密响应文件上传至“政府采购云平台”的，竞标无效。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磋商时间（磋商截止时间）</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default" w:ascii="宋体" w:hAnsi="宋体" w:cs="宋体"/>
                <w:color w:val="auto"/>
                <w:kern w:val="0"/>
                <w:highlight w:val="none"/>
                <w:lang w:val="en-US"/>
              </w:rPr>
            </w:pPr>
            <w:r>
              <w:rPr>
                <w:rFonts w:hint="eastAsia" w:ascii="宋体" w:hAnsi="宋体" w:cs="宋体"/>
                <w:b/>
                <w:bCs/>
                <w:color w:val="auto"/>
                <w:kern w:val="0"/>
                <w:highlight w:val="none"/>
                <w:lang w:val="en-US" w:eastAsia="zh-CN"/>
              </w:rPr>
              <w:t>2024</w:t>
            </w:r>
            <w:r>
              <w:rPr>
                <w:rFonts w:hint="eastAsia" w:ascii="宋体" w:hAnsi="宋体" w:cs="宋体"/>
                <w:b/>
                <w:bCs/>
                <w:color w:val="auto"/>
                <w:kern w:val="0"/>
                <w:highlight w:val="none"/>
              </w:rPr>
              <w:t xml:space="preserve">年 </w:t>
            </w:r>
            <w:r>
              <w:rPr>
                <w:rFonts w:hint="eastAsia" w:ascii="宋体" w:hAnsi="宋体" w:cs="宋体"/>
                <w:b/>
                <w:bCs/>
                <w:color w:val="auto"/>
                <w:kern w:val="0"/>
                <w:highlight w:val="none"/>
                <w:lang w:val="en-US" w:eastAsia="zh-CN"/>
              </w:rPr>
              <w:t xml:space="preserve">  </w:t>
            </w:r>
            <w:r>
              <w:rPr>
                <w:rFonts w:hint="eastAsia" w:ascii="宋体" w:hAnsi="宋体" w:cs="宋体"/>
                <w:b/>
                <w:bCs/>
                <w:color w:val="auto"/>
                <w:kern w:val="0"/>
                <w:highlight w:val="none"/>
              </w:rPr>
              <w:t xml:space="preserve">月 </w:t>
            </w:r>
            <w:r>
              <w:rPr>
                <w:rFonts w:hint="eastAsia" w:ascii="宋体" w:hAnsi="宋体" w:cs="宋体"/>
                <w:b/>
                <w:bCs/>
                <w:color w:val="auto"/>
                <w:kern w:val="0"/>
                <w:highlight w:val="none"/>
                <w:lang w:val="en-US" w:eastAsia="zh-CN"/>
              </w:rPr>
              <w:t xml:space="preserve">  </w:t>
            </w:r>
            <w:r>
              <w:rPr>
                <w:rFonts w:hint="eastAsia" w:ascii="宋体" w:hAnsi="宋体" w:cs="宋体"/>
                <w:b/>
                <w:bCs/>
                <w:color w:val="auto"/>
                <w:kern w:val="0"/>
                <w:highlight w:val="none"/>
              </w:rPr>
              <w:t xml:space="preserve"> 日</w:t>
            </w:r>
            <w:r>
              <w:rPr>
                <w:rFonts w:hint="eastAsia" w:ascii="宋体" w:hAnsi="宋体" w:cs="宋体"/>
                <w:b/>
                <w:bCs/>
                <w:color w:val="auto"/>
                <w:kern w:val="0"/>
                <w:highlight w:val="none"/>
                <w:lang w:val="en-US" w:eastAsia="zh-CN"/>
              </w:rPr>
              <w:t>14</w:t>
            </w:r>
            <w:r>
              <w:rPr>
                <w:rFonts w:hint="eastAsia" w:ascii="宋体" w:hAnsi="宋体" w:cs="宋体"/>
                <w:b/>
                <w:bCs/>
                <w:color w:val="auto"/>
                <w:kern w:val="0"/>
                <w:highlight w:val="none"/>
              </w:rPr>
              <w:t>:</w:t>
            </w:r>
            <w:r>
              <w:rPr>
                <w:rFonts w:hint="eastAsia" w:ascii="宋体" w:hAnsi="宋体" w:cs="宋体"/>
                <w:b/>
                <w:bCs/>
                <w:color w:val="auto"/>
                <w:kern w:val="0"/>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磋商地点</w:t>
            </w:r>
          </w:p>
        </w:tc>
        <w:tc>
          <w:tcPr>
            <w:tcW w:w="6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kern w:val="0"/>
                <w:highlight w:val="none"/>
              </w:rPr>
            </w:pPr>
            <w:r>
              <w:rPr>
                <w:rFonts w:hint="eastAsia" w:ascii="宋体" w:hAnsi="宋体" w:cs="宋体"/>
                <w:color w:val="auto"/>
                <w:highlight w:val="none"/>
                <w:lang w:eastAsia="zh-CN"/>
              </w:rPr>
              <w:t>湖州市吴兴区公共资源交易中心</w:t>
            </w:r>
            <w:r>
              <w:rPr>
                <w:rFonts w:hint="eastAsia" w:ascii="宋体" w:hAnsi="宋体" w:cs="宋体"/>
                <w:color w:val="auto"/>
                <w:highlight w:val="none"/>
              </w:rPr>
              <w:t>（</w:t>
            </w:r>
            <w:r>
              <w:rPr>
                <w:rFonts w:hint="eastAsia" w:ascii="宋体" w:hAnsi="宋体" w:cs="宋体"/>
                <w:color w:val="auto"/>
                <w:highlight w:val="none"/>
                <w:lang w:eastAsia="zh-CN"/>
              </w:rPr>
              <w:t>湖州市吴兴区区府路1188号总部自由港E幢4楼</w:t>
            </w:r>
            <w:r>
              <w:rPr>
                <w:rFonts w:hint="eastAsia" w:ascii="宋体" w:hAnsi="宋体" w:cs="宋体"/>
                <w:color w:val="auto"/>
                <w:highlight w:val="none"/>
              </w:rPr>
              <w:t>）</w:t>
            </w:r>
            <w:r>
              <w:rPr>
                <w:rFonts w:hint="eastAsia" w:ascii="宋体" w:hAnsi="宋体" w:cs="宋体"/>
                <w:color w:val="auto"/>
                <w:kern w:val="0"/>
                <w:highlight w:val="none"/>
              </w:rPr>
              <w:t>具体详见休息区大屏幕，</w:t>
            </w:r>
          </w:p>
          <w:p>
            <w:pPr>
              <w:adjustRightInd w:val="0"/>
              <w:snapToGrid w:val="0"/>
              <w:spacing w:line="400" w:lineRule="exact"/>
              <w:rPr>
                <w:rFonts w:ascii="宋体" w:hAnsi="宋体" w:cs="宋体"/>
                <w:b/>
                <w:bCs/>
                <w:color w:val="auto"/>
                <w:highlight w:val="none"/>
                <w:u w:val="single"/>
              </w:rPr>
            </w:pPr>
            <w:r>
              <w:rPr>
                <w:rFonts w:hint="eastAsia" w:ascii="宋体" w:hAnsi="宋体" w:cs="宋体"/>
                <w:b/>
                <w:bCs/>
                <w:color w:val="auto"/>
                <w:highlight w:val="none"/>
                <w:u w:val="single"/>
              </w:rPr>
              <w:t>仅提供备份响应文件的，竞标无效。</w:t>
            </w:r>
          </w:p>
          <w:p>
            <w:pPr>
              <w:widowControl/>
              <w:spacing w:line="360" w:lineRule="exact"/>
              <w:jc w:val="left"/>
              <w:rPr>
                <w:rFonts w:ascii="宋体" w:hAnsi="宋体" w:cs="宋体"/>
                <w:color w:val="auto"/>
                <w:kern w:val="0"/>
                <w:highlight w:val="none"/>
              </w:rPr>
            </w:pPr>
            <w:r>
              <w:rPr>
                <w:rFonts w:hint="eastAsia" w:ascii="宋体" w:hAnsi="宋体" w:cs="宋体"/>
                <w:b/>
                <w:bCs/>
                <w:color w:val="auto"/>
                <w:highlight w:val="none"/>
                <w:u w:val="single"/>
              </w:rPr>
              <w:t>未提供备份响应文件，造成项目开评标活动无法进行下去的，相关风险由竞标人自行承担。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13</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磋商响应文件有效期</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 xml:space="preserve">90天（日历天）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14</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签订合同</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成交通知书发出后30天内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15</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color w:val="auto"/>
                <w:highlight w:val="none"/>
              </w:rPr>
              <w:t>履约保证金</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highlight w:val="none"/>
              </w:rPr>
            </w:pPr>
            <w:r>
              <w:rPr>
                <w:rFonts w:hint="eastAsia" w:ascii="宋体" w:hAnsi="宋体" w:cs="宋体"/>
                <w:bCs/>
                <w:color w:val="auto"/>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16</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磋商办法及标准</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highlight w:val="none"/>
              </w:rPr>
            </w:pPr>
            <w:r>
              <w:rPr>
                <w:rFonts w:hint="eastAsia" w:ascii="宋体" w:hAnsi="宋体" w:cs="宋体"/>
                <w:bCs/>
                <w:color w:val="auto"/>
                <w:highlight w:val="none"/>
              </w:rPr>
              <w:t>详见磋商文件第五章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17</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采购单位</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highlight w:val="none"/>
              </w:rPr>
            </w:pPr>
            <w:r>
              <w:rPr>
                <w:rFonts w:hint="eastAsia" w:ascii="宋体" w:hAnsi="宋体" w:cs="宋体"/>
                <w:bCs/>
                <w:color w:val="auto"/>
                <w:highlight w:val="non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18</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解释</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highlight w:val="none"/>
              </w:rPr>
            </w:pPr>
            <w:r>
              <w:rPr>
                <w:rFonts w:hint="eastAsia" w:ascii="宋体" w:hAnsi="宋体" w:cs="宋体"/>
                <w:bCs/>
                <w:color w:val="auto"/>
                <w:highlight w:val="none"/>
              </w:rPr>
              <w:t>本磋商文件的解释权属于采购人及采购代理机构</w:t>
            </w:r>
          </w:p>
        </w:tc>
      </w:tr>
    </w:tbl>
    <w:p>
      <w:pPr>
        <w:spacing w:line="400" w:lineRule="exact"/>
        <w:jc w:val="left"/>
        <w:rPr>
          <w:rFonts w:ascii="宋体" w:hAnsi="宋体" w:cs="宋体"/>
          <w:b/>
          <w:color w:val="auto"/>
          <w:highlight w:val="none"/>
        </w:rPr>
      </w:pPr>
      <w:bookmarkStart w:id="5" w:name="_Toc23399"/>
      <w:bookmarkEnd w:id="5"/>
      <w:bookmarkStart w:id="6" w:name="_Toc282640696"/>
      <w:bookmarkEnd w:id="6"/>
      <w:bookmarkStart w:id="7" w:name="_Toc15998"/>
      <w:bookmarkEnd w:id="7"/>
      <w:r>
        <w:rPr>
          <w:rFonts w:hint="eastAsia" w:ascii="宋体" w:hAnsi="宋体" w:cs="宋体"/>
          <w:b/>
          <w:color w:val="auto"/>
          <w:highlight w:val="none"/>
        </w:rPr>
        <w:t>一、适用范围</w:t>
      </w:r>
    </w:p>
    <w:p>
      <w:pPr>
        <w:spacing w:line="400" w:lineRule="exact"/>
        <w:jc w:val="left"/>
        <w:rPr>
          <w:rFonts w:ascii="宋体" w:hAnsi="宋体" w:cs="宋体"/>
          <w:bCs/>
          <w:color w:val="auto"/>
          <w:highlight w:val="none"/>
        </w:rPr>
      </w:pPr>
      <w:bookmarkStart w:id="8" w:name="_Toc282640697"/>
      <w:r>
        <w:rPr>
          <w:rFonts w:hint="eastAsia" w:ascii="宋体" w:hAnsi="宋体" w:cs="宋体"/>
          <w:bCs/>
          <w:color w:val="auto"/>
          <w:highlight w:val="none"/>
        </w:rPr>
        <w:t xml:space="preserve">   仅适用于本次竞争性磋商采购所叙述的工程、货物和服务。</w:t>
      </w:r>
    </w:p>
    <w:bookmarkEnd w:id="8"/>
    <w:p>
      <w:pPr>
        <w:spacing w:line="400" w:lineRule="exact"/>
        <w:jc w:val="left"/>
        <w:rPr>
          <w:rFonts w:ascii="宋体" w:hAnsi="宋体" w:cs="宋体"/>
          <w:b/>
          <w:color w:val="auto"/>
          <w:highlight w:val="none"/>
        </w:rPr>
      </w:pPr>
      <w:r>
        <w:rPr>
          <w:rFonts w:hint="eastAsia" w:ascii="宋体" w:hAnsi="宋体" w:cs="宋体"/>
          <w:bCs/>
          <w:color w:val="auto"/>
          <w:highlight w:val="none"/>
        </w:rPr>
        <w:t>二、</w:t>
      </w:r>
      <w:r>
        <w:rPr>
          <w:rFonts w:hint="eastAsia" w:ascii="宋体" w:hAnsi="宋体" w:cs="宋体"/>
          <w:b/>
          <w:color w:val="auto"/>
          <w:highlight w:val="none"/>
        </w:rPr>
        <w:t>定义</w:t>
      </w:r>
    </w:p>
    <w:p>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1、“采购人”系指</w:t>
      </w:r>
      <w:r>
        <w:rPr>
          <w:rFonts w:hint="eastAsia" w:ascii="宋体" w:hAnsi="宋体" w:cs="宋体"/>
          <w:b/>
          <w:color w:val="auto"/>
          <w:highlight w:val="none"/>
          <w:u w:val="single"/>
          <w:lang w:eastAsia="zh-CN"/>
        </w:rPr>
        <w:t>湖州市吴兴区水利局</w:t>
      </w:r>
      <w:r>
        <w:rPr>
          <w:rFonts w:hint="eastAsia" w:ascii="宋体" w:hAnsi="宋体" w:cs="宋体"/>
          <w:b/>
          <w:color w:val="auto"/>
          <w:highlight w:val="none"/>
          <w:u w:val="single"/>
        </w:rPr>
        <w:t xml:space="preserve"> </w:t>
      </w:r>
      <w:r>
        <w:rPr>
          <w:rFonts w:hint="eastAsia" w:ascii="宋体" w:hAnsi="宋体" w:cs="宋体"/>
          <w:bCs/>
          <w:color w:val="auto"/>
          <w:highlight w:val="none"/>
        </w:rPr>
        <w:t>。</w:t>
      </w:r>
    </w:p>
    <w:p>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2、“采购代理机构”系指</w:t>
      </w:r>
      <w:r>
        <w:rPr>
          <w:rFonts w:hint="eastAsia" w:ascii="宋体" w:hAnsi="宋体" w:cs="宋体"/>
          <w:b/>
          <w:color w:val="auto"/>
          <w:highlight w:val="none"/>
          <w:u w:val="single"/>
        </w:rPr>
        <w:t>浙江诚远工程咨询有限公司</w:t>
      </w:r>
      <w:r>
        <w:rPr>
          <w:rFonts w:hint="eastAsia" w:ascii="宋体" w:hAnsi="宋体" w:cs="宋体"/>
          <w:bCs/>
          <w:color w:val="auto"/>
          <w:highlight w:val="none"/>
        </w:rPr>
        <w:t>。</w:t>
      </w:r>
    </w:p>
    <w:p>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3、“供应商”系指向采购代理机构提交磋商响应文件的供应商。</w:t>
      </w:r>
    </w:p>
    <w:p>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4、“服务”系指按竞争性磋商文件要求提供的本项目的普查服务所有工作内容。</w:t>
      </w:r>
    </w:p>
    <w:p>
      <w:pPr>
        <w:spacing w:line="400" w:lineRule="exact"/>
        <w:jc w:val="left"/>
        <w:rPr>
          <w:rFonts w:ascii="宋体" w:hAnsi="宋体" w:cs="宋体"/>
          <w:b/>
          <w:color w:val="auto"/>
          <w:highlight w:val="none"/>
        </w:rPr>
      </w:pPr>
      <w:bookmarkStart w:id="9" w:name="_Toc31441"/>
      <w:bookmarkEnd w:id="9"/>
      <w:bookmarkStart w:id="10" w:name="_Toc2086"/>
      <w:bookmarkEnd w:id="10"/>
      <w:bookmarkStart w:id="11" w:name="_Toc282640698"/>
      <w:bookmarkEnd w:id="11"/>
      <w:r>
        <w:rPr>
          <w:rFonts w:hint="eastAsia" w:ascii="宋体" w:hAnsi="宋体" w:cs="宋体"/>
          <w:b/>
          <w:color w:val="auto"/>
          <w:highlight w:val="none"/>
        </w:rPr>
        <w:t>三、供应商的资格要求</w:t>
      </w:r>
    </w:p>
    <w:p>
      <w:pPr>
        <w:spacing w:line="400" w:lineRule="exact"/>
        <w:rPr>
          <w:rFonts w:ascii="宋体" w:hAnsi="宋体" w:cs="宋体"/>
          <w:bCs/>
          <w:color w:val="auto"/>
          <w:highlight w:val="none"/>
        </w:rPr>
      </w:pPr>
      <w:bookmarkStart w:id="12" w:name="_Toc282640699"/>
      <w:r>
        <w:rPr>
          <w:rFonts w:hint="eastAsia" w:ascii="宋体" w:hAnsi="宋体" w:cs="宋体"/>
          <w:bCs/>
          <w:color w:val="auto"/>
          <w:highlight w:val="none"/>
        </w:rPr>
        <w:t xml:space="preserve">    符合竞争性磋商公告第四条供应商资格要求。</w:t>
      </w:r>
    </w:p>
    <w:bookmarkEnd w:id="12"/>
    <w:p>
      <w:pPr>
        <w:spacing w:line="400" w:lineRule="exact"/>
        <w:jc w:val="left"/>
        <w:rPr>
          <w:rFonts w:ascii="宋体" w:hAnsi="宋体" w:cs="宋体"/>
          <w:b/>
          <w:color w:val="auto"/>
          <w:highlight w:val="none"/>
        </w:rPr>
      </w:pPr>
      <w:bookmarkStart w:id="13" w:name="_Toc12662"/>
      <w:bookmarkEnd w:id="13"/>
      <w:bookmarkStart w:id="14" w:name="_Toc19212"/>
      <w:bookmarkEnd w:id="14"/>
      <w:r>
        <w:rPr>
          <w:rFonts w:hint="eastAsia" w:ascii="宋体" w:hAnsi="宋体" w:cs="宋体"/>
          <w:b/>
          <w:color w:val="auto"/>
          <w:highlight w:val="none"/>
        </w:rPr>
        <w:t>四、磋商费用</w:t>
      </w:r>
    </w:p>
    <w:p>
      <w:pPr>
        <w:spacing w:line="400" w:lineRule="exact"/>
        <w:jc w:val="left"/>
        <w:rPr>
          <w:rFonts w:ascii="宋体" w:hAnsi="宋体" w:cs="宋体"/>
          <w:bCs/>
          <w:color w:val="auto"/>
          <w:highlight w:val="none"/>
        </w:rPr>
      </w:pPr>
      <w:r>
        <w:rPr>
          <w:rFonts w:hint="eastAsia" w:ascii="宋体" w:hAnsi="宋体" w:cs="宋体"/>
          <w:bCs/>
          <w:color w:val="auto"/>
          <w:highlight w:val="none"/>
        </w:rPr>
        <w:t xml:space="preserve">    无论竞争性磋商过程和结果如何，供应商自行承担与磋商响应有关的全部费用。</w:t>
      </w:r>
    </w:p>
    <w:p>
      <w:pPr>
        <w:spacing w:line="400" w:lineRule="exact"/>
        <w:jc w:val="left"/>
        <w:rPr>
          <w:rFonts w:ascii="宋体" w:hAnsi="宋体" w:cs="宋体"/>
          <w:b/>
          <w:color w:val="auto"/>
          <w:highlight w:val="none"/>
        </w:rPr>
      </w:pPr>
      <w:bookmarkStart w:id="15" w:name="_Toc14194"/>
      <w:bookmarkEnd w:id="15"/>
      <w:bookmarkStart w:id="16" w:name="_Toc26958"/>
      <w:bookmarkEnd w:id="16"/>
      <w:bookmarkStart w:id="17" w:name="_Toc282640700"/>
      <w:bookmarkEnd w:id="17"/>
      <w:bookmarkStart w:id="18" w:name="_Toc282640701"/>
      <w:r>
        <w:rPr>
          <w:rFonts w:hint="eastAsia" w:ascii="宋体" w:hAnsi="宋体" w:cs="宋体"/>
          <w:b/>
          <w:color w:val="auto"/>
          <w:highlight w:val="none"/>
        </w:rPr>
        <w:t>五、竞争性磋商报价</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1、竞争性磋商报价以人民币为结算货币。</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pPr>
        <w:spacing w:line="400" w:lineRule="exact"/>
        <w:ind w:firstLine="480"/>
        <w:rPr>
          <w:rFonts w:ascii="宋体" w:hAnsi="宋体" w:cs="宋体"/>
          <w:bCs/>
          <w:color w:val="auto"/>
          <w:highlight w:val="none"/>
        </w:rPr>
      </w:pPr>
      <w:r>
        <w:rPr>
          <w:rFonts w:hint="eastAsia" w:ascii="宋体" w:hAnsi="宋体" w:cs="宋体"/>
          <w:bCs/>
          <w:color w:val="auto"/>
          <w:highlight w:val="none"/>
        </w:rPr>
        <w:t>▲3、磋商报价是履行合同的最终价格，应该包括完成服务（供货）所需的各种费用及必要的保险费用和各项税金等所有费用的总和报价。供应商应同时列出认为必要的其他费用，招标结束后不再另行增加费用。</w:t>
      </w:r>
    </w:p>
    <w:p>
      <w:pPr>
        <w:spacing w:line="400" w:lineRule="exact"/>
        <w:ind w:firstLine="480"/>
        <w:rPr>
          <w:rFonts w:ascii="宋体" w:hAnsi="宋体" w:cs="宋体"/>
          <w:color w:val="auto"/>
          <w:sz w:val="28"/>
          <w:szCs w:val="28"/>
          <w:highlight w:val="none"/>
        </w:rPr>
      </w:pPr>
      <w:r>
        <w:rPr>
          <w:rFonts w:hint="eastAsia" w:ascii="宋体" w:hAnsi="宋体" w:cs="宋体"/>
          <w:bCs/>
          <w:color w:val="auto"/>
          <w:highlight w:val="none"/>
        </w:rPr>
        <w:t>4、供应商应充分考虑因各种原因可能发生的费用。对没有填报的费用，采购人认为所有费用已包含在总价中，除合同条款另有规定外，不得进行</w:t>
      </w:r>
      <w:r>
        <w:rPr>
          <w:rFonts w:hint="eastAsia" w:ascii="宋体" w:hAnsi="宋体" w:cs="宋体"/>
          <w:color w:val="auto"/>
          <w:sz w:val="28"/>
          <w:szCs w:val="28"/>
          <w:highlight w:val="none"/>
        </w:rPr>
        <w:t>调整。</w:t>
      </w:r>
    </w:p>
    <w:bookmarkEnd w:id="18"/>
    <w:p>
      <w:pPr>
        <w:spacing w:line="400" w:lineRule="exact"/>
        <w:jc w:val="left"/>
        <w:rPr>
          <w:rFonts w:ascii="宋体" w:hAnsi="宋体" w:cs="宋体"/>
          <w:bCs/>
          <w:color w:val="auto"/>
          <w:highlight w:val="none"/>
        </w:rPr>
      </w:pPr>
      <w:bookmarkStart w:id="19" w:name="_Toc7971"/>
      <w:bookmarkEnd w:id="19"/>
      <w:bookmarkStart w:id="20" w:name="_Toc15229"/>
      <w:bookmarkEnd w:id="20"/>
      <w:bookmarkStart w:id="21" w:name="_Toc21742"/>
      <w:bookmarkEnd w:id="21"/>
      <w:bookmarkStart w:id="22" w:name="_Toc9887"/>
      <w:bookmarkEnd w:id="22"/>
      <w:r>
        <w:rPr>
          <w:rFonts w:hint="eastAsia" w:ascii="宋体" w:hAnsi="宋体" w:cs="宋体"/>
          <w:b/>
          <w:color w:val="auto"/>
          <w:highlight w:val="none"/>
        </w:rPr>
        <w:t>六、履约保证金</w:t>
      </w:r>
    </w:p>
    <w:p>
      <w:pPr>
        <w:spacing w:line="420" w:lineRule="exact"/>
        <w:ind w:firstLine="560" w:firstLineChars="200"/>
        <w:rPr>
          <w:rFonts w:ascii="宋体" w:hAnsi="宋体" w:cs="宋体"/>
          <w:bCs/>
          <w:color w:val="auto"/>
          <w:highlight w:val="none"/>
        </w:rPr>
      </w:pPr>
      <w:bookmarkStart w:id="23" w:name="_Toc414960347"/>
      <w:bookmarkEnd w:id="23"/>
      <w:bookmarkStart w:id="24" w:name="_Toc31890"/>
      <w:bookmarkStart w:id="25" w:name="_Toc27409"/>
      <w:r>
        <w:rPr>
          <w:rFonts w:hint="eastAsia" w:ascii="宋体" w:hAnsi="宋体" w:cs="宋体"/>
          <w:color w:val="auto"/>
          <w:sz w:val="28"/>
          <w:szCs w:val="28"/>
          <w:highlight w:val="none"/>
        </w:rPr>
        <w:t xml:space="preserve">   </w:t>
      </w:r>
      <w:r>
        <w:rPr>
          <w:rFonts w:hint="eastAsia" w:ascii="宋体" w:hAnsi="宋体" w:cs="宋体"/>
          <w:bCs/>
          <w:color w:val="auto"/>
          <w:highlight w:val="none"/>
        </w:rPr>
        <w:t>无</w:t>
      </w:r>
    </w:p>
    <w:bookmarkEnd w:id="24"/>
    <w:bookmarkEnd w:id="25"/>
    <w:p>
      <w:pPr>
        <w:spacing w:line="400" w:lineRule="exact"/>
        <w:rPr>
          <w:rFonts w:ascii="宋体" w:hAnsi="宋体" w:cs="宋体"/>
          <w:b/>
          <w:color w:val="auto"/>
          <w:highlight w:val="none"/>
        </w:rPr>
      </w:pPr>
      <w:r>
        <w:rPr>
          <w:rFonts w:hint="eastAsia" w:ascii="宋体" w:hAnsi="宋体" w:cs="宋体"/>
          <w:b/>
          <w:color w:val="auto"/>
          <w:highlight w:val="none"/>
        </w:rPr>
        <w:t>七、磋商文件有效期</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1、响应文件从磋商之日起，有效期为90天。</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2、特殊情况下，采购人可与供应商协商延缓响应文件的有效期，这种要求和答复均以书面形式进行。</w:t>
      </w:r>
    </w:p>
    <w:p>
      <w:pPr>
        <w:spacing w:line="400" w:lineRule="exact"/>
        <w:ind w:firstLine="480"/>
        <w:rPr>
          <w:rFonts w:ascii="宋体" w:hAnsi="宋体" w:cs="宋体"/>
          <w:bCs/>
          <w:color w:val="auto"/>
          <w:highlight w:val="none"/>
        </w:rPr>
      </w:pPr>
      <w:bookmarkStart w:id="26" w:name="_Toc282640702"/>
      <w:r>
        <w:rPr>
          <w:rFonts w:hint="eastAsia" w:ascii="宋体" w:hAnsi="宋体" w:cs="宋体"/>
          <w:bCs/>
          <w:color w:val="auto"/>
          <w:highlight w:val="none"/>
        </w:rPr>
        <w:t>3、供应商可拒绝接受延期要求。同意延长有效期的供应商不能修改磋商响应文件。</w:t>
      </w:r>
    </w:p>
    <w:bookmarkEnd w:id="26"/>
    <w:p>
      <w:pPr>
        <w:spacing w:line="400" w:lineRule="exact"/>
        <w:rPr>
          <w:rFonts w:ascii="宋体" w:hAnsi="宋体" w:cs="宋体"/>
          <w:b/>
          <w:color w:val="auto"/>
          <w:highlight w:val="none"/>
        </w:rPr>
      </w:pPr>
      <w:r>
        <w:rPr>
          <w:rFonts w:hint="eastAsia" w:ascii="宋体" w:hAnsi="宋体" w:cs="宋体"/>
          <w:b/>
          <w:color w:val="auto"/>
          <w:highlight w:val="none"/>
        </w:rPr>
        <w:t>八、响应文件的组成（如无格式，格式自拟）</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spacing w:line="400" w:lineRule="exact"/>
        <w:ind w:firstLine="480"/>
        <w:rPr>
          <w:rFonts w:ascii="宋体" w:hAnsi="宋体" w:cs="宋体"/>
          <w:bCs/>
          <w:color w:val="auto"/>
          <w:highlight w:val="none"/>
        </w:rPr>
      </w:pPr>
      <w:r>
        <w:rPr>
          <w:rFonts w:hint="eastAsia" w:ascii="宋体" w:hAnsi="宋体" w:cs="宋体"/>
          <w:bCs/>
          <w:color w:val="auto"/>
          <w:highlight w:val="none"/>
        </w:rPr>
        <w:t>3、响应文件的组成</w:t>
      </w:r>
    </w:p>
    <w:p>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3.1资格证明文件</w:t>
      </w:r>
    </w:p>
    <w:p>
      <w:pPr>
        <w:numPr>
          <w:ilvl w:val="0"/>
          <w:numId w:val="2"/>
        </w:numPr>
        <w:spacing w:line="400" w:lineRule="exact"/>
        <w:rPr>
          <w:rFonts w:ascii="宋体" w:hAnsi="宋体" w:cs="宋体"/>
          <w:color w:val="auto"/>
          <w:highlight w:val="none"/>
        </w:rPr>
      </w:pPr>
      <w:r>
        <w:rPr>
          <w:rFonts w:hint="eastAsia" w:ascii="宋体" w:hAnsi="宋体" w:cs="宋体"/>
          <w:color w:val="auto"/>
          <w:highlight w:val="none"/>
        </w:rPr>
        <w:t>磋商声明书（格式见附件）；</w:t>
      </w:r>
    </w:p>
    <w:p>
      <w:pPr>
        <w:numPr>
          <w:ilvl w:val="0"/>
          <w:numId w:val="2"/>
        </w:numPr>
        <w:spacing w:line="400" w:lineRule="exact"/>
        <w:rPr>
          <w:rFonts w:ascii="宋体" w:hAnsi="宋体" w:cs="宋体"/>
          <w:color w:val="auto"/>
          <w:highlight w:val="none"/>
        </w:rPr>
      </w:pPr>
      <w:r>
        <w:rPr>
          <w:rFonts w:hint="eastAsia" w:ascii="宋体" w:hAnsi="宋体" w:cs="宋体"/>
          <w:color w:val="auto"/>
          <w:highlight w:val="none"/>
        </w:rPr>
        <w:t>有效的企业营业执照、税务登记证（已办理“三证合一”或“五证合一”的企业无须提供税务登记证）</w:t>
      </w:r>
      <w:r>
        <w:rPr>
          <w:rFonts w:hint="eastAsia" w:ascii="宋体" w:hAnsi="宋体" w:cs="宋体"/>
          <w:color w:val="auto"/>
          <w:highlight w:val="none"/>
          <w:lang w:val="zh-CN"/>
        </w:rPr>
        <w:t>（原件、复印件加盖公章各一份）</w:t>
      </w:r>
      <w:r>
        <w:rPr>
          <w:rFonts w:hint="eastAsia" w:ascii="宋体" w:hAnsi="宋体" w:cs="宋体"/>
          <w:color w:val="auto"/>
          <w:highlight w:val="none"/>
        </w:rPr>
        <w:t>；</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ascii="宋体" w:hAnsi="宋体" w:cs="宋体"/>
          <w:color w:val="auto"/>
          <w:highlight w:val="none"/>
        </w:rPr>
        <w:t>承诺符合参与政府采购活动的资格条件并且没有税收缴纳、社会保障等方面的失信记录</w:t>
      </w:r>
      <w:r>
        <w:rPr>
          <w:rFonts w:hint="eastAsia" w:ascii="宋体" w:hAnsi="宋体" w:cs="宋体"/>
          <w:bCs/>
          <w:color w:val="auto"/>
          <w:highlight w:val="none"/>
        </w:rPr>
        <w:t>；</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法定代表人身份证明书（格式见附件）；</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信用承诺书（格式见附件）；</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法定代表人授权委托书及授权代理人有效身份证明（复印件）（格式见附件）；</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中小企业声明函（格式见附件）；</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 xml:space="preserve">供应商认为需要提供的其他资料和文件。 </w:t>
      </w:r>
    </w:p>
    <w:p>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3.2商务文件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1）磋商申请函（格式见附件）；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2）初次报价表（格式见附件）；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3）供应商情况一览表（格式见附件）；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 xml:space="preserve">4）商务响应表（格式见附件）； </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）企业业绩；</w:t>
      </w:r>
    </w:p>
    <w:p>
      <w:pPr>
        <w:tabs>
          <w:tab w:val="left" w:pos="844"/>
        </w:tabs>
        <w:autoSpaceDE w:val="0"/>
        <w:autoSpaceDN w:val="0"/>
        <w:snapToGrid w:val="0"/>
        <w:spacing w:line="400" w:lineRule="exact"/>
        <w:ind w:left="424"/>
        <w:rPr>
          <w:rFonts w:hint="eastAsia"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w:t>
      </w:r>
      <w:r>
        <w:rPr>
          <w:rFonts w:hint="eastAsia" w:ascii="宋体" w:hAnsi="宋体" w:cs="宋体"/>
          <w:bCs/>
          <w:color w:val="auto"/>
          <w:highlight w:val="none"/>
          <w:lang w:val="en-US" w:eastAsia="zh-CN"/>
        </w:rPr>
        <w:t>团队</w:t>
      </w:r>
      <w:r>
        <w:rPr>
          <w:rFonts w:hint="eastAsia" w:ascii="宋体" w:hAnsi="宋体" w:cs="宋体"/>
          <w:bCs/>
          <w:color w:val="auto"/>
          <w:highlight w:val="none"/>
        </w:rPr>
        <w:t>实力；</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）供应商认为应该说明的其他文件和资料；</w:t>
      </w:r>
    </w:p>
    <w:p>
      <w:pPr>
        <w:tabs>
          <w:tab w:val="left" w:pos="844"/>
        </w:tabs>
        <w:autoSpaceDE w:val="0"/>
        <w:autoSpaceDN w:val="0"/>
        <w:snapToGrid w:val="0"/>
        <w:spacing w:line="400" w:lineRule="exact"/>
        <w:ind w:left="424"/>
        <w:outlineLvl w:val="3"/>
        <w:rPr>
          <w:rFonts w:ascii="宋体" w:hAnsi="宋体" w:cs="宋体"/>
          <w:b/>
          <w:color w:val="auto"/>
          <w:highlight w:val="none"/>
          <w:u w:val="single"/>
        </w:rPr>
      </w:pPr>
      <w:r>
        <w:rPr>
          <w:rFonts w:hint="eastAsia" w:ascii="宋体" w:hAnsi="宋体" w:cs="宋体"/>
          <w:b/>
          <w:color w:val="auto"/>
          <w:highlight w:val="none"/>
          <w:u w:val="single"/>
        </w:rPr>
        <w:t xml:space="preserve">3.3技术文件 </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评分索引表；</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技术响应表；</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eastAsia="zh-CN"/>
        </w:rPr>
        <w:t>项目</w:t>
      </w:r>
      <w:r>
        <w:rPr>
          <w:rFonts w:hint="eastAsia" w:ascii="宋体" w:hAnsi="宋体" w:cs="宋体"/>
          <w:color w:val="auto"/>
          <w:highlight w:val="none"/>
          <w:lang w:val="en-US" w:eastAsia="zh-CN"/>
        </w:rPr>
        <w:t>方案</w:t>
      </w:r>
      <w:r>
        <w:rPr>
          <w:rFonts w:hint="eastAsia" w:ascii="宋体" w:hAnsi="宋体" w:cs="宋体"/>
          <w:color w:val="auto"/>
          <w:highlight w:val="none"/>
          <w:lang w:val="zh-CN"/>
        </w:rPr>
        <w:t>；</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en-US" w:eastAsia="zh-CN"/>
        </w:rPr>
        <w:t>项目质量保证及进度保证措施</w:t>
      </w:r>
      <w:r>
        <w:rPr>
          <w:rFonts w:hint="eastAsia" w:ascii="宋体" w:hAnsi="宋体" w:cs="宋体"/>
          <w:color w:val="auto"/>
          <w:highlight w:val="none"/>
          <w:lang w:val="zh-CN"/>
        </w:rPr>
        <w:t>；</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bCs/>
          <w:color w:val="auto"/>
          <w:highlight w:val="none"/>
        </w:rPr>
        <w:t>售后服务承诺</w:t>
      </w:r>
      <w:r>
        <w:rPr>
          <w:rFonts w:hint="eastAsia" w:ascii="宋体" w:hAnsi="宋体" w:cs="宋体"/>
          <w:bCs/>
          <w:color w:val="auto"/>
          <w:highlight w:val="none"/>
          <w:lang w:eastAsia="zh-CN"/>
        </w:rPr>
        <w:t>；</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投标供应商针对技术需要说明的其他材料。</w:t>
      </w:r>
    </w:p>
    <w:p>
      <w:pPr>
        <w:spacing w:line="440" w:lineRule="exact"/>
        <w:ind w:left="424"/>
        <w:rPr>
          <w:rFonts w:ascii="宋体" w:hAnsi="宋体" w:cs="宋体"/>
          <w:b/>
          <w:color w:val="auto"/>
          <w:sz w:val="28"/>
          <w:szCs w:val="28"/>
          <w:highlight w:val="none"/>
        </w:rPr>
      </w:pPr>
      <w:r>
        <w:rPr>
          <w:rFonts w:hint="eastAsia" w:ascii="宋体" w:hAnsi="宋体" w:cs="宋体"/>
          <w:b/>
          <w:color w:val="auto"/>
          <w:sz w:val="28"/>
          <w:szCs w:val="28"/>
          <w:highlight w:val="none"/>
        </w:rPr>
        <w:t>以上磋商响应文件组成内容中的复印件均须加盖供应商公章。</w:t>
      </w:r>
    </w:p>
    <w:p>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3.4响应文件内容填写及说明</w:t>
      </w:r>
    </w:p>
    <w:p>
      <w:pPr>
        <w:numPr>
          <w:ilvl w:val="0"/>
          <w:numId w:val="4"/>
        </w:numPr>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中标供应商应按照3.1、3.2所列出的（内容及格式仅供参考）逐一组成响应文件并装订成册(商务文件与技术文件可以合并装订)。</w:t>
      </w:r>
    </w:p>
    <w:p>
      <w:pPr>
        <w:spacing w:line="400" w:lineRule="exact"/>
        <w:jc w:val="left"/>
        <w:rPr>
          <w:rFonts w:ascii="宋体" w:hAnsi="宋体" w:cs="宋体"/>
          <w:b/>
          <w:color w:val="auto"/>
          <w:highlight w:val="none"/>
        </w:rPr>
      </w:pPr>
      <w:bookmarkStart w:id="27" w:name="_Toc282640705"/>
      <w:bookmarkEnd w:id="27"/>
      <w:bookmarkStart w:id="28" w:name="_Toc32090"/>
      <w:bookmarkEnd w:id="28"/>
      <w:bookmarkStart w:id="29" w:name="_Toc21469"/>
      <w:bookmarkEnd w:id="29"/>
      <w:r>
        <w:rPr>
          <w:rFonts w:hint="eastAsia" w:ascii="宋体" w:hAnsi="宋体" w:cs="宋体"/>
          <w:b/>
          <w:color w:val="auto"/>
          <w:highlight w:val="none"/>
        </w:rPr>
        <w:t>九、响应文件的签署和份数</w:t>
      </w:r>
    </w:p>
    <w:p>
      <w:pPr>
        <w:pStyle w:val="2"/>
        <w:spacing w:after="0" w:line="336" w:lineRule="auto"/>
        <w:ind w:firstLine="420"/>
        <w:rPr>
          <w:rFonts w:ascii="宋体" w:hAnsi="宋体" w:cs="宋体"/>
          <w:color w:val="auto"/>
          <w:sz w:val="24"/>
          <w:highlight w:val="none"/>
        </w:rPr>
      </w:pPr>
      <w:bookmarkStart w:id="30" w:name="_Toc414960351"/>
      <w:bookmarkEnd w:id="30"/>
      <w:bookmarkStart w:id="31" w:name="_Toc282640706"/>
      <w:bookmarkEnd w:id="31"/>
      <w:r>
        <w:rPr>
          <w:rFonts w:hint="eastAsia" w:ascii="宋体" w:hAnsi="宋体" w:cs="宋体"/>
          <w:bCs/>
          <w:color w:val="auto"/>
          <w:sz w:val="24"/>
          <w:highlight w:val="none"/>
        </w:rPr>
        <w:t xml:space="preserve">   </w:t>
      </w:r>
      <w:r>
        <w:rPr>
          <w:rFonts w:hint="eastAsia" w:ascii="宋体" w:hAnsi="宋体" w:cs="宋体"/>
          <w:color w:val="auto"/>
          <w:sz w:val="24"/>
          <w:highlight w:val="none"/>
        </w:rPr>
        <w:t>1.本项目通过“政府采购云平台</w:t>
      </w:r>
      <w:r>
        <w:rPr>
          <w:rFonts w:hint="eastAsia"/>
          <w:color w:val="auto"/>
          <w:highlight w:val="none"/>
        </w:rPr>
        <w:fldChar w:fldCharType="begin"/>
      </w:r>
      <w:r>
        <w:rPr>
          <w:color w:val="auto"/>
          <w:highlight w:val="none"/>
        </w:rPr>
        <w:instrText xml:space="preserve"> HYPERLINK "http://www.zcygov.cn/" \h </w:instrText>
      </w:r>
      <w:r>
        <w:rPr>
          <w:rFonts w:hint="eastAsia"/>
          <w:color w:val="auto"/>
          <w:highlight w:val="none"/>
        </w:rPr>
        <w:fldChar w:fldCharType="separate"/>
      </w:r>
      <w:r>
        <w:rPr>
          <w:rFonts w:hint="eastAsia" w:ascii="宋体" w:hAnsi="宋体" w:cs="宋体"/>
          <w:color w:val="auto"/>
          <w:sz w:val="24"/>
          <w:highlight w:val="none"/>
        </w:rPr>
        <w:t>（www.zcygov.cn</w:t>
      </w:r>
      <w:r>
        <w:rPr>
          <w:rFonts w:hint="eastAsia" w:ascii="宋体" w:hAnsi="宋体" w:cs="宋体"/>
          <w:color w:val="auto"/>
          <w:sz w:val="24"/>
          <w:highlight w:val="none"/>
        </w:rPr>
        <w:fldChar w:fldCharType="end"/>
      </w:r>
      <w:r>
        <w:rPr>
          <w:rFonts w:hint="eastAsia" w:ascii="宋体" w:hAnsi="宋体" w:cs="宋体"/>
          <w:color w:val="auto"/>
          <w:sz w:val="24"/>
          <w:highlight w:val="none"/>
        </w:rPr>
        <w:t>）”实行在线竞标响应（电子投标）。供应商应通过“政采云电子交易客户端”，并按照磋商文件和“政府采购云平台”的要求编制并加密响应文件。</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2.供应商应当按照本章节 “响应文件组成”规定的内容及顺序在“政采云电子交易客户端”编制响应文件。</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3.本文件中有提供格式的，供应商须参照格式进行编制（格式中要求提供相关证明材料的还需后附相关证明材料），并按格式要求在指定位置根据要求进行签章，否则视为未提供；本文件未提供格式的，请各竞标单位自行拟定格式，并加盖单位公章并由法定代表人或其授权代表签署（签字或盖章），否则视为未提供。</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响应</w:t>
      </w:r>
      <w:r>
        <w:rPr>
          <w:rFonts w:hint="eastAsia" w:ascii="宋体" w:hAnsi="宋体" w:cs="宋体"/>
          <w:color w:val="auto"/>
          <w:sz w:val="24"/>
          <w:highlight w:val="none"/>
        </w:rPr>
        <w:t>文件内容不完整、编排混乱导致响应文件被误读、漏读或者查找不到相关内容的，是竞标供应商的责任。</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响应</w:t>
      </w:r>
      <w:r>
        <w:rPr>
          <w:rFonts w:hint="eastAsia" w:ascii="宋体" w:hAnsi="宋体" w:cs="宋体"/>
          <w:color w:val="auto"/>
          <w:sz w:val="24"/>
          <w:highlight w:val="none"/>
        </w:rPr>
        <w:t>文件因字迹潦草或表达不清所引起的后果由竞标供应商负责。</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6.竞标供应商没有按照要求提供全部资料，或者没有仔细阅读磋商文件，或者没有对磋商文件在各方面的要求作出实质性响应是竞标供应商的风险，由此造成的一切后果由竞标供应商自行承担。</w:t>
      </w:r>
    </w:p>
    <w:p>
      <w:pPr>
        <w:pStyle w:val="2"/>
        <w:spacing w:after="0"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响应</w:t>
      </w:r>
      <w:r>
        <w:rPr>
          <w:rFonts w:hint="eastAsia" w:ascii="宋体" w:hAnsi="宋体" w:cs="宋体"/>
          <w:color w:val="auto"/>
          <w:sz w:val="24"/>
          <w:highlight w:val="none"/>
        </w:rPr>
        <w:t>文件》应由竞标供应商法定代表人或其授权代表签字（或盖章），并加盖竞标供应商公章。</w:t>
      </w:r>
    </w:p>
    <w:p>
      <w:pPr>
        <w:pStyle w:val="2"/>
        <w:spacing w:after="0" w:line="336" w:lineRule="auto"/>
        <w:rPr>
          <w:rFonts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响应</w:t>
      </w:r>
      <w:r>
        <w:rPr>
          <w:rFonts w:hint="eastAsia" w:ascii="宋体" w:hAnsi="宋体" w:cs="宋体"/>
          <w:b/>
          <w:bCs/>
          <w:color w:val="auto"/>
          <w:sz w:val="24"/>
          <w:highlight w:val="none"/>
        </w:rPr>
        <w:t>电子文件的组成</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1.响应文件的形式：</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（1）电子响应文件（包括“电子加密响应文件”和“备份响应文件”，在响应文件编制完成后同时生成）</w:t>
      </w:r>
    </w:p>
    <w:p>
      <w:pPr>
        <w:pStyle w:val="2"/>
        <w:spacing w:after="0" w:line="336" w:lineRule="auto"/>
        <w:ind w:firstLine="420"/>
        <w:rPr>
          <w:rFonts w:ascii="宋体" w:hAnsi="宋体" w:cs="宋体"/>
          <w:b/>
          <w:bCs/>
          <w:color w:val="auto"/>
          <w:sz w:val="24"/>
          <w:highlight w:val="none"/>
        </w:rPr>
      </w:pPr>
      <w:r>
        <w:rPr>
          <w:rFonts w:hint="eastAsia" w:ascii="宋体" w:hAnsi="宋体" w:cs="宋体"/>
          <w:color w:val="auto"/>
          <w:sz w:val="24"/>
          <w:highlight w:val="none"/>
        </w:rPr>
        <w:t>（2）“电子加密响应文件”是指通过“政采云电子交易客户端”完成响应文件编制后生成并加密的数据电文形式的响应文件。</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（3）“备份响应文件”是指与“电子加密响应文件”同时生成的数据电文形式的电子文件（备份标书），其他方式编制的备份响应文件视为无效备份响应文件。仅在出现解密异常情况下使用。</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2.响应文件的份数：“电子加密响应文件”：在线上传递交一份。</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pStyle w:val="2"/>
        <w:spacing w:after="0" w:line="336" w:lineRule="auto"/>
        <w:ind w:firstLine="420"/>
        <w:rPr>
          <w:rFonts w:ascii="宋体" w:hAnsi="宋体" w:cs="宋体"/>
          <w:b/>
          <w:bCs/>
          <w:color w:val="auto"/>
          <w:sz w:val="24"/>
          <w:highlight w:val="none"/>
        </w:rPr>
      </w:pPr>
      <w:r>
        <w:rPr>
          <w:rFonts w:hint="eastAsia" w:ascii="宋体" w:hAnsi="宋体" w:cs="宋体"/>
          <w:b/>
          <w:bCs/>
          <w:color w:val="auto"/>
          <w:sz w:val="24"/>
          <w:highlight w:val="none"/>
        </w:rPr>
        <w:t>（1）本项目原则上采用不见面的形式开标，竞标供应商可以邮寄形式在磋商截止时间前递交以介质（U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cs="宋体"/>
          <w:b/>
          <w:bCs/>
          <w:color w:val="auto"/>
          <w:kern w:val="0"/>
          <w:sz w:val="24"/>
          <w:highlight w:val="none"/>
        </w:rPr>
        <w:t>通过邮寄的方式送达（原则上邮寄公司统一采用顺丰）具体</w:t>
      </w:r>
      <w:r>
        <w:rPr>
          <w:rFonts w:hint="eastAsia" w:ascii="宋体" w:hAnsi="宋体" w:cs="宋体"/>
          <w:b/>
          <w:bCs/>
          <w:color w:val="auto"/>
          <w:sz w:val="24"/>
          <w:highlight w:val="none"/>
        </w:rPr>
        <w:t>详见磋商公告。</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2）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U 盘）应在磋商截止时间前送达，超过磋商截止时间前送达的，按未提供处理。</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4.“电子加密响应文件”解密和异常情况处理：</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（1）开标后，采购组织机构将向各竞标供应商发出“电子加密响应文件”的解密通知，各竞标供应商代表应当在接到解密通知后 30 分钟内自行完成“电子加密响应文件”的在线解密。</w:t>
      </w:r>
    </w:p>
    <w:p>
      <w:pPr>
        <w:pStyle w:val="2"/>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（2）通过“政府采购云平台”成功上传递交的“电子加密响应文件”无法按时解密， 竞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2"/>
        <w:spacing w:after="0" w:line="336" w:lineRule="auto"/>
        <w:ind w:firstLine="420"/>
        <w:jc w:val="left"/>
        <w:rPr>
          <w:rFonts w:ascii="宋体" w:hAnsi="宋体" w:cs="宋体"/>
          <w:color w:val="auto"/>
          <w:sz w:val="24"/>
          <w:highlight w:val="none"/>
        </w:rPr>
      </w:pPr>
      <w:r>
        <w:rPr>
          <w:rFonts w:hint="eastAsia" w:ascii="宋体" w:hAnsi="宋体" w:cs="宋体"/>
          <w:color w:val="auto"/>
          <w:sz w:val="24"/>
          <w:highlight w:val="none"/>
        </w:rPr>
        <w:t>（3）磋商截止时间前，竞标供应商仅递交了“备份响应文件”而未将电子加密竞标</w:t>
      </w:r>
    </w:p>
    <w:p>
      <w:pPr>
        <w:pStyle w:val="2"/>
        <w:spacing w:after="0" w:line="336" w:lineRule="auto"/>
        <w:ind w:firstLine="420"/>
        <w:jc w:val="left"/>
        <w:rPr>
          <w:rFonts w:ascii="宋体" w:hAnsi="宋体" w:cs="宋体"/>
          <w:bCs/>
          <w:color w:val="auto"/>
          <w:sz w:val="24"/>
          <w:highlight w:val="none"/>
        </w:rPr>
      </w:pPr>
      <w:r>
        <w:rPr>
          <w:rFonts w:hint="eastAsia" w:ascii="宋体" w:hAnsi="宋体" w:cs="宋体"/>
          <w:color w:val="auto"/>
          <w:sz w:val="24"/>
          <w:highlight w:val="none"/>
        </w:rPr>
        <w:t>文件上传至“政府采购云平台”的，竞标无效。</w:t>
      </w:r>
    </w:p>
    <w:p>
      <w:pPr>
        <w:spacing w:line="360" w:lineRule="auto"/>
        <w:jc w:val="left"/>
        <w:rPr>
          <w:rFonts w:ascii="宋体" w:hAnsi="宋体" w:cs="宋体"/>
          <w:b/>
          <w:color w:val="auto"/>
          <w:highlight w:val="none"/>
        </w:rPr>
      </w:pPr>
      <w:bookmarkStart w:id="32" w:name="_Toc282640710"/>
      <w:bookmarkEnd w:id="32"/>
      <w:bookmarkStart w:id="33" w:name="_Toc15269"/>
      <w:bookmarkEnd w:id="33"/>
      <w:bookmarkStart w:id="34" w:name="_Toc17074"/>
      <w:bookmarkEnd w:id="34"/>
      <w:r>
        <w:rPr>
          <w:rFonts w:hint="eastAsia" w:ascii="宋体" w:hAnsi="宋体" w:cs="宋体"/>
          <w:b/>
          <w:color w:val="auto"/>
          <w:highlight w:val="none"/>
        </w:rPr>
        <w:t>十一、无效响应文件</w:t>
      </w:r>
    </w:p>
    <w:p>
      <w:pPr>
        <w:spacing w:line="360" w:lineRule="auto"/>
        <w:jc w:val="left"/>
        <w:rPr>
          <w:rFonts w:ascii="宋体" w:hAnsi="宋体" w:cs="宋体"/>
          <w:color w:val="auto"/>
          <w:highlight w:val="none"/>
        </w:rPr>
      </w:pPr>
      <w:r>
        <w:rPr>
          <w:rFonts w:hint="eastAsia" w:ascii="宋体" w:hAnsi="宋体" w:cs="宋体"/>
          <w:b/>
          <w:color w:val="auto"/>
          <w:highlight w:val="none"/>
        </w:rPr>
        <w:t xml:space="preserve">    发生下列情况之一的响应文件被视为无效：</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1、响应文件逾期送达或未按规定的地点送达的；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2、未按照磋商文件规定的要求上传、签署、盖章的；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3、不具备磋商文件中规定的资格条件要求的；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4、供应商提交两份或两份以上内容不同的磋商响应文件，或在一份磋商响应文件中对同一采购项目有两个或两个以上报价的；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5、磋商响应文件载明的采购项目完成期限超过磋商文件规定的期限，采购人不能接受的；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6、磋商响应文件载明的采购项目磋商有效期、服务质保期少于磋商文件规定期限的；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7、磋商响应文件未响应磋商文件规定的付款方式的；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8、磋商货物的技术规范、技术标准明显不符合国家强制性要求的；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9、磋商货物载明的验收标准和方法等不符合国家规定及招标文件要求的；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10、磋商响应文件字迹模糊辨认不清的（磋商小组一致认为难以确认）；</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11、供应商的法定代表人或其授权代理人未能准时参加开标会议的；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12、磋商时供应商的法定代表人或其授权代理人未能当场出具有效身份证明的；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13、提供不真实资料的；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14、不符合法律、法规和磋商文件规定的其他实质性要求（磋商小组一致认定）的；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15、磋商服务的服务指标、参数等存在实质性偏离（磋商小组一致认定）的；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16、二分之一以上的评委认为供应商报价明显高于市场平均价的；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17、法律、法规、规章及省级以上规范性文件等规定的其他情形。</w:t>
      </w:r>
    </w:p>
    <w:p>
      <w:pPr>
        <w:spacing w:line="360" w:lineRule="auto"/>
        <w:jc w:val="left"/>
        <w:rPr>
          <w:rFonts w:ascii="宋体" w:hAnsi="宋体" w:cs="宋体"/>
          <w:b/>
          <w:color w:val="auto"/>
          <w:highlight w:val="none"/>
        </w:rPr>
      </w:pPr>
      <w:bookmarkStart w:id="35" w:name="_Toc16373"/>
      <w:bookmarkEnd w:id="35"/>
      <w:bookmarkStart w:id="36" w:name="_Toc24811"/>
      <w:bookmarkEnd w:id="36"/>
      <w:r>
        <w:rPr>
          <w:rFonts w:hint="eastAsia" w:ascii="宋体" w:hAnsi="宋体" w:cs="宋体"/>
          <w:b/>
          <w:color w:val="auto"/>
          <w:highlight w:val="none"/>
        </w:rPr>
        <w:t>十二、废标</w:t>
      </w:r>
    </w:p>
    <w:p>
      <w:pPr>
        <w:spacing w:line="440" w:lineRule="exact"/>
        <w:rPr>
          <w:rFonts w:ascii="宋体" w:hAnsi="宋体" w:cs="宋体"/>
          <w:bCs/>
          <w:color w:val="auto"/>
          <w:highlight w:val="none"/>
        </w:rPr>
      </w:pPr>
      <w:r>
        <w:rPr>
          <w:rFonts w:hint="eastAsia" w:ascii="宋体" w:hAnsi="宋体" w:cs="宋体"/>
          <w:bCs/>
          <w:color w:val="auto"/>
          <w:highlight w:val="none"/>
        </w:rPr>
        <w:t xml:space="preserve">    在磋商中，出现下列情形之一的，应予废标：</w:t>
      </w:r>
    </w:p>
    <w:p>
      <w:pPr>
        <w:spacing w:line="440" w:lineRule="exact"/>
        <w:rPr>
          <w:rFonts w:ascii="宋体" w:hAnsi="宋体" w:cs="宋体"/>
          <w:bCs/>
          <w:color w:val="auto"/>
          <w:highlight w:val="none"/>
        </w:rPr>
      </w:pPr>
      <w:r>
        <w:rPr>
          <w:rFonts w:hint="eastAsia" w:ascii="宋体" w:hAnsi="宋体" w:cs="宋体"/>
          <w:bCs/>
          <w:color w:val="auto"/>
          <w:highlight w:val="none"/>
        </w:rPr>
        <w:t xml:space="preserve">    1、符合专业条件的供应商或者对磋商文件作实质响应的供应商不足三家的（特殊情况经审批同意的除外）；</w:t>
      </w:r>
    </w:p>
    <w:p>
      <w:pPr>
        <w:spacing w:line="440" w:lineRule="exact"/>
        <w:ind w:left="562"/>
        <w:rPr>
          <w:rFonts w:ascii="宋体" w:hAnsi="宋体" w:cs="宋体"/>
          <w:bCs/>
          <w:color w:val="auto"/>
          <w:highlight w:val="none"/>
        </w:rPr>
      </w:pPr>
      <w:r>
        <w:rPr>
          <w:rFonts w:hint="eastAsia" w:ascii="宋体" w:hAnsi="宋体" w:cs="宋体"/>
          <w:bCs/>
          <w:color w:val="auto"/>
          <w:highlight w:val="none"/>
        </w:rPr>
        <w:t>1）出现影响采购公正的违法、违规行为的；</w:t>
      </w:r>
    </w:p>
    <w:p>
      <w:pPr>
        <w:spacing w:line="440" w:lineRule="exact"/>
        <w:ind w:left="562"/>
        <w:rPr>
          <w:rFonts w:ascii="宋体" w:hAnsi="宋体" w:cs="宋体"/>
          <w:bCs/>
          <w:color w:val="auto"/>
          <w:highlight w:val="none"/>
        </w:rPr>
      </w:pPr>
      <w:r>
        <w:rPr>
          <w:rFonts w:hint="eastAsia" w:ascii="宋体" w:hAnsi="宋体" w:cs="宋体"/>
          <w:bCs/>
          <w:color w:val="auto"/>
          <w:highlight w:val="none"/>
        </w:rPr>
        <w:t>2）因重大变故，采购任务取消的;</w:t>
      </w:r>
    </w:p>
    <w:p>
      <w:pPr>
        <w:spacing w:line="440" w:lineRule="exact"/>
        <w:ind w:left="562"/>
        <w:rPr>
          <w:rFonts w:ascii="宋体" w:hAnsi="宋体" w:cs="宋体"/>
          <w:bCs/>
          <w:color w:val="auto"/>
          <w:highlight w:val="none"/>
        </w:rPr>
      </w:pPr>
      <w:r>
        <w:rPr>
          <w:rFonts w:hint="eastAsia" w:ascii="宋体" w:hAnsi="宋体" w:cs="宋体"/>
          <w:bCs/>
          <w:color w:val="auto"/>
          <w:highlight w:val="none"/>
        </w:rPr>
        <w:t>3）供应商的报价均超过预算价的，采购人不能支付的;</w:t>
      </w:r>
    </w:p>
    <w:p>
      <w:pPr>
        <w:spacing w:line="440" w:lineRule="exact"/>
        <w:ind w:left="120" w:leftChars="50"/>
        <w:rPr>
          <w:rFonts w:ascii="宋体" w:hAnsi="宋体" w:cs="宋体"/>
          <w:bCs/>
          <w:color w:val="auto"/>
          <w:highlight w:val="none"/>
        </w:rPr>
      </w:pPr>
      <w:r>
        <w:rPr>
          <w:rFonts w:hint="eastAsia" w:ascii="宋体" w:hAnsi="宋体" w:cs="宋体"/>
          <w:bCs/>
          <w:color w:val="auto"/>
          <w:highlight w:val="none"/>
        </w:rPr>
        <w:t xml:space="preserve">    4）法律、法规、规章等规定的其他情形除外。</w:t>
      </w:r>
    </w:p>
    <w:p>
      <w:pPr>
        <w:numPr>
          <w:ilvl w:val="0"/>
          <w:numId w:val="5"/>
        </w:numPr>
        <w:spacing w:line="440" w:lineRule="exact"/>
        <w:ind w:left="562"/>
        <w:rPr>
          <w:rFonts w:ascii="宋体" w:hAnsi="宋体" w:cs="宋体"/>
          <w:bCs/>
          <w:color w:val="auto"/>
          <w:highlight w:val="none"/>
        </w:rPr>
      </w:pPr>
      <w:r>
        <w:rPr>
          <w:rFonts w:hint="eastAsia" w:ascii="宋体" w:hAnsi="宋体" w:cs="宋体"/>
          <w:bCs/>
          <w:color w:val="auto"/>
          <w:highlight w:val="none"/>
        </w:rPr>
        <w:t>废标后，采购人将废标理由通知所有供应商。</w:t>
      </w:r>
    </w:p>
    <w:p>
      <w:pPr>
        <w:spacing w:line="400" w:lineRule="exact"/>
        <w:ind w:firstLine="480"/>
        <w:rPr>
          <w:rFonts w:ascii="宋体" w:hAnsi="宋体" w:cs="宋体"/>
          <w:bCs/>
          <w:color w:val="auto"/>
          <w:highlight w:val="none"/>
        </w:rPr>
      </w:pPr>
      <w:r>
        <w:rPr>
          <w:rFonts w:hint="eastAsia" w:ascii="宋体" w:hAnsi="宋体" w:cs="宋体"/>
          <w:bCs/>
          <w:color w:val="auto"/>
          <w:highlight w:val="none"/>
        </w:rPr>
        <w:t>本磋商规则及程序只适用于“浙江诚远工程咨询有限公司磋商文件”。</w:t>
      </w:r>
    </w:p>
    <w:p>
      <w:pPr>
        <w:spacing w:line="400" w:lineRule="exact"/>
        <w:rPr>
          <w:rFonts w:ascii="宋体" w:hAnsi="宋体" w:cs="宋体"/>
          <w:b/>
          <w:bCs/>
          <w:color w:val="auto"/>
          <w:highlight w:val="none"/>
        </w:rPr>
      </w:pPr>
      <w:r>
        <w:rPr>
          <w:rFonts w:hint="eastAsia" w:ascii="宋体" w:hAnsi="宋体" w:cs="宋体"/>
          <w:b/>
          <w:bCs/>
          <w:color w:val="auto"/>
          <w:highlight w:val="none"/>
        </w:rPr>
        <w:t>十三、出现以下情形，导致电子交易平台无法正常运行，或者无法保证电子交易的公平、公正和安全时，中止电子交易活动：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（1）电子交易平台发生故障而无法登录访问的；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（4）病毒发作导致不能进行正常操作的；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400" w:lineRule="exact"/>
        <w:ind w:firstLine="480" w:firstLineChars="200"/>
        <w:rPr>
          <w:rFonts w:ascii="宋体" w:hAnsi="宋体" w:cs="宋体"/>
          <w:bCs/>
          <w:color w:val="auto"/>
          <w:highlight w:val="none"/>
        </w:rPr>
      </w:pPr>
      <w:r>
        <w:rPr>
          <w:rFonts w:hint="eastAsia" w:ascii="宋体" w:hAnsi="宋体" w:cs="宋体"/>
          <w:color w:val="auto"/>
          <w:highlight w:val="none"/>
        </w:rPr>
        <w:t>出现前款规定情形，不影响采购公平、公正性的，采购组织机构可以待上述情形消除后继续组织电子交易活动，也可以决定某些环节以纸质形式进行；影响或可能影响采购公平、公正性的，重新采购。</w:t>
      </w:r>
    </w:p>
    <w:p>
      <w:pPr>
        <w:spacing w:line="400" w:lineRule="exact"/>
        <w:jc w:val="left"/>
        <w:rPr>
          <w:rFonts w:ascii="宋体" w:hAnsi="宋体" w:cs="宋体"/>
          <w:b/>
          <w:color w:val="auto"/>
          <w:highlight w:val="none"/>
        </w:rPr>
      </w:pPr>
      <w:bookmarkStart w:id="37" w:name="_Toc27014"/>
      <w:bookmarkEnd w:id="37"/>
      <w:bookmarkStart w:id="38" w:name="_Toc27719"/>
      <w:bookmarkEnd w:id="38"/>
      <w:r>
        <w:rPr>
          <w:rFonts w:hint="eastAsia" w:ascii="宋体" w:hAnsi="宋体" w:cs="宋体"/>
          <w:b/>
          <w:color w:val="auto"/>
          <w:highlight w:val="none"/>
        </w:rPr>
        <w:t>十四、竞争性磋商文件质疑</w:t>
      </w:r>
    </w:p>
    <w:p>
      <w:pPr>
        <w:ind w:firstLine="480" w:firstLineChars="200"/>
        <w:rPr>
          <w:color w:val="auto"/>
          <w:highlight w:val="none"/>
        </w:rPr>
      </w:pPr>
      <w:bookmarkStart w:id="39" w:name="_Toc21657"/>
      <w:bookmarkStart w:id="40" w:name="_Toc26868"/>
      <w:bookmarkStart w:id="41" w:name="_Toc282640721"/>
      <w:r>
        <w:rPr>
          <w:rFonts w:hint="eastAsia" w:ascii="宋体" w:hAnsi="宋体" w:cs="宋体"/>
          <w:bCs/>
          <w:color w:val="auto"/>
          <w:highlight w:val="none"/>
        </w:rPr>
        <w:t xml:space="preserve">    </w:t>
      </w:r>
      <w:r>
        <w:rPr>
          <w:rFonts w:hint="eastAsia"/>
          <w:color w:val="auto"/>
          <w:highlight w:val="none"/>
        </w:rPr>
        <w:t>1、质疑函须采用财政部发布的政府采购供应商质疑函范本（参考样式可从“湖州市公共资源交易信息网-&gt;资料下载-&gt;采购资料下载”栏目下载），否则代理采购机构有权要求质疑供应商改正后重新提出。</w:t>
      </w:r>
    </w:p>
    <w:p>
      <w:pPr>
        <w:ind w:firstLine="480" w:firstLineChars="200"/>
        <w:rPr>
          <w:rFonts w:ascii="宋体" w:hAnsi="宋体" w:cs="宋体"/>
          <w:bCs/>
          <w:color w:val="auto"/>
          <w:highlight w:val="none"/>
        </w:rPr>
      </w:pPr>
      <w:r>
        <w:rPr>
          <w:rFonts w:hint="eastAsia" w:ascii="宋体" w:hAnsi="宋体" w:cs="宋体"/>
          <w:bCs/>
          <w:color w:val="auto"/>
          <w:highlight w:val="none"/>
        </w:rPr>
        <w:t>2、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pPr>
        <w:ind w:firstLine="480" w:firstLineChars="200"/>
        <w:rPr>
          <w:color w:val="auto"/>
          <w:highlight w:val="none"/>
        </w:rPr>
      </w:pPr>
      <w:r>
        <w:rPr>
          <w:rFonts w:hint="eastAsia"/>
          <w:color w:val="auto"/>
          <w:highlight w:val="none"/>
        </w:rPr>
        <w:t>在线或邮寄政府采购投诉材料当日下班时间点后收到的视为下一个工作日。</w:t>
      </w:r>
    </w:p>
    <w:p>
      <w:pPr>
        <w:ind w:firstLine="482" w:firstLineChars="200"/>
        <w:rPr>
          <w:b/>
          <w:bCs/>
          <w:color w:val="auto"/>
          <w:szCs w:val="32"/>
          <w:highlight w:val="none"/>
        </w:rPr>
      </w:pPr>
      <w:r>
        <w:rPr>
          <w:rFonts w:hint="eastAsia"/>
          <w:b/>
          <w:bCs/>
          <w:color w:val="auto"/>
          <w:szCs w:val="32"/>
          <w:highlight w:val="none"/>
        </w:rPr>
        <w:t>未按规定格式、内容提出的，采购人、采购代理机构将不予受理。</w:t>
      </w:r>
    </w:p>
    <w:bookmarkEnd w:id="39"/>
    <w:bookmarkEnd w:id="40"/>
    <w:bookmarkEnd w:id="41"/>
    <w:p>
      <w:pPr>
        <w:spacing w:line="340" w:lineRule="exact"/>
        <w:jc w:val="left"/>
        <w:rPr>
          <w:rFonts w:ascii="宋体" w:hAnsi="宋体" w:cs="宋体"/>
          <w:b/>
          <w:color w:val="auto"/>
          <w:highlight w:val="none"/>
        </w:rPr>
      </w:pPr>
      <w:r>
        <w:rPr>
          <w:rFonts w:hint="eastAsia" w:ascii="宋体" w:hAnsi="宋体" w:cs="宋体"/>
          <w:b/>
          <w:color w:val="auto"/>
          <w:highlight w:val="none"/>
        </w:rPr>
        <w:t>十五、确定成交供应商方法</w:t>
      </w:r>
    </w:p>
    <w:p>
      <w:pPr>
        <w:spacing w:line="340" w:lineRule="exact"/>
        <w:jc w:val="left"/>
        <w:rPr>
          <w:rFonts w:ascii="宋体" w:hAnsi="宋体" w:cs="宋体"/>
          <w:bCs/>
          <w:color w:val="auto"/>
          <w:highlight w:val="none"/>
        </w:rPr>
      </w:pPr>
      <w:bookmarkStart w:id="42" w:name="_Toc18596"/>
      <w:bookmarkEnd w:id="42"/>
      <w:bookmarkStart w:id="43" w:name="_Toc282640722"/>
      <w:bookmarkEnd w:id="43"/>
      <w:bookmarkStart w:id="44" w:name="_Toc5559"/>
      <w:bookmarkEnd w:id="44"/>
      <w:r>
        <w:rPr>
          <w:rFonts w:hint="eastAsia" w:ascii="宋体" w:hAnsi="宋体" w:cs="宋体"/>
          <w:bCs/>
          <w:color w:val="auto"/>
          <w:highlight w:val="none"/>
        </w:rPr>
        <w:t xml:space="preserve">    在质量与服务均能满足采购项目要求的前提下，以综合得分由高到低的原则确定成交供应商，详细的磋商程序见竞争性磋商文件第四章内容。</w:t>
      </w:r>
    </w:p>
    <w:p>
      <w:pPr>
        <w:spacing w:line="340" w:lineRule="exact"/>
        <w:jc w:val="left"/>
        <w:rPr>
          <w:rFonts w:ascii="宋体" w:hAnsi="宋体" w:cs="宋体"/>
          <w:b/>
          <w:color w:val="auto"/>
          <w:highlight w:val="none"/>
        </w:rPr>
      </w:pPr>
      <w:bookmarkStart w:id="45" w:name="_Toc28666"/>
      <w:bookmarkEnd w:id="45"/>
      <w:bookmarkStart w:id="46" w:name="_Toc16626"/>
      <w:bookmarkEnd w:id="46"/>
      <w:r>
        <w:rPr>
          <w:rFonts w:hint="eastAsia" w:ascii="宋体" w:hAnsi="宋体" w:cs="宋体"/>
          <w:b/>
          <w:color w:val="auto"/>
          <w:highlight w:val="none"/>
        </w:rPr>
        <w:t>十六、授予合同</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1. 授予合同的依据</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采购人签发的成交通知书；</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磋商文件、磋商文件的修改及补充通知（函）；</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响应文件和磋商时供应商作出的书面澄清、说明、纠正、承诺等；</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 合同签订</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2.1成交供应商与采购人应按成交通知书中规定的时间、地点签订合同，否则应承担相应的法律责任。</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2.2 磋商文件、成交供应商的响应文件及磋商过程中有关澄清文件和承诺均为合同附件。</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2.3 采购人与成交供应商将根据《中华人民共和国民法典》的规定，依据磋商文件和成交供应商的响应文件签订书面合同。</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2.4 采购人如不与成交供应商订立合同，或者采购人、成交供应商订立背离合同实质性内容的协议，由政府有关部门责令改正，同时依法承担相应法律责任；</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2.5 成交供应商如不按规定与采购人订立合同，则采购人将废除授标，给采购人造成的损失超依法承担相应法律责任。</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2.6 成交供应商应当按照合同约定履行义务，完成成交项目各项工作，不得将成交项目违法转让（转包）给他人；</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2.7如果成交供应商未能遵守上述2.5条的规定，则可取消其成交资格。在此情况下，可将合同授予排序在成交供应商之后的第一位成交候选供应商。</w:t>
      </w:r>
    </w:p>
    <w:p>
      <w:pPr>
        <w:ind w:firstLine="480" w:firstLineChars="200"/>
        <w:rPr>
          <w:rFonts w:ascii="宋体" w:hAnsi="宋体" w:cs="宋体"/>
          <w:bCs/>
          <w:color w:val="auto"/>
          <w:highlight w:val="none"/>
        </w:rPr>
      </w:pPr>
      <w:r>
        <w:rPr>
          <w:rFonts w:hint="eastAsia" w:ascii="宋体" w:hAnsi="宋体" w:cs="宋体"/>
          <w:bCs/>
          <w:color w:val="auto"/>
          <w:highlight w:val="none"/>
        </w:rPr>
        <w:t>3、履约保证金：无</w:t>
      </w:r>
    </w:p>
    <w:p>
      <w:pPr>
        <w:rPr>
          <w:color w:val="auto"/>
          <w:highlight w:val="none"/>
        </w:rPr>
      </w:pPr>
      <w:bookmarkStart w:id="47" w:name="_Toc18868"/>
      <w:r>
        <w:rPr>
          <w:rFonts w:hint="eastAsia"/>
          <w:color w:val="auto"/>
          <w:highlight w:val="none"/>
        </w:rPr>
        <w:br w:type="page"/>
      </w:r>
    </w:p>
    <w:bookmarkEnd w:id="47"/>
    <w:p>
      <w:pPr>
        <w:pStyle w:val="4"/>
        <w:jc w:val="center"/>
        <w:rPr>
          <w:rFonts w:ascii="宋体" w:hAnsi="宋体" w:cs="宋体"/>
          <w:color w:val="auto"/>
          <w:highlight w:val="none"/>
        </w:rPr>
      </w:pPr>
      <w:r>
        <w:rPr>
          <w:rFonts w:hint="eastAsia"/>
          <w:color w:val="auto"/>
          <w:highlight w:val="none"/>
        </w:rPr>
        <w:t>第三章  采购需求</w:t>
      </w:r>
    </w:p>
    <w:p>
      <w:pPr>
        <w:pStyle w:val="5"/>
        <w:ind w:firstLine="422"/>
        <w:rPr>
          <w:rFonts w:hint="eastAsia" w:ascii="宋体" w:hAnsi="宋体" w:eastAsia="宋体" w:cs="宋体"/>
          <w:color w:val="auto"/>
          <w:sz w:val="24"/>
          <w:szCs w:val="24"/>
          <w:highlight w:val="none"/>
          <w:lang w:eastAsia="zh-CN"/>
        </w:rPr>
      </w:pPr>
      <w:bookmarkStart w:id="48" w:name="_Toc30882"/>
      <w:bookmarkStart w:id="49" w:name="_Toc402872203"/>
      <w:r>
        <w:rPr>
          <w:rFonts w:hint="eastAsia" w:ascii="宋体" w:hAnsi="宋体" w:eastAsia="宋体" w:cs="宋体"/>
          <w:color w:val="auto"/>
          <w:sz w:val="24"/>
          <w:szCs w:val="24"/>
          <w:highlight w:val="none"/>
        </w:rPr>
        <w:t>一、项目</w:t>
      </w:r>
      <w:r>
        <w:rPr>
          <w:rFonts w:hint="eastAsia" w:ascii="宋体" w:hAnsi="宋体" w:eastAsia="宋体" w:cs="宋体"/>
          <w:color w:val="auto"/>
          <w:sz w:val="24"/>
          <w:szCs w:val="24"/>
          <w:highlight w:val="none"/>
          <w:lang w:eastAsia="zh-CN"/>
        </w:rPr>
        <w:t>概述</w:t>
      </w:r>
    </w:p>
    <w:p>
      <w:pPr>
        <w:pStyle w:val="5"/>
        <w:ind w:firstLine="42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根据浙江省水利厅和湖州市水利局要求，开展吴兴区2024年农业水价综合改革和农田灌溉水有效利用系数测算分析工作。</w:t>
      </w:r>
    </w:p>
    <w:p>
      <w:pPr>
        <w:pStyle w:val="5"/>
        <w:numPr>
          <w:ilvl w:val="0"/>
          <w:numId w:val="6"/>
        </w:numPr>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内容及要求：</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1、湖州市吴兴区农田灌溉水有效利用系数测算分析成果</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浙江省水利厅办公室关于做好20</w:t>
      </w: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年</w:t>
      </w:r>
      <w:r>
        <w:rPr>
          <w:rFonts w:hint="eastAsia" w:ascii="宋体" w:hAnsi="宋体" w:eastAsia="宋体" w:cs="宋体"/>
          <w:b w:val="0"/>
          <w:bCs w:val="0"/>
          <w:color w:val="auto"/>
          <w:sz w:val="24"/>
          <w:szCs w:val="24"/>
          <w:highlight w:val="none"/>
        </w:rPr>
        <w:t>农田灌溉水有效利用系数测算分析工作</w:t>
      </w:r>
      <w:r>
        <w:rPr>
          <w:rFonts w:hint="eastAsia" w:ascii="宋体" w:hAnsi="宋体" w:eastAsia="宋体" w:cs="宋体"/>
          <w:b w:val="0"/>
          <w:bCs w:val="0"/>
          <w:color w:val="auto"/>
          <w:sz w:val="24"/>
          <w:szCs w:val="24"/>
          <w:highlight w:val="none"/>
          <w:lang w:val="en-US" w:eastAsia="zh-CN"/>
        </w:rPr>
        <w:t>的通知</w:t>
      </w:r>
      <w:r>
        <w:rPr>
          <w:rFonts w:hint="eastAsia" w:ascii="宋体" w:hAnsi="宋体" w:eastAsia="宋体" w:cs="宋体"/>
          <w:b w:val="0"/>
          <w:bCs w:val="0"/>
          <w:color w:val="auto"/>
          <w:sz w:val="24"/>
          <w:szCs w:val="24"/>
          <w:highlight w:val="none"/>
        </w:rPr>
        <w:t>》（浙水办</w:t>
      </w:r>
      <w:r>
        <w:rPr>
          <w:rFonts w:hint="eastAsia" w:ascii="宋体" w:hAnsi="宋体" w:eastAsia="宋体" w:cs="宋体"/>
          <w:b w:val="0"/>
          <w:bCs w:val="0"/>
          <w:color w:val="auto"/>
          <w:sz w:val="24"/>
          <w:szCs w:val="24"/>
          <w:highlight w:val="none"/>
          <w:lang w:val="en-US" w:eastAsia="zh-CN"/>
        </w:rPr>
        <w:t>农电</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号）《浙江省农田灌溉水有效利用系数测算分析工作考评实施细则（20</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）》（浙水办</w:t>
      </w:r>
      <w:r>
        <w:rPr>
          <w:rFonts w:hint="eastAsia" w:ascii="宋体" w:hAnsi="宋体" w:eastAsia="宋体" w:cs="宋体"/>
          <w:b w:val="0"/>
          <w:bCs w:val="0"/>
          <w:color w:val="auto"/>
          <w:sz w:val="24"/>
          <w:szCs w:val="24"/>
          <w:highlight w:val="none"/>
          <w:lang w:val="en-US" w:eastAsia="zh-CN"/>
        </w:rPr>
        <w:t>农电</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rPr>
        <w:t>号）文件精神，《国务院关于实行最严格水资源管理制度的意见》将农田灌溉水有效利用系数作为最严格水资源管理的主要目标之一。主要服务内容如下：</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在对湖州市吴兴区灌区基本情况进行综合调研的基础上，综合考虑不同规模（中、小）、类型（提水、自流引水）、工程状况、水源条件和管理水平等条件，对样点灌区的选取及量水方案进行优化，构建相对稳定的农田灌溉水有效利用系数测算分析网络。</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（2）负责湖州市吴兴区样点灌区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渠首计量点</w:t>
      </w:r>
      <w:r>
        <w:rPr>
          <w:rFonts w:hint="eastAsia" w:ascii="宋体" w:hAnsi="宋体" w:eastAsia="宋体" w:cs="宋体"/>
          <w:b w:val="0"/>
          <w:bCs w:val="0"/>
          <w:color w:val="auto"/>
          <w:sz w:val="24"/>
          <w:szCs w:val="24"/>
          <w:highlight w:val="none"/>
        </w:rPr>
        <w:t>及典型田块管理人员、观测人员的现场指导工作。</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（3）开展年度农田灌溉水有效利用系数测算分析工作</w:t>
      </w:r>
      <w:r>
        <w:rPr>
          <w:rFonts w:hint="eastAsia" w:ascii="宋体" w:hAnsi="宋体" w:cs="宋体"/>
          <w:b w:val="0"/>
          <w:bCs w:val="0"/>
          <w:color w:val="auto"/>
          <w:sz w:val="24"/>
          <w:szCs w:val="24"/>
          <w:highlight w:val="none"/>
          <w:lang w:val="en-US" w:eastAsia="zh-CN"/>
        </w:rPr>
        <w:t>现场</w:t>
      </w:r>
      <w:r>
        <w:rPr>
          <w:rFonts w:hint="eastAsia" w:ascii="宋体" w:hAnsi="宋体" w:eastAsia="宋体" w:cs="宋体"/>
          <w:b w:val="0"/>
          <w:bCs w:val="0"/>
          <w:color w:val="auto"/>
          <w:sz w:val="24"/>
          <w:szCs w:val="24"/>
          <w:highlight w:val="none"/>
        </w:rPr>
        <w:t>培训，对样点灌区负责人、测量点观测人员等进行技术指导工作。</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测算样点灌区的毛灌溉用水量，收集整理样点灌区的有关基础资料；优化典型田块量测方案，指导计量设施建设、对观测资料进行整理并分析，以各个样点灌区实测资料为基础，综合分析得到样点灌区的灌溉水有效利用系数。</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（5）以样点灌区测算结果为基础，选择合适的点面转化方法，逐级推算分析计算不同规模与类型灌区及湖州市吴兴区的农田灌溉水有效利用系数，并对成果的合理性进行分析。</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（6）编制吴兴区20</w:t>
      </w: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年农田灌溉水有效利用系数测算分析成果报告及工作台账。</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（7）将数据录入灌溉水有效利用系数测算分析信息管理系统。</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2、湖州市吴兴区</w:t>
      </w:r>
      <w:r>
        <w:rPr>
          <w:rFonts w:hint="eastAsia" w:ascii="宋体" w:hAnsi="宋体" w:eastAsia="宋体" w:cs="宋体"/>
          <w:b w:val="0"/>
          <w:bCs w:val="0"/>
          <w:color w:val="auto"/>
          <w:sz w:val="24"/>
          <w:szCs w:val="24"/>
          <w:highlight w:val="none"/>
          <w:lang w:val="en-US" w:eastAsia="zh-CN"/>
        </w:rPr>
        <w:t>农业水价综合改革工作</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为深入贯彻落实国家发展和改革委员会、财政部、水利部、农业农村部</w:t>
      </w:r>
      <w:r>
        <w:rPr>
          <w:rFonts w:hint="default" w:ascii="宋体" w:hAnsi="宋体" w:eastAsia="宋体" w:cs="宋体"/>
          <w:b w:val="0"/>
          <w:bCs w:val="0"/>
          <w:color w:val="auto"/>
          <w:sz w:val="24"/>
          <w:szCs w:val="24"/>
          <w:highlight w:val="none"/>
          <w:lang w:val="en-US" w:eastAsia="zh-CN"/>
        </w:rPr>
        <w:t>《国家发展改革委等部门关于全力推进农业水价综合改革的通知》（发改价格〔2024〕181号）</w:t>
      </w:r>
      <w:r>
        <w:rPr>
          <w:rFonts w:hint="eastAsia" w:ascii="宋体" w:hAnsi="宋体" w:eastAsia="宋体" w:cs="宋体"/>
          <w:b w:val="0"/>
          <w:bCs w:val="0"/>
          <w:color w:val="auto"/>
          <w:sz w:val="24"/>
          <w:szCs w:val="24"/>
          <w:highlight w:val="none"/>
          <w:lang w:val="en-US" w:eastAsia="zh-CN"/>
        </w:rPr>
        <w:t>精神，根据</w:t>
      </w:r>
      <w:r>
        <w:rPr>
          <w:rFonts w:hint="eastAsia" w:ascii="宋体" w:hAnsi="宋体" w:eastAsia="宋体" w:cs="宋体"/>
          <w:b w:val="0"/>
          <w:bCs w:val="0"/>
          <w:color w:val="auto"/>
          <w:sz w:val="24"/>
          <w:szCs w:val="24"/>
          <w:highlight w:val="none"/>
        </w:rPr>
        <w:t>浙江省水利厅等四厅局《浙江省水利厅 浙江省发展和改革委员会</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浙江省财政厅 浙江省农业农村厅关于印发 2024 年浙江省农业水价综合改革工作计划的通知》（浙水农电[202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号）等文件要求，持续深化农业水价综合改革工作，</w:t>
      </w:r>
      <w:r>
        <w:rPr>
          <w:rFonts w:hint="eastAsia" w:ascii="宋体" w:hAnsi="宋体" w:cs="宋体"/>
          <w:b w:val="0"/>
          <w:bCs w:val="0"/>
          <w:color w:val="auto"/>
          <w:sz w:val="24"/>
          <w:szCs w:val="24"/>
          <w:highlight w:val="none"/>
          <w:lang w:val="en-US" w:eastAsia="zh-CN"/>
        </w:rPr>
        <w:t>开展农业水价综合改革“回头看”，</w:t>
      </w:r>
      <w:r>
        <w:rPr>
          <w:rFonts w:hint="eastAsia" w:ascii="宋体" w:hAnsi="宋体" w:eastAsia="宋体" w:cs="宋体"/>
          <w:b w:val="0"/>
          <w:bCs w:val="0"/>
          <w:color w:val="auto"/>
          <w:sz w:val="24"/>
          <w:szCs w:val="24"/>
          <w:highlight w:val="none"/>
          <w:lang w:val="en-US" w:eastAsia="zh-CN"/>
        </w:rPr>
        <w:t>推行农业灌溉工程更新升级行动，</w:t>
      </w:r>
      <w:r>
        <w:rPr>
          <w:rFonts w:hint="eastAsia" w:ascii="宋体" w:hAnsi="宋体" w:eastAsia="宋体" w:cs="宋体"/>
          <w:b w:val="0"/>
          <w:bCs w:val="0"/>
          <w:color w:val="auto"/>
          <w:sz w:val="24"/>
          <w:szCs w:val="24"/>
          <w:highlight w:val="none"/>
        </w:rPr>
        <w:t>推进“八个一”进村落地见效。认真学习贯彻党的二十大对新时代新征程“三农”工作的战略部署，扎实办好202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省政府工作报告提出的“更新改造灌溉设施1500座”民生实事，继续深化农业水价综合改革，加强农田水利管护，加大农业节水力度，保障粮食安全，助力“两个先行”。以“五个一百”创建活动为引领，以巩固完善“四项机制”为主线，以“农业灌溉工程更新升级行动”、“八个一”村级改革巩固提升活动为抓手，促进农村水利高质量发展，争当深化改革排头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争创省级改革典型示范，争创省级改革典型示范，力争获得全省改革工作年度绩效考评优秀，并开展好年度区级绩效考评工作及精准补贴和节水奖励补助的发放。主要服务内容如下：</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（1）机制调整制定。根据浙江省改革要求，制定全区</w:t>
      </w:r>
      <w:r>
        <w:rPr>
          <w:rFonts w:hint="eastAsia" w:ascii="宋体" w:hAnsi="宋体" w:eastAsia="宋体" w:cs="宋体"/>
          <w:b w:val="0"/>
          <w:bCs w:val="0"/>
          <w:color w:val="auto"/>
          <w:sz w:val="24"/>
          <w:szCs w:val="24"/>
          <w:highlight w:val="none"/>
          <w:lang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农业水价综合改革有关工作计划，并适时提供相关工作任务部署、进度安排等工作材料；适当调整完善“四项机制”。用水指标细化分解文件制定，按照要求，结合实际进一步分解用水指标，细化至实行计量的机埠泵站，确定用水指标细化分解方案；奖补及绩效考核机制制定，按照要求，结合实际，调整奖补对象、标准等，细化考核标准等；终端用水管理形式调整，按照要求，全面收集整理各类用水管理组织成立情况，筛分以农场承包等为主体的独立管理形式，制定农田水利设施管护协议；视情况调整好区域内其他各项工作机制政策内容。</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（2）培训指导与宣传。根据</w:t>
      </w:r>
      <w:r>
        <w:rPr>
          <w:rFonts w:hint="eastAsia" w:ascii="宋体" w:hAnsi="宋体" w:eastAsia="宋体" w:cs="宋体"/>
          <w:b w:val="0"/>
          <w:bCs w:val="0"/>
          <w:color w:val="auto"/>
          <w:sz w:val="24"/>
          <w:szCs w:val="24"/>
          <w:highlight w:val="none"/>
          <w:lang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年度深化改革工作要求，配合组织开展1次区级工作培训会</w:t>
      </w:r>
      <w:r>
        <w:rPr>
          <w:rFonts w:hint="eastAsia" w:ascii="宋体" w:hAnsi="宋体" w:eastAsia="宋体" w:cs="宋体"/>
          <w:b w:val="0"/>
          <w:bCs w:val="0"/>
          <w:color w:val="auto"/>
          <w:sz w:val="24"/>
          <w:szCs w:val="24"/>
          <w:highlight w:val="none"/>
          <w:lang w:val="en-US" w:eastAsia="zh-CN"/>
        </w:rPr>
        <w:t>议，</w:t>
      </w:r>
      <w:r>
        <w:rPr>
          <w:rFonts w:hint="eastAsia" w:ascii="宋体" w:hAnsi="宋体" w:eastAsia="宋体" w:cs="宋体"/>
          <w:b w:val="0"/>
          <w:bCs w:val="0"/>
          <w:color w:val="auto"/>
          <w:sz w:val="24"/>
          <w:szCs w:val="24"/>
          <w:highlight w:val="none"/>
        </w:rPr>
        <w:t>针对</w:t>
      </w:r>
      <w:r>
        <w:rPr>
          <w:rFonts w:hint="eastAsia" w:ascii="宋体" w:hAnsi="宋体" w:cs="宋体"/>
          <w:b w:val="0"/>
          <w:bCs w:val="0"/>
          <w:color w:val="auto"/>
          <w:sz w:val="24"/>
          <w:szCs w:val="24"/>
          <w:highlight w:val="none"/>
          <w:lang w:val="en-US" w:eastAsia="zh-CN"/>
        </w:rPr>
        <w:t>农灌工程更新升级标准</w:t>
      </w:r>
      <w:r>
        <w:rPr>
          <w:rFonts w:hint="eastAsia" w:ascii="宋体" w:hAnsi="宋体" w:eastAsia="宋体" w:cs="宋体"/>
          <w:b w:val="0"/>
          <w:bCs w:val="0"/>
          <w:color w:val="auto"/>
          <w:sz w:val="24"/>
          <w:szCs w:val="24"/>
          <w:highlight w:val="none"/>
        </w:rPr>
        <w:t>、“五个一百”示范创建等内容开展培训，并且提供培训教材。加大力度推进的改革区域配合开展现场指导培训、工作监督检查等技术服务。针对“五个一百”创建活动，提供外立宣传栏、制度上墙展板和八个一宣传板的文本素材内容设计等材料。提供新闻报道等各类文稿编制服务。</w:t>
      </w:r>
    </w:p>
    <w:p>
      <w:pPr>
        <w:autoSpaceDE w:val="0"/>
        <w:autoSpaceDN w:val="0"/>
        <w:adjustRightInd w:val="0"/>
        <w:spacing w:line="400" w:lineRule="exact"/>
        <w:ind w:firstLine="480" w:firstLineChars="200"/>
        <w:jc w:val="left"/>
        <w:rPr>
          <w:rFonts w:hint="default"/>
          <w:color w:val="auto"/>
          <w:highlight w:val="none"/>
          <w:lang w:val="en-US"/>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开展农业水价综合改革“回头看”</w:t>
      </w:r>
      <w:r>
        <w:rPr>
          <w:rFonts w:hint="eastAsia" w:ascii="宋体" w:hAnsi="宋体" w:eastAsia="宋体" w:cs="宋体"/>
          <w:b w:val="0"/>
          <w:bCs w:val="0"/>
          <w:color w:val="auto"/>
          <w:sz w:val="24"/>
          <w:szCs w:val="24"/>
          <w:highlight w:val="none"/>
          <w:lang w:val="en-US" w:eastAsia="zh-CN"/>
        </w:rPr>
        <w:t>。按照国家4部委文件精神，对照国家耕地保护和粮食安全责任制考核等要求，组织开展农业水价综合改革“回头看”，提供有关改革工作材料。</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五个一百”示范创建技术服务。对标浙江省示范创建活动要求，结合县域实际情况选择符合条件的点开展现场调研、信息收集等工作，确定示范点，制定示范创建工作计划。根据示范创建具体的评选要求，编制相应申报材料及准备工作材料，总结提炼全区五个一百示范创建工作经验，评估创建成效，编制示范创建成果总结报告。</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绩效评价与考核。根据已完善的考核及奖补机制，开展现场检查、绩效评估工作，适时制定年度改革资金计划和兑现方案，做好区级改革管理平台考核数据归档整理，提供全区改革工作总结台账成果报告及年度水利工作考核等考核类工作涉及水价改革有关材料编制工作。</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）农业灌溉工程更新升级行动。结合技术导则和验收办法，协助开展区级验收及省市复验，提供验收资料及验收会议汇报材料。现场实地调查及指导。结合省级农业水价综合改革要求，开展</w:t>
      </w:r>
      <w:r>
        <w:rPr>
          <w:rFonts w:hint="eastAsia" w:ascii="宋体" w:hAnsi="宋体" w:cs="宋体"/>
          <w:b w:val="0"/>
          <w:bCs w:val="0"/>
          <w:color w:val="auto"/>
          <w:sz w:val="24"/>
          <w:szCs w:val="24"/>
          <w:highlight w:val="none"/>
          <w:lang w:val="en-US" w:eastAsia="zh-CN"/>
        </w:rPr>
        <w:t>省级任务机埠的用水定额指标测算</w:t>
      </w:r>
      <w:r>
        <w:rPr>
          <w:rFonts w:hint="eastAsia" w:ascii="宋体" w:hAnsi="宋体" w:eastAsia="宋体" w:cs="宋体"/>
          <w:b w:val="0"/>
          <w:bCs w:val="0"/>
          <w:color w:val="auto"/>
          <w:sz w:val="24"/>
          <w:szCs w:val="24"/>
          <w:highlight w:val="none"/>
          <w:lang w:val="en-US" w:eastAsia="zh-CN"/>
        </w:rPr>
        <w:t>；期间根据工作需要，赴现场或线上开展技术指导；根据工作实际，结合省民生实事季度任务，做好相关材料整理，协助完成相关工作。</w:t>
      </w:r>
    </w:p>
    <w:p>
      <w:pPr>
        <w:pStyle w:val="5"/>
        <w:numPr>
          <w:ilvl w:val="0"/>
          <w:numId w:val="6"/>
        </w:numPr>
        <w:ind w:firstLine="42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其他要求</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1、为了更好的完成对采购人的验收服务工作，</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需针对本项目成立专业的服务小组，并将名单制作在磋商响应文件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明确投入本项目服务的人员名单</w:t>
      </w:r>
      <w:r>
        <w:rPr>
          <w:rFonts w:hint="eastAsia" w:ascii="宋体" w:hAnsi="宋体" w:eastAsia="宋体" w:cs="宋体"/>
          <w:b w:val="0"/>
          <w:bCs w:val="0"/>
          <w:color w:val="auto"/>
          <w:sz w:val="24"/>
          <w:szCs w:val="24"/>
          <w:highlight w:val="none"/>
          <w:lang w:eastAsia="zh-CN"/>
        </w:rPr>
        <w:t>。</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2、成交</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在履行合同义务期间，应遵守国家有关法律、法规、维护采购人的合法权益。</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成交</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不得作任何虚伪的成果报告，应做到公正、客观、诚实。</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成交</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应妥善保管采购人的文件资料，未经采购人的书面许可，不得将采购人的文件资料擅自公开或泄漏给他人。</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成交</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自行承担项目实施过程中安全生产责任，采购人及使用单位任何情况下均不承担因此产生的任何法律责任和经济责任。</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lang w:eastAsia="zh-CN"/>
        </w:rPr>
      </w:pPr>
    </w:p>
    <w:p>
      <w:pPr>
        <w:autoSpaceDE w:val="0"/>
        <w:autoSpaceDN w:val="0"/>
        <w:adjustRightInd w:val="0"/>
        <w:spacing w:line="400" w:lineRule="exact"/>
        <w:ind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、项目服务期：</w:t>
      </w: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年（具体服务开始日期以采购人</w:t>
      </w:r>
      <w:r>
        <w:rPr>
          <w:rFonts w:hint="eastAsia" w:ascii="宋体" w:hAnsi="宋体" w:eastAsia="宋体" w:cs="宋体"/>
          <w:b w:val="0"/>
          <w:bCs w:val="0"/>
          <w:color w:val="auto"/>
          <w:sz w:val="24"/>
          <w:szCs w:val="24"/>
          <w:highlight w:val="none"/>
        </w:rPr>
        <w:t>通知为准）</w:t>
      </w:r>
      <w:r>
        <w:rPr>
          <w:rFonts w:hint="eastAsia" w:ascii="宋体" w:hAnsi="宋体" w:eastAsia="宋体" w:cs="宋体"/>
          <w:b w:val="0"/>
          <w:bCs w:val="0"/>
          <w:color w:val="auto"/>
          <w:sz w:val="24"/>
          <w:szCs w:val="24"/>
          <w:highlight w:val="none"/>
          <w:lang w:eastAsia="zh-CN"/>
        </w:rPr>
        <w:t>。整体项目在</w:t>
      </w: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年12月底前完成所有工作，并提交成果。</w:t>
      </w:r>
    </w:p>
    <w:p>
      <w:pPr>
        <w:pStyle w:val="5"/>
        <w:ind w:firstLine="4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商务要求</w:t>
      </w:r>
    </w:p>
    <w:tbl>
      <w:tblPr>
        <w:tblStyle w:val="3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352"/>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内容名称</w:t>
            </w:r>
          </w:p>
        </w:tc>
        <w:tc>
          <w:tcPr>
            <w:tcW w:w="746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1.▲报价应包括完成本项目服务工作所需的人力物力成本、管理费、其他费用、安全文明生产装备费、设备维护费、</w:t>
            </w:r>
            <w:r>
              <w:rPr>
                <w:rFonts w:hint="eastAsia" w:ascii="宋体" w:hAnsi="宋体" w:eastAsia="宋体" w:cs="宋体"/>
                <w:color w:val="auto"/>
                <w:sz w:val="24"/>
                <w:szCs w:val="24"/>
                <w:highlight w:val="none"/>
                <w:lang w:eastAsia="zh-CN"/>
              </w:rPr>
              <w:t>工具</w:t>
            </w:r>
            <w:r>
              <w:rPr>
                <w:rFonts w:hint="eastAsia" w:ascii="宋体" w:hAnsi="宋体" w:eastAsia="宋体" w:cs="宋体"/>
                <w:color w:val="auto"/>
                <w:sz w:val="24"/>
                <w:szCs w:val="24"/>
                <w:highlight w:val="none"/>
              </w:rPr>
              <w:t>材料费、利润、税金等及合同明示或暗示的所有风险、责任、义务等各项完成本项目应有的费用。凡未列入的，将被视为均已包含在投标总报价中。只允许有一个报价，任何有选择的或有条件的报价将不予接受。</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2.▲本次报价币种为人民币价。</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3.填报单价及总价。</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说明：如供应商在规定时间内未提交最后报价视同退出磋商，其竞标视为无效。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1.本项目合同甲方为</w:t>
            </w:r>
            <w:r>
              <w:rPr>
                <w:rFonts w:hint="eastAsia" w:ascii="宋体" w:hAnsi="宋体" w:eastAsia="宋体" w:cs="宋体"/>
                <w:color w:val="auto"/>
                <w:sz w:val="24"/>
                <w:szCs w:val="24"/>
                <w:highlight w:val="none"/>
                <w:lang w:eastAsia="zh-CN"/>
              </w:rPr>
              <w:t>湖州市吴兴区水利局</w:t>
            </w:r>
            <w:r>
              <w:rPr>
                <w:rFonts w:hint="eastAsia" w:ascii="宋体" w:hAnsi="宋体" w:eastAsia="宋体" w:cs="宋体"/>
                <w:color w:val="auto"/>
                <w:sz w:val="24"/>
                <w:szCs w:val="24"/>
                <w:highlight w:val="none"/>
              </w:rPr>
              <w:t>，合同乙方为成交供应商。</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2.合同款由合同甲方支付给合同乙方。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转包或分包</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1.▲本项目不得转包：合同乙方不得将本合同标的转包由其他供应商承担。</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2.▲本项目不得分包：合同乙方不得将本合同标的分包由其他供应商承担。</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3.▲如有违反以上情形，合同甲方有权解除合同，并追究合同乙方的违约责任。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7460" w:type="dxa"/>
            <w:vAlign w:val="center"/>
          </w:tcPr>
          <w:p>
            <w:pPr>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省财政厅《浙江省财政厅关于进一步发挥政府采购政策功能全力推动经济稳进提质的通知》（浙财采监【2022】3号）要求，制定如下付款方式：合同生效日起7个工作日内采购人支付年度总额的40%预付款，项目绩效考核报告递交并成功入选省级农业水价综合改革优秀县区后支付剩余价款，若未能入选省级农业水价综合改革优秀县区成功，则扣除5万元</w:t>
            </w:r>
            <w:r>
              <w:rPr>
                <w:rFonts w:hint="eastAsia" w:ascii="宋体" w:hAnsi="宋体" w:eastAsia="宋体" w:cs="宋体"/>
                <w:snapToGrid w:val="0"/>
                <w:color w:val="auto"/>
                <w:szCs w:val="21"/>
                <w:highlight w:val="none"/>
                <w:lang w:val="en-US" w:eastAsia="zh-CN"/>
              </w:rPr>
              <w:t>。</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（1）在签订合同时，如合同乙方明确表示无需预付款或者主动要求降低预付款比例的，预付款比例以双方协商为准。</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（2）预付款：合同生效以及具备实施条件后7个工作日内支付；</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合同甲方要求合同乙方提交银行、保险公司等金融机构出具的预付款保函。</w:t>
            </w:r>
          </w:p>
          <w:p>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（3）其余合同款：满足支付条件后，合同甲方收到乙方提交的正规票据（符合合同甲方财务管理要求）后7个工作日内支付至合同乙方账户。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项目考核</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1.合同乙方应保质保量按时按约完成项目合同规定的各项工作。</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2.甲方将对合同乙方的服务质量进行考核评价，根据考核结果支付合同款。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其他内容</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详见采购文件的“第四章 合同草案条款”，供应商应对合同内容进行审核，如有偏离，请在响应文件的“偏离表”中反映。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7460" w:type="dxa"/>
            <w:vAlign w:val="center"/>
          </w:tcPr>
          <w:p>
            <w:pP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本项目所属中小企业划分：</w:t>
            </w:r>
            <w:r>
              <w:rPr>
                <w:rFonts w:hint="eastAsia" w:ascii="宋体" w:hAnsi="宋体" w:cs="宋体"/>
                <w:color w:val="auto"/>
                <w:sz w:val="24"/>
                <w:highlight w:val="none"/>
              </w:rPr>
              <w:t>其他未列明行业</w:t>
            </w:r>
          </w:p>
        </w:tc>
      </w:tr>
    </w:tbl>
    <w:p>
      <w:pPr>
        <w:spacing w:line="420" w:lineRule="exact"/>
        <w:jc w:val="center"/>
        <w:rPr>
          <w:rFonts w:ascii="宋体" w:hAnsi="宋体" w:cs="宋体"/>
          <w:b/>
          <w:bCs/>
          <w:i/>
          <w:color w:val="auto"/>
          <w:highlight w:val="none"/>
          <w:u w:val="single"/>
        </w:rPr>
      </w:pPr>
    </w:p>
    <w:p>
      <w:pPr>
        <w:spacing w:line="420" w:lineRule="exact"/>
        <w:jc w:val="center"/>
        <w:rPr>
          <w:rFonts w:ascii="宋体" w:hAnsi="宋体" w:cs="宋体"/>
          <w:b/>
          <w:color w:val="auto"/>
          <w:highlight w:val="none"/>
        </w:rPr>
      </w:pPr>
      <w:r>
        <w:rPr>
          <w:rFonts w:hint="eastAsia" w:ascii="宋体" w:hAnsi="宋体" w:cs="宋体"/>
          <w:b/>
          <w:bCs/>
          <w:i/>
          <w:color w:val="auto"/>
          <w:highlight w:val="none"/>
          <w:u w:val="single"/>
        </w:rPr>
        <w:t>注：本招标文件中带 “▲”的有关技术和商务条款为实质性条款，投标人必须在投标文件中作出实质性响应，否则投标无效；带 “★”的有关技术和商务条款为重要条款，投标人必须在投标文件中作出偏离响应。</w:t>
      </w:r>
    </w:p>
    <w:p>
      <w:pPr>
        <w:spacing w:line="420" w:lineRule="exact"/>
        <w:ind w:firstLine="420"/>
        <w:jc w:val="center"/>
        <w:rPr>
          <w:rFonts w:ascii="宋体" w:hAnsi="宋体" w:cs="宋体"/>
          <w:b/>
          <w:bCs/>
          <w:i/>
          <w:color w:val="auto"/>
          <w:highlight w:val="none"/>
          <w:u w:val="single"/>
        </w:rPr>
      </w:pPr>
      <w:r>
        <w:rPr>
          <w:rFonts w:hint="eastAsia" w:ascii="宋体" w:hAnsi="宋体" w:cs="宋体"/>
          <w:b/>
          <w:bCs/>
          <w:i/>
          <w:color w:val="auto"/>
          <w:highlight w:val="none"/>
          <w:u w:val="singl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bookmarkEnd w:id="48"/>
    <w:bookmarkEnd w:id="49"/>
    <w:p>
      <w:pPr>
        <w:pStyle w:val="4"/>
        <w:jc w:val="center"/>
        <w:rPr>
          <w:color w:val="auto"/>
          <w:highlight w:val="none"/>
        </w:rPr>
      </w:pPr>
      <w:r>
        <w:rPr>
          <w:rFonts w:hint="eastAsia"/>
          <w:color w:val="auto"/>
          <w:highlight w:val="none"/>
        </w:rPr>
        <w:br w:type="page"/>
      </w:r>
      <w:r>
        <w:rPr>
          <w:rFonts w:hint="eastAsia"/>
          <w:color w:val="auto"/>
          <w:highlight w:val="none"/>
        </w:rPr>
        <w:t>第四章  磋商原则和程序</w:t>
      </w:r>
    </w:p>
    <w:p>
      <w:pPr>
        <w:snapToGrid w:val="0"/>
        <w:spacing w:line="380" w:lineRule="exact"/>
        <w:rPr>
          <w:rFonts w:ascii="宋体" w:hAnsi="宋体" w:cs="宋体"/>
          <w:bCs/>
          <w:color w:val="auto"/>
          <w:highlight w:val="none"/>
        </w:rPr>
      </w:pPr>
      <w:bookmarkStart w:id="50" w:name="_Toc17438"/>
      <w:bookmarkEnd w:id="50"/>
      <w:bookmarkStart w:id="51" w:name="_Toc6985"/>
      <w:bookmarkEnd w:id="51"/>
      <w:r>
        <w:rPr>
          <w:rFonts w:hint="eastAsia" w:ascii="宋体" w:hAnsi="宋体" w:cs="宋体"/>
          <w:bCs/>
          <w:color w:val="auto"/>
          <w:highlight w:val="none"/>
        </w:rPr>
        <w:t xml:space="preserve">    根据《中华人民共和国政府采购法》、《政府采购竞争性磋商采购方式管理暂行办法》等要求，遵循公开、公平、公正、科学、择优原则和诚实、信誉、效率的服务原则，制定本评审办法。</w:t>
      </w:r>
    </w:p>
    <w:p>
      <w:pPr>
        <w:pStyle w:val="5"/>
        <w:spacing w:before="0" w:after="0" w:line="380" w:lineRule="exact"/>
        <w:rPr>
          <w:rFonts w:ascii="宋体" w:hAnsi="宋体" w:eastAsia="宋体" w:cs="宋体"/>
          <w:color w:val="auto"/>
          <w:sz w:val="24"/>
          <w:szCs w:val="24"/>
          <w:highlight w:val="none"/>
        </w:rPr>
      </w:pPr>
      <w:bookmarkStart w:id="52" w:name="_Toc7141"/>
      <w:bookmarkEnd w:id="52"/>
      <w:bookmarkStart w:id="53" w:name="_Toc402872204"/>
      <w:bookmarkEnd w:id="53"/>
      <w:bookmarkStart w:id="54" w:name="_Toc5294"/>
      <w:bookmarkEnd w:id="54"/>
      <w:bookmarkStart w:id="55" w:name="_Toc282640741"/>
      <w:bookmarkEnd w:id="55"/>
      <w:bookmarkStart w:id="56" w:name="_Toc14739"/>
      <w:bookmarkEnd w:id="56"/>
      <w:r>
        <w:rPr>
          <w:rFonts w:hint="eastAsia" w:ascii="宋体" w:hAnsi="宋体" w:eastAsia="宋体" w:cs="宋体"/>
          <w:color w:val="auto"/>
          <w:sz w:val="24"/>
          <w:szCs w:val="24"/>
          <w:highlight w:val="none"/>
        </w:rPr>
        <w:t>一、拆封响应文件</w:t>
      </w:r>
    </w:p>
    <w:p>
      <w:pPr>
        <w:snapToGrid w:val="0"/>
        <w:spacing w:line="380" w:lineRule="exact"/>
        <w:rPr>
          <w:rFonts w:ascii="宋体" w:hAnsi="宋体" w:cs="宋体"/>
          <w:bCs/>
          <w:color w:val="auto"/>
          <w:highlight w:val="none"/>
        </w:rPr>
      </w:pPr>
      <w:bookmarkStart w:id="57" w:name="_Toc414960372"/>
      <w:bookmarkEnd w:id="57"/>
      <w:bookmarkStart w:id="58" w:name="_Toc17280"/>
      <w:bookmarkEnd w:id="58"/>
      <w:bookmarkStart w:id="59" w:name="_Toc11975"/>
      <w:bookmarkEnd w:id="59"/>
      <w:r>
        <w:rPr>
          <w:rFonts w:hint="eastAsia" w:ascii="宋体" w:hAnsi="宋体" w:cs="宋体"/>
          <w:bCs/>
          <w:color w:val="auto"/>
          <w:highlight w:val="none"/>
        </w:rPr>
        <w:t xml:space="preserve">    1、采购代理机构按磋商文件规定的时间、地点收取磋商文件。迟到的响应文件予以拒收。</w:t>
      </w:r>
    </w:p>
    <w:p>
      <w:pPr>
        <w:snapToGrid w:val="0"/>
        <w:spacing w:line="380" w:lineRule="exact"/>
        <w:rPr>
          <w:rFonts w:ascii="宋体" w:hAnsi="宋体" w:cs="宋体"/>
          <w:bCs/>
          <w:color w:val="auto"/>
          <w:highlight w:val="none"/>
        </w:rPr>
      </w:pPr>
      <w:bookmarkStart w:id="60" w:name="_Toc414960373"/>
      <w:bookmarkEnd w:id="60"/>
      <w:bookmarkStart w:id="61" w:name="_Toc10552"/>
      <w:bookmarkEnd w:id="61"/>
      <w:bookmarkStart w:id="62" w:name="_Toc20004"/>
      <w:bookmarkEnd w:id="62"/>
      <w:bookmarkStart w:id="63" w:name="_Toc282640743"/>
      <w:r>
        <w:rPr>
          <w:rFonts w:hint="eastAsia" w:ascii="宋体" w:hAnsi="宋体" w:cs="宋体"/>
          <w:bCs/>
          <w:color w:val="auto"/>
          <w:highlight w:val="none"/>
        </w:rPr>
        <w:t xml:space="preserve">    2、供应商法定代表人或法定代表人授权代表必须出席磋商会议。</w:t>
      </w:r>
    </w:p>
    <w:bookmarkEnd w:id="63"/>
    <w:p>
      <w:pPr>
        <w:snapToGrid w:val="0"/>
        <w:spacing w:line="380" w:lineRule="exact"/>
        <w:rPr>
          <w:rFonts w:ascii="宋体" w:hAnsi="宋体" w:cs="宋体"/>
          <w:b/>
          <w:color w:val="auto"/>
          <w:highlight w:val="none"/>
        </w:rPr>
      </w:pPr>
      <w:bookmarkStart w:id="64" w:name="_Toc26000"/>
      <w:bookmarkEnd w:id="64"/>
      <w:bookmarkStart w:id="65" w:name="_Toc26233"/>
      <w:bookmarkEnd w:id="65"/>
      <w:bookmarkStart w:id="66" w:name="_Toc414960374"/>
      <w:bookmarkEnd w:id="66"/>
      <w:r>
        <w:rPr>
          <w:rFonts w:hint="eastAsia" w:ascii="宋体" w:hAnsi="宋体" w:cs="宋体"/>
          <w:bCs/>
          <w:color w:val="auto"/>
          <w:highlight w:val="none"/>
        </w:rPr>
        <w:t xml:space="preserve">    3、磋商开始时，供应商代表将查验响应文件密封情况，确认无误后由采购代理机构拆封响应文件。</w:t>
      </w:r>
    </w:p>
    <w:p>
      <w:pPr>
        <w:pStyle w:val="5"/>
        <w:spacing w:before="0" w:after="0" w:line="380" w:lineRule="exact"/>
        <w:rPr>
          <w:rFonts w:ascii="宋体" w:hAnsi="宋体" w:eastAsia="宋体" w:cs="宋体"/>
          <w:color w:val="auto"/>
          <w:sz w:val="24"/>
          <w:szCs w:val="24"/>
          <w:highlight w:val="none"/>
        </w:rPr>
      </w:pPr>
      <w:bookmarkStart w:id="67" w:name="_Toc282640744"/>
      <w:bookmarkEnd w:id="67"/>
      <w:bookmarkStart w:id="68" w:name="_Toc21671"/>
      <w:bookmarkEnd w:id="68"/>
      <w:bookmarkStart w:id="69" w:name="_Toc27687"/>
      <w:bookmarkEnd w:id="69"/>
      <w:bookmarkStart w:id="70" w:name="_Toc10100"/>
      <w:bookmarkEnd w:id="70"/>
      <w:bookmarkStart w:id="71" w:name="_Toc402872205"/>
      <w:bookmarkEnd w:id="71"/>
      <w:r>
        <w:rPr>
          <w:rFonts w:hint="eastAsia" w:ascii="宋体" w:hAnsi="宋体" w:eastAsia="宋体" w:cs="宋体"/>
          <w:color w:val="auto"/>
          <w:sz w:val="24"/>
          <w:szCs w:val="24"/>
          <w:highlight w:val="none"/>
        </w:rPr>
        <w:t>二、磋商小组</w:t>
      </w:r>
    </w:p>
    <w:p>
      <w:pPr>
        <w:autoSpaceDE w:val="0"/>
        <w:autoSpaceDN w:val="0"/>
        <w:adjustRightInd w:val="0"/>
        <w:snapToGrid w:val="0"/>
        <w:spacing w:line="380" w:lineRule="exact"/>
        <w:rPr>
          <w:rFonts w:ascii="宋体" w:hAnsi="宋体" w:cs="宋体"/>
          <w:bCs/>
          <w:color w:val="auto"/>
          <w:highlight w:val="none"/>
        </w:rPr>
      </w:pPr>
      <w:bookmarkStart w:id="72" w:name="_Toc414960376"/>
      <w:bookmarkEnd w:id="72"/>
      <w:bookmarkStart w:id="73" w:name="_Toc282640745"/>
      <w:bookmarkEnd w:id="73"/>
      <w:r>
        <w:rPr>
          <w:rFonts w:hint="eastAsia" w:ascii="宋体" w:hAnsi="宋体" w:cs="宋体"/>
          <w:bCs/>
          <w:color w:val="auto"/>
          <w:highlight w:val="none"/>
        </w:rPr>
        <w:t xml:space="preserve">    1、本项目磋商小组依法由3人（含）以上奇数的人员组成，磋商小组对响应文件进行审查、质疑、评估和比较。</w:t>
      </w:r>
    </w:p>
    <w:p>
      <w:pPr>
        <w:autoSpaceDE w:val="0"/>
        <w:autoSpaceDN w:val="0"/>
        <w:adjustRightInd w:val="0"/>
        <w:snapToGrid w:val="0"/>
        <w:spacing w:line="380" w:lineRule="exact"/>
        <w:rPr>
          <w:rFonts w:ascii="宋体" w:hAnsi="宋体" w:cs="宋体"/>
          <w:bCs/>
          <w:color w:val="auto"/>
          <w:highlight w:val="none"/>
        </w:rPr>
      </w:pPr>
      <w:bookmarkStart w:id="74" w:name="_Toc414960377"/>
      <w:bookmarkEnd w:id="74"/>
      <w:r>
        <w:rPr>
          <w:rFonts w:hint="eastAsia" w:ascii="宋体" w:hAnsi="宋体" w:cs="宋体"/>
          <w:bCs/>
          <w:color w:val="auto"/>
          <w:highlight w:val="none"/>
        </w:rPr>
        <w:t xml:space="preserve">    2、磋商期间，供应商法人代表或授权委托人必须在场，负责解答有关事宜。</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3、磋商过程应严格保密，磋商小组及有关工作人员应严格遵守纪律，不得泄露任何磋商信息。</w:t>
      </w:r>
    </w:p>
    <w:p>
      <w:pPr>
        <w:pStyle w:val="5"/>
        <w:spacing w:before="0" w:after="0" w:line="380" w:lineRule="exact"/>
        <w:rPr>
          <w:rFonts w:ascii="宋体" w:hAnsi="宋体" w:eastAsia="宋体" w:cs="宋体"/>
          <w:color w:val="auto"/>
          <w:sz w:val="24"/>
          <w:szCs w:val="24"/>
          <w:highlight w:val="none"/>
        </w:rPr>
      </w:pPr>
      <w:bookmarkStart w:id="75" w:name="_Toc1211"/>
      <w:bookmarkEnd w:id="75"/>
      <w:bookmarkStart w:id="76" w:name="_Toc11955"/>
      <w:bookmarkEnd w:id="76"/>
      <w:bookmarkStart w:id="77" w:name="_Toc20285"/>
      <w:bookmarkEnd w:id="77"/>
      <w:bookmarkStart w:id="78" w:name="_Toc402872206"/>
      <w:bookmarkEnd w:id="78"/>
      <w:r>
        <w:rPr>
          <w:rFonts w:hint="eastAsia" w:ascii="宋体" w:hAnsi="宋体" w:eastAsia="宋体" w:cs="宋体"/>
          <w:color w:val="auto"/>
          <w:sz w:val="24"/>
          <w:szCs w:val="24"/>
          <w:highlight w:val="none"/>
        </w:rPr>
        <w:t>三、竞争性磋商原则与方法</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1、磋商小组将遵循公开、公平、公正的原则，对供应商提供工程、货物或服务的价格、技术性能、工期、安装实施方案、售后服务、培训计划、公司基本情况、履约能力等进行综合分析考评。</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2、磋商小组应客观、公正的对待所有供应商，对所有响应文件评价，均采用相同的程序和标准。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3、在磋商期间，供应商不得向磋商小组成员询问磋商情况，不得进行旨在影响磋商结果的活动，否则将废除其磋商资格。</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4、在磋商过程中，磋商小组成员不得与供应商私下交换意见，在竞争性磋商工作结束后，凡与磋商情况有接触的人不得将磋商情况扩散出磋商小组成员之外。</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5、采购人不向未成交供应商解释未成交原因，不退还响应文件。</w:t>
      </w:r>
    </w:p>
    <w:p>
      <w:pPr>
        <w:pStyle w:val="5"/>
        <w:spacing w:before="0" w:after="0" w:line="380" w:lineRule="exact"/>
        <w:rPr>
          <w:rFonts w:ascii="宋体" w:hAnsi="宋体" w:eastAsia="宋体" w:cs="宋体"/>
          <w:color w:val="auto"/>
          <w:sz w:val="24"/>
          <w:szCs w:val="24"/>
          <w:highlight w:val="none"/>
        </w:rPr>
      </w:pPr>
      <w:bookmarkStart w:id="79" w:name="_Toc402872207"/>
      <w:bookmarkEnd w:id="79"/>
      <w:bookmarkStart w:id="80" w:name="_Toc32595"/>
      <w:bookmarkEnd w:id="80"/>
      <w:bookmarkStart w:id="81" w:name="_Toc282640747"/>
      <w:bookmarkEnd w:id="81"/>
      <w:bookmarkStart w:id="82" w:name="_Toc15794"/>
      <w:bookmarkEnd w:id="82"/>
      <w:bookmarkStart w:id="83" w:name="_Toc26822"/>
      <w:bookmarkEnd w:id="83"/>
      <w:r>
        <w:rPr>
          <w:rFonts w:hint="eastAsia" w:ascii="宋体" w:hAnsi="宋体" w:eastAsia="宋体" w:cs="宋体"/>
          <w:color w:val="auto"/>
          <w:sz w:val="24"/>
          <w:szCs w:val="24"/>
          <w:highlight w:val="none"/>
        </w:rPr>
        <w:t>四、磋商程序</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1、采购人和采购代理机构依法对供应商的资格进行审查。</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2、磋商小组审核磋商响应文件。</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磋商小组按照商务、技术逐项审核响应文件。</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依据竞争性磋商文件的规定，从磋商响应文件的有效性、完整性和对竞争性磋商文件的响应程度进行审查，以确定供应商是否对磋商文件的实质性要求作出响应。</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3、磋商顺序和方法</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3.1磋商的顺序，按供应商签到的逆时间顺序进行。</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3.2开展磋商，按磋商项目内容与各供应商进行2轮磋商。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3.3磋商小组所有成员集中与单一供应商（</w:t>
      </w:r>
      <w:r>
        <w:rPr>
          <w:rFonts w:hint="eastAsia" w:ascii="宋体" w:hAnsi="宋体" w:cs="宋体"/>
          <w:b/>
          <w:bCs/>
          <w:color w:val="auto"/>
          <w:highlight w:val="none"/>
        </w:rPr>
        <w:t>供应商法定代表人或法定代表人授权代表必须在场，否则，取消其磋商资格</w:t>
      </w:r>
      <w:r>
        <w:rPr>
          <w:rFonts w:hint="eastAsia" w:ascii="宋体" w:hAnsi="宋体" w:cs="宋体"/>
          <w:bCs/>
          <w:color w:val="auto"/>
          <w:highlight w:val="none"/>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3.4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3.5供应商应当按照磋商文件的变动情况和磋商小组的要求重新提交响应文件，并由其法定代表人或授权代表签字或者加盖公章。</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4、磋商小组汇总并讨论审核情况，确定供应商是否继续进行磋商。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5、磋商小组在磋商结束后，要求所有继续参加磋商的供应商在规定时间内提交最后报价。超过规定时间提交的报价作无效处理。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6、已提交响应文件的供应商，在提交最后报价之前，可以根据磋商情况退出磋商。</w:t>
      </w:r>
    </w:p>
    <w:p>
      <w:pPr>
        <w:pStyle w:val="5"/>
        <w:spacing w:before="0" w:after="0" w:line="380" w:lineRule="exact"/>
        <w:rPr>
          <w:rFonts w:ascii="宋体" w:hAnsi="宋体" w:eastAsia="宋体" w:cs="宋体"/>
          <w:color w:val="auto"/>
          <w:sz w:val="24"/>
          <w:szCs w:val="24"/>
          <w:highlight w:val="none"/>
        </w:rPr>
      </w:pPr>
      <w:bookmarkStart w:id="84" w:name="_Toc16129"/>
      <w:bookmarkEnd w:id="84"/>
      <w:bookmarkStart w:id="85" w:name="_Toc282640735"/>
      <w:bookmarkEnd w:id="85"/>
      <w:bookmarkStart w:id="86" w:name="_Toc8792"/>
      <w:bookmarkEnd w:id="86"/>
      <w:bookmarkStart w:id="87" w:name="_Toc402872208"/>
      <w:bookmarkEnd w:id="87"/>
      <w:bookmarkStart w:id="88" w:name="_Toc30295"/>
      <w:bookmarkEnd w:id="88"/>
      <w:r>
        <w:rPr>
          <w:rFonts w:hint="eastAsia" w:ascii="宋体" w:hAnsi="宋体" w:eastAsia="宋体" w:cs="宋体"/>
          <w:color w:val="auto"/>
          <w:sz w:val="24"/>
          <w:szCs w:val="24"/>
          <w:highlight w:val="none"/>
        </w:rPr>
        <w:t>五、磋商文件的澄清</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1、供应商对磋商文件如有疑义的，应在规定的答疑时间内以书面形式告知采购人，以便及时对磋商文件作出澄清。</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2、在磋商期间，磋商小组有权要求供应商对其提交的文件资料进行澄清。供应商应派授权代表和有关专业人员接受询问，并对有关内容进行澄清。</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3、对在澄清中涉及到的商业秘密，磋商小组成员及参加磋商的有关工作人员负有保密责任。</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4、磋商小组以书面形式对磋商文件作出的修改或补充，与磋商文件具有同等法律效力。</w:t>
      </w:r>
    </w:p>
    <w:p>
      <w:pPr>
        <w:pStyle w:val="5"/>
        <w:spacing w:before="0" w:after="0" w:line="380" w:lineRule="exact"/>
        <w:rPr>
          <w:rFonts w:ascii="宋体" w:hAnsi="宋体" w:eastAsia="宋体" w:cs="宋体"/>
          <w:color w:val="auto"/>
          <w:sz w:val="24"/>
          <w:szCs w:val="24"/>
          <w:highlight w:val="none"/>
        </w:rPr>
      </w:pPr>
      <w:bookmarkStart w:id="89" w:name="_Toc24587"/>
      <w:bookmarkEnd w:id="89"/>
      <w:bookmarkStart w:id="90" w:name="_Toc14189"/>
      <w:bookmarkEnd w:id="90"/>
      <w:bookmarkStart w:id="91" w:name="_Toc16835"/>
      <w:bookmarkEnd w:id="91"/>
      <w:bookmarkStart w:id="92" w:name="_Toc402872209"/>
      <w:bookmarkEnd w:id="92"/>
      <w:r>
        <w:rPr>
          <w:rFonts w:hint="eastAsia" w:ascii="宋体" w:hAnsi="宋体" w:eastAsia="宋体" w:cs="宋体"/>
          <w:color w:val="auto"/>
          <w:sz w:val="24"/>
          <w:szCs w:val="24"/>
          <w:highlight w:val="none"/>
        </w:rPr>
        <w:t>六、确定供应商办法</w:t>
      </w:r>
    </w:p>
    <w:p>
      <w:pPr>
        <w:autoSpaceDE w:val="0"/>
        <w:autoSpaceDN w:val="0"/>
        <w:adjustRightInd w:val="0"/>
        <w:snapToGrid w:val="0"/>
        <w:spacing w:line="380" w:lineRule="exact"/>
        <w:rPr>
          <w:rFonts w:ascii="宋体" w:hAnsi="宋体" w:cs="宋体"/>
          <w:bCs/>
          <w:color w:val="auto"/>
          <w:highlight w:val="none"/>
        </w:rPr>
      </w:pPr>
      <w:bookmarkStart w:id="93" w:name="_Toc389216170"/>
      <w:bookmarkStart w:id="94" w:name="_Toc402872210"/>
      <w:bookmarkStart w:id="95" w:name="_Toc282640748"/>
      <w:r>
        <w:rPr>
          <w:rFonts w:hint="eastAsia" w:ascii="宋体" w:hAnsi="宋体" w:cs="宋体"/>
          <w:bCs/>
          <w:color w:val="auto"/>
          <w:highlight w:val="none"/>
        </w:rPr>
        <w:t xml:space="preserve">    本项目由采购人授权磋商小组直接确定成交供应商。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本次评审采用综合评分法，即按照在质量和服务均能满足竞争性磋商文件实质性要求且综合得分由高到低的原则确定成交供应商。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磋商结束后，磋商小组拟制评审报告。</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采购代理机构在评审结束后2个工作日内在相关网站上发布成交公告，同时发出成交通知书。</w:t>
      </w:r>
    </w:p>
    <w:bookmarkEnd w:id="93"/>
    <w:bookmarkEnd w:id="94"/>
    <w:bookmarkEnd w:id="95"/>
    <w:p>
      <w:pPr>
        <w:pStyle w:val="5"/>
        <w:spacing w:before="0" w:after="0" w:line="380" w:lineRule="exact"/>
        <w:rPr>
          <w:rFonts w:ascii="宋体" w:hAnsi="宋体" w:eastAsia="宋体" w:cs="宋体"/>
          <w:color w:val="auto"/>
          <w:sz w:val="24"/>
          <w:szCs w:val="24"/>
          <w:highlight w:val="none"/>
        </w:rPr>
      </w:pPr>
      <w:bookmarkStart w:id="96" w:name="_Toc1855"/>
      <w:bookmarkEnd w:id="96"/>
      <w:bookmarkStart w:id="97" w:name="_Toc17287"/>
      <w:bookmarkEnd w:id="97"/>
      <w:bookmarkStart w:id="98" w:name="_Toc18677"/>
      <w:bookmarkEnd w:id="98"/>
      <w:r>
        <w:rPr>
          <w:rFonts w:hint="eastAsia" w:ascii="宋体" w:hAnsi="宋体" w:eastAsia="宋体" w:cs="宋体"/>
          <w:color w:val="auto"/>
          <w:sz w:val="24"/>
          <w:szCs w:val="24"/>
          <w:highlight w:val="none"/>
        </w:rPr>
        <w:t>七、综合评分法</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为公正、公平、科学地选择成交供应商，根据《中华人民共和国政府采购法》等有关法律法规的规定，并结合本项目的实际，制定本办法。</w:t>
      </w:r>
    </w:p>
    <w:p>
      <w:pPr>
        <w:spacing w:before="156" w:beforeLines="50" w:after="156" w:afterLines="50" w:line="440" w:lineRule="exact"/>
        <w:ind w:firstLine="480" w:firstLineChars="200"/>
        <w:rPr>
          <w:rFonts w:ascii="宋体" w:hAnsi="宋体" w:cs="宋体"/>
          <w:b/>
          <w:color w:val="auto"/>
          <w:highlight w:val="none"/>
        </w:rPr>
      </w:pPr>
      <w:r>
        <w:rPr>
          <w:rFonts w:hint="eastAsia" w:ascii="宋体" w:hAnsi="宋体" w:cs="宋体"/>
          <w:bCs/>
          <w:color w:val="auto"/>
          <w:highlight w:val="none"/>
        </w:rPr>
        <w:t xml:space="preserve">  </w:t>
      </w:r>
      <w:r>
        <w:rPr>
          <w:rFonts w:hint="eastAsia" w:ascii="宋体" w:hAnsi="宋体" w:cs="宋体"/>
          <w:b/>
          <w:color w:val="auto"/>
          <w:highlight w:val="none"/>
        </w:rPr>
        <w:t>（一）、总则</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本次评审采用综合评分法，</w:t>
      </w:r>
      <w:r>
        <w:rPr>
          <w:rFonts w:hint="eastAsia" w:ascii="宋体" w:hAnsi="宋体" w:cs="宋体"/>
          <w:b/>
          <w:color w:val="auto"/>
          <w:highlight w:val="none"/>
        </w:rPr>
        <w:t>总分为100分，其中价格分</w:t>
      </w:r>
      <w:r>
        <w:rPr>
          <w:rFonts w:hint="eastAsia" w:ascii="宋体" w:hAnsi="宋体" w:cs="宋体"/>
          <w:b/>
          <w:color w:val="auto"/>
          <w:highlight w:val="none"/>
          <w:lang w:val="en-US" w:eastAsia="zh-CN"/>
        </w:rPr>
        <w:t>2</w:t>
      </w:r>
      <w:r>
        <w:rPr>
          <w:rFonts w:hint="eastAsia" w:ascii="宋体" w:hAnsi="宋体" w:cs="宋体"/>
          <w:b/>
          <w:color w:val="auto"/>
          <w:highlight w:val="none"/>
        </w:rPr>
        <w:t>0分、技术分、商务分和资信及其他部分权值</w:t>
      </w:r>
      <w:r>
        <w:rPr>
          <w:rFonts w:hint="eastAsia" w:ascii="宋体" w:hAnsi="宋体" w:cs="宋体"/>
          <w:b/>
          <w:color w:val="auto"/>
          <w:highlight w:val="none"/>
          <w:lang w:val="en-US" w:eastAsia="zh-CN"/>
        </w:rPr>
        <w:t>8</w:t>
      </w:r>
      <w:r>
        <w:rPr>
          <w:rFonts w:hint="eastAsia" w:ascii="宋体" w:hAnsi="宋体" w:cs="宋体"/>
          <w:b/>
          <w:color w:val="auto"/>
          <w:highlight w:val="none"/>
        </w:rPr>
        <w:t>0分</w:t>
      </w:r>
      <w:r>
        <w:rPr>
          <w:rFonts w:hint="eastAsia" w:ascii="宋体" w:hAnsi="宋体" w:cs="宋体"/>
          <w:color w:val="auto"/>
          <w:highlight w:val="none"/>
        </w:rPr>
        <w:t>。合格投标供应商的评审得分为各项目汇总得分。本项目由采购人授权的评审小组直接确定中标供应商。评分过程中采用四舍五入法，并保留小数2位。</w:t>
      </w:r>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各投标供应商最终得分=技术分、商务分和资信及其他分得分+价格分得分。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 候选人，排名第二的投标供应商为第二中标候选人……其他投标供应商中标候选资格依次类推。</w:t>
      </w:r>
    </w:p>
    <w:p>
      <w:pPr>
        <w:spacing w:before="156" w:beforeLines="50" w:after="156" w:afterLines="50" w:line="440" w:lineRule="exact"/>
        <w:ind w:firstLine="482" w:firstLineChars="200"/>
        <w:rPr>
          <w:rFonts w:ascii="宋体" w:hAnsi="宋体" w:cs="宋体"/>
          <w:b/>
          <w:color w:val="auto"/>
          <w:highlight w:val="none"/>
        </w:rPr>
      </w:pPr>
      <w:r>
        <w:rPr>
          <w:rFonts w:hint="eastAsia" w:ascii="宋体" w:hAnsi="宋体" w:cs="宋体"/>
          <w:b/>
          <w:color w:val="auto"/>
          <w:highlight w:val="none"/>
        </w:rPr>
        <w:t>(二)、评审内容及标准</w:t>
      </w:r>
    </w:p>
    <w:p>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1、价格分</w:t>
      </w:r>
      <w:r>
        <w:rPr>
          <w:rFonts w:hint="eastAsia" w:ascii="宋体" w:hAnsi="宋体" w:cs="宋体"/>
          <w:b/>
          <w:color w:val="auto"/>
          <w:highlight w:val="none"/>
          <w:lang w:val="en-US" w:eastAsia="zh-CN"/>
        </w:rPr>
        <w:t>2</w:t>
      </w:r>
      <w:r>
        <w:rPr>
          <w:rFonts w:hint="eastAsia" w:ascii="宋体" w:hAnsi="宋体" w:cs="宋体"/>
          <w:b/>
          <w:color w:val="auto"/>
          <w:highlight w:val="none"/>
        </w:rPr>
        <w:t>0分</w:t>
      </w:r>
    </w:p>
    <w:p>
      <w:pPr>
        <w:pStyle w:val="12"/>
        <w:ind w:firstLine="480"/>
        <w:rPr>
          <w:bCs/>
          <w:color w:val="auto"/>
          <w:highlight w:val="none"/>
        </w:rPr>
      </w:pPr>
      <w:r>
        <w:rPr>
          <w:rFonts w:hint="eastAsia"/>
          <w:bCs/>
          <w:color w:val="auto"/>
          <w:highlight w:val="none"/>
        </w:rPr>
        <w:t>价格分采用低价优先法计算，取所有技术入围投标供应商中最终报价最低的投标报价为评标基准价，其他投标供应商的价格分按照下列公式计算：</w:t>
      </w:r>
    </w:p>
    <w:p>
      <w:pPr>
        <w:pStyle w:val="12"/>
        <w:ind w:firstLine="480"/>
        <w:rPr>
          <w:bCs/>
          <w:color w:val="auto"/>
          <w:highlight w:val="none"/>
        </w:rPr>
      </w:pPr>
      <w:r>
        <w:rPr>
          <w:rFonts w:hint="eastAsia"/>
          <w:bCs/>
          <w:color w:val="auto"/>
          <w:highlight w:val="none"/>
        </w:rPr>
        <w:t>价格分=（评标基准价/最终投标报价）×</w:t>
      </w:r>
      <w:r>
        <w:rPr>
          <w:rFonts w:hint="eastAsia"/>
          <w:bCs/>
          <w:color w:val="auto"/>
          <w:highlight w:val="none"/>
          <w:lang w:val="en-US" w:eastAsia="zh-CN"/>
        </w:rPr>
        <w:t>2</w:t>
      </w:r>
      <w:r>
        <w:rPr>
          <w:rFonts w:hint="eastAsia"/>
          <w:bCs/>
          <w:color w:val="auto"/>
          <w:highlight w:val="none"/>
        </w:rPr>
        <w:t>0%×100；</w:t>
      </w:r>
    </w:p>
    <w:p>
      <w:pPr>
        <w:pStyle w:val="12"/>
        <w:ind w:firstLine="482"/>
        <w:rPr>
          <w:bCs/>
          <w:color w:val="auto"/>
          <w:highlight w:val="none"/>
        </w:rPr>
      </w:pPr>
      <w:r>
        <w:rPr>
          <w:rFonts w:hint="eastAsia"/>
          <w:bCs/>
          <w:color w:val="auto"/>
          <w:highlight w:val="none"/>
        </w:rPr>
        <w:t>此项由评审小组集体核实后统一打分。</w:t>
      </w:r>
    </w:p>
    <w:p>
      <w:pPr>
        <w:pStyle w:val="12"/>
        <w:ind w:firstLine="480"/>
        <w:rPr>
          <w:bCs/>
          <w:color w:val="auto"/>
          <w:highlight w:val="none"/>
        </w:rPr>
      </w:pPr>
      <w:r>
        <w:rPr>
          <w:rFonts w:hint="eastAsia"/>
          <w:bCs/>
          <w:color w:val="auto"/>
          <w:highlight w:val="none"/>
        </w:rPr>
        <w:t xml:space="preserve">注：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   </w:t>
      </w:r>
    </w:p>
    <w:p>
      <w:pPr>
        <w:spacing w:line="360" w:lineRule="auto"/>
        <w:ind w:firstLine="482" w:firstLineChars="200"/>
        <w:rPr>
          <w:rFonts w:ascii="宋体" w:hAnsi="宋体" w:cs="宋体"/>
          <w:bCs/>
          <w:color w:val="auto"/>
          <w:spacing w:val="14"/>
          <w:highlight w:val="none"/>
        </w:rPr>
      </w:pPr>
      <w:r>
        <w:rPr>
          <w:rFonts w:hint="eastAsia" w:ascii="宋体" w:hAnsi="宋体" w:cs="宋体"/>
          <w:b/>
          <w:color w:val="auto"/>
          <w:highlight w:val="none"/>
        </w:rPr>
        <w:t>2、技术分、商务分、资信及其他分</w:t>
      </w:r>
      <w:r>
        <w:rPr>
          <w:rFonts w:hint="eastAsia" w:ascii="宋体" w:hAnsi="宋体" w:cs="宋体"/>
          <w:b/>
          <w:color w:val="auto"/>
          <w:highlight w:val="none"/>
          <w:lang w:val="en-US" w:eastAsia="zh-CN"/>
        </w:rPr>
        <w:t>8</w:t>
      </w:r>
      <w:r>
        <w:rPr>
          <w:rFonts w:hint="eastAsia" w:ascii="宋体" w:hAnsi="宋体" w:cs="宋体"/>
          <w:b/>
          <w:color w:val="auto"/>
          <w:highlight w:val="none"/>
        </w:rPr>
        <w:t>0分</w:t>
      </w:r>
    </w:p>
    <w:p>
      <w:pPr>
        <w:tabs>
          <w:tab w:val="left" w:pos="1154"/>
        </w:tabs>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3、技术分、商务分、资信及其他分的计算</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技术、商务、资信及其他分=评审小组所有成员评分合计数/评审小组人员数</w:t>
      </w:r>
    </w:p>
    <w:p>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附件：评分表格式（技术分、商务分、资信及其他分，共</w:t>
      </w:r>
      <w:r>
        <w:rPr>
          <w:rFonts w:hint="eastAsia" w:ascii="宋体" w:hAnsi="宋体" w:cs="宋体"/>
          <w:b/>
          <w:color w:val="auto"/>
          <w:highlight w:val="none"/>
          <w:lang w:val="en-US" w:eastAsia="zh-CN"/>
        </w:rPr>
        <w:t>8</w:t>
      </w:r>
      <w:r>
        <w:rPr>
          <w:rFonts w:hint="eastAsia" w:ascii="宋体" w:hAnsi="宋体" w:cs="宋体"/>
          <w:b/>
          <w:color w:val="auto"/>
          <w:highlight w:val="none"/>
        </w:rPr>
        <w:t>0分）</w:t>
      </w:r>
    </w:p>
    <w:p>
      <w:pPr>
        <w:spacing w:line="360" w:lineRule="auto"/>
        <w:ind w:firstLine="482" w:firstLineChars="200"/>
        <w:rPr>
          <w:rFonts w:ascii="宋体" w:hAnsi="宋体" w:cs="宋体"/>
          <w:b/>
          <w:bCs/>
          <w:color w:val="auto"/>
          <w:highlight w:val="none"/>
        </w:rPr>
      </w:pPr>
      <w:r>
        <w:rPr>
          <w:rFonts w:hint="eastAsia" w:ascii="宋体" w:hAnsi="宋体" w:cs="宋体"/>
          <w:b/>
          <w:color w:val="auto"/>
          <w:highlight w:val="none"/>
        </w:rPr>
        <w:t>各项证明资料均须提供有效证书或证明文件复印件加盖投标单位公章</w:t>
      </w:r>
    </w:p>
    <w:tbl>
      <w:tblPr>
        <w:tblStyle w:val="32"/>
        <w:tblpPr w:leftFromText="180" w:rightFromText="180" w:vertAnchor="text" w:horzAnchor="margin" w:tblpX="1"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886"/>
        <w:gridCol w:w="6869"/>
        <w:gridCol w:w="82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0" w:type="auto"/>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86" w:type="dxa"/>
            <w:tcBorders>
              <w:top w:val="single" w:color="auto" w:sz="4" w:space="0"/>
              <w:left w:val="single" w:color="auto" w:sz="4" w:space="0"/>
              <w:bottom w:val="single" w:color="auto" w:sz="4" w:space="0"/>
              <w:right w:val="single" w:color="auto" w:sz="4" w:space="0"/>
            </w:tcBorders>
            <w:vAlign w:val="center"/>
          </w:tcPr>
          <w:p>
            <w:pPr>
              <w:ind w:right="-24" w:rightChars="-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0" w:type="auto"/>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86" w:type="dxa"/>
            <w:tcBorders>
              <w:top w:val="single" w:color="auto" w:sz="4" w:space="0"/>
              <w:left w:val="single" w:color="auto" w:sz="4" w:space="0"/>
              <w:bottom w:val="single" w:color="auto" w:sz="4" w:space="0"/>
              <w:right w:val="single" w:color="auto" w:sz="4" w:space="0"/>
            </w:tcBorders>
            <w:vAlign w:val="center"/>
          </w:tcPr>
          <w:p>
            <w:pPr>
              <w:ind w:right="-24" w:rightChars="-1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w:t>
            </w:r>
            <w:r>
              <w:rPr>
                <w:rFonts w:hint="eastAsia" w:ascii="宋体" w:hAnsi="宋体" w:cs="宋体"/>
                <w:color w:val="auto"/>
                <w:sz w:val="24"/>
                <w:szCs w:val="24"/>
                <w:highlight w:val="none"/>
                <w:lang w:val="en-US" w:eastAsia="zh-CN"/>
              </w:rPr>
              <w:t>2021</w:t>
            </w:r>
            <w:r>
              <w:rPr>
                <w:rFonts w:hint="eastAsia" w:ascii="宋体" w:hAnsi="宋体" w:eastAsia="宋体" w:cs="宋体"/>
                <w:color w:val="auto"/>
                <w:sz w:val="24"/>
                <w:szCs w:val="24"/>
                <w:highlight w:val="none"/>
                <w:lang w:val="en-US" w:eastAsia="zh-CN"/>
              </w:rPr>
              <w:t>年1月1日（以合同签订日为准）以来具有类似业绩的每项得1分，最多得2分。提供合同复印件等证明材料。</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0" w:type="auto"/>
            <w:vMerge w:val="restart"/>
            <w:tcBorders>
              <w:top w:val="single" w:color="auto" w:sz="4" w:space="0"/>
              <w:left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886" w:type="dxa"/>
            <w:vMerge w:val="restart"/>
            <w:tcBorders>
              <w:top w:val="single" w:color="auto" w:sz="4" w:space="0"/>
              <w:left w:val="single" w:color="auto" w:sz="4" w:space="0"/>
              <w:right w:val="single" w:color="auto" w:sz="4" w:space="0"/>
            </w:tcBorders>
            <w:vAlign w:val="center"/>
          </w:tcPr>
          <w:p>
            <w:pPr>
              <w:ind w:right="-24" w:rightChars="-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团队实力</w:t>
            </w:r>
          </w:p>
        </w:tc>
        <w:tc>
          <w:tcPr>
            <w:tcW w:w="6869" w:type="dxa"/>
            <w:tcBorders>
              <w:top w:val="single" w:color="auto" w:sz="4" w:space="0"/>
              <w:left w:val="single" w:color="auto" w:sz="4" w:space="0"/>
              <w:bottom w:val="single" w:color="auto" w:sz="4" w:space="0"/>
              <w:right w:val="single" w:color="auto" w:sz="4" w:space="0"/>
            </w:tcBorders>
            <w:shd w:val="clear" w:color="auto" w:fill="auto"/>
            <w:vAlign w:val="center"/>
          </w:tcPr>
          <w:p>
            <w:pPr>
              <w:ind w:right="-24" w:rightChars="-1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项目负责人：</w:t>
            </w:r>
          </w:p>
          <w:p>
            <w:pPr>
              <w:ind w:right="-24" w:rightChars="-10"/>
              <w:rPr>
                <w:rFonts w:hint="eastAsia" w:ascii="宋体" w:hAnsi="宋体" w:eastAsia="宋体" w:cs="宋体"/>
                <w:color w:val="auto"/>
                <w:sz w:val="24"/>
                <w:szCs w:val="24"/>
                <w:highlight w:val="none"/>
                <w:lang w:val="en-US" w:eastAsia="zh-CN"/>
              </w:rPr>
            </w:pPr>
            <w:r>
              <w:rPr>
                <w:rFonts w:hint="eastAsia" w:ascii="宋体" w:hAnsi="Calibri" w:cs="宋体"/>
                <w:color w:val="auto"/>
                <w:kern w:val="0"/>
                <w:szCs w:val="21"/>
                <w:highlight w:val="none"/>
              </w:rPr>
              <w:t>项目负责人具有水利专业高级及以上职称的得3分；水利专业中级职称的得1分</w:t>
            </w:r>
            <w:r>
              <w:rPr>
                <w:rFonts w:hint="eastAsia" w:ascii="宋体" w:hAnsi="宋体" w:eastAsia="宋体" w:cs="宋体"/>
                <w:color w:val="auto"/>
                <w:sz w:val="24"/>
                <w:szCs w:val="24"/>
                <w:highlight w:val="none"/>
                <w:lang w:val="en-US" w:eastAsia="zh-CN"/>
              </w:rPr>
              <w:t>。</w:t>
            </w:r>
          </w:p>
          <w:p>
            <w:pPr>
              <w:ind w:right="-24" w:rightChars="-10"/>
              <w:rPr>
                <w:rFonts w:hint="eastAsia" w:ascii="宋体" w:hAnsi="宋体" w:eastAsia="宋体" w:cs="宋体"/>
                <w:color w:val="auto"/>
                <w:sz w:val="24"/>
                <w:szCs w:val="24"/>
                <w:highlight w:val="none"/>
                <w:lang w:val="en-US" w:eastAsia="zh-CN"/>
              </w:rPr>
            </w:pPr>
            <w:r>
              <w:rPr>
                <w:rFonts w:hint="eastAsia" w:ascii="宋体" w:hAnsi="Calibri" w:cs="宋体"/>
                <w:color w:val="auto"/>
                <w:kern w:val="0"/>
                <w:szCs w:val="21"/>
                <w:highlight w:val="none"/>
              </w:rPr>
              <w:t>注：提供人员的有效证书及该人员为本单位在职员工承诺</w:t>
            </w:r>
            <w:r>
              <w:rPr>
                <w:rFonts w:hint="eastAsia" w:ascii="宋体" w:hAnsi="Calibri" w:cs="宋体"/>
                <w:color w:val="auto"/>
                <w:kern w:val="0"/>
                <w:szCs w:val="21"/>
                <w:highlight w:val="none"/>
                <w:lang w:val="en-US" w:eastAsia="zh-CN"/>
              </w:rPr>
              <w:t>书</w:t>
            </w:r>
            <w:r>
              <w:rPr>
                <w:rFonts w:hint="eastAsia" w:ascii="宋体" w:hAnsi="Calibri" w:cs="宋体"/>
                <w:color w:val="auto"/>
                <w:kern w:val="0"/>
                <w:szCs w:val="21"/>
                <w:highlight w:val="none"/>
              </w:rPr>
              <w:t>放入</w:t>
            </w:r>
            <w:r>
              <w:rPr>
                <w:rFonts w:hint="eastAsia" w:ascii="宋体" w:hAnsi="Calibri" w:cs="宋体"/>
                <w:color w:val="auto"/>
                <w:kern w:val="0"/>
                <w:szCs w:val="21"/>
                <w:highlight w:val="none"/>
                <w:lang w:val="en-US" w:eastAsia="zh-CN"/>
              </w:rPr>
              <w:t>磋商响应</w:t>
            </w:r>
            <w:r>
              <w:rPr>
                <w:rFonts w:hint="eastAsia" w:ascii="宋体" w:hAnsi="Calibri" w:cs="宋体"/>
                <w:color w:val="auto"/>
                <w:kern w:val="0"/>
                <w:szCs w:val="21"/>
                <w:highlight w:val="none"/>
              </w:rPr>
              <w:t>文件，若职称证书不能体现水利专业的还需提供水利专业毕业证书扫描件，否则不得分</w:t>
            </w:r>
            <w:r>
              <w:rPr>
                <w:rFonts w:hint="eastAsia" w:ascii="宋体" w:hAnsi="Calibri" w:cs="宋体"/>
                <w:color w:val="auto"/>
                <w:kern w:val="0"/>
                <w:szCs w:val="21"/>
                <w:highlight w:val="none"/>
                <w:lang w:val="zh-CN" w:eastAsia="zh-CN"/>
              </w:rPr>
              <w:t>。</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886" w:type="dxa"/>
            <w:vMerge w:val="continue"/>
            <w:tcBorders>
              <w:left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rPr>
            </w:pPr>
          </w:p>
        </w:tc>
        <w:tc>
          <w:tcPr>
            <w:tcW w:w="6869" w:type="dxa"/>
            <w:tcBorders>
              <w:top w:val="single" w:color="auto" w:sz="4" w:space="0"/>
              <w:left w:val="single" w:color="auto" w:sz="4" w:space="0"/>
              <w:right w:val="single" w:color="auto" w:sz="4" w:space="0"/>
            </w:tcBorders>
            <w:shd w:val="clear" w:color="auto" w:fill="auto"/>
            <w:vAlign w:val="center"/>
          </w:tcPr>
          <w:p>
            <w:pPr>
              <w:ind w:right="-24" w:rightChars="-1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项目组成员：</w:t>
            </w:r>
          </w:p>
          <w:p>
            <w:pPr>
              <w:ind w:right="-24" w:rightChars="-10"/>
              <w:rPr>
                <w:rFonts w:hint="eastAsia" w:ascii="宋体" w:hAnsi="Calibri" w:cs="宋体"/>
                <w:color w:val="auto"/>
                <w:kern w:val="0"/>
                <w:szCs w:val="21"/>
                <w:highlight w:val="none"/>
                <w:lang w:val="zh-CN" w:eastAsia="zh-CN"/>
              </w:rPr>
            </w:pPr>
            <w:r>
              <w:rPr>
                <w:rFonts w:hint="eastAsia" w:ascii="宋体" w:hAnsi="宋体" w:eastAsia="宋体" w:cs="宋体"/>
                <w:color w:val="auto"/>
                <w:sz w:val="24"/>
                <w:szCs w:val="24"/>
                <w:highlight w:val="none"/>
                <w:lang w:val="en-US" w:eastAsia="zh-CN"/>
              </w:rPr>
              <w:t>2.1提供得</w:t>
            </w:r>
            <w:r>
              <w:rPr>
                <w:rFonts w:hint="eastAsia" w:ascii="宋体" w:hAnsi="宋体" w:eastAsia="宋体" w:cs="宋体"/>
                <w:color w:val="auto"/>
                <w:sz w:val="24"/>
                <w:szCs w:val="24"/>
                <w:highlight w:val="none"/>
                <w:lang w:val="zh-CN" w:eastAsia="zh-CN"/>
              </w:rPr>
              <w:t>编制团队需配备合理，对本项目编制工作熟悉。</w:t>
            </w:r>
            <w:r>
              <w:rPr>
                <w:rFonts w:hint="eastAsia" w:ascii="宋体" w:hAnsi="Calibri" w:cs="宋体"/>
                <w:color w:val="auto"/>
                <w:kern w:val="0"/>
                <w:szCs w:val="21"/>
                <w:highlight w:val="none"/>
              </w:rPr>
              <w:t>项目组成员人数在3人及以上的得3分，2人得2分，1人得1分，最高得3分</w:t>
            </w:r>
            <w:r>
              <w:rPr>
                <w:rFonts w:hint="eastAsia" w:ascii="宋体" w:hAnsi="Calibri" w:cs="宋体"/>
                <w:color w:val="auto"/>
                <w:kern w:val="0"/>
                <w:szCs w:val="21"/>
                <w:highlight w:val="none"/>
                <w:lang w:val="zh-CN" w:eastAsia="zh-CN"/>
              </w:rPr>
              <w:t>。</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eastAsia="zh-CN"/>
              </w:rPr>
              <w:t>）</w:t>
            </w:r>
          </w:p>
          <w:p>
            <w:pPr>
              <w:ind w:right="-24" w:rightChars="-1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2.2根据整体</w:t>
            </w:r>
            <w:r>
              <w:rPr>
                <w:rFonts w:hint="eastAsia" w:ascii="宋体" w:hAnsi="宋体" w:eastAsia="宋体" w:cs="宋体"/>
                <w:color w:val="auto"/>
                <w:sz w:val="24"/>
                <w:szCs w:val="24"/>
                <w:highlight w:val="none"/>
                <w:lang w:val="zh-CN" w:eastAsia="zh-CN"/>
              </w:rPr>
              <w:t>项目小组成员专业结构合理，人力资源配备充足，</w:t>
            </w:r>
            <w:r>
              <w:rPr>
                <w:rFonts w:hint="eastAsia" w:ascii="宋体" w:hAnsi="Calibri" w:cs="宋体"/>
                <w:color w:val="auto"/>
                <w:kern w:val="0"/>
                <w:szCs w:val="21"/>
                <w:highlight w:val="none"/>
              </w:rPr>
              <w:t>项目组成员具有水利专业中级职称证书的每人加1分，具有水利专业高</w:t>
            </w:r>
            <w:r>
              <w:rPr>
                <w:rFonts w:hint="eastAsia" w:ascii="宋体" w:hAnsi="Calibri" w:cs="宋体"/>
                <w:color w:val="auto"/>
                <w:kern w:val="0"/>
                <w:szCs w:val="21"/>
                <w:highlight w:val="none"/>
                <w:lang w:val="en-US" w:eastAsia="zh-CN"/>
              </w:rPr>
              <w:t>级</w:t>
            </w:r>
            <w:r>
              <w:rPr>
                <w:rFonts w:hint="eastAsia" w:ascii="宋体" w:hAnsi="Calibri" w:cs="宋体"/>
                <w:color w:val="auto"/>
                <w:kern w:val="0"/>
                <w:szCs w:val="21"/>
                <w:highlight w:val="none"/>
              </w:rPr>
              <w:t>及以上职称证书的每人加2分，最高加</w:t>
            </w:r>
            <w:r>
              <w:rPr>
                <w:rFonts w:hint="eastAsia" w:ascii="宋体" w:hAnsi="Calibri" w:cs="宋体"/>
                <w:color w:val="auto"/>
                <w:kern w:val="0"/>
                <w:szCs w:val="21"/>
                <w:highlight w:val="none"/>
                <w:lang w:val="en-US" w:eastAsia="zh-CN"/>
              </w:rPr>
              <w:t>5</w:t>
            </w:r>
            <w:r>
              <w:rPr>
                <w:rFonts w:hint="eastAsia" w:ascii="宋体" w:hAnsi="Calibri" w:cs="宋体"/>
                <w:color w:val="auto"/>
                <w:kern w:val="0"/>
                <w:szCs w:val="21"/>
                <w:highlight w:val="none"/>
              </w:rPr>
              <w:t>分。以个人最高职称计算，不重复计分</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eastAsia="zh-CN"/>
              </w:rPr>
              <w:t>）</w:t>
            </w:r>
          </w:p>
          <w:p>
            <w:pPr>
              <w:ind w:right="-24" w:rightChars="-1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注：提供所有人员的证书（如有要求）及近三个月中</w:t>
            </w:r>
            <w:r>
              <w:rPr>
                <w:rFonts w:hint="eastAsia" w:ascii="宋体" w:hAnsi="宋体" w:eastAsia="宋体" w:cs="宋体"/>
                <w:color w:val="auto"/>
                <w:sz w:val="24"/>
                <w:szCs w:val="24"/>
                <w:highlight w:val="none"/>
                <w:lang w:val="en-US" w:eastAsia="zh-CN"/>
              </w:rPr>
              <w:t>任意一个月</w:t>
            </w:r>
            <w:r>
              <w:rPr>
                <w:rFonts w:hint="eastAsia" w:ascii="宋体" w:hAnsi="宋体" w:eastAsia="宋体" w:cs="宋体"/>
                <w:color w:val="auto"/>
                <w:sz w:val="24"/>
                <w:szCs w:val="24"/>
                <w:highlight w:val="none"/>
                <w:lang w:val="zh-CN" w:eastAsia="zh-CN"/>
              </w:rPr>
              <w:t>所缴纳的社保证明材料。缺项或是不提供不得分。</w:t>
            </w:r>
          </w:p>
        </w:tc>
        <w:tc>
          <w:tcPr>
            <w:tcW w:w="825" w:type="dxa"/>
            <w:tcBorders>
              <w:top w:val="single" w:color="auto" w:sz="4" w:space="0"/>
              <w:left w:val="single" w:color="auto" w:sz="4" w:space="0"/>
              <w:right w:val="single" w:color="auto" w:sz="4" w:space="0"/>
            </w:tcBorders>
            <w:shd w:val="clear" w:color="auto" w:fill="auto"/>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0" w:type="auto"/>
            <w:vMerge w:val="restart"/>
            <w:tcBorders>
              <w:top w:val="single" w:color="auto" w:sz="4" w:space="0"/>
              <w:left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886" w:type="dxa"/>
            <w:vMerge w:val="restart"/>
            <w:tcBorders>
              <w:top w:val="single" w:color="auto" w:sz="4" w:space="0"/>
              <w:left w:val="single" w:color="auto" w:sz="4" w:space="0"/>
              <w:right w:val="single" w:color="auto" w:sz="4" w:space="0"/>
            </w:tcBorders>
            <w:vAlign w:val="center"/>
          </w:tcPr>
          <w:p>
            <w:pPr>
              <w:ind w:right="-24" w:rightChars="-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项目方案</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1、对</w:t>
            </w:r>
            <w:r>
              <w:rPr>
                <w:rFonts w:hint="eastAsia" w:ascii="宋体" w:hAnsi="宋体" w:eastAsia="宋体" w:cs="宋体"/>
                <w:color w:val="auto"/>
                <w:sz w:val="24"/>
                <w:szCs w:val="24"/>
                <w:highlight w:val="none"/>
                <w:lang w:val="en-US" w:eastAsia="zh-CN"/>
              </w:rPr>
              <w:t>本项目地区背景的解读，项目区域综合现状的把握程度</w:t>
            </w:r>
            <w:r>
              <w:rPr>
                <w:rFonts w:hint="eastAsia" w:ascii="宋体" w:hAnsi="宋体" w:eastAsia="宋体" w:cs="宋体"/>
                <w:color w:val="auto"/>
                <w:sz w:val="24"/>
                <w:szCs w:val="24"/>
                <w:highlight w:val="none"/>
                <w:lang w:val="zh-CN" w:eastAsia="zh-CN"/>
              </w:rPr>
              <w:t>；</w:t>
            </w:r>
          </w:p>
          <w:p>
            <w:pPr>
              <w:ind w:right="-24" w:rightChars="-1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分析具体、详细、到位，并提出深刻且合理的解读的得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分；分析比较具体、详细、到位、解读比较合理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分；分析不够具体、详细、到位，解读不够合理的得1-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分。不提供不得分。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2、投标单位针对本项目的数据分析思路、技术要求的理解、实施组织计划等内容进行阐述；</w:t>
            </w:r>
          </w:p>
          <w:p>
            <w:pPr>
              <w:ind w:right="-24" w:rightChars="-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投标单位提出针对本项目明确、具体的的总体思路、实施组织计划，针对性强，立意新且符合本项目实际情况的得</w:t>
            </w: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lang w:val="zh-CN"/>
              </w:rPr>
              <w:t>分，投标人有提出总体思路、实施组织计划，内容相对完整，符合本项目实际情况的得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分，投标人有提出总体思路、技术路线、项目成果内容，符合本项目实际情况，方案相对简单，有部分缺失的得1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分，不符合本项目实际情况的方案得0分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投标单位针对本项目测算分析工作总体框架与流程的规范性和可操作性等内容进行阐述。</w:t>
            </w:r>
          </w:p>
          <w:p>
            <w:pPr>
              <w:ind w:right="-24" w:rightChars="-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针对性强，立意新且符合本项目实际情况的得</w:t>
            </w: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lang w:val="zh-CN"/>
              </w:rPr>
              <w:t>分；内容相对完整，符合本项目实际情况的得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分；总体符合本项目实际情况，方案相对简单，有部分缺失的得1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分；不符合本项目实际情况的方案得0分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、投标单位对项目的实现目标、项目约定、交付成果、实施计划等内容进行阐述。</w:t>
            </w:r>
          </w:p>
          <w:p>
            <w:pPr>
              <w:ind w:right="-24" w:rightChars="-1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实施方案具有针对性，根据项目需求提出详细、具体、明确的实现目标、项目约定、交付成果时间的得5-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分，实施方案较为简洁，但基本能符合项目需求的，有提出实现目标、项目约定、交付成果时间的3-4分，实现目标、项目约定、交付成果时间有缺失的得1-2分，未提及或方案不可行或与项目实际需求不符的不得分</w:t>
            </w:r>
            <w:r>
              <w:rPr>
                <w:rFonts w:hint="eastAsia" w:ascii="宋体" w:hAnsi="宋体" w:eastAsia="宋体" w:cs="宋体"/>
                <w:color w:val="auto"/>
                <w:sz w:val="24"/>
                <w:szCs w:val="24"/>
                <w:highlight w:val="none"/>
                <w:lang w:val="zh-CN"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6869" w:type="dxa"/>
            <w:tcBorders>
              <w:top w:val="single" w:color="auto" w:sz="4" w:space="0"/>
              <w:left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、根据供应商提供的本项目的工作技术路线方案、工作方法及关键节点的控制措施</w:t>
            </w:r>
            <w:r>
              <w:rPr>
                <w:rFonts w:hint="eastAsia" w:ascii="宋体" w:hAnsi="宋体" w:eastAsia="宋体" w:cs="宋体"/>
                <w:color w:val="auto"/>
                <w:sz w:val="24"/>
                <w:szCs w:val="24"/>
                <w:highlight w:val="none"/>
                <w:lang w:val="zh-CN" w:eastAsia="zh-CN"/>
              </w:rPr>
              <w:t>进行评分</w:t>
            </w:r>
            <w:r>
              <w:rPr>
                <w:rFonts w:hint="eastAsia" w:ascii="宋体" w:hAnsi="宋体" w:eastAsia="宋体" w:cs="宋体"/>
                <w:color w:val="auto"/>
                <w:sz w:val="24"/>
                <w:szCs w:val="24"/>
                <w:highlight w:val="none"/>
                <w:lang w:val="zh-CN"/>
              </w:rPr>
              <w:t>。方案具有针对性，根据项目需求提出详细、具体、明确的人员配置、设备配置、时间进度表、实施程序和步骤的得5-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分；进度方案较为简洁，但基本能符合项目需求的，有提出时间进度表，实施程序和步骤的</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zh-CN"/>
              </w:rPr>
              <w:t>3-4分；时间进度安排和实施程序和步骤有缺失的得1-2分；未提及或方案不可行或与项目实际需求不符的不得分</w:t>
            </w:r>
            <w:r>
              <w:rPr>
                <w:rFonts w:hint="eastAsia" w:ascii="宋体" w:hAnsi="宋体" w:eastAsia="宋体" w:cs="宋体"/>
                <w:color w:val="auto"/>
                <w:sz w:val="24"/>
                <w:szCs w:val="24"/>
                <w:highlight w:val="none"/>
                <w:lang w:val="zh-CN" w:eastAsia="zh-CN"/>
              </w:rPr>
              <w:t>。</w:t>
            </w:r>
          </w:p>
        </w:tc>
        <w:tc>
          <w:tcPr>
            <w:tcW w:w="825" w:type="dxa"/>
            <w:tcBorders>
              <w:top w:val="single" w:color="auto" w:sz="4" w:space="0"/>
              <w:left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auto"/>
                <w:sz w:val="24"/>
                <w:szCs w:val="24"/>
                <w:highlight w:val="none"/>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6、合理化建议。</w:t>
            </w:r>
            <w:r>
              <w:rPr>
                <w:rFonts w:hint="eastAsia" w:ascii="宋体" w:hAnsi="宋体" w:eastAsia="宋体" w:cs="宋体"/>
                <w:color w:val="auto"/>
                <w:sz w:val="24"/>
                <w:szCs w:val="24"/>
                <w:highlight w:val="none"/>
                <w:lang w:val="zh-CN"/>
              </w:rPr>
              <w:t>根据供应商针对本项目的理解，结合自身专业优势，提出的合理化建议</w:t>
            </w:r>
            <w:r>
              <w:rPr>
                <w:rFonts w:hint="eastAsia" w:ascii="宋体" w:hAnsi="宋体" w:eastAsia="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val="zh-CN"/>
              </w:rPr>
              <w:t>，每提供一个合理有效的</w:t>
            </w:r>
            <w:r>
              <w:rPr>
                <w:rFonts w:hint="eastAsia" w:ascii="宋体" w:hAnsi="宋体" w:eastAsia="宋体" w:cs="宋体"/>
                <w:color w:val="auto"/>
                <w:sz w:val="24"/>
                <w:szCs w:val="24"/>
                <w:highlight w:val="none"/>
                <w:lang w:val="en-US" w:eastAsia="zh-CN"/>
              </w:rPr>
              <w:t>建议</w:t>
            </w:r>
            <w:r>
              <w:rPr>
                <w:rFonts w:hint="eastAsia" w:ascii="宋体" w:hAnsi="宋体" w:eastAsia="宋体" w:cs="宋体"/>
                <w:color w:val="auto"/>
                <w:sz w:val="24"/>
                <w:szCs w:val="24"/>
                <w:highlight w:val="none"/>
                <w:lang w:val="zh-CN"/>
              </w:rPr>
              <w:t>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提供不得分。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4" w:type="dxa"/>
            <w:vMerge w:val="restart"/>
            <w:tcBorders>
              <w:left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86" w:type="dxa"/>
            <w:vMerge w:val="restart"/>
            <w:tcBorders>
              <w:left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w:t>
            </w:r>
            <w:r>
              <w:rPr>
                <w:rFonts w:hint="eastAsia" w:ascii="宋体" w:hAnsi="宋体" w:cs="宋体"/>
                <w:color w:val="auto"/>
                <w:sz w:val="24"/>
                <w:szCs w:val="24"/>
                <w:highlight w:val="none"/>
                <w:lang w:val="en-US" w:eastAsia="zh-CN"/>
              </w:rPr>
              <w:t>及进度保证措施</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val="en-US" w:eastAsia="zh-CN"/>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根据供应商提供的质量保证措施</w:t>
            </w:r>
            <w:r>
              <w:rPr>
                <w:rFonts w:hint="eastAsia" w:ascii="宋体" w:hAnsi="宋体" w:cs="宋体"/>
                <w:color w:val="auto"/>
                <w:szCs w:val="21"/>
                <w:highlight w:val="none"/>
              </w:rPr>
              <w:t>进行综合评定：措施详细、科学合理、符合本项目要求的得4-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分；措施较详细、较科学合理、基本符合实际的得2-4分；措施不详细、欠科学合理、偏离实际的得0-2分</w:t>
            </w:r>
            <w:r>
              <w:rPr>
                <w:rFonts w:hint="eastAsia" w:ascii="宋体" w:hAnsi="宋体" w:cs="宋体"/>
                <w:color w:val="auto"/>
                <w:szCs w:val="21"/>
                <w:highlight w:val="none"/>
                <w:lang w:eastAsia="zh-CN"/>
              </w:rPr>
              <w:t>。</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提供不得分</w:t>
            </w:r>
            <w:r>
              <w:rPr>
                <w:rFonts w:hint="eastAsia" w:ascii="宋体" w:hAnsi="宋体" w:cs="宋体"/>
                <w:color w:val="auto"/>
                <w:sz w:val="24"/>
                <w:szCs w:val="24"/>
                <w:highlight w:val="none"/>
                <w:lang w:val="zh-CN"/>
              </w:rPr>
              <w:t>。</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4" w:type="dxa"/>
            <w:vMerge w:val="continue"/>
            <w:tcBorders>
              <w:left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p>
        </w:tc>
        <w:tc>
          <w:tcPr>
            <w:tcW w:w="886" w:type="dxa"/>
            <w:vMerge w:val="continue"/>
            <w:tcBorders>
              <w:left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cs="宋体"/>
                <w:b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根据供应商提供的进度保证措施进行综合评定：措施详细、科学合理、符合本项目要求的得4-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分；措施较详细、较科学合理、基本符合实际的得2-4分；措施不详细、欠科学合理、偏离实际的得0-2分。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0-6分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0" w:type="auto"/>
            <w:vMerge w:val="restart"/>
            <w:tcBorders>
              <w:top w:val="single" w:color="auto" w:sz="4" w:space="0"/>
              <w:left w:val="single" w:color="auto" w:sz="4" w:space="0"/>
              <w:right w:val="single" w:color="auto" w:sz="4" w:space="0"/>
            </w:tcBorders>
            <w:vAlign w:val="center"/>
          </w:tcPr>
          <w:p>
            <w:pPr>
              <w:ind w:right="-24" w:rightChars="-1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86" w:type="dxa"/>
            <w:vMerge w:val="restart"/>
            <w:tcBorders>
              <w:top w:val="single" w:color="auto" w:sz="4" w:space="0"/>
              <w:left w:val="single" w:color="auto" w:sz="4" w:space="0"/>
              <w:right w:val="single" w:color="auto" w:sz="4" w:space="0"/>
            </w:tcBorders>
            <w:vAlign w:val="center"/>
          </w:tcPr>
          <w:p>
            <w:pPr>
              <w:ind w:right="-24" w:rightChars="-1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售后服务承诺</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cs="宋体"/>
                <w:color w:val="auto"/>
                <w:szCs w:val="21"/>
                <w:highlight w:val="none"/>
              </w:rPr>
              <w:t>根据提供的针对本项目跟踪服务、特色服务承诺进行综合评定：考虑充分、针对性强、内容完整有条理的得4-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分；较合理、针对性</w:t>
            </w:r>
            <w:r>
              <w:rPr>
                <w:rFonts w:hint="eastAsia" w:ascii="宋体" w:hAnsi="宋体" w:cs="宋体"/>
                <w:color w:val="auto"/>
                <w:szCs w:val="21"/>
                <w:highlight w:val="none"/>
                <w:lang w:eastAsia="zh-CN"/>
              </w:rPr>
              <w:t>较强</w:t>
            </w:r>
            <w:r>
              <w:rPr>
                <w:rFonts w:hint="eastAsia" w:ascii="宋体" w:hAnsi="宋体" w:cs="宋体"/>
                <w:color w:val="auto"/>
                <w:szCs w:val="21"/>
                <w:highlight w:val="none"/>
              </w:rPr>
              <w:t>、内容较完整、条理较清晰的得2-4分；考虑不充分、针对性欠缺、内容不完整、缺乏条理的得0-2分</w:t>
            </w:r>
            <w:r>
              <w:rPr>
                <w:rFonts w:hint="eastAsia" w:ascii="宋体" w:hAnsi="宋体" w:cs="宋体"/>
                <w:color w:val="auto"/>
                <w:szCs w:val="21"/>
                <w:highlight w:val="none"/>
                <w:lang w:eastAsia="zh-CN"/>
              </w:rPr>
              <w:t>。</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提供不得分</w:t>
            </w:r>
            <w:r>
              <w:rPr>
                <w:rFonts w:hint="eastAsia" w:ascii="宋体" w:hAnsi="宋体" w:cs="宋体"/>
                <w:color w:val="auto"/>
                <w:sz w:val="24"/>
                <w:szCs w:val="24"/>
                <w:highlight w:val="none"/>
                <w:lang w:val="zh-CN"/>
              </w:rPr>
              <w:t>。</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0" w:type="auto"/>
            <w:vMerge w:val="continue"/>
            <w:tcBorders>
              <w:left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p>
        </w:tc>
        <w:tc>
          <w:tcPr>
            <w:tcW w:w="886" w:type="dxa"/>
            <w:vMerge w:val="continue"/>
            <w:tcBorders>
              <w:left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eastAsia="zh-CN"/>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Cs w:val="21"/>
                <w:highlight w:val="none"/>
              </w:rPr>
              <w:t>根据供应商提供的后续服务措施</w:t>
            </w:r>
            <w:r>
              <w:rPr>
                <w:rFonts w:hint="eastAsia" w:ascii="宋体" w:hAnsi="宋体" w:cs="宋体"/>
                <w:color w:val="auto"/>
                <w:kern w:val="0"/>
                <w:szCs w:val="21"/>
                <w:highlight w:val="none"/>
              </w:rPr>
              <w:t>进行综合评定：内容完整、科学有效、考虑充分的得4-</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分；基本可行的得2-4分，有欠缺的得0-2分</w:t>
            </w:r>
            <w:r>
              <w:rPr>
                <w:rFonts w:hint="eastAsia" w:ascii="宋体" w:hAnsi="宋体" w:cs="宋体"/>
                <w:color w:val="auto"/>
                <w:kern w:val="0"/>
                <w:szCs w:val="21"/>
                <w:highlight w:val="none"/>
                <w:lang w:eastAsia="zh-CN"/>
              </w:rPr>
              <w:t>。</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提供不得分</w:t>
            </w:r>
            <w:r>
              <w:rPr>
                <w:rFonts w:hint="eastAsia" w:ascii="宋体" w:hAnsi="宋体" w:eastAsia="宋体" w:cs="宋体"/>
                <w:color w:val="auto"/>
                <w:sz w:val="24"/>
                <w:szCs w:val="24"/>
                <w:highlight w:val="none"/>
                <w:lang w:val="zh-CN"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pPr>
        <w:rPr>
          <w:rFonts w:ascii="宋体" w:hAnsi="宋体" w:cs="宋体"/>
          <w:b/>
          <w:bCs/>
          <w:color w:val="auto"/>
          <w:highlight w:val="none"/>
        </w:rPr>
      </w:pPr>
    </w:p>
    <w:p>
      <w:pPr>
        <w:rPr>
          <w:rFonts w:ascii="宋体" w:hAnsi="宋体" w:cs="宋体"/>
          <w:color w:val="auto"/>
          <w:highlight w:val="none"/>
        </w:rPr>
      </w:pPr>
      <w:r>
        <w:rPr>
          <w:rFonts w:hint="eastAsia" w:ascii="宋体" w:hAnsi="宋体" w:cs="宋体"/>
          <w:b/>
          <w:bCs/>
          <w:color w:val="auto"/>
          <w:highlight w:val="none"/>
        </w:rPr>
        <w:t>注：以上证明文件复印件均须加盖公章，附在响应文件中，提供材料不真实、不完整或伪造证明材料的，后果自负</w:t>
      </w:r>
      <w:r>
        <w:rPr>
          <w:rFonts w:hint="eastAsia" w:ascii="宋体" w:hAnsi="宋体" w:cs="宋体"/>
          <w:color w:val="auto"/>
          <w:highlight w:val="none"/>
        </w:rPr>
        <w:t>。</w:t>
      </w:r>
    </w:p>
    <w:p>
      <w:pPr>
        <w:spacing w:line="380" w:lineRule="exact"/>
        <w:rPr>
          <w:rFonts w:ascii="宋体" w:hAnsi="宋体" w:cs="宋体"/>
          <w:b/>
          <w:color w:val="auto"/>
          <w:highlight w:val="none"/>
        </w:rPr>
      </w:pPr>
      <w:r>
        <w:rPr>
          <w:rFonts w:hint="eastAsia" w:ascii="宋体" w:hAnsi="宋体" w:cs="宋体"/>
          <w:b/>
          <w:color w:val="auto"/>
          <w:highlight w:val="none"/>
        </w:rPr>
        <w:t xml:space="preserve">    3、技术、商务分的计算</w:t>
      </w:r>
    </w:p>
    <w:p>
      <w:pPr>
        <w:spacing w:line="380" w:lineRule="exact"/>
        <w:rPr>
          <w:rFonts w:ascii="宋体" w:hAnsi="宋体" w:cs="宋体"/>
          <w:bCs/>
          <w:color w:val="auto"/>
          <w:highlight w:val="none"/>
        </w:rPr>
      </w:pPr>
      <w:r>
        <w:rPr>
          <w:rFonts w:hint="eastAsia" w:ascii="宋体" w:hAnsi="宋体" w:cs="宋体"/>
          <w:bCs/>
          <w:color w:val="auto"/>
          <w:highlight w:val="none"/>
        </w:rPr>
        <w:t xml:space="preserve">    技术、商务分按照磋商小组成员的独立评分结果汇总数算术平均分计算，计算公式为：</w:t>
      </w:r>
    </w:p>
    <w:p>
      <w:pPr>
        <w:spacing w:line="380" w:lineRule="exact"/>
        <w:rPr>
          <w:rFonts w:ascii="宋体" w:hAnsi="宋体" w:cs="宋体"/>
          <w:bCs/>
          <w:color w:val="auto"/>
          <w:highlight w:val="none"/>
        </w:rPr>
      </w:pPr>
      <w:r>
        <w:rPr>
          <w:rFonts w:hint="eastAsia" w:ascii="宋体" w:hAnsi="宋体" w:cs="宋体"/>
          <w:bCs/>
          <w:color w:val="auto"/>
          <w:highlight w:val="none"/>
        </w:rPr>
        <w:t>技术、商务分=（磋商小组成员评分合计数）/（磋商小组组成人员数）</w:t>
      </w:r>
    </w:p>
    <w:p>
      <w:pPr>
        <w:widowControl/>
        <w:autoSpaceDE w:val="0"/>
        <w:autoSpaceDN w:val="0"/>
        <w:snapToGrid w:val="0"/>
        <w:spacing w:line="380" w:lineRule="exact"/>
        <w:jc w:val="left"/>
        <w:rPr>
          <w:rFonts w:ascii="宋体" w:hAnsi="宋体" w:cs="宋体"/>
          <w:b/>
          <w:color w:val="auto"/>
          <w:highlight w:val="none"/>
        </w:rPr>
      </w:pPr>
      <w:r>
        <w:rPr>
          <w:rFonts w:hint="eastAsia" w:ascii="宋体" w:hAnsi="宋体" w:cs="宋体"/>
          <w:b/>
          <w:color w:val="auto"/>
          <w:highlight w:val="none"/>
        </w:rPr>
        <w:t xml:space="preserve">    4、评审方法</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磋商小组根据磋商情况及各供应商完工时间、服务条款响应情况、技术方案、提供服务的质量、付款方式、供应商综合实力、资信情况、承诺的售后服务等多方面进行评审。</w:t>
      </w:r>
    </w:p>
    <w:p>
      <w:pPr>
        <w:widowControl/>
        <w:autoSpaceDE w:val="0"/>
        <w:autoSpaceDN w:val="0"/>
        <w:snapToGrid w:val="0"/>
        <w:spacing w:line="38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确定进入最终报价的供应商名单。</w:t>
      </w:r>
    </w:p>
    <w:p>
      <w:pPr>
        <w:widowControl/>
        <w:autoSpaceDE w:val="0"/>
        <w:autoSpaceDN w:val="0"/>
        <w:snapToGrid w:val="0"/>
        <w:spacing w:line="380" w:lineRule="exact"/>
        <w:jc w:val="left"/>
        <w:rPr>
          <w:rFonts w:ascii="宋体" w:hAnsi="宋体" w:cs="宋体"/>
          <w:b/>
          <w:color w:val="auto"/>
          <w:highlight w:val="none"/>
        </w:rPr>
      </w:pPr>
      <w:r>
        <w:rPr>
          <w:rFonts w:hint="eastAsia" w:ascii="宋体" w:hAnsi="宋体" w:cs="宋体"/>
          <w:b/>
          <w:color w:val="auto"/>
          <w:highlight w:val="none"/>
        </w:rPr>
        <w:t xml:space="preserve">    5、推荐成交供应商</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并编写评审报告。</w:t>
      </w:r>
    </w:p>
    <w:p>
      <w:pPr>
        <w:pStyle w:val="5"/>
        <w:spacing w:before="0" w:after="0" w:line="380" w:lineRule="exact"/>
        <w:rPr>
          <w:rFonts w:ascii="宋体" w:hAnsi="宋体" w:eastAsia="宋体" w:cs="宋体"/>
          <w:color w:val="auto"/>
          <w:sz w:val="24"/>
          <w:szCs w:val="24"/>
          <w:highlight w:val="none"/>
        </w:rPr>
      </w:pPr>
      <w:bookmarkStart w:id="99" w:name="_Toc282640736"/>
      <w:bookmarkEnd w:id="99"/>
      <w:bookmarkStart w:id="100" w:name="_Toc11589"/>
      <w:bookmarkEnd w:id="100"/>
      <w:bookmarkStart w:id="101" w:name="_Toc29138"/>
      <w:bookmarkEnd w:id="101"/>
      <w:bookmarkStart w:id="102" w:name="_Toc14678"/>
      <w:bookmarkEnd w:id="102"/>
      <w:bookmarkStart w:id="103" w:name="_Toc402872211"/>
      <w:bookmarkEnd w:id="103"/>
      <w:r>
        <w:rPr>
          <w:rFonts w:hint="eastAsia" w:ascii="宋体" w:hAnsi="宋体" w:eastAsia="宋体" w:cs="宋体"/>
          <w:color w:val="auto"/>
          <w:sz w:val="24"/>
          <w:szCs w:val="24"/>
          <w:highlight w:val="none"/>
        </w:rPr>
        <w:t>八、资格审查</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1、磋商小组将对所选择的成交候选人是否有资格或能力圆满地履行合同做出进一步确认。</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2、如果供应商被确定为不具备履行合同的能力，磋商小组有权拒绝签发成交通知书。在该情况下，磋商小组将考虑按同样的程序审查下一位成交候选人。</w:t>
      </w:r>
    </w:p>
    <w:p>
      <w:pPr>
        <w:pStyle w:val="5"/>
        <w:spacing w:before="0" w:after="0" w:line="380" w:lineRule="exact"/>
        <w:rPr>
          <w:rFonts w:ascii="宋体" w:hAnsi="宋体" w:eastAsia="宋体" w:cs="宋体"/>
          <w:color w:val="auto"/>
          <w:sz w:val="24"/>
          <w:szCs w:val="24"/>
          <w:highlight w:val="none"/>
        </w:rPr>
      </w:pPr>
      <w:bookmarkStart w:id="104" w:name="_Toc402872212"/>
      <w:bookmarkEnd w:id="104"/>
      <w:bookmarkStart w:id="105" w:name="_Toc5918"/>
      <w:bookmarkEnd w:id="105"/>
      <w:bookmarkStart w:id="106" w:name="_Toc29356"/>
      <w:bookmarkEnd w:id="106"/>
      <w:bookmarkStart w:id="107" w:name="_Toc20293"/>
      <w:bookmarkEnd w:id="107"/>
      <w:r>
        <w:rPr>
          <w:rFonts w:hint="eastAsia" w:ascii="宋体" w:hAnsi="宋体" w:eastAsia="宋体" w:cs="宋体"/>
          <w:color w:val="auto"/>
          <w:sz w:val="24"/>
          <w:szCs w:val="24"/>
          <w:highlight w:val="none"/>
        </w:rPr>
        <w:t>九、 成交通知、授予合同</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1、经磋商小组审查，确定成交候选人，发出成交通知书。</w:t>
      </w:r>
    </w:p>
    <w:p>
      <w:pPr>
        <w:widowControl/>
        <w:autoSpaceDE w:val="0"/>
        <w:autoSpaceDN w:val="0"/>
        <w:snapToGrid w:val="0"/>
        <w:spacing w:line="38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2、成交供应商凭成交通知书在30天内签订合同，逾期取消成交资格。</w:t>
      </w:r>
    </w:p>
    <w:p>
      <w:pPr>
        <w:widowControl/>
        <w:autoSpaceDE w:val="0"/>
        <w:autoSpaceDN w:val="0"/>
        <w:snapToGrid w:val="0"/>
        <w:spacing w:line="38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3、成交供应商在规定的时间内不履行合同，按违约处理，并按有关规定承担违约责任。</w:t>
      </w:r>
    </w:p>
    <w:p>
      <w:pPr>
        <w:pStyle w:val="4"/>
        <w:spacing w:after="0" w:line="800" w:lineRule="exact"/>
        <w:jc w:val="center"/>
        <w:rPr>
          <w:rFonts w:ascii="宋体" w:hAnsi="宋体" w:cs="宋体"/>
          <w:color w:val="auto"/>
          <w:szCs w:val="32"/>
          <w:highlight w:val="none"/>
        </w:rPr>
      </w:pPr>
    </w:p>
    <w:p>
      <w:pPr>
        <w:rPr>
          <w:rFonts w:ascii="宋体" w:hAnsi="宋体" w:cs="宋体"/>
          <w:color w:val="auto"/>
          <w:sz w:val="32"/>
          <w:szCs w:val="32"/>
          <w:highlight w:val="none"/>
        </w:rPr>
      </w:pPr>
    </w:p>
    <w:p>
      <w:pPr>
        <w:jc w:val="center"/>
        <w:rPr>
          <w:rFonts w:ascii="宋体" w:hAnsi="宋体" w:cs="宋体"/>
          <w:b/>
          <w:color w:val="auto"/>
          <w:sz w:val="44"/>
          <w:szCs w:val="44"/>
          <w:highlight w:val="none"/>
        </w:rPr>
      </w:pPr>
      <w:bookmarkStart w:id="108" w:name="_Toc21568"/>
      <w:bookmarkEnd w:id="108"/>
      <w:bookmarkStart w:id="109" w:name="_Toc20893"/>
      <w:r>
        <w:rPr>
          <w:rFonts w:hint="eastAsia"/>
          <w:color w:val="auto"/>
          <w:highlight w:val="none"/>
        </w:rPr>
        <w:br w:type="page"/>
      </w:r>
      <w:r>
        <w:rPr>
          <w:rFonts w:hint="eastAsia" w:ascii="宋体" w:hAnsi="宋体" w:cs="宋体"/>
          <w:color w:val="auto"/>
          <w:sz w:val="44"/>
          <w:szCs w:val="44"/>
          <w:highlight w:val="none"/>
        </w:rPr>
        <w:t>第五章  合同主要条款（仅供参考）</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（服务类）</w:t>
      </w:r>
    </w:p>
    <w:p>
      <w:pPr>
        <w:pStyle w:val="12"/>
        <w:rPr>
          <w:bCs/>
          <w:color w:val="auto"/>
          <w:highlight w:val="none"/>
        </w:rPr>
      </w:pPr>
      <w:r>
        <w:rPr>
          <w:rFonts w:hint="eastAsia"/>
          <w:bCs/>
          <w:color w:val="auto"/>
          <w:highlight w:val="none"/>
        </w:rPr>
        <w:t xml:space="preserve">财政审批编号:                                        招标文件编号:  </w:t>
      </w:r>
    </w:p>
    <w:p>
      <w:pPr>
        <w:pStyle w:val="12"/>
        <w:ind w:left="480" w:leftChars="200" w:firstLine="360" w:firstLineChars="150"/>
        <w:rPr>
          <w:bCs/>
          <w:color w:val="auto"/>
          <w:highlight w:val="none"/>
        </w:rPr>
      </w:pPr>
      <w:r>
        <w:rPr>
          <w:rFonts w:hint="eastAsia"/>
          <w:bCs/>
          <w:color w:val="auto"/>
          <w:highlight w:val="none"/>
        </w:rPr>
        <w:t>1.定义</w:t>
      </w:r>
    </w:p>
    <w:p>
      <w:pPr>
        <w:pStyle w:val="12"/>
        <w:ind w:left="480" w:leftChars="200" w:firstLine="360" w:firstLineChars="150"/>
        <w:rPr>
          <w:bCs/>
          <w:color w:val="auto"/>
          <w:highlight w:val="none"/>
        </w:rPr>
      </w:pPr>
      <w:r>
        <w:rPr>
          <w:rFonts w:hint="eastAsia"/>
          <w:bCs/>
          <w:color w:val="auto"/>
          <w:highlight w:val="none"/>
        </w:rPr>
        <w:t>本合同中的下列术语应解释为：</w:t>
      </w:r>
    </w:p>
    <w:p>
      <w:pPr>
        <w:pStyle w:val="12"/>
        <w:ind w:left="480" w:leftChars="200" w:firstLine="360" w:firstLineChars="150"/>
        <w:rPr>
          <w:bCs/>
          <w:color w:val="auto"/>
          <w:highlight w:val="none"/>
        </w:rPr>
      </w:pPr>
      <w:r>
        <w:rPr>
          <w:rFonts w:hint="eastAsia"/>
          <w:bCs/>
          <w:color w:val="auto"/>
          <w:highlight w:val="none"/>
        </w:rPr>
        <w:t>1.1“合同”系指供需双方签署的、合同格式中载明的供需双方所达成的协议，包括所有的附件、附录和构成合同的所有文件；</w:t>
      </w:r>
    </w:p>
    <w:p>
      <w:pPr>
        <w:pStyle w:val="12"/>
        <w:ind w:left="480" w:leftChars="200" w:firstLine="360" w:firstLineChars="150"/>
        <w:rPr>
          <w:bCs/>
          <w:color w:val="auto"/>
          <w:highlight w:val="none"/>
        </w:rPr>
      </w:pPr>
      <w:r>
        <w:rPr>
          <w:rFonts w:hint="eastAsia"/>
          <w:bCs/>
          <w:color w:val="auto"/>
          <w:highlight w:val="none"/>
        </w:rPr>
        <w:t>1.2“合同价”系指根据合同规定，采购人在供应商完全履行合同义务后应付给的价格；</w:t>
      </w:r>
    </w:p>
    <w:p>
      <w:pPr>
        <w:pStyle w:val="12"/>
        <w:ind w:left="480" w:leftChars="200" w:firstLine="360" w:firstLineChars="150"/>
        <w:rPr>
          <w:bCs/>
          <w:color w:val="auto"/>
          <w:highlight w:val="none"/>
        </w:rPr>
      </w:pPr>
      <w:r>
        <w:rPr>
          <w:rFonts w:hint="eastAsia"/>
          <w:bCs/>
          <w:color w:val="auto"/>
          <w:highlight w:val="none"/>
        </w:rPr>
        <w:t>1.3“货物”系指供应商根据合同规定向采购人提供的一切货物、质量保证书和其他技术资料及技术参数；</w:t>
      </w:r>
    </w:p>
    <w:p>
      <w:pPr>
        <w:pStyle w:val="12"/>
        <w:ind w:left="480" w:leftChars="200" w:firstLine="360" w:firstLineChars="150"/>
        <w:rPr>
          <w:bCs/>
          <w:color w:val="auto"/>
          <w:highlight w:val="none"/>
        </w:rPr>
      </w:pPr>
      <w:r>
        <w:rPr>
          <w:rFonts w:hint="eastAsia"/>
          <w:bCs/>
          <w:color w:val="auto"/>
          <w:highlight w:val="none"/>
        </w:rPr>
        <w:t>1.4“服务”系指根据合同规定供应商承担与供货有关的辅助服务，如运输、装卸、安装、保险以及其他的服务，例如安装、调试提供技术援助、培训和其他类似的义务；</w:t>
      </w:r>
    </w:p>
    <w:p>
      <w:pPr>
        <w:pStyle w:val="12"/>
        <w:ind w:left="480" w:leftChars="200" w:firstLine="360" w:firstLineChars="150"/>
        <w:rPr>
          <w:bCs/>
          <w:color w:val="auto"/>
          <w:highlight w:val="none"/>
        </w:rPr>
      </w:pPr>
      <w:r>
        <w:rPr>
          <w:rFonts w:hint="eastAsia"/>
          <w:bCs/>
          <w:color w:val="auto"/>
          <w:highlight w:val="none"/>
        </w:rPr>
        <w:t>1.5“采购人”系指具体使用货物和接受服务的使用单位；</w:t>
      </w:r>
    </w:p>
    <w:p>
      <w:pPr>
        <w:pStyle w:val="12"/>
        <w:ind w:left="480" w:leftChars="200" w:firstLine="360" w:firstLineChars="150"/>
        <w:rPr>
          <w:bCs/>
          <w:color w:val="auto"/>
          <w:highlight w:val="none"/>
        </w:rPr>
      </w:pPr>
      <w:r>
        <w:rPr>
          <w:rFonts w:hint="eastAsia"/>
          <w:bCs/>
          <w:color w:val="auto"/>
          <w:highlight w:val="none"/>
        </w:rPr>
        <w:t>1.6“供应商”系指根据合同规定提供采购项目货物和服务的具有法人资格的公司、企业或实体；</w:t>
      </w:r>
    </w:p>
    <w:p>
      <w:pPr>
        <w:pStyle w:val="12"/>
        <w:ind w:left="480" w:leftChars="200" w:firstLine="360" w:firstLineChars="150"/>
        <w:rPr>
          <w:bCs/>
          <w:color w:val="auto"/>
          <w:highlight w:val="none"/>
        </w:rPr>
      </w:pPr>
      <w:r>
        <w:rPr>
          <w:rFonts w:hint="eastAsia"/>
          <w:bCs/>
          <w:color w:val="auto"/>
          <w:highlight w:val="none"/>
        </w:rPr>
        <w:t>1.7“财政审批编号”系指市财政局审批编号。</w:t>
      </w:r>
    </w:p>
    <w:p>
      <w:pPr>
        <w:pStyle w:val="12"/>
        <w:ind w:left="480" w:leftChars="200" w:firstLine="360" w:firstLineChars="150"/>
        <w:rPr>
          <w:bCs/>
          <w:color w:val="auto"/>
          <w:highlight w:val="none"/>
        </w:rPr>
      </w:pPr>
      <w:r>
        <w:rPr>
          <w:rFonts w:hint="eastAsia"/>
          <w:bCs/>
          <w:color w:val="auto"/>
          <w:highlight w:val="none"/>
        </w:rPr>
        <w:t>2.合同项目与内容：</w:t>
      </w:r>
    </w:p>
    <w:p>
      <w:pPr>
        <w:pStyle w:val="12"/>
        <w:ind w:left="480" w:leftChars="200" w:firstLine="360" w:firstLineChars="150"/>
        <w:rPr>
          <w:bCs/>
          <w:color w:val="auto"/>
          <w:highlight w:val="none"/>
        </w:rPr>
      </w:pPr>
      <w:r>
        <w:rPr>
          <w:rFonts w:hint="eastAsia"/>
          <w:bCs/>
          <w:color w:val="auto"/>
          <w:highlight w:val="none"/>
        </w:rPr>
        <w:t xml:space="preserve">   </w:t>
      </w:r>
    </w:p>
    <w:p>
      <w:pPr>
        <w:pStyle w:val="12"/>
        <w:ind w:left="480" w:leftChars="200" w:firstLine="360" w:firstLineChars="150"/>
        <w:rPr>
          <w:bCs/>
          <w:color w:val="auto"/>
          <w:highlight w:val="none"/>
        </w:rPr>
      </w:pPr>
      <w:r>
        <w:rPr>
          <w:rFonts w:hint="eastAsia"/>
          <w:bCs/>
          <w:color w:val="auto"/>
          <w:highlight w:val="none"/>
        </w:rPr>
        <w:t>3.服务时间与服务地点</w:t>
      </w:r>
    </w:p>
    <w:p>
      <w:pPr>
        <w:pStyle w:val="12"/>
        <w:ind w:left="480" w:leftChars="200" w:firstLine="360" w:firstLineChars="150"/>
        <w:rPr>
          <w:bCs/>
          <w:color w:val="auto"/>
          <w:highlight w:val="none"/>
        </w:rPr>
      </w:pPr>
      <w:r>
        <w:rPr>
          <w:rFonts w:hint="eastAsia"/>
          <w:bCs/>
          <w:color w:val="auto"/>
          <w:highlight w:val="none"/>
        </w:rPr>
        <w:t>服务时间：详见招标文件要求；</w:t>
      </w:r>
    </w:p>
    <w:p>
      <w:pPr>
        <w:pStyle w:val="12"/>
        <w:ind w:left="480" w:leftChars="200" w:firstLine="360" w:firstLineChars="150"/>
        <w:rPr>
          <w:bCs/>
          <w:color w:val="auto"/>
          <w:highlight w:val="none"/>
        </w:rPr>
      </w:pPr>
      <w:r>
        <w:rPr>
          <w:rFonts w:hint="eastAsia"/>
          <w:bCs/>
          <w:color w:val="auto"/>
          <w:highlight w:val="none"/>
        </w:rPr>
        <w:t>服务地点：由采购单位指定。</w:t>
      </w:r>
    </w:p>
    <w:p>
      <w:pPr>
        <w:pStyle w:val="12"/>
        <w:ind w:left="480" w:leftChars="200" w:firstLine="360" w:firstLineChars="150"/>
        <w:rPr>
          <w:bCs/>
          <w:color w:val="auto"/>
          <w:highlight w:val="none"/>
        </w:rPr>
      </w:pPr>
      <w:r>
        <w:rPr>
          <w:rFonts w:hint="eastAsia"/>
          <w:bCs/>
          <w:color w:val="auto"/>
          <w:highlight w:val="none"/>
        </w:rPr>
        <w:t>4.签署合同的要求</w:t>
      </w:r>
    </w:p>
    <w:p>
      <w:pPr>
        <w:pStyle w:val="12"/>
        <w:ind w:left="480" w:leftChars="200" w:firstLine="360" w:firstLineChars="150"/>
        <w:rPr>
          <w:bCs/>
          <w:color w:val="auto"/>
          <w:highlight w:val="none"/>
        </w:rPr>
      </w:pPr>
      <w:r>
        <w:rPr>
          <w:rFonts w:hint="eastAsia"/>
          <w:bCs/>
          <w:color w:val="auto"/>
          <w:highlight w:val="none"/>
        </w:rPr>
        <w:t>4.1、供应商必须按照竞标文件和询标过程中承诺的条款以及中标通知书中规定的时间、地点与采购人签订合同；</w:t>
      </w:r>
    </w:p>
    <w:p>
      <w:pPr>
        <w:pStyle w:val="12"/>
        <w:ind w:left="480" w:leftChars="200" w:firstLine="360" w:firstLineChars="150"/>
        <w:rPr>
          <w:bCs/>
          <w:color w:val="auto"/>
          <w:highlight w:val="none"/>
        </w:rPr>
      </w:pPr>
      <w:r>
        <w:rPr>
          <w:rFonts w:hint="eastAsia"/>
          <w:bCs/>
          <w:color w:val="auto"/>
          <w:highlight w:val="none"/>
        </w:rPr>
        <w:t>4.2、所签订的合同内容不得对招标文件和供应商的投标文件作实质性修改；</w:t>
      </w:r>
    </w:p>
    <w:p>
      <w:pPr>
        <w:pStyle w:val="12"/>
        <w:ind w:left="480" w:leftChars="200" w:firstLine="360" w:firstLineChars="150"/>
        <w:rPr>
          <w:bCs/>
          <w:color w:val="auto"/>
          <w:highlight w:val="none"/>
        </w:rPr>
      </w:pPr>
      <w:r>
        <w:rPr>
          <w:rFonts w:hint="eastAsia"/>
          <w:bCs/>
          <w:color w:val="auto"/>
          <w:highlight w:val="none"/>
        </w:rPr>
        <w:t>4.3、采购人不得向供应商提出任何不合理的要求，作为签订合同的条件，不得与供应商私下订立背离合同实质性内容的协议；</w:t>
      </w:r>
    </w:p>
    <w:p>
      <w:pPr>
        <w:pStyle w:val="12"/>
        <w:ind w:left="480" w:leftChars="200" w:firstLine="360" w:firstLineChars="150"/>
        <w:rPr>
          <w:bCs/>
          <w:color w:val="auto"/>
          <w:highlight w:val="none"/>
        </w:rPr>
      </w:pPr>
      <w:r>
        <w:rPr>
          <w:rFonts w:hint="eastAsia"/>
          <w:bCs/>
          <w:color w:val="auto"/>
          <w:highlight w:val="none"/>
        </w:rPr>
        <w:t>5.技术规范</w:t>
      </w:r>
    </w:p>
    <w:p>
      <w:pPr>
        <w:pStyle w:val="12"/>
        <w:ind w:left="480" w:leftChars="200" w:firstLine="360" w:firstLineChars="150"/>
        <w:rPr>
          <w:bCs/>
          <w:color w:val="auto"/>
          <w:highlight w:val="none"/>
          <w:lang w:val="zh-CN"/>
        </w:rPr>
      </w:pPr>
      <w:r>
        <w:rPr>
          <w:rFonts w:hint="eastAsia"/>
          <w:bCs/>
          <w:color w:val="auto"/>
          <w:highlight w:val="none"/>
          <w:lang w:val="zh-CN"/>
        </w:rPr>
        <w:t>本合同执行国家及本省、市现行项目实施及验收规范及有关条例、实施办法等。</w:t>
      </w:r>
    </w:p>
    <w:p>
      <w:pPr>
        <w:pStyle w:val="12"/>
        <w:ind w:left="480" w:leftChars="200" w:firstLine="360" w:firstLineChars="150"/>
        <w:rPr>
          <w:bCs/>
          <w:color w:val="auto"/>
          <w:highlight w:val="none"/>
        </w:rPr>
      </w:pPr>
      <w:r>
        <w:rPr>
          <w:rFonts w:hint="eastAsia"/>
          <w:bCs/>
          <w:color w:val="auto"/>
          <w:highlight w:val="none"/>
        </w:rPr>
        <w:t>提供和交付的服务技术规范应与招标文件规定的技术规范相一致。</w:t>
      </w:r>
    </w:p>
    <w:p>
      <w:pPr>
        <w:pStyle w:val="12"/>
        <w:ind w:left="480" w:leftChars="200" w:firstLine="360" w:firstLineChars="150"/>
        <w:rPr>
          <w:bCs/>
          <w:color w:val="auto"/>
          <w:highlight w:val="none"/>
        </w:rPr>
      </w:pPr>
      <w:r>
        <w:rPr>
          <w:rFonts w:hint="eastAsia"/>
          <w:bCs/>
          <w:color w:val="auto"/>
          <w:highlight w:val="none"/>
        </w:rPr>
        <w:t>6.知识产权</w:t>
      </w:r>
    </w:p>
    <w:p>
      <w:pPr>
        <w:pStyle w:val="12"/>
        <w:ind w:left="480" w:leftChars="200" w:firstLine="360" w:firstLineChars="150"/>
        <w:rPr>
          <w:bCs/>
          <w:color w:val="auto"/>
          <w:highlight w:val="none"/>
        </w:rPr>
      </w:pPr>
      <w:r>
        <w:rPr>
          <w:rFonts w:hint="eastAsia"/>
          <w:bCs/>
          <w:color w:val="auto"/>
          <w:highlight w:val="none"/>
        </w:rPr>
        <w:t>供应商保证所提供的服务及货物均不存在知识产权纠纷。供应商应保证采购人在使用时不受第三方提出侵犯其专利权、商标权等知识产权的诉讼。</w:t>
      </w:r>
    </w:p>
    <w:p>
      <w:pPr>
        <w:pStyle w:val="12"/>
        <w:ind w:left="480" w:leftChars="200" w:firstLine="360" w:firstLineChars="150"/>
        <w:rPr>
          <w:bCs/>
          <w:color w:val="auto"/>
          <w:highlight w:val="none"/>
        </w:rPr>
      </w:pPr>
      <w:r>
        <w:rPr>
          <w:rFonts w:hint="eastAsia"/>
          <w:bCs/>
          <w:color w:val="auto"/>
          <w:highlight w:val="none"/>
        </w:rPr>
        <w:t>7. 工作考核及付款方式</w:t>
      </w:r>
    </w:p>
    <w:p>
      <w:pPr>
        <w:pStyle w:val="12"/>
        <w:ind w:left="480" w:leftChars="200" w:firstLine="360" w:firstLineChars="150"/>
        <w:rPr>
          <w:bCs/>
          <w:color w:val="auto"/>
          <w:highlight w:val="none"/>
        </w:rPr>
      </w:pPr>
      <w:r>
        <w:rPr>
          <w:rFonts w:hint="eastAsia"/>
          <w:bCs/>
          <w:color w:val="auto"/>
          <w:highlight w:val="none"/>
        </w:rPr>
        <w:t>根据省财政厅《浙江省财政厅关于进一步发挥政府采购政策功能全力推动经济稳进提质的通知》（浙财采监【2022】3号）要求，</w:t>
      </w:r>
    </w:p>
    <w:p>
      <w:pPr>
        <w:pStyle w:val="12"/>
        <w:ind w:left="480" w:leftChars="200" w:firstLine="360" w:firstLineChars="150"/>
        <w:rPr>
          <w:bCs/>
          <w:color w:val="auto"/>
          <w:highlight w:val="none"/>
        </w:rPr>
      </w:pPr>
      <w:r>
        <w:rPr>
          <w:rFonts w:hint="eastAsia"/>
          <w:bCs/>
          <w:color w:val="auto"/>
          <w:highlight w:val="none"/>
        </w:rPr>
        <w:t>付款方式：</w:t>
      </w:r>
    </w:p>
    <w:p>
      <w:pPr>
        <w:pStyle w:val="12"/>
        <w:ind w:left="480" w:leftChars="200" w:firstLine="360" w:firstLineChars="150"/>
        <w:rPr>
          <w:bCs/>
          <w:color w:val="auto"/>
          <w:highlight w:val="none"/>
        </w:rPr>
      </w:pPr>
      <w:r>
        <w:rPr>
          <w:rFonts w:hint="eastAsia"/>
          <w:bCs/>
          <w:color w:val="auto"/>
          <w:highlight w:val="none"/>
        </w:rPr>
        <w:t>（在签订合同时，供应商明确表示无需预付款或者主动要求降低预付款比例的，采购合同可不适用前述规定。）</w:t>
      </w:r>
    </w:p>
    <w:p>
      <w:pPr>
        <w:pStyle w:val="12"/>
        <w:ind w:left="480" w:leftChars="200" w:firstLine="360" w:firstLineChars="150"/>
        <w:rPr>
          <w:bCs/>
          <w:color w:val="auto"/>
          <w:highlight w:val="none"/>
        </w:rPr>
      </w:pPr>
      <w:r>
        <w:rPr>
          <w:rFonts w:hint="eastAsia"/>
          <w:bCs/>
          <w:color w:val="auto"/>
          <w:highlight w:val="none"/>
        </w:rPr>
        <w:t>8.支付：支付应使用人民币；</w:t>
      </w:r>
    </w:p>
    <w:p>
      <w:pPr>
        <w:pStyle w:val="12"/>
        <w:ind w:left="480" w:leftChars="200" w:firstLine="360" w:firstLineChars="150"/>
        <w:rPr>
          <w:bCs/>
          <w:color w:val="auto"/>
          <w:highlight w:val="none"/>
        </w:rPr>
      </w:pPr>
      <w:r>
        <w:rPr>
          <w:rFonts w:hint="eastAsia"/>
          <w:bCs/>
          <w:color w:val="auto"/>
          <w:highlight w:val="none"/>
        </w:rPr>
        <w:t>9.技术服务</w:t>
      </w:r>
    </w:p>
    <w:p>
      <w:pPr>
        <w:pStyle w:val="12"/>
        <w:ind w:left="480" w:leftChars="200" w:firstLine="360" w:firstLineChars="150"/>
        <w:rPr>
          <w:bCs/>
          <w:color w:val="auto"/>
          <w:highlight w:val="none"/>
        </w:rPr>
      </w:pPr>
      <w:r>
        <w:rPr>
          <w:rFonts w:hint="eastAsia"/>
          <w:bCs/>
          <w:color w:val="auto"/>
          <w:highlight w:val="none"/>
        </w:rPr>
        <w:t>供应商应负责安排采购人相关人员进行操作、维修的培训。具体时间及培训内容在投标时由供应商提出建议；</w:t>
      </w:r>
    </w:p>
    <w:p>
      <w:pPr>
        <w:pStyle w:val="12"/>
        <w:ind w:left="480" w:leftChars="200" w:firstLine="360" w:firstLineChars="150"/>
        <w:rPr>
          <w:bCs/>
          <w:color w:val="auto"/>
          <w:highlight w:val="none"/>
        </w:rPr>
      </w:pPr>
      <w:r>
        <w:rPr>
          <w:rFonts w:hint="eastAsia"/>
          <w:bCs/>
          <w:color w:val="auto"/>
          <w:highlight w:val="none"/>
        </w:rPr>
        <w:t>10.售后服务及承诺</w:t>
      </w:r>
    </w:p>
    <w:p>
      <w:pPr>
        <w:pStyle w:val="12"/>
        <w:ind w:left="480" w:leftChars="200" w:firstLine="360" w:firstLineChars="150"/>
        <w:rPr>
          <w:bCs/>
          <w:color w:val="auto"/>
          <w:highlight w:val="none"/>
        </w:rPr>
      </w:pPr>
      <w:r>
        <w:rPr>
          <w:rFonts w:hint="eastAsia"/>
          <w:bCs/>
          <w:color w:val="auto"/>
          <w:highlight w:val="none"/>
        </w:rPr>
        <w:t>10.1供应商应明确承诺售后服务各项内容和措施，提供详细的服务地点、联系人、电话等有关资料；</w:t>
      </w:r>
    </w:p>
    <w:p>
      <w:pPr>
        <w:pStyle w:val="12"/>
        <w:ind w:left="480" w:leftChars="200" w:firstLine="360" w:firstLineChars="150"/>
        <w:rPr>
          <w:bCs/>
          <w:color w:val="auto"/>
          <w:highlight w:val="none"/>
        </w:rPr>
      </w:pPr>
      <w:r>
        <w:rPr>
          <w:rFonts w:hint="eastAsia"/>
          <w:bCs/>
          <w:color w:val="auto"/>
          <w:highlight w:val="none"/>
        </w:rPr>
        <w:t>10.2服务期：详见招标文件要求。在服务期内，因服务质量所发生的一切费用均由供应商承担；</w:t>
      </w:r>
    </w:p>
    <w:p>
      <w:pPr>
        <w:pStyle w:val="12"/>
        <w:ind w:left="480" w:leftChars="200" w:firstLine="360" w:firstLineChars="150"/>
        <w:rPr>
          <w:bCs/>
          <w:color w:val="auto"/>
          <w:highlight w:val="none"/>
        </w:rPr>
      </w:pPr>
      <w:r>
        <w:rPr>
          <w:rFonts w:hint="eastAsia"/>
          <w:bCs/>
          <w:color w:val="auto"/>
          <w:highlight w:val="none"/>
        </w:rPr>
        <w:t>11.履约保证及后续服务</w:t>
      </w:r>
    </w:p>
    <w:p>
      <w:pPr>
        <w:pStyle w:val="12"/>
        <w:ind w:left="480" w:leftChars="200" w:firstLine="360" w:firstLineChars="150"/>
        <w:rPr>
          <w:bCs/>
          <w:color w:val="auto"/>
          <w:highlight w:val="none"/>
        </w:rPr>
      </w:pPr>
      <w:r>
        <w:rPr>
          <w:rFonts w:hint="eastAsia"/>
          <w:bCs/>
          <w:color w:val="auto"/>
          <w:highlight w:val="none"/>
        </w:rPr>
        <w:t>11.1 供应商应在签订本合同之日起/日内提供履约保证金/元，提供由银行、保险公司出具保函形式提交履约保证金。</w:t>
      </w:r>
    </w:p>
    <w:p>
      <w:pPr>
        <w:pStyle w:val="12"/>
        <w:ind w:left="480" w:leftChars="200" w:firstLine="360" w:firstLineChars="150"/>
        <w:rPr>
          <w:bCs/>
          <w:color w:val="auto"/>
          <w:highlight w:val="none"/>
        </w:rPr>
      </w:pPr>
      <w:r>
        <w:rPr>
          <w:rFonts w:hint="eastAsia"/>
          <w:bCs/>
          <w:color w:val="auto"/>
          <w:highlight w:val="none"/>
        </w:rPr>
        <w:t>11.2 供应商应按招标文件规定的服务标准向采购人提供服务。</w:t>
      </w:r>
    </w:p>
    <w:p>
      <w:pPr>
        <w:pStyle w:val="12"/>
        <w:ind w:left="480" w:leftChars="200" w:firstLine="360" w:firstLineChars="150"/>
        <w:rPr>
          <w:bCs/>
          <w:color w:val="auto"/>
          <w:highlight w:val="none"/>
        </w:rPr>
      </w:pPr>
      <w:r>
        <w:rPr>
          <w:rFonts w:hint="eastAsia"/>
          <w:bCs/>
          <w:color w:val="auto"/>
          <w:highlight w:val="none"/>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pStyle w:val="12"/>
        <w:ind w:left="480" w:leftChars="200" w:firstLine="360" w:firstLineChars="150"/>
        <w:rPr>
          <w:bCs/>
          <w:color w:val="auto"/>
          <w:highlight w:val="none"/>
        </w:rPr>
      </w:pPr>
      <w:r>
        <w:rPr>
          <w:rFonts w:hint="eastAsia"/>
          <w:bCs/>
          <w:color w:val="auto"/>
          <w:highlight w:val="none"/>
        </w:rPr>
        <w:t>11.4 供应商提供的服务人员不符合本合同约定的数额，供应商应当自接到采购人通知之日起2日内予以补足，采购人有权按照缺岗天数及缺岗人数扣除相应的履约保证金。</w:t>
      </w:r>
    </w:p>
    <w:p>
      <w:pPr>
        <w:pStyle w:val="12"/>
        <w:ind w:left="480" w:leftChars="200" w:firstLine="360" w:firstLineChars="150"/>
        <w:rPr>
          <w:bCs/>
          <w:color w:val="auto"/>
          <w:highlight w:val="none"/>
        </w:rPr>
      </w:pPr>
      <w:r>
        <w:rPr>
          <w:rFonts w:hint="eastAsia"/>
          <w:bCs/>
          <w:color w:val="auto"/>
          <w:highlight w:val="none"/>
        </w:rPr>
        <w:t>11.5 由于供应商服务人员原因在服务工作中给采购人的设施、材料造成损失，供应商应负责赔偿。</w:t>
      </w:r>
    </w:p>
    <w:p>
      <w:pPr>
        <w:pStyle w:val="12"/>
        <w:ind w:left="480" w:leftChars="200" w:firstLine="360" w:firstLineChars="150"/>
        <w:rPr>
          <w:bCs/>
          <w:color w:val="auto"/>
          <w:highlight w:val="none"/>
        </w:rPr>
      </w:pPr>
      <w:r>
        <w:rPr>
          <w:rFonts w:hint="eastAsia"/>
          <w:bCs/>
          <w:color w:val="auto"/>
          <w:highlight w:val="none"/>
        </w:rPr>
        <w:t>11.6 在使用过程中发生问题，供应商在接到采购人通知后在    小时内到达采购人现场。</w:t>
      </w:r>
    </w:p>
    <w:p>
      <w:pPr>
        <w:pStyle w:val="12"/>
        <w:ind w:left="480" w:leftChars="200" w:firstLine="360" w:firstLineChars="150"/>
        <w:rPr>
          <w:bCs/>
          <w:color w:val="auto"/>
          <w:highlight w:val="none"/>
        </w:rPr>
      </w:pPr>
      <w:r>
        <w:rPr>
          <w:rFonts w:hint="eastAsia"/>
          <w:bCs/>
          <w:color w:val="auto"/>
          <w:highlight w:val="none"/>
        </w:rPr>
        <w:t>11.7 在服务质量保证期内，供应商应对出现的服务质量及安全问题负责处理解决并承担一切费用。</w:t>
      </w:r>
    </w:p>
    <w:p>
      <w:pPr>
        <w:pStyle w:val="12"/>
        <w:ind w:left="480" w:leftChars="200" w:firstLine="360" w:firstLineChars="150"/>
        <w:rPr>
          <w:bCs/>
          <w:color w:val="auto"/>
          <w:highlight w:val="none"/>
        </w:rPr>
      </w:pPr>
      <w:r>
        <w:rPr>
          <w:rFonts w:hint="eastAsia"/>
          <w:bCs/>
          <w:color w:val="auto"/>
          <w:highlight w:val="none"/>
        </w:rPr>
        <w:t>11.8 在本合同履行完毕后，采购人扣除供应商在履约过程中产生的本合同涉及的相关赔偿金额后，在/日内将剩余履约保证金退还至供应商。</w:t>
      </w:r>
    </w:p>
    <w:p>
      <w:pPr>
        <w:pStyle w:val="12"/>
        <w:ind w:left="480" w:leftChars="200" w:firstLine="360" w:firstLineChars="150"/>
        <w:rPr>
          <w:bCs/>
          <w:color w:val="auto"/>
          <w:highlight w:val="none"/>
        </w:rPr>
      </w:pPr>
      <w:r>
        <w:rPr>
          <w:rFonts w:hint="eastAsia"/>
          <w:bCs/>
          <w:color w:val="auto"/>
          <w:highlight w:val="none"/>
        </w:rPr>
        <w:t>12.违约责任</w:t>
      </w:r>
    </w:p>
    <w:p>
      <w:pPr>
        <w:pStyle w:val="12"/>
        <w:ind w:left="480" w:leftChars="200" w:firstLine="360" w:firstLineChars="150"/>
        <w:rPr>
          <w:bCs/>
          <w:color w:val="auto"/>
          <w:highlight w:val="none"/>
        </w:rPr>
      </w:pPr>
      <w:r>
        <w:rPr>
          <w:rFonts w:hint="eastAsia"/>
          <w:bCs/>
          <w:color w:val="auto"/>
          <w:highlight w:val="none"/>
        </w:rPr>
        <w:t>12.1 采购人无正当理由拒收接受服务的，采购人向供应商偿付合同款项百分之五作为违约金。</w:t>
      </w:r>
    </w:p>
    <w:p>
      <w:pPr>
        <w:pStyle w:val="12"/>
        <w:ind w:left="480" w:leftChars="200" w:firstLine="360" w:firstLineChars="150"/>
        <w:rPr>
          <w:bCs/>
          <w:color w:val="auto"/>
          <w:highlight w:val="none"/>
        </w:rPr>
      </w:pPr>
      <w:r>
        <w:rPr>
          <w:rFonts w:hint="eastAsia"/>
          <w:bCs/>
          <w:color w:val="auto"/>
          <w:highlight w:val="none"/>
        </w:rPr>
        <w:t>12.2 采购人无故逾期验收和办理款项支付手续的,采购人应按逾期付款总额每日万分之五向供应商支付违约金。</w:t>
      </w:r>
    </w:p>
    <w:p>
      <w:pPr>
        <w:pStyle w:val="12"/>
        <w:ind w:left="480" w:leftChars="200" w:firstLine="360" w:firstLineChars="150"/>
        <w:rPr>
          <w:bCs/>
          <w:color w:val="auto"/>
          <w:highlight w:val="none"/>
        </w:rPr>
      </w:pPr>
      <w:r>
        <w:rPr>
          <w:rFonts w:hint="eastAsia"/>
          <w:bCs/>
          <w:color w:val="auto"/>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pStyle w:val="12"/>
        <w:ind w:left="480" w:leftChars="200" w:firstLine="360" w:firstLineChars="150"/>
        <w:rPr>
          <w:bCs/>
          <w:color w:val="auto"/>
          <w:highlight w:val="none"/>
        </w:rPr>
      </w:pPr>
      <w:r>
        <w:rPr>
          <w:rFonts w:hint="eastAsia"/>
          <w:bCs/>
          <w:color w:val="auto"/>
          <w:highlight w:val="none"/>
        </w:rPr>
        <w:t xml:space="preserve">12.4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 </w:t>
      </w:r>
    </w:p>
    <w:p>
      <w:pPr>
        <w:pStyle w:val="12"/>
        <w:ind w:left="480" w:leftChars="200" w:firstLine="360" w:firstLineChars="150"/>
        <w:rPr>
          <w:bCs/>
          <w:color w:val="auto"/>
          <w:highlight w:val="none"/>
        </w:rPr>
      </w:pPr>
      <w:r>
        <w:rPr>
          <w:rFonts w:hint="eastAsia"/>
          <w:bCs/>
          <w:color w:val="auto"/>
          <w:highlight w:val="none"/>
        </w:rPr>
        <w:t>13.不可抗力事件处理</w:t>
      </w:r>
    </w:p>
    <w:p>
      <w:pPr>
        <w:pStyle w:val="12"/>
        <w:ind w:left="480" w:leftChars="200" w:firstLine="360" w:firstLineChars="150"/>
        <w:rPr>
          <w:bCs/>
          <w:color w:val="auto"/>
          <w:highlight w:val="none"/>
        </w:rPr>
      </w:pPr>
      <w:r>
        <w:rPr>
          <w:rFonts w:hint="eastAsia"/>
          <w:bCs/>
          <w:color w:val="auto"/>
          <w:highlight w:val="none"/>
        </w:rPr>
        <w:t>13.1 在合同有效期内，任何一方因不可抗力事件导致不能履行合同，则合同履行期可延长，其延长期与不可抗力影响期相同。</w:t>
      </w:r>
    </w:p>
    <w:p>
      <w:pPr>
        <w:pStyle w:val="12"/>
        <w:ind w:left="480" w:leftChars="200" w:firstLine="360" w:firstLineChars="150"/>
        <w:rPr>
          <w:bCs/>
          <w:color w:val="auto"/>
          <w:highlight w:val="none"/>
        </w:rPr>
      </w:pPr>
      <w:r>
        <w:rPr>
          <w:rFonts w:hint="eastAsia"/>
          <w:bCs/>
          <w:color w:val="auto"/>
          <w:highlight w:val="none"/>
        </w:rPr>
        <w:t>13.2 不可抗力事件发生后，应立即通知对方，并寄送有关权威机构出具的证明。</w:t>
      </w:r>
    </w:p>
    <w:p>
      <w:pPr>
        <w:pStyle w:val="12"/>
        <w:ind w:left="480" w:leftChars="200" w:firstLine="360" w:firstLineChars="150"/>
        <w:rPr>
          <w:bCs/>
          <w:color w:val="auto"/>
          <w:highlight w:val="none"/>
        </w:rPr>
      </w:pPr>
      <w:r>
        <w:rPr>
          <w:rFonts w:hint="eastAsia"/>
          <w:bCs/>
          <w:color w:val="auto"/>
          <w:highlight w:val="none"/>
        </w:rPr>
        <w:t>13.3 不可抗力事件延续120天以上，双方应通过友好协商，确定是否继续履行合同。</w:t>
      </w:r>
    </w:p>
    <w:p>
      <w:pPr>
        <w:pStyle w:val="12"/>
        <w:ind w:left="480" w:leftChars="200" w:firstLine="360" w:firstLineChars="150"/>
        <w:rPr>
          <w:bCs/>
          <w:color w:val="auto"/>
          <w:highlight w:val="none"/>
        </w:rPr>
      </w:pPr>
      <w:r>
        <w:rPr>
          <w:rFonts w:hint="eastAsia"/>
          <w:bCs/>
          <w:color w:val="auto"/>
          <w:highlight w:val="none"/>
        </w:rPr>
        <w:t>14. 争议解决</w:t>
      </w:r>
    </w:p>
    <w:p>
      <w:pPr>
        <w:pStyle w:val="12"/>
        <w:ind w:left="480" w:leftChars="200" w:firstLine="360" w:firstLineChars="150"/>
        <w:rPr>
          <w:bCs/>
          <w:color w:val="auto"/>
          <w:highlight w:val="none"/>
        </w:rPr>
      </w:pPr>
      <w:r>
        <w:rPr>
          <w:rFonts w:hint="eastAsia"/>
          <w:bCs/>
          <w:color w:val="auto"/>
          <w:highlight w:val="none"/>
        </w:rPr>
        <w:t>14.1在执行本合同中所发生的或与本合同有关的一切争端，合同双方应通过友好协商解决，经过协商仍不能解决，双方选择通过下列第x种方式解决：</w:t>
      </w:r>
    </w:p>
    <w:p>
      <w:pPr>
        <w:pStyle w:val="12"/>
        <w:ind w:left="480" w:leftChars="200" w:firstLine="360" w:firstLineChars="150"/>
        <w:rPr>
          <w:bCs/>
          <w:color w:val="auto"/>
          <w:highlight w:val="none"/>
        </w:rPr>
      </w:pPr>
      <w:r>
        <w:rPr>
          <w:rFonts w:hint="eastAsia"/>
          <w:bCs/>
          <w:color w:val="auto"/>
          <w:highlight w:val="none"/>
        </w:rPr>
        <w:t>（1）将争端提交湖州仲裁委员会仲裁</w:t>
      </w:r>
    </w:p>
    <w:p>
      <w:pPr>
        <w:pStyle w:val="12"/>
        <w:ind w:left="480" w:leftChars="200" w:firstLine="360" w:firstLineChars="150"/>
        <w:rPr>
          <w:bCs/>
          <w:color w:val="auto"/>
          <w:highlight w:val="none"/>
        </w:rPr>
      </w:pPr>
      <w:r>
        <w:rPr>
          <w:rFonts w:hint="eastAsia"/>
          <w:bCs/>
          <w:color w:val="auto"/>
          <w:highlight w:val="none"/>
        </w:rPr>
        <w:t>（2）直接向采购人所在地有管辖权的人民法院起诉。</w:t>
      </w:r>
    </w:p>
    <w:p>
      <w:pPr>
        <w:pStyle w:val="12"/>
        <w:ind w:left="480" w:leftChars="200" w:firstLine="360" w:firstLineChars="150"/>
        <w:rPr>
          <w:bCs/>
          <w:color w:val="auto"/>
          <w:highlight w:val="none"/>
        </w:rPr>
      </w:pPr>
      <w:r>
        <w:rPr>
          <w:rFonts w:hint="eastAsia"/>
          <w:bCs/>
          <w:color w:val="auto"/>
          <w:highlight w:val="none"/>
        </w:rPr>
        <w:t>14.2仲裁费用或诉讼费用应由败诉方负担。</w:t>
      </w:r>
    </w:p>
    <w:p>
      <w:pPr>
        <w:pStyle w:val="12"/>
        <w:ind w:left="480" w:leftChars="200" w:firstLine="360" w:firstLineChars="150"/>
        <w:rPr>
          <w:bCs/>
          <w:color w:val="auto"/>
          <w:highlight w:val="none"/>
        </w:rPr>
      </w:pPr>
      <w:r>
        <w:rPr>
          <w:rFonts w:hint="eastAsia"/>
          <w:bCs/>
          <w:color w:val="auto"/>
          <w:highlight w:val="none"/>
        </w:rPr>
        <w:t>14.3在仲裁或诉讼期间，除进行仲裁或诉讼的部分外，本合同其它部分应继续执行。</w:t>
      </w:r>
    </w:p>
    <w:p>
      <w:pPr>
        <w:pStyle w:val="12"/>
        <w:ind w:left="480" w:leftChars="200" w:firstLine="360" w:firstLineChars="150"/>
        <w:rPr>
          <w:bCs/>
          <w:color w:val="auto"/>
          <w:highlight w:val="none"/>
        </w:rPr>
      </w:pPr>
      <w:r>
        <w:rPr>
          <w:rFonts w:hint="eastAsia"/>
          <w:bCs/>
          <w:color w:val="auto"/>
          <w:highlight w:val="none"/>
        </w:rPr>
        <w:t>15.转让或分包</w:t>
      </w:r>
    </w:p>
    <w:p>
      <w:pPr>
        <w:pStyle w:val="12"/>
        <w:ind w:left="480" w:leftChars="200" w:firstLine="360" w:firstLineChars="150"/>
        <w:rPr>
          <w:bCs/>
          <w:color w:val="auto"/>
          <w:highlight w:val="none"/>
        </w:rPr>
      </w:pPr>
      <w:r>
        <w:rPr>
          <w:rFonts w:hint="eastAsia"/>
          <w:bCs/>
          <w:color w:val="auto"/>
          <w:highlight w:val="none"/>
        </w:rPr>
        <w:t>15.1本合同范围的服务，应由供应商提供，不得转让他人供应；</w:t>
      </w:r>
    </w:p>
    <w:p>
      <w:pPr>
        <w:pStyle w:val="12"/>
        <w:ind w:left="480" w:leftChars="200" w:firstLine="360" w:firstLineChars="150"/>
        <w:rPr>
          <w:bCs/>
          <w:color w:val="auto"/>
          <w:highlight w:val="none"/>
        </w:rPr>
      </w:pPr>
      <w:r>
        <w:rPr>
          <w:rFonts w:hint="eastAsia"/>
          <w:bCs/>
          <w:color w:val="auto"/>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pStyle w:val="12"/>
        <w:ind w:left="480" w:leftChars="200" w:firstLine="360" w:firstLineChars="150"/>
        <w:rPr>
          <w:bCs/>
          <w:color w:val="auto"/>
          <w:highlight w:val="none"/>
        </w:rPr>
      </w:pPr>
      <w:r>
        <w:rPr>
          <w:rFonts w:hint="eastAsia"/>
          <w:bCs/>
          <w:color w:val="auto"/>
          <w:highlight w:val="none"/>
        </w:rPr>
        <w:t>15.3本合同全部或部分的分包不能减轻供应商承担的责任，供应商仍须将分包人的任何行动、错误或疏忽当作是自己完成的并负全责；</w:t>
      </w:r>
    </w:p>
    <w:p>
      <w:pPr>
        <w:pStyle w:val="12"/>
        <w:ind w:left="480" w:leftChars="200" w:firstLine="360" w:firstLineChars="150"/>
        <w:rPr>
          <w:bCs/>
          <w:color w:val="auto"/>
          <w:highlight w:val="none"/>
        </w:rPr>
      </w:pPr>
      <w:r>
        <w:rPr>
          <w:rFonts w:hint="eastAsia"/>
          <w:bCs/>
          <w:color w:val="auto"/>
          <w:highlight w:val="none"/>
        </w:rPr>
        <w:t>15.4在任何分包合同中，须注明分包人按分包合同的范围履行，在供应商按本合同的履行终止时（不论任何原因），亦同时一并终止；</w:t>
      </w:r>
    </w:p>
    <w:p>
      <w:pPr>
        <w:pStyle w:val="12"/>
        <w:ind w:left="480" w:leftChars="200" w:firstLine="360" w:firstLineChars="150"/>
        <w:rPr>
          <w:bCs/>
          <w:color w:val="auto"/>
          <w:highlight w:val="none"/>
        </w:rPr>
      </w:pPr>
      <w:r>
        <w:rPr>
          <w:rFonts w:hint="eastAsia"/>
          <w:bCs/>
          <w:color w:val="auto"/>
          <w:highlight w:val="none"/>
        </w:rPr>
        <w:t>15.5如有转让和未经采购人同意的分包行为，采购人有权给予终止合同。</w:t>
      </w:r>
    </w:p>
    <w:p>
      <w:pPr>
        <w:pStyle w:val="12"/>
        <w:ind w:left="480" w:leftChars="200" w:firstLine="360" w:firstLineChars="150"/>
        <w:rPr>
          <w:bCs/>
          <w:color w:val="auto"/>
          <w:highlight w:val="none"/>
        </w:rPr>
      </w:pPr>
      <w:r>
        <w:rPr>
          <w:rFonts w:hint="eastAsia"/>
          <w:bCs/>
          <w:color w:val="auto"/>
          <w:highlight w:val="none"/>
        </w:rPr>
        <w:t>16.适用法律</w:t>
      </w:r>
    </w:p>
    <w:p>
      <w:pPr>
        <w:pStyle w:val="12"/>
        <w:ind w:left="480" w:leftChars="200" w:firstLine="360" w:firstLineChars="150"/>
        <w:rPr>
          <w:bCs/>
          <w:color w:val="auto"/>
          <w:highlight w:val="none"/>
        </w:rPr>
      </w:pPr>
      <w:r>
        <w:rPr>
          <w:rFonts w:hint="eastAsia"/>
          <w:bCs/>
          <w:color w:val="auto"/>
          <w:highlight w:val="none"/>
        </w:rPr>
        <w:t>合同适用法律有《中华人民共和国政府采购法》、《中华人民共和国民法典》、《中华人民共和国产品质量法》和浙江省有关条例等。</w:t>
      </w:r>
    </w:p>
    <w:p>
      <w:pPr>
        <w:pStyle w:val="12"/>
        <w:ind w:left="480" w:leftChars="200" w:firstLine="360" w:firstLineChars="150"/>
        <w:rPr>
          <w:bCs/>
          <w:color w:val="auto"/>
          <w:highlight w:val="none"/>
        </w:rPr>
      </w:pPr>
      <w:r>
        <w:rPr>
          <w:rFonts w:hint="eastAsia"/>
          <w:bCs/>
          <w:color w:val="auto"/>
          <w:highlight w:val="none"/>
        </w:rPr>
        <w:t>17.合同生效及其他</w:t>
      </w:r>
    </w:p>
    <w:p>
      <w:pPr>
        <w:pStyle w:val="12"/>
        <w:ind w:left="480" w:leftChars="200" w:firstLine="360" w:firstLineChars="150"/>
        <w:rPr>
          <w:bCs/>
          <w:color w:val="auto"/>
          <w:highlight w:val="none"/>
        </w:rPr>
      </w:pPr>
      <w:r>
        <w:rPr>
          <w:rFonts w:hint="eastAsia"/>
          <w:bCs/>
          <w:color w:val="auto"/>
          <w:highlight w:val="none"/>
        </w:rPr>
        <w:t>17.1本合同经双方法人及法定代表人签字盖章生效；</w:t>
      </w:r>
    </w:p>
    <w:p>
      <w:pPr>
        <w:pStyle w:val="12"/>
        <w:ind w:left="480" w:leftChars="200" w:firstLine="360" w:firstLineChars="150"/>
        <w:rPr>
          <w:bCs/>
          <w:color w:val="auto"/>
          <w:highlight w:val="none"/>
        </w:rPr>
      </w:pPr>
      <w:r>
        <w:rPr>
          <w:rFonts w:hint="eastAsia"/>
          <w:bCs/>
          <w:color w:val="auto"/>
          <w:highlight w:val="none"/>
        </w:rPr>
        <w:t>17.2本合同一式十四份，供应商、采购人、街道、招标代理公司各执两份。</w:t>
      </w:r>
    </w:p>
    <w:p>
      <w:pPr>
        <w:pStyle w:val="12"/>
        <w:ind w:left="480" w:leftChars="200" w:firstLine="360" w:firstLineChars="150"/>
        <w:rPr>
          <w:bCs/>
          <w:color w:val="auto"/>
          <w:highlight w:val="none"/>
        </w:rPr>
      </w:pPr>
    </w:p>
    <w:p>
      <w:pPr>
        <w:pStyle w:val="12"/>
        <w:ind w:left="480" w:leftChars="200" w:firstLine="360" w:firstLineChars="150"/>
        <w:rPr>
          <w:bCs/>
          <w:color w:val="auto"/>
          <w:highlight w:val="none"/>
        </w:rPr>
      </w:pPr>
      <w:r>
        <w:rPr>
          <w:rFonts w:hint="eastAsia"/>
          <w:bCs/>
          <w:color w:val="auto"/>
          <w:highlight w:val="none"/>
        </w:rPr>
        <w:t xml:space="preserve">采购人：                                 供应商： </w:t>
      </w:r>
    </w:p>
    <w:p>
      <w:pPr>
        <w:pStyle w:val="12"/>
        <w:ind w:left="480" w:leftChars="200" w:firstLine="360" w:firstLineChars="150"/>
        <w:rPr>
          <w:bCs/>
          <w:color w:val="auto"/>
          <w:highlight w:val="none"/>
        </w:rPr>
      </w:pPr>
    </w:p>
    <w:p>
      <w:pPr>
        <w:pStyle w:val="12"/>
        <w:ind w:left="480" w:leftChars="200" w:firstLine="360" w:firstLineChars="150"/>
        <w:rPr>
          <w:bCs/>
          <w:color w:val="auto"/>
          <w:highlight w:val="none"/>
        </w:rPr>
      </w:pPr>
      <w:r>
        <w:rPr>
          <w:rFonts w:hint="eastAsia"/>
          <w:bCs/>
          <w:color w:val="auto"/>
          <w:highlight w:val="none"/>
        </w:rPr>
        <w:t xml:space="preserve">地址：                                   地址： </w:t>
      </w:r>
    </w:p>
    <w:p>
      <w:pPr>
        <w:pStyle w:val="12"/>
        <w:ind w:left="480" w:leftChars="200" w:firstLine="360" w:firstLineChars="150"/>
        <w:rPr>
          <w:bCs/>
          <w:color w:val="auto"/>
          <w:highlight w:val="none"/>
        </w:rPr>
      </w:pPr>
    </w:p>
    <w:p>
      <w:pPr>
        <w:pStyle w:val="12"/>
        <w:ind w:left="480" w:leftChars="200" w:firstLine="360" w:firstLineChars="150"/>
        <w:rPr>
          <w:bCs/>
          <w:color w:val="auto"/>
          <w:highlight w:val="none"/>
        </w:rPr>
      </w:pPr>
      <w:r>
        <w:rPr>
          <w:rFonts w:hint="eastAsia"/>
          <w:bCs/>
          <w:color w:val="auto"/>
          <w:highlight w:val="none"/>
        </w:rPr>
        <w:t>法定（或授权）代表人：                    法定（或授权）代表人：</w:t>
      </w:r>
    </w:p>
    <w:p>
      <w:pPr>
        <w:pStyle w:val="12"/>
        <w:ind w:left="480" w:leftChars="200" w:firstLine="360" w:firstLineChars="150"/>
        <w:rPr>
          <w:bCs/>
          <w:color w:val="auto"/>
          <w:highlight w:val="none"/>
        </w:rPr>
      </w:pPr>
      <w:r>
        <w:rPr>
          <w:rFonts w:hint="eastAsia"/>
          <w:bCs/>
          <w:color w:val="auto"/>
          <w:highlight w:val="none"/>
        </w:rPr>
        <w:t xml:space="preserve">    </w:t>
      </w:r>
    </w:p>
    <w:p>
      <w:pPr>
        <w:pStyle w:val="12"/>
        <w:ind w:left="480" w:leftChars="200" w:firstLine="360" w:firstLineChars="150"/>
        <w:rPr>
          <w:bCs/>
          <w:color w:val="auto"/>
          <w:highlight w:val="none"/>
        </w:rPr>
      </w:pPr>
      <w:r>
        <w:rPr>
          <w:rFonts w:hint="eastAsia"/>
          <w:bCs/>
          <w:color w:val="auto"/>
          <w:highlight w:val="none"/>
        </w:rPr>
        <w:t>签字日期：   年  月  日                    签字日期：   年  月  日</w:t>
      </w:r>
    </w:p>
    <w:p>
      <w:pPr>
        <w:rPr>
          <w:rFonts w:ascii="宋体" w:hAnsi="宋体" w:cs="宋体"/>
          <w:color w:val="auto"/>
          <w:highlight w:val="none"/>
        </w:rPr>
      </w:pPr>
    </w:p>
    <w:p>
      <w:pPr>
        <w:pStyle w:val="4"/>
        <w:jc w:val="center"/>
        <w:rPr>
          <w:rFonts w:ascii="宋体" w:hAnsi="宋体" w:cs="宋体"/>
          <w:color w:val="auto"/>
          <w:szCs w:val="32"/>
          <w:highlight w:val="none"/>
        </w:rPr>
      </w:pPr>
    </w:p>
    <w:p>
      <w:pPr>
        <w:pStyle w:val="4"/>
        <w:jc w:val="center"/>
        <w:rPr>
          <w:rFonts w:ascii="宋体" w:hAnsi="宋体" w:cs="宋体"/>
          <w:color w:val="auto"/>
          <w:szCs w:val="32"/>
          <w:highlight w:val="none"/>
        </w:rPr>
      </w:pPr>
    </w:p>
    <w:p>
      <w:pPr>
        <w:rPr>
          <w:rFonts w:ascii="宋体" w:hAnsi="宋体" w:cs="宋体"/>
          <w:color w:val="auto"/>
          <w:szCs w:val="32"/>
          <w:highlight w:val="none"/>
        </w:rPr>
      </w:pPr>
      <w:r>
        <w:rPr>
          <w:rFonts w:hint="eastAsia" w:ascii="宋体" w:hAnsi="宋体" w:cs="宋体"/>
          <w:color w:val="auto"/>
          <w:szCs w:val="32"/>
          <w:highlight w:val="none"/>
        </w:rPr>
        <w:br w:type="page"/>
      </w:r>
    </w:p>
    <w:bookmarkEnd w:id="109"/>
    <w:p>
      <w:pPr>
        <w:pStyle w:val="4"/>
        <w:rPr>
          <w:rFonts w:ascii="宋体" w:hAnsi="宋体" w:cs="宋体"/>
          <w:color w:val="auto"/>
          <w:szCs w:val="32"/>
          <w:highlight w:val="none"/>
        </w:rPr>
      </w:pPr>
      <w:r>
        <w:rPr>
          <w:rFonts w:hint="eastAsia" w:ascii="宋体" w:hAnsi="宋体" w:cs="宋体"/>
          <w:color w:val="auto"/>
          <w:szCs w:val="32"/>
          <w:highlight w:val="none"/>
        </w:rPr>
        <w:t>第六章  响应文件格式</w:t>
      </w:r>
    </w:p>
    <w:p>
      <w:pPr>
        <w:widowControl/>
        <w:autoSpaceDE w:val="0"/>
        <w:autoSpaceDN w:val="0"/>
        <w:snapToGrid w:val="0"/>
        <w:spacing w:line="44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本章节内容提供部分响应文件格式，磋商文件中要求，但未提供格式的，须由供应商自行制作。</w:t>
      </w:r>
    </w:p>
    <w:p>
      <w:pPr>
        <w:ind w:firstLine="360" w:firstLineChars="200"/>
        <w:jc w:val="center"/>
        <w:rPr>
          <w:rFonts w:ascii="宋体" w:hAnsi="宋体" w:cs="宋体"/>
          <w:b/>
          <w:color w:val="auto"/>
          <w:sz w:val="30"/>
          <w:szCs w:val="30"/>
          <w:highlight w:val="none"/>
        </w:rPr>
      </w:pPr>
      <w:r>
        <w:rPr>
          <w:rFonts w:hint="eastAsia" w:ascii="宋体" w:hAnsi="宋体" w:cs="宋体"/>
          <w:color w:val="auto"/>
          <w:sz w:val="18"/>
          <w:szCs w:val="18"/>
          <w:highlight w:val="none"/>
        </w:rPr>
        <w:t xml:space="preserve"> </w:t>
      </w:r>
      <w:r>
        <w:rPr>
          <w:rFonts w:hint="eastAsia" w:ascii="宋体" w:hAnsi="宋体" w:cs="宋体"/>
          <w:color w:val="auto"/>
          <w:sz w:val="32"/>
          <w:szCs w:val="32"/>
          <w:highlight w:val="none"/>
        </w:rPr>
        <w:t xml:space="preserve"> </w:t>
      </w:r>
      <w:r>
        <w:rPr>
          <w:rFonts w:hint="eastAsia" w:ascii="宋体" w:hAnsi="宋体" w:cs="宋体"/>
          <w:b/>
          <w:color w:val="auto"/>
          <w:sz w:val="30"/>
          <w:szCs w:val="30"/>
          <w:highlight w:val="none"/>
        </w:rPr>
        <w:t>一、响应文件外层包装封面格式</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1、所有响应文件的外包装封面格式：（可选用）</w:t>
      </w:r>
    </w:p>
    <w:p>
      <w:pPr>
        <w:ind w:firstLine="560" w:firstLineChars="200"/>
        <w:rPr>
          <w:rFonts w:ascii="宋体" w:hAnsi="宋体" w:cs="宋体"/>
          <w:color w:val="auto"/>
          <w:sz w:val="28"/>
          <w:szCs w:val="28"/>
          <w:highlight w:val="none"/>
        </w:rPr>
      </w:pPr>
    </w:p>
    <w:p>
      <w:pPr>
        <w:ind w:firstLine="560" w:firstLineChars="200"/>
        <w:rPr>
          <w:rFonts w:ascii="宋体" w:hAnsi="宋体" w:cs="宋体"/>
          <w:color w:val="auto"/>
          <w:sz w:val="28"/>
          <w:szCs w:val="28"/>
          <w:highlight w:val="none"/>
        </w:rPr>
      </w:pPr>
    </w:p>
    <w:p>
      <w:pPr>
        <w:ind w:firstLine="560" w:firstLineChars="200"/>
        <w:rPr>
          <w:rFonts w:ascii="宋体" w:hAnsi="宋体" w:cs="宋体"/>
          <w:color w:val="auto"/>
          <w:sz w:val="28"/>
          <w:szCs w:val="28"/>
          <w:highlight w:val="none"/>
        </w:rPr>
      </w:pPr>
    </w:p>
    <w:p>
      <w:pPr>
        <w:ind w:firstLine="960" w:firstLineChars="200"/>
        <w:jc w:val="center"/>
        <w:rPr>
          <w:rFonts w:ascii="宋体" w:hAnsi="宋体" w:cs="宋体"/>
          <w:color w:val="auto"/>
          <w:sz w:val="48"/>
          <w:szCs w:val="48"/>
          <w:highlight w:val="none"/>
        </w:rPr>
      </w:pPr>
      <w:r>
        <w:rPr>
          <w:rFonts w:hint="eastAsia" w:ascii="宋体" w:hAnsi="宋体" w:cs="宋体"/>
          <w:color w:val="auto"/>
          <w:sz w:val="48"/>
          <w:szCs w:val="48"/>
          <w:highlight w:val="none"/>
        </w:rPr>
        <w:t>响 应 文 件</w:t>
      </w:r>
    </w:p>
    <w:p>
      <w:pPr>
        <w:ind w:firstLine="960" w:firstLineChars="200"/>
        <w:jc w:val="center"/>
        <w:rPr>
          <w:rFonts w:ascii="宋体" w:hAnsi="宋体" w:cs="宋体"/>
          <w:color w:val="auto"/>
          <w:sz w:val="48"/>
          <w:szCs w:val="48"/>
          <w:highlight w:val="none"/>
        </w:rPr>
      </w:pPr>
    </w:p>
    <w:p>
      <w:pPr>
        <w:ind w:firstLine="960" w:firstLineChars="200"/>
        <w:jc w:val="center"/>
        <w:rPr>
          <w:rFonts w:ascii="宋体" w:hAnsi="宋体" w:cs="宋体"/>
          <w:color w:val="auto"/>
          <w:sz w:val="48"/>
          <w:szCs w:val="48"/>
          <w:highlight w:val="none"/>
        </w:rPr>
      </w:pPr>
    </w:p>
    <w:p>
      <w:pPr>
        <w:ind w:firstLine="960" w:firstLineChars="200"/>
        <w:jc w:val="center"/>
        <w:rPr>
          <w:rFonts w:ascii="宋体" w:hAnsi="宋体" w:cs="宋体"/>
          <w:color w:val="auto"/>
          <w:sz w:val="48"/>
          <w:szCs w:val="48"/>
          <w:highlight w:val="none"/>
        </w:rPr>
      </w:pPr>
    </w:p>
    <w:p>
      <w:pPr>
        <w:ind w:firstLine="960" w:firstLineChars="200"/>
        <w:jc w:val="center"/>
        <w:rPr>
          <w:rFonts w:ascii="宋体" w:hAnsi="宋体" w:cs="宋体"/>
          <w:color w:val="auto"/>
          <w:sz w:val="48"/>
          <w:szCs w:val="48"/>
          <w:highlight w:val="none"/>
        </w:rPr>
      </w:pPr>
    </w:p>
    <w:p>
      <w:pPr>
        <w:spacing w:line="800" w:lineRule="exact"/>
        <w:ind w:firstLine="480" w:firstLineChars="200"/>
        <w:rPr>
          <w:rFonts w:ascii="宋体" w:hAnsi="宋体" w:cs="宋体"/>
          <w:color w:val="auto"/>
          <w:highlight w:val="none"/>
        </w:rPr>
      </w:pPr>
      <w:r>
        <w:rPr>
          <w:rFonts w:hint="eastAsia" w:ascii="宋体" w:hAnsi="宋体" w:cs="宋体"/>
          <w:color w:val="auto"/>
          <w:highlight w:val="none"/>
        </w:rPr>
        <w:t>项目名称：</w:t>
      </w:r>
    </w:p>
    <w:p>
      <w:pPr>
        <w:spacing w:line="800" w:lineRule="exact"/>
        <w:ind w:firstLine="480" w:firstLineChars="200"/>
        <w:rPr>
          <w:rFonts w:ascii="宋体" w:hAnsi="宋体" w:cs="宋体"/>
          <w:color w:val="auto"/>
          <w:highlight w:val="none"/>
        </w:rPr>
      </w:pPr>
      <w:r>
        <w:rPr>
          <w:rFonts w:hint="eastAsia" w:ascii="宋体" w:hAnsi="宋体" w:cs="宋体"/>
          <w:color w:val="auto"/>
          <w:highlight w:val="none"/>
        </w:rPr>
        <w:t>项目编号：</w:t>
      </w:r>
    </w:p>
    <w:p>
      <w:pPr>
        <w:spacing w:line="800" w:lineRule="exact"/>
        <w:rPr>
          <w:rFonts w:ascii="宋体" w:hAnsi="宋体" w:cs="宋体"/>
          <w:color w:val="auto"/>
          <w:highlight w:val="none"/>
        </w:rPr>
      </w:pPr>
      <w:r>
        <w:rPr>
          <w:rFonts w:hint="eastAsia" w:ascii="宋体" w:hAnsi="宋体" w:cs="宋体"/>
          <w:color w:val="auto"/>
          <w:highlight w:val="none"/>
        </w:rPr>
        <w:t xml:space="preserve">    供应商名称（盖章）：</w:t>
      </w:r>
    </w:p>
    <w:p>
      <w:pPr>
        <w:spacing w:line="800" w:lineRule="exact"/>
        <w:rPr>
          <w:rFonts w:ascii="宋体" w:hAnsi="宋体" w:cs="宋体"/>
          <w:color w:val="auto"/>
          <w:highlight w:val="none"/>
        </w:rPr>
      </w:pPr>
      <w:r>
        <w:rPr>
          <w:rFonts w:hint="eastAsia" w:ascii="宋体" w:hAnsi="宋体" w:cs="宋体"/>
          <w:color w:val="auto"/>
          <w:highlight w:val="none"/>
        </w:rPr>
        <w:t xml:space="preserve">    供应商地址：</w:t>
      </w:r>
    </w:p>
    <w:p>
      <w:pPr>
        <w:spacing w:line="800" w:lineRule="exact"/>
        <w:rPr>
          <w:rFonts w:ascii="宋体" w:hAnsi="宋体" w:cs="宋体"/>
          <w:color w:val="auto"/>
          <w:highlight w:val="none"/>
        </w:rPr>
      </w:pPr>
      <w:r>
        <w:rPr>
          <w:rFonts w:hint="eastAsia" w:ascii="宋体" w:hAnsi="宋体" w:cs="宋体"/>
          <w:color w:val="auto"/>
          <w:highlight w:val="none"/>
        </w:rPr>
        <w:t xml:space="preserve">    授权代表签名:</w:t>
      </w:r>
    </w:p>
    <w:p>
      <w:pPr>
        <w:spacing w:line="800" w:lineRule="exact"/>
        <w:rPr>
          <w:rFonts w:ascii="宋体" w:hAnsi="宋体" w:cs="宋体"/>
          <w:color w:val="auto"/>
          <w:highlight w:val="none"/>
        </w:rPr>
      </w:pPr>
      <w:r>
        <w:rPr>
          <w:rFonts w:hint="eastAsia" w:ascii="宋体" w:hAnsi="宋体" w:cs="宋体"/>
          <w:color w:val="auto"/>
          <w:highlight w:val="none"/>
        </w:rPr>
        <w:t xml:space="preserve">    在   年    月    日    时   分之前不得启封(磋商时间)</w:t>
      </w:r>
    </w:p>
    <w:p>
      <w:pPr>
        <w:spacing w:line="800" w:lineRule="exact"/>
        <w:ind w:firstLine="570"/>
        <w:jc w:val="right"/>
        <w:rPr>
          <w:rFonts w:ascii="宋体" w:hAnsi="宋体" w:cs="宋体"/>
          <w:color w:val="auto"/>
          <w:highlight w:val="none"/>
        </w:rPr>
      </w:pPr>
      <w:r>
        <w:rPr>
          <w:rFonts w:hint="eastAsia" w:ascii="宋体" w:hAnsi="宋体" w:cs="宋体"/>
          <w:color w:val="auto"/>
          <w:highlight w:val="none"/>
        </w:rPr>
        <w:t xml:space="preserve">                                          年  月   日 </w:t>
      </w:r>
    </w:p>
    <w:p>
      <w:pPr>
        <w:ind w:firstLine="570"/>
        <w:jc w:val="right"/>
        <w:rPr>
          <w:rFonts w:ascii="宋体" w:hAnsi="宋体" w:cs="宋体"/>
          <w:color w:val="auto"/>
          <w:highlight w:val="none"/>
        </w:rPr>
      </w:pPr>
    </w:p>
    <w:p>
      <w:pPr>
        <w:ind w:firstLine="570"/>
        <w:jc w:val="right"/>
        <w:rPr>
          <w:rFonts w:ascii="宋体" w:hAnsi="宋体" w:cs="宋体"/>
          <w:color w:val="auto"/>
          <w:highlight w:val="none"/>
        </w:rPr>
      </w:pPr>
    </w:p>
    <w:p>
      <w:pPr>
        <w:ind w:firstLine="570"/>
        <w:jc w:val="right"/>
        <w:rPr>
          <w:rFonts w:ascii="宋体" w:hAnsi="宋体" w:cs="宋体"/>
          <w:color w:val="auto"/>
          <w:highlight w:val="none"/>
        </w:rPr>
      </w:pPr>
    </w:p>
    <w:p>
      <w:pPr>
        <w:rPr>
          <w:rFonts w:ascii="宋体" w:hAnsi="宋体" w:cs="宋体"/>
          <w:color w:val="auto"/>
          <w:sz w:val="32"/>
          <w:szCs w:val="32"/>
          <w:highlight w:val="none"/>
        </w:rPr>
      </w:pPr>
      <w:r>
        <w:rPr>
          <w:rFonts w:hint="eastAsia" w:ascii="宋体" w:hAnsi="宋体" w:cs="宋体"/>
          <w:b/>
          <w:color w:val="auto"/>
          <w:sz w:val="32"/>
          <w:szCs w:val="32"/>
          <w:highlight w:val="none"/>
        </w:rPr>
        <w:t>二、响应文件格式</w:t>
      </w:r>
    </w:p>
    <w:p>
      <w:pPr>
        <w:ind w:firstLine="570"/>
        <w:rPr>
          <w:rFonts w:ascii="宋体" w:hAnsi="宋体" w:cs="宋体"/>
          <w:color w:val="auto"/>
          <w:sz w:val="28"/>
          <w:szCs w:val="28"/>
          <w:highlight w:val="none"/>
        </w:rPr>
      </w:pPr>
    </w:p>
    <w:p>
      <w:pPr>
        <w:ind w:firstLine="570"/>
        <w:rPr>
          <w:rFonts w:ascii="宋体" w:hAnsi="宋体" w:cs="宋体"/>
          <w:color w:val="auto"/>
          <w:sz w:val="28"/>
          <w:szCs w:val="28"/>
          <w:highlight w:val="none"/>
        </w:rPr>
      </w:pPr>
      <w:r>
        <w:rPr>
          <w:rFonts w:hint="eastAsia" w:ascii="宋体" w:hAnsi="宋体" w:cs="宋体"/>
          <w:color w:val="auto"/>
          <w:sz w:val="28"/>
          <w:szCs w:val="28"/>
          <w:highlight w:val="none"/>
        </w:rPr>
        <w:t>1、响应文件的封面格式：</w:t>
      </w:r>
    </w:p>
    <w:p>
      <w:pPr>
        <w:ind w:firstLine="570"/>
        <w:jc w:val="right"/>
        <w:rPr>
          <w:rFonts w:ascii="宋体" w:hAnsi="宋体" w:cs="宋体"/>
          <w:color w:val="auto"/>
          <w:sz w:val="44"/>
          <w:szCs w:val="44"/>
          <w:highlight w:val="none"/>
        </w:rPr>
      </w:pPr>
      <w:r>
        <w:rPr>
          <w:rFonts w:hint="eastAsia" w:ascii="宋体" w:hAnsi="宋体" w:cs="宋体"/>
          <w:color w:val="auto"/>
          <w:sz w:val="44"/>
          <w:szCs w:val="44"/>
          <w:highlight w:val="none"/>
        </w:rPr>
        <w:t>正本（或副本）</w:t>
      </w:r>
    </w:p>
    <w:p>
      <w:pPr>
        <w:ind w:firstLine="570"/>
        <w:jc w:val="center"/>
        <w:rPr>
          <w:rFonts w:ascii="宋体" w:hAnsi="宋体" w:cs="宋体"/>
          <w:b/>
          <w:color w:val="auto"/>
          <w:sz w:val="84"/>
          <w:szCs w:val="84"/>
          <w:highlight w:val="none"/>
        </w:rPr>
      </w:pPr>
    </w:p>
    <w:p>
      <w:pPr>
        <w:ind w:firstLine="570"/>
        <w:jc w:val="center"/>
        <w:rPr>
          <w:rFonts w:ascii="宋体" w:hAnsi="宋体" w:cs="宋体"/>
          <w:b/>
          <w:color w:val="auto"/>
          <w:sz w:val="84"/>
          <w:szCs w:val="84"/>
          <w:highlight w:val="none"/>
        </w:rPr>
      </w:pPr>
      <w:r>
        <w:rPr>
          <w:rFonts w:hint="eastAsia" w:ascii="宋体" w:hAnsi="宋体" w:cs="宋体"/>
          <w:b/>
          <w:color w:val="auto"/>
          <w:sz w:val="84"/>
          <w:szCs w:val="84"/>
          <w:highlight w:val="none"/>
        </w:rPr>
        <w:t>响应文件</w:t>
      </w:r>
    </w:p>
    <w:p>
      <w:pPr>
        <w:ind w:firstLine="570"/>
        <w:jc w:val="center"/>
        <w:rPr>
          <w:rFonts w:ascii="宋体" w:hAnsi="宋体" w:cs="宋体"/>
          <w:b/>
          <w:color w:val="auto"/>
          <w:sz w:val="84"/>
          <w:szCs w:val="84"/>
          <w:highlight w:val="none"/>
        </w:rPr>
      </w:pPr>
      <w:r>
        <w:rPr>
          <w:rFonts w:hint="eastAsia" w:ascii="宋体" w:hAnsi="宋体" w:cs="宋体"/>
          <w:b/>
          <w:color w:val="auto"/>
          <w:sz w:val="30"/>
          <w:szCs w:val="30"/>
          <w:highlight w:val="none"/>
        </w:rPr>
        <w:t>（资格证明文件/商务、技术文件）</w:t>
      </w:r>
    </w:p>
    <w:p>
      <w:pPr>
        <w:ind w:firstLine="570"/>
        <w:jc w:val="center"/>
        <w:rPr>
          <w:rFonts w:ascii="宋体" w:hAnsi="宋体" w:cs="宋体"/>
          <w:b/>
          <w:color w:val="auto"/>
          <w:sz w:val="84"/>
          <w:szCs w:val="84"/>
          <w:highlight w:val="none"/>
        </w:rPr>
      </w:pPr>
    </w:p>
    <w:p>
      <w:pPr>
        <w:spacing w:line="8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项目名称：</w:t>
      </w:r>
    </w:p>
    <w:p>
      <w:pPr>
        <w:spacing w:line="8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项目编号：</w:t>
      </w:r>
    </w:p>
    <w:p>
      <w:pPr>
        <w:spacing w:line="8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供应商名称（盖章）：</w:t>
      </w:r>
    </w:p>
    <w:p>
      <w:pPr>
        <w:spacing w:line="8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供应商地址：</w:t>
      </w:r>
    </w:p>
    <w:p>
      <w:pPr>
        <w:spacing w:line="800" w:lineRule="exact"/>
        <w:ind w:firstLine="570"/>
        <w:jc w:val="right"/>
        <w:rPr>
          <w:rFonts w:ascii="宋体" w:hAnsi="宋体" w:cs="宋体"/>
          <w:b/>
          <w:color w:val="auto"/>
          <w:highlight w:val="none"/>
        </w:rPr>
      </w:pPr>
      <w:r>
        <w:rPr>
          <w:rFonts w:hint="eastAsia" w:ascii="宋体" w:hAnsi="宋体" w:cs="宋体"/>
          <w:b/>
          <w:color w:val="auto"/>
          <w:highlight w:val="none"/>
        </w:rPr>
        <w:t xml:space="preserve">  年   月   日</w:t>
      </w:r>
    </w:p>
    <w:p>
      <w:pPr>
        <w:rPr>
          <w:rFonts w:ascii="宋体" w:hAnsi="宋体" w:cs="宋体"/>
          <w:b/>
          <w:color w:val="auto"/>
          <w:sz w:val="32"/>
          <w:szCs w:val="32"/>
          <w:highlight w:val="none"/>
        </w:rPr>
      </w:pPr>
    </w:p>
    <w:p>
      <w:pPr>
        <w:ind w:firstLine="570"/>
        <w:jc w:val="center"/>
        <w:rPr>
          <w:rFonts w:ascii="宋体" w:hAnsi="宋体" w:cs="宋体"/>
          <w:b/>
          <w:color w:val="auto"/>
          <w:sz w:val="32"/>
          <w:szCs w:val="32"/>
          <w:highlight w:val="none"/>
        </w:rPr>
      </w:pPr>
    </w:p>
    <w:p>
      <w:pPr>
        <w:ind w:firstLine="570"/>
        <w:jc w:val="center"/>
        <w:rPr>
          <w:rFonts w:ascii="宋体" w:hAnsi="宋体" w:cs="宋体"/>
          <w:b/>
          <w:color w:val="auto"/>
          <w:sz w:val="32"/>
          <w:szCs w:val="32"/>
          <w:highlight w:val="none"/>
        </w:rPr>
      </w:pPr>
    </w:p>
    <w:p>
      <w:pPr>
        <w:ind w:firstLine="570"/>
        <w:jc w:val="center"/>
        <w:rPr>
          <w:rFonts w:ascii="宋体" w:hAnsi="宋体" w:cs="宋体"/>
          <w:b/>
          <w:color w:val="auto"/>
          <w:sz w:val="32"/>
          <w:szCs w:val="32"/>
          <w:highlight w:val="none"/>
        </w:rPr>
      </w:pPr>
    </w:p>
    <w:p>
      <w:pPr>
        <w:ind w:firstLine="570"/>
        <w:jc w:val="center"/>
        <w:rPr>
          <w:rFonts w:ascii="宋体" w:hAnsi="宋体" w:cs="宋体"/>
          <w:b/>
          <w:color w:val="auto"/>
          <w:sz w:val="32"/>
          <w:szCs w:val="32"/>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ind w:firstLine="570"/>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autoSpaceDE w:val="0"/>
        <w:autoSpaceDN w:val="0"/>
        <w:adjustRightInd w:val="0"/>
        <w:snapToGrid w:val="0"/>
        <w:spacing w:line="400" w:lineRule="exact"/>
        <w:ind w:firstLine="487" w:firstLineChars="202"/>
        <w:rPr>
          <w:rFonts w:ascii="宋体" w:hAnsi="宋体" w:cs="宋体"/>
          <w:b/>
          <w:color w:val="auto"/>
          <w:highlight w:val="none"/>
        </w:rPr>
      </w:pPr>
      <w:r>
        <w:rPr>
          <w:rFonts w:hint="eastAsia" w:ascii="宋体" w:hAnsi="宋体" w:cs="宋体"/>
          <w:b/>
          <w:color w:val="auto"/>
          <w:highlight w:val="none"/>
        </w:rPr>
        <w:t>1、资格证明文件</w:t>
      </w:r>
    </w:p>
    <w:p>
      <w:pPr>
        <w:numPr>
          <w:ilvl w:val="0"/>
          <w:numId w:val="8"/>
        </w:numPr>
        <w:spacing w:line="400" w:lineRule="exact"/>
        <w:rPr>
          <w:rFonts w:ascii="宋体" w:hAnsi="宋体" w:cs="宋体"/>
          <w:color w:val="auto"/>
          <w:highlight w:val="none"/>
        </w:rPr>
      </w:pPr>
      <w:r>
        <w:rPr>
          <w:rFonts w:hint="eastAsia" w:ascii="宋体" w:hAnsi="宋体" w:cs="宋体"/>
          <w:color w:val="auto"/>
          <w:highlight w:val="none"/>
        </w:rPr>
        <w:t>磋商声明书（格式见附件）；</w:t>
      </w:r>
    </w:p>
    <w:p>
      <w:pPr>
        <w:numPr>
          <w:ilvl w:val="0"/>
          <w:numId w:val="8"/>
        </w:numPr>
        <w:spacing w:line="400" w:lineRule="exact"/>
        <w:rPr>
          <w:rFonts w:ascii="宋体" w:hAnsi="宋体" w:cs="宋体"/>
          <w:color w:val="auto"/>
          <w:highlight w:val="none"/>
        </w:rPr>
      </w:pPr>
      <w:r>
        <w:rPr>
          <w:rFonts w:hint="eastAsia" w:ascii="宋体" w:hAnsi="宋体" w:cs="宋体"/>
          <w:color w:val="auto"/>
          <w:highlight w:val="none"/>
        </w:rPr>
        <w:t>有效的企业营业执照、税务登记证（已办理“三证合一”或“五证合一”的企业无须提供税务登记证）</w:t>
      </w:r>
      <w:r>
        <w:rPr>
          <w:rFonts w:hint="eastAsia" w:ascii="宋体" w:hAnsi="宋体" w:cs="宋体"/>
          <w:color w:val="auto"/>
          <w:highlight w:val="none"/>
          <w:lang w:val="zh-CN"/>
        </w:rPr>
        <w:t>（原件、复印件加盖公章各一份）</w:t>
      </w:r>
      <w:r>
        <w:rPr>
          <w:rFonts w:hint="eastAsia" w:ascii="宋体" w:hAnsi="宋体" w:cs="宋体"/>
          <w:color w:val="auto"/>
          <w:highlight w:val="none"/>
        </w:rPr>
        <w:t>；</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ascii="宋体" w:hAnsi="宋体" w:cs="宋体"/>
          <w:color w:val="auto"/>
          <w:highlight w:val="none"/>
        </w:rPr>
        <w:t>承诺符合参与政府采购活动的资格条件并且没有税收缴纳、社会保障等方面的失信记录</w:t>
      </w:r>
      <w:r>
        <w:rPr>
          <w:rFonts w:hint="eastAsia" w:ascii="宋体" w:hAnsi="宋体" w:cs="宋体"/>
          <w:bCs/>
          <w:color w:val="auto"/>
          <w:highlight w:val="none"/>
        </w:rPr>
        <w:t>；</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法定代表人身份证明书（格式见附件）；</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信用承诺书（格式见附件）；</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法定代表人授权委托书及授权代理人有效身份证明（复印件）（格式见附件）；</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中小企业声明函（格式见附件）；</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 xml:space="preserve">供应商认为需要提供的其他资料和文件。 </w:t>
      </w:r>
    </w:p>
    <w:p>
      <w:pPr>
        <w:tabs>
          <w:tab w:val="left" w:pos="844"/>
        </w:tabs>
        <w:autoSpaceDE w:val="0"/>
        <w:autoSpaceDN w:val="0"/>
        <w:snapToGrid w:val="0"/>
        <w:spacing w:line="400" w:lineRule="exact"/>
        <w:ind w:left="426"/>
        <w:rPr>
          <w:rFonts w:ascii="宋体" w:hAnsi="宋体" w:cs="宋体"/>
          <w:bCs/>
          <w:color w:val="auto"/>
          <w:highlight w:val="none"/>
        </w:rPr>
      </w:pPr>
      <w:r>
        <w:rPr>
          <w:rFonts w:hint="eastAsia" w:ascii="宋体" w:hAnsi="宋体" w:cs="宋体"/>
          <w:bCs/>
          <w:color w:val="auto"/>
          <w:highlight w:val="none"/>
        </w:rPr>
        <w:t xml:space="preserve"> </w:t>
      </w:r>
    </w:p>
    <w:p>
      <w:pPr>
        <w:tabs>
          <w:tab w:val="left" w:pos="844"/>
        </w:tabs>
        <w:autoSpaceDE w:val="0"/>
        <w:autoSpaceDN w:val="0"/>
        <w:snapToGrid w:val="0"/>
        <w:spacing w:line="400" w:lineRule="exact"/>
        <w:ind w:left="426"/>
        <w:rPr>
          <w:rFonts w:ascii="宋体" w:hAnsi="宋体" w:cs="宋体"/>
          <w:bCs/>
          <w:color w:val="auto"/>
          <w:highlight w:val="none"/>
        </w:rPr>
      </w:pPr>
    </w:p>
    <w:p>
      <w:pPr>
        <w:spacing w:line="280" w:lineRule="exact"/>
        <w:ind w:firstLine="470" w:firstLineChars="196"/>
        <w:rPr>
          <w:rFonts w:ascii="宋体" w:hAnsi="宋体" w:cs="宋体"/>
          <w:color w:val="auto"/>
          <w:highlight w:val="none"/>
        </w:rPr>
      </w:pPr>
      <w:r>
        <w:rPr>
          <w:rFonts w:hint="eastAsia" w:ascii="宋体" w:hAnsi="宋体" w:cs="宋体"/>
          <w:color w:val="auto"/>
          <w:highlight w:val="none"/>
        </w:rPr>
        <w:br w:type="page"/>
      </w:r>
    </w:p>
    <w:p>
      <w:pPr>
        <w:spacing w:line="280" w:lineRule="exact"/>
        <w:ind w:firstLine="470" w:firstLineChars="196"/>
        <w:rPr>
          <w:rFonts w:ascii="宋体" w:hAnsi="宋体" w:cs="宋体"/>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1、磋商声明书</w:t>
      </w:r>
    </w:p>
    <w:p>
      <w:pPr>
        <w:spacing w:line="280" w:lineRule="exact"/>
        <w:ind w:firstLine="470" w:firstLineChars="196"/>
        <w:rPr>
          <w:rFonts w:ascii="宋体" w:hAnsi="宋体" w:cs="宋体"/>
          <w:color w:val="auto"/>
          <w:highlight w:val="none"/>
        </w:rPr>
      </w:pPr>
    </w:p>
    <w:p>
      <w:pPr>
        <w:spacing w:line="280" w:lineRule="exact"/>
        <w:ind w:firstLine="470" w:firstLineChars="196"/>
        <w:rPr>
          <w:rFonts w:ascii="宋体" w:hAnsi="宋体" w:cs="宋体"/>
          <w:color w:val="auto"/>
          <w:highlight w:val="none"/>
        </w:rPr>
      </w:pPr>
    </w:p>
    <w:p>
      <w:pPr>
        <w:spacing w:line="360" w:lineRule="auto"/>
        <w:jc w:val="center"/>
        <w:rPr>
          <w:rFonts w:ascii="宋体" w:hAnsi="宋体" w:cs="宋体"/>
          <w:b/>
          <w:color w:val="auto"/>
          <w:sz w:val="32"/>
          <w:szCs w:val="32"/>
          <w:highlight w:val="none"/>
        </w:rPr>
      </w:pPr>
      <w:bookmarkStart w:id="110" w:name="_Toc414960388"/>
      <w:bookmarkEnd w:id="110"/>
      <w:r>
        <w:rPr>
          <w:rFonts w:hint="eastAsia" w:ascii="宋体" w:hAnsi="宋体" w:cs="宋体"/>
          <w:b/>
          <w:color w:val="auto"/>
          <w:sz w:val="32"/>
          <w:szCs w:val="32"/>
          <w:highlight w:val="none"/>
        </w:rPr>
        <w:t>磋 商 声 明 书</w:t>
      </w:r>
    </w:p>
    <w:p>
      <w:pPr>
        <w:pStyle w:val="15"/>
        <w:spacing w:line="460" w:lineRule="atLeast"/>
        <w:jc w:val="center"/>
        <w:rPr>
          <w:rFonts w:cs="宋体"/>
          <w:color w:val="auto"/>
          <w:highlight w:val="none"/>
        </w:rPr>
      </w:pP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tabs>
          <w:tab w:val="left" w:pos="1418"/>
        </w:tabs>
        <w:snapToGrid w:val="0"/>
        <w:spacing w:before="50" w:after="50" w:line="360" w:lineRule="auto"/>
        <w:ind w:firstLine="480" w:firstLineChars="20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（供应商名称）系中华人民共和国合法企业，经营地址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tabs>
          <w:tab w:val="left" w:pos="1418"/>
        </w:tabs>
        <w:snapToGrid w:val="0"/>
        <w:spacing w:before="50" w:after="50" w:line="360" w:lineRule="auto"/>
        <w:ind w:firstLine="480" w:firstLineChars="2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（供应商名称）的法定代表人，我方愿意参加贵方组织的</w:t>
      </w:r>
      <w:r>
        <w:rPr>
          <w:rFonts w:hint="eastAsia" w:ascii="宋体" w:hAnsi="宋体" w:cs="宋体"/>
          <w:color w:val="auto"/>
          <w:highlight w:val="none"/>
          <w:u w:val="single"/>
        </w:rPr>
        <w:t xml:space="preserve">             </w:t>
      </w:r>
      <w:r>
        <w:rPr>
          <w:rFonts w:hint="eastAsia" w:ascii="宋体" w:hAnsi="宋体" w:cs="宋体"/>
          <w:color w:val="auto"/>
          <w:highlight w:val="none"/>
        </w:rPr>
        <w:t>项目的磋商，为便于贵方公正、择优地确定成交供应商及其磋商项目的服务，我方就本次磋商有关事项郑重声明如下：</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1、我方向贵方提交的所有响应文件、资料都是准确的和真实的；</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3、我方此次向贵方提供的服务是</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4、我方最近三年内的被公开披露或查处的违法违规行为有：</w:t>
      </w:r>
      <w:r>
        <w:rPr>
          <w:rFonts w:hint="eastAsia" w:ascii="宋体" w:hAnsi="宋体" w:cs="宋体"/>
          <w:color w:val="auto"/>
          <w:highlight w:val="none"/>
          <w:u w:val="single"/>
        </w:rPr>
        <w:t xml:space="preserve">　                </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5、我方承诺：最近三年我方无行贿犯罪行为，若我方成交，愿意接受社会监督和检察院调查，若与我方承诺不符，可免除我方成交人资格。                                                  </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6、以上事项如有虚假或隐瞒，我方愿意承担一切后果和责任。</w:t>
      </w:r>
    </w:p>
    <w:p>
      <w:pPr>
        <w:adjustRightInd w:val="0"/>
        <w:snapToGrid w:val="0"/>
        <w:spacing w:line="360" w:lineRule="auto"/>
        <w:ind w:firstLine="480" w:firstLineChars="200"/>
        <w:rPr>
          <w:rFonts w:ascii="宋体" w:hAnsi="宋体" w:cs="宋体"/>
          <w:color w:val="auto"/>
          <w:highlight w:val="none"/>
          <w:u w:val="single"/>
        </w:rPr>
      </w:pPr>
    </w:p>
    <w:p>
      <w:pPr>
        <w:adjustRightInd w:val="0"/>
        <w:snapToGrid w:val="0"/>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p>
    <w:p>
      <w:pPr>
        <w:adjustRightInd w:val="0"/>
        <w:snapToGrid w:val="0"/>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line="360" w:lineRule="auto"/>
        <w:ind w:firstLine="240" w:firstLineChars="100"/>
        <w:rPr>
          <w:rFonts w:ascii="宋体" w:hAnsi="宋体" w:cs="宋体"/>
          <w:color w:val="auto"/>
          <w:highlight w:val="none"/>
        </w:rPr>
      </w:pPr>
      <w:r>
        <w:rPr>
          <w:rFonts w:hint="eastAsia" w:ascii="宋体" w:hAnsi="宋体" w:cs="宋体"/>
          <w:color w:val="auto"/>
          <w:highlight w:val="none"/>
        </w:rPr>
        <w:t xml:space="preserve">  年    月    日</w:t>
      </w:r>
    </w:p>
    <w:p>
      <w:pPr>
        <w:spacing w:line="280" w:lineRule="exact"/>
        <w:ind w:firstLine="470" w:firstLineChars="196"/>
        <w:rPr>
          <w:rFonts w:ascii="宋体" w:hAnsi="宋体" w:cs="宋体"/>
          <w:color w:val="auto"/>
          <w:highlight w:val="none"/>
        </w:rPr>
      </w:pPr>
    </w:p>
    <w:p>
      <w:pPr>
        <w:spacing w:line="280" w:lineRule="exact"/>
        <w:ind w:firstLine="470" w:firstLineChars="196"/>
        <w:rPr>
          <w:rFonts w:ascii="宋体" w:hAnsi="宋体" w:cs="宋体"/>
          <w:color w:val="auto"/>
          <w:highlight w:val="none"/>
        </w:rPr>
      </w:pPr>
    </w:p>
    <w:p>
      <w:pPr>
        <w:spacing w:line="280" w:lineRule="exact"/>
        <w:ind w:firstLine="470" w:firstLineChars="196"/>
        <w:rPr>
          <w:rFonts w:ascii="宋体" w:hAnsi="宋体" w:cs="宋体"/>
          <w:color w:val="auto"/>
          <w:highlight w:val="none"/>
        </w:rPr>
      </w:pPr>
    </w:p>
    <w:p>
      <w:pPr>
        <w:spacing w:line="280" w:lineRule="exact"/>
        <w:rPr>
          <w:rFonts w:ascii="宋体" w:hAnsi="宋体" w:cs="宋体"/>
          <w:color w:val="auto"/>
          <w:highlight w:val="none"/>
        </w:rPr>
      </w:pPr>
    </w:p>
    <w:p>
      <w:pPr>
        <w:spacing w:line="280" w:lineRule="exact"/>
        <w:rPr>
          <w:rFonts w:ascii="宋体" w:hAnsi="宋体" w:cs="宋体"/>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color w:val="auto"/>
          <w:szCs w:val="21"/>
          <w:highlight w:val="none"/>
        </w:rPr>
        <w:br w:type="page"/>
      </w:r>
      <w:r>
        <w:rPr>
          <w:rFonts w:hint="eastAsia" w:ascii="宋体" w:hAnsi="宋体" w:cs="宋体"/>
          <w:b/>
          <w:bCs/>
          <w:color w:val="auto"/>
          <w:sz w:val="28"/>
          <w:szCs w:val="28"/>
          <w:highlight w:val="none"/>
        </w:rPr>
        <w:t>2、法定代表人身份证明书</w:t>
      </w:r>
    </w:p>
    <w:p>
      <w:pPr>
        <w:spacing w:before="156" w:beforeLines="50" w:after="156" w:afterLines="50" w:line="400" w:lineRule="exact"/>
        <w:jc w:val="center"/>
        <w:rPr>
          <w:rFonts w:ascii="宋体" w:hAnsi="宋体" w:cs="宋体"/>
          <w:bCs/>
          <w:color w:val="auto"/>
          <w:sz w:val="30"/>
          <w:highlight w:val="none"/>
        </w:rPr>
      </w:pPr>
    </w:p>
    <w:p>
      <w:pPr>
        <w:spacing w:before="156" w:beforeLines="50" w:after="156" w:afterLines="50"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法定代表人身份证明书</w:t>
      </w:r>
    </w:p>
    <w:p>
      <w:pPr>
        <w:spacing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lang w:val="zh-CN"/>
        </w:rPr>
        <w:t>：</w:t>
      </w:r>
    </w:p>
    <w:p>
      <w:pPr>
        <w:spacing w:before="156" w:beforeLines="50" w:after="156" w:afterLines="50" w:line="400" w:lineRule="exact"/>
        <w:rPr>
          <w:rFonts w:ascii="宋体" w:hAnsi="宋体" w:cs="宋体"/>
          <w:color w:val="auto"/>
          <w:highlight w:val="none"/>
          <w:u w:val="single"/>
        </w:rPr>
      </w:pPr>
      <w:r>
        <w:rPr>
          <w:rFonts w:hint="eastAsia" w:ascii="宋体" w:hAnsi="宋体" w:cs="宋体"/>
          <w:bCs/>
          <w:color w:val="auto"/>
          <w:highlight w:val="none"/>
        </w:rPr>
        <w:t xml:space="preserve">    </w:t>
      </w:r>
      <w:r>
        <w:rPr>
          <w:rFonts w:hint="eastAsia" w:ascii="宋体" w:hAnsi="宋体" w:cs="宋体"/>
          <w:color w:val="auto"/>
          <w:highlight w:val="none"/>
          <w:u w:val="single"/>
        </w:rPr>
        <w:t xml:space="preserve">  （法定代表人姓名）   </w:t>
      </w:r>
      <w:r>
        <w:rPr>
          <w:rFonts w:hint="eastAsia" w:ascii="宋体" w:hAnsi="宋体" w:cs="宋体"/>
          <w:color w:val="auto"/>
          <w:highlight w:val="none"/>
        </w:rPr>
        <w:t>系</w:t>
      </w:r>
      <w:r>
        <w:rPr>
          <w:rFonts w:hint="eastAsia" w:ascii="宋体" w:hAnsi="宋体" w:cs="宋体"/>
          <w:color w:val="auto"/>
          <w:highlight w:val="none"/>
          <w:u w:val="single"/>
        </w:rPr>
        <w:t xml:space="preserve">   （供应商名称）  </w:t>
      </w:r>
      <w:r>
        <w:rPr>
          <w:rFonts w:hint="eastAsia" w:ascii="宋体" w:hAnsi="宋体" w:cs="宋体"/>
          <w:color w:val="auto"/>
          <w:highlight w:val="none"/>
        </w:rPr>
        <w:t>的法定代表人，性别</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联系电话 </w:t>
      </w:r>
      <w:r>
        <w:rPr>
          <w:rFonts w:hint="eastAsia" w:ascii="宋体" w:hAnsi="宋体" w:cs="宋体"/>
          <w:color w:val="auto"/>
          <w:highlight w:val="none"/>
          <w:u w:val="single"/>
        </w:rPr>
        <w:t xml:space="preserve">         </w:t>
      </w:r>
      <w:r>
        <w:rPr>
          <w:rFonts w:hint="eastAsia" w:ascii="宋体" w:hAnsi="宋体" w:cs="宋体"/>
          <w:color w:val="auto"/>
          <w:highlight w:val="none"/>
        </w:rPr>
        <w:t>传真</w:t>
      </w:r>
      <w:r>
        <w:rPr>
          <w:rFonts w:hint="eastAsia" w:ascii="宋体" w:hAnsi="宋体" w:cs="宋体"/>
          <w:color w:val="auto"/>
          <w:highlight w:val="none"/>
          <w:u w:val="single"/>
        </w:rPr>
        <w:t xml:space="preserve">                </w:t>
      </w:r>
      <w:r>
        <w:rPr>
          <w:rFonts w:hint="eastAsia" w:ascii="宋体" w:hAnsi="宋体" w:cs="宋体"/>
          <w:color w:val="auto"/>
          <w:highlight w:val="none"/>
        </w:rPr>
        <w:t>,联系地址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，邮编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          </w:t>
      </w:r>
    </w:p>
    <w:p>
      <w:pPr>
        <w:spacing w:before="156" w:beforeLines="50" w:after="156" w:afterLines="50" w:line="400" w:lineRule="exact"/>
        <w:rPr>
          <w:rFonts w:ascii="宋体" w:hAnsi="宋体" w:cs="宋体"/>
          <w:color w:val="auto"/>
          <w:highlight w:val="none"/>
        </w:rPr>
      </w:pPr>
    </w:p>
    <w:p>
      <w:pPr>
        <w:spacing w:before="156" w:beforeLines="50" w:after="156" w:afterLines="50" w:line="400" w:lineRule="exact"/>
        <w:jc w:val="center"/>
        <w:rPr>
          <w:rFonts w:ascii="宋体" w:hAnsi="宋体" w:cs="宋体"/>
          <w:color w:val="auto"/>
          <w:highlight w:val="none"/>
        </w:rPr>
      </w:pPr>
      <w:r>
        <w:rPr>
          <w:rFonts w:hint="eastAsia" w:ascii="宋体" w:hAnsi="宋体" w:cs="宋体"/>
          <w:color w:val="auto"/>
          <w:highlight w:val="none"/>
        </w:rPr>
        <w:t>特此证明</w:t>
      </w:r>
    </w:p>
    <w:p>
      <w:pPr>
        <w:spacing w:before="156" w:beforeLines="50" w:after="156" w:afterLines="50" w:line="400" w:lineRule="exact"/>
        <w:jc w:val="right"/>
        <w:rPr>
          <w:rFonts w:ascii="宋体" w:hAnsi="宋体" w:cs="宋体"/>
          <w:color w:val="auto"/>
          <w:highlight w:val="none"/>
        </w:rPr>
      </w:pPr>
    </w:p>
    <w:p>
      <w:pPr>
        <w:spacing w:before="156" w:beforeLines="50" w:after="156" w:afterLines="50" w:line="400" w:lineRule="exact"/>
        <w:jc w:val="right"/>
        <w:rPr>
          <w:rFonts w:ascii="宋体" w:hAnsi="宋体" w:cs="宋体"/>
          <w:color w:val="auto"/>
          <w:highlight w:val="none"/>
        </w:rPr>
      </w:pPr>
      <w:r>
        <w:rPr>
          <w:rFonts w:hint="eastAsia" w:ascii="宋体" w:hAnsi="宋体" w:cs="宋体"/>
          <w:color w:val="auto"/>
          <w:highlight w:val="none"/>
        </w:rPr>
        <w:t>供应商名称（公章）</w:t>
      </w:r>
    </w:p>
    <w:p>
      <w:pPr>
        <w:wordWrap w:val="0"/>
        <w:spacing w:before="156" w:beforeLines="50" w:after="156" w:afterLines="50" w:line="400" w:lineRule="exact"/>
        <w:jc w:val="right"/>
        <w:rPr>
          <w:rFonts w:ascii="宋体" w:hAnsi="宋体" w:cs="宋体"/>
          <w:color w:val="auto"/>
          <w:highlight w:val="none"/>
        </w:rPr>
      </w:pPr>
      <w:r>
        <w:rPr>
          <w:rFonts w:hint="eastAsia" w:ascii="宋体" w:hAnsi="宋体" w:cs="宋体"/>
          <w:color w:val="auto"/>
          <w:highlight w:val="none"/>
        </w:rPr>
        <w:t>日期：  年   月  日</w:t>
      </w: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w:t>
      </w:r>
    </w:p>
    <w:p>
      <w:pPr>
        <w:spacing w:before="156" w:beforeLines="50" w:after="156" w:afterLines="50" w:line="400" w:lineRule="exact"/>
        <w:jc w:val="center"/>
        <w:rPr>
          <w:rFonts w:ascii="宋体" w:hAnsi="宋体" w:cs="宋体"/>
          <w:color w:val="auto"/>
          <w:highlight w:val="none"/>
        </w:rPr>
      </w:pPr>
      <w:r>
        <w:rPr>
          <w:rFonts w:hint="eastAsia" w:ascii="宋体" w:hAnsi="宋体" w:cs="宋体"/>
          <w:color w:val="auto"/>
          <w:highlight w:val="none"/>
        </w:rPr>
        <w:t>附法定代表人身份证复印件</w:t>
      </w: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 xml:space="preserve">   </w:t>
      </w:r>
    </w:p>
    <w:p>
      <w:pPr>
        <w:spacing w:before="156" w:beforeLines="50" w:after="156" w:afterLines="50" w:line="400" w:lineRule="exact"/>
        <w:rPr>
          <w:rFonts w:ascii="宋体" w:hAnsi="宋体" w:cs="宋体"/>
          <w:color w:val="auto"/>
          <w:szCs w:val="21"/>
          <w:highlight w:val="none"/>
        </w:rPr>
      </w:pPr>
    </w:p>
    <w:p>
      <w:pPr>
        <w:spacing w:before="156" w:beforeLines="50" w:after="156" w:afterLines="50" w:line="400" w:lineRule="exact"/>
        <w:rPr>
          <w:rFonts w:ascii="宋体" w:hAnsi="宋体" w:cs="宋体"/>
          <w:color w:val="auto"/>
          <w:szCs w:val="21"/>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3、法定代表人授权委托书格式</w:t>
      </w:r>
    </w:p>
    <w:p>
      <w:pPr>
        <w:spacing w:before="156" w:beforeLines="50" w:after="156" w:afterLines="50" w:line="400" w:lineRule="exact"/>
        <w:jc w:val="center"/>
        <w:rPr>
          <w:rFonts w:ascii="宋体" w:hAnsi="宋体" w:cs="宋体"/>
          <w:bCs/>
          <w:color w:val="auto"/>
          <w:sz w:val="30"/>
          <w:highlight w:val="none"/>
        </w:rPr>
      </w:pPr>
    </w:p>
    <w:p>
      <w:pPr>
        <w:spacing w:before="156" w:beforeLines="50" w:after="156" w:afterLines="50"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pacing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lang w:val="zh-CN"/>
        </w:rPr>
        <w:t>：</w:t>
      </w:r>
    </w:p>
    <w:p>
      <w:pPr>
        <w:spacing w:line="360" w:lineRule="auto"/>
        <w:ind w:firstLine="612"/>
        <w:rPr>
          <w:rFonts w:ascii="宋体" w:hAnsi="宋体" w:cs="宋体"/>
          <w:color w:val="auto"/>
          <w:highlight w:val="none"/>
        </w:rPr>
      </w:pPr>
      <w:r>
        <w:rPr>
          <w:rFonts w:hint="eastAsia" w:ascii="宋体" w:hAnsi="宋体" w:cs="宋体"/>
          <w:color w:val="auto"/>
          <w:highlight w:val="none"/>
        </w:rPr>
        <w:t>本授权委托书声明：我</w:t>
      </w:r>
      <w:r>
        <w:rPr>
          <w:rFonts w:hint="eastAsia" w:ascii="宋体" w:hAnsi="宋体" w:cs="宋体"/>
          <w:color w:val="auto"/>
          <w:highlight w:val="none"/>
          <w:u w:val="single"/>
        </w:rPr>
        <w:t xml:space="preserve">   （法定代表人姓名）   </w:t>
      </w:r>
      <w:r>
        <w:rPr>
          <w:rFonts w:hint="eastAsia" w:ascii="宋体" w:hAnsi="宋体" w:cs="宋体"/>
          <w:color w:val="auto"/>
          <w:highlight w:val="none"/>
        </w:rPr>
        <w:t>系</w:t>
      </w:r>
      <w:r>
        <w:rPr>
          <w:rFonts w:hint="eastAsia" w:ascii="宋体" w:hAnsi="宋体" w:cs="宋体"/>
          <w:color w:val="auto"/>
          <w:highlight w:val="none"/>
          <w:u w:val="single"/>
        </w:rPr>
        <w:t xml:space="preserve">   （供应商）  </w:t>
      </w:r>
      <w:r>
        <w:rPr>
          <w:rFonts w:hint="eastAsia" w:ascii="宋体" w:hAnsi="宋体" w:cs="宋体"/>
          <w:color w:val="auto"/>
          <w:highlight w:val="none"/>
        </w:rPr>
        <w:t>的法定代表人，现授权委托</w:t>
      </w:r>
      <w:r>
        <w:rPr>
          <w:rFonts w:hint="eastAsia" w:ascii="宋体" w:hAnsi="宋体" w:cs="宋体"/>
          <w:color w:val="auto"/>
          <w:highlight w:val="none"/>
          <w:u w:val="single"/>
        </w:rPr>
        <w:t xml:space="preserve">（授权代表姓名）  </w:t>
      </w:r>
      <w:r>
        <w:rPr>
          <w:rFonts w:hint="eastAsia" w:ascii="宋体" w:hAnsi="宋体" w:cs="宋体"/>
          <w:color w:val="auto"/>
          <w:highlight w:val="none"/>
        </w:rPr>
        <w:t xml:space="preserve">为我公司法定代表人授权代表，参加贵处组织的  </w:t>
      </w:r>
      <w:r>
        <w:rPr>
          <w:rFonts w:hint="eastAsia" w:ascii="宋体" w:hAnsi="宋体" w:cs="宋体"/>
          <w:color w:val="auto"/>
          <w:highlight w:val="none"/>
          <w:u w:val="single"/>
        </w:rPr>
        <w:t xml:space="preserve">项目名称， （项目编号）  </w:t>
      </w:r>
      <w:r>
        <w:rPr>
          <w:rFonts w:hint="eastAsia" w:ascii="宋体" w:hAnsi="宋体" w:cs="宋体"/>
          <w:color w:val="auto"/>
          <w:highlight w:val="none"/>
        </w:rPr>
        <w:t>项目谈判，全权处理本次谈判活动中的一切事宜，我承认授权代表全权代表我所签署的本项目的响应文件的内容。</w:t>
      </w:r>
    </w:p>
    <w:p>
      <w:pPr>
        <w:spacing w:line="360" w:lineRule="auto"/>
        <w:jc w:val="center"/>
        <w:rPr>
          <w:rFonts w:ascii="宋体" w:hAnsi="宋体" w:cs="宋体"/>
          <w:color w:val="auto"/>
          <w:highlight w:val="none"/>
        </w:rPr>
      </w:pPr>
      <w:r>
        <w:rPr>
          <w:rFonts w:hint="eastAsia" w:ascii="宋体" w:hAnsi="宋体" w:cs="宋体"/>
          <w:color w:val="auto"/>
          <w:highlight w:val="none"/>
        </w:rPr>
        <w:t>授权代表无转授权，特此授权。</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授权代表：</w:t>
      </w:r>
      <w:r>
        <w:rPr>
          <w:rFonts w:hint="eastAsia" w:ascii="宋体" w:hAnsi="宋体" w:cs="宋体"/>
          <w:color w:val="auto"/>
          <w:highlight w:val="none"/>
          <w:u w:val="single"/>
        </w:rPr>
        <w:t xml:space="preserve">   （签字）  </w:t>
      </w:r>
      <w:r>
        <w:rPr>
          <w:rFonts w:hint="eastAsia" w:ascii="宋体" w:hAnsi="宋体" w:cs="宋体"/>
          <w:color w:val="auto"/>
          <w:highlight w:val="none"/>
        </w:rPr>
        <w:t xml:space="preserve"> 性别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详细通讯地址：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传真：</w:t>
      </w:r>
      <w:r>
        <w:rPr>
          <w:rFonts w:hint="eastAsia" w:ascii="宋体" w:hAnsi="宋体" w:cs="宋体"/>
          <w:color w:val="auto"/>
          <w:highlight w:val="none"/>
          <w:u w:val="single"/>
        </w:rPr>
        <w:t xml:space="preserve">                      </w:t>
      </w:r>
    </w:p>
    <w:p>
      <w:pPr>
        <w:ind w:left="1" w:firstLine="460" w:firstLineChars="192"/>
        <w:rPr>
          <w:rFonts w:ascii="宋体" w:hAnsi="宋体" w:cs="宋体"/>
          <w:color w:val="auto"/>
          <w:highlight w:val="none"/>
        </w:rPr>
      </w:pPr>
      <w:r>
        <w:rPr>
          <w:rFonts w:hint="eastAsia" w:ascii="宋体" w:hAnsi="宋体" w:cs="宋体"/>
          <w:color w:val="auto"/>
          <w:highlight w:val="none"/>
        </w:rPr>
        <w:t xml:space="preserve">   </w:t>
      </w:r>
    </w:p>
    <w:p>
      <w:pPr>
        <w:spacing w:line="360" w:lineRule="auto"/>
        <w:ind w:left="424" w:right="420"/>
        <w:jc w:val="right"/>
        <w:rPr>
          <w:rFonts w:ascii="宋体" w:hAnsi="宋体" w:cs="宋体"/>
          <w:color w:val="auto"/>
          <w:highlight w:val="none"/>
        </w:rPr>
      </w:pPr>
      <w:r>
        <w:rPr>
          <w:rFonts w:hint="eastAsia" w:ascii="宋体" w:hAnsi="宋体" w:cs="宋体"/>
          <w:color w:val="auto"/>
          <w:highlight w:val="none"/>
        </w:rPr>
        <w:t>供应商名称：（盖章）</w:t>
      </w:r>
      <w:r>
        <w:rPr>
          <w:rFonts w:hint="eastAsia" w:ascii="宋体" w:hAnsi="宋体" w:cs="宋体"/>
          <w:color w:val="auto"/>
          <w:highlight w:val="none"/>
          <w:u w:val="single"/>
        </w:rPr>
        <w:t xml:space="preserve">                                   </w:t>
      </w:r>
    </w:p>
    <w:p>
      <w:pPr>
        <w:spacing w:line="360" w:lineRule="auto"/>
        <w:ind w:left="424" w:right="420"/>
        <w:jc w:val="right"/>
        <w:rPr>
          <w:rFonts w:ascii="宋体" w:hAnsi="宋体" w:cs="宋体"/>
          <w:color w:val="auto"/>
          <w:highlight w:val="none"/>
        </w:rPr>
      </w:pPr>
      <w:r>
        <w:rPr>
          <w:rFonts w:hint="eastAsia" w:ascii="宋体" w:hAnsi="宋体" w:cs="宋体"/>
          <w:color w:val="auto"/>
          <w:highlight w:val="none"/>
        </w:rPr>
        <w:t>法定代表人（签字）：</w:t>
      </w:r>
    </w:p>
    <w:p>
      <w:pPr>
        <w:spacing w:line="360" w:lineRule="auto"/>
        <w:ind w:left="424" w:right="420"/>
        <w:jc w:val="righ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年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360" w:lineRule="auto"/>
        <w:rPr>
          <w:rFonts w:ascii="宋体" w:hAnsi="宋体" w:cs="宋体"/>
          <w:color w:val="auto"/>
          <w:highlight w:val="none"/>
        </w:rPr>
      </w:pPr>
      <w:r>
        <w:rPr>
          <w:rFonts w:hint="eastAsia" w:ascii="宋体" w:hAnsi="宋体" w:cs="宋体"/>
          <w:color w:val="auto"/>
          <w:highlight w:val="none"/>
        </w:rPr>
        <w:t>-----------------------------------------------------------------------------</w:t>
      </w:r>
    </w:p>
    <w:p>
      <w:pPr>
        <w:pStyle w:val="18"/>
        <w:ind w:left="480" w:firstLine="420" w:firstLineChars="200"/>
        <w:rPr>
          <w:rFonts w:ascii="宋体" w:hAnsi="宋体" w:cs="宋体"/>
          <w:color w:val="auto"/>
          <w:highlight w:val="none"/>
        </w:rPr>
      </w:pPr>
      <w:r>
        <w:rPr>
          <w:rFonts w:hint="eastAsia" w:ascii="宋体" w:hAnsi="宋体" w:cs="宋体"/>
          <w:color w:val="auto"/>
          <w:highlight w:val="none"/>
        </w:rPr>
        <w:t>授权代表身份证复印件</w:t>
      </w:r>
    </w:p>
    <w:p>
      <w:pPr>
        <w:pStyle w:val="18"/>
        <w:ind w:left="480" w:firstLine="420" w:firstLineChars="200"/>
        <w:rPr>
          <w:rFonts w:ascii="宋体" w:hAnsi="宋体" w:cs="宋体"/>
          <w:color w:val="auto"/>
          <w:highlight w:val="none"/>
        </w:rPr>
      </w:pPr>
    </w:p>
    <w:p>
      <w:pPr>
        <w:pStyle w:val="18"/>
        <w:ind w:left="480" w:firstLine="420" w:firstLineChars="200"/>
        <w:rPr>
          <w:rFonts w:ascii="宋体" w:hAnsi="宋体" w:cs="宋体"/>
          <w:color w:val="auto"/>
          <w:highlight w:val="none"/>
        </w:rPr>
      </w:pPr>
      <w:r>
        <w:rPr>
          <w:rFonts w:hint="eastAsia" w:ascii="宋体" w:hAnsi="宋体" w:cs="宋体"/>
          <w:color w:val="auto"/>
          <w:highlight w:val="none"/>
        </w:rPr>
        <w:t>注：本法定代表人授权书正本一式二份，商务文件正本中有一份，另一份在递交响应文件时，随授权代表身份证一起交验。</w:t>
      </w: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adjustRightInd w:val="0"/>
        <w:snapToGrid w:val="0"/>
        <w:spacing w:before="156" w:beforeLines="50" w:after="156" w:afterLines="50"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4、信用承诺书</w:t>
      </w:r>
    </w:p>
    <w:p>
      <w:pPr>
        <w:adjustRightInd w:val="0"/>
        <w:snapToGrid w:val="0"/>
        <w:spacing w:before="156" w:beforeLines="50" w:after="156" w:afterLines="50" w:line="500" w:lineRule="exact"/>
        <w:rPr>
          <w:rFonts w:ascii="宋体" w:hAnsi="宋体" w:cs="宋体"/>
          <w:b/>
          <w:color w:val="auto"/>
          <w:sz w:val="28"/>
          <w:szCs w:val="28"/>
          <w:highlight w:val="none"/>
        </w:rPr>
      </w:pPr>
    </w:p>
    <w:p>
      <w:pPr>
        <w:adjustRightInd w:val="0"/>
        <w:snapToGrid w:val="0"/>
        <w:spacing w:before="156" w:beforeLines="50" w:after="156" w:afterLines="5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信用承诺书</w:t>
      </w:r>
    </w:p>
    <w:p>
      <w:pPr>
        <w:adjustRightInd w:val="0"/>
        <w:snapToGrid w:val="0"/>
        <w:spacing w:before="156" w:beforeLines="50" w:after="156" w:afterLines="50" w:line="500" w:lineRule="exact"/>
        <w:rPr>
          <w:rFonts w:ascii="宋体" w:hAnsi="宋体" w:cs="宋体"/>
          <w:b/>
          <w:color w:val="auto"/>
          <w:highlight w:val="none"/>
        </w:rPr>
      </w:pPr>
    </w:p>
    <w:p>
      <w:pPr>
        <w:tabs>
          <w:tab w:val="left" w:pos="1650"/>
        </w:tabs>
        <w:jc w:val="lef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（竞标单位）现参加</w:t>
      </w:r>
      <w:r>
        <w:rPr>
          <w:rFonts w:hint="eastAsia" w:ascii="宋体" w:hAnsi="宋体" w:cs="宋体"/>
          <w:color w:val="auto"/>
          <w:highlight w:val="none"/>
          <w:u w:val="single"/>
        </w:rPr>
        <w:t xml:space="preserve">               </w:t>
      </w:r>
      <w:r>
        <w:rPr>
          <w:rFonts w:hint="eastAsia" w:ascii="宋体" w:hAnsi="宋体" w:cs="宋体"/>
          <w:color w:val="auto"/>
          <w:highlight w:val="none"/>
        </w:rPr>
        <w:t>（采购项目）政府采购活动，郑重承诺如下：</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对所提供的资料合法性、真实性、准确性和有效性负责；</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严格按照国家法律、法规和规章，依法开展相关经济活动，全面履行应尽的责任和义务；</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加强自我约束、自我规范、自我管理，不制假售假、不虚假宣传、不违约毁约、不恶意逃债、不偷税漏税，诚信依法经营；</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kern w:val="0"/>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ascii="宋体" w:hAnsi="宋体" w:cs="宋体"/>
          <w:color w:val="auto"/>
          <w:highlight w:val="none"/>
          <w:u w:val="single"/>
        </w:rPr>
      </w:pPr>
    </w:p>
    <w:p>
      <w:pPr>
        <w:tabs>
          <w:tab w:val="left" w:pos="1650"/>
        </w:tabs>
        <w:spacing w:line="560" w:lineRule="exact"/>
        <w:rPr>
          <w:rFonts w:ascii="宋体" w:hAnsi="宋体" w:cs="宋体"/>
          <w:color w:val="auto"/>
          <w:highlight w:val="none"/>
          <w:u w:val="single"/>
        </w:rPr>
      </w:pPr>
    </w:p>
    <w:p>
      <w:pPr>
        <w:pStyle w:val="64"/>
        <w:spacing w:before="0" w:beforeAutospacing="0" w:after="0" w:afterAutospacing="0" w:line="560" w:lineRule="exact"/>
        <w:ind w:firstLine="600" w:firstLineChars="250"/>
        <w:rPr>
          <w:color w:val="auto"/>
          <w:spacing w:val="-7"/>
          <w:highlight w:val="none"/>
        </w:rPr>
      </w:pPr>
      <w:r>
        <w:rPr>
          <w:rFonts w:hint="eastAsia"/>
          <w:color w:val="auto"/>
          <w:kern w:val="2"/>
          <w:highlight w:val="none"/>
        </w:rPr>
        <w:t>统一社会信用代码：</w:t>
      </w:r>
      <w:r>
        <w:rPr>
          <w:rFonts w:hint="eastAsia"/>
          <w:color w:val="auto"/>
          <w:spacing w:val="-7"/>
          <w:highlight w:val="none"/>
          <w:u w:val="single"/>
        </w:rPr>
        <w:t xml:space="preserve">                      </w:t>
      </w:r>
      <w:r>
        <w:rPr>
          <w:rFonts w:hint="eastAsia"/>
          <w:color w:val="auto"/>
          <w:spacing w:val="-7"/>
          <w:highlight w:val="none"/>
        </w:rPr>
        <w:t xml:space="preserve"> </w:t>
      </w:r>
    </w:p>
    <w:p>
      <w:pPr>
        <w:pStyle w:val="64"/>
        <w:spacing w:before="0" w:beforeAutospacing="0" w:after="0" w:afterAutospacing="0" w:line="560" w:lineRule="exact"/>
        <w:rPr>
          <w:color w:val="auto"/>
          <w:highlight w:val="none"/>
        </w:rPr>
      </w:pPr>
      <w:r>
        <w:rPr>
          <w:rFonts w:hint="eastAsia"/>
          <w:color w:val="auto"/>
          <w:highlight w:val="none"/>
        </w:rPr>
        <w:t xml:space="preserve">    </w:t>
      </w:r>
    </w:p>
    <w:p>
      <w:pPr>
        <w:pStyle w:val="64"/>
        <w:spacing w:before="0" w:beforeAutospacing="0" w:after="0" w:afterAutospacing="0" w:line="560" w:lineRule="exact"/>
        <w:ind w:firstLine="3240" w:firstLineChars="1350"/>
        <w:jc w:val="right"/>
        <w:rPr>
          <w:color w:val="auto"/>
          <w:kern w:val="2"/>
          <w:highlight w:val="none"/>
        </w:rPr>
      </w:pPr>
      <w:r>
        <w:rPr>
          <w:rFonts w:hint="eastAsia"/>
          <w:color w:val="auto"/>
          <w:kern w:val="2"/>
          <w:highlight w:val="none"/>
        </w:rPr>
        <w:t>承诺单位/个人（盖章/签名）</w:t>
      </w:r>
    </w:p>
    <w:p>
      <w:pPr>
        <w:spacing w:line="560" w:lineRule="exact"/>
        <w:jc w:val="right"/>
        <w:rPr>
          <w:rFonts w:ascii="宋体" w:hAnsi="宋体" w:cs="宋体"/>
          <w:color w:val="auto"/>
          <w:highlight w:val="none"/>
        </w:rPr>
      </w:pPr>
      <w:r>
        <w:rPr>
          <w:rFonts w:hint="eastAsia" w:ascii="宋体" w:hAnsi="宋体" w:cs="宋体"/>
          <w:color w:val="auto"/>
          <w:highlight w:val="none"/>
        </w:rPr>
        <w:t xml:space="preserve">                               时间：20**年*月*日</w:t>
      </w:r>
    </w:p>
    <w:p>
      <w:pPr>
        <w:pStyle w:val="15"/>
        <w:adjustRightInd w:val="0"/>
        <w:snapToGrid w:val="0"/>
        <w:spacing w:before="0" w:after="0" w:line="340" w:lineRule="exact"/>
        <w:jc w:val="both"/>
        <w:outlineLvl w:val="0"/>
        <w:rPr>
          <w:rFonts w:cs="宋体"/>
          <w:b/>
          <w:bCs/>
          <w:color w:val="auto"/>
          <w:highlight w:val="none"/>
        </w:rPr>
      </w:pPr>
    </w:p>
    <w:p>
      <w:pPr>
        <w:pStyle w:val="15"/>
        <w:adjustRightInd w:val="0"/>
        <w:snapToGrid w:val="0"/>
        <w:spacing w:before="0" w:after="0" w:line="340" w:lineRule="exact"/>
        <w:jc w:val="both"/>
        <w:outlineLvl w:val="0"/>
        <w:rPr>
          <w:rFonts w:cs="宋体"/>
          <w:b/>
          <w:bCs/>
          <w:color w:val="auto"/>
          <w:highlight w:val="none"/>
        </w:rPr>
      </w:pPr>
    </w:p>
    <w:p>
      <w:pPr>
        <w:pStyle w:val="15"/>
        <w:adjustRightInd w:val="0"/>
        <w:snapToGrid w:val="0"/>
        <w:spacing w:before="0" w:after="0" w:line="340" w:lineRule="exact"/>
        <w:jc w:val="both"/>
        <w:outlineLvl w:val="0"/>
        <w:rPr>
          <w:rFonts w:cs="宋体"/>
          <w:b/>
          <w:bCs/>
          <w:color w:val="auto"/>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autoSpaceDE w:val="0"/>
        <w:autoSpaceDN w:val="0"/>
        <w:adjustRightInd w:val="0"/>
        <w:snapToGrid w:val="0"/>
        <w:spacing w:line="360" w:lineRule="auto"/>
        <w:ind w:firstLine="888" w:firstLineChars="201"/>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1、商务文件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1）磋商申请函（格式见附件）；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2）初次报价表（格式见附件）；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3）供应商情况一览表（格式见附件）；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 xml:space="preserve">4）商务响应表（格式见附件）； </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）企业业绩；</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w:t>
      </w:r>
      <w:r>
        <w:rPr>
          <w:rFonts w:hint="eastAsia" w:ascii="宋体" w:hAnsi="宋体" w:cs="宋体"/>
          <w:bCs/>
          <w:color w:val="auto"/>
          <w:highlight w:val="none"/>
          <w:lang w:val="en-US" w:eastAsia="zh-CN"/>
        </w:rPr>
        <w:t>团队</w:t>
      </w:r>
      <w:r>
        <w:rPr>
          <w:rFonts w:hint="eastAsia" w:ascii="宋体" w:hAnsi="宋体" w:cs="宋体"/>
          <w:bCs/>
          <w:color w:val="auto"/>
          <w:highlight w:val="none"/>
        </w:rPr>
        <w:t>实力；</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）供应商认为应该说明的其他文件和资料；</w:t>
      </w:r>
    </w:p>
    <w:p>
      <w:pPr>
        <w:tabs>
          <w:tab w:val="left" w:pos="844"/>
        </w:tabs>
        <w:autoSpaceDE w:val="0"/>
        <w:autoSpaceDN w:val="0"/>
        <w:snapToGrid w:val="0"/>
        <w:spacing w:line="400" w:lineRule="exact"/>
        <w:ind w:left="424"/>
        <w:rPr>
          <w:rFonts w:ascii="宋体" w:hAnsi="宋体" w:cs="宋体"/>
          <w:b/>
          <w:color w:val="auto"/>
          <w:highlight w:val="none"/>
          <w:u w:val="single"/>
        </w:rPr>
      </w:pPr>
      <w:r>
        <w:rPr>
          <w:rFonts w:hint="eastAsia" w:ascii="宋体" w:hAnsi="宋体" w:cs="宋体"/>
          <w:b/>
          <w:color w:val="auto"/>
          <w:highlight w:val="none"/>
          <w:u w:val="single"/>
        </w:rPr>
        <w:t xml:space="preserve">2、技术文件 </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评分索引表；</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技术响应表；</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eastAsia="zh-CN"/>
        </w:rPr>
        <w:t>项目</w:t>
      </w:r>
      <w:r>
        <w:rPr>
          <w:rFonts w:hint="eastAsia" w:ascii="宋体" w:hAnsi="宋体" w:cs="宋体"/>
          <w:color w:val="auto"/>
          <w:highlight w:val="none"/>
          <w:lang w:val="en-US" w:eastAsia="zh-CN"/>
        </w:rPr>
        <w:t>方案</w:t>
      </w:r>
      <w:r>
        <w:rPr>
          <w:rFonts w:hint="eastAsia" w:ascii="宋体" w:hAnsi="宋体" w:cs="宋体"/>
          <w:color w:val="auto"/>
          <w:highlight w:val="none"/>
          <w:lang w:val="zh-CN"/>
        </w:rPr>
        <w:t>；</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项目质量</w:t>
      </w:r>
      <w:r>
        <w:rPr>
          <w:rFonts w:hint="eastAsia" w:ascii="宋体" w:hAnsi="宋体" w:cs="宋体"/>
          <w:color w:val="auto"/>
          <w:highlight w:val="none"/>
          <w:lang w:val="en-US" w:eastAsia="zh-CN"/>
        </w:rPr>
        <w:t>保证及进度保证</w:t>
      </w:r>
      <w:r>
        <w:rPr>
          <w:rFonts w:hint="eastAsia" w:ascii="宋体" w:hAnsi="宋体" w:cs="宋体"/>
          <w:color w:val="auto"/>
          <w:highlight w:val="none"/>
          <w:lang w:val="zh-CN"/>
        </w:rPr>
        <w:t>措施；</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bCs/>
          <w:color w:val="auto"/>
          <w:highlight w:val="none"/>
        </w:rPr>
        <w:t>售后服务承诺</w:t>
      </w:r>
      <w:r>
        <w:rPr>
          <w:rFonts w:hint="eastAsia" w:ascii="宋体" w:hAnsi="宋体" w:cs="宋体"/>
          <w:bCs/>
          <w:color w:val="auto"/>
          <w:highlight w:val="none"/>
          <w:lang w:eastAsia="zh-CN"/>
        </w:rPr>
        <w:t>；</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投标供应商针对技术需要说明的其他材料。</w:t>
      </w:r>
    </w:p>
    <w:p>
      <w:pPr>
        <w:spacing w:line="400" w:lineRule="exact"/>
        <w:jc w:val="left"/>
        <w:rPr>
          <w:rFonts w:ascii="宋体" w:hAnsi="宋体" w:cs="宋体"/>
          <w:color w:val="auto"/>
          <w:sz w:val="28"/>
          <w:szCs w:val="28"/>
          <w:highlight w:val="none"/>
        </w:rPr>
      </w:pPr>
    </w:p>
    <w:p>
      <w:pPr>
        <w:autoSpaceDE w:val="0"/>
        <w:autoSpaceDN w:val="0"/>
        <w:snapToGrid w:val="0"/>
        <w:spacing w:line="400" w:lineRule="exact"/>
        <w:ind w:left="844"/>
        <w:rPr>
          <w:rFonts w:ascii="宋体" w:hAnsi="宋体" w:cs="宋体"/>
          <w:bCs/>
          <w:color w:val="auto"/>
          <w:highlight w:val="none"/>
        </w:rPr>
      </w:pPr>
    </w:p>
    <w:p>
      <w:pPr>
        <w:spacing w:line="440" w:lineRule="exact"/>
        <w:ind w:left="424"/>
        <w:rPr>
          <w:rFonts w:ascii="宋体" w:hAnsi="宋体" w:cs="宋体"/>
          <w:b/>
          <w:color w:val="auto"/>
          <w:sz w:val="28"/>
          <w:szCs w:val="28"/>
          <w:highlight w:val="none"/>
        </w:rPr>
      </w:pPr>
      <w:r>
        <w:rPr>
          <w:rFonts w:hint="eastAsia" w:ascii="宋体" w:hAnsi="宋体" w:cs="宋体"/>
          <w:b/>
          <w:color w:val="auto"/>
          <w:sz w:val="28"/>
          <w:szCs w:val="28"/>
          <w:highlight w:val="none"/>
        </w:rPr>
        <w:t>以上磋商响应文件组成内容中的复印件均须加盖供应商公章。</w:t>
      </w: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pStyle w:val="2"/>
        <w:rPr>
          <w:color w:val="auto"/>
          <w:highlight w:val="none"/>
        </w:rPr>
      </w:pPr>
    </w:p>
    <w:p>
      <w:pPr>
        <w:pStyle w:val="16"/>
        <w:ind w:left="3360"/>
        <w:rPr>
          <w:color w:val="auto"/>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5、磋商申请函</w:t>
      </w:r>
    </w:p>
    <w:p>
      <w:pPr>
        <w:ind w:firstLine="360" w:firstLineChars="150"/>
        <w:rPr>
          <w:rFonts w:ascii="宋体" w:hAnsi="宋体" w:cs="宋体"/>
          <w:color w:val="auto"/>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磋 商 申 请 函 </w:t>
      </w:r>
    </w:p>
    <w:p>
      <w:pPr>
        <w:spacing w:line="400" w:lineRule="exact"/>
        <w:rPr>
          <w:rFonts w:ascii="宋体" w:hAnsi="宋体" w:cs="宋体"/>
          <w:color w:val="auto"/>
          <w:highlight w:val="none"/>
          <w:u w:val="single"/>
        </w:rPr>
      </w:pPr>
      <w:r>
        <w:rPr>
          <w:rFonts w:hint="eastAsia" w:ascii="宋体" w:hAnsi="宋体" w:cs="宋体"/>
          <w:color w:val="auto"/>
          <w:highlight w:val="none"/>
          <w:u w:val="single"/>
        </w:rPr>
        <w:t>致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 xml:space="preserve">  （供应商全称）  </w:t>
      </w:r>
      <w:r>
        <w:rPr>
          <w:rFonts w:hint="eastAsia" w:ascii="宋体" w:hAnsi="宋体" w:cs="宋体"/>
          <w:color w:val="auto"/>
          <w:highlight w:val="none"/>
        </w:rPr>
        <w:t xml:space="preserve"> 授权 </w:t>
      </w:r>
      <w:r>
        <w:rPr>
          <w:rFonts w:hint="eastAsia" w:ascii="宋体" w:hAnsi="宋体" w:cs="宋体"/>
          <w:color w:val="auto"/>
          <w:highlight w:val="none"/>
          <w:u w:val="single"/>
        </w:rPr>
        <w:t xml:space="preserve">   （授权代表名称、职务、职称）    </w:t>
      </w:r>
      <w:r>
        <w:rPr>
          <w:rFonts w:hint="eastAsia" w:ascii="宋体" w:hAnsi="宋体" w:cs="宋体"/>
          <w:color w:val="auto"/>
          <w:highlight w:val="none"/>
        </w:rPr>
        <w:t xml:space="preserve"> 为本公司授权代表，参加贵方组织的</w:t>
      </w:r>
      <w:r>
        <w:rPr>
          <w:rFonts w:hint="eastAsia" w:ascii="宋体" w:hAnsi="宋体" w:cs="宋体"/>
          <w:color w:val="auto"/>
          <w:highlight w:val="none"/>
          <w:u w:val="single"/>
        </w:rPr>
        <w:t xml:space="preserve">  项目名称（项目编号）  </w:t>
      </w:r>
      <w:r>
        <w:rPr>
          <w:rFonts w:hint="eastAsia" w:ascii="宋体" w:hAnsi="宋体" w:cs="宋体"/>
          <w:color w:val="auto"/>
          <w:highlight w:val="none"/>
        </w:rPr>
        <w:t xml:space="preserve"> 竞争性磋商有关活动，进行磋商。为此</w:t>
      </w:r>
      <w:r>
        <w:rPr>
          <w:rFonts w:hint="eastAsia" w:ascii="宋体" w:hAnsi="宋体" w:cs="宋体"/>
          <w:color w:val="auto"/>
          <w:highlight w:val="none"/>
          <w:lang w:val="zh-CN"/>
        </w:rPr>
        <w:t>承诺如下</w:t>
      </w:r>
      <w:r>
        <w:rPr>
          <w:rFonts w:hint="eastAsia" w:ascii="宋体" w:hAnsi="宋体" w:cs="宋体"/>
          <w:color w:val="auto"/>
          <w:highlight w:val="none"/>
        </w:rPr>
        <w:t xml:space="preserve">：  </w:t>
      </w:r>
    </w:p>
    <w:p>
      <w:pPr>
        <w:spacing w:line="400" w:lineRule="exact"/>
        <w:rPr>
          <w:rFonts w:ascii="宋体" w:hAnsi="宋体" w:cs="宋体"/>
          <w:color w:val="auto"/>
          <w:highlight w:val="none"/>
          <w:u w:val="single"/>
        </w:rPr>
      </w:pPr>
      <w:r>
        <w:rPr>
          <w:rFonts w:hint="eastAsia" w:ascii="宋体" w:hAnsi="宋体" w:cs="宋体"/>
          <w:color w:val="auto"/>
          <w:highlight w:val="none"/>
        </w:rPr>
        <w:t xml:space="preserve">    1、 按照磋商文件要求制作并提交规定的资格证明文件正本一套，副本二套，响应文件正本一套，副本二套。</w:t>
      </w:r>
    </w:p>
    <w:p>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2、 本次磋商总报价为：人民币</w:t>
      </w:r>
      <w:r>
        <w:rPr>
          <w:rFonts w:hint="eastAsia" w:ascii="宋体" w:hAnsi="宋体" w:cs="宋体"/>
          <w:color w:val="auto"/>
          <w:highlight w:val="none"/>
          <w:u w:val="single"/>
        </w:rPr>
        <w:t xml:space="preserve">               </w:t>
      </w:r>
      <w:r>
        <w:rPr>
          <w:rFonts w:hint="eastAsia" w:ascii="宋体" w:hAnsi="宋体" w:cs="宋体"/>
          <w:color w:val="auto"/>
          <w:highlight w:val="none"/>
        </w:rPr>
        <w:t>元整（￥</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00" w:lineRule="exact"/>
        <w:rPr>
          <w:rFonts w:ascii="宋体" w:hAnsi="宋体" w:cs="宋体"/>
          <w:color w:val="auto"/>
          <w:highlight w:val="none"/>
        </w:rPr>
      </w:pPr>
      <w:r>
        <w:rPr>
          <w:rFonts w:hint="eastAsia" w:ascii="宋体" w:hAnsi="宋体" w:cs="宋体"/>
          <w:color w:val="auto"/>
          <w:highlight w:val="none"/>
        </w:rPr>
        <w:t xml:space="preserve">    3、本项目负责人：</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；职称：</w:t>
      </w:r>
      <w:r>
        <w:rPr>
          <w:rFonts w:hint="eastAsia" w:ascii="宋体" w:hAnsi="宋体" w:cs="宋体"/>
          <w:color w:val="auto"/>
          <w:highlight w:val="none"/>
          <w:u w:val="single"/>
        </w:rPr>
        <w:t xml:space="preserve">        </w:t>
      </w:r>
      <w:r>
        <w:rPr>
          <w:rFonts w:hint="eastAsia" w:ascii="宋体" w:hAnsi="宋体" w:cs="宋体"/>
          <w:color w:val="auto"/>
          <w:highlight w:val="none"/>
        </w:rPr>
        <w:t>；联系电话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4、保证遵守磋商文件中的有关规定和收费标准。</w:t>
      </w:r>
    </w:p>
    <w:p>
      <w:pPr>
        <w:spacing w:line="400" w:lineRule="exact"/>
        <w:rPr>
          <w:rFonts w:ascii="宋体" w:hAnsi="宋体" w:cs="宋体"/>
          <w:color w:val="auto"/>
          <w:highlight w:val="none"/>
        </w:rPr>
      </w:pPr>
      <w:r>
        <w:rPr>
          <w:rFonts w:hint="eastAsia" w:ascii="宋体" w:hAnsi="宋体" w:cs="宋体"/>
          <w:color w:val="auto"/>
          <w:highlight w:val="none"/>
        </w:rPr>
        <w:t xml:space="preserve">    5、保证严格执行甲、乙双方所签的合同，并承担全部规定的责任义务。</w:t>
      </w:r>
    </w:p>
    <w:p>
      <w:pPr>
        <w:spacing w:line="400" w:lineRule="exact"/>
        <w:rPr>
          <w:rFonts w:ascii="宋体" w:hAnsi="宋体" w:cs="宋体"/>
          <w:color w:val="auto"/>
          <w:highlight w:val="none"/>
        </w:rPr>
      </w:pPr>
      <w:r>
        <w:rPr>
          <w:rFonts w:hint="eastAsia" w:ascii="宋体" w:hAnsi="宋体" w:cs="宋体"/>
          <w:color w:val="auto"/>
          <w:highlight w:val="none"/>
        </w:rPr>
        <w:t xml:space="preserve">    6、我们已详细审查全部磋商文件，包括磋商补充文件（如果有的话）。我们完全理解并同意放弃对这方面有不明及误解的权力。</w:t>
      </w:r>
    </w:p>
    <w:p>
      <w:pPr>
        <w:spacing w:line="460" w:lineRule="exact"/>
        <w:ind w:firstLine="240" w:firstLineChars="100"/>
        <w:rPr>
          <w:rFonts w:ascii="宋体" w:hAnsi="宋体" w:cs="宋体"/>
          <w:color w:val="auto"/>
          <w:highlight w:val="none"/>
        </w:rPr>
      </w:pPr>
      <w:r>
        <w:rPr>
          <w:rFonts w:hint="eastAsia" w:ascii="宋体" w:hAnsi="宋体" w:cs="宋体"/>
          <w:color w:val="auto"/>
          <w:highlight w:val="none"/>
        </w:rPr>
        <w:t xml:space="preserve">  7、我们已对项目现场进行实地踏勘，充分了解项目要求。</w:t>
      </w:r>
    </w:p>
    <w:p>
      <w:pPr>
        <w:spacing w:line="460" w:lineRule="exact"/>
        <w:ind w:firstLine="240" w:firstLineChars="100"/>
        <w:rPr>
          <w:rFonts w:ascii="宋体" w:hAnsi="宋体" w:cs="宋体"/>
          <w:color w:val="auto"/>
          <w:highlight w:val="none"/>
        </w:rPr>
      </w:pPr>
      <w:r>
        <w:rPr>
          <w:rFonts w:hint="eastAsia" w:ascii="宋体" w:hAnsi="宋体" w:cs="宋体"/>
          <w:color w:val="auto"/>
          <w:highlight w:val="none"/>
        </w:rPr>
        <w:t xml:space="preserve">  8、愿意向贵方提供任何与该项木有关的数据、情况和技术资料，完全理解贵方不一定接受最低价成交的决定。</w:t>
      </w:r>
    </w:p>
    <w:p>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9、本文件自磋商之日起 </w:t>
      </w:r>
      <w:r>
        <w:rPr>
          <w:rFonts w:hint="eastAsia" w:ascii="宋体" w:hAnsi="宋体" w:cs="宋体"/>
          <w:color w:val="auto"/>
          <w:highlight w:val="none"/>
          <w:u w:val="single"/>
        </w:rPr>
        <w:t xml:space="preserve"> 90 </w:t>
      </w:r>
      <w:r>
        <w:rPr>
          <w:rFonts w:hint="eastAsia" w:ascii="宋体" w:hAnsi="宋体" w:cs="宋体"/>
          <w:color w:val="auto"/>
          <w:highlight w:val="none"/>
        </w:rPr>
        <w:t>天内有效。</w:t>
      </w:r>
    </w:p>
    <w:p>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10、与本项目有关的一切往来通讯请寄：</w:t>
      </w:r>
    </w:p>
    <w:p>
      <w:pPr>
        <w:spacing w:line="400" w:lineRule="exact"/>
        <w:ind w:firstLine="960" w:firstLineChars="40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pPr>
        <w:spacing w:line="400" w:lineRule="exact"/>
        <w:ind w:firstLine="960" w:firstLineChars="400"/>
        <w:rPr>
          <w:rFonts w:ascii="宋体" w:hAnsi="宋体" w:cs="宋体"/>
          <w:color w:val="auto"/>
          <w:highlight w:val="none"/>
          <w:u w:val="single"/>
        </w:rPr>
      </w:pPr>
      <w:r>
        <w:rPr>
          <w:rFonts w:hint="eastAsia" w:ascii="宋体" w:hAnsi="宋体" w:cs="宋体"/>
          <w:color w:val="auto"/>
          <w:highlight w:val="none"/>
        </w:rPr>
        <w:t>邮编：</w:t>
      </w:r>
      <w:r>
        <w:rPr>
          <w:rFonts w:hint="eastAsia" w:ascii="宋体" w:hAnsi="宋体" w:cs="宋体"/>
          <w:color w:val="auto"/>
          <w:highlight w:val="none"/>
          <w:u w:val="single"/>
        </w:rPr>
        <w:t xml:space="preserve">              </w:t>
      </w: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传真：</w:t>
      </w:r>
      <w:r>
        <w:rPr>
          <w:rFonts w:hint="eastAsia" w:ascii="宋体" w:hAnsi="宋体" w:cs="宋体"/>
          <w:color w:val="auto"/>
          <w:highlight w:val="none"/>
          <w:u w:val="single"/>
        </w:rPr>
        <w:t xml:space="preserve">              </w:t>
      </w:r>
    </w:p>
    <w:p>
      <w:pPr>
        <w:spacing w:before="156" w:beforeLines="50" w:after="156" w:afterLines="50" w:line="400" w:lineRule="exact"/>
        <w:ind w:right="840"/>
        <w:rPr>
          <w:rFonts w:ascii="宋体" w:hAnsi="宋体" w:cs="宋体"/>
          <w:color w:val="auto"/>
          <w:highlight w:val="none"/>
        </w:rPr>
      </w:pPr>
    </w:p>
    <w:p>
      <w:pPr>
        <w:spacing w:before="156" w:beforeLines="50" w:after="156" w:afterLines="50" w:line="400" w:lineRule="exact"/>
        <w:ind w:right="840"/>
        <w:rPr>
          <w:rFonts w:ascii="宋体" w:hAnsi="宋体" w:cs="宋体"/>
          <w:color w:val="auto"/>
          <w:highlight w:val="none"/>
        </w:rPr>
      </w:pPr>
    </w:p>
    <w:p>
      <w:pPr>
        <w:spacing w:before="156" w:beforeLines="50" w:after="156" w:afterLines="50" w:line="400" w:lineRule="exact"/>
        <w:ind w:right="840"/>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400" w:lineRule="exact"/>
        <w:ind w:right="840"/>
        <w:rPr>
          <w:rFonts w:ascii="宋体" w:hAnsi="宋体" w:cs="宋体"/>
          <w:color w:val="auto"/>
          <w:highlight w:val="none"/>
        </w:rPr>
      </w:pPr>
      <w:r>
        <w:rPr>
          <w:rFonts w:hint="eastAsia" w:ascii="宋体" w:hAnsi="宋体" w:cs="宋体"/>
          <w:color w:val="auto"/>
          <w:highlight w:val="none"/>
        </w:rPr>
        <w:t>授权代表（签字）：</w:t>
      </w:r>
    </w:p>
    <w:p>
      <w:pPr>
        <w:pStyle w:val="15"/>
        <w:ind w:right="840"/>
        <w:rPr>
          <w:rFonts w:cs="宋体"/>
          <w:color w:val="auto"/>
          <w:highlight w:val="none"/>
        </w:rPr>
      </w:pPr>
      <w:r>
        <w:rPr>
          <w:rFonts w:hint="eastAsia" w:cs="宋体"/>
          <w:color w:val="auto"/>
          <w:highlight w:val="none"/>
        </w:rPr>
        <w:t xml:space="preserve">日期：     </w:t>
      </w: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6、初次报价表格式</w:t>
      </w:r>
    </w:p>
    <w:p>
      <w:pPr>
        <w:rPr>
          <w:rFonts w:ascii="宋体" w:hAnsi="宋体" w:cs="宋体"/>
          <w:color w:val="auto"/>
          <w:sz w:val="32"/>
          <w:highlight w:val="none"/>
        </w:rPr>
      </w:pPr>
    </w:p>
    <w:p>
      <w:pPr>
        <w:spacing w:line="360" w:lineRule="auto"/>
        <w:jc w:val="center"/>
        <w:rPr>
          <w:rFonts w:ascii="宋体" w:hAnsi="宋体" w:cs="宋体"/>
          <w:b/>
          <w:bCs/>
          <w:color w:val="auto"/>
          <w:kern w:val="0"/>
          <w:sz w:val="32"/>
          <w:szCs w:val="32"/>
          <w:highlight w:val="none"/>
        </w:rPr>
      </w:pPr>
      <w:bookmarkStart w:id="111" w:name="_Toc414960387"/>
      <w:bookmarkEnd w:id="111"/>
      <w:r>
        <w:rPr>
          <w:rFonts w:hint="eastAsia" w:ascii="宋体" w:hAnsi="宋体" w:cs="宋体"/>
          <w:b/>
          <w:bCs/>
          <w:color w:val="auto"/>
          <w:kern w:val="0"/>
          <w:sz w:val="32"/>
          <w:szCs w:val="32"/>
          <w:highlight w:val="none"/>
        </w:rPr>
        <w:t>初 次 报 价 表</w:t>
      </w:r>
    </w:p>
    <w:p>
      <w:pPr>
        <w:pStyle w:val="8"/>
        <w:tabs>
          <w:tab w:val="left" w:pos="4477"/>
        </w:tabs>
        <w:spacing w:line="400" w:lineRule="exact"/>
        <w:rPr>
          <w:rFonts w:ascii="宋体" w:hAnsi="宋体" w:cs="宋体"/>
          <w:color w:val="auto"/>
          <w:szCs w:val="24"/>
          <w:highlight w:val="none"/>
        </w:rPr>
      </w:pPr>
    </w:p>
    <w:p>
      <w:pPr>
        <w:spacing w:line="400" w:lineRule="exact"/>
        <w:ind w:firstLine="309"/>
        <w:rPr>
          <w:rFonts w:ascii="宋体" w:hAnsi="宋体" w:cs="宋体"/>
          <w:color w:val="auto"/>
          <w:highlight w:val="none"/>
        </w:rPr>
      </w:pPr>
      <w:r>
        <w:rPr>
          <w:rFonts w:hint="eastAsia" w:ascii="宋体" w:hAnsi="宋体" w:cs="宋体"/>
          <w:color w:val="auto"/>
          <w:highlight w:val="none"/>
        </w:rPr>
        <w:t xml:space="preserve">供应商全称（加盖公章）：   </w:t>
      </w:r>
    </w:p>
    <w:p>
      <w:pPr>
        <w:spacing w:line="400" w:lineRule="exact"/>
        <w:ind w:firstLine="309"/>
        <w:rPr>
          <w:rFonts w:ascii="宋体" w:hAnsi="宋体" w:cs="宋体"/>
          <w:color w:val="auto"/>
          <w:highlight w:val="none"/>
        </w:rPr>
      </w:pPr>
      <w:r>
        <w:rPr>
          <w:rFonts w:hint="eastAsia" w:ascii="宋体" w:hAnsi="宋体" w:cs="宋体"/>
          <w:color w:val="auto"/>
          <w:highlight w:val="none"/>
        </w:rPr>
        <w:t xml:space="preserve">           </w:t>
      </w:r>
    </w:p>
    <w:p>
      <w:pPr>
        <w:spacing w:line="400" w:lineRule="exact"/>
        <w:ind w:firstLine="309"/>
        <w:rPr>
          <w:rFonts w:ascii="宋体" w:hAnsi="宋体" w:cs="宋体"/>
          <w:color w:val="auto"/>
          <w:highlight w:val="none"/>
        </w:rPr>
      </w:pPr>
      <w:r>
        <w:rPr>
          <w:rFonts w:hint="eastAsia" w:ascii="宋体" w:hAnsi="宋体" w:cs="宋体"/>
          <w:color w:val="auto"/>
          <w:highlight w:val="none"/>
        </w:rPr>
        <w:t xml:space="preserve">磋商文件编号：                                          </w:t>
      </w:r>
      <w:r>
        <w:rPr>
          <w:rFonts w:hint="eastAsia" w:ascii="宋体" w:hAnsi="宋体" w:cs="宋体"/>
          <w:color w:val="auto"/>
          <w:highlight w:val="none"/>
          <w:lang w:val="zh-CN"/>
        </w:rPr>
        <w:t>报价单位：人民币（元）</w:t>
      </w:r>
      <w:r>
        <w:rPr>
          <w:rFonts w:hint="eastAsia" w:ascii="宋体" w:hAnsi="宋体" w:cs="宋体"/>
          <w:color w:val="auto"/>
          <w:highlight w:val="none"/>
        </w:rPr>
        <w:t xml:space="preserve">     </w:t>
      </w:r>
    </w:p>
    <w:tbl>
      <w:tblPr>
        <w:tblStyle w:val="3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3211" w:type="dxa"/>
          </w:tcPr>
          <w:p>
            <w:pPr>
              <w:pStyle w:val="15"/>
              <w:spacing w:line="480" w:lineRule="exact"/>
              <w:jc w:val="center"/>
              <w:rPr>
                <w:rFonts w:cs="宋体"/>
                <w:b/>
                <w:color w:val="auto"/>
                <w:highlight w:val="none"/>
              </w:rPr>
            </w:pPr>
            <w:r>
              <w:rPr>
                <w:rFonts w:hint="eastAsia" w:cs="宋体"/>
                <w:b/>
                <w:color w:val="auto"/>
                <w:highlight w:val="none"/>
              </w:rPr>
              <w:t>项目名称</w:t>
            </w:r>
          </w:p>
        </w:tc>
        <w:tc>
          <w:tcPr>
            <w:tcW w:w="6429" w:type="dxa"/>
          </w:tcPr>
          <w:p>
            <w:pPr>
              <w:pStyle w:val="15"/>
              <w:spacing w:line="480" w:lineRule="exact"/>
              <w:jc w:val="center"/>
              <w:rPr>
                <w:rFonts w:cs="宋体"/>
                <w:b/>
                <w:color w:val="auto"/>
                <w:highlight w:val="none"/>
              </w:rPr>
            </w:pPr>
            <w:r>
              <w:rPr>
                <w:rFonts w:hint="eastAsia" w:cs="宋体"/>
                <w:b/>
                <w:color w:val="auto"/>
                <w:highlight w:val="none"/>
              </w:rPr>
              <w:t>磋商总报价（元）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vAlign w:val="center"/>
          </w:tcPr>
          <w:p>
            <w:pPr>
              <w:pStyle w:val="15"/>
              <w:spacing w:line="480" w:lineRule="exact"/>
              <w:rPr>
                <w:rFonts w:cs="宋体"/>
                <w:b/>
                <w:color w:val="auto"/>
                <w:highlight w:val="none"/>
              </w:rPr>
            </w:pPr>
          </w:p>
        </w:tc>
        <w:tc>
          <w:tcPr>
            <w:tcW w:w="6429" w:type="dxa"/>
          </w:tcPr>
          <w:p>
            <w:pPr>
              <w:pStyle w:val="15"/>
              <w:spacing w:line="480" w:lineRule="exact"/>
              <w:jc w:val="center"/>
              <w:rPr>
                <w:rFonts w:cs="宋体"/>
                <w:b/>
                <w:color w:val="auto"/>
                <w:highlight w:val="none"/>
              </w:rPr>
            </w:pPr>
            <w:r>
              <w:rPr>
                <w:rFonts w:hint="eastAsia" w:cs="宋体"/>
                <w:b/>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40" w:type="dxa"/>
            <w:gridSpan w:val="2"/>
            <w:vAlign w:val="center"/>
          </w:tcPr>
          <w:p>
            <w:pPr>
              <w:pStyle w:val="15"/>
              <w:spacing w:line="480" w:lineRule="exact"/>
              <w:ind w:firstLine="241" w:firstLineChars="100"/>
              <w:rPr>
                <w:rFonts w:cs="宋体"/>
                <w:b/>
                <w:color w:val="auto"/>
                <w:highlight w:val="none"/>
              </w:rPr>
            </w:pPr>
            <w:r>
              <w:rPr>
                <w:rFonts w:hint="eastAsia" w:cs="宋体"/>
                <w:b/>
                <w:color w:val="auto"/>
                <w:highlight w:val="none"/>
              </w:rPr>
              <w:t>大写：                                     元 （￥：              元）</w:t>
            </w:r>
          </w:p>
        </w:tc>
      </w:tr>
    </w:tbl>
    <w:p>
      <w:pPr>
        <w:pStyle w:val="15"/>
        <w:spacing w:line="480" w:lineRule="exact"/>
        <w:rPr>
          <w:rFonts w:cs="宋体"/>
          <w:b/>
          <w:color w:val="auto"/>
          <w:highlight w:val="none"/>
        </w:rPr>
      </w:pPr>
      <w:r>
        <w:rPr>
          <w:rFonts w:hint="eastAsia" w:cs="宋体"/>
          <w:b/>
          <w:color w:val="auto"/>
          <w:highlight w:val="none"/>
        </w:rPr>
        <w:t>注：▲1、报价一经涂改，应在涂改处加盖单位公章或者由法定代表人或授权委托人签字或盖章，否则其投标作无效标处理。</w:t>
      </w:r>
    </w:p>
    <w:p>
      <w:pPr>
        <w:pStyle w:val="15"/>
        <w:spacing w:line="480" w:lineRule="exact"/>
        <w:ind w:firstLine="482" w:firstLineChars="200"/>
        <w:rPr>
          <w:rFonts w:cs="宋体"/>
          <w:b/>
          <w:color w:val="auto"/>
          <w:highlight w:val="none"/>
        </w:rPr>
      </w:pPr>
      <w:r>
        <w:rPr>
          <w:rFonts w:hint="eastAsia" w:cs="宋体"/>
          <w:b/>
          <w:color w:val="auto"/>
          <w:highlight w:val="none"/>
        </w:rPr>
        <w:t>▲</w:t>
      </w:r>
      <w:r>
        <w:rPr>
          <w:rFonts w:hint="eastAsia" w:cs="宋体"/>
          <w:b/>
          <w:color w:val="auto"/>
          <w:highlight w:val="none"/>
          <w:lang w:val="en-US" w:eastAsia="zh-CN"/>
        </w:rPr>
        <w:t>2</w:t>
      </w:r>
      <w:r>
        <w:rPr>
          <w:rFonts w:hint="eastAsia" w:cs="宋体"/>
          <w:b/>
          <w:color w:val="auto"/>
          <w:highlight w:val="none"/>
        </w:rPr>
        <w:t>、不提供此表格的将视为没有实质性响应磋商文件。</w:t>
      </w:r>
    </w:p>
    <w:p>
      <w:pPr>
        <w:snapToGrid w:val="0"/>
        <w:spacing w:before="50" w:after="50" w:line="400" w:lineRule="exact"/>
        <w:rPr>
          <w:rFonts w:ascii="宋体" w:hAnsi="宋体" w:cs="宋体"/>
          <w:color w:val="auto"/>
          <w:highlight w:val="none"/>
        </w:rPr>
      </w:pPr>
    </w:p>
    <w:p>
      <w:pPr>
        <w:widowControl/>
        <w:spacing w:line="460" w:lineRule="atLeast"/>
        <w:ind w:right="660"/>
        <w:jc w:val="left"/>
        <w:rPr>
          <w:rFonts w:ascii="宋体" w:hAnsi="宋体" w:cs="宋体"/>
          <w:color w:val="auto"/>
          <w:highlight w:val="none"/>
        </w:rPr>
      </w:pPr>
      <w:r>
        <w:rPr>
          <w:rFonts w:hint="eastAsia" w:ascii="宋体" w:hAnsi="宋体" w:cs="宋体"/>
          <w:color w:val="auto"/>
          <w:highlight w:val="none"/>
        </w:rPr>
        <w:t>供应商全称：（盖章）</w:t>
      </w:r>
    </w:p>
    <w:p>
      <w:pPr>
        <w:widowControl/>
        <w:spacing w:line="460" w:lineRule="atLeast"/>
        <w:ind w:right="440"/>
        <w:jc w:val="left"/>
        <w:rPr>
          <w:rFonts w:ascii="宋体" w:hAnsi="宋体" w:cs="宋体"/>
          <w:color w:val="auto"/>
          <w:highlight w:val="none"/>
        </w:rPr>
      </w:pPr>
      <w:r>
        <w:rPr>
          <w:rFonts w:hint="eastAsia" w:ascii="宋体" w:hAnsi="宋体" w:cs="宋体"/>
          <w:color w:val="auto"/>
          <w:highlight w:val="none"/>
        </w:rPr>
        <w:t xml:space="preserve"> 授权代表：（签字）</w:t>
      </w:r>
    </w:p>
    <w:p>
      <w:pPr>
        <w:widowControl/>
        <w:spacing w:line="460" w:lineRule="atLeast"/>
        <w:ind w:right="440"/>
        <w:jc w:val="left"/>
        <w:rPr>
          <w:rFonts w:ascii="宋体" w:hAnsi="宋体" w:cs="宋体"/>
          <w:color w:val="auto"/>
          <w:highlight w:val="none"/>
        </w:rPr>
      </w:pPr>
      <w:r>
        <w:rPr>
          <w:rFonts w:hint="eastAsia" w:ascii="宋体" w:hAnsi="宋体" w:cs="宋体"/>
          <w:color w:val="auto"/>
          <w:highlight w:val="none"/>
        </w:rPr>
        <w:t xml:space="preserve"> 日期：   年   月   日</w:t>
      </w:r>
    </w:p>
    <w:p>
      <w:pPr>
        <w:rPr>
          <w:rFonts w:ascii="宋体" w:hAnsi="宋体" w:cs="宋体"/>
          <w:color w:val="auto"/>
          <w:highlight w:val="none"/>
        </w:rPr>
      </w:pPr>
    </w:p>
    <w:p>
      <w:pPr>
        <w:pStyle w:val="30"/>
        <w:ind w:firstLine="0" w:firstLineChars="0"/>
        <w:rPr>
          <w:rFonts w:ascii="宋体" w:hAnsi="宋体" w:cs="宋体"/>
          <w:color w:val="auto"/>
          <w:highlight w:val="none"/>
        </w:rPr>
      </w:pPr>
    </w:p>
    <w:p>
      <w:pPr>
        <w:spacing w:line="400" w:lineRule="exact"/>
        <w:jc w:val="left"/>
        <w:rPr>
          <w:rFonts w:ascii="宋体" w:hAnsi="宋体" w:cs="宋体"/>
          <w:b/>
          <w:bCs/>
          <w:color w:val="auto"/>
          <w:sz w:val="28"/>
          <w:szCs w:val="28"/>
          <w:highlight w:val="none"/>
        </w:rPr>
      </w:pPr>
    </w:p>
    <w:p>
      <w:pPr>
        <w:pStyle w:val="23"/>
        <w:overflowPunct w:val="0"/>
        <w:snapToGrid w:val="0"/>
        <w:spacing w:line="360" w:lineRule="auto"/>
        <w:ind w:left="0" w:firstLine="0" w:firstLineChars="0"/>
        <w:rPr>
          <w:rFonts w:ascii="宋体" w:hAnsi="宋体" w:cs="宋体"/>
          <w:b/>
          <w:color w:val="auto"/>
          <w:szCs w:val="20"/>
          <w:highlight w:val="none"/>
        </w:rPr>
      </w:pPr>
    </w:p>
    <w:p>
      <w:pPr>
        <w:pStyle w:val="23"/>
        <w:overflowPunct w:val="0"/>
        <w:snapToGrid w:val="0"/>
        <w:spacing w:line="360" w:lineRule="auto"/>
        <w:ind w:left="0" w:firstLine="0" w:firstLineChars="0"/>
        <w:rPr>
          <w:rFonts w:hint="eastAsia" w:ascii="宋体" w:hAnsi="宋体" w:cs="宋体"/>
          <w:b/>
          <w:color w:val="auto"/>
          <w:sz w:val="28"/>
          <w:szCs w:val="28"/>
          <w:highlight w:val="none"/>
        </w:rPr>
      </w:pPr>
    </w:p>
    <w:p>
      <w:pPr>
        <w:pStyle w:val="23"/>
        <w:overflowPunct w:val="0"/>
        <w:snapToGrid w:val="0"/>
        <w:spacing w:line="360" w:lineRule="auto"/>
        <w:ind w:left="0" w:firstLine="0" w:firstLineChars="0"/>
        <w:rPr>
          <w:rFonts w:hint="eastAsia" w:ascii="宋体" w:hAnsi="宋体" w:cs="宋体"/>
          <w:b/>
          <w:color w:val="auto"/>
          <w:sz w:val="28"/>
          <w:szCs w:val="28"/>
          <w:highlight w:val="none"/>
        </w:rPr>
      </w:pPr>
    </w:p>
    <w:p>
      <w:pPr>
        <w:pStyle w:val="23"/>
        <w:overflowPunct w:val="0"/>
        <w:snapToGrid w:val="0"/>
        <w:spacing w:line="360" w:lineRule="auto"/>
        <w:ind w:left="0" w:firstLine="0" w:firstLineChars="0"/>
        <w:rPr>
          <w:rFonts w:hint="eastAsia" w:ascii="宋体" w:hAnsi="宋体" w:cs="宋体"/>
          <w:b/>
          <w:color w:val="auto"/>
          <w:sz w:val="28"/>
          <w:szCs w:val="28"/>
          <w:highlight w:val="none"/>
        </w:rPr>
      </w:pPr>
    </w:p>
    <w:p>
      <w:pPr>
        <w:pStyle w:val="23"/>
        <w:overflowPunct w:val="0"/>
        <w:snapToGrid w:val="0"/>
        <w:spacing w:line="360" w:lineRule="auto"/>
        <w:ind w:left="0"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rPr>
        <w:t>7、企业业绩</w:t>
      </w:r>
    </w:p>
    <w:p>
      <w:pPr>
        <w:pStyle w:val="23"/>
        <w:overflowPunct w:val="0"/>
        <w:snapToGrid w:val="0"/>
        <w:spacing w:line="360" w:lineRule="auto"/>
        <w:ind w:left="0" w:firstLine="241" w:firstLineChars="100"/>
        <w:jc w:val="center"/>
        <w:rPr>
          <w:rFonts w:ascii="宋体" w:hAnsi="宋体" w:cs="宋体"/>
          <w:b/>
          <w:color w:val="auto"/>
          <w:szCs w:val="20"/>
          <w:highlight w:val="none"/>
        </w:rPr>
      </w:pPr>
    </w:p>
    <w:p>
      <w:pPr>
        <w:pStyle w:val="23"/>
        <w:overflowPunct w:val="0"/>
        <w:snapToGrid w:val="0"/>
        <w:spacing w:line="360" w:lineRule="auto"/>
        <w:ind w:left="0" w:firstLine="321" w:firstLineChars="100"/>
        <w:jc w:val="center"/>
        <w:rPr>
          <w:rFonts w:ascii="宋体" w:hAnsi="宋体" w:cs="宋体"/>
          <w:color w:val="auto"/>
          <w:szCs w:val="24"/>
          <w:highlight w:val="none"/>
        </w:rPr>
      </w:pPr>
      <w:r>
        <w:rPr>
          <w:rFonts w:hint="eastAsia" w:ascii="宋体" w:hAnsi="宋体" w:cs="宋体"/>
          <w:b/>
          <w:color w:val="auto"/>
          <w:sz w:val="32"/>
          <w:szCs w:val="32"/>
          <w:highlight w:val="none"/>
        </w:rPr>
        <w:t>企业业绩</w:t>
      </w:r>
    </w:p>
    <w:p>
      <w:pPr>
        <w:pStyle w:val="23"/>
        <w:overflowPunct w:val="0"/>
        <w:snapToGrid w:val="0"/>
        <w:spacing w:line="360" w:lineRule="auto"/>
        <w:ind w:left="0" w:firstLine="240" w:firstLineChars="100"/>
        <w:rPr>
          <w:rFonts w:ascii="宋体" w:hAnsi="宋体" w:cs="宋体"/>
          <w:color w:val="auto"/>
          <w:szCs w:val="24"/>
          <w:highlight w:val="none"/>
        </w:rPr>
      </w:pPr>
      <w:r>
        <w:rPr>
          <w:rFonts w:hint="eastAsia" w:ascii="宋体" w:hAnsi="宋体" w:cs="宋体"/>
          <w:color w:val="auto"/>
          <w:szCs w:val="24"/>
          <w:highlight w:val="none"/>
        </w:rPr>
        <w:t>项目名称：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序号</w:t>
            </w:r>
          </w:p>
        </w:tc>
        <w:tc>
          <w:tcPr>
            <w:tcW w:w="1811"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项目名称</w:t>
            </w:r>
          </w:p>
        </w:tc>
        <w:tc>
          <w:tcPr>
            <w:tcW w:w="1440"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合同金额</w:t>
            </w:r>
          </w:p>
        </w:tc>
        <w:tc>
          <w:tcPr>
            <w:tcW w:w="1440"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签订时间</w:t>
            </w:r>
          </w:p>
        </w:tc>
        <w:tc>
          <w:tcPr>
            <w:tcW w:w="1971"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业主</w:t>
            </w:r>
          </w:p>
        </w:tc>
        <w:tc>
          <w:tcPr>
            <w:tcW w:w="1418"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bl>
    <w:p>
      <w:pPr>
        <w:spacing w:before="156" w:beforeLines="50" w:after="156" w:afterLines="50" w:line="300" w:lineRule="exact"/>
        <w:ind w:firstLine="482" w:firstLineChars="200"/>
        <w:rPr>
          <w:rFonts w:ascii="宋体" w:hAnsi="宋体" w:cs="宋体"/>
          <w:b/>
          <w:bCs/>
          <w:color w:val="auto"/>
          <w:highlight w:val="none"/>
          <w:u w:val="single"/>
        </w:rPr>
      </w:pPr>
      <w:r>
        <w:rPr>
          <w:rFonts w:hint="eastAsia" w:ascii="宋体" w:hAnsi="宋体" w:cs="宋体"/>
          <w:b/>
          <w:bCs/>
          <w:color w:val="auto"/>
          <w:highlight w:val="none"/>
          <w:u w:val="single"/>
        </w:rPr>
        <w:t>须提供合同复印等证明其真实性的文件并加盖单位公章。</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授权代表（签字）：</w:t>
      </w:r>
    </w:p>
    <w:p>
      <w:pPr>
        <w:spacing w:line="400" w:lineRule="exact"/>
        <w:ind w:firstLine="480" w:firstLineChars="200"/>
        <w:jc w:val="left"/>
        <w:rPr>
          <w:rFonts w:ascii="宋体" w:hAnsi="宋体" w:cs="宋体"/>
          <w:color w:val="auto"/>
          <w:highlight w:val="none"/>
        </w:rPr>
      </w:pPr>
      <w:r>
        <w:rPr>
          <w:rFonts w:hint="eastAsia" w:ascii="宋体" w:hAnsi="宋体" w:cs="宋体"/>
          <w:color w:val="auto"/>
          <w:highlight w:val="none"/>
        </w:rPr>
        <w:t xml:space="preserve">日期： </w:t>
      </w: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b/>
          <w:bCs/>
          <w:color w:val="auto"/>
          <w:sz w:val="28"/>
          <w:szCs w:val="28"/>
          <w:highlight w:val="none"/>
        </w:rPr>
      </w:pPr>
    </w:p>
    <w:p>
      <w:pPr>
        <w:pStyle w:val="38"/>
        <w:rPr>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8、商务响应表</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商 务 响 应 表</w:t>
      </w:r>
    </w:p>
    <w:p>
      <w:pPr>
        <w:spacing w:line="360" w:lineRule="auto"/>
        <w:jc w:val="center"/>
        <w:rPr>
          <w:rFonts w:ascii="宋体" w:hAnsi="宋体" w:cs="宋体"/>
          <w:bCs/>
          <w:color w:val="auto"/>
          <w:highlight w:val="none"/>
        </w:rPr>
      </w:pPr>
    </w:p>
    <w:p>
      <w:pPr>
        <w:spacing w:after="156" w:afterLines="50" w:line="400" w:lineRule="exact"/>
        <w:jc w:val="left"/>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序 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内容</w:t>
            </w:r>
          </w:p>
        </w:tc>
        <w:tc>
          <w:tcPr>
            <w:tcW w:w="25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highlight w:val="none"/>
              </w:rPr>
            </w:pPr>
            <w:r>
              <w:rPr>
                <w:rFonts w:hint="eastAsia" w:ascii="宋体" w:hAnsi="宋体" w:cs="宋体"/>
                <w:b/>
                <w:color w:val="auto"/>
                <w:highlight w:val="none"/>
              </w:rPr>
              <w:t>磋商文件规范要求</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highlight w:val="none"/>
              </w:rPr>
            </w:pPr>
            <w:r>
              <w:rPr>
                <w:rFonts w:hint="eastAsia" w:ascii="宋体" w:hAnsi="宋体" w:cs="宋体"/>
                <w:b/>
                <w:color w:val="auto"/>
                <w:highlight w:val="none"/>
              </w:rPr>
              <w:t>响应文件对应规范</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highlight w:val="none"/>
              </w:rPr>
            </w:pPr>
            <w:r>
              <w:rPr>
                <w:rFonts w:hint="eastAsia" w:ascii="宋体" w:hAnsi="宋体" w:cs="宋体"/>
                <w:b/>
                <w:color w:val="auto"/>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bl>
    <w:p>
      <w:pPr>
        <w:spacing w:line="340" w:lineRule="exact"/>
        <w:ind w:firstLine="480" w:firstLineChars="200"/>
        <w:rPr>
          <w:rFonts w:ascii="宋体" w:hAnsi="宋体" w:cs="宋体"/>
          <w:color w:val="auto"/>
          <w:highlight w:val="none"/>
        </w:rPr>
      </w:pPr>
      <w:r>
        <w:rPr>
          <w:rFonts w:hint="eastAsia" w:ascii="宋体" w:hAnsi="宋体" w:cs="宋体"/>
          <w:color w:val="auto"/>
          <w:highlight w:val="none"/>
        </w:rPr>
        <w:t xml:space="preserve"> </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授权代表（签字）：</w:t>
      </w:r>
    </w:p>
    <w:p>
      <w:pPr>
        <w:pStyle w:val="15"/>
        <w:spacing w:line="300" w:lineRule="exact"/>
        <w:ind w:firstLine="480" w:firstLineChars="200"/>
        <w:rPr>
          <w:rFonts w:cs="宋体"/>
          <w:color w:val="auto"/>
          <w:highlight w:val="none"/>
        </w:rPr>
      </w:pPr>
      <w:r>
        <w:rPr>
          <w:rFonts w:hint="eastAsia" w:cs="宋体"/>
          <w:color w:val="auto"/>
          <w:kern w:val="2"/>
          <w:highlight w:val="none"/>
        </w:rPr>
        <w:t xml:space="preserve">日期：  </w:t>
      </w:r>
      <w:r>
        <w:rPr>
          <w:rFonts w:hint="eastAsia" w:cs="宋体"/>
          <w:color w:val="auto"/>
          <w:highlight w:val="none"/>
        </w:rPr>
        <w:t xml:space="preserve">   </w:t>
      </w:r>
    </w:p>
    <w:p>
      <w:pPr>
        <w:rPr>
          <w:rFonts w:ascii="宋体" w:hAnsi="宋体" w:cs="宋体"/>
          <w:color w:val="auto"/>
          <w:highlight w:val="none"/>
        </w:rPr>
      </w:pPr>
    </w:p>
    <w:p>
      <w:pPr>
        <w:spacing w:line="340" w:lineRule="exact"/>
        <w:ind w:firstLine="480" w:firstLineChars="200"/>
        <w:rPr>
          <w:rFonts w:ascii="宋体" w:hAnsi="宋体" w:cs="宋体"/>
          <w:color w:val="auto"/>
          <w:highlight w:val="none"/>
        </w:rPr>
      </w:pPr>
      <w:r>
        <w:rPr>
          <w:rFonts w:hint="eastAsia" w:ascii="宋体" w:hAnsi="宋体" w:cs="宋体"/>
          <w:color w:val="auto"/>
          <w:highlight w:val="none"/>
        </w:rPr>
        <w:t>注：1、本表格为</w:t>
      </w:r>
      <w:r>
        <w:rPr>
          <w:rFonts w:hint="eastAsia" w:ascii="宋体" w:hAnsi="宋体" w:cs="宋体"/>
          <w:bCs/>
          <w:color w:val="auto"/>
          <w:highlight w:val="none"/>
        </w:rPr>
        <w:t>商务要求中除报价以外的其他要求，不填写视同完全响应磋商文件要求。</w:t>
      </w:r>
      <w:r>
        <w:rPr>
          <w:rFonts w:hint="eastAsia" w:ascii="宋体" w:hAnsi="宋体" w:cs="宋体"/>
          <w:color w:val="auto"/>
          <w:highlight w:val="none"/>
        </w:rPr>
        <w:t>此表可在不改变格式的情况下可自行制作。</w:t>
      </w:r>
    </w:p>
    <w:p>
      <w:pPr>
        <w:spacing w:line="340" w:lineRule="exact"/>
        <w:ind w:firstLine="720" w:firstLineChars="300"/>
        <w:rPr>
          <w:rFonts w:ascii="宋体" w:hAnsi="宋体" w:cs="宋体"/>
          <w:color w:val="auto"/>
          <w:highlight w:val="none"/>
        </w:rPr>
      </w:pPr>
      <w:r>
        <w:rPr>
          <w:rFonts w:hint="eastAsia" w:ascii="宋体" w:hAnsi="宋体" w:cs="宋体"/>
          <w:color w:val="auto"/>
          <w:highlight w:val="none"/>
        </w:rPr>
        <w:t>2、备注栏填正偏离、负偏离或无偏离。</w:t>
      </w:r>
    </w:p>
    <w:p>
      <w:pPr>
        <w:autoSpaceDE w:val="0"/>
        <w:autoSpaceDN w:val="0"/>
        <w:snapToGrid w:val="0"/>
        <w:spacing w:line="420" w:lineRule="exact"/>
        <w:rPr>
          <w:rFonts w:ascii="宋体" w:hAnsi="宋体" w:cs="宋体"/>
          <w:color w:val="auto"/>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spacing w:line="400" w:lineRule="exact"/>
        <w:jc w:val="left"/>
        <w:rPr>
          <w:rFonts w:ascii="宋体" w:hAnsi="宋体" w:cs="宋体"/>
          <w:b/>
          <w:bCs/>
          <w:color w:val="auto"/>
          <w:sz w:val="28"/>
          <w:szCs w:val="28"/>
          <w:highlight w:val="none"/>
        </w:rPr>
      </w:pPr>
    </w:p>
    <w:p>
      <w:pPr>
        <w:pStyle w:val="31"/>
        <w:ind w:firstLine="560"/>
        <w:rPr>
          <w:color w:val="auto"/>
          <w:highlight w:val="none"/>
        </w:rPr>
      </w:pPr>
    </w:p>
    <w:p>
      <w:pPr>
        <w:pStyle w:val="31"/>
        <w:ind w:firstLine="560"/>
        <w:rPr>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9、小微企业声明函及残疾人福利性单位声明函</w:t>
      </w:r>
    </w:p>
    <w:p>
      <w:pPr>
        <w:snapToGrid w:val="0"/>
        <w:spacing w:before="50" w:after="50" w:line="400" w:lineRule="exact"/>
        <w:jc w:val="center"/>
        <w:rPr>
          <w:rFonts w:ascii="宋体" w:hAnsi="宋体" w:cs="宋体"/>
          <w:b/>
          <w:color w:val="auto"/>
          <w:sz w:val="32"/>
          <w:szCs w:val="32"/>
          <w:highlight w:val="none"/>
        </w:rPr>
      </w:pPr>
    </w:p>
    <w:p>
      <w:pPr>
        <w:snapToGrid w:val="0"/>
        <w:spacing w:before="50" w:after="50" w:line="400" w:lineRule="exact"/>
        <w:jc w:val="center"/>
        <w:rPr>
          <w:rFonts w:ascii="宋体" w:hAnsi="宋体" w:cs="宋体"/>
          <w:b/>
          <w:color w:val="auto"/>
          <w:sz w:val="32"/>
          <w:szCs w:val="32"/>
          <w:highlight w:val="none"/>
        </w:rPr>
      </w:pPr>
    </w:p>
    <w:p>
      <w:pPr>
        <w:spacing w:before="55"/>
        <w:ind w:left="594" w:right="-20"/>
        <w:jc w:val="center"/>
        <w:rPr>
          <w:rFonts w:ascii="宋体" w:hAnsi="宋体" w:cs="宋体"/>
          <w:b/>
          <w:bCs/>
          <w:color w:val="auto"/>
          <w:highlight w:val="none"/>
        </w:rPr>
      </w:pPr>
      <w:r>
        <w:rPr>
          <w:rFonts w:hint="eastAsia" w:ascii="宋体" w:hAnsi="宋体" w:cs="宋体"/>
          <w:b/>
          <w:bCs/>
          <w:color w:val="auto"/>
          <w:highlight w:val="none"/>
        </w:rPr>
        <w:t>中小企业声明函</w:t>
      </w:r>
    </w:p>
    <w:p>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1. （标的名称） ，属于（采购文件中明确的所属行业）； 承建（承接）企业为</w:t>
      </w:r>
      <w:r>
        <w:rPr>
          <w:rFonts w:hint="eastAsia" w:ascii="宋体" w:hAnsi="宋体" w:cs="宋体"/>
          <w:color w:val="auto"/>
          <w:highlight w:val="none"/>
          <w:u w:val="single"/>
        </w:rPr>
        <w:t xml:space="preserve">                </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 收入为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万元，资产总额为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万元，属于（中型企业、 小型企业、微型企业）； </w:t>
      </w:r>
    </w:p>
    <w:p>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spacing w:before="55"/>
        <w:ind w:left="595" w:right="-23" w:firstLine="480" w:firstLineChars="200"/>
        <w:rPr>
          <w:rFonts w:ascii="宋体" w:hAnsi="宋体" w:cs="宋体"/>
          <w:color w:val="auto"/>
          <w:highlight w:val="none"/>
        </w:rPr>
      </w:pPr>
    </w:p>
    <w:p>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 xml:space="preserve">本企业对上述声明内容的真实性负责。如有虚假，将依法承担相应责任。 </w:t>
      </w:r>
    </w:p>
    <w:p>
      <w:pPr>
        <w:spacing w:before="55"/>
        <w:ind w:left="594" w:right="-20"/>
        <w:jc w:val="right"/>
        <w:rPr>
          <w:rFonts w:ascii="宋体" w:hAnsi="宋体" w:cs="宋体"/>
          <w:color w:val="auto"/>
          <w:highlight w:val="none"/>
        </w:rPr>
      </w:pPr>
    </w:p>
    <w:p>
      <w:pPr>
        <w:spacing w:before="55"/>
        <w:ind w:left="594" w:right="-20"/>
        <w:jc w:val="right"/>
        <w:rPr>
          <w:rFonts w:ascii="宋体" w:hAnsi="宋体" w:cs="宋体"/>
          <w:color w:val="auto"/>
          <w:highlight w:val="none"/>
        </w:rPr>
      </w:pPr>
    </w:p>
    <w:p>
      <w:pPr>
        <w:spacing w:before="55"/>
        <w:ind w:left="594" w:right="-20"/>
        <w:jc w:val="right"/>
        <w:rPr>
          <w:rFonts w:ascii="宋体" w:hAnsi="宋体" w:cs="宋体"/>
          <w:color w:val="auto"/>
          <w:highlight w:val="none"/>
        </w:rPr>
      </w:pPr>
      <w:r>
        <w:rPr>
          <w:rFonts w:hint="eastAsia" w:ascii="宋体" w:hAnsi="宋体" w:cs="宋体"/>
          <w:color w:val="auto"/>
          <w:highlight w:val="none"/>
        </w:rPr>
        <w:t xml:space="preserve">企业名称（盖章）： </w:t>
      </w:r>
    </w:p>
    <w:p>
      <w:pPr>
        <w:spacing w:before="55"/>
        <w:ind w:left="594" w:right="-20"/>
        <w:jc w:val="right"/>
        <w:rPr>
          <w:rFonts w:ascii="宋体" w:hAnsi="宋体" w:cs="宋体"/>
          <w:color w:val="auto"/>
          <w:highlight w:val="none"/>
        </w:rPr>
      </w:pPr>
      <w:r>
        <w:rPr>
          <w:rFonts w:hint="eastAsia" w:ascii="宋体" w:hAnsi="宋体" w:cs="宋体"/>
          <w:color w:val="auto"/>
          <w:highlight w:val="none"/>
        </w:rPr>
        <w:t xml:space="preserve">日 期：  </w:t>
      </w:r>
    </w:p>
    <w:p>
      <w:pPr>
        <w:spacing w:before="55"/>
        <w:ind w:left="594" w:right="-20"/>
        <w:rPr>
          <w:rFonts w:ascii="宋体" w:hAnsi="宋体" w:cs="宋体"/>
          <w:color w:val="auto"/>
          <w:highlight w:val="none"/>
        </w:rPr>
      </w:pPr>
      <w:r>
        <w:rPr>
          <w:rFonts w:hint="eastAsia" w:ascii="宋体" w:hAnsi="宋体" w:cs="宋体"/>
          <w:color w:val="auto"/>
          <w:highlight w:val="none"/>
        </w:rPr>
        <w:t>从业人员、营业收入、资产总额填报上一年度数据，无上一年度数据的新成立企业可不填报。</w:t>
      </w:r>
    </w:p>
    <w:p>
      <w:pPr>
        <w:spacing w:before="55"/>
        <w:ind w:left="594" w:right="-20"/>
        <w:rPr>
          <w:rFonts w:ascii="宋体" w:hAnsi="宋体" w:cs="宋体"/>
          <w:color w:val="auto"/>
          <w:highlight w:val="none"/>
        </w:rPr>
      </w:pPr>
    </w:p>
    <w:p>
      <w:pPr>
        <w:spacing w:before="55"/>
        <w:ind w:left="594" w:right="-20"/>
        <w:rPr>
          <w:rFonts w:ascii="宋体" w:hAnsi="宋体" w:cs="宋体"/>
          <w:color w:val="auto"/>
          <w:highlight w:val="none"/>
        </w:rPr>
      </w:pPr>
    </w:p>
    <w:p>
      <w:pPr>
        <w:spacing w:before="55"/>
        <w:ind w:left="594" w:right="-20"/>
        <w:rPr>
          <w:rFonts w:ascii="宋体" w:hAnsi="宋体" w:cs="宋体"/>
          <w:color w:val="auto"/>
          <w:highlight w:val="none"/>
        </w:rPr>
      </w:pPr>
      <w:r>
        <w:rPr>
          <w:rFonts w:hint="eastAsia" w:ascii="宋体" w:hAnsi="宋体" w:cs="宋体"/>
          <w:color w:val="auto"/>
          <w:highlight w:val="none"/>
        </w:rPr>
        <mc:AlternateContent>
          <mc:Choice Requires="wpg">
            <w:drawing>
              <wp:anchor distT="0" distB="0" distL="114300" distR="114300" simplePos="0" relativeHeight="251661312" behindDoc="1" locked="0" layoutInCell="1" allowOverlap="1">
                <wp:simplePos x="0" y="0"/>
                <wp:positionH relativeFrom="page">
                  <wp:posOffset>935990</wp:posOffset>
                </wp:positionH>
                <wp:positionV relativeFrom="paragraph">
                  <wp:posOffset>-286385</wp:posOffset>
                </wp:positionV>
                <wp:extent cx="5688330" cy="1270"/>
                <wp:effectExtent l="0" t="0" r="0" b="0"/>
                <wp:wrapNone/>
                <wp:docPr id="3" name="组合 6"/>
                <wp:cNvGraphicFramePr/>
                <a:graphic xmlns:a="http://schemas.openxmlformats.org/drawingml/2006/main">
                  <a:graphicData uri="http://schemas.microsoft.com/office/word/2010/wordprocessingGroup">
                    <wpg:wgp>
                      <wpg:cNvGrpSpPr/>
                      <wpg:grpSpPr>
                        <a:xfrm>
                          <a:off x="0" y="0"/>
                          <a:ext cx="5688330" cy="1270"/>
                          <a:chOff x="1474" y="-451"/>
                          <a:chExt cx="8958" cy="2"/>
                        </a:xfrm>
                      </wpg:grpSpPr>
                      <wps:wsp>
                        <wps:cNvPr id="5" name="任意多边形 7"/>
                        <wps:cNvSpPr/>
                        <wps:spPr>
                          <a:xfrm>
                            <a:off x="1474" y="-451"/>
                            <a:ext cx="8958" cy="2"/>
                          </a:xfrm>
                          <a:custGeom>
                            <a:avLst/>
                            <a:gdLst/>
                            <a:ahLst/>
                            <a:cxnLst/>
                            <a:rect l="0" t="0" r="0" b="0"/>
                            <a:pathLst>
                              <a:path w="8958">
                                <a:moveTo>
                                  <a:pt x="0" y="0"/>
                                </a:moveTo>
                                <a:lnTo>
                                  <a:pt x="8958" y="0"/>
                                </a:lnTo>
                              </a:path>
                            </a:pathLst>
                          </a:custGeom>
                          <a:noFill/>
                          <a:ln w="10414" cap="flat" cmpd="sng">
                            <a:solidFill>
                              <a:srgbClr val="000000"/>
                            </a:solidFill>
                            <a:prstDash val="solid"/>
                            <a:headEnd type="none" w="med" len="med"/>
                            <a:tailEnd type="none" w="med" len="med"/>
                          </a:ln>
                        </wps:spPr>
                        <wps:bodyPr rot="0" vert="horz" wrap="square" lIns="91440" tIns="45720" rIns="91440" bIns="45720" anchor="t" anchorCtr="0"/>
                      </wps:wsp>
                    </wpg:wgp>
                  </a:graphicData>
                </a:graphic>
              </wp:anchor>
            </w:drawing>
          </mc:Choice>
          <mc:Fallback>
            <w:pict>
              <v:group id="组合 6" o:spid="_x0000_s1026" o:spt="203" style="position:absolute;left:0pt;margin-left:73.7pt;margin-top:-22.55pt;height:0.1pt;width:447.9pt;mso-position-horizontal-relative:page;z-index:-251655168;mso-width-relative:page;mso-height-relative:page;" coordorigin="1474,-451" coordsize="8958,2" o:gfxdata="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JF8&#10;kU/bAAAADAEAAA8AAAAAAAAAAQAgAAAAIgAAAGRycy9kb3ducmV2LnhtbFBLAQIUABQAAAAIAIdO&#10;4kD2jjDPywIAADUGAAAOAAAAAAAAAAEAIAAAACoBAABkcnMvZTJvRG9jLnhtbFBLBQYAAAAABgAG&#10;AFkBAABnBgAAAAA=&#10;">
                <o:lock v:ext="edit" aspectratio="f"/>
                <v:shape id="任意多边形 7" o:spid="_x0000_s1026" o:spt="100" style="position:absolute;left:1474;top:-451;height:2;width:8958;" filled="f" stroked="t" coordsize="8958,1" o:gfxdata="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OV7r4A&#10;AADaAAAADwAAAAAAAAABACAAAAAiAAAAZHJzL2Rvd25yZXYueG1sUEsBAhQAFAAAAAgAh07iQDMv&#10;BZ47AAAAOQAAABAAAAAAAAAAAQAgAAAADQEAAGRycy9zaGFwZXhtbC54bWxQSwUGAAAAAAYABgBb&#10;AQAAtwMAAAAA&#10;" path="m0,0l8958,0e">
                  <v:fill on="f" focussize="0,0"/>
                  <v:stroke weight="0.82pt" color="#000000" joinstyle="round"/>
                  <v:imagedata o:title=""/>
                  <o:lock v:ext="edit" aspectratio="f"/>
                </v:shape>
              </v:group>
            </w:pict>
          </mc:Fallback>
        </mc:AlternateContent>
      </w:r>
      <w:r>
        <w:rPr>
          <w:rFonts w:hint="eastAsia" w:ascii="宋体" w:hAnsi="宋体" w:cs="宋体"/>
          <w:color w:val="auto"/>
          <w:highlight w:val="none"/>
        </w:rPr>
        <w:t>填写说明：</w:t>
      </w:r>
    </w:p>
    <w:p>
      <w:pPr>
        <w:spacing w:before="55"/>
        <w:ind w:left="594" w:right="-20"/>
        <w:rPr>
          <w:rFonts w:ascii="宋体" w:hAnsi="宋体" w:cs="宋体"/>
          <w:color w:val="auto"/>
          <w:highlight w:val="none"/>
        </w:rPr>
      </w:pPr>
      <w:r>
        <w:rPr>
          <w:rFonts w:hint="eastAsia" w:ascii="宋体" w:hAnsi="宋体" w:cs="宋体"/>
          <w:color w:val="auto"/>
          <w:highlight w:val="none"/>
        </w:rPr>
        <w:t>1）投标供应商为中型、小型、微型企业的提供此函；</w:t>
      </w:r>
    </w:p>
    <w:p>
      <w:pPr>
        <w:spacing w:before="53" w:line="272" w:lineRule="auto"/>
        <w:ind w:left="114" w:right="31"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pacing w:val="-14"/>
          <w:highlight w:val="none"/>
        </w:rPr>
        <w:t>）</w:t>
      </w:r>
      <w:r>
        <w:rPr>
          <w:rFonts w:hint="eastAsia" w:ascii="宋体" w:hAnsi="宋体" w:cs="宋体"/>
          <w:color w:val="auto"/>
          <w:highlight w:val="none"/>
        </w:rPr>
        <w:t>中型企业不享受价格扣除</w:t>
      </w:r>
      <w:r>
        <w:rPr>
          <w:rFonts w:hint="eastAsia" w:ascii="宋体" w:hAnsi="宋体" w:cs="宋体"/>
          <w:color w:val="auto"/>
          <w:spacing w:val="-14"/>
          <w:highlight w:val="none"/>
        </w:rPr>
        <w:t>，</w:t>
      </w:r>
      <w:r>
        <w:rPr>
          <w:rFonts w:hint="eastAsia" w:ascii="宋体" w:hAnsi="宋体" w:cs="宋体"/>
          <w:color w:val="auto"/>
          <w:highlight w:val="none"/>
        </w:rPr>
        <w:t>小型</w:t>
      </w:r>
      <w:r>
        <w:rPr>
          <w:rFonts w:hint="eastAsia" w:ascii="宋体" w:hAnsi="宋体" w:cs="宋体"/>
          <w:color w:val="auto"/>
          <w:spacing w:val="-12"/>
          <w:highlight w:val="none"/>
        </w:rPr>
        <w:t>、</w:t>
      </w:r>
      <w:r>
        <w:rPr>
          <w:rFonts w:hint="eastAsia" w:ascii="宋体" w:hAnsi="宋体" w:cs="宋体"/>
          <w:color w:val="auto"/>
          <w:highlight w:val="none"/>
        </w:rPr>
        <w:t>微型企业的行业类别由评审专家结合投标供应商 出具的证明材料认定；经认定不符合小型、微型企业标准的，不享受价格扣除；</w:t>
      </w:r>
    </w:p>
    <w:p>
      <w:pPr>
        <w:spacing w:before="10" w:line="272" w:lineRule="auto"/>
        <w:ind w:left="114" w:right="31"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pacing w:val="-14"/>
          <w:highlight w:val="none"/>
        </w:rPr>
        <w:t>）</w:t>
      </w:r>
      <w:r>
        <w:rPr>
          <w:rFonts w:hint="eastAsia" w:ascii="宋体" w:hAnsi="宋体" w:cs="宋体"/>
          <w:color w:val="auto"/>
          <w:highlight w:val="none"/>
        </w:rPr>
        <w:t>所投标项内的产品如由多个企业制造的</w:t>
      </w:r>
      <w:r>
        <w:rPr>
          <w:rFonts w:hint="eastAsia" w:ascii="宋体" w:hAnsi="宋体" w:cs="宋体"/>
          <w:color w:val="auto"/>
          <w:spacing w:val="-14"/>
          <w:highlight w:val="none"/>
        </w:rPr>
        <w:t>，</w:t>
      </w:r>
      <w:r>
        <w:rPr>
          <w:rFonts w:hint="eastAsia" w:ascii="宋体" w:hAnsi="宋体" w:cs="宋体"/>
          <w:color w:val="auto"/>
          <w:highlight w:val="none"/>
        </w:rPr>
        <w:t>在填写企业类型时</w:t>
      </w:r>
      <w:r>
        <w:rPr>
          <w:rFonts w:hint="eastAsia" w:ascii="宋体" w:hAnsi="宋体" w:cs="宋体"/>
          <w:color w:val="auto"/>
          <w:spacing w:val="-12"/>
          <w:highlight w:val="none"/>
        </w:rPr>
        <w:t>，</w:t>
      </w:r>
      <w:r>
        <w:rPr>
          <w:rFonts w:hint="eastAsia" w:ascii="宋体" w:hAnsi="宋体" w:cs="宋体"/>
          <w:color w:val="auto"/>
          <w:highlight w:val="none"/>
        </w:rPr>
        <w:t>按产品生产企业 中规模最大的企业类型填写；</w:t>
      </w:r>
    </w:p>
    <w:p>
      <w:pPr>
        <w:spacing w:before="10" w:line="271" w:lineRule="auto"/>
        <w:ind w:left="114" w:right="31" w:firstLine="48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pacing w:val="-10"/>
          <w:highlight w:val="none"/>
        </w:rPr>
        <w:t>）</w:t>
      </w:r>
      <w:r>
        <w:rPr>
          <w:rFonts w:hint="eastAsia" w:ascii="宋体" w:hAnsi="宋体" w:cs="宋体"/>
          <w:color w:val="auto"/>
          <w:highlight w:val="none"/>
        </w:rPr>
        <w:t>投标产品制造商投标</w:t>
      </w:r>
      <w:r>
        <w:rPr>
          <w:rFonts w:hint="eastAsia" w:ascii="宋体" w:hAnsi="宋体" w:cs="宋体"/>
          <w:color w:val="auto"/>
          <w:spacing w:val="-12"/>
          <w:highlight w:val="none"/>
        </w:rPr>
        <w:t>，</w:t>
      </w:r>
      <w:r>
        <w:rPr>
          <w:rFonts w:hint="eastAsia" w:ascii="宋体" w:hAnsi="宋体" w:cs="宋体"/>
          <w:color w:val="auto"/>
          <w:highlight w:val="none"/>
        </w:rPr>
        <w:t>提供投标供应商出具</w:t>
      </w:r>
      <w:r>
        <w:rPr>
          <w:rFonts w:hint="eastAsia" w:ascii="宋体" w:hAnsi="宋体" w:cs="宋体"/>
          <w:color w:val="auto"/>
          <w:spacing w:val="-10"/>
          <w:highlight w:val="none"/>
        </w:rPr>
        <w:t>的</w:t>
      </w:r>
      <w:r>
        <w:rPr>
          <w:rFonts w:hint="eastAsia" w:ascii="宋体" w:hAnsi="宋体" w:cs="宋体"/>
          <w:color w:val="auto"/>
          <w:highlight w:val="none"/>
        </w:rPr>
        <w:t>《中小企业声明函</w:t>
      </w:r>
      <w:r>
        <w:rPr>
          <w:rFonts w:hint="eastAsia" w:ascii="宋体" w:hAnsi="宋体" w:cs="宋体"/>
          <w:color w:val="auto"/>
          <w:spacing w:val="-10"/>
          <w:highlight w:val="none"/>
        </w:rPr>
        <w:t>》</w:t>
      </w:r>
      <w:r>
        <w:rPr>
          <w:rFonts w:hint="eastAsia" w:ascii="宋体" w:hAnsi="宋体" w:cs="宋体"/>
          <w:color w:val="auto"/>
          <w:highlight w:val="none"/>
        </w:rPr>
        <w:t>及其相关的充分 的证明材料；代理商投标，提供投标供应商及主要产品制造商出具的《中小企业声明函》及其相关的充分的证明材料；</w:t>
      </w:r>
    </w:p>
    <w:p>
      <w:pPr>
        <w:spacing w:before="10" w:line="271" w:lineRule="auto"/>
        <w:ind w:left="114" w:right="31" w:firstLine="480"/>
        <w:rPr>
          <w:rFonts w:ascii="宋体" w:hAnsi="宋体" w:cs="宋体"/>
          <w:color w:val="auto"/>
          <w:highlight w:val="none"/>
        </w:rPr>
      </w:pPr>
      <w:r>
        <w:rPr>
          <w:rFonts w:hint="eastAsia" w:ascii="宋体" w:hAnsi="宋体" w:cs="宋体"/>
          <w:color w:val="auto"/>
          <w:highlight w:val="none"/>
        </w:rPr>
        <w:t>▲投标供应商提供的中小企业声明函与实际情况不符的，视为投标供应商提供虚假材料投标的，投标无效。</w:t>
      </w:r>
    </w:p>
    <w:p>
      <w:pPr>
        <w:spacing w:line="400" w:lineRule="exact"/>
        <w:jc w:val="center"/>
        <w:rPr>
          <w:rFonts w:ascii="宋体" w:hAnsi="宋体" w:cs="宋体"/>
          <w:b/>
          <w:color w:val="auto"/>
          <w:spacing w:val="6"/>
          <w:sz w:val="32"/>
          <w:szCs w:val="32"/>
          <w:highlight w:val="none"/>
        </w:rPr>
      </w:pPr>
    </w:p>
    <w:p>
      <w:pPr>
        <w:pStyle w:val="31"/>
        <w:ind w:firstLine="560"/>
        <w:rPr>
          <w:color w:val="auto"/>
          <w:highlight w:val="none"/>
        </w:rPr>
      </w:pPr>
    </w:p>
    <w:p>
      <w:pPr>
        <w:pStyle w:val="31"/>
        <w:ind w:firstLine="560"/>
        <w:rPr>
          <w:color w:val="auto"/>
          <w:highlight w:val="none"/>
        </w:rPr>
      </w:pPr>
    </w:p>
    <w:p>
      <w:pPr>
        <w:spacing w:line="400"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pPr>
        <w:spacing w:line="400" w:lineRule="exact"/>
        <w:rPr>
          <w:rFonts w:ascii="宋体" w:hAnsi="宋体" w:cs="宋体"/>
          <w:b/>
          <w:color w:val="auto"/>
          <w:spacing w:val="6"/>
          <w:sz w:val="30"/>
          <w:szCs w:val="30"/>
          <w:highlight w:val="none"/>
        </w:rPr>
      </w:pPr>
    </w:p>
    <w:p>
      <w:pPr>
        <w:snapToGrid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pPr>
        <w:snapToGrid w:val="0"/>
        <w:spacing w:line="400" w:lineRule="exact"/>
        <w:ind w:firstLine="480" w:firstLineChars="200"/>
        <w:rPr>
          <w:rFonts w:ascii="宋体" w:hAnsi="宋体" w:cs="宋体"/>
          <w:color w:val="auto"/>
          <w:highlight w:val="none"/>
        </w:rPr>
      </w:pPr>
    </w:p>
    <w:p>
      <w:pPr>
        <w:spacing w:line="400" w:lineRule="exact"/>
        <w:ind w:firstLine="504" w:firstLineChars="200"/>
        <w:rPr>
          <w:rFonts w:ascii="宋体" w:hAnsi="宋体" w:cs="宋体"/>
          <w:color w:val="auto"/>
          <w:spacing w:val="6"/>
          <w:highlight w:val="none"/>
        </w:rPr>
      </w:pPr>
    </w:p>
    <w:p>
      <w:pPr>
        <w:snapToGrid w:val="0"/>
        <w:spacing w:line="400" w:lineRule="exact"/>
        <w:ind w:firstLine="504" w:firstLineChars="200"/>
        <w:jc w:val="right"/>
        <w:rPr>
          <w:rFonts w:ascii="宋体" w:hAnsi="宋体" w:cs="宋体"/>
          <w:color w:val="auto"/>
          <w:highlight w:val="none"/>
        </w:rPr>
      </w:pPr>
      <w:r>
        <w:rPr>
          <w:rFonts w:hint="eastAsia" w:ascii="宋体" w:hAnsi="宋体" w:cs="宋体"/>
          <w:color w:val="auto"/>
          <w:spacing w:val="6"/>
          <w:highlight w:val="none"/>
        </w:rPr>
        <w:t xml:space="preserve">         </w:t>
      </w:r>
      <w:r>
        <w:rPr>
          <w:rFonts w:hint="eastAsia" w:ascii="宋体" w:hAnsi="宋体" w:cs="宋体"/>
          <w:color w:val="auto"/>
          <w:highlight w:val="none"/>
        </w:rPr>
        <w:t xml:space="preserve">      单位名称（盖章）：</w:t>
      </w:r>
    </w:p>
    <w:p>
      <w:pPr>
        <w:snapToGrid w:val="0"/>
        <w:spacing w:line="400" w:lineRule="exact"/>
        <w:ind w:firstLine="480" w:firstLineChars="200"/>
        <w:jc w:val="right"/>
        <w:rPr>
          <w:rFonts w:ascii="宋体" w:hAnsi="宋体" w:cs="宋体"/>
          <w:color w:val="auto"/>
          <w:highlight w:val="none"/>
        </w:rPr>
      </w:pPr>
      <w:r>
        <w:rPr>
          <w:rFonts w:hint="eastAsia" w:ascii="宋体" w:hAnsi="宋体" w:cs="宋体"/>
          <w:color w:val="auto"/>
          <w:highlight w:val="none"/>
        </w:rPr>
        <w:t xml:space="preserve">       日  期：</w:t>
      </w: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10、技术响应表</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技术响应表</w:t>
      </w:r>
    </w:p>
    <w:p>
      <w:pPr>
        <w:adjustRightInd w:val="0"/>
        <w:snapToGrid w:val="0"/>
        <w:spacing w:line="440" w:lineRule="exact"/>
        <w:ind w:firstLine="360" w:firstLineChars="150"/>
        <w:rPr>
          <w:rFonts w:ascii="宋体" w:hAnsi="宋体" w:cs="宋体"/>
          <w:color w:val="auto"/>
          <w:highlight w:val="none"/>
        </w:rPr>
      </w:pPr>
      <w:r>
        <w:rPr>
          <w:rFonts w:hint="eastAsia" w:ascii="宋体" w:hAnsi="宋体" w:cs="宋体"/>
          <w:color w:val="auto"/>
          <w:highlight w:val="none"/>
        </w:rPr>
        <w:t>项目名称：                              项目编号：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565"/>
        <w:gridCol w:w="277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026"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项目</w:t>
            </w:r>
          </w:p>
        </w:tc>
        <w:tc>
          <w:tcPr>
            <w:tcW w:w="256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2772"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是否响应</w:t>
            </w:r>
          </w:p>
        </w:tc>
        <w:tc>
          <w:tcPr>
            <w:tcW w:w="1592"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bl>
    <w:p>
      <w:pPr>
        <w:snapToGrid w:val="0"/>
        <w:spacing w:line="440" w:lineRule="exact"/>
        <w:rPr>
          <w:rFonts w:ascii="宋体" w:hAnsi="宋体" w:cs="宋体"/>
          <w:color w:val="auto"/>
          <w:highlight w:val="none"/>
        </w:rPr>
      </w:pPr>
    </w:p>
    <w:p>
      <w:pPr>
        <w:snapToGri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注：本表不填写或未填写的内容，视作完全响应磋商文件的要求。</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授权代表（签字）：</w:t>
      </w:r>
    </w:p>
    <w:p>
      <w:pPr>
        <w:snapToGri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日期：    </w:t>
      </w:r>
    </w:p>
    <w:p>
      <w:pPr>
        <w:adjustRightInd w:val="0"/>
        <w:snapToGrid w:val="0"/>
        <w:spacing w:line="480" w:lineRule="auto"/>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rPr>
          <w:rFonts w:ascii="宋体" w:hAnsi="宋体" w:cs="宋体"/>
          <w:color w:val="auto"/>
          <w:highlight w:val="none"/>
        </w:rPr>
      </w:pPr>
    </w:p>
    <w:p>
      <w:pPr>
        <w:spacing w:line="400" w:lineRule="exact"/>
        <w:jc w:val="left"/>
        <w:rPr>
          <w:rFonts w:ascii="宋体" w:hAnsi="宋体" w:cs="宋体"/>
          <w:bCs/>
          <w:color w:val="auto"/>
          <w:sz w:val="30"/>
          <w:szCs w:val="30"/>
          <w:highlight w:val="none"/>
        </w:rPr>
      </w:pPr>
      <w:r>
        <w:rPr>
          <w:rFonts w:hint="eastAsia" w:ascii="宋体" w:hAnsi="宋体" w:cs="宋体"/>
          <w:b/>
          <w:bCs/>
          <w:color w:val="auto"/>
          <w:sz w:val="28"/>
          <w:szCs w:val="28"/>
          <w:highlight w:val="none"/>
        </w:rPr>
        <w:t>11、项目实施人员一览表格式</w:t>
      </w:r>
    </w:p>
    <w:p>
      <w:pPr>
        <w:spacing w:line="360" w:lineRule="auto"/>
        <w:jc w:val="center"/>
        <w:rPr>
          <w:rFonts w:ascii="宋体" w:hAnsi="宋体" w:cs="宋体"/>
          <w:bCs/>
          <w:color w:val="auto"/>
          <w:sz w:val="30"/>
          <w:szCs w:val="30"/>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pPr>
        <w:spacing w:line="360" w:lineRule="auto"/>
        <w:rPr>
          <w:rFonts w:ascii="宋体" w:hAnsi="宋体" w:cs="宋体"/>
          <w:bCs/>
          <w:color w:val="auto"/>
          <w:sz w:val="30"/>
          <w:szCs w:val="3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715"/>
        <w:gridCol w:w="1282"/>
        <w:gridCol w:w="211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姓名</w:t>
            </w:r>
          </w:p>
        </w:tc>
        <w:tc>
          <w:tcPr>
            <w:tcW w:w="944"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职务</w:t>
            </w:r>
          </w:p>
        </w:tc>
        <w:tc>
          <w:tcPr>
            <w:tcW w:w="171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专业技术资格</w:t>
            </w:r>
          </w:p>
        </w:tc>
        <w:tc>
          <w:tcPr>
            <w:tcW w:w="1282"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证书编号</w:t>
            </w:r>
          </w:p>
        </w:tc>
        <w:tc>
          <w:tcPr>
            <w:tcW w:w="2113"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参加本单位工作时间</w:t>
            </w:r>
          </w:p>
        </w:tc>
        <w:tc>
          <w:tcPr>
            <w:tcW w:w="1723"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bl>
    <w:p>
      <w:pPr>
        <w:snapToGrid w:val="0"/>
        <w:spacing w:before="50" w:after="156" w:afterLines="50" w:line="360" w:lineRule="auto"/>
        <w:jc w:val="left"/>
        <w:rPr>
          <w:rFonts w:ascii="宋体" w:hAnsi="宋体" w:cs="宋体"/>
          <w:color w:val="auto"/>
          <w:highlight w:val="none"/>
        </w:rPr>
      </w:pPr>
      <w:r>
        <w:rPr>
          <w:rFonts w:hint="eastAsia" w:ascii="宋体" w:hAnsi="宋体" w:cs="宋体"/>
          <w:color w:val="auto"/>
          <w:highlight w:val="none"/>
        </w:rPr>
        <w:t xml:space="preserve">    注：在填写时，如本表格不适合竞标单位的实际情况，可根据本表格式自行划表填写。</w:t>
      </w:r>
    </w:p>
    <w:p>
      <w:pPr>
        <w:snapToGrid w:val="0"/>
        <w:spacing w:before="50" w:after="156" w:afterLines="50" w:line="360" w:lineRule="auto"/>
        <w:jc w:val="left"/>
        <w:rPr>
          <w:rFonts w:ascii="宋体" w:hAnsi="宋体" w:cs="宋体"/>
          <w:color w:val="auto"/>
          <w:highlight w:val="none"/>
        </w:rPr>
      </w:pP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授权代表（签字）：</w:t>
      </w:r>
    </w:p>
    <w:p>
      <w:pPr>
        <w:adjustRightInd w:val="0"/>
        <w:snapToGrid w:val="0"/>
        <w:spacing w:line="440" w:lineRule="exact"/>
        <w:rPr>
          <w:rFonts w:ascii="宋体" w:hAnsi="宋体" w:cs="宋体"/>
          <w:bCs/>
          <w:color w:val="auto"/>
          <w:highlight w:val="none"/>
        </w:rPr>
      </w:pPr>
      <w:r>
        <w:rPr>
          <w:rFonts w:hint="eastAsia" w:ascii="宋体" w:hAnsi="宋体" w:cs="宋体"/>
          <w:color w:val="auto"/>
          <w:highlight w:val="none"/>
        </w:rPr>
        <w:t>日期：</w:t>
      </w:r>
    </w:p>
    <w:p>
      <w:pPr>
        <w:adjustRightInd w:val="0"/>
        <w:snapToGrid w:val="0"/>
        <w:spacing w:before="156" w:beforeLines="50" w:after="156" w:afterLines="50" w:line="500" w:lineRule="exact"/>
        <w:rPr>
          <w:rFonts w:ascii="宋体" w:hAnsi="宋体" w:cs="宋体"/>
          <w:bCs/>
          <w:color w:val="auto"/>
          <w:highlight w:val="none"/>
        </w:rPr>
      </w:pPr>
    </w:p>
    <w:p>
      <w:pPr>
        <w:spacing w:line="400" w:lineRule="exact"/>
        <w:jc w:val="center"/>
        <w:rPr>
          <w:rFonts w:ascii="宋体" w:hAnsi="宋体" w:cs="宋体"/>
          <w:b/>
          <w:color w:val="auto"/>
          <w:highlight w:val="none"/>
        </w:rPr>
      </w:pPr>
    </w:p>
    <w:p>
      <w:pPr>
        <w:spacing w:line="360" w:lineRule="auto"/>
        <w:rPr>
          <w:rFonts w:ascii="宋体" w:hAnsi="宋体" w:cs="宋体"/>
          <w:b/>
          <w:color w:val="auto"/>
          <w:highlight w:val="none"/>
        </w:rPr>
      </w:pPr>
    </w:p>
    <w:p>
      <w:pPr>
        <w:snapToGrid w:val="0"/>
        <w:spacing w:before="50" w:after="156" w:afterLines="50" w:line="600" w:lineRule="exact"/>
        <w:jc w:val="center"/>
        <w:rPr>
          <w:rFonts w:ascii="宋体" w:hAnsi="宋体" w:cs="宋体"/>
          <w:b/>
          <w:bCs/>
          <w:color w:val="auto"/>
          <w:sz w:val="28"/>
          <w:szCs w:val="40"/>
          <w:highlight w:val="none"/>
        </w:rPr>
      </w:pPr>
      <w:r>
        <w:rPr>
          <w:rFonts w:hint="eastAsia" w:ascii="宋体" w:hAnsi="宋体" w:cs="宋体"/>
          <w:b/>
          <w:bCs/>
          <w:color w:val="auto"/>
          <w:sz w:val="28"/>
          <w:szCs w:val="40"/>
          <w:highlight w:val="none"/>
        </w:rPr>
        <w:t>招标代理服务费承诺函</w:t>
      </w:r>
    </w:p>
    <w:p>
      <w:pPr>
        <w:pStyle w:val="8"/>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浙江诚远工程咨询有限公司：</w:t>
      </w:r>
    </w:p>
    <w:p>
      <w:pPr>
        <w:pStyle w:val="8"/>
        <w:spacing w:line="6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根据招标文件的规定，一旦我公司中标，我公司同意按招标文件要求向贵公司交纳中标项目的招标代理服务费，在确定中标供应商后，领取中标通知书前的当天一次性结清。</w:t>
      </w:r>
    </w:p>
    <w:p>
      <w:pPr>
        <w:pStyle w:val="8"/>
        <w:spacing w:line="6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本承诺函自开标之日起至本次采购期满有效。</w:t>
      </w:r>
    </w:p>
    <w:p>
      <w:pPr>
        <w:pStyle w:val="8"/>
        <w:spacing w:line="640" w:lineRule="exact"/>
        <w:ind w:firstLine="0"/>
        <w:jc w:val="left"/>
        <w:rPr>
          <w:rFonts w:ascii="宋体" w:hAnsi="宋体" w:cs="宋体"/>
          <w:color w:val="auto"/>
          <w:highlight w:val="none"/>
        </w:rPr>
      </w:pPr>
    </w:p>
    <w:p>
      <w:pPr>
        <w:pStyle w:val="8"/>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pStyle w:val="8"/>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pStyle w:val="8"/>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日期：2023年  月  日</w:t>
      </w:r>
    </w:p>
    <w:p>
      <w:pPr>
        <w:pBdr>
          <w:bottom w:val="single" w:color="auto" w:sz="6" w:space="1"/>
        </w:pBdr>
        <w:spacing w:line="540" w:lineRule="exact"/>
        <w:rPr>
          <w:rFonts w:ascii="宋体" w:hAnsi="宋体" w:cs="宋体"/>
          <w:color w:val="auto"/>
          <w:highlight w:val="none"/>
        </w:rPr>
      </w:pPr>
    </w:p>
    <w:p>
      <w:pPr>
        <w:spacing w:line="600" w:lineRule="exact"/>
        <w:rPr>
          <w:rFonts w:ascii="宋体" w:hAnsi="宋体" w:cs="宋体"/>
          <w:color w:val="auto"/>
          <w:highlight w:val="none"/>
        </w:rPr>
      </w:pPr>
    </w:p>
    <w:p>
      <w:pPr>
        <w:spacing w:line="600" w:lineRule="exact"/>
        <w:rPr>
          <w:rFonts w:ascii="宋体" w:hAnsi="宋体" w:cs="宋体"/>
          <w:color w:val="auto"/>
          <w:highlight w:val="none"/>
        </w:rPr>
      </w:pPr>
    </w:p>
    <w:p>
      <w:pPr>
        <w:widowControl/>
        <w:jc w:val="left"/>
        <w:rPr>
          <w:rFonts w:ascii="宋体" w:hAnsi="宋体" w:cs="宋体"/>
          <w:color w:val="auto"/>
          <w:highlight w:val="none"/>
        </w:rPr>
      </w:pPr>
      <w:r>
        <w:rPr>
          <w:rFonts w:hint="eastAsia" w:ascii="宋体" w:hAnsi="宋体" w:cs="宋体"/>
          <w:b/>
          <w:color w:val="auto"/>
          <w:kern w:val="0"/>
          <w:highlight w:val="none"/>
          <w:u w:val="single"/>
        </w:rPr>
        <w:t>代理费汇款账号：</w:t>
      </w:r>
      <w:r>
        <w:rPr>
          <w:rFonts w:hint="eastAsia" w:ascii="宋体" w:hAnsi="宋体" w:cs="宋体"/>
          <w:b/>
          <w:color w:val="auto"/>
          <w:kern w:val="0"/>
          <w:highlight w:val="none"/>
        </w:rPr>
        <w:t xml:space="preserve"> </w:t>
      </w:r>
    </w:p>
    <w:p>
      <w:pPr>
        <w:pStyle w:val="15"/>
        <w:adjustRightInd w:val="0"/>
        <w:snapToGrid w:val="0"/>
        <w:spacing w:line="340" w:lineRule="exact"/>
        <w:outlineLvl w:val="0"/>
        <w:rPr>
          <w:rFonts w:cs="宋体"/>
          <w:color w:val="auto"/>
          <w:highlight w:val="none"/>
        </w:rPr>
      </w:pPr>
      <w:r>
        <w:rPr>
          <w:rFonts w:hint="eastAsia" w:cs="宋体"/>
          <w:color w:val="auto"/>
          <w:highlight w:val="none"/>
        </w:rPr>
        <w:t>单位名称：浙江诚远工程咨询有限公司湖州分公司</w:t>
      </w:r>
    </w:p>
    <w:p>
      <w:pPr>
        <w:pStyle w:val="15"/>
        <w:adjustRightInd w:val="0"/>
        <w:snapToGrid w:val="0"/>
        <w:spacing w:line="340" w:lineRule="exact"/>
        <w:outlineLvl w:val="0"/>
        <w:rPr>
          <w:rFonts w:cs="宋体"/>
          <w:color w:val="auto"/>
          <w:highlight w:val="none"/>
        </w:rPr>
      </w:pPr>
      <w:r>
        <w:rPr>
          <w:rFonts w:hint="eastAsia" w:cs="宋体"/>
          <w:color w:val="auto"/>
          <w:highlight w:val="none"/>
        </w:rPr>
        <w:t>开户银行：中国农业银行股份有限公司湖州埭溪支行</w:t>
      </w:r>
    </w:p>
    <w:p>
      <w:pPr>
        <w:pStyle w:val="15"/>
        <w:adjustRightInd w:val="0"/>
        <w:snapToGrid w:val="0"/>
        <w:spacing w:line="340" w:lineRule="exact"/>
        <w:outlineLvl w:val="0"/>
        <w:rPr>
          <w:rFonts w:cs="宋体"/>
          <w:color w:val="auto"/>
          <w:highlight w:val="none"/>
        </w:rPr>
      </w:pPr>
      <w:r>
        <w:rPr>
          <w:rFonts w:hint="eastAsia" w:cs="宋体"/>
          <w:color w:val="auto"/>
          <w:highlight w:val="none"/>
        </w:rPr>
        <w:t>银行账号：19120301040016765</w:t>
      </w:r>
    </w:p>
    <w:p>
      <w:pPr>
        <w:tabs>
          <w:tab w:val="left" w:pos="3870"/>
          <w:tab w:val="left" w:pos="4085"/>
        </w:tabs>
        <w:snapToGrid w:val="0"/>
        <w:spacing w:line="360" w:lineRule="exact"/>
        <w:ind w:firstLine="482" w:firstLineChars="200"/>
        <w:jc w:val="left"/>
        <w:rPr>
          <w:rFonts w:ascii="宋体" w:hAnsi="宋体" w:cs="宋体"/>
          <w:b/>
          <w:color w:val="auto"/>
          <w:highlight w:val="none"/>
        </w:rPr>
      </w:pPr>
    </w:p>
    <w:p>
      <w:pPr>
        <w:pStyle w:val="38"/>
        <w:rPr>
          <w:rFonts w:cs="宋体"/>
          <w:color w:val="auto"/>
          <w:highlight w:val="none"/>
        </w:rPr>
      </w:pPr>
    </w:p>
    <w:sectPr>
      <w:footerReference r:id="rId8" w:type="first"/>
      <w:footerReference r:id="rId7" w:type="default"/>
      <w:pgSz w:w="11906" w:h="16838"/>
      <w:pgMar w:top="1134" w:right="1134" w:bottom="1134" w:left="1134" w:header="567" w:footer="56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
    <w:altName w:val="微软雅黑"/>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0"/>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B/&#10;ZEMJ6wEAAMUDAAAOAAAAAAAAAAEAIAAAACMBAABkcnMvZTJvRG9jLnhtbFBLBQYAAAAABgAGAFkB&#10;AACABQAAAAA=&#10;">
              <v:fill on="f" focussize="0,0"/>
              <v:stroke on="f" weight="1.25pt"/>
              <v:imagedata o:title=""/>
              <o:lock v:ext="edit" aspectratio="f"/>
              <v:textbox inset="0mm,0mm,0mm,0mm" style="mso-fit-shape-to-text:t;">
                <w:txbxContent>
                  <w:p>
                    <w:pPr>
                      <w:pStyle w:val="20"/>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u w:val="single"/>
      </w:rPr>
    </w:pPr>
    <w:r>
      <w:rPr>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Dh&#10;fChB6wEAAMUDAAAOAAAAAAAAAAEAIAAAACMBAABkcnMvZTJvRG9jLnhtbFBLBQYAAAAABgAGAFkB&#10;AACABQAAAAA=&#10;">
              <v:fill on="f" focussize="0,0"/>
              <v:stroke on="f" weight="1.2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u w:val="singl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仿宋" w:hAnsi="仿宋" w:eastAsia="仿宋" w:cs="仿宋"/>
      </w:rPr>
    </w:pPr>
  </w:p>
  <w:p>
    <w:pPr>
      <w:pStyle w:val="21"/>
      <w:pBdr>
        <w:bottom w:val="thinThickSmallGap" w:color="auto" w:sz="12" w:space="0"/>
      </w:pBdr>
      <w:jc w:val="left"/>
      <w:rPr>
        <w:rFonts w:eastAsia="仿宋"/>
        <w:u w:val="single"/>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wps:spPr>
                    <wps:txbx>
                      <w:txbxContent>
                        <w:p/>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Lk+tMA&#10;AAADAQAADwAAAAAAAAABACAAAAAiAAAAZHJzL2Rvd25yZXYueG1sUEsBAhQAFAAAAAgAh07iQMvy&#10;gy3rAQAAxQMAAA4AAAAAAAAAAQAgAAAAIgEAAGRycy9lMm9Eb2MueG1sUEsFBgAAAAAGAAYAWQEA&#10;AH8FAAAAAA==&#10;">
              <v:fill on="f" focussize="0,0"/>
              <v:stroke on="f" weight="1.25pt"/>
              <v:imagedata o:title=""/>
              <o:lock v:ext="edit" aspectratio="f"/>
              <v:textbox inset="0mm,0mm,0mm,0mm" style="mso-fit-shape-to-text:t;">
                <w:txbxContent>
                  <w:p/>
                </w:txbxContent>
              </v:textbox>
            </v:shape>
          </w:pict>
        </mc:Fallback>
      </mc:AlternateContent>
    </w:r>
    <w:r>
      <w:rPr>
        <w:rFonts w:hint="eastAsia" w:ascii="仿宋" w:hAnsi="仿宋" w:eastAsia="仿宋" w:cs="仿宋"/>
        <w:lang w:eastAsia="zh-CN"/>
      </w:rPr>
      <w:t>吴兴区2024年农业水价综合改革和农田灌溉水有效利用系数测算分析工作项目</w:t>
    </w:r>
    <w:r>
      <w:rPr>
        <w:rFonts w:hint="eastAsia" w:ascii="仿宋" w:hAnsi="仿宋" w:eastAsia="仿宋" w:cs="仿宋"/>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thinThickSmallGap" w:color="auto" w:sz="12" w:space="1"/>
      </w:pBdr>
      <w:tabs>
        <w:tab w:val="left" w:pos="8485"/>
        <w:tab w:val="clear" w:pos="8306"/>
      </w:tabs>
      <w:jc w:val="left"/>
      <w:rPr>
        <w:rFonts w:ascii="仿宋" w:hAnsi="仿宋" w:eastAsia="仿宋" w:cs="仿宋"/>
      </w:rPr>
    </w:pPr>
  </w:p>
  <w:p>
    <w:pPr>
      <w:pStyle w:val="21"/>
      <w:pBdr>
        <w:bottom w:val="thinThickSmallGap" w:color="auto" w:sz="12" w:space="1"/>
      </w:pBdr>
      <w:tabs>
        <w:tab w:val="left" w:pos="8485"/>
        <w:tab w:val="clear" w:pos="8306"/>
      </w:tabs>
      <w:jc w:val="left"/>
      <w:rPr>
        <w:rFonts w:eastAsia="仿宋"/>
      </w:rPr>
    </w:pPr>
    <w:r>
      <w:rPr>
        <w:rFonts w:hint="eastAsia" w:ascii="仿宋" w:hAnsi="仿宋" w:eastAsia="仿宋" w:cs="仿宋"/>
        <w:lang w:eastAsia="zh-CN"/>
      </w:rPr>
      <w:t>吴兴区2024年农业水价综合改革和农田灌溉水有效利用系数测算分析工作项目</w:t>
    </w:r>
    <w:r>
      <w:rPr>
        <w:rFonts w:hint="eastAsia" w:ascii="仿宋" w:hAnsi="仿宋" w:eastAsia="仿宋" w:cs="仿宋"/>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FB668"/>
    <w:multiLevelType w:val="singleLevel"/>
    <w:tmpl w:val="88EFB668"/>
    <w:lvl w:ilvl="0" w:tentative="0">
      <w:start w:val="1"/>
      <w:numFmt w:val="decimal"/>
      <w:lvlText w:val="(%1)"/>
      <w:lvlJc w:val="left"/>
      <w:pPr>
        <w:ind w:left="425" w:hanging="425"/>
      </w:pPr>
      <w:rPr>
        <w:rFonts w:hint="default"/>
      </w:rPr>
    </w:lvl>
  </w:abstractNum>
  <w:abstractNum w:abstractNumId="1">
    <w:nsid w:val="A8C77475"/>
    <w:multiLevelType w:val="singleLevel"/>
    <w:tmpl w:val="A8C77475"/>
    <w:lvl w:ilvl="0" w:tentative="0">
      <w:start w:val="1"/>
      <w:numFmt w:val="decimal"/>
      <w:lvlText w:val="(%1)"/>
      <w:lvlJc w:val="left"/>
      <w:pPr>
        <w:ind w:left="425" w:hanging="425"/>
      </w:pPr>
      <w:rPr>
        <w:rFonts w:hint="default"/>
      </w:rPr>
    </w:lvl>
  </w:abstractNum>
  <w:abstractNum w:abstractNumId="2">
    <w:nsid w:val="BB144AE4"/>
    <w:multiLevelType w:val="multilevel"/>
    <w:tmpl w:val="BB144AE4"/>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3">
    <w:nsid w:val="FA3D2C7F"/>
    <w:multiLevelType w:val="multilevel"/>
    <w:tmpl w:val="FA3D2C7F"/>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4">
    <w:nsid w:val="FFFFFF7E"/>
    <w:multiLevelType w:val="singleLevel"/>
    <w:tmpl w:val="FFFFFF7E"/>
    <w:lvl w:ilvl="0" w:tentative="0">
      <w:start w:val="1"/>
      <w:numFmt w:val="decimal"/>
      <w:pStyle w:val="13"/>
      <w:lvlText w:val="%1."/>
      <w:lvlJc w:val="left"/>
      <w:pPr>
        <w:tabs>
          <w:tab w:val="left" w:pos="1200"/>
        </w:tabs>
        <w:ind w:left="1200" w:hanging="360"/>
      </w:pPr>
    </w:lvl>
  </w:abstractNum>
  <w:abstractNum w:abstractNumId="5">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6">
    <w:nsid w:val="350085CE"/>
    <w:multiLevelType w:val="singleLevel"/>
    <w:tmpl w:val="350085CE"/>
    <w:lvl w:ilvl="0" w:tentative="0">
      <w:start w:val="2"/>
      <w:numFmt w:val="chineseCounting"/>
      <w:suff w:val="nothing"/>
      <w:lvlText w:val="%1、"/>
      <w:lvlJc w:val="left"/>
      <w:rPr>
        <w:rFonts w:hint="eastAsia" w:ascii="宋体" w:hAnsi="宋体" w:eastAsia="宋体" w:cs="宋体"/>
      </w:rPr>
    </w:lvl>
  </w:abstractNum>
  <w:abstractNum w:abstractNumId="7">
    <w:nsid w:val="57E78534"/>
    <w:multiLevelType w:val="singleLevel"/>
    <w:tmpl w:val="57E78534"/>
    <w:lvl w:ilvl="0" w:tentative="0">
      <w:start w:val="5"/>
      <w:numFmt w:val="decimal"/>
      <w:suff w:val="nothing"/>
      <w:lvlText w:val="%1）"/>
      <w:lvlJc w:val="left"/>
    </w:lvl>
  </w:abstractNum>
  <w:abstractNum w:abstractNumId="8">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4"/>
  </w:num>
  <w:num w:numId="2">
    <w:abstractNumId w:val="2"/>
  </w:num>
  <w:num w:numId="3">
    <w:abstractNumId w:val="0"/>
  </w:num>
  <w:num w:numId="4">
    <w:abstractNumId w:val="8"/>
  </w:num>
  <w:num w:numId="5">
    <w:abstractNumId w:val="7"/>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ZTU2NWZkYWNlODNhM2E4ZjM1YjZmNTM1NDE5ZmMifQ=="/>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16D16"/>
    <w:rsid w:val="000203E6"/>
    <w:rsid w:val="00022834"/>
    <w:rsid w:val="00023C4C"/>
    <w:rsid w:val="000263C6"/>
    <w:rsid w:val="00026C9E"/>
    <w:rsid w:val="00030916"/>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8A0"/>
    <w:rsid w:val="00070CB2"/>
    <w:rsid w:val="0007165E"/>
    <w:rsid w:val="00071EE2"/>
    <w:rsid w:val="0007214B"/>
    <w:rsid w:val="00072284"/>
    <w:rsid w:val="0008056D"/>
    <w:rsid w:val="00083EEF"/>
    <w:rsid w:val="00086B28"/>
    <w:rsid w:val="0009178E"/>
    <w:rsid w:val="000918A1"/>
    <w:rsid w:val="00092F55"/>
    <w:rsid w:val="0009661D"/>
    <w:rsid w:val="00096D39"/>
    <w:rsid w:val="000A140A"/>
    <w:rsid w:val="000A3461"/>
    <w:rsid w:val="000B0060"/>
    <w:rsid w:val="000B1259"/>
    <w:rsid w:val="000B1C3F"/>
    <w:rsid w:val="000B20D3"/>
    <w:rsid w:val="000B5D02"/>
    <w:rsid w:val="000C0545"/>
    <w:rsid w:val="000C51F3"/>
    <w:rsid w:val="000C6416"/>
    <w:rsid w:val="000C666E"/>
    <w:rsid w:val="000C70D1"/>
    <w:rsid w:val="000D1ACB"/>
    <w:rsid w:val="000D224E"/>
    <w:rsid w:val="000D2E32"/>
    <w:rsid w:val="000E1F65"/>
    <w:rsid w:val="000E2EAD"/>
    <w:rsid w:val="000E3B08"/>
    <w:rsid w:val="000E3E6A"/>
    <w:rsid w:val="000E43F4"/>
    <w:rsid w:val="000E7414"/>
    <w:rsid w:val="000F10D3"/>
    <w:rsid w:val="000F3412"/>
    <w:rsid w:val="000F601A"/>
    <w:rsid w:val="000F6217"/>
    <w:rsid w:val="001036DE"/>
    <w:rsid w:val="00105B85"/>
    <w:rsid w:val="0010600F"/>
    <w:rsid w:val="0010677F"/>
    <w:rsid w:val="001073E0"/>
    <w:rsid w:val="00110E1A"/>
    <w:rsid w:val="0011159D"/>
    <w:rsid w:val="001121D9"/>
    <w:rsid w:val="001137E5"/>
    <w:rsid w:val="001140D1"/>
    <w:rsid w:val="0011471D"/>
    <w:rsid w:val="00115377"/>
    <w:rsid w:val="001172B0"/>
    <w:rsid w:val="00117E99"/>
    <w:rsid w:val="001201F3"/>
    <w:rsid w:val="00121224"/>
    <w:rsid w:val="00121F64"/>
    <w:rsid w:val="00124952"/>
    <w:rsid w:val="00127B96"/>
    <w:rsid w:val="001336C1"/>
    <w:rsid w:val="001346E8"/>
    <w:rsid w:val="001352F3"/>
    <w:rsid w:val="00135BA9"/>
    <w:rsid w:val="00137D9D"/>
    <w:rsid w:val="00140A64"/>
    <w:rsid w:val="00141C8E"/>
    <w:rsid w:val="00142646"/>
    <w:rsid w:val="00142D03"/>
    <w:rsid w:val="00151A9F"/>
    <w:rsid w:val="00152697"/>
    <w:rsid w:val="00152F68"/>
    <w:rsid w:val="00155185"/>
    <w:rsid w:val="001564D0"/>
    <w:rsid w:val="0016015F"/>
    <w:rsid w:val="00160841"/>
    <w:rsid w:val="00161EEE"/>
    <w:rsid w:val="00162189"/>
    <w:rsid w:val="001621EA"/>
    <w:rsid w:val="00163A6D"/>
    <w:rsid w:val="0016518C"/>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3420"/>
    <w:rsid w:val="001B7314"/>
    <w:rsid w:val="001B7AF2"/>
    <w:rsid w:val="001B7E33"/>
    <w:rsid w:val="001C14A6"/>
    <w:rsid w:val="001C16C9"/>
    <w:rsid w:val="001C42B7"/>
    <w:rsid w:val="001D5C43"/>
    <w:rsid w:val="001D6104"/>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678E"/>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3FAD"/>
    <w:rsid w:val="002D4410"/>
    <w:rsid w:val="002D764D"/>
    <w:rsid w:val="002E4A1C"/>
    <w:rsid w:val="002E4C8C"/>
    <w:rsid w:val="002E5BAA"/>
    <w:rsid w:val="002E6379"/>
    <w:rsid w:val="002F0C66"/>
    <w:rsid w:val="002F1BF8"/>
    <w:rsid w:val="002F24D2"/>
    <w:rsid w:val="002F275D"/>
    <w:rsid w:val="002F28C5"/>
    <w:rsid w:val="00301761"/>
    <w:rsid w:val="00301B69"/>
    <w:rsid w:val="00303029"/>
    <w:rsid w:val="003041B2"/>
    <w:rsid w:val="00305FD0"/>
    <w:rsid w:val="0030762C"/>
    <w:rsid w:val="00311BB8"/>
    <w:rsid w:val="003125CB"/>
    <w:rsid w:val="00315CBB"/>
    <w:rsid w:val="003164B6"/>
    <w:rsid w:val="0032052F"/>
    <w:rsid w:val="003238DB"/>
    <w:rsid w:val="00324FF3"/>
    <w:rsid w:val="00325742"/>
    <w:rsid w:val="003273ED"/>
    <w:rsid w:val="00331C5C"/>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047F"/>
    <w:rsid w:val="00361E5E"/>
    <w:rsid w:val="003636BC"/>
    <w:rsid w:val="00364250"/>
    <w:rsid w:val="003648EA"/>
    <w:rsid w:val="00364EEF"/>
    <w:rsid w:val="003661AF"/>
    <w:rsid w:val="0036769D"/>
    <w:rsid w:val="00371354"/>
    <w:rsid w:val="00377D4F"/>
    <w:rsid w:val="00383688"/>
    <w:rsid w:val="00383974"/>
    <w:rsid w:val="00385CD5"/>
    <w:rsid w:val="00385E22"/>
    <w:rsid w:val="00391231"/>
    <w:rsid w:val="00392D05"/>
    <w:rsid w:val="00395B28"/>
    <w:rsid w:val="003A2917"/>
    <w:rsid w:val="003A4FF0"/>
    <w:rsid w:val="003A74B5"/>
    <w:rsid w:val="003B185A"/>
    <w:rsid w:val="003B21E1"/>
    <w:rsid w:val="003B2678"/>
    <w:rsid w:val="003B4062"/>
    <w:rsid w:val="003B4BF1"/>
    <w:rsid w:val="003B5278"/>
    <w:rsid w:val="003B67C3"/>
    <w:rsid w:val="003B7995"/>
    <w:rsid w:val="003C223C"/>
    <w:rsid w:val="003C3AB1"/>
    <w:rsid w:val="003C3CB7"/>
    <w:rsid w:val="003C58F4"/>
    <w:rsid w:val="003C68EE"/>
    <w:rsid w:val="003D1637"/>
    <w:rsid w:val="003D26C7"/>
    <w:rsid w:val="003E210B"/>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7BBF"/>
    <w:rsid w:val="004115DB"/>
    <w:rsid w:val="004152CB"/>
    <w:rsid w:val="00417139"/>
    <w:rsid w:val="00417282"/>
    <w:rsid w:val="004204D5"/>
    <w:rsid w:val="0042151A"/>
    <w:rsid w:val="00422EC8"/>
    <w:rsid w:val="00423A34"/>
    <w:rsid w:val="00426915"/>
    <w:rsid w:val="00426D29"/>
    <w:rsid w:val="0043390D"/>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E27"/>
    <w:rsid w:val="0046029F"/>
    <w:rsid w:val="00464E27"/>
    <w:rsid w:val="00470854"/>
    <w:rsid w:val="00475695"/>
    <w:rsid w:val="00477662"/>
    <w:rsid w:val="004805C7"/>
    <w:rsid w:val="00482DC5"/>
    <w:rsid w:val="0048689A"/>
    <w:rsid w:val="00490014"/>
    <w:rsid w:val="004901EC"/>
    <w:rsid w:val="00490AF8"/>
    <w:rsid w:val="00491388"/>
    <w:rsid w:val="00492775"/>
    <w:rsid w:val="00493D5F"/>
    <w:rsid w:val="004952A3"/>
    <w:rsid w:val="004956AC"/>
    <w:rsid w:val="004957F8"/>
    <w:rsid w:val="0049587E"/>
    <w:rsid w:val="00496355"/>
    <w:rsid w:val="004A0996"/>
    <w:rsid w:val="004A1D26"/>
    <w:rsid w:val="004A21D2"/>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7E9F"/>
    <w:rsid w:val="005320A2"/>
    <w:rsid w:val="00534FE0"/>
    <w:rsid w:val="005379B4"/>
    <w:rsid w:val="00541206"/>
    <w:rsid w:val="00551C42"/>
    <w:rsid w:val="00554FBD"/>
    <w:rsid w:val="00556487"/>
    <w:rsid w:val="00560A9E"/>
    <w:rsid w:val="005629FF"/>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BD7"/>
    <w:rsid w:val="005C4D2E"/>
    <w:rsid w:val="005C4E24"/>
    <w:rsid w:val="005C5604"/>
    <w:rsid w:val="005C6CF3"/>
    <w:rsid w:val="005D09CE"/>
    <w:rsid w:val="005D0B2C"/>
    <w:rsid w:val="005D3840"/>
    <w:rsid w:val="005D7CE7"/>
    <w:rsid w:val="005E0B4C"/>
    <w:rsid w:val="005E15EA"/>
    <w:rsid w:val="005E2ADE"/>
    <w:rsid w:val="005E3587"/>
    <w:rsid w:val="005E6525"/>
    <w:rsid w:val="005F099B"/>
    <w:rsid w:val="005F2C37"/>
    <w:rsid w:val="005F3D6B"/>
    <w:rsid w:val="005F5E34"/>
    <w:rsid w:val="00600A46"/>
    <w:rsid w:val="006028D5"/>
    <w:rsid w:val="00610A0A"/>
    <w:rsid w:val="00612DE7"/>
    <w:rsid w:val="0061381F"/>
    <w:rsid w:val="00613EA3"/>
    <w:rsid w:val="0061611B"/>
    <w:rsid w:val="0061633E"/>
    <w:rsid w:val="0061678C"/>
    <w:rsid w:val="00621B9E"/>
    <w:rsid w:val="00622793"/>
    <w:rsid w:val="00622AD1"/>
    <w:rsid w:val="00625C8E"/>
    <w:rsid w:val="00630766"/>
    <w:rsid w:val="0063116F"/>
    <w:rsid w:val="00632CCF"/>
    <w:rsid w:val="006344E2"/>
    <w:rsid w:val="0063655F"/>
    <w:rsid w:val="00636AC1"/>
    <w:rsid w:val="00636C6B"/>
    <w:rsid w:val="006370DA"/>
    <w:rsid w:val="00640492"/>
    <w:rsid w:val="006426B9"/>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90B4C"/>
    <w:rsid w:val="006910B6"/>
    <w:rsid w:val="006920B0"/>
    <w:rsid w:val="006943FB"/>
    <w:rsid w:val="0069558E"/>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C4FA9"/>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580B"/>
    <w:rsid w:val="0070661F"/>
    <w:rsid w:val="00706B0B"/>
    <w:rsid w:val="007077A2"/>
    <w:rsid w:val="00707D9E"/>
    <w:rsid w:val="00711017"/>
    <w:rsid w:val="00714646"/>
    <w:rsid w:val="0071538E"/>
    <w:rsid w:val="0071705A"/>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5A0E"/>
    <w:rsid w:val="0075611C"/>
    <w:rsid w:val="00756BAD"/>
    <w:rsid w:val="00760F7D"/>
    <w:rsid w:val="00766C9E"/>
    <w:rsid w:val="007716DB"/>
    <w:rsid w:val="00775766"/>
    <w:rsid w:val="007760EF"/>
    <w:rsid w:val="00776E29"/>
    <w:rsid w:val="00782A9E"/>
    <w:rsid w:val="00785338"/>
    <w:rsid w:val="00785C94"/>
    <w:rsid w:val="007869A4"/>
    <w:rsid w:val="00787A6E"/>
    <w:rsid w:val="00790CD6"/>
    <w:rsid w:val="00790EFD"/>
    <w:rsid w:val="00792BD6"/>
    <w:rsid w:val="0079490D"/>
    <w:rsid w:val="0079656C"/>
    <w:rsid w:val="007A45B9"/>
    <w:rsid w:val="007A6D46"/>
    <w:rsid w:val="007B0031"/>
    <w:rsid w:val="007B72E8"/>
    <w:rsid w:val="007C2601"/>
    <w:rsid w:val="007C2BA0"/>
    <w:rsid w:val="007C2E91"/>
    <w:rsid w:val="007C4A5C"/>
    <w:rsid w:val="007C74BB"/>
    <w:rsid w:val="007C75D0"/>
    <w:rsid w:val="007D1B74"/>
    <w:rsid w:val="007D5803"/>
    <w:rsid w:val="007E15F7"/>
    <w:rsid w:val="007E23D6"/>
    <w:rsid w:val="007E26BB"/>
    <w:rsid w:val="007E30A3"/>
    <w:rsid w:val="007F0BEB"/>
    <w:rsid w:val="007F756D"/>
    <w:rsid w:val="008023DE"/>
    <w:rsid w:val="008031D5"/>
    <w:rsid w:val="00805B3B"/>
    <w:rsid w:val="00806E0A"/>
    <w:rsid w:val="00810FFF"/>
    <w:rsid w:val="00812F6B"/>
    <w:rsid w:val="00813BF0"/>
    <w:rsid w:val="008143C3"/>
    <w:rsid w:val="00816A05"/>
    <w:rsid w:val="00816FFB"/>
    <w:rsid w:val="008175EB"/>
    <w:rsid w:val="0082155A"/>
    <w:rsid w:val="00821618"/>
    <w:rsid w:val="00821A9D"/>
    <w:rsid w:val="00822693"/>
    <w:rsid w:val="00824BD6"/>
    <w:rsid w:val="00824D95"/>
    <w:rsid w:val="00827DA5"/>
    <w:rsid w:val="008329F5"/>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37B"/>
    <w:rsid w:val="00855769"/>
    <w:rsid w:val="00860B5A"/>
    <w:rsid w:val="0086235E"/>
    <w:rsid w:val="00863113"/>
    <w:rsid w:val="00865AAA"/>
    <w:rsid w:val="0086614C"/>
    <w:rsid w:val="00870AD4"/>
    <w:rsid w:val="00871802"/>
    <w:rsid w:val="00872225"/>
    <w:rsid w:val="0088178F"/>
    <w:rsid w:val="00882EC8"/>
    <w:rsid w:val="00886AF3"/>
    <w:rsid w:val="00886D68"/>
    <w:rsid w:val="00887A11"/>
    <w:rsid w:val="0089040B"/>
    <w:rsid w:val="00891C14"/>
    <w:rsid w:val="008954DE"/>
    <w:rsid w:val="0089624D"/>
    <w:rsid w:val="008A45EE"/>
    <w:rsid w:val="008A5A78"/>
    <w:rsid w:val="008B1273"/>
    <w:rsid w:val="008B2744"/>
    <w:rsid w:val="008B3C6C"/>
    <w:rsid w:val="008B6491"/>
    <w:rsid w:val="008B73F8"/>
    <w:rsid w:val="008C7BE4"/>
    <w:rsid w:val="008D21BB"/>
    <w:rsid w:val="008D21F8"/>
    <w:rsid w:val="008D304C"/>
    <w:rsid w:val="008D34B7"/>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1A"/>
    <w:rsid w:val="00932D2B"/>
    <w:rsid w:val="009375CD"/>
    <w:rsid w:val="00940037"/>
    <w:rsid w:val="00943333"/>
    <w:rsid w:val="009444C8"/>
    <w:rsid w:val="00945657"/>
    <w:rsid w:val="00946518"/>
    <w:rsid w:val="00952222"/>
    <w:rsid w:val="009576A7"/>
    <w:rsid w:val="009602C1"/>
    <w:rsid w:val="00961653"/>
    <w:rsid w:val="00961840"/>
    <w:rsid w:val="0096576B"/>
    <w:rsid w:val="00966601"/>
    <w:rsid w:val="0096733A"/>
    <w:rsid w:val="00967D1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4351"/>
    <w:rsid w:val="009D6198"/>
    <w:rsid w:val="009D6B94"/>
    <w:rsid w:val="009D6F8B"/>
    <w:rsid w:val="009D7775"/>
    <w:rsid w:val="009E0A8F"/>
    <w:rsid w:val="009E4B97"/>
    <w:rsid w:val="009F0E74"/>
    <w:rsid w:val="009F1C81"/>
    <w:rsid w:val="009F1E28"/>
    <w:rsid w:val="009F315C"/>
    <w:rsid w:val="009F3499"/>
    <w:rsid w:val="009F6F7E"/>
    <w:rsid w:val="00A01495"/>
    <w:rsid w:val="00A0189A"/>
    <w:rsid w:val="00A01D02"/>
    <w:rsid w:val="00A0734C"/>
    <w:rsid w:val="00A11EEF"/>
    <w:rsid w:val="00A125BD"/>
    <w:rsid w:val="00A1360B"/>
    <w:rsid w:val="00A1407A"/>
    <w:rsid w:val="00A14594"/>
    <w:rsid w:val="00A145A8"/>
    <w:rsid w:val="00A15453"/>
    <w:rsid w:val="00A1692A"/>
    <w:rsid w:val="00A17388"/>
    <w:rsid w:val="00A2019F"/>
    <w:rsid w:val="00A2569D"/>
    <w:rsid w:val="00A276DE"/>
    <w:rsid w:val="00A30DB6"/>
    <w:rsid w:val="00A362B6"/>
    <w:rsid w:val="00A36D70"/>
    <w:rsid w:val="00A4094A"/>
    <w:rsid w:val="00A420FC"/>
    <w:rsid w:val="00A453C4"/>
    <w:rsid w:val="00A465C7"/>
    <w:rsid w:val="00A465E0"/>
    <w:rsid w:val="00A468A4"/>
    <w:rsid w:val="00A55B9A"/>
    <w:rsid w:val="00A565A4"/>
    <w:rsid w:val="00A566D5"/>
    <w:rsid w:val="00A572CA"/>
    <w:rsid w:val="00A61A0E"/>
    <w:rsid w:val="00A64156"/>
    <w:rsid w:val="00A66EA0"/>
    <w:rsid w:val="00A6705F"/>
    <w:rsid w:val="00A71272"/>
    <w:rsid w:val="00A71490"/>
    <w:rsid w:val="00A7305D"/>
    <w:rsid w:val="00A7478D"/>
    <w:rsid w:val="00A764E7"/>
    <w:rsid w:val="00A76959"/>
    <w:rsid w:val="00A77931"/>
    <w:rsid w:val="00A807B4"/>
    <w:rsid w:val="00A81ECD"/>
    <w:rsid w:val="00A841FC"/>
    <w:rsid w:val="00A8424C"/>
    <w:rsid w:val="00A8564F"/>
    <w:rsid w:val="00A85D52"/>
    <w:rsid w:val="00A86D62"/>
    <w:rsid w:val="00A873E4"/>
    <w:rsid w:val="00A9450F"/>
    <w:rsid w:val="00A94712"/>
    <w:rsid w:val="00A95A9A"/>
    <w:rsid w:val="00A96D0D"/>
    <w:rsid w:val="00A970C0"/>
    <w:rsid w:val="00AA0D56"/>
    <w:rsid w:val="00AA0E09"/>
    <w:rsid w:val="00AA3CFE"/>
    <w:rsid w:val="00AA54CE"/>
    <w:rsid w:val="00AB0767"/>
    <w:rsid w:val="00AB11DE"/>
    <w:rsid w:val="00AB1BF4"/>
    <w:rsid w:val="00AB295D"/>
    <w:rsid w:val="00AB2F1E"/>
    <w:rsid w:val="00AB5021"/>
    <w:rsid w:val="00AB5136"/>
    <w:rsid w:val="00AC0E61"/>
    <w:rsid w:val="00AC24F7"/>
    <w:rsid w:val="00AC49D7"/>
    <w:rsid w:val="00AC564A"/>
    <w:rsid w:val="00AC7D28"/>
    <w:rsid w:val="00AD2281"/>
    <w:rsid w:val="00AD24E9"/>
    <w:rsid w:val="00AE0312"/>
    <w:rsid w:val="00AE0F01"/>
    <w:rsid w:val="00AE2B95"/>
    <w:rsid w:val="00AE4405"/>
    <w:rsid w:val="00AF01C9"/>
    <w:rsid w:val="00AF171F"/>
    <w:rsid w:val="00AF2B43"/>
    <w:rsid w:val="00AF517C"/>
    <w:rsid w:val="00AF5A32"/>
    <w:rsid w:val="00AF5C41"/>
    <w:rsid w:val="00AF6348"/>
    <w:rsid w:val="00AF6F81"/>
    <w:rsid w:val="00B02FEA"/>
    <w:rsid w:val="00B04261"/>
    <w:rsid w:val="00B107AF"/>
    <w:rsid w:val="00B1092E"/>
    <w:rsid w:val="00B10AC4"/>
    <w:rsid w:val="00B1118E"/>
    <w:rsid w:val="00B14C48"/>
    <w:rsid w:val="00B1542A"/>
    <w:rsid w:val="00B20D87"/>
    <w:rsid w:val="00B211F5"/>
    <w:rsid w:val="00B2248E"/>
    <w:rsid w:val="00B2378D"/>
    <w:rsid w:val="00B257C8"/>
    <w:rsid w:val="00B258C7"/>
    <w:rsid w:val="00B25B59"/>
    <w:rsid w:val="00B25DE0"/>
    <w:rsid w:val="00B316BD"/>
    <w:rsid w:val="00B33DC8"/>
    <w:rsid w:val="00B34A55"/>
    <w:rsid w:val="00B35DF6"/>
    <w:rsid w:val="00B367D1"/>
    <w:rsid w:val="00B3713F"/>
    <w:rsid w:val="00B406C6"/>
    <w:rsid w:val="00B41510"/>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196"/>
    <w:rsid w:val="00B93887"/>
    <w:rsid w:val="00B94122"/>
    <w:rsid w:val="00B975F1"/>
    <w:rsid w:val="00B9776D"/>
    <w:rsid w:val="00BA050A"/>
    <w:rsid w:val="00BA072E"/>
    <w:rsid w:val="00BA0FD4"/>
    <w:rsid w:val="00BA14C9"/>
    <w:rsid w:val="00BA2CB7"/>
    <w:rsid w:val="00BA3573"/>
    <w:rsid w:val="00BA4FB6"/>
    <w:rsid w:val="00BA5839"/>
    <w:rsid w:val="00BA5FFA"/>
    <w:rsid w:val="00BA793F"/>
    <w:rsid w:val="00BB04EF"/>
    <w:rsid w:val="00BB0AED"/>
    <w:rsid w:val="00BB23B4"/>
    <w:rsid w:val="00BB2C6B"/>
    <w:rsid w:val="00BB43B5"/>
    <w:rsid w:val="00BB590F"/>
    <w:rsid w:val="00BC6594"/>
    <w:rsid w:val="00BC79CC"/>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03A13"/>
    <w:rsid w:val="00C1046C"/>
    <w:rsid w:val="00C129BA"/>
    <w:rsid w:val="00C148CC"/>
    <w:rsid w:val="00C15B12"/>
    <w:rsid w:val="00C24ED5"/>
    <w:rsid w:val="00C2678D"/>
    <w:rsid w:val="00C33FA8"/>
    <w:rsid w:val="00C34C38"/>
    <w:rsid w:val="00C35DB1"/>
    <w:rsid w:val="00C3618C"/>
    <w:rsid w:val="00C36C92"/>
    <w:rsid w:val="00C37AD1"/>
    <w:rsid w:val="00C413CF"/>
    <w:rsid w:val="00C4222A"/>
    <w:rsid w:val="00C430DF"/>
    <w:rsid w:val="00C4376D"/>
    <w:rsid w:val="00C44570"/>
    <w:rsid w:val="00C45871"/>
    <w:rsid w:val="00C47F21"/>
    <w:rsid w:val="00C53F36"/>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80C0F"/>
    <w:rsid w:val="00C811D1"/>
    <w:rsid w:val="00C82D64"/>
    <w:rsid w:val="00C91119"/>
    <w:rsid w:val="00C92447"/>
    <w:rsid w:val="00C930E2"/>
    <w:rsid w:val="00C94FF0"/>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681E"/>
    <w:rsid w:val="00CD71C2"/>
    <w:rsid w:val="00CD7978"/>
    <w:rsid w:val="00CE057E"/>
    <w:rsid w:val="00CE1F6B"/>
    <w:rsid w:val="00CE26EC"/>
    <w:rsid w:val="00CE36DE"/>
    <w:rsid w:val="00CE6E11"/>
    <w:rsid w:val="00CF0249"/>
    <w:rsid w:val="00CF13DB"/>
    <w:rsid w:val="00CF228A"/>
    <w:rsid w:val="00CF5C50"/>
    <w:rsid w:val="00CF64F5"/>
    <w:rsid w:val="00CF7208"/>
    <w:rsid w:val="00D01923"/>
    <w:rsid w:val="00D03E8B"/>
    <w:rsid w:val="00D10413"/>
    <w:rsid w:val="00D12D17"/>
    <w:rsid w:val="00D15EE6"/>
    <w:rsid w:val="00D16978"/>
    <w:rsid w:val="00D17C46"/>
    <w:rsid w:val="00D20684"/>
    <w:rsid w:val="00D21ABC"/>
    <w:rsid w:val="00D22025"/>
    <w:rsid w:val="00D22F8F"/>
    <w:rsid w:val="00D24532"/>
    <w:rsid w:val="00D2624F"/>
    <w:rsid w:val="00D3076F"/>
    <w:rsid w:val="00D30CCC"/>
    <w:rsid w:val="00D30DA6"/>
    <w:rsid w:val="00D42DB9"/>
    <w:rsid w:val="00D442AB"/>
    <w:rsid w:val="00D47A7E"/>
    <w:rsid w:val="00D5054C"/>
    <w:rsid w:val="00D5063D"/>
    <w:rsid w:val="00D53DB1"/>
    <w:rsid w:val="00D54122"/>
    <w:rsid w:val="00D60DE0"/>
    <w:rsid w:val="00D614DB"/>
    <w:rsid w:val="00D61A27"/>
    <w:rsid w:val="00D62DC9"/>
    <w:rsid w:val="00D62F06"/>
    <w:rsid w:val="00D73C16"/>
    <w:rsid w:val="00D745EB"/>
    <w:rsid w:val="00D7581D"/>
    <w:rsid w:val="00D76D8E"/>
    <w:rsid w:val="00D810FA"/>
    <w:rsid w:val="00D81748"/>
    <w:rsid w:val="00D860BC"/>
    <w:rsid w:val="00D90E4C"/>
    <w:rsid w:val="00D92A85"/>
    <w:rsid w:val="00D948E4"/>
    <w:rsid w:val="00D951E8"/>
    <w:rsid w:val="00D969BB"/>
    <w:rsid w:val="00D97B29"/>
    <w:rsid w:val="00DA02BA"/>
    <w:rsid w:val="00DA26B6"/>
    <w:rsid w:val="00DA4E0A"/>
    <w:rsid w:val="00DB0D1D"/>
    <w:rsid w:val="00DB143B"/>
    <w:rsid w:val="00DB42F4"/>
    <w:rsid w:val="00DB61E3"/>
    <w:rsid w:val="00DB6D6F"/>
    <w:rsid w:val="00DC2172"/>
    <w:rsid w:val="00DC5452"/>
    <w:rsid w:val="00DC6897"/>
    <w:rsid w:val="00DD23F2"/>
    <w:rsid w:val="00DD3BE6"/>
    <w:rsid w:val="00DD3CA9"/>
    <w:rsid w:val="00DD40E7"/>
    <w:rsid w:val="00DD42D0"/>
    <w:rsid w:val="00DD44AA"/>
    <w:rsid w:val="00DD4AF1"/>
    <w:rsid w:val="00DD6DB2"/>
    <w:rsid w:val="00DE0EB5"/>
    <w:rsid w:val="00DE1E76"/>
    <w:rsid w:val="00DE4CA5"/>
    <w:rsid w:val="00DE4E42"/>
    <w:rsid w:val="00DE61FE"/>
    <w:rsid w:val="00DE64A4"/>
    <w:rsid w:val="00DF004B"/>
    <w:rsid w:val="00DF0A71"/>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23751"/>
    <w:rsid w:val="00E246B0"/>
    <w:rsid w:val="00E2539D"/>
    <w:rsid w:val="00E25AC4"/>
    <w:rsid w:val="00E30C85"/>
    <w:rsid w:val="00E31C39"/>
    <w:rsid w:val="00E32158"/>
    <w:rsid w:val="00E33CCD"/>
    <w:rsid w:val="00E37E31"/>
    <w:rsid w:val="00E430A1"/>
    <w:rsid w:val="00E478BD"/>
    <w:rsid w:val="00E5060B"/>
    <w:rsid w:val="00E50D87"/>
    <w:rsid w:val="00E543C2"/>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3BAA"/>
    <w:rsid w:val="00E84343"/>
    <w:rsid w:val="00E86369"/>
    <w:rsid w:val="00E86EFF"/>
    <w:rsid w:val="00E876AC"/>
    <w:rsid w:val="00E90137"/>
    <w:rsid w:val="00E95465"/>
    <w:rsid w:val="00E959D0"/>
    <w:rsid w:val="00E95EFA"/>
    <w:rsid w:val="00E96997"/>
    <w:rsid w:val="00E96C7C"/>
    <w:rsid w:val="00E97F23"/>
    <w:rsid w:val="00EA4A0B"/>
    <w:rsid w:val="00EA4A99"/>
    <w:rsid w:val="00EA60DC"/>
    <w:rsid w:val="00EB49CF"/>
    <w:rsid w:val="00EB6ABB"/>
    <w:rsid w:val="00EC19E0"/>
    <w:rsid w:val="00EC2727"/>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570"/>
    <w:rsid w:val="00F0064B"/>
    <w:rsid w:val="00F0302F"/>
    <w:rsid w:val="00F07987"/>
    <w:rsid w:val="00F101E9"/>
    <w:rsid w:val="00F11C78"/>
    <w:rsid w:val="00F134E2"/>
    <w:rsid w:val="00F1427F"/>
    <w:rsid w:val="00F14712"/>
    <w:rsid w:val="00F147BD"/>
    <w:rsid w:val="00F15CB2"/>
    <w:rsid w:val="00F174FB"/>
    <w:rsid w:val="00F17B70"/>
    <w:rsid w:val="00F20123"/>
    <w:rsid w:val="00F3056F"/>
    <w:rsid w:val="00F31513"/>
    <w:rsid w:val="00F3154F"/>
    <w:rsid w:val="00F3425C"/>
    <w:rsid w:val="00F3743A"/>
    <w:rsid w:val="00F377C6"/>
    <w:rsid w:val="00F37A83"/>
    <w:rsid w:val="00F40F2B"/>
    <w:rsid w:val="00F4246B"/>
    <w:rsid w:val="00F448C0"/>
    <w:rsid w:val="00F468C6"/>
    <w:rsid w:val="00F468D2"/>
    <w:rsid w:val="00F507FC"/>
    <w:rsid w:val="00F511CE"/>
    <w:rsid w:val="00F52F5E"/>
    <w:rsid w:val="00F54F05"/>
    <w:rsid w:val="00F60D96"/>
    <w:rsid w:val="00F63D03"/>
    <w:rsid w:val="00F6430A"/>
    <w:rsid w:val="00F6438F"/>
    <w:rsid w:val="00F64E27"/>
    <w:rsid w:val="00F67572"/>
    <w:rsid w:val="00F712B5"/>
    <w:rsid w:val="00F74B52"/>
    <w:rsid w:val="00F74B67"/>
    <w:rsid w:val="00F75390"/>
    <w:rsid w:val="00F76BD9"/>
    <w:rsid w:val="00F7707A"/>
    <w:rsid w:val="00F8065C"/>
    <w:rsid w:val="00F80EE8"/>
    <w:rsid w:val="00F817A7"/>
    <w:rsid w:val="00F829CF"/>
    <w:rsid w:val="00F9086E"/>
    <w:rsid w:val="00F91CC4"/>
    <w:rsid w:val="00F9550F"/>
    <w:rsid w:val="00F97D86"/>
    <w:rsid w:val="00FA2CA7"/>
    <w:rsid w:val="00FA47AB"/>
    <w:rsid w:val="00FB2A0D"/>
    <w:rsid w:val="00FB2D04"/>
    <w:rsid w:val="00FB4EC9"/>
    <w:rsid w:val="00FB546E"/>
    <w:rsid w:val="00FB6BE6"/>
    <w:rsid w:val="00FC1346"/>
    <w:rsid w:val="00FC1F17"/>
    <w:rsid w:val="00FC33CE"/>
    <w:rsid w:val="00FC3582"/>
    <w:rsid w:val="00FC36D9"/>
    <w:rsid w:val="00FC5462"/>
    <w:rsid w:val="00FD0547"/>
    <w:rsid w:val="00FD121D"/>
    <w:rsid w:val="00FD1CC3"/>
    <w:rsid w:val="00FD1F1E"/>
    <w:rsid w:val="00FD7138"/>
    <w:rsid w:val="00FD770B"/>
    <w:rsid w:val="00FD7B44"/>
    <w:rsid w:val="00FD7D31"/>
    <w:rsid w:val="00FE4FC3"/>
    <w:rsid w:val="00FE57A2"/>
    <w:rsid w:val="00FE73FE"/>
    <w:rsid w:val="00FE7F3D"/>
    <w:rsid w:val="00FF32ED"/>
    <w:rsid w:val="00FF4A2E"/>
    <w:rsid w:val="00FF502C"/>
    <w:rsid w:val="00FF5A28"/>
    <w:rsid w:val="00FF5B4F"/>
    <w:rsid w:val="00FF6187"/>
    <w:rsid w:val="00FF6DB6"/>
    <w:rsid w:val="00FF76F5"/>
    <w:rsid w:val="010077E9"/>
    <w:rsid w:val="01061813"/>
    <w:rsid w:val="013E08EB"/>
    <w:rsid w:val="014A7F49"/>
    <w:rsid w:val="01540E7C"/>
    <w:rsid w:val="015627C2"/>
    <w:rsid w:val="01656F24"/>
    <w:rsid w:val="016B6C2E"/>
    <w:rsid w:val="01BB1DF0"/>
    <w:rsid w:val="01C0309B"/>
    <w:rsid w:val="01C87F9D"/>
    <w:rsid w:val="01C90C4A"/>
    <w:rsid w:val="01D0522F"/>
    <w:rsid w:val="01ED1DFE"/>
    <w:rsid w:val="01F863FC"/>
    <w:rsid w:val="022962B0"/>
    <w:rsid w:val="023D7796"/>
    <w:rsid w:val="02573B41"/>
    <w:rsid w:val="025D08EA"/>
    <w:rsid w:val="028E26C7"/>
    <w:rsid w:val="02AF56F1"/>
    <w:rsid w:val="02B80216"/>
    <w:rsid w:val="02D73638"/>
    <w:rsid w:val="02F254D6"/>
    <w:rsid w:val="02FE031F"/>
    <w:rsid w:val="030233D9"/>
    <w:rsid w:val="030C2128"/>
    <w:rsid w:val="030E2069"/>
    <w:rsid w:val="03150001"/>
    <w:rsid w:val="03375649"/>
    <w:rsid w:val="033A7662"/>
    <w:rsid w:val="033E4633"/>
    <w:rsid w:val="03400058"/>
    <w:rsid w:val="03417CB3"/>
    <w:rsid w:val="039028C7"/>
    <w:rsid w:val="03921629"/>
    <w:rsid w:val="039D4486"/>
    <w:rsid w:val="03DB2A68"/>
    <w:rsid w:val="03E17D78"/>
    <w:rsid w:val="03E60075"/>
    <w:rsid w:val="03F2782E"/>
    <w:rsid w:val="04147D26"/>
    <w:rsid w:val="041651F4"/>
    <w:rsid w:val="041720E0"/>
    <w:rsid w:val="044A3F7D"/>
    <w:rsid w:val="044D0777"/>
    <w:rsid w:val="044F7FBF"/>
    <w:rsid w:val="04510922"/>
    <w:rsid w:val="046A30BD"/>
    <w:rsid w:val="046A3DDB"/>
    <w:rsid w:val="04842254"/>
    <w:rsid w:val="04926F01"/>
    <w:rsid w:val="04956A61"/>
    <w:rsid w:val="049A6504"/>
    <w:rsid w:val="04AF4681"/>
    <w:rsid w:val="04BB20DB"/>
    <w:rsid w:val="04EF43C3"/>
    <w:rsid w:val="04F741F5"/>
    <w:rsid w:val="04FA4B16"/>
    <w:rsid w:val="050B2B33"/>
    <w:rsid w:val="050F05C1"/>
    <w:rsid w:val="05257DE5"/>
    <w:rsid w:val="05322C2F"/>
    <w:rsid w:val="05464073"/>
    <w:rsid w:val="056C082A"/>
    <w:rsid w:val="058E71C4"/>
    <w:rsid w:val="05AE72E3"/>
    <w:rsid w:val="05B74940"/>
    <w:rsid w:val="05BF4EF4"/>
    <w:rsid w:val="05D62E8D"/>
    <w:rsid w:val="05E5378E"/>
    <w:rsid w:val="05EF3721"/>
    <w:rsid w:val="060E37AA"/>
    <w:rsid w:val="06147E59"/>
    <w:rsid w:val="06237E1C"/>
    <w:rsid w:val="064F7570"/>
    <w:rsid w:val="065C6493"/>
    <w:rsid w:val="067651CC"/>
    <w:rsid w:val="06B92DB2"/>
    <w:rsid w:val="06C361DB"/>
    <w:rsid w:val="06F832D7"/>
    <w:rsid w:val="06FF7C87"/>
    <w:rsid w:val="07143072"/>
    <w:rsid w:val="07155C37"/>
    <w:rsid w:val="07191661"/>
    <w:rsid w:val="071D3867"/>
    <w:rsid w:val="072B61B7"/>
    <w:rsid w:val="07481B68"/>
    <w:rsid w:val="0753215C"/>
    <w:rsid w:val="077A2B76"/>
    <w:rsid w:val="077F1657"/>
    <w:rsid w:val="079C3E95"/>
    <w:rsid w:val="07A36A96"/>
    <w:rsid w:val="07B14AA4"/>
    <w:rsid w:val="07C66F31"/>
    <w:rsid w:val="07E75BAE"/>
    <w:rsid w:val="07EC6DCD"/>
    <w:rsid w:val="07F372F2"/>
    <w:rsid w:val="07F95346"/>
    <w:rsid w:val="081C6F58"/>
    <w:rsid w:val="082500FC"/>
    <w:rsid w:val="08791798"/>
    <w:rsid w:val="087921F6"/>
    <w:rsid w:val="087B1D08"/>
    <w:rsid w:val="087B41C0"/>
    <w:rsid w:val="08A113FE"/>
    <w:rsid w:val="08B66FA6"/>
    <w:rsid w:val="08C944BC"/>
    <w:rsid w:val="08D858C5"/>
    <w:rsid w:val="08D97FF4"/>
    <w:rsid w:val="08DD6EF9"/>
    <w:rsid w:val="08E12F9E"/>
    <w:rsid w:val="08E71D63"/>
    <w:rsid w:val="08EC29C7"/>
    <w:rsid w:val="08FA1588"/>
    <w:rsid w:val="090A20FB"/>
    <w:rsid w:val="09245B2D"/>
    <w:rsid w:val="0948358F"/>
    <w:rsid w:val="09541C27"/>
    <w:rsid w:val="096A3E13"/>
    <w:rsid w:val="098140A4"/>
    <w:rsid w:val="098C68A3"/>
    <w:rsid w:val="09B65C34"/>
    <w:rsid w:val="09BE6112"/>
    <w:rsid w:val="09C2345C"/>
    <w:rsid w:val="09DE233C"/>
    <w:rsid w:val="09DE67B4"/>
    <w:rsid w:val="09EF276F"/>
    <w:rsid w:val="09FA38EC"/>
    <w:rsid w:val="09FC4E8C"/>
    <w:rsid w:val="0A1242C0"/>
    <w:rsid w:val="0A314B36"/>
    <w:rsid w:val="0A341367"/>
    <w:rsid w:val="0A3D7005"/>
    <w:rsid w:val="0A553DED"/>
    <w:rsid w:val="0A717628"/>
    <w:rsid w:val="0A9A3D5E"/>
    <w:rsid w:val="0A9B0C4C"/>
    <w:rsid w:val="0ABA5FBC"/>
    <w:rsid w:val="0ABD286D"/>
    <w:rsid w:val="0ADD06EB"/>
    <w:rsid w:val="0ADF27E4"/>
    <w:rsid w:val="0AED6753"/>
    <w:rsid w:val="0B0815FA"/>
    <w:rsid w:val="0B092976"/>
    <w:rsid w:val="0B1A3E8D"/>
    <w:rsid w:val="0B1B07ED"/>
    <w:rsid w:val="0B3A1CE6"/>
    <w:rsid w:val="0B404839"/>
    <w:rsid w:val="0B470389"/>
    <w:rsid w:val="0B6A0A38"/>
    <w:rsid w:val="0B6F2BF3"/>
    <w:rsid w:val="0B785BD2"/>
    <w:rsid w:val="0BAE17DA"/>
    <w:rsid w:val="0BC929F4"/>
    <w:rsid w:val="0BE87CEE"/>
    <w:rsid w:val="0BF6462C"/>
    <w:rsid w:val="0C116F30"/>
    <w:rsid w:val="0C360B29"/>
    <w:rsid w:val="0C52005B"/>
    <w:rsid w:val="0C5C337B"/>
    <w:rsid w:val="0C6A1755"/>
    <w:rsid w:val="0C7620CF"/>
    <w:rsid w:val="0C831895"/>
    <w:rsid w:val="0C8A2C23"/>
    <w:rsid w:val="0CB832EC"/>
    <w:rsid w:val="0CCA0420"/>
    <w:rsid w:val="0CE50733"/>
    <w:rsid w:val="0D243C48"/>
    <w:rsid w:val="0D411534"/>
    <w:rsid w:val="0D63265E"/>
    <w:rsid w:val="0D634C1F"/>
    <w:rsid w:val="0D757524"/>
    <w:rsid w:val="0D8B4C55"/>
    <w:rsid w:val="0D9C676A"/>
    <w:rsid w:val="0DAF2E5A"/>
    <w:rsid w:val="0DB22725"/>
    <w:rsid w:val="0DC21759"/>
    <w:rsid w:val="0DD16876"/>
    <w:rsid w:val="0DD43FF0"/>
    <w:rsid w:val="0DE76366"/>
    <w:rsid w:val="0E005EC4"/>
    <w:rsid w:val="0E0632CF"/>
    <w:rsid w:val="0E124213"/>
    <w:rsid w:val="0E1C0117"/>
    <w:rsid w:val="0E1D7F43"/>
    <w:rsid w:val="0E2A4679"/>
    <w:rsid w:val="0E4F46B1"/>
    <w:rsid w:val="0E5D5AD1"/>
    <w:rsid w:val="0E6354DA"/>
    <w:rsid w:val="0E6F4178"/>
    <w:rsid w:val="0E990919"/>
    <w:rsid w:val="0EA16002"/>
    <w:rsid w:val="0ECC7523"/>
    <w:rsid w:val="0EDE16DA"/>
    <w:rsid w:val="0EE859DF"/>
    <w:rsid w:val="0EF25B95"/>
    <w:rsid w:val="0F432AF7"/>
    <w:rsid w:val="0F462044"/>
    <w:rsid w:val="0F501F02"/>
    <w:rsid w:val="0F6E1256"/>
    <w:rsid w:val="0FA83AEC"/>
    <w:rsid w:val="0FB40147"/>
    <w:rsid w:val="0FB75ADD"/>
    <w:rsid w:val="0FCB41D9"/>
    <w:rsid w:val="0FE268D2"/>
    <w:rsid w:val="0FF50230"/>
    <w:rsid w:val="101051ED"/>
    <w:rsid w:val="101125F2"/>
    <w:rsid w:val="102D1FDA"/>
    <w:rsid w:val="10352EA6"/>
    <w:rsid w:val="10392996"/>
    <w:rsid w:val="10615A49"/>
    <w:rsid w:val="10702F80"/>
    <w:rsid w:val="10757746"/>
    <w:rsid w:val="107C3B75"/>
    <w:rsid w:val="10A342B4"/>
    <w:rsid w:val="10AD26B2"/>
    <w:rsid w:val="10B328E8"/>
    <w:rsid w:val="10B70117"/>
    <w:rsid w:val="10C3137D"/>
    <w:rsid w:val="10F34432"/>
    <w:rsid w:val="10F52B46"/>
    <w:rsid w:val="110B59E2"/>
    <w:rsid w:val="112F2761"/>
    <w:rsid w:val="114F7F97"/>
    <w:rsid w:val="115A59FC"/>
    <w:rsid w:val="118D576A"/>
    <w:rsid w:val="11901CCB"/>
    <w:rsid w:val="11916704"/>
    <w:rsid w:val="11982E60"/>
    <w:rsid w:val="11AE2F10"/>
    <w:rsid w:val="11E31E30"/>
    <w:rsid w:val="11FF19BD"/>
    <w:rsid w:val="120B2110"/>
    <w:rsid w:val="124302B5"/>
    <w:rsid w:val="124F1A0A"/>
    <w:rsid w:val="12545BAE"/>
    <w:rsid w:val="12617F82"/>
    <w:rsid w:val="126B1E26"/>
    <w:rsid w:val="126C5581"/>
    <w:rsid w:val="127408E4"/>
    <w:rsid w:val="12743C1C"/>
    <w:rsid w:val="127C12B5"/>
    <w:rsid w:val="1299596E"/>
    <w:rsid w:val="129A630F"/>
    <w:rsid w:val="129C0FBA"/>
    <w:rsid w:val="129D7C9E"/>
    <w:rsid w:val="12A20185"/>
    <w:rsid w:val="12A85BB1"/>
    <w:rsid w:val="12D544CC"/>
    <w:rsid w:val="12E130BD"/>
    <w:rsid w:val="12E14D1C"/>
    <w:rsid w:val="12FE3A23"/>
    <w:rsid w:val="131107A6"/>
    <w:rsid w:val="131C1BCB"/>
    <w:rsid w:val="1340403C"/>
    <w:rsid w:val="13594190"/>
    <w:rsid w:val="135B70FC"/>
    <w:rsid w:val="136A3EE9"/>
    <w:rsid w:val="137D2B9A"/>
    <w:rsid w:val="137F41EC"/>
    <w:rsid w:val="139C1B62"/>
    <w:rsid w:val="13BE537E"/>
    <w:rsid w:val="13CF1D2C"/>
    <w:rsid w:val="13D428C4"/>
    <w:rsid w:val="13D44784"/>
    <w:rsid w:val="13D84BEA"/>
    <w:rsid w:val="13DB6468"/>
    <w:rsid w:val="140C2785"/>
    <w:rsid w:val="142B6A9A"/>
    <w:rsid w:val="14340BE8"/>
    <w:rsid w:val="14706BA3"/>
    <w:rsid w:val="14934E0A"/>
    <w:rsid w:val="149C34F4"/>
    <w:rsid w:val="14E3723D"/>
    <w:rsid w:val="14FF6183"/>
    <w:rsid w:val="150A4901"/>
    <w:rsid w:val="15217613"/>
    <w:rsid w:val="153076C5"/>
    <w:rsid w:val="15310F01"/>
    <w:rsid w:val="153E337E"/>
    <w:rsid w:val="15A31AB0"/>
    <w:rsid w:val="15B53F3E"/>
    <w:rsid w:val="15C61FB8"/>
    <w:rsid w:val="16057EB2"/>
    <w:rsid w:val="16461969"/>
    <w:rsid w:val="164F2AE1"/>
    <w:rsid w:val="1657501D"/>
    <w:rsid w:val="16623A9A"/>
    <w:rsid w:val="167A7865"/>
    <w:rsid w:val="16811B6C"/>
    <w:rsid w:val="168A049F"/>
    <w:rsid w:val="16940BAF"/>
    <w:rsid w:val="16992086"/>
    <w:rsid w:val="16C5279C"/>
    <w:rsid w:val="16C94348"/>
    <w:rsid w:val="16D231FD"/>
    <w:rsid w:val="16F2389F"/>
    <w:rsid w:val="1700410A"/>
    <w:rsid w:val="17096B36"/>
    <w:rsid w:val="171E49CA"/>
    <w:rsid w:val="17210EA8"/>
    <w:rsid w:val="17343EB7"/>
    <w:rsid w:val="1737017E"/>
    <w:rsid w:val="174B6C8A"/>
    <w:rsid w:val="17795761"/>
    <w:rsid w:val="178736C4"/>
    <w:rsid w:val="17AC3DF0"/>
    <w:rsid w:val="17B80619"/>
    <w:rsid w:val="17BD3615"/>
    <w:rsid w:val="17BF5E77"/>
    <w:rsid w:val="17C71FE4"/>
    <w:rsid w:val="17E214B3"/>
    <w:rsid w:val="17F432CD"/>
    <w:rsid w:val="1804388A"/>
    <w:rsid w:val="184150D6"/>
    <w:rsid w:val="184821F8"/>
    <w:rsid w:val="188D46EA"/>
    <w:rsid w:val="189015C1"/>
    <w:rsid w:val="18917717"/>
    <w:rsid w:val="18A2602C"/>
    <w:rsid w:val="18A44487"/>
    <w:rsid w:val="18A81DA2"/>
    <w:rsid w:val="18B8128F"/>
    <w:rsid w:val="18BD1C8B"/>
    <w:rsid w:val="18F12673"/>
    <w:rsid w:val="18FA0730"/>
    <w:rsid w:val="190E51D6"/>
    <w:rsid w:val="191E4C96"/>
    <w:rsid w:val="192E34A3"/>
    <w:rsid w:val="193E2DCB"/>
    <w:rsid w:val="194932C7"/>
    <w:rsid w:val="19527869"/>
    <w:rsid w:val="195412B5"/>
    <w:rsid w:val="197F30A5"/>
    <w:rsid w:val="19841D44"/>
    <w:rsid w:val="19A92786"/>
    <w:rsid w:val="19B91255"/>
    <w:rsid w:val="19B968B4"/>
    <w:rsid w:val="19F824A9"/>
    <w:rsid w:val="19FF42C0"/>
    <w:rsid w:val="1A457D82"/>
    <w:rsid w:val="1A5C5FE4"/>
    <w:rsid w:val="1A7E530B"/>
    <w:rsid w:val="1A99651C"/>
    <w:rsid w:val="1AB0041E"/>
    <w:rsid w:val="1AB863F0"/>
    <w:rsid w:val="1ABA0AB0"/>
    <w:rsid w:val="1AC8286A"/>
    <w:rsid w:val="1AED1401"/>
    <w:rsid w:val="1B155424"/>
    <w:rsid w:val="1B240BFE"/>
    <w:rsid w:val="1B2D3907"/>
    <w:rsid w:val="1B3C77DE"/>
    <w:rsid w:val="1B465D19"/>
    <w:rsid w:val="1B682381"/>
    <w:rsid w:val="1B756CE5"/>
    <w:rsid w:val="1B7C7BDB"/>
    <w:rsid w:val="1B9356F5"/>
    <w:rsid w:val="1BA403D6"/>
    <w:rsid w:val="1BAA47B3"/>
    <w:rsid w:val="1BFE2D3F"/>
    <w:rsid w:val="1C265C92"/>
    <w:rsid w:val="1C333D37"/>
    <w:rsid w:val="1C45364B"/>
    <w:rsid w:val="1C525891"/>
    <w:rsid w:val="1C5727E7"/>
    <w:rsid w:val="1C61385D"/>
    <w:rsid w:val="1C621078"/>
    <w:rsid w:val="1C634003"/>
    <w:rsid w:val="1C811CD0"/>
    <w:rsid w:val="1C906729"/>
    <w:rsid w:val="1CAC45EB"/>
    <w:rsid w:val="1CBE5B40"/>
    <w:rsid w:val="1CE356A9"/>
    <w:rsid w:val="1CEB3176"/>
    <w:rsid w:val="1D0E5CCA"/>
    <w:rsid w:val="1D282323"/>
    <w:rsid w:val="1D285894"/>
    <w:rsid w:val="1D5B3A1B"/>
    <w:rsid w:val="1D5C4168"/>
    <w:rsid w:val="1D5C7CC4"/>
    <w:rsid w:val="1D691375"/>
    <w:rsid w:val="1D6A02B9"/>
    <w:rsid w:val="1D885188"/>
    <w:rsid w:val="1DB06B8C"/>
    <w:rsid w:val="1DCF0CC9"/>
    <w:rsid w:val="1DD8579E"/>
    <w:rsid w:val="1E012EC6"/>
    <w:rsid w:val="1E0135DF"/>
    <w:rsid w:val="1E05729A"/>
    <w:rsid w:val="1E233E4A"/>
    <w:rsid w:val="1E4B5802"/>
    <w:rsid w:val="1E4E036C"/>
    <w:rsid w:val="1E8D7AD7"/>
    <w:rsid w:val="1EC320E5"/>
    <w:rsid w:val="1EF70EBC"/>
    <w:rsid w:val="1EF73293"/>
    <w:rsid w:val="1F1C5231"/>
    <w:rsid w:val="1F262338"/>
    <w:rsid w:val="1F274F5A"/>
    <w:rsid w:val="1F33496C"/>
    <w:rsid w:val="1F3B7C82"/>
    <w:rsid w:val="1F4C3872"/>
    <w:rsid w:val="1F5840FF"/>
    <w:rsid w:val="1F595B6B"/>
    <w:rsid w:val="1F6A0F95"/>
    <w:rsid w:val="1F70545E"/>
    <w:rsid w:val="1F9319B3"/>
    <w:rsid w:val="1FBC2C9C"/>
    <w:rsid w:val="1FC955EE"/>
    <w:rsid w:val="1FFF7A95"/>
    <w:rsid w:val="2000527E"/>
    <w:rsid w:val="201F5249"/>
    <w:rsid w:val="202F7830"/>
    <w:rsid w:val="20322F5E"/>
    <w:rsid w:val="20357351"/>
    <w:rsid w:val="20522BB1"/>
    <w:rsid w:val="20541EC6"/>
    <w:rsid w:val="20735A50"/>
    <w:rsid w:val="20914ECC"/>
    <w:rsid w:val="209439DE"/>
    <w:rsid w:val="209634ED"/>
    <w:rsid w:val="20A35C0A"/>
    <w:rsid w:val="20B44D9E"/>
    <w:rsid w:val="20CA7045"/>
    <w:rsid w:val="20DD111C"/>
    <w:rsid w:val="20E24984"/>
    <w:rsid w:val="20FD38FB"/>
    <w:rsid w:val="2100650C"/>
    <w:rsid w:val="21061AE7"/>
    <w:rsid w:val="21096CEA"/>
    <w:rsid w:val="21161DC5"/>
    <w:rsid w:val="213D605E"/>
    <w:rsid w:val="214F36AD"/>
    <w:rsid w:val="215516B1"/>
    <w:rsid w:val="21685047"/>
    <w:rsid w:val="218F4F05"/>
    <w:rsid w:val="219B6840"/>
    <w:rsid w:val="21BB5357"/>
    <w:rsid w:val="2211244F"/>
    <w:rsid w:val="2214007A"/>
    <w:rsid w:val="22491A77"/>
    <w:rsid w:val="22576CAC"/>
    <w:rsid w:val="225E5953"/>
    <w:rsid w:val="226F6EF2"/>
    <w:rsid w:val="22833F45"/>
    <w:rsid w:val="229E0D7F"/>
    <w:rsid w:val="22A23DB7"/>
    <w:rsid w:val="22B41F9D"/>
    <w:rsid w:val="22B92924"/>
    <w:rsid w:val="22E569AE"/>
    <w:rsid w:val="23051D69"/>
    <w:rsid w:val="23D45BF3"/>
    <w:rsid w:val="23E73575"/>
    <w:rsid w:val="23F51185"/>
    <w:rsid w:val="241C1F5B"/>
    <w:rsid w:val="24234E13"/>
    <w:rsid w:val="24237398"/>
    <w:rsid w:val="245C7F95"/>
    <w:rsid w:val="24727D09"/>
    <w:rsid w:val="2476229D"/>
    <w:rsid w:val="2480698E"/>
    <w:rsid w:val="248900D1"/>
    <w:rsid w:val="249441E7"/>
    <w:rsid w:val="24B11981"/>
    <w:rsid w:val="24B9204A"/>
    <w:rsid w:val="24E65A75"/>
    <w:rsid w:val="24EC5DD1"/>
    <w:rsid w:val="24FA6EF4"/>
    <w:rsid w:val="250A1958"/>
    <w:rsid w:val="2522532D"/>
    <w:rsid w:val="25245F91"/>
    <w:rsid w:val="254A3258"/>
    <w:rsid w:val="254C6870"/>
    <w:rsid w:val="255F4A4B"/>
    <w:rsid w:val="25693799"/>
    <w:rsid w:val="25897AC4"/>
    <w:rsid w:val="25932ED8"/>
    <w:rsid w:val="259C77F7"/>
    <w:rsid w:val="25A4789E"/>
    <w:rsid w:val="25CA6A26"/>
    <w:rsid w:val="25E00E9A"/>
    <w:rsid w:val="25E410CE"/>
    <w:rsid w:val="25EB0814"/>
    <w:rsid w:val="25F7163A"/>
    <w:rsid w:val="25F936E8"/>
    <w:rsid w:val="26030BE4"/>
    <w:rsid w:val="261C3A96"/>
    <w:rsid w:val="263452C0"/>
    <w:rsid w:val="263A0DBE"/>
    <w:rsid w:val="26526315"/>
    <w:rsid w:val="2657508D"/>
    <w:rsid w:val="266613DF"/>
    <w:rsid w:val="268D3A24"/>
    <w:rsid w:val="26BC6432"/>
    <w:rsid w:val="26C12755"/>
    <w:rsid w:val="26D22DA5"/>
    <w:rsid w:val="26E34FB2"/>
    <w:rsid w:val="26F05EFD"/>
    <w:rsid w:val="27070CA1"/>
    <w:rsid w:val="2712724D"/>
    <w:rsid w:val="272649D3"/>
    <w:rsid w:val="273F5723"/>
    <w:rsid w:val="2749171A"/>
    <w:rsid w:val="27800A53"/>
    <w:rsid w:val="2790675F"/>
    <w:rsid w:val="27C4303F"/>
    <w:rsid w:val="27C50F08"/>
    <w:rsid w:val="27C653AD"/>
    <w:rsid w:val="27CB6172"/>
    <w:rsid w:val="27DD6DBE"/>
    <w:rsid w:val="27EE4C80"/>
    <w:rsid w:val="27F3132F"/>
    <w:rsid w:val="27FF370D"/>
    <w:rsid w:val="28033B5E"/>
    <w:rsid w:val="28135FC7"/>
    <w:rsid w:val="281771FE"/>
    <w:rsid w:val="284375D8"/>
    <w:rsid w:val="284F609A"/>
    <w:rsid w:val="28590F0E"/>
    <w:rsid w:val="287557F7"/>
    <w:rsid w:val="287E0FC1"/>
    <w:rsid w:val="288655D8"/>
    <w:rsid w:val="28B20DCC"/>
    <w:rsid w:val="28B430AA"/>
    <w:rsid w:val="28E37C83"/>
    <w:rsid w:val="29080D00"/>
    <w:rsid w:val="2920604A"/>
    <w:rsid w:val="292204E8"/>
    <w:rsid w:val="2928485E"/>
    <w:rsid w:val="29306DBA"/>
    <w:rsid w:val="2933074C"/>
    <w:rsid w:val="29581C87"/>
    <w:rsid w:val="297C411E"/>
    <w:rsid w:val="29947266"/>
    <w:rsid w:val="29CA1E3B"/>
    <w:rsid w:val="29E259F5"/>
    <w:rsid w:val="29F86458"/>
    <w:rsid w:val="2A084163"/>
    <w:rsid w:val="2A2543E7"/>
    <w:rsid w:val="2A4E7CF6"/>
    <w:rsid w:val="2A754B36"/>
    <w:rsid w:val="2A9A62D0"/>
    <w:rsid w:val="2AA646BC"/>
    <w:rsid w:val="2B3B716B"/>
    <w:rsid w:val="2B623E4B"/>
    <w:rsid w:val="2B732ECE"/>
    <w:rsid w:val="2B7373F0"/>
    <w:rsid w:val="2BA6719E"/>
    <w:rsid w:val="2BC32223"/>
    <w:rsid w:val="2BC4147F"/>
    <w:rsid w:val="2BC5737C"/>
    <w:rsid w:val="2BD76178"/>
    <w:rsid w:val="2BE945FC"/>
    <w:rsid w:val="2BEF0A25"/>
    <w:rsid w:val="2C533439"/>
    <w:rsid w:val="2C604929"/>
    <w:rsid w:val="2C63688F"/>
    <w:rsid w:val="2C6B26AC"/>
    <w:rsid w:val="2C9C1F16"/>
    <w:rsid w:val="2CA91138"/>
    <w:rsid w:val="2CB45C8D"/>
    <w:rsid w:val="2CC612C5"/>
    <w:rsid w:val="2CC8569B"/>
    <w:rsid w:val="2CE33F5E"/>
    <w:rsid w:val="2CEB2E12"/>
    <w:rsid w:val="2CF63C91"/>
    <w:rsid w:val="2D002A2C"/>
    <w:rsid w:val="2D0521A9"/>
    <w:rsid w:val="2D236108"/>
    <w:rsid w:val="2D2A0FAE"/>
    <w:rsid w:val="2D2F2CFF"/>
    <w:rsid w:val="2D665813"/>
    <w:rsid w:val="2D766B80"/>
    <w:rsid w:val="2D7C3E5B"/>
    <w:rsid w:val="2D7E127D"/>
    <w:rsid w:val="2D855015"/>
    <w:rsid w:val="2D88240F"/>
    <w:rsid w:val="2DF116F5"/>
    <w:rsid w:val="2E06749A"/>
    <w:rsid w:val="2E3F6F72"/>
    <w:rsid w:val="2E6E7857"/>
    <w:rsid w:val="2E7E5611"/>
    <w:rsid w:val="2E8C3E95"/>
    <w:rsid w:val="2EC62798"/>
    <w:rsid w:val="2EE1627B"/>
    <w:rsid w:val="2EEE77F3"/>
    <w:rsid w:val="2EFB5F06"/>
    <w:rsid w:val="2F045B51"/>
    <w:rsid w:val="2F05374A"/>
    <w:rsid w:val="2F354433"/>
    <w:rsid w:val="2F581930"/>
    <w:rsid w:val="2F5E78CC"/>
    <w:rsid w:val="2F63356A"/>
    <w:rsid w:val="2F6E45FD"/>
    <w:rsid w:val="2F785794"/>
    <w:rsid w:val="2F8824AD"/>
    <w:rsid w:val="2F9D7AE1"/>
    <w:rsid w:val="2FAA2B11"/>
    <w:rsid w:val="2FB53C5B"/>
    <w:rsid w:val="2FC87704"/>
    <w:rsid w:val="2FD4296E"/>
    <w:rsid w:val="2FDA1F54"/>
    <w:rsid w:val="2FDC1300"/>
    <w:rsid w:val="2FE77813"/>
    <w:rsid w:val="2FF47B01"/>
    <w:rsid w:val="2FFF1822"/>
    <w:rsid w:val="30376E05"/>
    <w:rsid w:val="306639C0"/>
    <w:rsid w:val="306A7555"/>
    <w:rsid w:val="308E1ADB"/>
    <w:rsid w:val="30955A8B"/>
    <w:rsid w:val="30B30637"/>
    <w:rsid w:val="30C145B6"/>
    <w:rsid w:val="30DC4F4C"/>
    <w:rsid w:val="30E20088"/>
    <w:rsid w:val="312E7A34"/>
    <w:rsid w:val="312F7772"/>
    <w:rsid w:val="313C4FF8"/>
    <w:rsid w:val="313D4AF3"/>
    <w:rsid w:val="3165176C"/>
    <w:rsid w:val="31745ACE"/>
    <w:rsid w:val="31750EFD"/>
    <w:rsid w:val="317D78BE"/>
    <w:rsid w:val="31AD5DB1"/>
    <w:rsid w:val="31AF8FC4"/>
    <w:rsid w:val="31B929A1"/>
    <w:rsid w:val="31DC1E75"/>
    <w:rsid w:val="31EF0CAF"/>
    <w:rsid w:val="32436761"/>
    <w:rsid w:val="327411B4"/>
    <w:rsid w:val="32786D65"/>
    <w:rsid w:val="327B69E7"/>
    <w:rsid w:val="327D0070"/>
    <w:rsid w:val="328B4273"/>
    <w:rsid w:val="328C67A7"/>
    <w:rsid w:val="328E671A"/>
    <w:rsid w:val="32AF4F03"/>
    <w:rsid w:val="32D12C6A"/>
    <w:rsid w:val="32D229B4"/>
    <w:rsid w:val="32D90296"/>
    <w:rsid w:val="32DB6DF5"/>
    <w:rsid w:val="32F742BF"/>
    <w:rsid w:val="330D7DE8"/>
    <w:rsid w:val="3328091C"/>
    <w:rsid w:val="333B526F"/>
    <w:rsid w:val="33596D28"/>
    <w:rsid w:val="335A65FC"/>
    <w:rsid w:val="336478E3"/>
    <w:rsid w:val="336F2AB5"/>
    <w:rsid w:val="33704AE7"/>
    <w:rsid w:val="337C2A16"/>
    <w:rsid w:val="339D05D5"/>
    <w:rsid w:val="33B70ED4"/>
    <w:rsid w:val="33C06DA7"/>
    <w:rsid w:val="33D25C33"/>
    <w:rsid w:val="33D7548A"/>
    <w:rsid w:val="33E51425"/>
    <w:rsid w:val="33EC742B"/>
    <w:rsid w:val="3438483D"/>
    <w:rsid w:val="345E3ECA"/>
    <w:rsid w:val="347E631A"/>
    <w:rsid w:val="347F6FC8"/>
    <w:rsid w:val="34853589"/>
    <w:rsid w:val="348543AA"/>
    <w:rsid w:val="3487066E"/>
    <w:rsid w:val="34EF596A"/>
    <w:rsid w:val="3510025F"/>
    <w:rsid w:val="351C0A93"/>
    <w:rsid w:val="352E7E11"/>
    <w:rsid w:val="35394A00"/>
    <w:rsid w:val="353F23D8"/>
    <w:rsid w:val="35470E02"/>
    <w:rsid w:val="35587BBB"/>
    <w:rsid w:val="3564546E"/>
    <w:rsid w:val="35A1483D"/>
    <w:rsid w:val="35A4463B"/>
    <w:rsid w:val="35B75F88"/>
    <w:rsid w:val="35CB5F7A"/>
    <w:rsid w:val="35CD4C21"/>
    <w:rsid w:val="35D46778"/>
    <w:rsid w:val="35DF4FC8"/>
    <w:rsid w:val="35E2081F"/>
    <w:rsid w:val="35E64B3E"/>
    <w:rsid w:val="35E908D5"/>
    <w:rsid w:val="35EB0AA2"/>
    <w:rsid w:val="35F27F3F"/>
    <w:rsid w:val="35F4625F"/>
    <w:rsid w:val="35F5260C"/>
    <w:rsid w:val="360867E3"/>
    <w:rsid w:val="36260A17"/>
    <w:rsid w:val="36362840"/>
    <w:rsid w:val="36374761"/>
    <w:rsid w:val="363974F5"/>
    <w:rsid w:val="364B0FC7"/>
    <w:rsid w:val="364D2448"/>
    <w:rsid w:val="364F295F"/>
    <w:rsid w:val="365D228E"/>
    <w:rsid w:val="3678368B"/>
    <w:rsid w:val="368F307D"/>
    <w:rsid w:val="36C22E36"/>
    <w:rsid w:val="36DA7901"/>
    <w:rsid w:val="36E37CAA"/>
    <w:rsid w:val="371200CE"/>
    <w:rsid w:val="371328BA"/>
    <w:rsid w:val="371E4473"/>
    <w:rsid w:val="373B3762"/>
    <w:rsid w:val="373E7A32"/>
    <w:rsid w:val="374B2E2B"/>
    <w:rsid w:val="376120B5"/>
    <w:rsid w:val="378473D5"/>
    <w:rsid w:val="37933FE8"/>
    <w:rsid w:val="37A662B4"/>
    <w:rsid w:val="37C40CCB"/>
    <w:rsid w:val="37CB7AC8"/>
    <w:rsid w:val="37CF5979"/>
    <w:rsid w:val="37E44F1B"/>
    <w:rsid w:val="381C0324"/>
    <w:rsid w:val="383010BE"/>
    <w:rsid w:val="383C28F5"/>
    <w:rsid w:val="38533B32"/>
    <w:rsid w:val="385E4125"/>
    <w:rsid w:val="389333A4"/>
    <w:rsid w:val="38A639DC"/>
    <w:rsid w:val="38B72192"/>
    <w:rsid w:val="38BB7B3D"/>
    <w:rsid w:val="38CA394E"/>
    <w:rsid w:val="390A0A90"/>
    <w:rsid w:val="390C498C"/>
    <w:rsid w:val="39105ADF"/>
    <w:rsid w:val="39130728"/>
    <w:rsid w:val="391C1D28"/>
    <w:rsid w:val="393048AB"/>
    <w:rsid w:val="3933219F"/>
    <w:rsid w:val="3947612C"/>
    <w:rsid w:val="39886074"/>
    <w:rsid w:val="399144C8"/>
    <w:rsid w:val="39A452D7"/>
    <w:rsid w:val="39B421E4"/>
    <w:rsid w:val="39CB6CB2"/>
    <w:rsid w:val="39ED0932"/>
    <w:rsid w:val="3A020619"/>
    <w:rsid w:val="3A1F71B2"/>
    <w:rsid w:val="3A292DA0"/>
    <w:rsid w:val="3A2D2830"/>
    <w:rsid w:val="3A452DD8"/>
    <w:rsid w:val="3A4577E7"/>
    <w:rsid w:val="3A4B3142"/>
    <w:rsid w:val="3A63048C"/>
    <w:rsid w:val="3A697741"/>
    <w:rsid w:val="3A944AE9"/>
    <w:rsid w:val="3A96547D"/>
    <w:rsid w:val="3A9C0648"/>
    <w:rsid w:val="3AA834A2"/>
    <w:rsid w:val="3AB701AE"/>
    <w:rsid w:val="3AC729BB"/>
    <w:rsid w:val="3ACC6CD8"/>
    <w:rsid w:val="3AD3318D"/>
    <w:rsid w:val="3AE04FC9"/>
    <w:rsid w:val="3AE35129"/>
    <w:rsid w:val="3AED005D"/>
    <w:rsid w:val="3B0D4023"/>
    <w:rsid w:val="3B217C89"/>
    <w:rsid w:val="3B37435C"/>
    <w:rsid w:val="3B3E796D"/>
    <w:rsid w:val="3B3F19D1"/>
    <w:rsid w:val="3B3F22C6"/>
    <w:rsid w:val="3B434AA0"/>
    <w:rsid w:val="3B4E6A46"/>
    <w:rsid w:val="3B64735D"/>
    <w:rsid w:val="3B691DFF"/>
    <w:rsid w:val="3B7B545B"/>
    <w:rsid w:val="3B7E3082"/>
    <w:rsid w:val="3B7E49B5"/>
    <w:rsid w:val="3B7F4030"/>
    <w:rsid w:val="3B853362"/>
    <w:rsid w:val="3B911029"/>
    <w:rsid w:val="3B997D5E"/>
    <w:rsid w:val="3BA630FE"/>
    <w:rsid w:val="3BAF7138"/>
    <w:rsid w:val="3BBD4D3D"/>
    <w:rsid w:val="3BF03FA1"/>
    <w:rsid w:val="3BFB14C0"/>
    <w:rsid w:val="3C176F35"/>
    <w:rsid w:val="3C1E0957"/>
    <w:rsid w:val="3C222A5F"/>
    <w:rsid w:val="3C320116"/>
    <w:rsid w:val="3C460065"/>
    <w:rsid w:val="3C503419"/>
    <w:rsid w:val="3C522566"/>
    <w:rsid w:val="3C5366EB"/>
    <w:rsid w:val="3C84369E"/>
    <w:rsid w:val="3C9A6493"/>
    <w:rsid w:val="3CA27BD1"/>
    <w:rsid w:val="3CA54D8C"/>
    <w:rsid w:val="3CB671E3"/>
    <w:rsid w:val="3CB925E5"/>
    <w:rsid w:val="3CBF7C06"/>
    <w:rsid w:val="3CC1258A"/>
    <w:rsid w:val="3CDC4526"/>
    <w:rsid w:val="3CE159C8"/>
    <w:rsid w:val="3CE8111C"/>
    <w:rsid w:val="3CF165CE"/>
    <w:rsid w:val="3CF703D8"/>
    <w:rsid w:val="3D0B5459"/>
    <w:rsid w:val="3D185F53"/>
    <w:rsid w:val="3D1E68EC"/>
    <w:rsid w:val="3D2A52E6"/>
    <w:rsid w:val="3D312E77"/>
    <w:rsid w:val="3D344362"/>
    <w:rsid w:val="3D873A3C"/>
    <w:rsid w:val="3D9A2417"/>
    <w:rsid w:val="3DA52B6A"/>
    <w:rsid w:val="3DAE3D36"/>
    <w:rsid w:val="3DB5362C"/>
    <w:rsid w:val="3DE6116E"/>
    <w:rsid w:val="3E323DAE"/>
    <w:rsid w:val="3E4660FB"/>
    <w:rsid w:val="3E4D3A37"/>
    <w:rsid w:val="3E5006D8"/>
    <w:rsid w:val="3E59377A"/>
    <w:rsid w:val="3E6952D0"/>
    <w:rsid w:val="3E701C5A"/>
    <w:rsid w:val="3E9404EF"/>
    <w:rsid w:val="3E9D2570"/>
    <w:rsid w:val="3EA421D5"/>
    <w:rsid w:val="3EA47FD5"/>
    <w:rsid w:val="3EBD4A7B"/>
    <w:rsid w:val="3EC040FF"/>
    <w:rsid w:val="3EC23F90"/>
    <w:rsid w:val="3ED422A9"/>
    <w:rsid w:val="3EFB73C4"/>
    <w:rsid w:val="3F1678EE"/>
    <w:rsid w:val="3F327FDB"/>
    <w:rsid w:val="3F397A3E"/>
    <w:rsid w:val="3F6E6344"/>
    <w:rsid w:val="3F7B1776"/>
    <w:rsid w:val="3F801255"/>
    <w:rsid w:val="3F937828"/>
    <w:rsid w:val="3F9B4224"/>
    <w:rsid w:val="3FDA0057"/>
    <w:rsid w:val="3FF971CD"/>
    <w:rsid w:val="401C35B7"/>
    <w:rsid w:val="401D5C5A"/>
    <w:rsid w:val="404F314F"/>
    <w:rsid w:val="40627EA0"/>
    <w:rsid w:val="40A0023C"/>
    <w:rsid w:val="40CD45C2"/>
    <w:rsid w:val="40D74D4E"/>
    <w:rsid w:val="40E340D5"/>
    <w:rsid w:val="41282227"/>
    <w:rsid w:val="415E19FF"/>
    <w:rsid w:val="418863B7"/>
    <w:rsid w:val="418A3BDA"/>
    <w:rsid w:val="41941AF7"/>
    <w:rsid w:val="41A2712F"/>
    <w:rsid w:val="41A55263"/>
    <w:rsid w:val="41C34535"/>
    <w:rsid w:val="41C704C5"/>
    <w:rsid w:val="41C96481"/>
    <w:rsid w:val="41F212BF"/>
    <w:rsid w:val="41F43D8A"/>
    <w:rsid w:val="41F917FC"/>
    <w:rsid w:val="420B38E3"/>
    <w:rsid w:val="42227D59"/>
    <w:rsid w:val="423B3A71"/>
    <w:rsid w:val="425527F2"/>
    <w:rsid w:val="427A45C5"/>
    <w:rsid w:val="42981012"/>
    <w:rsid w:val="42A2632D"/>
    <w:rsid w:val="42A44576"/>
    <w:rsid w:val="42B0499A"/>
    <w:rsid w:val="42DA32B5"/>
    <w:rsid w:val="42F245C7"/>
    <w:rsid w:val="42F75C15"/>
    <w:rsid w:val="42F86090"/>
    <w:rsid w:val="43056584"/>
    <w:rsid w:val="430F3C57"/>
    <w:rsid w:val="43457DA1"/>
    <w:rsid w:val="436D395A"/>
    <w:rsid w:val="437A7046"/>
    <w:rsid w:val="437F2CCD"/>
    <w:rsid w:val="43860137"/>
    <w:rsid w:val="43B32021"/>
    <w:rsid w:val="43BE25A5"/>
    <w:rsid w:val="43D01231"/>
    <w:rsid w:val="43D076AF"/>
    <w:rsid w:val="43D234C2"/>
    <w:rsid w:val="43E02B4D"/>
    <w:rsid w:val="43FC2E2A"/>
    <w:rsid w:val="44120E71"/>
    <w:rsid w:val="44150A49"/>
    <w:rsid w:val="44191BBB"/>
    <w:rsid w:val="441B1DD7"/>
    <w:rsid w:val="442C60E8"/>
    <w:rsid w:val="446942CE"/>
    <w:rsid w:val="44880C4A"/>
    <w:rsid w:val="448C6831"/>
    <w:rsid w:val="448E6105"/>
    <w:rsid w:val="44AE0556"/>
    <w:rsid w:val="44D42911"/>
    <w:rsid w:val="450D1680"/>
    <w:rsid w:val="45237196"/>
    <w:rsid w:val="453C621F"/>
    <w:rsid w:val="455A2497"/>
    <w:rsid w:val="457430DA"/>
    <w:rsid w:val="458E3082"/>
    <w:rsid w:val="45AF4585"/>
    <w:rsid w:val="461A46B9"/>
    <w:rsid w:val="463D7DE3"/>
    <w:rsid w:val="4659102E"/>
    <w:rsid w:val="467848DB"/>
    <w:rsid w:val="46817F04"/>
    <w:rsid w:val="468772B0"/>
    <w:rsid w:val="47051099"/>
    <w:rsid w:val="470F3C79"/>
    <w:rsid w:val="470F779C"/>
    <w:rsid w:val="47153338"/>
    <w:rsid w:val="477B2F78"/>
    <w:rsid w:val="47876D4D"/>
    <w:rsid w:val="47A520E4"/>
    <w:rsid w:val="47AF2F63"/>
    <w:rsid w:val="47C6635A"/>
    <w:rsid w:val="47C83F0B"/>
    <w:rsid w:val="47D872A8"/>
    <w:rsid w:val="47E3364E"/>
    <w:rsid w:val="47EF67FD"/>
    <w:rsid w:val="481C672D"/>
    <w:rsid w:val="482F5E51"/>
    <w:rsid w:val="48382A1A"/>
    <w:rsid w:val="483C3E86"/>
    <w:rsid w:val="486652A7"/>
    <w:rsid w:val="48902C91"/>
    <w:rsid w:val="4895577C"/>
    <w:rsid w:val="48AC047D"/>
    <w:rsid w:val="48B33EB3"/>
    <w:rsid w:val="48C04CFB"/>
    <w:rsid w:val="48C83BB4"/>
    <w:rsid w:val="48D52555"/>
    <w:rsid w:val="48DB15DE"/>
    <w:rsid w:val="48DB19C5"/>
    <w:rsid w:val="48E577AE"/>
    <w:rsid w:val="4950019D"/>
    <w:rsid w:val="4953791E"/>
    <w:rsid w:val="49940662"/>
    <w:rsid w:val="49951CE4"/>
    <w:rsid w:val="49AF0FF8"/>
    <w:rsid w:val="49E52C6C"/>
    <w:rsid w:val="4A0550BC"/>
    <w:rsid w:val="4A1A3B0F"/>
    <w:rsid w:val="4A4D4937"/>
    <w:rsid w:val="4A4E34DD"/>
    <w:rsid w:val="4A5137F1"/>
    <w:rsid w:val="4A6F1E15"/>
    <w:rsid w:val="4A757E64"/>
    <w:rsid w:val="4A823874"/>
    <w:rsid w:val="4A86206C"/>
    <w:rsid w:val="4A881878"/>
    <w:rsid w:val="4A8B20A0"/>
    <w:rsid w:val="4A9B157C"/>
    <w:rsid w:val="4A9D70A2"/>
    <w:rsid w:val="4AAD2B26"/>
    <w:rsid w:val="4ACA3C0F"/>
    <w:rsid w:val="4AD0630A"/>
    <w:rsid w:val="4AD53EDD"/>
    <w:rsid w:val="4AE110B0"/>
    <w:rsid w:val="4AFC0623"/>
    <w:rsid w:val="4B051C5F"/>
    <w:rsid w:val="4B1A2B87"/>
    <w:rsid w:val="4B244615"/>
    <w:rsid w:val="4B263FD8"/>
    <w:rsid w:val="4B322D5A"/>
    <w:rsid w:val="4B485DD4"/>
    <w:rsid w:val="4B7E6C22"/>
    <w:rsid w:val="4BA601D9"/>
    <w:rsid w:val="4BB32038"/>
    <w:rsid w:val="4BB8025A"/>
    <w:rsid w:val="4BE86A43"/>
    <w:rsid w:val="4BF631ED"/>
    <w:rsid w:val="4C1759FF"/>
    <w:rsid w:val="4C4B0D80"/>
    <w:rsid w:val="4C63431C"/>
    <w:rsid w:val="4C793B3F"/>
    <w:rsid w:val="4C7B2D4A"/>
    <w:rsid w:val="4C7B6F8A"/>
    <w:rsid w:val="4CA938A5"/>
    <w:rsid w:val="4CA96F8C"/>
    <w:rsid w:val="4CB86415"/>
    <w:rsid w:val="4D3A32CE"/>
    <w:rsid w:val="4D3D6536"/>
    <w:rsid w:val="4D454989"/>
    <w:rsid w:val="4D4E06C1"/>
    <w:rsid w:val="4D523CAE"/>
    <w:rsid w:val="4D5257F8"/>
    <w:rsid w:val="4D706CF0"/>
    <w:rsid w:val="4D7E2909"/>
    <w:rsid w:val="4D8D2146"/>
    <w:rsid w:val="4D902A25"/>
    <w:rsid w:val="4D98533A"/>
    <w:rsid w:val="4DC96400"/>
    <w:rsid w:val="4DD70B1D"/>
    <w:rsid w:val="4DDD2C71"/>
    <w:rsid w:val="4DE726BA"/>
    <w:rsid w:val="4DF45259"/>
    <w:rsid w:val="4E0666BE"/>
    <w:rsid w:val="4E3872EE"/>
    <w:rsid w:val="4E610B46"/>
    <w:rsid w:val="4E6D3230"/>
    <w:rsid w:val="4E7740AE"/>
    <w:rsid w:val="4EA408F5"/>
    <w:rsid w:val="4EC731AC"/>
    <w:rsid w:val="4ED6178C"/>
    <w:rsid w:val="4ED92673"/>
    <w:rsid w:val="4F0C3F61"/>
    <w:rsid w:val="4F2A0839"/>
    <w:rsid w:val="4F2D2D90"/>
    <w:rsid w:val="4F377115"/>
    <w:rsid w:val="4F571A08"/>
    <w:rsid w:val="4F5B752C"/>
    <w:rsid w:val="4F662A3F"/>
    <w:rsid w:val="4F6A5095"/>
    <w:rsid w:val="4F922963"/>
    <w:rsid w:val="4F942E56"/>
    <w:rsid w:val="4FB758F2"/>
    <w:rsid w:val="4FDD0724"/>
    <w:rsid w:val="4FEE7B91"/>
    <w:rsid w:val="500313EB"/>
    <w:rsid w:val="500C5B46"/>
    <w:rsid w:val="50546CF5"/>
    <w:rsid w:val="506828C8"/>
    <w:rsid w:val="506B379F"/>
    <w:rsid w:val="50727A8E"/>
    <w:rsid w:val="508A6805"/>
    <w:rsid w:val="509B7D12"/>
    <w:rsid w:val="50A6515E"/>
    <w:rsid w:val="50BA786B"/>
    <w:rsid w:val="50DD19BA"/>
    <w:rsid w:val="50E06453"/>
    <w:rsid w:val="50EC79B1"/>
    <w:rsid w:val="50EF617E"/>
    <w:rsid w:val="51364DD1"/>
    <w:rsid w:val="515D2C73"/>
    <w:rsid w:val="51791EEB"/>
    <w:rsid w:val="517D2473"/>
    <w:rsid w:val="5190030D"/>
    <w:rsid w:val="51A11700"/>
    <w:rsid w:val="51B318A1"/>
    <w:rsid w:val="51C770FB"/>
    <w:rsid w:val="51D6320C"/>
    <w:rsid w:val="51E468C5"/>
    <w:rsid w:val="51E55ACB"/>
    <w:rsid w:val="520C67D5"/>
    <w:rsid w:val="521A36CE"/>
    <w:rsid w:val="524F1A68"/>
    <w:rsid w:val="52666EC0"/>
    <w:rsid w:val="527E3C5D"/>
    <w:rsid w:val="529B480F"/>
    <w:rsid w:val="52B729E6"/>
    <w:rsid w:val="52C378C2"/>
    <w:rsid w:val="52CD45AB"/>
    <w:rsid w:val="52D40BE5"/>
    <w:rsid w:val="52F85DDD"/>
    <w:rsid w:val="5318164F"/>
    <w:rsid w:val="532E151B"/>
    <w:rsid w:val="53322765"/>
    <w:rsid w:val="533D204C"/>
    <w:rsid w:val="53530C46"/>
    <w:rsid w:val="5362012A"/>
    <w:rsid w:val="536F35A6"/>
    <w:rsid w:val="539F00CF"/>
    <w:rsid w:val="53A836B8"/>
    <w:rsid w:val="53AD1B99"/>
    <w:rsid w:val="53AD7A7E"/>
    <w:rsid w:val="53C5028D"/>
    <w:rsid w:val="53D552F9"/>
    <w:rsid w:val="53E67D0C"/>
    <w:rsid w:val="54105E10"/>
    <w:rsid w:val="54220010"/>
    <w:rsid w:val="54462AAE"/>
    <w:rsid w:val="546926EB"/>
    <w:rsid w:val="547E7F44"/>
    <w:rsid w:val="54AB4AB2"/>
    <w:rsid w:val="54AE08D9"/>
    <w:rsid w:val="54B167BB"/>
    <w:rsid w:val="54F44FD8"/>
    <w:rsid w:val="5505576D"/>
    <w:rsid w:val="551C62C9"/>
    <w:rsid w:val="55331DA1"/>
    <w:rsid w:val="553A5CEC"/>
    <w:rsid w:val="554329FC"/>
    <w:rsid w:val="556270B4"/>
    <w:rsid w:val="556D2524"/>
    <w:rsid w:val="556D7A73"/>
    <w:rsid w:val="557459D2"/>
    <w:rsid w:val="55847FD9"/>
    <w:rsid w:val="558834D0"/>
    <w:rsid w:val="558D0F48"/>
    <w:rsid w:val="55915A56"/>
    <w:rsid w:val="55AB6A08"/>
    <w:rsid w:val="55B17EA6"/>
    <w:rsid w:val="55C7591B"/>
    <w:rsid w:val="55D5620E"/>
    <w:rsid w:val="55E04755"/>
    <w:rsid w:val="55E31B55"/>
    <w:rsid w:val="560E354A"/>
    <w:rsid w:val="56111549"/>
    <w:rsid w:val="561E7F5E"/>
    <w:rsid w:val="563B0804"/>
    <w:rsid w:val="563D5BDD"/>
    <w:rsid w:val="56507B13"/>
    <w:rsid w:val="567B1C1A"/>
    <w:rsid w:val="56951D81"/>
    <w:rsid w:val="56962274"/>
    <w:rsid w:val="56DA2E2C"/>
    <w:rsid w:val="56F0784C"/>
    <w:rsid w:val="56F16923"/>
    <w:rsid w:val="56F83A6D"/>
    <w:rsid w:val="57127CB4"/>
    <w:rsid w:val="571E76EB"/>
    <w:rsid w:val="57264738"/>
    <w:rsid w:val="574D2660"/>
    <w:rsid w:val="575B3007"/>
    <w:rsid w:val="5775155A"/>
    <w:rsid w:val="577801EC"/>
    <w:rsid w:val="57867F62"/>
    <w:rsid w:val="57A557E8"/>
    <w:rsid w:val="57A75A04"/>
    <w:rsid w:val="57BA0BB2"/>
    <w:rsid w:val="57EC1A7A"/>
    <w:rsid w:val="57ED0A3C"/>
    <w:rsid w:val="58112409"/>
    <w:rsid w:val="58117210"/>
    <w:rsid w:val="58451DE3"/>
    <w:rsid w:val="588E6412"/>
    <w:rsid w:val="58985FF8"/>
    <w:rsid w:val="589F65E6"/>
    <w:rsid w:val="58AE691E"/>
    <w:rsid w:val="58DC348C"/>
    <w:rsid w:val="590D482E"/>
    <w:rsid w:val="590D5D3B"/>
    <w:rsid w:val="592F2358"/>
    <w:rsid w:val="59556142"/>
    <w:rsid w:val="596803E8"/>
    <w:rsid w:val="5975743C"/>
    <w:rsid w:val="59973856"/>
    <w:rsid w:val="59B018BC"/>
    <w:rsid w:val="59C06909"/>
    <w:rsid w:val="59C81C62"/>
    <w:rsid w:val="59CD2653"/>
    <w:rsid w:val="59F323E0"/>
    <w:rsid w:val="5A116AB2"/>
    <w:rsid w:val="5A42686F"/>
    <w:rsid w:val="5A4B1269"/>
    <w:rsid w:val="5A564FC1"/>
    <w:rsid w:val="5A623E64"/>
    <w:rsid w:val="5A6B2009"/>
    <w:rsid w:val="5A701E3E"/>
    <w:rsid w:val="5A7D2FC5"/>
    <w:rsid w:val="5AD36847"/>
    <w:rsid w:val="5B12188D"/>
    <w:rsid w:val="5B2829B8"/>
    <w:rsid w:val="5B2A6F8D"/>
    <w:rsid w:val="5B33722F"/>
    <w:rsid w:val="5B43241F"/>
    <w:rsid w:val="5B4E733D"/>
    <w:rsid w:val="5B9242D5"/>
    <w:rsid w:val="5B9D063F"/>
    <w:rsid w:val="5BC12B3F"/>
    <w:rsid w:val="5BE53848"/>
    <w:rsid w:val="5BED6F48"/>
    <w:rsid w:val="5C0450B8"/>
    <w:rsid w:val="5C046A5C"/>
    <w:rsid w:val="5C052729"/>
    <w:rsid w:val="5C0F5926"/>
    <w:rsid w:val="5C206FF9"/>
    <w:rsid w:val="5C4A2849"/>
    <w:rsid w:val="5C6B085B"/>
    <w:rsid w:val="5C841E70"/>
    <w:rsid w:val="5C9E57B1"/>
    <w:rsid w:val="5CD027FB"/>
    <w:rsid w:val="5CEF7A1E"/>
    <w:rsid w:val="5D124E10"/>
    <w:rsid w:val="5D38775F"/>
    <w:rsid w:val="5D4E51CB"/>
    <w:rsid w:val="5D5D0423"/>
    <w:rsid w:val="5D846A3C"/>
    <w:rsid w:val="5D8A4706"/>
    <w:rsid w:val="5D99118C"/>
    <w:rsid w:val="5DCE3486"/>
    <w:rsid w:val="5DE6523B"/>
    <w:rsid w:val="5DE92490"/>
    <w:rsid w:val="5DFA71D3"/>
    <w:rsid w:val="5DFD29BF"/>
    <w:rsid w:val="5E27164D"/>
    <w:rsid w:val="5E2B69BB"/>
    <w:rsid w:val="5E323B7B"/>
    <w:rsid w:val="5E396ADC"/>
    <w:rsid w:val="5E4C472D"/>
    <w:rsid w:val="5E4C5752"/>
    <w:rsid w:val="5E4D0988"/>
    <w:rsid w:val="5E652175"/>
    <w:rsid w:val="5E657ECB"/>
    <w:rsid w:val="5E7423B8"/>
    <w:rsid w:val="5E7F1328"/>
    <w:rsid w:val="5E863397"/>
    <w:rsid w:val="5E883208"/>
    <w:rsid w:val="5EA12317"/>
    <w:rsid w:val="5EB14D4B"/>
    <w:rsid w:val="5EB823C2"/>
    <w:rsid w:val="5EC42CAF"/>
    <w:rsid w:val="5EC77186"/>
    <w:rsid w:val="5EC926C7"/>
    <w:rsid w:val="5F1119B5"/>
    <w:rsid w:val="5F25422C"/>
    <w:rsid w:val="5F2931A3"/>
    <w:rsid w:val="5F2D4A41"/>
    <w:rsid w:val="5F334021"/>
    <w:rsid w:val="5F604DF4"/>
    <w:rsid w:val="5FE04C23"/>
    <w:rsid w:val="5FEC63EE"/>
    <w:rsid w:val="601F241E"/>
    <w:rsid w:val="603946FB"/>
    <w:rsid w:val="60567B55"/>
    <w:rsid w:val="60681AA9"/>
    <w:rsid w:val="606E6168"/>
    <w:rsid w:val="606F712A"/>
    <w:rsid w:val="608B6DA8"/>
    <w:rsid w:val="608D13D7"/>
    <w:rsid w:val="608F2E5A"/>
    <w:rsid w:val="60933C1B"/>
    <w:rsid w:val="609F196E"/>
    <w:rsid w:val="60C7091C"/>
    <w:rsid w:val="60D65EB9"/>
    <w:rsid w:val="60ED1EF7"/>
    <w:rsid w:val="60F11CA3"/>
    <w:rsid w:val="60FB4ACC"/>
    <w:rsid w:val="61251748"/>
    <w:rsid w:val="612647BB"/>
    <w:rsid w:val="614D2FD1"/>
    <w:rsid w:val="61603634"/>
    <w:rsid w:val="61630BEE"/>
    <w:rsid w:val="61664963"/>
    <w:rsid w:val="616A129B"/>
    <w:rsid w:val="61750921"/>
    <w:rsid w:val="61901233"/>
    <w:rsid w:val="61963016"/>
    <w:rsid w:val="619D7E0D"/>
    <w:rsid w:val="61B719C0"/>
    <w:rsid w:val="61C9162C"/>
    <w:rsid w:val="61C94589"/>
    <w:rsid w:val="61CB776C"/>
    <w:rsid w:val="61E4734A"/>
    <w:rsid w:val="62045801"/>
    <w:rsid w:val="62084699"/>
    <w:rsid w:val="620B7DAA"/>
    <w:rsid w:val="620D46B6"/>
    <w:rsid w:val="620E2F87"/>
    <w:rsid w:val="621724EE"/>
    <w:rsid w:val="626C5880"/>
    <w:rsid w:val="62A3326C"/>
    <w:rsid w:val="62B76740"/>
    <w:rsid w:val="62BE3C02"/>
    <w:rsid w:val="62C92CD3"/>
    <w:rsid w:val="62DC0988"/>
    <w:rsid w:val="631A396D"/>
    <w:rsid w:val="631E0515"/>
    <w:rsid w:val="63256FBD"/>
    <w:rsid w:val="634743E8"/>
    <w:rsid w:val="6351429C"/>
    <w:rsid w:val="63643A86"/>
    <w:rsid w:val="636A23F4"/>
    <w:rsid w:val="637727DD"/>
    <w:rsid w:val="63777B39"/>
    <w:rsid w:val="63790729"/>
    <w:rsid w:val="637A3FCD"/>
    <w:rsid w:val="63D27AE1"/>
    <w:rsid w:val="63D47B81"/>
    <w:rsid w:val="63D70354"/>
    <w:rsid w:val="63D75D6B"/>
    <w:rsid w:val="63DA6AFC"/>
    <w:rsid w:val="63DD455C"/>
    <w:rsid w:val="640A35A3"/>
    <w:rsid w:val="64273A63"/>
    <w:rsid w:val="64336CAA"/>
    <w:rsid w:val="6451010F"/>
    <w:rsid w:val="64910F10"/>
    <w:rsid w:val="649A61AE"/>
    <w:rsid w:val="64AE04B2"/>
    <w:rsid w:val="64AF414A"/>
    <w:rsid w:val="64C1638C"/>
    <w:rsid w:val="64C906B3"/>
    <w:rsid w:val="64CA1DDA"/>
    <w:rsid w:val="64D20092"/>
    <w:rsid w:val="64D92A92"/>
    <w:rsid w:val="64F92BBC"/>
    <w:rsid w:val="64FB5149"/>
    <w:rsid w:val="652F3EC7"/>
    <w:rsid w:val="65622F6B"/>
    <w:rsid w:val="657A02B4"/>
    <w:rsid w:val="65967D35"/>
    <w:rsid w:val="65B6666E"/>
    <w:rsid w:val="65D33E68"/>
    <w:rsid w:val="65DC4ACB"/>
    <w:rsid w:val="65DC6BD1"/>
    <w:rsid w:val="65E1359C"/>
    <w:rsid w:val="65E7441A"/>
    <w:rsid w:val="65F7082A"/>
    <w:rsid w:val="65FF3823"/>
    <w:rsid w:val="662A0896"/>
    <w:rsid w:val="66663562"/>
    <w:rsid w:val="666714C0"/>
    <w:rsid w:val="66744AA5"/>
    <w:rsid w:val="668C4743"/>
    <w:rsid w:val="66A01E20"/>
    <w:rsid w:val="66BD1D87"/>
    <w:rsid w:val="67112E9A"/>
    <w:rsid w:val="67177D85"/>
    <w:rsid w:val="6726458C"/>
    <w:rsid w:val="673962FA"/>
    <w:rsid w:val="673B3D13"/>
    <w:rsid w:val="673D0765"/>
    <w:rsid w:val="676236F6"/>
    <w:rsid w:val="67731BC3"/>
    <w:rsid w:val="679542C8"/>
    <w:rsid w:val="679F4F83"/>
    <w:rsid w:val="67B23953"/>
    <w:rsid w:val="67FB3A94"/>
    <w:rsid w:val="6808604B"/>
    <w:rsid w:val="6811654F"/>
    <w:rsid w:val="681542C4"/>
    <w:rsid w:val="6824093F"/>
    <w:rsid w:val="68246A1D"/>
    <w:rsid w:val="68270821"/>
    <w:rsid w:val="684042DB"/>
    <w:rsid w:val="68413108"/>
    <w:rsid w:val="686B6F42"/>
    <w:rsid w:val="686E3734"/>
    <w:rsid w:val="68770CB7"/>
    <w:rsid w:val="68792F69"/>
    <w:rsid w:val="68843A54"/>
    <w:rsid w:val="688A2A63"/>
    <w:rsid w:val="68A613C0"/>
    <w:rsid w:val="68AB3F38"/>
    <w:rsid w:val="68B56363"/>
    <w:rsid w:val="68EA010D"/>
    <w:rsid w:val="68EA07AB"/>
    <w:rsid w:val="68EB4CEB"/>
    <w:rsid w:val="68EB5AF0"/>
    <w:rsid w:val="68F36242"/>
    <w:rsid w:val="68F656F3"/>
    <w:rsid w:val="69131F05"/>
    <w:rsid w:val="692844CB"/>
    <w:rsid w:val="69466383"/>
    <w:rsid w:val="69495948"/>
    <w:rsid w:val="694C640B"/>
    <w:rsid w:val="69633AD8"/>
    <w:rsid w:val="69872FA0"/>
    <w:rsid w:val="698B36BB"/>
    <w:rsid w:val="698D0C2C"/>
    <w:rsid w:val="69916828"/>
    <w:rsid w:val="69A066A9"/>
    <w:rsid w:val="69C54DBD"/>
    <w:rsid w:val="69C56A18"/>
    <w:rsid w:val="6A065370"/>
    <w:rsid w:val="6A072BC1"/>
    <w:rsid w:val="6A3F7D1E"/>
    <w:rsid w:val="6A49522F"/>
    <w:rsid w:val="6A532F12"/>
    <w:rsid w:val="6A5F5901"/>
    <w:rsid w:val="6A815C41"/>
    <w:rsid w:val="6A887328"/>
    <w:rsid w:val="6AA70645"/>
    <w:rsid w:val="6AB764A6"/>
    <w:rsid w:val="6AC3180F"/>
    <w:rsid w:val="6AC350C9"/>
    <w:rsid w:val="6AC70E68"/>
    <w:rsid w:val="6ACB2C54"/>
    <w:rsid w:val="6AD212C2"/>
    <w:rsid w:val="6AE34B4E"/>
    <w:rsid w:val="6B0C096F"/>
    <w:rsid w:val="6B1016FD"/>
    <w:rsid w:val="6B1674B2"/>
    <w:rsid w:val="6B1D3BCB"/>
    <w:rsid w:val="6B234B42"/>
    <w:rsid w:val="6B6354B3"/>
    <w:rsid w:val="6B6712DB"/>
    <w:rsid w:val="6B713F84"/>
    <w:rsid w:val="6BA35411"/>
    <w:rsid w:val="6BD40B94"/>
    <w:rsid w:val="6BDA39C6"/>
    <w:rsid w:val="6BE75835"/>
    <w:rsid w:val="6BF344BE"/>
    <w:rsid w:val="6C1D7BEB"/>
    <w:rsid w:val="6C201B81"/>
    <w:rsid w:val="6C223454"/>
    <w:rsid w:val="6C2B055A"/>
    <w:rsid w:val="6C362D48"/>
    <w:rsid w:val="6C380305"/>
    <w:rsid w:val="6C3B22AF"/>
    <w:rsid w:val="6C3E5445"/>
    <w:rsid w:val="6C405B0D"/>
    <w:rsid w:val="6C5A1FF7"/>
    <w:rsid w:val="6C6139E5"/>
    <w:rsid w:val="6C6475C8"/>
    <w:rsid w:val="6C6D6F91"/>
    <w:rsid w:val="6C88625E"/>
    <w:rsid w:val="6C8B40D0"/>
    <w:rsid w:val="6CB8670C"/>
    <w:rsid w:val="6CBC5B9B"/>
    <w:rsid w:val="6CDA5ADC"/>
    <w:rsid w:val="6CF005A3"/>
    <w:rsid w:val="6D014981"/>
    <w:rsid w:val="6D056A4C"/>
    <w:rsid w:val="6D06746E"/>
    <w:rsid w:val="6D155F77"/>
    <w:rsid w:val="6D1C4347"/>
    <w:rsid w:val="6D230417"/>
    <w:rsid w:val="6D323B6A"/>
    <w:rsid w:val="6D3C0545"/>
    <w:rsid w:val="6D724881"/>
    <w:rsid w:val="6D767A1E"/>
    <w:rsid w:val="6DB14A8F"/>
    <w:rsid w:val="6E0D7A7D"/>
    <w:rsid w:val="6E3A4A84"/>
    <w:rsid w:val="6E4E6FA3"/>
    <w:rsid w:val="6E58511B"/>
    <w:rsid w:val="6E5A16F6"/>
    <w:rsid w:val="6E697118"/>
    <w:rsid w:val="6E6A26C1"/>
    <w:rsid w:val="6E7F06E9"/>
    <w:rsid w:val="6EA128F8"/>
    <w:rsid w:val="6EBE56B6"/>
    <w:rsid w:val="6ECE59E3"/>
    <w:rsid w:val="6EF64194"/>
    <w:rsid w:val="6F080338"/>
    <w:rsid w:val="6F144D83"/>
    <w:rsid w:val="6F272801"/>
    <w:rsid w:val="6F5629B9"/>
    <w:rsid w:val="6F5E7511"/>
    <w:rsid w:val="6FA30CF9"/>
    <w:rsid w:val="6FB27CEA"/>
    <w:rsid w:val="6FBB5014"/>
    <w:rsid w:val="6FDC1B6B"/>
    <w:rsid w:val="6FE15CBC"/>
    <w:rsid w:val="6FF45107"/>
    <w:rsid w:val="6FFD19C5"/>
    <w:rsid w:val="70251B03"/>
    <w:rsid w:val="703D085C"/>
    <w:rsid w:val="703E338B"/>
    <w:rsid w:val="70401E37"/>
    <w:rsid w:val="70496A63"/>
    <w:rsid w:val="70502844"/>
    <w:rsid w:val="70823148"/>
    <w:rsid w:val="708242DD"/>
    <w:rsid w:val="70AA7FD1"/>
    <w:rsid w:val="70BD7BEF"/>
    <w:rsid w:val="70C1148D"/>
    <w:rsid w:val="70CB112E"/>
    <w:rsid w:val="70CF1880"/>
    <w:rsid w:val="70D94AC3"/>
    <w:rsid w:val="70F058CE"/>
    <w:rsid w:val="70F33611"/>
    <w:rsid w:val="70F46ED7"/>
    <w:rsid w:val="70F84783"/>
    <w:rsid w:val="70FD261E"/>
    <w:rsid w:val="71002203"/>
    <w:rsid w:val="710B6746"/>
    <w:rsid w:val="712E4649"/>
    <w:rsid w:val="713734FD"/>
    <w:rsid w:val="71542C06"/>
    <w:rsid w:val="718E6B39"/>
    <w:rsid w:val="718F50E7"/>
    <w:rsid w:val="719321A3"/>
    <w:rsid w:val="71A05A32"/>
    <w:rsid w:val="71A1306D"/>
    <w:rsid w:val="71C07997"/>
    <w:rsid w:val="71EF24BB"/>
    <w:rsid w:val="71F108D3"/>
    <w:rsid w:val="71FC7B32"/>
    <w:rsid w:val="720F514E"/>
    <w:rsid w:val="72254227"/>
    <w:rsid w:val="722C6DDA"/>
    <w:rsid w:val="72451C4A"/>
    <w:rsid w:val="726218A5"/>
    <w:rsid w:val="72853095"/>
    <w:rsid w:val="72A34FCB"/>
    <w:rsid w:val="72D108E2"/>
    <w:rsid w:val="72D111A5"/>
    <w:rsid w:val="72D52F11"/>
    <w:rsid w:val="72DA194E"/>
    <w:rsid w:val="72E1796D"/>
    <w:rsid w:val="72F37AC4"/>
    <w:rsid w:val="72FF03B9"/>
    <w:rsid w:val="730613D9"/>
    <w:rsid w:val="73207BF9"/>
    <w:rsid w:val="73232648"/>
    <w:rsid w:val="7324744F"/>
    <w:rsid w:val="733D6846"/>
    <w:rsid w:val="733E57D1"/>
    <w:rsid w:val="73541F08"/>
    <w:rsid w:val="736907A1"/>
    <w:rsid w:val="736C175E"/>
    <w:rsid w:val="736E0137"/>
    <w:rsid w:val="73735A94"/>
    <w:rsid w:val="739E27B8"/>
    <w:rsid w:val="73A155A6"/>
    <w:rsid w:val="73AE6316"/>
    <w:rsid w:val="73C36C71"/>
    <w:rsid w:val="73C738C9"/>
    <w:rsid w:val="73EC541A"/>
    <w:rsid w:val="73EF6214"/>
    <w:rsid w:val="73F90F3E"/>
    <w:rsid w:val="73FE7F01"/>
    <w:rsid w:val="740B755E"/>
    <w:rsid w:val="74106863"/>
    <w:rsid w:val="741E2752"/>
    <w:rsid w:val="742C30C1"/>
    <w:rsid w:val="742E6CD1"/>
    <w:rsid w:val="743B50B2"/>
    <w:rsid w:val="744321B9"/>
    <w:rsid w:val="745A5E80"/>
    <w:rsid w:val="747147A6"/>
    <w:rsid w:val="748D7E04"/>
    <w:rsid w:val="749D7796"/>
    <w:rsid w:val="74B0081B"/>
    <w:rsid w:val="74DC1E43"/>
    <w:rsid w:val="74F84DA1"/>
    <w:rsid w:val="751714BA"/>
    <w:rsid w:val="75176881"/>
    <w:rsid w:val="757C3BD5"/>
    <w:rsid w:val="7591478C"/>
    <w:rsid w:val="759929D8"/>
    <w:rsid w:val="75B159C4"/>
    <w:rsid w:val="75B20134"/>
    <w:rsid w:val="75C2326C"/>
    <w:rsid w:val="75D92277"/>
    <w:rsid w:val="76054E3F"/>
    <w:rsid w:val="76337DDA"/>
    <w:rsid w:val="763D03DE"/>
    <w:rsid w:val="764A4782"/>
    <w:rsid w:val="764C17F9"/>
    <w:rsid w:val="765D3300"/>
    <w:rsid w:val="768D094A"/>
    <w:rsid w:val="76B93325"/>
    <w:rsid w:val="76C3652E"/>
    <w:rsid w:val="76C45304"/>
    <w:rsid w:val="76D4241C"/>
    <w:rsid w:val="76E41FD6"/>
    <w:rsid w:val="76F144E1"/>
    <w:rsid w:val="7745575F"/>
    <w:rsid w:val="774C293D"/>
    <w:rsid w:val="77543E64"/>
    <w:rsid w:val="77707613"/>
    <w:rsid w:val="77824CF2"/>
    <w:rsid w:val="779331A2"/>
    <w:rsid w:val="7798281C"/>
    <w:rsid w:val="779919FD"/>
    <w:rsid w:val="779D079B"/>
    <w:rsid w:val="779D37F4"/>
    <w:rsid w:val="77A94A29"/>
    <w:rsid w:val="77CD0717"/>
    <w:rsid w:val="77D86B3F"/>
    <w:rsid w:val="77E068D1"/>
    <w:rsid w:val="77F263D0"/>
    <w:rsid w:val="77F71B1A"/>
    <w:rsid w:val="77F9150C"/>
    <w:rsid w:val="78052734"/>
    <w:rsid w:val="781172A5"/>
    <w:rsid w:val="781741F4"/>
    <w:rsid w:val="78340355"/>
    <w:rsid w:val="7845344B"/>
    <w:rsid w:val="787123C6"/>
    <w:rsid w:val="78831703"/>
    <w:rsid w:val="789D641F"/>
    <w:rsid w:val="78A47DD7"/>
    <w:rsid w:val="78C37D6C"/>
    <w:rsid w:val="78EA5C27"/>
    <w:rsid w:val="7904460D"/>
    <w:rsid w:val="7917065B"/>
    <w:rsid w:val="791D2ACC"/>
    <w:rsid w:val="79292630"/>
    <w:rsid w:val="792F641A"/>
    <w:rsid w:val="793547C6"/>
    <w:rsid w:val="793839F8"/>
    <w:rsid w:val="793A0470"/>
    <w:rsid w:val="794E3ADA"/>
    <w:rsid w:val="794F0C6E"/>
    <w:rsid w:val="796B7C36"/>
    <w:rsid w:val="79823784"/>
    <w:rsid w:val="799E363A"/>
    <w:rsid w:val="79AB2CDA"/>
    <w:rsid w:val="79B7167F"/>
    <w:rsid w:val="79FD2E0A"/>
    <w:rsid w:val="7A053C48"/>
    <w:rsid w:val="7A0B3181"/>
    <w:rsid w:val="7A2D36EF"/>
    <w:rsid w:val="7A3915CB"/>
    <w:rsid w:val="7A4033C7"/>
    <w:rsid w:val="7A4E4531"/>
    <w:rsid w:val="7A721C65"/>
    <w:rsid w:val="7A734F79"/>
    <w:rsid w:val="7A8263C0"/>
    <w:rsid w:val="7A9A18F0"/>
    <w:rsid w:val="7A9E3F7B"/>
    <w:rsid w:val="7AA313FC"/>
    <w:rsid w:val="7AE31134"/>
    <w:rsid w:val="7B066942"/>
    <w:rsid w:val="7B10602F"/>
    <w:rsid w:val="7B1E33F3"/>
    <w:rsid w:val="7B2A4083"/>
    <w:rsid w:val="7B3960C4"/>
    <w:rsid w:val="7B486307"/>
    <w:rsid w:val="7B8560E6"/>
    <w:rsid w:val="7B980403"/>
    <w:rsid w:val="7BA5150E"/>
    <w:rsid w:val="7BAC63E8"/>
    <w:rsid w:val="7BD2617E"/>
    <w:rsid w:val="7BEB5709"/>
    <w:rsid w:val="7C013085"/>
    <w:rsid w:val="7C181AFA"/>
    <w:rsid w:val="7C1E2717"/>
    <w:rsid w:val="7C1E5277"/>
    <w:rsid w:val="7C273BD8"/>
    <w:rsid w:val="7C2A06F6"/>
    <w:rsid w:val="7C444468"/>
    <w:rsid w:val="7C4D548C"/>
    <w:rsid w:val="7C6C1CC8"/>
    <w:rsid w:val="7C764E2D"/>
    <w:rsid w:val="7C793A46"/>
    <w:rsid w:val="7C8C23E7"/>
    <w:rsid w:val="7C8E0A1C"/>
    <w:rsid w:val="7C911815"/>
    <w:rsid w:val="7C99105E"/>
    <w:rsid w:val="7CA77030"/>
    <w:rsid w:val="7CC46975"/>
    <w:rsid w:val="7CD24305"/>
    <w:rsid w:val="7CD4766C"/>
    <w:rsid w:val="7CEA1D6C"/>
    <w:rsid w:val="7D037E48"/>
    <w:rsid w:val="7D0C7D05"/>
    <w:rsid w:val="7D102DE3"/>
    <w:rsid w:val="7D1E32B0"/>
    <w:rsid w:val="7D650B9A"/>
    <w:rsid w:val="7D686757"/>
    <w:rsid w:val="7D7F6751"/>
    <w:rsid w:val="7D870A88"/>
    <w:rsid w:val="7DA07D14"/>
    <w:rsid w:val="7DAE20A0"/>
    <w:rsid w:val="7DD01ED4"/>
    <w:rsid w:val="7DD37276"/>
    <w:rsid w:val="7DED1B13"/>
    <w:rsid w:val="7E066BDD"/>
    <w:rsid w:val="7E1F1540"/>
    <w:rsid w:val="7E232311"/>
    <w:rsid w:val="7E237E8B"/>
    <w:rsid w:val="7E3475D6"/>
    <w:rsid w:val="7EA62F43"/>
    <w:rsid w:val="7EA873A0"/>
    <w:rsid w:val="7EAA17B2"/>
    <w:rsid w:val="7EB906C0"/>
    <w:rsid w:val="7EBB576E"/>
    <w:rsid w:val="7EC83511"/>
    <w:rsid w:val="7ECA5427"/>
    <w:rsid w:val="7EEA0189"/>
    <w:rsid w:val="7EEC78D7"/>
    <w:rsid w:val="7F1231D0"/>
    <w:rsid w:val="7F184142"/>
    <w:rsid w:val="7F3F0755"/>
    <w:rsid w:val="7F480AC6"/>
    <w:rsid w:val="7F5820E3"/>
    <w:rsid w:val="7F596D35"/>
    <w:rsid w:val="7F6F5399"/>
    <w:rsid w:val="7F871AF4"/>
    <w:rsid w:val="7FA0721B"/>
    <w:rsid w:val="7FAB75A8"/>
    <w:rsid w:val="7FAE0E2E"/>
    <w:rsid w:val="7FB6692A"/>
    <w:rsid w:val="7FFD66B4"/>
    <w:rsid w:val="AF792B57"/>
    <w:rsid w:val="BFE6E944"/>
    <w:rsid w:val="BFFF021E"/>
    <w:rsid w:val="E7FE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1"/>
    <w:autoRedefine/>
    <w:qFormat/>
    <w:uiPriority w:val="0"/>
    <w:pPr>
      <w:keepNext/>
      <w:keepLines/>
      <w:spacing w:before="340" w:after="330" w:line="578" w:lineRule="auto"/>
      <w:outlineLvl w:val="0"/>
    </w:pPr>
    <w:rPr>
      <w:b/>
      <w:bCs/>
      <w:kern w:val="44"/>
      <w:sz w:val="32"/>
      <w:szCs w:val="44"/>
    </w:rPr>
  </w:style>
  <w:style w:type="paragraph" w:styleId="5">
    <w:name w:val="heading 2"/>
    <w:basedOn w:val="1"/>
    <w:next w:val="1"/>
    <w:link w:val="39"/>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 w:val="28"/>
    </w:rPr>
  </w:style>
  <w:style w:type="paragraph" w:styleId="3">
    <w:name w:val="Note Heading"/>
    <w:basedOn w:val="1"/>
    <w:next w:val="1"/>
    <w:autoRedefine/>
    <w:qFormat/>
    <w:uiPriority w:val="0"/>
    <w:pPr>
      <w:spacing w:before="20" w:beforeLines="20" w:after="20" w:afterLines="20"/>
      <w:ind w:firstLine="0" w:firstLineChars="0"/>
      <w:jc w:val="center"/>
    </w:pPr>
    <w:rPr>
      <w:rFonts w:eastAsia="黑体" w:cs="Times New Roman"/>
      <w:sz w:val="24"/>
      <w:szCs w:val="22"/>
    </w:rPr>
  </w:style>
  <w:style w:type="paragraph" w:styleId="8">
    <w:name w:val="Normal Indent"/>
    <w:basedOn w:val="1"/>
    <w:link w:val="42"/>
    <w:autoRedefine/>
    <w:qFormat/>
    <w:uiPriority w:val="0"/>
    <w:pPr>
      <w:ind w:firstLine="420"/>
    </w:pPr>
    <w:rPr>
      <w:sz w:val="21"/>
      <w:szCs w:val="20"/>
    </w:rPr>
  </w:style>
  <w:style w:type="paragraph" w:styleId="9">
    <w:name w:val="caption"/>
    <w:basedOn w:val="1"/>
    <w:next w:val="1"/>
    <w:autoRedefine/>
    <w:qFormat/>
    <w:uiPriority w:val="0"/>
    <w:pPr>
      <w:widowControl/>
      <w:spacing w:after="200" w:line="276" w:lineRule="auto"/>
      <w:jc w:val="left"/>
    </w:pPr>
    <w:rPr>
      <w:rFonts w:ascii="Calibri" w:hAnsi="Calibri"/>
      <w:b/>
      <w:bCs/>
      <w:caps/>
      <w:kern w:val="0"/>
      <w:sz w:val="16"/>
      <w:szCs w:val="18"/>
      <w:lang w:eastAsia="en-US" w:bidi="en-US"/>
    </w:rPr>
  </w:style>
  <w:style w:type="paragraph" w:styleId="10">
    <w:name w:val="toa heading"/>
    <w:basedOn w:val="1"/>
    <w:next w:val="1"/>
    <w:autoRedefine/>
    <w:qFormat/>
    <w:uiPriority w:val="0"/>
    <w:pPr>
      <w:spacing w:before="120"/>
    </w:pPr>
    <w:rPr>
      <w:rFonts w:ascii="Arial" w:hAnsi="Arial"/>
    </w:rPr>
  </w:style>
  <w:style w:type="paragraph" w:styleId="11">
    <w:name w:val="annotation text"/>
    <w:basedOn w:val="1"/>
    <w:link w:val="43"/>
    <w:autoRedefine/>
    <w:qFormat/>
    <w:uiPriority w:val="0"/>
    <w:pPr>
      <w:jc w:val="left"/>
    </w:pPr>
    <w:rPr>
      <w:sz w:val="21"/>
    </w:rPr>
  </w:style>
  <w:style w:type="paragraph" w:styleId="12">
    <w:name w:val="Body Text Indent"/>
    <w:basedOn w:val="1"/>
    <w:autoRedefine/>
    <w:qFormat/>
    <w:uiPriority w:val="0"/>
    <w:pPr>
      <w:widowControl/>
      <w:spacing w:before="100" w:beforeAutospacing="1" w:after="100" w:afterAutospacing="1"/>
      <w:jc w:val="left"/>
    </w:pPr>
    <w:rPr>
      <w:rFonts w:ascii="宋体" w:hAnsi="宋体" w:cs="宋体"/>
      <w:kern w:val="0"/>
    </w:rPr>
  </w:style>
  <w:style w:type="paragraph" w:styleId="13">
    <w:name w:val="List Number 3"/>
    <w:basedOn w:val="1"/>
    <w:autoRedefine/>
    <w:qFormat/>
    <w:uiPriority w:val="0"/>
    <w:pPr>
      <w:numPr>
        <w:ilvl w:val="0"/>
        <w:numId w:val="1"/>
      </w:numPr>
    </w:pPr>
  </w:style>
  <w:style w:type="paragraph" w:styleId="14">
    <w:name w:val="Block Text"/>
    <w:basedOn w:val="1"/>
    <w:autoRedefine/>
    <w:qFormat/>
    <w:uiPriority w:val="0"/>
    <w:pPr>
      <w:spacing w:after="120"/>
      <w:ind w:left="1440" w:leftChars="700" w:right="1440" w:rightChars="700"/>
    </w:pPr>
    <w:rPr>
      <w:rFonts w:ascii="time new roman" w:hAnsi="time new roman" w:eastAsia="长城粗隶书" w:cs="Courier New"/>
    </w:rPr>
  </w:style>
  <w:style w:type="paragraph" w:styleId="15">
    <w:name w:val="Plain Text"/>
    <w:basedOn w:val="1"/>
    <w:link w:val="44"/>
    <w:autoRedefine/>
    <w:qFormat/>
    <w:uiPriority w:val="0"/>
    <w:pPr>
      <w:widowControl/>
      <w:spacing w:before="100" w:beforeAutospacing="1" w:after="100" w:afterAutospacing="1"/>
      <w:jc w:val="left"/>
    </w:pPr>
    <w:rPr>
      <w:rFonts w:ascii="宋体" w:hAnsi="宋体"/>
      <w:kern w:val="0"/>
    </w:rPr>
  </w:style>
  <w:style w:type="paragraph" w:styleId="16">
    <w:name w:val="toc 8"/>
    <w:basedOn w:val="1"/>
    <w:next w:val="1"/>
    <w:autoRedefine/>
    <w:qFormat/>
    <w:uiPriority w:val="0"/>
    <w:pPr>
      <w:ind w:left="1400" w:leftChars="1400"/>
    </w:pPr>
  </w:style>
  <w:style w:type="paragraph" w:styleId="17">
    <w:name w:val="Date"/>
    <w:basedOn w:val="1"/>
    <w:next w:val="1"/>
    <w:link w:val="45"/>
    <w:autoRedefine/>
    <w:qFormat/>
    <w:uiPriority w:val="0"/>
    <w:pPr>
      <w:widowControl/>
      <w:spacing w:before="100" w:beforeAutospacing="1" w:after="100" w:afterAutospacing="1"/>
      <w:jc w:val="left"/>
    </w:pPr>
    <w:rPr>
      <w:rFonts w:ascii="宋体" w:hAnsi="宋体"/>
      <w:kern w:val="0"/>
    </w:rPr>
  </w:style>
  <w:style w:type="paragraph" w:styleId="18">
    <w:name w:val="Body Text Indent 2"/>
    <w:basedOn w:val="1"/>
    <w:link w:val="46"/>
    <w:autoRedefine/>
    <w:qFormat/>
    <w:uiPriority w:val="0"/>
    <w:pPr>
      <w:spacing w:after="120" w:line="480" w:lineRule="auto"/>
      <w:ind w:left="420" w:leftChars="200"/>
    </w:pPr>
    <w:rPr>
      <w:sz w:val="21"/>
    </w:rPr>
  </w:style>
  <w:style w:type="paragraph" w:styleId="19">
    <w:name w:val="Balloon Text"/>
    <w:basedOn w:val="1"/>
    <w:autoRedefine/>
    <w:semiHidden/>
    <w:qFormat/>
    <w:uiPriority w:val="0"/>
    <w:rPr>
      <w:sz w:val="18"/>
      <w:szCs w:val="18"/>
    </w:rPr>
  </w:style>
  <w:style w:type="paragraph" w:styleId="20">
    <w:name w:val="footer"/>
    <w:basedOn w:val="1"/>
    <w:link w:val="47"/>
    <w:autoRedefine/>
    <w:qFormat/>
    <w:uiPriority w:val="99"/>
    <w:pPr>
      <w:tabs>
        <w:tab w:val="center" w:pos="4153"/>
        <w:tab w:val="right" w:pos="8306"/>
      </w:tabs>
      <w:snapToGrid w:val="0"/>
      <w:jc w:val="left"/>
    </w:pPr>
    <w:rPr>
      <w:sz w:val="18"/>
      <w:szCs w:val="18"/>
    </w:rPr>
  </w:style>
  <w:style w:type="paragraph" w:styleId="21">
    <w:name w:val="header"/>
    <w:basedOn w:val="1"/>
    <w:link w:val="48"/>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tabs>
        <w:tab w:val="right" w:leader="dot" w:pos="8494"/>
      </w:tabs>
    </w:pPr>
    <w:rPr>
      <w:rFonts w:ascii="宋体" w:hAnsi="宋体"/>
      <w:sz w:val="32"/>
    </w:rPr>
  </w:style>
  <w:style w:type="paragraph" w:styleId="23">
    <w:name w:val="List"/>
    <w:basedOn w:val="1"/>
    <w:autoRedefine/>
    <w:qFormat/>
    <w:uiPriority w:val="0"/>
    <w:pPr>
      <w:ind w:left="200" w:hanging="200" w:hangingChars="200"/>
    </w:pPr>
    <w:rPr>
      <w:rFonts w:ascii="Calibri" w:hAnsi="Calibri"/>
      <w:szCs w:val="22"/>
    </w:rPr>
  </w:style>
  <w:style w:type="paragraph" w:styleId="24">
    <w:name w:val="footnote text"/>
    <w:basedOn w:val="1"/>
    <w:autoRedefine/>
    <w:qFormat/>
    <w:uiPriority w:val="99"/>
    <w:pPr>
      <w:snapToGrid w:val="0"/>
      <w:jc w:val="left"/>
    </w:pPr>
    <w:rPr>
      <w:sz w:val="18"/>
    </w:rPr>
  </w:style>
  <w:style w:type="paragraph" w:styleId="25">
    <w:name w:val="Body Text Indent 3"/>
    <w:basedOn w:val="1"/>
    <w:link w:val="49"/>
    <w:autoRedefine/>
    <w:qFormat/>
    <w:uiPriority w:val="0"/>
    <w:pPr>
      <w:spacing w:after="120"/>
      <w:ind w:left="420" w:leftChars="200"/>
    </w:pPr>
    <w:rPr>
      <w:kern w:val="0"/>
      <w:sz w:val="16"/>
      <w:szCs w:val="16"/>
    </w:rPr>
  </w:style>
  <w:style w:type="paragraph" w:styleId="26">
    <w:name w:val="toc 2"/>
    <w:basedOn w:val="1"/>
    <w:next w:val="1"/>
    <w:autoRedefine/>
    <w:qFormat/>
    <w:uiPriority w:val="0"/>
    <w:pPr>
      <w:tabs>
        <w:tab w:val="right" w:leader="dot" w:pos="8494"/>
      </w:tabs>
    </w:pPr>
    <w:rPr>
      <w:sz w:val="30"/>
    </w:rPr>
  </w:style>
  <w:style w:type="paragraph" w:styleId="27">
    <w:name w:val="Normal (Web)"/>
    <w:basedOn w:val="1"/>
    <w:autoRedefine/>
    <w:qFormat/>
    <w:uiPriority w:val="0"/>
    <w:pPr>
      <w:spacing w:before="100" w:beforeAutospacing="1" w:after="100" w:afterAutospacing="1"/>
    </w:pPr>
    <w:rPr>
      <w:rFonts w:ascii="Arial Unicode MS" w:hAnsi="Arial Unicode MS" w:eastAsia="Times New Roman"/>
      <w:color w:val="000000"/>
    </w:rPr>
  </w:style>
  <w:style w:type="paragraph" w:styleId="28">
    <w:name w:val="Title"/>
    <w:basedOn w:val="1"/>
    <w:next w:val="1"/>
    <w:autoRedefine/>
    <w:qFormat/>
    <w:uiPriority w:val="0"/>
    <w:pPr>
      <w:pBdr>
        <w:top w:val="single" w:color="A7BFDE" w:sz="8" w:space="10"/>
        <w:bottom w:val="single" w:color="9BBB59" w:sz="24" w:space="15"/>
      </w:pBdr>
      <w:jc w:val="center"/>
    </w:pPr>
    <w:rPr>
      <w:rFonts w:ascii="宋体" w:hAnsi="Courier New" w:cs="Courier New"/>
      <w:szCs w:val="21"/>
    </w:rPr>
  </w:style>
  <w:style w:type="paragraph" w:styleId="29">
    <w:name w:val="annotation subject"/>
    <w:basedOn w:val="11"/>
    <w:next w:val="11"/>
    <w:link w:val="50"/>
    <w:autoRedefine/>
    <w:qFormat/>
    <w:uiPriority w:val="0"/>
    <w:rPr>
      <w:b/>
      <w:bCs/>
    </w:rPr>
  </w:style>
  <w:style w:type="paragraph" w:styleId="30">
    <w:name w:val="Body Text First Indent"/>
    <w:basedOn w:val="2"/>
    <w:next w:val="1"/>
    <w:autoRedefine/>
    <w:qFormat/>
    <w:uiPriority w:val="0"/>
    <w:pPr>
      <w:ind w:firstLine="420" w:firstLineChars="100"/>
    </w:pPr>
  </w:style>
  <w:style w:type="paragraph" w:styleId="31">
    <w:name w:val="Body Text First Indent 2"/>
    <w:basedOn w:val="12"/>
    <w:autoRedefine/>
    <w:qFormat/>
    <w:uiPriority w:val="0"/>
    <w:pPr>
      <w:ind w:firstLine="420" w:firstLineChars="200"/>
    </w:pPr>
    <w:rPr>
      <w:sz w:val="28"/>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bCs/>
    </w:rPr>
  </w:style>
  <w:style w:type="character" w:styleId="36">
    <w:name w:val="Hyperlink"/>
    <w:autoRedefine/>
    <w:qFormat/>
    <w:uiPriority w:val="0"/>
    <w:rPr>
      <w:color w:val="0000FF"/>
      <w:u w:val="single"/>
    </w:rPr>
  </w:style>
  <w:style w:type="character" w:styleId="37">
    <w:name w:val="annotation reference"/>
    <w:autoRedefine/>
    <w:qFormat/>
    <w:uiPriority w:val="0"/>
    <w:rPr>
      <w:sz w:val="21"/>
      <w:szCs w:val="21"/>
    </w:rPr>
  </w:style>
  <w:style w:type="paragraph" w:customStyle="1" w:styleId="38">
    <w:name w:val="表格文字"/>
    <w:basedOn w:val="15"/>
    <w:autoRedefine/>
    <w:qFormat/>
    <w:uiPriority w:val="0"/>
    <w:pPr>
      <w:adjustRightInd w:val="0"/>
      <w:spacing w:line="420" w:lineRule="atLeast"/>
    </w:pPr>
  </w:style>
  <w:style w:type="character" w:customStyle="1" w:styleId="39">
    <w:name w:val="标题 2 字符"/>
    <w:link w:val="5"/>
    <w:autoRedefine/>
    <w:qFormat/>
    <w:uiPriority w:val="0"/>
    <w:rPr>
      <w:rFonts w:ascii="Arial" w:hAnsi="Arial" w:eastAsia="黑体"/>
      <w:b/>
      <w:bCs/>
      <w:kern w:val="2"/>
      <w:sz w:val="32"/>
      <w:szCs w:val="32"/>
    </w:rPr>
  </w:style>
  <w:style w:type="paragraph" w:customStyle="1" w:styleId="40">
    <w:name w:val="密级编号"/>
    <w:basedOn w:val="1"/>
    <w:autoRedefine/>
    <w:qFormat/>
    <w:uiPriority w:val="0"/>
    <w:pPr>
      <w:jc w:val="center"/>
    </w:pPr>
    <w:rPr>
      <w:rFonts w:ascii="仿宋_GB2312" w:eastAsia="仿宋_GB2312"/>
    </w:rPr>
  </w:style>
  <w:style w:type="character" w:customStyle="1" w:styleId="41">
    <w:name w:val="标题 1 字符"/>
    <w:link w:val="4"/>
    <w:autoRedefine/>
    <w:qFormat/>
    <w:uiPriority w:val="0"/>
    <w:rPr>
      <w:rFonts w:ascii="Times New Roman" w:hAnsi="Times New Roman" w:eastAsia="宋体"/>
      <w:b/>
      <w:bCs/>
      <w:kern w:val="44"/>
      <w:sz w:val="32"/>
      <w:szCs w:val="44"/>
    </w:rPr>
  </w:style>
  <w:style w:type="character" w:customStyle="1" w:styleId="42">
    <w:name w:val="正文缩进 字符"/>
    <w:link w:val="8"/>
    <w:autoRedefine/>
    <w:qFormat/>
    <w:uiPriority w:val="0"/>
    <w:rPr>
      <w:kern w:val="2"/>
      <w:sz w:val="21"/>
    </w:rPr>
  </w:style>
  <w:style w:type="character" w:customStyle="1" w:styleId="43">
    <w:name w:val="批注文字 字符"/>
    <w:link w:val="11"/>
    <w:autoRedefine/>
    <w:qFormat/>
    <w:uiPriority w:val="0"/>
    <w:rPr>
      <w:kern w:val="2"/>
      <w:sz w:val="21"/>
      <w:szCs w:val="24"/>
    </w:rPr>
  </w:style>
  <w:style w:type="character" w:customStyle="1" w:styleId="44">
    <w:name w:val="纯文本 字符"/>
    <w:link w:val="15"/>
    <w:autoRedefine/>
    <w:qFormat/>
    <w:uiPriority w:val="0"/>
    <w:rPr>
      <w:rFonts w:ascii="宋体" w:hAnsi="宋体" w:cs="宋体"/>
      <w:sz w:val="24"/>
      <w:szCs w:val="24"/>
    </w:rPr>
  </w:style>
  <w:style w:type="character" w:customStyle="1" w:styleId="45">
    <w:name w:val="日期 字符"/>
    <w:link w:val="17"/>
    <w:autoRedefine/>
    <w:qFormat/>
    <w:uiPriority w:val="0"/>
    <w:rPr>
      <w:rFonts w:ascii="宋体" w:hAnsi="宋体" w:cs="宋体"/>
      <w:sz w:val="24"/>
      <w:szCs w:val="24"/>
    </w:rPr>
  </w:style>
  <w:style w:type="character" w:customStyle="1" w:styleId="46">
    <w:name w:val="正文文本缩进 2 字符"/>
    <w:link w:val="18"/>
    <w:autoRedefine/>
    <w:qFormat/>
    <w:uiPriority w:val="0"/>
    <w:rPr>
      <w:kern w:val="2"/>
      <w:sz w:val="21"/>
      <w:szCs w:val="24"/>
    </w:rPr>
  </w:style>
  <w:style w:type="character" w:customStyle="1" w:styleId="47">
    <w:name w:val="页脚 字符"/>
    <w:link w:val="20"/>
    <w:autoRedefine/>
    <w:qFormat/>
    <w:uiPriority w:val="99"/>
    <w:rPr>
      <w:kern w:val="2"/>
      <w:sz w:val="18"/>
      <w:szCs w:val="18"/>
    </w:rPr>
  </w:style>
  <w:style w:type="character" w:customStyle="1" w:styleId="48">
    <w:name w:val="页眉 字符"/>
    <w:link w:val="21"/>
    <w:autoRedefine/>
    <w:qFormat/>
    <w:uiPriority w:val="99"/>
    <w:rPr>
      <w:kern w:val="2"/>
      <w:sz w:val="18"/>
      <w:szCs w:val="18"/>
    </w:rPr>
  </w:style>
  <w:style w:type="character" w:customStyle="1" w:styleId="49">
    <w:name w:val="正文文本缩进 3 字符"/>
    <w:link w:val="25"/>
    <w:autoRedefine/>
    <w:qFormat/>
    <w:uiPriority w:val="0"/>
    <w:rPr>
      <w:sz w:val="16"/>
      <w:szCs w:val="16"/>
    </w:rPr>
  </w:style>
  <w:style w:type="character" w:customStyle="1" w:styleId="50">
    <w:name w:val="批注主题 字符"/>
    <w:link w:val="29"/>
    <w:autoRedefine/>
    <w:qFormat/>
    <w:uiPriority w:val="0"/>
    <w:rPr>
      <w:b/>
      <w:bCs/>
      <w:kern w:val="2"/>
      <w:sz w:val="21"/>
      <w:szCs w:val="24"/>
    </w:rPr>
  </w:style>
  <w:style w:type="paragraph" w:customStyle="1" w:styleId="51">
    <w:name w:val="章正文"/>
    <w:basedOn w:val="1"/>
    <w:autoRedefine/>
    <w:qFormat/>
    <w:uiPriority w:val="0"/>
    <w:pPr>
      <w:spacing w:beforeLines="50" w:after="120" w:line="300" w:lineRule="auto"/>
      <w:ind w:firstLine="480"/>
    </w:pPr>
    <w:rPr>
      <w:rFonts w:ascii="Helvetica" w:hAnsi="Helvetica"/>
      <w:kern w:val="0"/>
    </w:rPr>
  </w:style>
  <w:style w:type="character" w:customStyle="1" w:styleId="52">
    <w:name w:val="无间隔 字符"/>
    <w:link w:val="53"/>
    <w:autoRedefine/>
    <w:qFormat/>
    <w:uiPriority w:val="1"/>
    <w:rPr>
      <w:sz w:val="22"/>
      <w:szCs w:val="22"/>
      <w:lang w:val="en-US" w:eastAsia="zh-CN" w:bidi="ar-SA"/>
    </w:rPr>
  </w:style>
  <w:style w:type="paragraph" w:styleId="53">
    <w:name w:val="No Spacing"/>
    <w:link w:val="52"/>
    <w:autoRedefine/>
    <w:qFormat/>
    <w:uiPriority w:val="1"/>
    <w:rPr>
      <w:rFonts w:ascii="Times New Roman" w:hAnsi="Times New Roman" w:eastAsia="宋体" w:cs="Times New Roman"/>
      <w:sz w:val="22"/>
      <w:szCs w:val="22"/>
      <w:lang w:val="en-US" w:eastAsia="zh-CN" w:bidi="ar-SA"/>
    </w:rPr>
  </w:style>
  <w:style w:type="character" w:customStyle="1" w:styleId="54">
    <w:name w:val="标题1 Char"/>
    <w:link w:val="55"/>
    <w:autoRedefine/>
    <w:qFormat/>
    <w:uiPriority w:val="0"/>
    <w:rPr>
      <w:rFonts w:ascii="宋体" w:hAnsi="Courier New"/>
      <w:b/>
      <w:sz w:val="30"/>
      <w:szCs w:val="21"/>
    </w:rPr>
  </w:style>
  <w:style w:type="paragraph" w:customStyle="1" w:styleId="55">
    <w:name w:val="标题1"/>
    <w:basedOn w:val="1"/>
    <w:link w:val="54"/>
    <w:autoRedefine/>
    <w:qFormat/>
    <w:uiPriority w:val="0"/>
    <w:pPr>
      <w:spacing w:line="360" w:lineRule="auto"/>
    </w:pPr>
    <w:rPr>
      <w:rFonts w:ascii="宋体" w:hAnsi="Courier New"/>
      <w:b/>
      <w:kern w:val="0"/>
      <w:sz w:val="30"/>
      <w:szCs w:val="21"/>
    </w:rPr>
  </w:style>
  <w:style w:type="character" w:customStyle="1" w:styleId="56">
    <w:name w:val="纯文本 Char1"/>
    <w:autoRedefine/>
    <w:qFormat/>
    <w:uiPriority w:val="0"/>
    <w:rPr>
      <w:rFonts w:ascii="宋体" w:hAnsi="Courier New" w:eastAsia="宋体"/>
      <w:kern w:val="2"/>
      <w:sz w:val="24"/>
      <w:szCs w:val="24"/>
      <w:lang w:val="en-US" w:eastAsia="zh-CN" w:bidi="ar-SA"/>
    </w:rPr>
  </w:style>
  <w:style w:type="character" w:customStyle="1" w:styleId="57">
    <w:name w:val="正文文本缩进 3 Char1"/>
    <w:autoRedefine/>
    <w:qFormat/>
    <w:uiPriority w:val="0"/>
    <w:rPr>
      <w:kern w:val="2"/>
      <w:sz w:val="16"/>
      <w:szCs w:val="16"/>
    </w:rPr>
  </w:style>
  <w:style w:type="paragraph" w:customStyle="1" w:styleId="58">
    <w:name w:val="List Paragraph1"/>
    <w:basedOn w:val="1"/>
    <w:autoRedefine/>
    <w:qFormat/>
    <w:uiPriority w:val="0"/>
    <w:pPr>
      <w:widowControl/>
      <w:spacing w:after="200" w:line="276" w:lineRule="auto"/>
      <w:ind w:firstLine="420" w:firstLineChars="200"/>
      <w:jc w:val="left"/>
    </w:pPr>
    <w:rPr>
      <w:kern w:val="0"/>
      <w:sz w:val="22"/>
      <w:szCs w:val="22"/>
      <w:lang w:eastAsia="en-US" w:bidi="en-US"/>
    </w:rPr>
  </w:style>
  <w:style w:type="paragraph" w:customStyle="1" w:styleId="59">
    <w:name w:val="Char Char Char"/>
    <w:basedOn w:val="1"/>
    <w:autoRedefine/>
    <w:qFormat/>
    <w:uiPriority w:val="0"/>
    <w:rPr>
      <w:rFonts w:ascii="Tahoma" w:hAnsi="Tahoma"/>
      <w:szCs w:val="20"/>
    </w:rPr>
  </w:style>
  <w:style w:type="paragraph" w:customStyle="1" w:styleId="60">
    <w:name w:val="首行缩进"/>
    <w:basedOn w:val="1"/>
    <w:autoRedefine/>
    <w:qFormat/>
    <w:uiPriority w:val="0"/>
    <w:pPr>
      <w:spacing w:line="360" w:lineRule="auto"/>
      <w:ind w:firstLine="480" w:firstLineChars="200"/>
    </w:pPr>
    <w:rPr>
      <w:lang w:val="zh-CN"/>
    </w:rPr>
  </w:style>
  <w:style w:type="paragraph" w:customStyle="1" w:styleId="61">
    <w:name w:val="纯文本1"/>
    <w:basedOn w:val="1"/>
    <w:autoRedefine/>
    <w:qFormat/>
    <w:uiPriority w:val="0"/>
    <w:pPr>
      <w:widowControl/>
      <w:adjustRightInd w:val="0"/>
      <w:jc w:val="left"/>
    </w:pPr>
    <w:rPr>
      <w:rFonts w:ascii="宋体" w:hAnsi="Courier New" w:eastAsia="楷体_GB2312"/>
      <w:kern w:val="0"/>
      <w:sz w:val="26"/>
      <w:szCs w:val="20"/>
    </w:rPr>
  </w:style>
  <w:style w:type="paragraph" w:customStyle="1" w:styleId="62">
    <w:name w:val="Normal Indent1"/>
    <w:basedOn w:val="1"/>
    <w:autoRedefine/>
    <w:qFormat/>
    <w:uiPriority w:val="0"/>
    <w:pPr>
      <w:ind w:firstLine="420" w:firstLineChars="200"/>
    </w:pPr>
  </w:style>
  <w:style w:type="paragraph" w:customStyle="1" w:styleId="63">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4">
    <w:name w:val="reader-word-layer"/>
    <w:basedOn w:val="1"/>
    <w:autoRedefine/>
    <w:qFormat/>
    <w:uiPriority w:val="0"/>
    <w:pPr>
      <w:widowControl/>
      <w:spacing w:before="100" w:beforeAutospacing="1" w:after="100" w:afterAutospacing="1"/>
      <w:jc w:val="left"/>
    </w:pPr>
    <w:rPr>
      <w:rFonts w:ascii="宋体" w:hAnsi="宋体" w:cs="宋体"/>
      <w:kern w:val="0"/>
    </w:rPr>
  </w:style>
  <w:style w:type="paragraph" w:styleId="65">
    <w:name w:val="List Paragraph"/>
    <w:basedOn w:val="1"/>
    <w:autoRedefine/>
    <w:qFormat/>
    <w:uiPriority w:val="34"/>
    <w:pPr>
      <w:ind w:firstLine="420" w:firstLineChars="200"/>
    </w:pPr>
  </w:style>
  <w:style w:type="paragraph" w:customStyle="1" w:styleId="66">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67">
    <w:name w:val="p0"/>
    <w:basedOn w:val="1"/>
    <w:autoRedefine/>
    <w:qFormat/>
    <w:uiPriority w:val="99"/>
    <w:pPr>
      <w:widowControl/>
    </w:pPr>
    <w:rPr>
      <w:kern w:val="0"/>
      <w:sz w:val="28"/>
      <w:szCs w:val="28"/>
    </w:rPr>
  </w:style>
  <w:style w:type="paragraph" w:customStyle="1" w:styleId="68">
    <w:name w:val="中等深浅网格 1 - 强调文字颜色 21"/>
    <w:basedOn w:val="1"/>
    <w:autoRedefine/>
    <w:qFormat/>
    <w:uiPriority w:val="0"/>
    <w:pPr>
      <w:spacing w:line="360" w:lineRule="auto"/>
      <w:ind w:firstLine="420" w:firstLineChars="200"/>
    </w:pPr>
    <w:rPr>
      <w:kern w:val="0"/>
      <w:sz w:val="34"/>
      <w:szCs w:val="20"/>
    </w:rPr>
  </w:style>
  <w:style w:type="paragraph" w:customStyle="1" w:styleId="69">
    <w:name w:val="正文 A"/>
    <w:autoRedefine/>
    <w:qFormat/>
    <w:uiPriority w:val="0"/>
    <w:pPr>
      <w:widowControl w:val="0"/>
      <w:jc w:val="both"/>
    </w:pPr>
    <w:rPr>
      <w:rFonts w:ascii="宋体" w:hAnsi="宋体" w:eastAsia="宋体" w:cs="宋体"/>
      <w:color w:val="000000"/>
      <w:kern w:val="2"/>
      <w:sz w:val="21"/>
      <w:szCs w:val="21"/>
      <w:u w:color="000000"/>
      <w:lang w:val="en-US" w:eastAsia="zh-CN" w:bidi="ar-SA"/>
    </w:rPr>
  </w:style>
  <w:style w:type="character" w:customStyle="1" w:styleId="70">
    <w:name w:val="Hyperlink.3"/>
    <w:autoRedefine/>
    <w:qFormat/>
    <w:uiPriority w:val="0"/>
    <w:rPr>
      <w:rFonts w:ascii="Times New Roman" w:hAnsi="Times New Roman" w:eastAsia="宋体" w:cs="Times New Roman"/>
      <w:lang w:val="zh-TW" w:eastAsia="zh-TW"/>
    </w:rPr>
  </w:style>
  <w:style w:type="character" w:customStyle="1" w:styleId="71">
    <w:name w:val="无"/>
    <w:autoRedefine/>
    <w:qFormat/>
    <w:uiPriority w:val="0"/>
    <w:rPr>
      <w:rFonts w:ascii="Times New Roman" w:hAnsi="Times New Roman" w:eastAsia="宋体" w:cs="Times New Roman"/>
    </w:rPr>
  </w:style>
  <w:style w:type="paragraph" w:customStyle="1" w:styleId="7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reader-word-layer reader-word-s1-16"/>
    <w:basedOn w:val="1"/>
    <w:autoRedefine/>
    <w:qFormat/>
    <w:uiPriority w:val="0"/>
    <w:pPr>
      <w:widowControl/>
      <w:autoSpaceDE w:val="0"/>
      <w:autoSpaceDN w:val="0"/>
      <w:adjustRightInd w:val="0"/>
      <w:spacing w:before="100" w:beforeAutospacing="1" w:after="100" w:afterAutospacing="1"/>
      <w:jc w:val="left"/>
    </w:pPr>
    <w:rPr>
      <w:rFonts w:ascii="宋体" w:hAnsi="宋体" w:eastAsia="等线" w:cs="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25200</Words>
  <Characters>26316</Characters>
  <Lines>259</Lines>
  <Paragraphs>73</Paragraphs>
  <TotalTime>4</TotalTime>
  <ScaleCrop>false</ScaleCrop>
  <LinksUpToDate>false</LinksUpToDate>
  <CharactersWithSpaces>28498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2023-08-11T03:47:00Z</dcterms:created>
  <dc:creator>庞诗文</dc:creator>
  <cp:lastModifiedBy>◆℡沈仙森◇</cp:lastModifiedBy>
  <dcterms:modified xsi:type="dcterms:W3CDTF">2024-05-23T01:12:18Z</dcterms:modified>
  <dc:title>南宁市政府集中采购中心政府采购项目委托办理须知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1AAFEEC0C59147309B30FEB69EE1C72D_13</vt:lpwstr>
  </property>
</Properties>
</file>