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2"/>
      <w:bookmarkStart w:id="2" w:name="OLE_LINK3"/>
      <w:bookmarkStart w:id="64" w:name="_GoBack"/>
      <w:r>
        <w:rPr>
          <w:rFonts w:hint="eastAsia" w:ascii="仿宋" w:hAnsi="仿宋" w:eastAsia="仿宋" w:cs="仿宋"/>
          <w:b/>
          <w:bCs/>
          <w:color w:val="000000" w:themeColor="text1"/>
          <w:sz w:val="48"/>
          <w:szCs w:val="48"/>
          <w14:textFill>
            <w14:solidFill>
              <w14:schemeClr w14:val="tx1"/>
            </w14:solidFill>
          </w14:textFill>
        </w:rPr>
        <w:t>绍兴市人民医院镜湖总院准分子光治疗仪（308nm）采购项目</w:t>
      </w:r>
      <w:bookmarkEnd w:id="64"/>
    </w:p>
    <w:bookmarkEnd w:id="1"/>
    <w:bookmarkEnd w:id="2"/>
    <w:p>
      <w:pPr>
        <w:jc w:val="center"/>
        <w:outlineLvl w:val="0"/>
        <w:rPr>
          <w:rFonts w:hint="eastAsia" w:ascii="仿宋" w:hAnsi="仿宋" w:eastAsia="仿宋" w:cs="仿宋"/>
          <w:b/>
          <w:bCs/>
          <w:color w:val="000000" w:themeColor="text1"/>
          <w:sz w:val="52"/>
          <w:szCs w:val="52"/>
          <w14:textFill>
            <w14:solidFill>
              <w14:schemeClr w14:val="tx1"/>
            </w14:solidFill>
          </w14:textFill>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hint="eastAsia" w:ascii="仿宋" w:hAnsi="仿宋" w:eastAsia="仿宋" w:cs="仿宋"/>
          <w:b/>
          <w:color w:val="000000" w:themeColor="text1"/>
          <w:sz w:val="44"/>
          <w:szCs w:val="44"/>
          <w14:textFill>
            <w14:solidFill>
              <w14:schemeClr w14:val="tx1"/>
            </w14:solidFill>
          </w14:textFill>
        </w:rPr>
      </w:pPr>
    </w:p>
    <w:p>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招标编号:ZJXSC-2024-263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二○二四年九月</w:t>
            </w:r>
          </w:p>
        </w:tc>
      </w:tr>
    </w:tbl>
    <w:p>
      <w:pPr>
        <w:pStyle w:val="637"/>
        <w:rPr>
          <w:rFonts w:hint="eastAsia"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pPr>
        <w:spacing w:line="360" w:lineRule="auto"/>
        <w:jc w:val="center"/>
        <w:rPr>
          <w:rFonts w:hint="eastAsia"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p>
    <w:bookmarkEnd w:id="4"/>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649545"/>
      <w:bookmarkEnd w:id="5"/>
      <w:bookmarkStart w:id="6" w:name="_Hlt74707423"/>
      <w:bookmarkEnd w:id="6"/>
      <w:bookmarkStart w:id="7" w:name="_Hlt74729822"/>
      <w:bookmarkEnd w:id="7"/>
      <w:bookmarkStart w:id="8" w:name="_Hlt74728647"/>
      <w:bookmarkEnd w:id="8"/>
      <w:bookmarkStart w:id="9" w:name="_Toc91899870"/>
      <w:bookmarkStart w:id="10" w:name="第二部分"/>
      <w:bookmarkStart w:id="11" w:name="_Toc91899871"/>
    </w:p>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绍兴市人民医院镜湖总院准分子光治疗仪（308nm）采购项目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 月 日</w:t>
      </w:r>
      <w:bookmarkEnd w:id="12"/>
      <w:r>
        <w:rPr>
          <w:rStyle w:val="77"/>
          <w:rFonts w:hint="eastAsia" w:ascii="仿宋" w:hAnsi="仿宋" w:eastAsia="仿宋" w:cs="仿宋"/>
          <w:snapToGrid/>
          <w:color w:val="000000" w:themeColor="text1"/>
          <w:kern w:val="2"/>
          <w:sz w:val="24"/>
          <w:szCs w:val="24"/>
          <w14:textFill>
            <w14:solidFill>
              <w14:schemeClr w14:val="tx1"/>
            </w14:solidFill>
          </w14:textFill>
        </w:rPr>
        <w:t>9点30分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ZJXSC-2024-263</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绍兴市人民医院镜湖总院准分子光治疗仪（308nm）采购项目</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3" w:name="OLE_LINK7"/>
      <w:r>
        <w:rPr>
          <w:rFonts w:hint="eastAsia" w:ascii="仿宋" w:hAnsi="仿宋" w:eastAsia="仿宋" w:cs="仿宋"/>
          <w:b/>
          <w:color w:val="000000" w:themeColor="text1"/>
          <w:sz w:val="24"/>
          <w14:textFill>
            <w14:solidFill>
              <w14:schemeClr w14:val="tx1"/>
            </w14:solidFill>
          </w14:textFill>
        </w:rPr>
        <w:t>200000.00</w:t>
      </w:r>
      <w:bookmarkEnd w:id="13"/>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最高限价（元）：200000.00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标项名称：绍兴市人民医院镜湖总院准分子光治疗仪（308nm）采购项目                </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14:textFill>
            <w14:solidFill>
              <w14:schemeClr w14:val="tx1"/>
            </w14:solidFill>
          </w14:textFill>
        </w:rPr>
        <w:t>200000.00</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2024年月  日</w:t>
      </w:r>
      <w:bookmarkEnd w:id="15"/>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2024年月  日9点30分00秒</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bookmarkStart w:id="16" w:name="OLE_LINK9"/>
      <w:r>
        <w:rPr>
          <w:rFonts w:hint="eastAsia" w:ascii="仿宋" w:hAnsi="仿宋" w:eastAsia="仿宋" w:cs="仿宋"/>
          <w:color w:val="000000" w:themeColor="text1"/>
          <w:sz w:val="24"/>
          <w:u w:val="single"/>
          <w14:textFill>
            <w14:solidFill>
              <w14:schemeClr w14:val="tx1"/>
            </w14:solidFill>
          </w14:textFill>
        </w:rPr>
        <w:t>2024年月  日9点30分00秒</w:t>
      </w:r>
      <w:bookmarkEnd w:id="16"/>
    </w:p>
    <w:p>
      <w:pPr>
        <w:pStyle w:val="397"/>
        <w:spacing w:afterLines="0" w:line="440" w:lineRule="exact"/>
        <w:ind w:firstLine="48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3"/>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7" w:name="_Toc35393806"/>
      <w:bookmarkStart w:id="18" w:name="_Toc28359096"/>
      <w:bookmarkStart w:id="19" w:name="_Toc28359019"/>
      <w:bookmarkStart w:id="20" w:name="_Toc35393637"/>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21" w:name="_Toc28359020"/>
      <w:bookmarkStart w:id="22" w:name="_Toc35393638"/>
      <w:bookmarkStart w:id="23" w:name="_Toc35393807"/>
      <w:bookmarkStart w:id="24" w:name="_Toc28359097"/>
      <w:r>
        <w:rPr>
          <w:rFonts w:hint="eastAsia" w:ascii="仿宋" w:eastAsia="仿宋" w:cs="仿宋"/>
          <w:b w:val="0"/>
          <w:bCs w:val="0"/>
          <w:color w:val="000000" w:themeColor="text1"/>
          <w:sz w:val="24"/>
          <w14:textFill>
            <w14:solidFill>
              <w14:schemeClr w14:val="tx1"/>
            </w14:solidFill>
          </w14:textFill>
        </w:rPr>
        <w:t>名称：绍兴市人民医院</w:t>
      </w:r>
    </w:p>
    <w:p>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pPr>
        <w:pStyle w:val="3"/>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pPr>
        <w:pStyle w:val="3"/>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pPr>
        <w:pStyle w:val="3"/>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pPr>
        <w:pStyle w:val="3"/>
        <w:spacing w:line="440" w:lineRule="exact"/>
        <w:ind w:left="0" w:firstLine="482" w:firstLineChars="200"/>
        <w:rPr>
          <w:rFonts w:hint="eastAsia"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bookmarkStart w:id="25" w:name="_Toc28359098"/>
      <w:bookmarkStart w:id="26" w:name="_Toc28359021"/>
      <w:bookmarkStart w:id="27" w:name="_Toc35393639"/>
      <w:bookmarkStart w:id="28" w:name="_Toc3539380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pPr>
        <w:pStyle w:val="397"/>
        <w:spacing w:afterLines="0" w:line="440" w:lineRule="exact"/>
        <w:ind w:firstLine="480"/>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pPr>
        <w:pStyle w:val="397"/>
        <w:spacing w:afterLines="0" w:line="440" w:lineRule="exact"/>
        <w:ind w:firstLine="482"/>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pPr>
        <w:pStyle w:val="397"/>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联系人 ：张婷婷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准分子光治疗仪（308nm） </w:t>
            </w:r>
            <w:r>
              <w:rPr>
                <w:rFonts w:hint="eastAsia" w:ascii="仿宋" w:hAnsi="仿宋" w:eastAsia="仿宋" w:cs="仿宋"/>
                <w:color w:val="000000" w:themeColor="text1"/>
                <w:kern w:val="0"/>
                <w:sz w:val="24"/>
                <w14:textFill>
                  <w14:solidFill>
                    <w14:schemeClr w14:val="tx1"/>
                  </w14:solidFill>
                </w14:textFill>
              </w:rPr>
              <w:t>。</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pPr>
              <w:widowControl/>
              <w:numPr>
                <w:ilvl w:val="0"/>
                <w:numId w:val="1"/>
              </w:numPr>
              <w:jc w:val="left"/>
              <w:rPr>
                <w:rFonts w:hint="eastAsia" w:ascii="仿宋" w:hAnsi="仿宋" w:eastAsia="仿宋" w:cs="仿宋"/>
                <w:color w:val="000000" w:themeColor="text1"/>
                <w:sz w:val="24"/>
                <w14:textFill>
                  <w14:solidFill>
                    <w14:schemeClr w14:val="tx1"/>
                  </w14:solidFill>
                </w14:textFill>
              </w:rPr>
            </w:pPr>
            <w:bookmarkStart w:id="29"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pPr>
              <w:widowControl/>
              <w:jc w:val="lef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9"/>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pPr>
              <w:spacing w:line="400" w:lineRule="atLeas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11"/>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30" w:name="_Hlt74729768"/>
      <w:bookmarkEnd w:id="30"/>
      <w:bookmarkStart w:id="31" w:name="_Hlt75236290"/>
      <w:bookmarkEnd w:id="31"/>
      <w:bookmarkStart w:id="32" w:name="_Hlt68072998"/>
      <w:bookmarkEnd w:id="32"/>
      <w:bookmarkStart w:id="33" w:name="_Hlt74714665"/>
      <w:bookmarkEnd w:id="33"/>
      <w:bookmarkStart w:id="34" w:name="_Hlt75236101"/>
      <w:bookmarkEnd w:id="34"/>
      <w:bookmarkStart w:id="35" w:name="_Hlt75236011"/>
      <w:bookmarkEnd w:id="35"/>
      <w:bookmarkStart w:id="36" w:name="_Hlt68403820"/>
      <w:bookmarkEnd w:id="36"/>
      <w:bookmarkStart w:id="37" w:name="_Hlt68057669"/>
      <w:bookmarkEnd w:id="37"/>
      <w:bookmarkStart w:id="38" w:name="_Hlt74707468"/>
      <w:bookmarkEnd w:id="38"/>
      <w:bookmarkStart w:id="39" w:name="_Hlt68072990"/>
      <w:bookmarkEnd w:id="39"/>
      <w:bookmarkStart w:id="40" w:name="_Hlt68073093"/>
      <w:bookmarkEnd w:id="40"/>
      <w:bookmarkStart w:id="41" w:name="_Hlt74730295"/>
      <w:bookmarkEnd w:id="41"/>
      <w:bookmarkStart w:id="42" w:name="_Toc164416483"/>
      <w:bookmarkStart w:id="43" w:name="第三部分"/>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000000" w:themeColor="text1"/>
          <w14:textFill>
            <w14:solidFill>
              <w14:schemeClr w14:val="tx1"/>
            </w14:solidFill>
          </w14:textFill>
        </w:rPr>
      </w:pPr>
    </w:p>
    <w:p>
      <w:pPr>
        <w:pStyle w:val="132"/>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pStyle w:val="14"/>
        <w:tabs>
          <w:tab w:val="clear" w:pos="390"/>
          <w:tab w:val="clear" w:pos="454"/>
        </w:tabs>
        <w:spacing w:afterLines="0" w:line="440" w:lineRule="exact"/>
        <w:ind w:left="0" w:firstLine="48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3" w:firstLineChars="3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pPr>
        <w:pStyle w:val="23"/>
        <w:spacing w:line="440" w:lineRule="exact"/>
        <w:ind w:firstLine="723" w:firstLineChars="3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pPr>
        <w:pStyle w:val="23"/>
        <w:spacing w:line="440" w:lineRule="exact"/>
        <w:ind w:firstLine="723" w:firstLineChars="3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pPr>
        <w:snapToGrid w:val="0"/>
        <w:spacing w:line="440" w:lineRule="exact"/>
        <w:ind w:firstLine="354" w:firstLineChars="147"/>
        <w:rPr>
          <w:rFonts w:hint="eastAsia"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pPr>
        <w:pStyle w:val="132"/>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44"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44"/>
    <w:p>
      <w:pPr>
        <w:pStyle w:val="32"/>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45" w:name="_Toc81372776"/>
      <w:bookmarkStart w:id="46" w:name="_Toc81372953"/>
      <w:bookmarkStart w:id="47"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5"/>
    <w:bookmarkEnd w:id="46"/>
    <w:bookmarkEnd w:id="47"/>
    <w:p>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2"/>
    <w:bookmarkEnd w:id="43"/>
    <w:p>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48" w:name="_Toc86217003"/>
      <w:bookmarkStart w:id="49"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bookmarkStart w:id="50" w:name="_Toc151354173"/>
    </w:p>
    <w:p>
      <w:pPr>
        <w:rPr>
          <w:rFonts w:hint="eastAsia" w:ascii="宋体" w:hAnsi="宋体" w:cs="宋体"/>
          <w:b/>
          <w:bCs/>
          <w:color w:val="000000" w:themeColor="text1"/>
          <w:sz w:val="24"/>
          <w14:textFill>
            <w14:solidFill>
              <w14:schemeClr w14:val="tx1"/>
            </w14:solidFill>
          </w14:textFill>
        </w:rPr>
      </w:pPr>
      <w:bookmarkStart w:id="51"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2" w:name="OLE_LINK5"/>
      <w:r>
        <w:rPr>
          <w:rFonts w:hint="eastAsia" w:ascii="宋体" w:hAnsi="宋体" w:cs="宋体"/>
          <w:b/>
          <w:bCs/>
          <w:color w:val="000000" w:themeColor="text1"/>
          <w:sz w:val="24"/>
          <w14:textFill>
            <w14:solidFill>
              <w14:schemeClr w14:val="tx1"/>
            </w14:solidFill>
          </w14:textFill>
        </w:rPr>
        <w:t>绍兴市人民医院镜湖总院准分子光治疗仪（308nm）采购项目</w:t>
      </w:r>
    </w:p>
    <w:bookmarkEnd w:id="52"/>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（一）项目编号：ZJXSC-2024-263    </w:t>
      </w:r>
    </w:p>
    <w:bookmarkEnd w:id="50"/>
    <w:bookmarkEnd w:id="51"/>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10108" w:type="dxa"/>
        <w:tblInd w:w="-6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30"/>
        <w:gridCol w:w="1578"/>
        <w:gridCol w:w="1073"/>
        <w:gridCol w:w="1108"/>
        <w:gridCol w:w="1361"/>
        <w:gridCol w:w="1223"/>
        <w:gridCol w:w="1177"/>
        <w:gridCol w:w="12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57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107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10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3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17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25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330"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57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准分子光治疗仪（308nm）</w:t>
            </w:r>
          </w:p>
        </w:tc>
        <w:tc>
          <w:tcPr>
            <w:tcW w:w="107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1台</w:t>
            </w:r>
          </w:p>
        </w:tc>
        <w:tc>
          <w:tcPr>
            <w:tcW w:w="110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w:t>
            </w:r>
          </w:p>
        </w:tc>
        <w:tc>
          <w:tcPr>
            <w:tcW w:w="136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3" w:name="OLE_LINK10"/>
            <w:r>
              <w:rPr>
                <w:rFonts w:hint="eastAsia" w:ascii="宋体" w:hAnsi="宋体" w:cs="宋体"/>
                <w:color w:val="000000" w:themeColor="text1"/>
                <w:sz w:val="24"/>
                <w14:textFill>
                  <w14:solidFill>
                    <w14:schemeClr w14:val="tx1"/>
                  </w14:solidFill>
                </w14:textFill>
              </w:rPr>
              <w:t>20</w:t>
            </w:r>
            <w:bookmarkEnd w:id="53"/>
          </w:p>
        </w:tc>
        <w:tc>
          <w:tcPr>
            <w:tcW w:w="122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w:t>
            </w:r>
          </w:p>
        </w:tc>
        <w:tc>
          <w:tcPr>
            <w:tcW w:w="1177"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c>
          <w:tcPr>
            <w:tcW w:w="125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第二类</w:t>
            </w:r>
          </w:p>
        </w:tc>
      </w:tr>
    </w:tbl>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462" w:type="dxa"/>
        <w:jc w:val="center"/>
        <w:tblLayout w:type="fixed"/>
        <w:tblCellMar>
          <w:top w:w="0" w:type="dxa"/>
          <w:left w:w="108" w:type="dxa"/>
          <w:bottom w:w="0" w:type="dxa"/>
          <w:right w:w="108" w:type="dxa"/>
        </w:tblCellMar>
      </w:tblPr>
      <w:tblGrid>
        <w:gridCol w:w="6278"/>
        <w:gridCol w:w="3184"/>
      </w:tblGrid>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一、适用科室</w:t>
            </w:r>
            <w:r>
              <w:rPr>
                <w:rFonts w:hint="eastAsia" w:ascii="宋体" w:hAnsi="宋体" w:cs="宋体"/>
                <w:color w:val="000000" w:themeColor="text1"/>
                <w:sz w:val="24"/>
                <w14:textFill>
                  <w14:solidFill>
                    <w14:schemeClr w14:val="tx1"/>
                  </w14:solidFill>
                </w14:textFill>
              </w:rPr>
              <w:t>：皮肤科</w:t>
            </w:r>
          </w:p>
        </w:tc>
        <w:tc>
          <w:tcPr>
            <w:tcW w:w="3184"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1322"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numPr>
                <w:ilvl w:val="0"/>
                <w:numId w:val="2"/>
              </w:num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用途：主要</w:t>
            </w:r>
            <w:r>
              <w:rPr>
                <w:rFonts w:hint="eastAsia" w:ascii="宋体" w:hAnsi="宋体" w:cs="宋体"/>
                <w:bCs/>
                <w:color w:val="000000" w:themeColor="text1"/>
                <w:sz w:val="24"/>
                <w14:textFill>
                  <w14:solidFill>
                    <w14:schemeClr w14:val="tx1"/>
                  </w14:solidFill>
                </w14:textFill>
              </w:rPr>
              <w:t>用于稳定期白癜风照射治疗，</w:t>
            </w:r>
            <w:r>
              <w:rPr>
                <w:rFonts w:hint="eastAsia" w:ascii="宋体" w:hAnsi="宋体" w:cs="宋体"/>
                <w:color w:val="000000" w:themeColor="text1"/>
                <w:sz w:val="24"/>
                <w14:textFill>
                  <w14:solidFill>
                    <w14:schemeClr w14:val="tx1"/>
                  </w14:solidFill>
                </w14:textFill>
              </w:rPr>
              <w:t>同时可用于银屑病、湿疹及各类皮炎的照射治疗。</w:t>
            </w:r>
          </w:p>
          <w:p>
            <w:pPr>
              <w:pStyle w:val="966"/>
              <w:autoSpaceDE w:val="0"/>
              <w:autoSpaceDN w:val="0"/>
              <w:spacing w:line="280" w:lineRule="exact"/>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组成或配置：</w:t>
            </w:r>
            <w:r>
              <w:rPr>
                <w:rFonts w:hint="eastAsia" w:ascii="宋体" w:hAnsi="宋体" w:cs="宋体"/>
                <w:color w:val="000000" w:themeColor="text1"/>
                <w:sz w:val="24"/>
                <w14:textFill>
                  <w14:solidFill>
                    <w14:schemeClr w14:val="tx1"/>
                  </w14:solidFill>
                </w14:textFill>
              </w:rPr>
              <w:t>设备主机：1台（附件标配）,光斑适配器：1套,脚踏开关：1个,医生护目镜：2副（允许其他品牌）</w:t>
            </w:r>
          </w:p>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三、</w:t>
            </w:r>
            <w:r>
              <w:rPr>
                <w:rFonts w:hint="eastAsia" w:ascii="宋体" w:hAnsi="宋体" w:cs="宋体"/>
                <w:color w:val="000000" w:themeColor="text1"/>
                <w:sz w:val="24"/>
                <w:shd w:val="clear" w:color="auto" w:fill="FFFFFF"/>
                <w14:textFill>
                  <w14:solidFill>
                    <w14:schemeClr w14:val="tx1"/>
                  </w14:solidFill>
                </w14:textFill>
              </w:rPr>
              <w:t>功能和技术参数及配置：</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对应指标，详细说明，否则视为不符要求</w:t>
            </w: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 光源要求： XeCI准分子光源</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3.2 波长要求： 308nm </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 光能量密度：50~4500mj/cm</w:t>
            </w:r>
            <w:r>
              <w:rPr>
                <w:rFonts w:hint="eastAsia" w:ascii="宋体" w:hAnsi="宋体" w:cs="宋体"/>
                <w:color w:val="000000" w:themeColor="text1"/>
                <w:sz w:val="24"/>
                <w:vertAlign w:val="super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且连续可调，调节步进1mj/cm</w:t>
            </w:r>
            <w:r>
              <w:rPr>
                <w:rFonts w:hint="eastAsia" w:ascii="宋体" w:hAnsi="宋体" w:cs="宋体"/>
                <w:color w:val="000000" w:themeColor="text1"/>
                <w:sz w:val="24"/>
                <w:vertAlign w:val="superscript"/>
                <w14:textFill>
                  <w14:solidFill>
                    <w14:schemeClr w14:val="tx1"/>
                  </w14:solidFill>
                </w14:textFill>
              </w:rPr>
              <w:t>2</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 额定功率密度：≥50mW/cm</w:t>
            </w:r>
            <w:r>
              <w:rPr>
                <w:rFonts w:hint="eastAsia" w:ascii="宋体" w:hAnsi="宋体" w:cs="宋体"/>
                <w:color w:val="000000" w:themeColor="text1"/>
                <w:sz w:val="24"/>
                <w:vertAlign w:val="super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▲3.5 治疗模式</w:t>
            </w:r>
            <w:r>
              <w:rPr>
                <w:rFonts w:hint="eastAsia" w:ascii="宋体" w:hAnsi="宋体" w:cs="宋体"/>
                <w:color w:val="000000" w:themeColor="text1"/>
                <w:sz w:val="24"/>
                <w:shd w:val="clear" w:color="auto" w:fill="FFFFFF"/>
                <w14:textFill>
                  <w14:solidFill>
                    <w14:schemeClr w14:val="tx1"/>
                  </w14:solidFill>
                </w14:textFill>
              </w:rPr>
              <w:t>要求：具备高能聚焦、大光斑照射等模式</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3.6 能量不稳定性：≤±5%（需提供佐证资料）</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3.7 光斑能量不均匀性：≤±10% （需提供佐证资料）</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 光斑适配器要求</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3.8.1 圆形适配器：具有直径8mm、12mm、15mm、20mm、25mm等圆形适配器</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3.8.2 方形适配器尺寸：≥3种</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▲3.9 单次最长照射时间：≤90s</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3.10 控制要求：触摸屏控制，屏幕尺寸≥10寸</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3.11 冷却方式：风冷加水冷双冷却方式</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b/>
                <w:bCs/>
                <w:color w:val="000000" w:themeColor="text1"/>
                <w:sz w:val="24"/>
                <w:lang w:val="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w:t>
            </w:r>
            <w:r>
              <w:rPr>
                <w:rStyle w:val="123"/>
                <w:rFonts w:hint="eastAsia" w:ascii="宋体" w:hAnsi="宋体" w:cs="宋体"/>
                <w:color w:val="000000" w:themeColor="text1"/>
                <w:sz w:val="24"/>
                <w:szCs w:val="24"/>
                <w:lang w:bidi="ar"/>
                <w14:textFill>
                  <w14:solidFill>
                    <w14:schemeClr w14:val="tx1"/>
                  </w14:solidFill>
                </w14:textFill>
              </w:rPr>
              <w:t>必备商务条款</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对应指标，提供有效佐证材料，否则视为不符要求</w:t>
            </w: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 维修</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4.1.1设备验收合格后整机免费保修 贰 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4.1.2 提供仪器电子版SOP文件、中（英）文操作手册和维修手册</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4.1.3 免费提供操作和维修培训（包含时间、地点、人次、内容）</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4.1.4 维修响应时间8个工作小时，24个工作小时未修复提供备品，紧急情况按采购人要求执行</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4.1.5 请注明售后服务（包括浙江地区维修力量说明）Service</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 附加必备条款:</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提供符合上述参数和配置要求的详细配置清单；</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列出上述已明确选件及未作要求但可提供选件的清单；</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所有配置为同品牌原装产品(除注明要求例外)；</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所有设备必须是全新的，未曾使用过的原厂生产的产品，出厂时间原则上不大于1年。禁止提供代工、贴牌产品；</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提供所投产品的详细彩页，如彩页中没有涉及到相关技术参数，提供原厂技术白皮书（DATASHEET）。</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4.3安装及验收要求</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4.3.1 到货期:中标即日起30天内；如有例外，可在合同中另行约定</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4.3.2安装地点:由中标人免费将货送至医院安装现场</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4.3.3 安装完成时间:接采购人通知后7个工作日内全部调试完成，全院布局系统联网项目在60日内全部调试完成。</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4.3.4 安装标准:符合国家有关安全技术规范和技术标准</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4.3.5 验收标准:应与产品原始样本技术数据及标书技术文件一致，符合国家有关技术规范和技术标准</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4.3.6 计量检测：如是计量强制检定设备，验收时需提供计量合格证</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4" w:space="0"/>
              <w:right w:val="single" w:color="auto" w:sz="6" w:space="0"/>
            </w:tcBorders>
            <w:shd w:val="clear" w:color="auto" w:fill="auto"/>
            <w:vAlign w:val="center"/>
          </w:tcPr>
          <w:p>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4.3.7</w:t>
            </w:r>
            <w:r>
              <w:rPr>
                <w:rFonts w:hint="eastAsia" w:ascii="宋体" w:hAnsi="宋体" w:cs="宋体"/>
                <w:color w:val="000000" w:themeColor="text1"/>
                <w:kern w:val="0"/>
                <w:sz w:val="24"/>
                <w:lang w:bidi="ar"/>
                <w14:textFill>
                  <w14:solidFill>
                    <w14:schemeClr w14:val="tx1"/>
                  </w14:solidFill>
                </w14:textFill>
              </w:rPr>
              <w:t>软件系统要求：</w:t>
            </w:r>
            <w:r>
              <w:rPr>
                <w:rFonts w:hint="eastAsia" w:ascii="宋体" w:hAnsi="宋体" w:cs="宋体"/>
                <w:color w:val="000000" w:themeColor="text1"/>
                <w:sz w:val="24"/>
                <w14:textFill>
                  <w14:solidFill>
                    <w14:schemeClr w14:val="tx1"/>
                  </w14:solidFill>
                </w14:textFill>
              </w:rPr>
              <w:t>投标人应当根据医院管理要求，将提供的设备接入全院相关信息系统，并承担接口费用，提供的设备应当允许医院其他系统接入。确因设备本身无此功能难以实现的，须经医院信息、设备管理部门同意。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根据采购人要求，终身免费提供软件升级服务。</w:t>
            </w:r>
          </w:p>
        </w:tc>
        <w:tc>
          <w:tcPr>
            <w:tcW w:w="3184" w:type="dxa"/>
            <w:tcBorders>
              <w:top w:val="single" w:color="auto" w:sz="6" w:space="0"/>
              <w:left w:val="single" w:color="auto" w:sz="6" w:space="0"/>
              <w:bottom w:val="single" w:color="auto" w:sz="4"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4" w:space="0"/>
              <w:left w:val="single" w:color="auto" w:sz="4"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4.4付款方式：按《浙江省财政厅关于进一步发挥政府采购政策功能全力推动经济稳进提质的通知》（浙财采监〔2022〕3号）等文件要求执行，具体付款方式由双方协商后在合同中明确。</w:t>
            </w:r>
          </w:p>
        </w:tc>
        <w:tc>
          <w:tcPr>
            <w:tcW w:w="3184" w:type="dxa"/>
            <w:tcBorders>
              <w:top w:val="single" w:color="auto" w:sz="4" w:space="0"/>
              <w:left w:val="single" w:color="auto" w:sz="6" w:space="0"/>
              <w:bottom w:val="single" w:color="auto" w:sz="6" w:space="0"/>
              <w:right w:val="single" w:color="auto" w:sz="4"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五、其他</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对应提供有效材料</w:t>
            </w: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5.1 请注明进入市场时间 Year first sold</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5.2 请提供国内医院投标机型安装台数 Number sold</w:t>
            </w:r>
          </w:p>
        </w:tc>
        <w:tc>
          <w:tcPr>
            <w:tcW w:w="3184"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5.3 请注明软件最新版本 LAST UPDATED</w:t>
            </w:r>
          </w:p>
        </w:tc>
        <w:tc>
          <w:tcPr>
            <w:tcW w:w="318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cs="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6278" w:type="dxa"/>
            <w:tcBorders>
              <w:top w:val="single" w:color="auto" w:sz="4" w:space="0"/>
            </w:tcBorders>
            <w:shd w:val="clear" w:color="auto" w:fill="auto"/>
            <w:vAlign w:val="center"/>
          </w:tcPr>
          <w:p>
            <w:pPr>
              <w:autoSpaceDE w:val="0"/>
              <w:autoSpaceDN w:val="0"/>
              <w:spacing w:line="280" w:lineRule="exact"/>
              <w:rPr>
                <w:rFonts w:hint="eastAsia" w:cs="宋体" w:asciiTheme="minorEastAsia" w:hAnsiTheme="minorEastAsia" w:eastAsiaTheme="minorEastAsia"/>
                <w:color w:val="000000" w:themeColor="text1"/>
                <w:szCs w:val="21"/>
                <w:lang w:val="zh-CN"/>
                <w14:textFill>
                  <w14:solidFill>
                    <w14:schemeClr w14:val="tx1"/>
                  </w14:solidFill>
                </w14:textFill>
              </w:rPr>
            </w:pPr>
          </w:p>
        </w:tc>
        <w:tc>
          <w:tcPr>
            <w:tcW w:w="3184" w:type="dxa"/>
            <w:tcBorders>
              <w:top w:val="single" w:color="auto" w:sz="4" w:space="0"/>
            </w:tcBorders>
            <w:shd w:val="clear" w:color="auto" w:fill="auto"/>
          </w:tcPr>
          <w:p>
            <w:pPr>
              <w:autoSpaceDE w:val="0"/>
              <w:autoSpaceDN w:val="0"/>
              <w:spacing w:line="280" w:lineRule="exact"/>
              <w:rPr>
                <w:rFonts w:hint="eastAsia" w:asciiTheme="minorEastAsia" w:hAnsiTheme="minorEastAsia" w:eastAsiaTheme="minorEastAsia"/>
                <w:color w:val="000000" w:themeColor="text1"/>
                <w:szCs w:val="21"/>
                <w:shd w:val="clear" w:color="auto" w:fill="FFFFFF"/>
                <w14:textFill>
                  <w14:solidFill>
                    <w14:schemeClr w14:val="tx1"/>
                  </w14:solidFill>
                </w14:textFill>
              </w:rPr>
            </w:pPr>
          </w:p>
        </w:tc>
      </w:tr>
    </w:tbl>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pStyle w:val="4"/>
        <w:rPr>
          <w:rFonts w:hint="eastAsia" w:ascii="仿宋" w:hAnsi="仿宋" w:eastAsia="仿宋" w:cs="仿宋"/>
          <w:color w:val="000000" w:themeColor="text1"/>
          <w:sz w:val="36"/>
          <w:szCs w:val="36"/>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pPr>
        <w:rPr>
          <w:rFonts w:hint="eastAsia" w:ascii="仿宋" w:hAnsi="仿宋" w:eastAsia="仿宋" w:cs="仿宋"/>
          <w:color w:val="000000" w:themeColor="text1"/>
          <w:sz w:val="44"/>
          <w:szCs w:val="44"/>
          <w14:textFill>
            <w14:solidFill>
              <w14:schemeClr w14:val="tx1"/>
            </w14:solidFill>
          </w14:textFill>
        </w:rPr>
      </w:pPr>
    </w:p>
    <w:p>
      <w:pPr>
        <w:rPr>
          <w:rFonts w:hint="eastAsia" w:ascii="仿宋" w:hAnsi="仿宋" w:eastAsia="仿宋" w:cs="仿宋"/>
          <w:color w:val="000000" w:themeColor="text1"/>
          <w:sz w:val="44"/>
          <w:szCs w:val="44"/>
          <w14:textFill>
            <w14:solidFill>
              <w14:schemeClr w14:val="tx1"/>
            </w14:solidFill>
          </w14:textFill>
        </w:rPr>
      </w:pPr>
    </w:p>
    <w:p>
      <w:pPr>
        <w:jc w:val="cente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pPr>
        <w:ind w:firstLine="640" w:firstLineChars="200"/>
        <w:rPr>
          <w:rFonts w:hint="eastAsia" w:ascii="仿宋" w:hAnsi="仿宋" w:eastAsia="仿宋" w:cs="仿宋"/>
          <w:color w:val="000000" w:themeColor="text1"/>
          <w:sz w:val="32"/>
          <w:szCs w:val="32"/>
          <w14:textFill>
            <w14:solidFill>
              <w14:schemeClr w14:val="tx1"/>
            </w14:solidFill>
          </w14:textFill>
        </w:rPr>
      </w:pP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pPr>
        <w:ind w:firstLine="880" w:firstLineChars="200"/>
        <w:rPr>
          <w:rFonts w:hint="eastAsia"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pStyle w:val="3"/>
        <w:adjustRightInd w:val="0"/>
        <w:snapToGrid w:val="0"/>
        <w:spacing w:line="400" w:lineRule="exact"/>
        <w:jc w:val="center"/>
        <w:rPr>
          <w:rFonts w:hint="eastAsia" w:ascii="仿宋" w:eastAsia="仿宋" w:cs="仿宋"/>
          <w:color w:val="000000" w:themeColor="text1"/>
          <w:sz w:val="28"/>
          <w:szCs w:val="28"/>
          <w14:textFill>
            <w14:solidFill>
              <w14:schemeClr w14:val="tx1"/>
            </w14:solidFill>
          </w14:textFill>
        </w:rPr>
      </w:pPr>
      <w:bookmarkStart w:id="54" w:name="_Toc22209"/>
    </w:p>
    <w:p>
      <w:pPr>
        <w:pStyle w:val="3"/>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4"/>
    </w:p>
    <w:p>
      <w:pPr>
        <w:pStyle w:val="3"/>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pacing w:line="400" w:lineRule="exact"/>
        <w:rPr>
          <w:rFonts w:hint="eastAsia" w:ascii="仿宋" w:hAnsi="仿宋" w:eastAsia="仿宋" w:cs="仿宋"/>
          <w:color w:val="000000" w:themeColor="text1"/>
          <w14:textFill>
            <w14:solidFill>
              <w14:schemeClr w14:val="tx1"/>
            </w14:solidFill>
          </w14:textFill>
        </w:rPr>
      </w:pPr>
    </w:p>
    <w:p>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pPr>
        <w:pStyle w:val="24"/>
        <w:numPr>
          <w:ilvl w:val="0"/>
          <w:numId w:val="4"/>
        </w:num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pPr>
        <w:pStyle w:val="24"/>
        <w:numPr>
          <w:ilvl w:val="255"/>
          <w:numId w:val="0"/>
        </w:numPr>
        <w:tabs>
          <w:tab w:val="left" w:pos="999"/>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numPr>
          <w:ilvl w:val="255"/>
          <w:numId w:val="0"/>
        </w:numPr>
        <w:snapToGrid w:val="0"/>
        <w:spacing w:line="400" w:lineRule="exact"/>
        <w:ind w:firstLine="420" w:firstLineChars="200"/>
        <w:rPr>
          <w:rFonts w:hint="eastAsia"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pPr>
        <w:snapToGrid w:val="0"/>
        <w:spacing w:line="400" w:lineRule="exact"/>
        <w:ind w:firstLine="945" w:firstLineChars="45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pPr>
        <w:numPr>
          <w:ilvl w:val="255"/>
          <w:numId w:val="0"/>
        </w:numPr>
        <w:snapToGrid w:val="0"/>
        <w:spacing w:line="400" w:lineRule="exact"/>
        <w:ind w:firstLine="945" w:firstLineChars="4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pPr>
        <w:numPr>
          <w:ilvl w:val="255"/>
          <w:numId w:val="0"/>
        </w:numPr>
        <w:snapToGrid w:val="0"/>
        <w:spacing w:line="400" w:lineRule="exact"/>
        <w:ind w:firstLine="420" w:firstLineChars="200"/>
        <w:rPr>
          <w:rFonts w:hint="eastAsia"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pPr>
        <w:pStyle w:val="965"/>
        <w:numPr>
          <w:ilvl w:val="255"/>
          <w:numId w:val="0"/>
        </w:numPr>
        <w:snapToGrid w:val="0"/>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pPr>
        <w:pStyle w:val="965"/>
        <w:numPr>
          <w:ilvl w:val="255"/>
          <w:numId w:val="0"/>
        </w:numPr>
        <w:snapToGrid w:val="0"/>
        <w:ind w:firstLine="220" w:firstLineChars="10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pPr>
        <w:snapToGrid w:val="0"/>
        <w:spacing w:line="400" w:lineRule="exact"/>
        <w:ind w:firstLine="840" w:firstLineChars="400"/>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pPr>
        <w:snapToGrid w:val="0"/>
        <w:spacing w:line="400" w:lineRule="exact"/>
        <w:ind w:firstLine="84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pStyle w:val="965"/>
        <w:tabs>
          <w:tab w:val="left" w:pos="1340"/>
        </w:tabs>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pPr>
        <w:numPr>
          <w:ilvl w:val="255"/>
          <w:numId w:val="0"/>
        </w:num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numPr>
          <w:ilvl w:val="255"/>
          <w:numId w:val="0"/>
        </w:numPr>
        <w:snapToGrid w:val="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pPr>
        <w:pStyle w:val="965"/>
        <w:ind w:firstLine="420" w:firstLineChars="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pStyle w:val="965"/>
        <w:ind w:firstLine="420" w:firstLineChars="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pPr>
        <w:pStyle w:val="258"/>
        <w:spacing w:line="40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pPr>
        <w:snapToGrid w:val="0"/>
        <w:spacing w:line="400" w:lineRule="exact"/>
        <w:ind w:firstLine="63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pPr>
        <w:snapToGrid w:val="0"/>
        <w:spacing w:line="400" w:lineRule="exact"/>
        <w:ind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pPr>
        <w:numPr>
          <w:ilvl w:val="0"/>
          <w:numId w:val="3"/>
        </w:numPr>
        <w:snapToGrid w:val="0"/>
        <w:spacing w:line="400" w:lineRule="exact"/>
        <w:ind w:firstLine="422" w:firstLineChars="200"/>
        <w:rPr>
          <w:rFonts w:hint="eastAsia"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pPr>
        <w:numPr>
          <w:ilvl w:val="0"/>
          <w:numId w:val="5"/>
        </w:num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pPr>
        <w:pStyle w:val="965"/>
        <w:ind w:firstLine="42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pPr>
        <w:pStyle w:val="258"/>
        <w:spacing w:line="400" w:lineRule="exact"/>
        <w:ind w:firstLine="480"/>
        <w:rPr>
          <w:rFonts w:hint="eastAsia" w:ascii="仿宋" w:hAnsi="仿宋" w:eastAsia="仿宋" w:cs="仿宋"/>
          <w:color w:val="000000" w:themeColor="text1"/>
          <w14:textFill>
            <w14:solidFill>
              <w14:schemeClr w14:val="tx1"/>
            </w14:solidFill>
          </w14:textFill>
        </w:rPr>
      </w:pPr>
    </w:p>
    <w:p>
      <w:pPr>
        <w:pStyle w:val="3"/>
        <w:spacing w:line="400" w:lineRule="exact"/>
        <w:rPr>
          <w:rFonts w:hint="eastAsia"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258"/>
        <w:ind w:firstLine="480"/>
        <w:rPr>
          <w:rFonts w:hint="eastAsia"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ind w:firstLine="100" w:firstLineChars="48"/>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snapToGrid w:val="0"/>
              <w:spacing w:before="120" w:beforeLines="50" w:line="360" w:lineRule="auto"/>
              <w:jc w:val="left"/>
              <w:rPr>
                <w:rFonts w:hint="eastAsia"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pPr>
        <w:pStyle w:val="3"/>
        <w:adjustRightInd w:val="0"/>
        <w:snapToGrid w:val="0"/>
        <w:spacing w:before="120" w:beforeLines="50"/>
        <w:jc w:val="center"/>
        <w:rPr>
          <w:rFonts w:hint="eastAsia"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5"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5"/>
    </w:p>
    <w:p>
      <w:pPr>
        <w:tabs>
          <w:tab w:val="left" w:pos="8820"/>
          <w:tab w:val="left" w:pos="9345"/>
          <w:tab w:val="left" w:pos="9765"/>
        </w:tabs>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numPr>
          <w:ilvl w:val="0"/>
          <w:numId w:val="6"/>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20" w:firstLineChars="200"/>
        <w:jc w:val="left"/>
        <w:rPr>
          <w:rFonts w:hint="eastAsia"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pPr>
        <w:numPr>
          <w:ilvl w:val="0"/>
          <w:numId w:val="7"/>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pPr>
        <w:autoSpaceDE w:val="0"/>
        <w:autoSpaceDN w:val="0"/>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pPr>
        <w:pStyle w:val="32"/>
        <w:snapToGrid w:val="0"/>
        <w:spacing w:line="400" w:lineRule="exact"/>
        <w:ind w:firstLine="420" w:firstLineChars="20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6"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6"/>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pPr>
        <w:pStyle w:val="3"/>
        <w:spacing w:line="400" w:lineRule="exact"/>
        <w:ind w:firstLine="420" w:firstLineChars="200"/>
        <w:rPr>
          <w:rFonts w:hint="eastAsia"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pPr>
        <w:pStyle w:val="23"/>
        <w:spacing w:line="400" w:lineRule="exact"/>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pPr>
        <w:autoSpaceDE w:val="0"/>
        <w:autoSpaceDN w:val="0"/>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pPr>
        <w:numPr>
          <w:ilvl w:val="0"/>
          <w:numId w:val="8"/>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pPr>
        <w:snapToGrid w:val="0"/>
        <w:spacing w:line="40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pPr>
        <w:pStyle w:val="96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pPr>
        <w:autoSpaceDE w:val="0"/>
        <w:autoSpaceDN w:val="0"/>
        <w:snapToGrid w:val="0"/>
        <w:spacing w:line="40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pPr>
        <w:pStyle w:val="23"/>
        <w:spacing w:line="40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pPr>
        <w:numPr>
          <w:ilvl w:val="0"/>
          <w:numId w:val="9"/>
        </w:num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pPr>
        <w:snapToGrid w:val="0"/>
        <w:spacing w:line="40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7" w:name="_Toc20313"/>
    </w:p>
    <w:p>
      <w:pPr>
        <w:snapToGrid w:val="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pPr>
        <w:pStyle w:val="3"/>
        <w:adjustRightInd w:val="0"/>
        <w:snapToGrid w:val="0"/>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hint="eastAsia" w:ascii="仿宋" w:hAnsi="仿宋" w:eastAsia="仿宋" w:cs="仿宋"/>
                <w:color w:val="000000" w:themeColor="text1"/>
                <w:szCs w:val="21"/>
                <w14:textFill>
                  <w14:solidFill>
                    <w14:schemeClr w14:val="tx1"/>
                  </w14:solidFill>
                </w14:textFill>
              </w:rPr>
            </w:pP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pPr>
              <w:autoSpaceDE w:val="0"/>
              <w:autoSpaceDN w:val="0"/>
              <w:snapToGrid w:val="0"/>
              <w:ind w:firstLine="420" w:firstLineChars="20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pStyle w:val="965"/>
              <w:ind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pPr>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pPr>
              <w:snapToGrid w:val="0"/>
              <w:jc w:val="lef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bl>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hint="eastAsia" w:ascii="仿宋" w:hAnsi="仿宋" w:eastAsia="仿宋" w:cs="仿宋"/>
                <w:color w:val="FF0000"/>
                <w:kern w:val="0"/>
                <w:sz w:val="24"/>
              </w:rPr>
              <w:t>3.5</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hint="eastAsia" w:ascii="仿宋" w:hAnsi="仿宋" w:eastAsia="仿宋" w:cs="仿宋"/>
                <w:color w:val="FF0000"/>
                <w:kern w:val="0"/>
                <w:sz w:val="24"/>
              </w:rPr>
              <w:t>1.5</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投标人自2021年1月1日以来（以合同签订时间为准）完成的同类案例，每有一个得1分，最高得3分。</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w:t>
            </w:r>
            <w:r>
              <w:rPr>
                <w:rFonts w:ascii="仿宋" w:hAnsi="仿宋" w:eastAsia="仿宋" w:cs="仿宋"/>
                <w:color w:val="000000" w:themeColor="text1"/>
                <w:kern w:val="0"/>
                <w:sz w:val="24"/>
                <w14:textFill>
                  <w14:solidFill>
                    <w14:schemeClr w14:val="tx1"/>
                  </w14:solidFill>
                </w14:textFill>
              </w:rPr>
              <w:t>1.每个案例提供合同和验收报告的复印件，并加盖投标人公章。</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spacing w:line="440" w:lineRule="exact"/>
        <w:rPr>
          <w:rFonts w:hint="eastAsia" w:ascii="仿宋" w:hAnsi="仿宋" w:eastAsia="仿宋" w:cs="仿宋"/>
          <w:color w:val="000000" w:themeColor="text1"/>
          <w:sz w:val="20"/>
          <w:szCs w:val="20"/>
          <w:shd w:val="clear" w:color="auto" w:fill="FFFFFF"/>
          <w14:textFill>
            <w14:solidFill>
              <w14:schemeClr w14:val="tx1"/>
            </w14:solidFill>
          </w14:textFill>
        </w:rPr>
      </w:pP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20"/>
          <w14:textFill>
            <w14:solidFill>
              <w14:schemeClr w14:val="tx1"/>
            </w14:solidFill>
          </w14:textFill>
        </w:rPr>
      </w:pPr>
    </w:p>
    <w:bookmarkEnd w:id="48"/>
    <w:bookmarkEnd w:id="49"/>
    <w:p>
      <w:pPr>
        <w:rPr>
          <w:rFonts w:hint="eastAsia" w:ascii="仿宋" w:hAnsi="仿宋" w:eastAsia="仿宋" w:cs="仿宋"/>
          <w:b/>
          <w:color w:val="000000" w:themeColor="text1"/>
          <w:sz w:val="36"/>
          <w:szCs w:val="20"/>
          <w14:textFill>
            <w14:solidFill>
              <w14:schemeClr w14:val="tx1"/>
            </w14:solidFill>
          </w14:textFill>
        </w:rPr>
      </w:pPr>
    </w:p>
    <w:p>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pPr>
        <w:pStyle w:val="2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81"/>
        <w:rPr>
          <w:rFonts w:hint="eastAsia" w:ascii="仿宋" w:hAnsi="仿宋" w:eastAsia="仿宋" w:cs="仿宋"/>
          <w:color w:val="000000" w:themeColor="text1"/>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hint="eastAsia"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pPr>
        <w:pStyle w:val="906"/>
        <w:spacing w:line="360"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368" w:rightChars="-175"/>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7"/>
        <w:spacing w:after="120" w:line="336" w:lineRule="auto"/>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hint="eastAsia" w:ascii="仿宋" w:hAnsi="仿宋" w:eastAsia="仿宋" w:cs="仿宋"/>
          <w:color w:val="000000" w:themeColor="text1"/>
          <w:sz w:val="24"/>
          <w14:textFill>
            <w14:solidFill>
              <w14:schemeClr w14:val="tx1"/>
            </w14:solidFill>
          </w14:textFill>
        </w:rPr>
      </w:pPr>
    </w:p>
    <w:p>
      <w:pPr>
        <w:snapToGrid w:val="0"/>
        <w:spacing w:line="336" w:lineRule="auto"/>
        <w:ind w:firstLine="480" w:firstLineChars="200"/>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ind w:firstLine="1807" w:firstLineChars="6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pPr>
        <w:spacing w:line="80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pPr>
        <w:pStyle w:val="80"/>
        <w:rPr>
          <w:rFonts w:hint="eastAsia" w:ascii="仿宋" w:hAnsi="仿宋" w:eastAsia="仿宋" w:cs="仿宋"/>
          <w:b/>
          <w:color w:val="000000" w:themeColor="text1"/>
          <w14:textFill>
            <w14:solidFill>
              <w14:schemeClr w14:val="tx1"/>
            </w14:solidFill>
          </w14:textFill>
        </w:rPr>
      </w:pPr>
    </w:p>
    <w:p>
      <w:pPr>
        <w:pStyle w:val="80"/>
        <w:rPr>
          <w:rFonts w:hint="eastAsia" w:ascii="仿宋" w:hAnsi="仿宋" w:eastAsia="仿宋" w:cs="仿宋"/>
          <w:b/>
          <w:color w:val="000000" w:themeColor="text1"/>
          <w14:textFill>
            <w14:solidFill>
              <w14:schemeClr w14:val="tx1"/>
            </w14:solidFill>
          </w14:textFill>
        </w:rPr>
      </w:pPr>
    </w:p>
    <w:p>
      <w:pPr>
        <w:pStyle w:val="80"/>
        <w:rPr>
          <w:rFonts w:hint="eastAsia" w:ascii="仿宋" w:hAnsi="仿宋" w:eastAsia="仿宋" w:cs="仿宋"/>
          <w:b/>
          <w:color w:val="000000" w:themeColor="text1"/>
          <w14:textFill>
            <w14:solidFill>
              <w14:schemeClr w14:val="tx1"/>
            </w14:solidFill>
          </w14:textFill>
        </w:rPr>
      </w:pPr>
    </w:p>
    <w:p>
      <w:pPr>
        <w:spacing w:line="800" w:lineRule="exact"/>
        <w:ind w:firstLine="904" w:firstLineChars="3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hint="eastAsia" w:ascii="仿宋" w:hAnsi="仿宋" w:eastAsia="仿宋" w:cs="仿宋"/>
          <w:color w:val="000000" w:themeColor="text1"/>
          <w:sz w:val="24"/>
          <w14:textFill>
            <w14:solidFill>
              <w14:schemeClr w14:val="tx1"/>
            </w14:solidFill>
          </w14:textFill>
        </w:rPr>
      </w:pP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pPr>
        <w:spacing w:line="440" w:lineRule="exact"/>
        <w:ind w:right="480"/>
        <w:rPr>
          <w:rFonts w:hint="eastAsia" w:ascii="仿宋" w:hAnsi="仿宋" w:eastAsia="仿宋" w:cs="仿宋"/>
          <w:color w:val="000000" w:themeColor="text1"/>
          <w:sz w:val="24"/>
          <w14:textFill>
            <w14:solidFill>
              <w14:schemeClr w14:val="tx1"/>
            </w14:solidFill>
          </w14:textFill>
        </w:rPr>
      </w:pPr>
    </w:p>
    <w:p>
      <w:pPr>
        <w:spacing w:line="440" w:lineRule="exact"/>
        <w:ind w:right="7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bl>
    <w:p>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649"/>
        <w:ind w:firstLine="0"/>
        <w:jc w:val="both"/>
        <w:rPr>
          <w:rFonts w:hint="eastAsia" w:ascii="仿宋" w:eastAsia="仿宋" w:cs="仿宋"/>
          <w:color w:val="000000" w:themeColor="text1"/>
          <w14:textFill>
            <w14:solidFill>
              <w14:schemeClr w14:val="tx1"/>
            </w14:solidFill>
          </w14:textFill>
        </w:rPr>
      </w:pP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hint="eastAsia" w:ascii="仿宋" w:hAnsi="仿宋" w:eastAsia="仿宋" w:cs="仿宋"/>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color w:val="000000" w:themeColor="text1"/>
          <w:kern w:val="0"/>
          <w:sz w:val="24"/>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hint="eastAsia" w:ascii="仿宋" w:hAnsi="仿宋" w:eastAsia="仿宋" w:cs="仿宋"/>
          <w:color w:val="000000" w:themeColor="text1"/>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pPr>
        <w:pStyle w:val="81"/>
        <w:rPr>
          <w:rFonts w:hint="eastAsia" w:ascii="仿宋" w:hAnsi="仿宋" w:eastAsia="仿宋" w:cs="仿宋"/>
          <w:color w:val="000000" w:themeColor="text1"/>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pStyle w:val="81"/>
        <w:rPr>
          <w:rFonts w:hint="eastAsia" w:ascii="仿宋" w:hAnsi="仿宋" w:eastAsia="仿宋" w:cs="仿宋"/>
          <w:color w:val="000000" w:themeColor="text1"/>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81"/>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hint="eastAsia" w:ascii="仿宋" w:hAnsi="仿宋" w:eastAsia="仿宋" w:cs="仿宋"/>
          <w:b/>
          <w:bCs/>
          <w:color w:val="000000" w:themeColor="text1"/>
          <w:sz w:val="32"/>
          <w:szCs w:val="32"/>
          <w14:textFill>
            <w14:solidFill>
              <w14:schemeClr w14:val="tx1"/>
            </w14:solidFill>
          </w14:textFill>
        </w:rPr>
      </w:pPr>
    </w:p>
    <w:p>
      <w:pPr>
        <w:snapToGrid w:val="0"/>
        <w:spacing w:line="360" w:lineRule="auto"/>
        <w:ind w:right="960"/>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18"/>
          <w:szCs w:val="18"/>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b/>
          <w:bCs/>
          <w:color w:val="000000" w:themeColor="text1"/>
          <w:sz w:val="18"/>
          <w:szCs w:val="18"/>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24"/>
          <w14:textFill>
            <w14:solidFill>
              <w14:schemeClr w14:val="tx1"/>
            </w14:solidFill>
          </w14:textFill>
        </w:rPr>
      </w:pPr>
    </w:p>
    <w:p>
      <w:pPr>
        <w:pStyle w:val="81"/>
        <w:rPr>
          <w:rFonts w:hint="eastAsia" w:ascii="仿宋" w:hAnsi="仿宋" w:eastAsia="仿宋" w:cs="仿宋"/>
          <w:color w:val="000000" w:themeColor="text1"/>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2"/>
        <w:rPr>
          <w:rFonts w:hint="eastAsia"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58" w:name="_Hlk101259491"/>
      <w:r>
        <w:rPr>
          <w:rFonts w:hint="eastAsia" w:ascii="仿宋" w:hAnsi="仿宋" w:eastAsia="仿宋" w:cs="仿宋"/>
          <w:color w:val="000000" w:themeColor="text1"/>
          <w:sz w:val="32"/>
          <w:szCs w:val="32"/>
          <w14:textFill>
            <w14:solidFill>
              <w14:schemeClr w14:val="tx1"/>
            </w14:solidFill>
          </w14:textFill>
        </w:rPr>
        <w:t>（如果有）</w:t>
      </w:r>
      <w:bookmarkEnd w:id="58"/>
    </w:p>
    <w:p>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000000" w:themeColor="text1"/>
          <w14:textFill>
            <w14:solidFill>
              <w14:schemeClr w14:val="tx1"/>
            </w14:solidFill>
          </w14:textFill>
        </w:rPr>
      </w:pPr>
    </w:p>
    <w:p>
      <w:pPr>
        <w:pStyle w:val="82"/>
        <w:rPr>
          <w:rFonts w:hint="eastAsia" w:ascii="仿宋" w:hAnsi="仿宋" w:eastAsia="仿宋" w:cs="仿宋"/>
          <w:b/>
          <w:color w:val="000000" w:themeColor="text1"/>
          <w:sz w:val="24"/>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p>
    <w:p>
      <w:pPr>
        <w:pStyle w:val="81"/>
        <w:rPr>
          <w:rFonts w:hint="eastAsia" w:ascii="仿宋" w:hAnsi="仿宋" w:eastAsia="仿宋" w:cs="仿宋"/>
          <w:b/>
          <w:color w:val="000000" w:themeColor="text1"/>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widowControl/>
        <w:spacing w:line="360" w:lineRule="auto"/>
        <w:ind w:firstLine="161" w:firstLineChars="5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pPr>
        <w:pStyle w:val="81"/>
        <w:widowControl/>
        <w:spacing w:line="360" w:lineRule="auto"/>
        <w:ind w:firstLine="120" w:firstLineChars="50"/>
        <w:rPr>
          <w:rFonts w:hint="eastAsia" w:ascii="仿宋" w:hAnsi="仿宋" w:eastAsia="仿宋" w:cs="仿宋"/>
          <w:b/>
          <w:color w:val="000000" w:themeColor="text1"/>
          <w14:textFill>
            <w14:solidFill>
              <w14:schemeClr w14:val="tx1"/>
            </w14:solidFill>
          </w14:textFill>
        </w:rPr>
      </w:pPr>
    </w:p>
    <w:p>
      <w:pPr>
        <w:pStyle w:val="82"/>
        <w:spacing w:line="360" w:lineRule="auto"/>
        <w:ind w:left="0" w:firstLine="120" w:firstLineChars="50"/>
        <w:jc w:val="left"/>
        <w:rPr>
          <w:rFonts w:hint="eastAsia" w:ascii="仿宋" w:hAnsi="仿宋" w:eastAsia="仿宋" w:cs="仿宋"/>
          <w:b/>
          <w:color w:val="000000" w:themeColor="text1"/>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bookmarkStart w:id="59" w:name="_Toc465665161"/>
      <w:r>
        <w:rPr>
          <w:rFonts w:hint="eastAsia" w:ascii="仿宋" w:hAnsi="仿宋" w:eastAsia="仿宋" w:cs="仿宋"/>
          <w:color w:val="000000" w:themeColor="text1"/>
          <w14:textFill>
            <w14:solidFill>
              <w14:schemeClr w14:val="tx1"/>
            </w14:solidFill>
          </w14:textFill>
        </w:rPr>
        <w:t>附件</w:t>
      </w:r>
      <w:bookmarkEnd w:id="59"/>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1"/>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61"/>
        <w:ind w:firstLine="0"/>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bookmarkStart w:id="60"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0"/>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3"/>
        <w:ind w:left="664" w:leftChars="316" w:firstLine="229" w:firstLineChars="95"/>
        <w:rPr>
          <w:rFonts w:hint="eastAsia"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1"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1"/>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81"/>
        <w:rPr>
          <w:rFonts w:hint="eastAsia" w:ascii="仿宋" w:hAnsi="仿宋" w:eastAsia="仿宋" w:cs="仿宋"/>
          <w:b/>
          <w:color w:val="000000" w:themeColor="text1"/>
          <w:spacing w:val="6"/>
          <w:sz w:val="32"/>
          <w:szCs w:val="32"/>
          <w14:textFill>
            <w14:solidFill>
              <w14:schemeClr w14:val="tx1"/>
            </w14:solidFill>
          </w14:textFill>
        </w:rPr>
      </w:pPr>
    </w:p>
    <w:p>
      <w:pPr>
        <w:pStyle w:val="82"/>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1"/>
        <w:rPr>
          <w:rFonts w:hint="eastAsia" w:ascii="仿宋" w:hAnsi="仿宋" w:eastAsia="仿宋" w:cs="仿宋"/>
          <w:b/>
          <w:color w:val="000000" w:themeColor="text1"/>
          <w:spacing w:val="6"/>
          <w:sz w:val="32"/>
          <w:szCs w:val="32"/>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bookmarkStart w:id="62" w:name="OLE_LINK13"/>
      <w:bookmarkStart w:id="63" w:name="OLE_LINK14"/>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2"/>
    <w:bookmarkEnd w:id="63"/>
    <w:p>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lef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23"/>
        <w:rPr>
          <w:rFonts w:hint="eastAsia" w:ascii="仿宋" w:hAnsi="仿宋" w:eastAsia="仿宋" w:cs="仿宋"/>
          <w:color w:val="000000" w:themeColor="text1"/>
          <w:lang w:val="en-US"/>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hint="eastAsia" w:ascii="仿宋" w:hAnsi="仿宋" w:eastAsia="仿宋" w:cs="仿宋"/>
          <w:color w:val="000000" w:themeColor="text1"/>
          <w:sz w:val="24"/>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spacing w:line="360" w:lineRule="auto"/>
        <w:ind w:right="420"/>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Cs/>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rPr>
          <w:rFonts w:hint="eastAsia"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A00002EF" w:usb1="4000004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DFA46B76"/>
    <w:multiLevelType w:val="singleLevel"/>
    <w:tmpl w:val="DFA46B76"/>
    <w:lvl w:ilvl="0" w:tentative="0">
      <w:start w:val="2"/>
      <w:numFmt w:val="chineseCounting"/>
      <w:suff w:val="nothing"/>
      <w:lvlText w:val="%1、"/>
      <w:lvlJc w:val="left"/>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6"/>
  </w:num>
  <w:num w:numId="3">
    <w:abstractNumId w:val="9"/>
  </w:num>
  <w:num w:numId="4">
    <w:abstractNumId w:val="2"/>
  </w:num>
  <w:num w:numId="5">
    <w:abstractNumId w:val="7"/>
  </w:num>
  <w:num w:numId="6">
    <w:abstractNumId w:val="4"/>
  </w:num>
  <w:num w:numId="7">
    <w:abstractNumId w:val="3"/>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YmJhZjBlMDNjMmRjNDU4ZGQ1YTMwZDBlNDkyZTYifQ=="/>
  </w:docVars>
  <w:rsids>
    <w:rsidRoot w:val="00FE19E4"/>
    <w:rsid w:val="000162EE"/>
    <w:rsid w:val="000772B8"/>
    <w:rsid w:val="00152C4A"/>
    <w:rsid w:val="00265606"/>
    <w:rsid w:val="0029229B"/>
    <w:rsid w:val="003726DD"/>
    <w:rsid w:val="003D3809"/>
    <w:rsid w:val="003E7071"/>
    <w:rsid w:val="004A3AB5"/>
    <w:rsid w:val="004D3833"/>
    <w:rsid w:val="00544615"/>
    <w:rsid w:val="00582D37"/>
    <w:rsid w:val="005E58EE"/>
    <w:rsid w:val="005F2852"/>
    <w:rsid w:val="00606235"/>
    <w:rsid w:val="006065F2"/>
    <w:rsid w:val="00720911"/>
    <w:rsid w:val="00762AFD"/>
    <w:rsid w:val="007A04FE"/>
    <w:rsid w:val="00810E12"/>
    <w:rsid w:val="00924C02"/>
    <w:rsid w:val="009666FA"/>
    <w:rsid w:val="00973001"/>
    <w:rsid w:val="009B385E"/>
    <w:rsid w:val="009C0611"/>
    <w:rsid w:val="009F1172"/>
    <w:rsid w:val="00A12C64"/>
    <w:rsid w:val="00A36AA3"/>
    <w:rsid w:val="00A83A6E"/>
    <w:rsid w:val="00AA6FB4"/>
    <w:rsid w:val="00B43A77"/>
    <w:rsid w:val="00B5574D"/>
    <w:rsid w:val="00BE3742"/>
    <w:rsid w:val="00C05635"/>
    <w:rsid w:val="00C21384"/>
    <w:rsid w:val="00C3538A"/>
    <w:rsid w:val="00E72E59"/>
    <w:rsid w:val="00EB5800"/>
    <w:rsid w:val="00F05CF4"/>
    <w:rsid w:val="00F131BB"/>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F28434D"/>
    <w:rsid w:val="1F4629DA"/>
    <w:rsid w:val="210B3768"/>
    <w:rsid w:val="22D00328"/>
    <w:rsid w:val="2388039C"/>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ED2171"/>
    <w:rsid w:val="394479C9"/>
    <w:rsid w:val="3A6058D6"/>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83698A"/>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E438ED"/>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175B5D"/>
    <w:rsid w:val="7DC65163"/>
    <w:rsid w:val="7EA31D88"/>
    <w:rsid w:val="7EB7B118"/>
    <w:rsid w:val="7EEE3730"/>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8859</Words>
  <Characters>50502</Characters>
  <Lines>420</Lines>
  <Paragraphs>118</Paragraphs>
  <TotalTime>7</TotalTime>
  <ScaleCrop>false</ScaleCrop>
  <LinksUpToDate>false</LinksUpToDate>
  <CharactersWithSpaces>59243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2024-09-02T10:47:00Z</dcterms:created>
  <dc:creator>玥</dc:creator>
  <cp:lastModifiedBy>娄佳琴</cp:lastModifiedBy>
  <cp:lastPrinted>2021-12-28T19:06:00Z</cp:lastPrinted>
  <dcterms:modified xsi:type="dcterms:W3CDTF">2024-09-02T14:58:12Z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04ADF2CB3654448B81A488B630322443_13</vt:lpwstr>
  </property>
</Properties>
</file>