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B9F3F">
      <w:pPr>
        <w:pStyle w:val="7"/>
        <w:ind w:firstLine="643"/>
        <w:jc w:val="center"/>
        <w:rPr>
          <w:rFonts w:hint="eastAsia" w:ascii="仿宋" w:hAnsi="仿宋" w:eastAsia="仿宋"/>
          <w:sz w:val="32"/>
        </w:rPr>
      </w:pPr>
      <w:bookmarkStart w:id="0" w:name="_Toc441763635"/>
      <w:bookmarkStart w:id="1" w:name="_Toc184738843"/>
      <w:r>
        <w:rPr>
          <w:rFonts w:hint="eastAsia" w:ascii="仿宋" w:hAnsi="仿宋" w:eastAsia="仿宋"/>
          <w:sz w:val="32"/>
        </w:rPr>
        <w:t>成交人公告内容</w:t>
      </w:r>
      <w:bookmarkEnd w:id="0"/>
      <w:bookmarkEnd w:id="1"/>
    </w:p>
    <w:p w14:paraId="1D3E1F85">
      <w:pPr>
        <w:spacing w:line="360" w:lineRule="auto"/>
        <w:rPr>
          <w:rFonts w:hint="eastAsia" w:ascii="仿宋" w:hAnsi="仿宋" w:eastAsia="仿宋"/>
          <w:spacing w:val="20"/>
          <w:sz w:val="24"/>
        </w:rPr>
      </w:pPr>
      <w:r>
        <w:rPr>
          <w:rFonts w:hint="eastAsia" w:ascii="仿宋" w:hAnsi="仿宋" w:eastAsia="仿宋"/>
          <w:spacing w:val="20"/>
          <w:sz w:val="24"/>
        </w:rPr>
        <w:t>采购项目：审判辅助事务集约化提升司法公正感受度项目</w:t>
      </w:r>
    </w:p>
    <w:p w14:paraId="1B24EDAF">
      <w:pPr>
        <w:spacing w:line="360" w:lineRule="auto"/>
        <w:rPr>
          <w:rFonts w:hint="eastAsia" w:ascii="仿宋" w:hAnsi="仿宋" w:eastAsia="仿宋"/>
          <w:spacing w:val="20"/>
          <w:sz w:val="24"/>
        </w:rPr>
      </w:pPr>
      <w:r>
        <w:rPr>
          <w:rFonts w:hint="eastAsia" w:ascii="仿宋" w:hAnsi="仿宋" w:eastAsia="仿宋"/>
          <w:spacing w:val="20"/>
          <w:sz w:val="24"/>
        </w:rPr>
        <w:t>采购编号</w:t>
      </w:r>
      <w:r>
        <w:rPr>
          <w:rFonts w:hint="eastAsia" w:ascii="仿宋" w:hAnsi="仿宋" w:eastAsia="仿宋"/>
          <w:sz w:val="24"/>
          <w:szCs w:val="28"/>
        </w:rPr>
        <w:t>：浙明丽采2024070号</w:t>
      </w:r>
      <w:r>
        <w:rPr>
          <w:rFonts w:hint="eastAsia" w:ascii="仿宋" w:hAnsi="仿宋" w:eastAsia="仿宋"/>
          <w:sz w:val="24"/>
          <w:lang w:val="en-GB"/>
        </w:rPr>
        <w:tab/>
      </w:r>
      <w:r>
        <w:rPr>
          <w:rFonts w:hint="eastAsia" w:ascii="仿宋" w:hAnsi="仿宋" w:eastAsia="仿宋"/>
          <w:spacing w:val="20"/>
          <w:sz w:val="24"/>
        </w:rPr>
        <w:t xml:space="preserve">                              </w:t>
      </w:r>
    </w:p>
    <w:tbl>
      <w:tblPr>
        <w:tblStyle w:val="1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716D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87DA612">
            <w:pPr>
              <w:spacing w:line="360" w:lineRule="auto"/>
              <w:jc w:val="center"/>
              <w:rPr>
                <w:rFonts w:ascii="仿宋" w:hAnsi="仿宋" w:eastAsia="仿宋"/>
                <w:spacing w:val="20"/>
                <w:sz w:val="24"/>
              </w:rPr>
            </w:pPr>
            <w:r>
              <w:rPr>
                <w:rFonts w:hint="eastAsia" w:ascii="仿宋" w:hAnsi="仿宋" w:eastAsia="仿宋"/>
                <w:spacing w:val="20"/>
                <w:sz w:val="24"/>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60A8F43">
            <w:pPr>
              <w:spacing w:line="360" w:lineRule="auto"/>
              <w:jc w:val="center"/>
              <w:rPr>
                <w:rFonts w:hint="default" w:ascii="仿宋" w:hAnsi="仿宋" w:eastAsia="仿宋"/>
                <w:spacing w:val="20"/>
                <w:sz w:val="24"/>
                <w:lang w:val="en-US" w:eastAsia="zh-CN"/>
              </w:rPr>
            </w:pPr>
            <w:r>
              <w:rPr>
                <w:rFonts w:hint="eastAsia" w:ascii="仿宋" w:hAnsi="仿宋" w:eastAsia="仿宋"/>
                <w:spacing w:val="20"/>
                <w:sz w:val="24"/>
                <w:lang w:val="en-US" w:eastAsia="zh-CN"/>
              </w:rPr>
              <w:t>浙江慧聚劳动事务代理有限公司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476F9C36">
            <w:pPr>
              <w:spacing w:line="360" w:lineRule="auto"/>
              <w:jc w:val="center"/>
              <w:rPr>
                <w:rFonts w:ascii="仿宋" w:hAnsi="仿宋" w:eastAsia="仿宋"/>
                <w:spacing w:val="20"/>
                <w:sz w:val="24"/>
              </w:rPr>
            </w:pPr>
            <w:r>
              <w:rPr>
                <w:rFonts w:hint="eastAsia" w:ascii="仿宋" w:hAnsi="仿宋" w:eastAsia="仿宋"/>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0B4DA422">
            <w:pPr>
              <w:spacing w:line="360" w:lineRule="auto"/>
              <w:jc w:val="center"/>
              <w:rPr>
                <w:rFonts w:hint="eastAsia" w:ascii="仿宋" w:hAnsi="仿宋" w:eastAsia="仿宋"/>
                <w:spacing w:val="20"/>
                <w:sz w:val="24"/>
                <w:lang w:val="en-US" w:eastAsia="zh-CN"/>
              </w:rPr>
            </w:pPr>
            <w:r>
              <w:rPr>
                <w:rFonts w:hint="eastAsia" w:ascii="仿宋" w:hAnsi="仿宋" w:eastAsia="仿宋"/>
                <w:spacing w:val="20"/>
                <w:sz w:val="24"/>
                <w:lang w:val="en-US" w:eastAsia="zh-CN"/>
              </w:rPr>
              <w:t>周剑营</w:t>
            </w:r>
          </w:p>
        </w:tc>
      </w:tr>
      <w:tr w14:paraId="23A1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5EDE4BA">
            <w:pPr>
              <w:spacing w:line="360" w:lineRule="auto"/>
              <w:jc w:val="center"/>
              <w:rPr>
                <w:rFonts w:ascii="仿宋" w:hAnsi="仿宋" w:eastAsia="仿宋"/>
                <w:spacing w:val="20"/>
                <w:sz w:val="24"/>
              </w:rPr>
            </w:pPr>
            <w:r>
              <w:rPr>
                <w:rFonts w:hint="eastAsia" w:ascii="仿宋" w:hAnsi="仿宋" w:eastAsia="仿宋"/>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4E537C15">
            <w:pPr>
              <w:spacing w:line="360" w:lineRule="auto"/>
              <w:jc w:val="center"/>
              <w:rPr>
                <w:rFonts w:ascii="仿宋" w:hAnsi="仿宋" w:eastAsia="仿宋"/>
                <w:spacing w:val="20"/>
                <w:sz w:val="24"/>
              </w:rPr>
            </w:pPr>
            <w:r>
              <w:rPr>
                <w:rFonts w:hint="eastAsia" w:ascii="仿宋" w:hAnsi="仿宋" w:eastAsia="仿宋" w:cs="Times New Roman"/>
                <w:spacing w:val="20"/>
                <w:sz w:val="24"/>
                <w:lang w:eastAsia="zh-CN"/>
              </w:rPr>
              <w:t>浙江省丽水市莲都区括苍北路168号数字经济双创园5号楼第3层307室</w:t>
            </w:r>
            <w:r>
              <w:rPr>
                <w:rFonts w:hint="eastAsia" w:ascii="仿宋" w:hAnsi="仿宋" w:eastAsia="仿宋" w:cs="Times New Roman"/>
                <w:spacing w:val="20"/>
                <w:sz w:val="24"/>
              </w:rPr>
              <w:t xml:space="preserve"> </w:t>
            </w:r>
          </w:p>
        </w:tc>
      </w:tr>
      <w:tr w14:paraId="37C4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086EA446">
            <w:pPr>
              <w:spacing w:line="360" w:lineRule="auto"/>
              <w:jc w:val="center"/>
              <w:rPr>
                <w:rFonts w:ascii="仿宋" w:hAnsi="仿宋" w:eastAsia="仿宋"/>
                <w:spacing w:val="20"/>
                <w:sz w:val="24"/>
              </w:rPr>
            </w:pPr>
            <w:r>
              <w:rPr>
                <w:rFonts w:hint="eastAsia" w:ascii="仿宋" w:hAnsi="仿宋" w:eastAsia="仿宋"/>
                <w:spacing w:val="20"/>
                <w:sz w:val="24"/>
              </w:rPr>
              <w:t xml:space="preserve"> 成交标的</w:t>
            </w:r>
          </w:p>
        </w:tc>
      </w:tr>
      <w:tr w14:paraId="2AD4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7F2D7B3">
            <w:pPr>
              <w:spacing w:line="360" w:lineRule="auto"/>
              <w:jc w:val="center"/>
              <w:rPr>
                <w:rFonts w:ascii="仿宋" w:hAnsi="仿宋" w:eastAsia="仿宋"/>
                <w:spacing w:val="20"/>
                <w:sz w:val="24"/>
              </w:rPr>
            </w:pPr>
            <w:r>
              <w:rPr>
                <w:rFonts w:hint="eastAsia" w:ascii="仿宋" w:hAnsi="仿宋" w:eastAsia="仿宋"/>
                <w:spacing w:val="20"/>
                <w:sz w:val="24"/>
              </w:rPr>
              <w:t>服务</w:t>
            </w:r>
            <w:r>
              <w:rPr>
                <w:rFonts w:ascii="仿宋" w:hAnsi="仿宋" w:eastAsia="仿宋"/>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396C69C6">
            <w:pPr>
              <w:spacing w:line="360" w:lineRule="auto"/>
              <w:jc w:val="center"/>
              <w:rPr>
                <w:rFonts w:ascii="仿宋" w:hAnsi="仿宋" w:eastAsia="仿宋"/>
                <w:spacing w:val="20"/>
                <w:sz w:val="24"/>
              </w:rPr>
            </w:pPr>
            <w:r>
              <w:rPr>
                <w:rFonts w:hint="eastAsia" w:ascii="仿宋" w:hAnsi="仿宋" w:eastAsia="仿宋"/>
                <w:spacing w:val="20"/>
                <w:sz w:val="24"/>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7D2958C1">
            <w:pPr>
              <w:spacing w:line="360" w:lineRule="auto"/>
              <w:jc w:val="center"/>
              <w:rPr>
                <w:rFonts w:ascii="仿宋" w:hAnsi="仿宋" w:eastAsia="仿宋"/>
                <w:spacing w:val="20"/>
                <w:sz w:val="24"/>
              </w:rPr>
            </w:pPr>
            <w:r>
              <w:rPr>
                <w:rFonts w:hint="eastAsia" w:ascii="仿宋" w:hAnsi="仿宋" w:eastAsia="仿宋"/>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3169EC1C">
            <w:pPr>
              <w:spacing w:line="360" w:lineRule="auto"/>
              <w:jc w:val="center"/>
              <w:rPr>
                <w:rFonts w:ascii="仿宋" w:hAnsi="仿宋" w:eastAsia="仿宋"/>
                <w:spacing w:val="20"/>
                <w:sz w:val="24"/>
              </w:rPr>
            </w:pPr>
            <w:r>
              <w:rPr>
                <w:rFonts w:hint="eastAsia" w:ascii="仿宋" w:hAnsi="仿宋" w:eastAsia="仿宋"/>
                <w:spacing w:val="20"/>
                <w:sz w:val="24"/>
              </w:rPr>
              <w:t>单价</w:t>
            </w:r>
          </w:p>
        </w:tc>
      </w:tr>
      <w:tr w14:paraId="5511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2A1A169">
            <w:pPr>
              <w:spacing w:line="360" w:lineRule="auto"/>
              <w:rPr>
                <w:rFonts w:ascii="仿宋" w:hAnsi="仿宋" w:eastAsia="仿宋"/>
                <w:spacing w:val="20"/>
                <w:sz w:val="24"/>
              </w:rPr>
            </w:pPr>
            <w:r>
              <w:rPr>
                <w:rFonts w:hint="eastAsia" w:ascii="仿宋" w:hAnsi="仿宋" w:eastAsia="仿宋" w:cs="仿宋_GB2312"/>
                <w:sz w:val="24"/>
              </w:rPr>
              <w:t>审判辅助事务集约化提升司法公正感受度项目</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13E34239">
            <w:pPr>
              <w:spacing w:line="360" w:lineRule="auto"/>
              <w:jc w:val="center"/>
              <w:rPr>
                <w:rFonts w:hint="eastAsia" w:ascii="仿宋" w:hAnsi="仿宋" w:eastAsia="仿宋"/>
                <w:spacing w:val="20"/>
                <w:sz w:val="24"/>
                <w:lang w:val="en-US" w:eastAsia="zh-CN"/>
              </w:rPr>
            </w:pPr>
            <w:r>
              <w:rPr>
                <w:rFonts w:hint="eastAsia" w:ascii="仿宋" w:hAnsi="仿宋" w:eastAsia="仿宋"/>
                <w:spacing w:val="20"/>
                <w:sz w:val="24"/>
                <w:lang w:val="en-US" w:eastAsia="zh-CN"/>
              </w:rPr>
              <w:t>个</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00BF90C7">
            <w:pPr>
              <w:spacing w:line="360" w:lineRule="auto"/>
              <w:jc w:val="center"/>
              <w:rPr>
                <w:rFonts w:hint="eastAsia" w:ascii="仿宋" w:hAnsi="仿宋" w:eastAsia="仿宋"/>
                <w:spacing w:val="20"/>
                <w:sz w:val="24"/>
                <w:lang w:val="en-US" w:eastAsia="zh-CN"/>
              </w:rPr>
            </w:pPr>
            <w:r>
              <w:rPr>
                <w:rFonts w:hint="eastAsia" w:ascii="仿宋" w:hAnsi="仿宋" w:eastAsia="仿宋"/>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355BFCB5">
            <w:pPr>
              <w:spacing w:line="360" w:lineRule="auto"/>
              <w:jc w:val="center"/>
              <w:rPr>
                <w:rFonts w:hint="default" w:ascii="仿宋" w:hAnsi="仿宋" w:eastAsia="仿宋"/>
                <w:spacing w:val="20"/>
                <w:sz w:val="24"/>
                <w:lang w:val="en-US" w:eastAsia="zh-CN"/>
              </w:rPr>
            </w:pPr>
            <w:r>
              <w:rPr>
                <w:rFonts w:hint="eastAsia" w:ascii="仿宋" w:hAnsi="仿宋" w:eastAsia="仿宋"/>
                <w:spacing w:val="20"/>
                <w:sz w:val="24"/>
                <w:lang w:val="en-US" w:eastAsia="zh-CN"/>
              </w:rPr>
              <w:t>1348000</w:t>
            </w:r>
          </w:p>
        </w:tc>
      </w:tr>
      <w:tr w14:paraId="2314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7254E948">
            <w:pPr>
              <w:spacing w:line="360" w:lineRule="auto"/>
              <w:rPr>
                <w:rFonts w:ascii="仿宋" w:hAnsi="仿宋" w:eastAsia="仿宋"/>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6D3BA243">
            <w:pPr>
              <w:spacing w:line="360" w:lineRule="auto"/>
              <w:rPr>
                <w:rFonts w:ascii="仿宋" w:hAnsi="仿宋" w:eastAsia="仿宋"/>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427C6CD6">
            <w:pPr>
              <w:spacing w:line="360" w:lineRule="auto"/>
              <w:rPr>
                <w:rFonts w:ascii="仿宋" w:hAnsi="仿宋" w:eastAsia="仿宋"/>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609C3CD1">
            <w:pPr>
              <w:spacing w:line="360" w:lineRule="auto"/>
              <w:rPr>
                <w:rFonts w:ascii="仿宋" w:hAnsi="仿宋" w:eastAsia="仿宋"/>
                <w:spacing w:val="20"/>
                <w:sz w:val="24"/>
              </w:rPr>
            </w:pPr>
          </w:p>
        </w:tc>
      </w:tr>
      <w:tr w14:paraId="4BB5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0078EFA">
            <w:pPr>
              <w:spacing w:line="360" w:lineRule="auto"/>
              <w:rPr>
                <w:rFonts w:ascii="仿宋" w:hAnsi="仿宋" w:eastAsia="仿宋"/>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5630E0D5">
            <w:pPr>
              <w:spacing w:line="360" w:lineRule="auto"/>
              <w:rPr>
                <w:rFonts w:ascii="仿宋" w:hAnsi="仿宋" w:eastAsia="仿宋"/>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1E9E896B">
            <w:pPr>
              <w:spacing w:line="360" w:lineRule="auto"/>
              <w:rPr>
                <w:rFonts w:ascii="仿宋" w:hAnsi="仿宋" w:eastAsia="仿宋"/>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3693E109">
            <w:pPr>
              <w:spacing w:line="360" w:lineRule="auto"/>
              <w:rPr>
                <w:rFonts w:ascii="仿宋" w:hAnsi="仿宋" w:eastAsia="仿宋"/>
                <w:spacing w:val="20"/>
                <w:sz w:val="24"/>
              </w:rPr>
            </w:pPr>
          </w:p>
        </w:tc>
      </w:tr>
      <w:tr w14:paraId="481B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4722742E">
            <w:pPr>
              <w:spacing w:line="360" w:lineRule="auto"/>
              <w:rPr>
                <w:rFonts w:ascii="仿宋" w:hAnsi="仿宋" w:eastAsia="仿宋"/>
                <w:spacing w:val="20"/>
                <w:sz w:val="24"/>
              </w:rPr>
            </w:pPr>
            <w:bookmarkStart w:id="2" w:name="_GoBack"/>
            <w:bookmarkEnd w:id="2"/>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4A0F4210">
            <w:pPr>
              <w:spacing w:line="360" w:lineRule="auto"/>
              <w:rPr>
                <w:rFonts w:ascii="仿宋" w:hAnsi="仿宋" w:eastAsia="仿宋"/>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56837477">
            <w:pPr>
              <w:spacing w:line="360" w:lineRule="auto"/>
              <w:rPr>
                <w:rFonts w:ascii="仿宋" w:hAnsi="仿宋" w:eastAsia="仿宋"/>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4FC526DC">
            <w:pPr>
              <w:spacing w:line="360" w:lineRule="auto"/>
              <w:rPr>
                <w:rFonts w:ascii="仿宋" w:hAnsi="仿宋" w:eastAsia="仿宋"/>
                <w:spacing w:val="20"/>
                <w:sz w:val="24"/>
              </w:rPr>
            </w:pPr>
          </w:p>
        </w:tc>
      </w:tr>
      <w:tr w14:paraId="4008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6732A06D">
            <w:pPr>
              <w:spacing w:line="360" w:lineRule="auto"/>
              <w:jc w:val="center"/>
              <w:rPr>
                <w:rFonts w:ascii="仿宋" w:hAnsi="仿宋" w:eastAsia="仿宋"/>
                <w:spacing w:val="20"/>
                <w:sz w:val="24"/>
              </w:rPr>
            </w:pPr>
            <w:r>
              <w:rPr>
                <w:rFonts w:hint="eastAsia" w:ascii="仿宋" w:hAnsi="仿宋" w:eastAsia="仿宋"/>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6C40D213">
            <w:pPr>
              <w:spacing w:line="360" w:lineRule="auto"/>
              <w:jc w:val="center"/>
              <w:rPr>
                <w:rFonts w:hint="default" w:ascii="仿宋" w:hAnsi="仿宋" w:eastAsia="仿宋"/>
                <w:spacing w:val="20"/>
                <w:sz w:val="24"/>
                <w:lang w:val="en-US" w:eastAsia="zh-CN"/>
              </w:rPr>
            </w:pPr>
            <w:r>
              <w:rPr>
                <w:rFonts w:hint="eastAsia" w:ascii="仿宋" w:hAnsi="仿宋" w:eastAsia="仿宋"/>
                <w:spacing w:val="20"/>
                <w:sz w:val="24"/>
                <w:lang w:val="en-US" w:eastAsia="zh-CN"/>
              </w:rPr>
              <w:t>1348000元</w:t>
            </w:r>
          </w:p>
        </w:tc>
      </w:tr>
      <w:tr w14:paraId="12E2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632270DF">
            <w:pPr>
              <w:spacing w:line="360" w:lineRule="auto"/>
              <w:rPr>
                <w:rFonts w:hint="eastAsia" w:ascii="仿宋" w:hAnsi="仿宋" w:eastAsia="仿宋"/>
                <w:spacing w:val="20"/>
                <w:sz w:val="24"/>
              </w:rPr>
            </w:pPr>
            <w:r>
              <w:rPr>
                <w:rFonts w:hint="eastAsia" w:ascii="仿宋" w:hAnsi="仿宋" w:eastAsia="仿宋"/>
                <w:spacing w:val="20"/>
                <w:sz w:val="24"/>
              </w:rPr>
              <w:t>服务要求：</w:t>
            </w:r>
          </w:p>
          <w:p w14:paraId="7DA90F15">
            <w:pPr>
              <w:pStyle w:val="8"/>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、服务内容：信息录入、材料收取、导诉服务、电子卷宗扫描及随案生成、电子卷宗核查、卷宗移送、速录服务、协助查控、卷宗装订、数据处理</w:t>
            </w:r>
            <w:r>
              <w:rPr>
                <w:rFonts w:hint="eastAsia" w:ascii="仿宋" w:hAnsi="仿宋" w:eastAsia="仿宋"/>
                <w:sz w:val="24"/>
                <w:lang w:eastAsia="zh-CN"/>
              </w:rPr>
              <w:t>、信息化技术保障</w:t>
            </w:r>
            <w:r>
              <w:rPr>
                <w:rFonts w:hint="eastAsia" w:ascii="仿宋" w:hAnsi="仿宋" w:eastAsia="仿宋"/>
                <w:sz w:val="24"/>
              </w:rPr>
              <w:t>。</w:t>
            </w:r>
          </w:p>
          <w:p w14:paraId="5ACBD3B8">
            <w:pPr>
              <w:spacing w:line="360" w:lineRule="auto"/>
              <w:rPr>
                <w:rFonts w:ascii="仿宋" w:hAnsi="仿宋" w:eastAsia="仿宋"/>
                <w:sz w:val="24"/>
                <w:szCs w:val="20"/>
              </w:rPr>
            </w:pPr>
            <w:r>
              <w:rPr>
                <w:rFonts w:hint="eastAsia" w:ascii="仿宋" w:hAnsi="仿宋" w:eastAsia="仿宋"/>
                <w:sz w:val="24"/>
                <w:szCs w:val="20"/>
              </w:rPr>
              <w:t xml:space="preserve">    </w:t>
            </w:r>
            <w:r>
              <w:rPr>
                <w:rFonts w:hint="eastAsia" w:ascii="仿宋" w:hAnsi="仿宋" w:eastAsia="仿宋"/>
                <w:sz w:val="24"/>
                <w:szCs w:val="20"/>
                <w:lang w:val="en-US" w:eastAsia="zh-CN"/>
              </w:rPr>
              <w:t>2</w:t>
            </w:r>
            <w:r>
              <w:rPr>
                <w:rFonts w:hint="eastAsia" w:ascii="仿宋" w:hAnsi="仿宋" w:eastAsia="仿宋"/>
                <w:sz w:val="24"/>
                <w:szCs w:val="20"/>
              </w:rPr>
              <w:t>、岗位需求：供应商负责组建服务团队为釆购人提供高质量的司法辅助事务服务。</w:t>
            </w:r>
          </w:p>
          <w:p w14:paraId="7D21A2FA">
            <w:pPr>
              <w:spacing w:line="360" w:lineRule="auto"/>
              <w:rPr>
                <w:rFonts w:ascii="仿宋" w:hAnsi="仿宋" w:eastAsia="仿宋"/>
                <w:spacing w:val="20"/>
                <w:sz w:val="24"/>
              </w:rPr>
            </w:pPr>
            <w:r>
              <w:rPr>
                <w:rFonts w:hint="eastAsia" w:ascii="仿宋" w:hAnsi="仿宋" w:eastAsia="仿宋"/>
                <w:sz w:val="24"/>
                <w:szCs w:val="20"/>
              </w:rPr>
              <w:t xml:space="preserve">    </w:t>
            </w:r>
            <w:r>
              <w:rPr>
                <w:rFonts w:hint="eastAsia" w:ascii="仿宋" w:hAnsi="仿宋" w:eastAsia="仿宋"/>
                <w:sz w:val="24"/>
                <w:szCs w:val="20"/>
                <w:lang w:val="en-US" w:eastAsia="zh-CN"/>
              </w:rPr>
              <w:t>3</w:t>
            </w:r>
            <w:r>
              <w:rPr>
                <w:rFonts w:hint="eastAsia" w:ascii="仿宋" w:hAnsi="仿宋" w:eastAsia="仿宋"/>
                <w:sz w:val="24"/>
                <w:szCs w:val="20"/>
              </w:rPr>
              <w:t>、工作模式：驻庭定岗，工作人员驻扎于立案庭（诉讼服务中心）、档案室、</w:t>
            </w:r>
            <w:r>
              <w:rPr>
                <w:rFonts w:hint="eastAsia" w:ascii="仿宋" w:hAnsi="仿宋" w:eastAsia="仿宋"/>
                <w:sz w:val="24"/>
                <w:szCs w:val="22"/>
              </w:rPr>
              <w:t>运维分中心</w:t>
            </w:r>
            <w:r>
              <w:rPr>
                <w:rFonts w:hint="eastAsia" w:ascii="仿宋" w:hAnsi="仿宋" w:eastAsia="仿宋"/>
                <w:sz w:val="24"/>
                <w:szCs w:val="20"/>
              </w:rPr>
              <w:t>等，采取定岗方式管理。</w:t>
            </w:r>
          </w:p>
        </w:tc>
      </w:tr>
    </w:tbl>
    <w:p w14:paraId="11B8AD42">
      <w:pPr>
        <w:spacing w:line="276" w:lineRule="auto"/>
        <w:rPr>
          <w:rFonts w:hint="eastAsia" w:ascii="仿宋" w:hAnsi="仿宋" w:eastAsia="仿宋"/>
          <w:spacing w:val="20"/>
          <w:szCs w:val="21"/>
        </w:rPr>
      </w:pPr>
      <w:r>
        <w:rPr>
          <w:rFonts w:hint="eastAsia" w:ascii="仿宋" w:hAnsi="仿宋" w:eastAsia="仿宋"/>
          <w:spacing w:val="20"/>
          <w:szCs w:val="21"/>
        </w:rPr>
        <w:t>注：1、供应商应根据其响应情况填写该表，并保证其与响应文件内容的一致性、正确性和真实性；</w:t>
      </w:r>
    </w:p>
    <w:p w14:paraId="2C5EC9D8">
      <w:pPr>
        <w:spacing w:line="276" w:lineRule="auto"/>
        <w:ind w:firstLine="490" w:firstLineChars="196"/>
        <w:rPr>
          <w:rFonts w:hint="eastAsia" w:ascii="仿宋" w:hAnsi="仿宋" w:eastAsia="仿宋"/>
          <w:spacing w:val="20"/>
          <w:szCs w:val="21"/>
        </w:rPr>
      </w:pPr>
      <w:r>
        <w:rPr>
          <w:rFonts w:hint="eastAsia" w:ascii="仿宋" w:hAnsi="仿宋" w:eastAsia="仿宋"/>
          <w:spacing w:val="20"/>
          <w:szCs w:val="21"/>
        </w:rPr>
        <w:t>2、填写该表不代表供应商已具有成交人资格。本表只作为成交结果公告内容的一部分，进行公告使用；</w:t>
      </w:r>
    </w:p>
    <w:p w14:paraId="13B38E39">
      <w:pPr>
        <w:spacing w:line="276" w:lineRule="auto"/>
        <w:ind w:firstLine="490" w:firstLineChars="196"/>
        <w:rPr>
          <w:rFonts w:hint="eastAsia" w:ascii="仿宋" w:hAnsi="仿宋" w:eastAsia="仿宋"/>
          <w:spacing w:val="20"/>
          <w:szCs w:val="21"/>
        </w:rPr>
      </w:pPr>
      <w:r>
        <w:rPr>
          <w:rFonts w:hint="eastAsia" w:ascii="仿宋" w:hAnsi="仿宋" w:eastAsia="仿宋"/>
          <w:spacing w:val="20"/>
          <w:szCs w:val="21"/>
        </w:rPr>
        <w:t>3、本表内容涉及较多，供应商可以适当增减表格行数，以保证表格内容的完整；</w:t>
      </w:r>
    </w:p>
    <w:p w14:paraId="3464B92F">
      <w:pPr>
        <w:spacing w:line="276" w:lineRule="auto"/>
        <w:ind w:firstLine="490" w:firstLineChars="196"/>
        <w:rPr>
          <w:rFonts w:hint="eastAsia" w:ascii="仿宋" w:hAnsi="仿宋" w:eastAsia="仿宋"/>
          <w:spacing w:val="20"/>
          <w:szCs w:val="21"/>
        </w:rPr>
      </w:pPr>
      <w:r>
        <w:rPr>
          <w:rFonts w:hint="eastAsia" w:ascii="仿宋" w:hAnsi="仿宋" w:eastAsia="仿宋"/>
          <w:spacing w:val="20"/>
          <w:szCs w:val="21"/>
        </w:rPr>
        <w:t>4、评审结果排名第一的供应商在评审结束后</w:t>
      </w:r>
      <w:r>
        <w:rPr>
          <w:rFonts w:hint="eastAsia" w:ascii="仿宋" w:hAnsi="仿宋" w:eastAsia="仿宋"/>
          <w:b/>
          <w:spacing w:val="20"/>
          <w:szCs w:val="21"/>
        </w:rPr>
        <w:t>2个工作日内</w:t>
      </w:r>
      <w:r>
        <w:rPr>
          <w:rFonts w:hint="eastAsia" w:ascii="仿宋" w:hAnsi="仿宋" w:eastAsia="仿宋"/>
          <w:spacing w:val="20"/>
          <w:szCs w:val="21"/>
        </w:rPr>
        <w:t>将该表格及项目响应文件电子文档刻录成光盘或将电子文档提交给代理机构的项目负责人。未按时提交规定内容造成后果由供应商自行承担。</w:t>
      </w:r>
    </w:p>
    <w:p w14:paraId="515BF84F">
      <w:pPr>
        <w:spacing w:line="276" w:lineRule="auto"/>
        <w:ind w:firstLine="490" w:firstLineChars="196"/>
        <w:rPr>
          <w:rFonts w:hint="eastAsia" w:ascii="仿宋" w:hAnsi="仿宋" w:eastAsia="仿宋"/>
          <w:spacing w:val="20"/>
          <w:szCs w:val="21"/>
        </w:rPr>
      </w:pPr>
      <w:r>
        <w:rPr>
          <w:rFonts w:hint="eastAsia" w:ascii="仿宋" w:hAnsi="仿宋" w:eastAsia="仿宋"/>
          <w:spacing w:val="20"/>
          <w:szCs w:val="21"/>
        </w:rPr>
        <w:t>5、成交结果公告内容如涉及供应商的商业秘密等法律法规规定可以不予公告的情形，供应商应另附书面说明，如未事前书面说明造成的后果由供应商自行承担。</w:t>
      </w:r>
    </w:p>
    <w:p w14:paraId="5E05CF60">
      <w:pPr>
        <w:rPr>
          <w:rFonts w:hint="eastAsia" w:ascii="仿宋" w:hAnsi="仿宋" w:eastAsia="仿宋"/>
        </w:rPr>
      </w:pPr>
    </w:p>
    <w:p w14:paraId="47A52C43">
      <w:pPr>
        <w:rPr>
          <w:rFonts w:hint="eastAsia" w:ascii="仿宋" w:hAnsi="仿宋" w:eastAsia="仿宋"/>
        </w:rPr>
      </w:pPr>
    </w:p>
    <w:p w14:paraId="09B4107A">
      <w:pPr>
        <w:pStyle w:val="2"/>
        <w:rPr>
          <w:rFonts w:hint="eastAsia"/>
          <w:lang w:val="en-US" w:eastAsia="zh-CN"/>
        </w:rPr>
      </w:pPr>
    </w:p>
    <w:p w14:paraId="202BE4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733A9"/>
    <w:rsid w:val="026912F2"/>
    <w:rsid w:val="07156F4A"/>
    <w:rsid w:val="24BE22C3"/>
    <w:rsid w:val="2F815AE6"/>
    <w:rsid w:val="350D1DD9"/>
    <w:rsid w:val="36100424"/>
    <w:rsid w:val="3CE5001E"/>
    <w:rsid w:val="3E25073A"/>
    <w:rsid w:val="3F080FA1"/>
    <w:rsid w:val="43DD6FF6"/>
    <w:rsid w:val="4A937980"/>
    <w:rsid w:val="4B5A1268"/>
    <w:rsid w:val="7A1566CA"/>
    <w:rsid w:val="7CE733A9"/>
    <w:rsid w:val="7EE8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
    <w:autoRedefine/>
    <w:qFormat/>
    <w:uiPriority w:val="0"/>
    <w:pPr>
      <w:keepNext/>
      <w:keepLines/>
      <w:spacing w:before="100" w:beforeLines="0" w:after="90" w:afterLines="0"/>
      <w:jc w:val="center"/>
      <w:outlineLvl w:val="0"/>
    </w:pPr>
    <w:rPr>
      <w:rFonts w:ascii="宋体" w:hAnsi="宋体" w:eastAsia="宋体" w:cs="Times New Roman"/>
      <w:b/>
      <w:kern w:val="44"/>
      <w:sz w:val="36"/>
      <w:szCs w:val="22"/>
    </w:rPr>
  </w:style>
  <w:style w:type="paragraph" w:styleId="6">
    <w:name w:val="heading 2"/>
    <w:basedOn w:val="1"/>
    <w:next w:val="1"/>
    <w:link w:val="12"/>
    <w:semiHidden/>
    <w:unhideWhenUsed/>
    <w:qFormat/>
    <w:uiPriority w:val="0"/>
    <w:pPr>
      <w:keepNext/>
      <w:keepLines/>
      <w:spacing w:before="120" w:after="120"/>
      <w:jc w:val="center"/>
      <w:outlineLvl w:val="1"/>
    </w:pPr>
    <w:rPr>
      <w:rFonts w:ascii="宋体" w:hAnsi="宋体" w:eastAsia="宋体" w:cs="宋体"/>
      <w:b/>
      <w:bCs/>
      <w:sz w:val="32"/>
      <w:szCs w:val="32"/>
    </w:rPr>
  </w:style>
  <w:style w:type="paragraph" w:styleId="7">
    <w:name w:val="heading 3"/>
    <w:basedOn w:val="1"/>
    <w:next w:val="8"/>
    <w:link w:val="14"/>
    <w:semiHidden/>
    <w:unhideWhenUsed/>
    <w:qFormat/>
    <w:uiPriority w:val="0"/>
    <w:pPr>
      <w:keepNext/>
      <w:keepLines/>
      <w:spacing w:before="20" w:after="20" w:line="360" w:lineRule="auto"/>
      <w:ind w:firstLine="602" w:firstLineChars="200"/>
      <w:outlineLvl w:val="2"/>
    </w:pPr>
    <w:rPr>
      <w:rFonts w:ascii="仿宋_GB2312" w:hAnsi="仿宋_GB2312" w:eastAsia="宋体" w:cs="Times New Roman"/>
      <w:b/>
      <w:bCs/>
      <w:sz w:val="24"/>
    </w:rPr>
  </w:style>
  <w:style w:type="paragraph" w:styleId="9">
    <w:name w:val="heading 4"/>
    <w:basedOn w:val="1"/>
    <w:next w:val="1"/>
    <w:semiHidden/>
    <w:unhideWhenUsed/>
    <w:qFormat/>
    <w:uiPriority w:val="0"/>
    <w:pPr>
      <w:keepNext/>
      <w:keepLines/>
      <w:spacing w:before="160" w:beforeLines="0" w:beforeAutospacing="0" w:after="170" w:afterLines="0" w:afterAutospacing="0" w:line="360" w:lineRule="auto"/>
      <w:ind w:firstLine="883" w:firstLineChars="200"/>
      <w:outlineLvl w:val="3"/>
    </w:pPr>
    <w:rPr>
      <w:rFonts w:ascii="Arial" w:hAnsi="Arial" w:eastAsia="宋体" w:cs="Times New Roman"/>
      <w:b/>
      <w:sz w:val="24"/>
    </w:rPr>
  </w:style>
  <w:style w:type="character" w:default="1" w:styleId="11">
    <w:name w:val="Default Paragraph Font"/>
    <w:autoRedefine/>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Body Text First Indent"/>
    <w:basedOn w:val="2"/>
    <w:next w:val="4"/>
    <w:qFormat/>
    <w:uiPriority w:val="0"/>
    <w:pPr>
      <w:ind w:firstLine="420" w:firstLineChars="100"/>
    </w:pPr>
  </w:style>
  <w:style w:type="paragraph" w:styleId="4">
    <w:name w:val="toc 6"/>
    <w:basedOn w:val="1"/>
    <w:next w:val="1"/>
    <w:uiPriority w:val="0"/>
    <w:pPr>
      <w:autoSpaceDE w:val="0"/>
      <w:autoSpaceDN w:val="0"/>
      <w:adjustRightInd w:val="0"/>
      <w:ind w:left="2100" w:leftChars="1000"/>
      <w:jc w:val="left"/>
    </w:pPr>
    <w:rPr>
      <w:rFonts w:ascii="Calibri" w:hAnsi="Calibri" w:eastAsia="宋体" w:cs="Times New Roman"/>
      <w:kern w:val="0"/>
      <w:sz w:val="20"/>
      <w:szCs w:val="20"/>
    </w:rPr>
  </w:style>
  <w:style w:type="paragraph" w:styleId="8">
    <w:name w:val="Normal Indent"/>
    <w:basedOn w:val="1"/>
    <w:uiPriority w:val="0"/>
    <w:pPr>
      <w:ind w:firstLine="420" w:firstLineChars="200"/>
    </w:pPr>
  </w:style>
  <w:style w:type="character" w:customStyle="1" w:styleId="12">
    <w:name w:val="标题 2 字符"/>
    <w:link w:val="6"/>
    <w:autoRedefine/>
    <w:qFormat/>
    <w:uiPriority w:val="0"/>
    <w:rPr>
      <w:rFonts w:ascii="宋体" w:hAnsi="宋体" w:eastAsia="宋体" w:cs="宋体"/>
      <w:b/>
      <w:sz w:val="36"/>
    </w:rPr>
  </w:style>
  <w:style w:type="character" w:customStyle="1" w:styleId="13">
    <w:name w:val="标题 1 Char"/>
    <w:link w:val="5"/>
    <w:qFormat/>
    <w:uiPriority w:val="0"/>
    <w:rPr>
      <w:rFonts w:ascii="宋体" w:hAnsi="宋体" w:eastAsia="宋体" w:cs="Times New Roman"/>
      <w:b/>
      <w:kern w:val="44"/>
      <w:sz w:val="36"/>
      <w:szCs w:val="22"/>
      <w:lang w:val="en-US" w:eastAsia="zh-CN" w:bidi="ar-SA"/>
    </w:rPr>
  </w:style>
  <w:style w:type="character" w:customStyle="1" w:styleId="14">
    <w:name w:val="标题 3 Char"/>
    <w:link w:val="7"/>
    <w:qFormat/>
    <w:uiPriority w:val="0"/>
    <w:rPr>
      <w:rFonts w:ascii="仿宋_GB2312" w:hAnsi="仿宋_GB2312" w:eastAsia="宋体" w:cs="Times New Roman"/>
      <w:b/>
      <w:bCs/>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2024-12-31T08:20:00Z</dcterms:created>
  <dc:creator>2 月3 1</dc:creator>
  <cp:lastModifiedBy>2 月3 1</cp:lastModifiedBy>
  <dcterms:modified xsi:type="dcterms:W3CDTF">2024-12-31T08:24:10Z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B131A517A6794FECBEB4EF04EF6720A2_11</vt:lpwstr>
  </property>
  <property fmtid="{D5CDD505-2E9C-101B-9397-08002B2CF9AE}" pid="4" name="KSOTemplateDocerSaveRecord">
    <vt:lpwstr>eyJoZGlkIjoiMzJiN2ZlZDY1MmY2ZmQ3NDM5MGFjN2YyYjgwYTRkNDAiLCJ1c2VySWQiOiIyOTUyNDE1NjcifQ==</vt:lpwstr>
  </property>
</Properties>
</file>